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6F2" w:rsidRPr="00464416" w:rsidRDefault="00A516F2" w:rsidP="00A516F2">
      <w:pPr>
        <w:pStyle w:val="datumtevilka"/>
      </w:pPr>
      <w:r w:rsidRPr="00464416">
        <w:t xml:space="preserve">Številka: </w:t>
      </w:r>
      <w:r w:rsidRPr="00464416">
        <w:tab/>
      </w:r>
      <w:r w:rsidRPr="00464416">
        <w:rPr>
          <w:rFonts w:cs="Arial"/>
          <w:color w:val="000000"/>
        </w:rPr>
        <w:t>41005-2/2019/4</w:t>
      </w:r>
    </w:p>
    <w:p w:rsidR="00B81860" w:rsidRDefault="00A516F2" w:rsidP="00B81860">
      <w:pPr>
        <w:pStyle w:val="datumtevilka"/>
        <w:rPr>
          <w:rFonts w:cs="Arial"/>
          <w:color w:val="000000"/>
        </w:rPr>
      </w:pPr>
      <w:r w:rsidRPr="00464416">
        <w:t xml:space="preserve">Datum: </w:t>
      </w:r>
      <w:r w:rsidRPr="00464416">
        <w:tab/>
      </w:r>
      <w:r w:rsidRPr="00464416">
        <w:rPr>
          <w:rFonts w:cs="Arial"/>
          <w:color w:val="000000"/>
        </w:rPr>
        <w:t>27. 6. 2019</w:t>
      </w:r>
    </w:p>
    <w:p w:rsidR="00B81860" w:rsidRDefault="00B81860" w:rsidP="00B81860">
      <w:pPr>
        <w:pStyle w:val="datumtevilka"/>
        <w:rPr>
          <w:rFonts w:cs="Arial"/>
          <w:color w:val="000000"/>
        </w:rPr>
      </w:pPr>
    </w:p>
    <w:p w:rsidR="00B81860" w:rsidRDefault="00B81860" w:rsidP="00B81860">
      <w:pPr>
        <w:pStyle w:val="datumtevilka"/>
        <w:rPr>
          <w:rFonts w:cs="Arial"/>
          <w:b/>
          <w:iCs/>
          <w:sz w:val="28"/>
          <w:szCs w:val="28"/>
        </w:rPr>
      </w:pPr>
    </w:p>
    <w:p w:rsidR="00B81860" w:rsidRDefault="00483594" w:rsidP="00B81860">
      <w:pPr>
        <w:spacing w:before="3480" w:after="360" w:line="240" w:lineRule="auto"/>
        <w:ind w:firstLine="431"/>
        <w:jc w:val="center"/>
        <w:rPr>
          <w:rFonts w:cs="Arial"/>
          <w:b/>
          <w:iCs/>
          <w:sz w:val="28"/>
          <w:szCs w:val="28"/>
          <w:lang w:val="sl-SI" w:eastAsia="sl-SI"/>
        </w:rPr>
      </w:pPr>
      <w:r>
        <w:rPr>
          <w:rFonts w:cs="Arial"/>
          <w:b/>
          <w:iCs/>
          <w:sz w:val="28"/>
          <w:szCs w:val="28"/>
          <w:lang w:val="sl-SI" w:eastAsia="sl-SI"/>
        </w:rPr>
        <w:t>KONSOLIDIRANA PREMOŽENJSKA BILANCA DRŽAVE IN OBČIN NA DAN 31.</w:t>
      </w:r>
      <w:r w:rsidR="007F7CEA">
        <w:rPr>
          <w:rFonts w:cs="Arial"/>
          <w:b/>
          <w:iCs/>
          <w:sz w:val="28"/>
          <w:szCs w:val="28"/>
          <w:lang w:val="sl-SI" w:eastAsia="sl-SI"/>
        </w:rPr>
        <w:t> </w:t>
      </w:r>
      <w:r>
        <w:rPr>
          <w:rFonts w:cs="Arial"/>
          <w:b/>
          <w:iCs/>
          <w:sz w:val="28"/>
          <w:szCs w:val="28"/>
          <w:lang w:val="sl-SI" w:eastAsia="sl-SI"/>
        </w:rPr>
        <w:t>12.</w:t>
      </w:r>
      <w:r w:rsidR="007F7CEA">
        <w:rPr>
          <w:rFonts w:cs="Arial"/>
          <w:b/>
          <w:iCs/>
          <w:sz w:val="28"/>
          <w:szCs w:val="28"/>
          <w:lang w:val="sl-SI" w:eastAsia="sl-SI"/>
        </w:rPr>
        <w:t> </w:t>
      </w:r>
      <w:r>
        <w:rPr>
          <w:rFonts w:cs="Arial"/>
          <w:b/>
          <w:iCs/>
          <w:sz w:val="28"/>
          <w:szCs w:val="28"/>
          <w:lang w:val="sl-SI" w:eastAsia="sl-SI"/>
        </w:rPr>
        <w:t>201</w:t>
      </w:r>
      <w:r w:rsidR="00052B06">
        <w:rPr>
          <w:rFonts w:cs="Arial"/>
          <w:b/>
          <w:iCs/>
          <w:sz w:val="28"/>
          <w:szCs w:val="28"/>
          <w:lang w:val="sl-SI" w:eastAsia="sl-SI"/>
        </w:rPr>
        <w:t>8</w:t>
      </w:r>
    </w:p>
    <w:p w:rsidR="00782DC7" w:rsidRDefault="00782DC7">
      <w:pPr>
        <w:spacing w:line="240" w:lineRule="auto"/>
        <w:jc w:val="left"/>
        <w:rPr>
          <w:rFonts w:cs="Arial"/>
          <w:b/>
          <w:iCs/>
          <w:sz w:val="28"/>
          <w:szCs w:val="28"/>
          <w:lang w:val="sl-SI" w:eastAsia="sl-SI"/>
        </w:rPr>
      </w:pPr>
      <w:r>
        <w:rPr>
          <w:rFonts w:cs="Arial"/>
          <w:b/>
          <w:iCs/>
          <w:sz w:val="28"/>
          <w:szCs w:val="28"/>
          <w:lang w:val="sl-SI" w:eastAsia="sl-SI"/>
        </w:rPr>
        <w:br w:type="page"/>
      </w:r>
    </w:p>
    <w:p w:rsidR="00B81860" w:rsidRDefault="00B81860">
      <w:pPr>
        <w:spacing w:line="240" w:lineRule="auto"/>
        <w:jc w:val="left"/>
        <w:rPr>
          <w:rFonts w:cs="Arial"/>
          <w:b/>
          <w:iCs/>
          <w:sz w:val="28"/>
          <w:szCs w:val="28"/>
          <w:lang w:val="sl-SI" w:eastAsia="sl-SI"/>
        </w:rPr>
      </w:pPr>
    </w:p>
    <w:p w:rsidR="009C08C6" w:rsidRDefault="009C08C6" w:rsidP="00782DC7">
      <w:pPr>
        <w:spacing w:line="240" w:lineRule="auto"/>
        <w:jc w:val="center"/>
        <w:rPr>
          <w:rFonts w:cs="Arial"/>
          <w:b/>
          <w:iCs/>
          <w:sz w:val="28"/>
          <w:szCs w:val="28"/>
          <w:lang w:val="sl-SI" w:eastAsia="sl-SI"/>
        </w:rPr>
      </w:pPr>
    </w:p>
    <w:p w:rsidR="009C08C6" w:rsidRDefault="009C08C6" w:rsidP="008F0A8D">
      <w:pPr>
        <w:pStyle w:val="Heading1"/>
      </w:pPr>
      <w:bookmarkStart w:id="0" w:name="_Toc49771304"/>
      <w:r>
        <w:t>Vsebina</w:t>
      </w:r>
      <w:bookmarkEnd w:id="0"/>
    </w:p>
    <w:p w:rsidR="00E565C0" w:rsidRDefault="009C08C6">
      <w:pPr>
        <w:pStyle w:val="TOC1"/>
        <w:tabs>
          <w:tab w:val="left" w:pos="440"/>
          <w:tab w:val="right" w:leader="dot" w:pos="9060"/>
        </w:tabs>
        <w:rPr>
          <w:rFonts w:asciiTheme="minorHAnsi" w:eastAsiaTheme="minorEastAsia" w:hAnsiTheme="minorHAnsi" w:cstheme="minorBidi"/>
          <w:noProof/>
          <w:sz w:val="22"/>
          <w:szCs w:val="22"/>
          <w:lang w:val="sl-SI" w:eastAsia="sl-SI"/>
        </w:rPr>
      </w:pPr>
      <w:r>
        <w:fldChar w:fldCharType="begin"/>
      </w:r>
      <w:r>
        <w:instrText xml:space="preserve"> TOC \o "1-3" \h \z \u </w:instrText>
      </w:r>
      <w:r>
        <w:fldChar w:fldCharType="separate"/>
      </w:r>
      <w:hyperlink w:anchor="_Toc49771304" w:history="1">
        <w:r w:rsidR="00E565C0" w:rsidRPr="00CC2F49">
          <w:rPr>
            <w:rStyle w:val="Hyperlink"/>
            <w:noProof/>
          </w:rPr>
          <w:t>1</w:t>
        </w:r>
        <w:r w:rsidR="00E565C0">
          <w:rPr>
            <w:rFonts w:asciiTheme="minorHAnsi" w:eastAsiaTheme="minorEastAsia" w:hAnsiTheme="minorHAnsi" w:cstheme="minorBidi"/>
            <w:noProof/>
            <w:sz w:val="22"/>
            <w:szCs w:val="22"/>
            <w:lang w:val="sl-SI" w:eastAsia="sl-SI"/>
          </w:rPr>
          <w:tab/>
        </w:r>
        <w:r w:rsidR="00E565C0" w:rsidRPr="00CC2F49">
          <w:rPr>
            <w:rStyle w:val="Hyperlink"/>
            <w:noProof/>
          </w:rPr>
          <w:t>Vsebina</w:t>
        </w:r>
        <w:r w:rsidR="00E565C0">
          <w:rPr>
            <w:noProof/>
            <w:webHidden/>
          </w:rPr>
          <w:tab/>
        </w:r>
        <w:r w:rsidR="00E565C0">
          <w:rPr>
            <w:noProof/>
            <w:webHidden/>
          </w:rPr>
          <w:fldChar w:fldCharType="begin"/>
        </w:r>
        <w:r w:rsidR="00E565C0">
          <w:rPr>
            <w:noProof/>
            <w:webHidden/>
          </w:rPr>
          <w:instrText xml:space="preserve"> PAGEREF _Toc49771304 \h </w:instrText>
        </w:r>
        <w:r w:rsidR="00E565C0">
          <w:rPr>
            <w:noProof/>
            <w:webHidden/>
          </w:rPr>
        </w:r>
        <w:r w:rsidR="00E565C0">
          <w:rPr>
            <w:noProof/>
            <w:webHidden/>
          </w:rPr>
          <w:fldChar w:fldCharType="separate"/>
        </w:r>
        <w:r w:rsidR="00E565C0">
          <w:rPr>
            <w:noProof/>
            <w:webHidden/>
          </w:rPr>
          <w:t>2</w:t>
        </w:r>
        <w:r w:rsidR="00E565C0">
          <w:rPr>
            <w:noProof/>
            <w:webHidden/>
          </w:rPr>
          <w:fldChar w:fldCharType="end"/>
        </w:r>
      </w:hyperlink>
    </w:p>
    <w:p w:rsidR="00E565C0" w:rsidRDefault="008E6E2A">
      <w:pPr>
        <w:pStyle w:val="TOC1"/>
        <w:tabs>
          <w:tab w:val="left" w:pos="440"/>
          <w:tab w:val="right" w:leader="dot" w:pos="9060"/>
        </w:tabs>
        <w:rPr>
          <w:rFonts w:asciiTheme="minorHAnsi" w:eastAsiaTheme="minorEastAsia" w:hAnsiTheme="minorHAnsi" w:cstheme="minorBidi"/>
          <w:noProof/>
          <w:sz w:val="22"/>
          <w:szCs w:val="22"/>
          <w:lang w:val="sl-SI" w:eastAsia="sl-SI"/>
        </w:rPr>
      </w:pPr>
      <w:hyperlink w:anchor="_Toc49771305" w:history="1">
        <w:r w:rsidR="00E565C0" w:rsidRPr="00CC2F49">
          <w:rPr>
            <w:rStyle w:val="Hyperlink"/>
            <w:noProof/>
          </w:rPr>
          <w:t>2</w:t>
        </w:r>
        <w:r w:rsidR="00E565C0">
          <w:rPr>
            <w:rFonts w:asciiTheme="minorHAnsi" w:eastAsiaTheme="minorEastAsia" w:hAnsiTheme="minorHAnsi" w:cstheme="minorBidi"/>
            <w:noProof/>
            <w:sz w:val="22"/>
            <w:szCs w:val="22"/>
            <w:lang w:val="sl-SI" w:eastAsia="sl-SI"/>
          </w:rPr>
          <w:tab/>
        </w:r>
        <w:r w:rsidR="00E565C0" w:rsidRPr="00CC2F49">
          <w:rPr>
            <w:rStyle w:val="Hyperlink"/>
            <w:noProof/>
          </w:rPr>
          <w:t>UVOD</w:t>
        </w:r>
        <w:r w:rsidR="00E565C0">
          <w:rPr>
            <w:noProof/>
            <w:webHidden/>
          </w:rPr>
          <w:tab/>
        </w:r>
        <w:r w:rsidR="00E565C0">
          <w:rPr>
            <w:noProof/>
            <w:webHidden/>
          </w:rPr>
          <w:fldChar w:fldCharType="begin"/>
        </w:r>
        <w:r w:rsidR="00E565C0">
          <w:rPr>
            <w:noProof/>
            <w:webHidden/>
          </w:rPr>
          <w:instrText xml:space="preserve"> PAGEREF _Toc49771305 \h </w:instrText>
        </w:r>
        <w:r w:rsidR="00E565C0">
          <w:rPr>
            <w:noProof/>
            <w:webHidden/>
          </w:rPr>
        </w:r>
        <w:r w:rsidR="00E565C0">
          <w:rPr>
            <w:noProof/>
            <w:webHidden/>
          </w:rPr>
          <w:fldChar w:fldCharType="separate"/>
        </w:r>
        <w:r w:rsidR="00E565C0">
          <w:rPr>
            <w:noProof/>
            <w:webHidden/>
          </w:rPr>
          <w:t>5</w:t>
        </w:r>
        <w:r w:rsidR="00E565C0">
          <w:rPr>
            <w:noProof/>
            <w:webHidden/>
          </w:rPr>
          <w:fldChar w:fldCharType="end"/>
        </w:r>
      </w:hyperlink>
    </w:p>
    <w:p w:rsidR="00E565C0" w:rsidRDefault="008E6E2A">
      <w:pPr>
        <w:pStyle w:val="TOC1"/>
        <w:tabs>
          <w:tab w:val="left" w:pos="440"/>
          <w:tab w:val="right" w:leader="dot" w:pos="9060"/>
        </w:tabs>
        <w:rPr>
          <w:rFonts w:asciiTheme="minorHAnsi" w:eastAsiaTheme="minorEastAsia" w:hAnsiTheme="minorHAnsi" w:cstheme="minorBidi"/>
          <w:noProof/>
          <w:sz w:val="22"/>
          <w:szCs w:val="22"/>
          <w:lang w:val="sl-SI" w:eastAsia="sl-SI"/>
        </w:rPr>
      </w:pPr>
      <w:hyperlink w:anchor="_Toc49771306" w:history="1">
        <w:r w:rsidR="00E565C0" w:rsidRPr="00CC2F49">
          <w:rPr>
            <w:rStyle w:val="Hyperlink"/>
            <w:noProof/>
          </w:rPr>
          <w:t>3</w:t>
        </w:r>
        <w:r w:rsidR="00E565C0">
          <w:rPr>
            <w:rFonts w:asciiTheme="minorHAnsi" w:eastAsiaTheme="minorEastAsia" w:hAnsiTheme="minorHAnsi" w:cstheme="minorBidi"/>
            <w:noProof/>
            <w:sz w:val="22"/>
            <w:szCs w:val="22"/>
            <w:lang w:val="sl-SI" w:eastAsia="sl-SI"/>
          </w:rPr>
          <w:tab/>
        </w:r>
        <w:r w:rsidR="00E565C0" w:rsidRPr="00CC2F49">
          <w:rPr>
            <w:rStyle w:val="Hyperlink"/>
            <w:noProof/>
          </w:rPr>
          <w:t>KONSOLIDIRANA PREMOŽENJSKA BILANCA DRŽAVE IN OBČIN</w:t>
        </w:r>
        <w:r w:rsidR="00E565C0">
          <w:rPr>
            <w:noProof/>
            <w:webHidden/>
          </w:rPr>
          <w:tab/>
        </w:r>
        <w:r w:rsidR="00E565C0">
          <w:rPr>
            <w:noProof/>
            <w:webHidden/>
          </w:rPr>
          <w:fldChar w:fldCharType="begin"/>
        </w:r>
        <w:r w:rsidR="00E565C0">
          <w:rPr>
            <w:noProof/>
            <w:webHidden/>
          </w:rPr>
          <w:instrText xml:space="preserve"> PAGEREF _Toc49771306 \h </w:instrText>
        </w:r>
        <w:r w:rsidR="00E565C0">
          <w:rPr>
            <w:noProof/>
            <w:webHidden/>
          </w:rPr>
        </w:r>
        <w:r w:rsidR="00E565C0">
          <w:rPr>
            <w:noProof/>
            <w:webHidden/>
          </w:rPr>
          <w:fldChar w:fldCharType="separate"/>
        </w:r>
        <w:r w:rsidR="00E565C0">
          <w:rPr>
            <w:noProof/>
            <w:webHidden/>
          </w:rPr>
          <w:t>7</w:t>
        </w:r>
        <w:r w:rsidR="00E565C0">
          <w:rPr>
            <w:noProof/>
            <w:webHidden/>
          </w:rPr>
          <w:fldChar w:fldCharType="end"/>
        </w:r>
      </w:hyperlink>
    </w:p>
    <w:p w:rsidR="00E565C0" w:rsidRDefault="008E6E2A">
      <w:pPr>
        <w:pStyle w:val="TOC2"/>
        <w:tabs>
          <w:tab w:val="left" w:pos="880"/>
          <w:tab w:val="right" w:leader="dot" w:pos="9060"/>
        </w:tabs>
        <w:rPr>
          <w:rFonts w:asciiTheme="minorHAnsi" w:eastAsiaTheme="minorEastAsia" w:hAnsiTheme="minorHAnsi" w:cstheme="minorBidi"/>
          <w:noProof/>
          <w:sz w:val="22"/>
          <w:szCs w:val="22"/>
          <w:lang w:val="sl-SI" w:eastAsia="sl-SI"/>
        </w:rPr>
      </w:pPr>
      <w:hyperlink w:anchor="_Toc49771307" w:history="1">
        <w:r w:rsidR="00E565C0" w:rsidRPr="00CC2F49">
          <w:rPr>
            <w:rStyle w:val="Hyperlink"/>
            <w:noProof/>
          </w:rPr>
          <w:t>3.1</w:t>
        </w:r>
        <w:r w:rsidR="00E565C0">
          <w:rPr>
            <w:rFonts w:asciiTheme="minorHAnsi" w:eastAsiaTheme="minorEastAsia" w:hAnsiTheme="minorHAnsi" w:cstheme="minorBidi"/>
            <w:noProof/>
            <w:sz w:val="22"/>
            <w:szCs w:val="22"/>
            <w:lang w:val="sl-SI" w:eastAsia="sl-SI"/>
          </w:rPr>
          <w:tab/>
        </w:r>
        <w:r w:rsidR="00E565C0" w:rsidRPr="00CC2F49">
          <w:rPr>
            <w:rStyle w:val="Hyperlink"/>
            <w:noProof/>
          </w:rPr>
          <w:t>Obseg konsolidacije</w:t>
        </w:r>
        <w:r w:rsidR="00E565C0">
          <w:rPr>
            <w:noProof/>
            <w:webHidden/>
          </w:rPr>
          <w:tab/>
        </w:r>
        <w:r w:rsidR="00E565C0">
          <w:rPr>
            <w:noProof/>
            <w:webHidden/>
          </w:rPr>
          <w:fldChar w:fldCharType="begin"/>
        </w:r>
        <w:r w:rsidR="00E565C0">
          <w:rPr>
            <w:noProof/>
            <w:webHidden/>
          </w:rPr>
          <w:instrText xml:space="preserve"> PAGEREF _Toc49771307 \h </w:instrText>
        </w:r>
        <w:r w:rsidR="00E565C0">
          <w:rPr>
            <w:noProof/>
            <w:webHidden/>
          </w:rPr>
        </w:r>
        <w:r w:rsidR="00E565C0">
          <w:rPr>
            <w:noProof/>
            <w:webHidden/>
          </w:rPr>
          <w:fldChar w:fldCharType="separate"/>
        </w:r>
        <w:r w:rsidR="00E565C0">
          <w:rPr>
            <w:noProof/>
            <w:webHidden/>
          </w:rPr>
          <w:t>7</w:t>
        </w:r>
        <w:r w:rsidR="00E565C0">
          <w:rPr>
            <w:noProof/>
            <w:webHidden/>
          </w:rPr>
          <w:fldChar w:fldCharType="end"/>
        </w:r>
      </w:hyperlink>
    </w:p>
    <w:p w:rsidR="00E565C0" w:rsidRDefault="008E6E2A">
      <w:pPr>
        <w:pStyle w:val="TOC2"/>
        <w:tabs>
          <w:tab w:val="left" w:pos="880"/>
          <w:tab w:val="right" w:leader="dot" w:pos="9060"/>
        </w:tabs>
        <w:rPr>
          <w:rFonts w:asciiTheme="minorHAnsi" w:eastAsiaTheme="minorEastAsia" w:hAnsiTheme="minorHAnsi" w:cstheme="minorBidi"/>
          <w:noProof/>
          <w:sz w:val="22"/>
          <w:szCs w:val="22"/>
          <w:lang w:val="sl-SI" w:eastAsia="sl-SI"/>
        </w:rPr>
      </w:pPr>
      <w:hyperlink w:anchor="_Toc49771308" w:history="1">
        <w:r w:rsidR="00E565C0" w:rsidRPr="00CC2F49">
          <w:rPr>
            <w:rStyle w:val="Hyperlink"/>
            <w:noProof/>
          </w:rPr>
          <w:t>3.2</w:t>
        </w:r>
        <w:r w:rsidR="00E565C0">
          <w:rPr>
            <w:rFonts w:asciiTheme="minorHAnsi" w:eastAsiaTheme="minorEastAsia" w:hAnsiTheme="minorHAnsi" w:cstheme="minorBidi"/>
            <w:noProof/>
            <w:sz w:val="22"/>
            <w:szCs w:val="22"/>
            <w:lang w:val="sl-SI" w:eastAsia="sl-SI"/>
          </w:rPr>
          <w:tab/>
        </w:r>
        <w:r w:rsidR="00E565C0" w:rsidRPr="00CC2F49">
          <w:rPr>
            <w:rStyle w:val="Hyperlink"/>
            <w:noProof/>
          </w:rPr>
          <w:t>Rezultat konsolidacije</w:t>
        </w:r>
        <w:r w:rsidR="00E565C0">
          <w:rPr>
            <w:noProof/>
            <w:webHidden/>
          </w:rPr>
          <w:tab/>
        </w:r>
        <w:r w:rsidR="00E565C0">
          <w:rPr>
            <w:noProof/>
            <w:webHidden/>
          </w:rPr>
          <w:fldChar w:fldCharType="begin"/>
        </w:r>
        <w:r w:rsidR="00E565C0">
          <w:rPr>
            <w:noProof/>
            <w:webHidden/>
          </w:rPr>
          <w:instrText xml:space="preserve"> PAGEREF _Toc49771308 \h </w:instrText>
        </w:r>
        <w:r w:rsidR="00E565C0">
          <w:rPr>
            <w:noProof/>
            <w:webHidden/>
          </w:rPr>
        </w:r>
        <w:r w:rsidR="00E565C0">
          <w:rPr>
            <w:noProof/>
            <w:webHidden/>
          </w:rPr>
          <w:fldChar w:fldCharType="separate"/>
        </w:r>
        <w:r w:rsidR="00E565C0">
          <w:rPr>
            <w:noProof/>
            <w:webHidden/>
          </w:rPr>
          <w:t>8</w:t>
        </w:r>
        <w:r w:rsidR="00E565C0">
          <w:rPr>
            <w:noProof/>
            <w:webHidden/>
          </w:rPr>
          <w:fldChar w:fldCharType="end"/>
        </w:r>
      </w:hyperlink>
    </w:p>
    <w:p w:rsidR="00E565C0" w:rsidRDefault="008E6E2A">
      <w:pPr>
        <w:pStyle w:val="TOC2"/>
        <w:tabs>
          <w:tab w:val="left" w:pos="880"/>
          <w:tab w:val="right" w:leader="dot" w:pos="9060"/>
        </w:tabs>
        <w:rPr>
          <w:rFonts w:asciiTheme="minorHAnsi" w:eastAsiaTheme="minorEastAsia" w:hAnsiTheme="minorHAnsi" w:cstheme="minorBidi"/>
          <w:noProof/>
          <w:sz w:val="22"/>
          <w:szCs w:val="22"/>
          <w:lang w:val="sl-SI" w:eastAsia="sl-SI"/>
        </w:rPr>
      </w:pPr>
      <w:hyperlink w:anchor="_Toc49771309" w:history="1">
        <w:r w:rsidR="00E565C0" w:rsidRPr="00CC2F49">
          <w:rPr>
            <w:rStyle w:val="Hyperlink"/>
            <w:noProof/>
          </w:rPr>
          <w:t>3.3</w:t>
        </w:r>
        <w:r w:rsidR="00E565C0">
          <w:rPr>
            <w:rFonts w:asciiTheme="minorHAnsi" w:eastAsiaTheme="minorEastAsia" w:hAnsiTheme="minorHAnsi" w:cstheme="minorBidi"/>
            <w:noProof/>
            <w:sz w:val="22"/>
            <w:szCs w:val="22"/>
            <w:lang w:val="sl-SI" w:eastAsia="sl-SI"/>
          </w:rPr>
          <w:tab/>
        </w:r>
        <w:r w:rsidR="00E565C0" w:rsidRPr="00CC2F49">
          <w:rPr>
            <w:rStyle w:val="Hyperlink"/>
            <w:noProof/>
          </w:rPr>
          <w:t>Časovna primerjava in analiza postavk KPBDO</w:t>
        </w:r>
        <w:r w:rsidR="00E565C0">
          <w:rPr>
            <w:noProof/>
            <w:webHidden/>
          </w:rPr>
          <w:tab/>
        </w:r>
        <w:r w:rsidR="00E565C0">
          <w:rPr>
            <w:noProof/>
            <w:webHidden/>
          </w:rPr>
          <w:fldChar w:fldCharType="begin"/>
        </w:r>
        <w:r w:rsidR="00E565C0">
          <w:rPr>
            <w:noProof/>
            <w:webHidden/>
          </w:rPr>
          <w:instrText xml:space="preserve"> PAGEREF _Toc49771309 \h </w:instrText>
        </w:r>
        <w:r w:rsidR="00E565C0">
          <w:rPr>
            <w:noProof/>
            <w:webHidden/>
          </w:rPr>
        </w:r>
        <w:r w:rsidR="00E565C0">
          <w:rPr>
            <w:noProof/>
            <w:webHidden/>
          </w:rPr>
          <w:fldChar w:fldCharType="separate"/>
        </w:r>
        <w:r w:rsidR="00E565C0">
          <w:rPr>
            <w:noProof/>
            <w:webHidden/>
          </w:rPr>
          <w:t>20</w:t>
        </w:r>
        <w:r w:rsidR="00E565C0">
          <w:rPr>
            <w:noProof/>
            <w:webHidden/>
          </w:rPr>
          <w:fldChar w:fldCharType="end"/>
        </w:r>
      </w:hyperlink>
    </w:p>
    <w:p w:rsidR="00E565C0" w:rsidRDefault="008E6E2A">
      <w:pPr>
        <w:pStyle w:val="TOC1"/>
        <w:tabs>
          <w:tab w:val="left" w:pos="440"/>
          <w:tab w:val="right" w:leader="dot" w:pos="9060"/>
        </w:tabs>
        <w:rPr>
          <w:rFonts w:asciiTheme="minorHAnsi" w:eastAsiaTheme="minorEastAsia" w:hAnsiTheme="minorHAnsi" w:cstheme="minorBidi"/>
          <w:noProof/>
          <w:sz w:val="22"/>
          <w:szCs w:val="22"/>
          <w:lang w:val="sl-SI" w:eastAsia="sl-SI"/>
        </w:rPr>
      </w:pPr>
      <w:hyperlink w:anchor="_Toc49771310" w:history="1">
        <w:r w:rsidR="00E565C0" w:rsidRPr="00CC2F49">
          <w:rPr>
            <w:rStyle w:val="Hyperlink"/>
            <w:noProof/>
          </w:rPr>
          <w:t>4</w:t>
        </w:r>
        <w:r w:rsidR="00E565C0">
          <w:rPr>
            <w:rFonts w:asciiTheme="minorHAnsi" w:eastAsiaTheme="minorEastAsia" w:hAnsiTheme="minorHAnsi" w:cstheme="minorBidi"/>
            <w:noProof/>
            <w:sz w:val="22"/>
            <w:szCs w:val="22"/>
            <w:lang w:val="sl-SI" w:eastAsia="sl-SI"/>
          </w:rPr>
          <w:tab/>
        </w:r>
        <w:r w:rsidR="00E565C0" w:rsidRPr="00CC2F49">
          <w:rPr>
            <w:rStyle w:val="Hyperlink"/>
            <w:noProof/>
          </w:rPr>
          <w:t>PREMOŽENJSKA BILANCA DRŽAVE</w:t>
        </w:r>
        <w:r w:rsidR="00E565C0">
          <w:rPr>
            <w:noProof/>
            <w:webHidden/>
          </w:rPr>
          <w:tab/>
        </w:r>
        <w:r w:rsidR="00E565C0">
          <w:rPr>
            <w:noProof/>
            <w:webHidden/>
          </w:rPr>
          <w:fldChar w:fldCharType="begin"/>
        </w:r>
        <w:r w:rsidR="00E565C0">
          <w:rPr>
            <w:noProof/>
            <w:webHidden/>
          </w:rPr>
          <w:instrText xml:space="preserve"> PAGEREF _Toc49771310 \h </w:instrText>
        </w:r>
        <w:r w:rsidR="00E565C0">
          <w:rPr>
            <w:noProof/>
            <w:webHidden/>
          </w:rPr>
        </w:r>
        <w:r w:rsidR="00E565C0">
          <w:rPr>
            <w:noProof/>
            <w:webHidden/>
          </w:rPr>
          <w:fldChar w:fldCharType="separate"/>
        </w:r>
        <w:r w:rsidR="00E565C0">
          <w:rPr>
            <w:noProof/>
            <w:webHidden/>
          </w:rPr>
          <w:t>23</w:t>
        </w:r>
        <w:r w:rsidR="00E565C0">
          <w:rPr>
            <w:noProof/>
            <w:webHidden/>
          </w:rPr>
          <w:fldChar w:fldCharType="end"/>
        </w:r>
      </w:hyperlink>
    </w:p>
    <w:p w:rsidR="00E565C0" w:rsidRDefault="008E6E2A">
      <w:pPr>
        <w:pStyle w:val="TOC2"/>
        <w:tabs>
          <w:tab w:val="left" w:pos="880"/>
          <w:tab w:val="right" w:leader="dot" w:pos="9060"/>
        </w:tabs>
        <w:rPr>
          <w:rFonts w:asciiTheme="minorHAnsi" w:eastAsiaTheme="minorEastAsia" w:hAnsiTheme="minorHAnsi" w:cstheme="minorBidi"/>
          <w:noProof/>
          <w:sz w:val="22"/>
          <w:szCs w:val="22"/>
          <w:lang w:val="sl-SI" w:eastAsia="sl-SI"/>
        </w:rPr>
      </w:pPr>
      <w:hyperlink w:anchor="_Toc49771311" w:history="1">
        <w:r w:rsidR="00E565C0" w:rsidRPr="00CC2F49">
          <w:rPr>
            <w:rStyle w:val="Hyperlink"/>
            <w:noProof/>
          </w:rPr>
          <w:t>4.1</w:t>
        </w:r>
        <w:r w:rsidR="00E565C0">
          <w:rPr>
            <w:rFonts w:asciiTheme="minorHAnsi" w:eastAsiaTheme="minorEastAsia" w:hAnsiTheme="minorHAnsi" w:cstheme="minorBidi"/>
            <w:noProof/>
            <w:sz w:val="22"/>
            <w:szCs w:val="22"/>
            <w:lang w:val="sl-SI" w:eastAsia="sl-SI"/>
          </w:rPr>
          <w:tab/>
        </w:r>
        <w:r w:rsidR="00E565C0" w:rsidRPr="00CC2F49">
          <w:rPr>
            <w:rStyle w:val="Hyperlink"/>
            <w:noProof/>
          </w:rPr>
          <w:t>Obseg konsolidacije</w:t>
        </w:r>
        <w:r w:rsidR="00E565C0">
          <w:rPr>
            <w:noProof/>
            <w:webHidden/>
          </w:rPr>
          <w:tab/>
        </w:r>
        <w:r w:rsidR="00E565C0">
          <w:rPr>
            <w:noProof/>
            <w:webHidden/>
          </w:rPr>
          <w:fldChar w:fldCharType="begin"/>
        </w:r>
        <w:r w:rsidR="00E565C0">
          <w:rPr>
            <w:noProof/>
            <w:webHidden/>
          </w:rPr>
          <w:instrText xml:space="preserve"> PAGEREF _Toc49771311 \h </w:instrText>
        </w:r>
        <w:r w:rsidR="00E565C0">
          <w:rPr>
            <w:noProof/>
            <w:webHidden/>
          </w:rPr>
        </w:r>
        <w:r w:rsidR="00E565C0">
          <w:rPr>
            <w:noProof/>
            <w:webHidden/>
          </w:rPr>
          <w:fldChar w:fldCharType="separate"/>
        </w:r>
        <w:r w:rsidR="00E565C0">
          <w:rPr>
            <w:noProof/>
            <w:webHidden/>
          </w:rPr>
          <w:t>23</w:t>
        </w:r>
        <w:r w:rsidR="00E565C0">
          <w:rPr>
            <w:noProof/>
            <w:webHidden/>
          </w:rPr>
          <w:fldChar w:fldCharType="end"/>
        </w:r>
      </w:hyperlink>
    </w:p>
    <w:p w:rsidR="00E565C0" w:rsidRDefault="008E6E2A">
      <w:pPr>
        <w:pStyle w:val="TOC2"/>
        <w:tabs>
          <w:tab w:val="left" w:pos="880"/>
          <w:tab w:val="right" w:leader="dot" w:pos="9060"/>
        </w:tabs>
        <w:rPr>
          <w:rFonts w:asciiTheme="minorHAnsi" w:eastAsiaTheme="minorEastAsia" w:hAnsiTheme="minorHAnsi" w:cstheme="minorBidi"/>
          <w:noProof/>
          <w:sz w:val="22"/>
          <w:szCs w:val="22"/>
          <w:lang w:val="sl-SI" w:eastAsia="sl-SI"/>
        </w:rPr>
      </w:pPr>
      <w:hyperlink w:anchor="_Toc49771312" w:history="1">
        <w:r w:rsidR="00E565C0" w:rsidRPr="00CC2F49">
          <w:rPr>
            <w:rStyle w:val="Hyperlink"/>
            <w:noProof/>
          </w:rPr>
          <w:t>4.2</w:t>
        </w:r>
        <w:r w:rsidR="00E565C0">
          <w:rPr>
            <w:rFonts w:asciiTheme="minorHAnsi" w:eastAsiaTheme="minorEastAsia" w:hAnsiTheme="minorHAnsi" w:cstheme="minorBidi"/>
            <w:noProof/>
            <w:sz w:val="22"/>
            <w:szCs w:val="22"/>
            <w:lang w:val="sl-SI" w:eastAsia="sl-SI"/>
          </w:rPr>
          <w:tab/>
        </w:r>
        <w:r w:rsidR="00E565C0" w:rsidRPr="00CC2F49">
          <w:rPr>
            <w:rStyle w:val="Hyperlink"/>
            <w:noProof/>
          </w:rPr>
          <w:t>Rezultat konsolidacije</w:t>
        </w:r>
        <w:r w:rsidR="00E565C0">
          <w:rPr>
            <w:noProof/>
            <w:webHidden/>
          </w:rPr>
          <w:tab/>
        </w:r>
        <w:r w:rsidR="00E565C0">
          <w:rPr>
            <w:noProof/>
            <w:webHidden/>
          </w:rPr>
          <w:fldChar w:fldCharType="begin"/>
        </w:r>
        <w:r w:rsidR="00E565C0">
          <w:rPr>
            <w:noProof/>
            <w:webHidden/>
          </w:rPr>
          <w:instrText xml:space="preserve"> PAGEREF _Toc49771312 \h </w:instrText>
        </w:r>
        <w:r w:rsidR="00E565C0">
          <w:rPr>
            <w:noProof/>
            <w:webHidden/>
          </w:rPr>
        </w:r>
        <w:r w:rsidR="00E565C0">
          <w:rPr>
            <w:noProof/>
            <w:webHidden/>
          </w:rPr>
          <w:fldChar w:fldCharType="separate"/>
        </w:r>
        <w:r w:rsidR="00E565C0">
          <w:rPr>
            <w:noProof/>
            <w:webHidden/>
          </w:rPr>
          <w:t>23</w:t>
        </w:r>
        <w:r w:rsidR="00E565C0">
          <w:rPr>
            <w:noProof/>
            <w:webHidden/>
          </w:rPr>
          <w:fldChar w:fldCharType="end"/>
        </w:r>
      </w:hyperlink>
    </w:p>
    <w:p w:rsidR="00E565C0" w:rsidRDefault="008E6E2A">
      <w:pPr>
        <w:pStyle w:val="TOC2"/>
        <w:tabs>
          <w:tab w:val="left" w:pos="880"/>
          <w:tab w:val="right" w:leader="dot" w:pos="9060"/>
        </w:tabs>
        <w:rPr>
          <w:rFonts w:asciiTheme="minorHAnsi" w:eastAsiaTheme="minorEastAsia" w:hAnsiTheme="minorHAnsi" w:cstheme="minorBidi"/>
          <w:noProof/>
          <w:sz w:val="22"/>
          <w:szCs w:val="22"/>
          <w:lang w:val="sl-SI" w:eastAsia="sl-SI"/>
        </w:rPr>
      </w:pPr>
      <w:hyperlink w:anchor="_Toc49771313" w:history="1">
        <w:r w:rsidR="00E565C0" w:rsidRPr="00CC2F49">
          <w:rPr>
            <w:rStyle w:val="Hyperlink"/>
            <w:noProof/>
          </w:rPr>
          <w:t>4.3</w:t>
        </w:r>
        <w:r w:rsidR="00E565C0">
          <w:rPr>
            <w:rFonts w:asciiTheme="minorHAnsi" w:eastAsiaTheme="minorEastAsia" w:hAnsiTheme="minorHAnsi" w:cstheme="minorBidi"/>
            <w:noProof/>
            <w:sz w:val="22"/>
            <w:szCs w:val="22"/>
            <w:lang w:val="sl-SI" w:eastAsia="sl-SI"/>
          </w:rPr>
          <w:tab/>
        </w:r>
        <w:r w:rsidR="00E565C0" w:rsidRPr="00CC2F49">
          <w:rPr>
            <w:rStyle w:val="Hyperlink"/>
            <w:noProof/>
          </w:rPr>
          <w:t>Analiza premoženja NPU državnega proračuna</w:t>
        </w:r>
        <w:r w:rsidR="00E565C0">
          <w:rPr>
            <w:noProof/>
            <w:webHidden/>
          </w:rPr>
          <w:tab/>
        </w:r>
        <w:r w:rsidR="00E565C0">
          <w:rPr>
            <w:noProof/>
            <w:webHidden/>
          </w:rPr>
          <w:fldChar w:fldCharType="begin"/>
        </w:r>
        <w:r w:rsidR="00E565C0">
          <w:rPr>
            <w:noProof/>
            <w:webHidden/>
          </w:rPr>
          <w:instrText xml:space="preserve"> PAGEREF _Toc49771313 \h </w:instrText>
        </w:r>
        <w:r w:rsidR="00E565C0">
          <w:rPr>
            <w:noProof/>
            <w:webHidden/>
          </w:rPr>
        </w:r>
        <w:r w:rsidR="00E565C0">
          <w:rPr>
            <w:noProof/>
            <w:webHidden/>
          </w:rPr>
          <w:fldChar w:fldCharType="separate"/>
        </w:r>
        <w:r w:rsidR="00E565C0">
          <w:rPr>
            <w:noProof/>
            <w:webHidden/>
          </w:rPr>
          <w:t>27</w:t>
        </w:r>
        <w:r w:rsidR="00E565C0">
          <w:rPr>
            <w:noProof/>
            <w:webHidden/>
          </w:rPr>
          <w:fldChar w:fldCharType="end"/>
        </w:r>
      </w:hyperlink>
    </w:p>
    <w:p w:rsidR="00E565C0" w:rsidRDefault="008E6E2A">
      <w:pPr>
        <w:pStyle w:val="TOC2"/>
        <w:tabs>
          <w:tab w:val="left" w:pos="880"/>
          <w:tab w:val="right" w:leader="dot" w:pos="9060"/>
        </w:tabs>
        <w:rPr>
          <w:rFonts w:asciiTheme="minorHAnsi" w:eastAsiaTheme="minorEastAsia" w:hAnsiTheme="minorHAnsi" w:cstheme="minorBidi"/>
          <w:noProof/>
          <w:sz w:val="22"/>
          <w:szCs w:val="22"/>
          <w:lang w:val="sl-SI" w:eastAsia="sl-SI"/>
        </w:rPr>
      </w:pPr>
      <w:hyperlink w:anchor="_Toc49771314" w:history="1">
        <w:r w:rsidR="00E565C0" w:rsidRPr="00CC2F49">
          <w:rPr>
            <w:rStyle w:val="Hyperlink"/>
            <w:noProof/>
          </w:rPr>
          <w:t>4.4</w:t>
        </w:r>
        <w:r w:rsidR="00E565C0">
          <w:rPr>
            <w:rFonts w:asciiTheme="minorHAnsi" w:eastAsiaTheme="minorEastAsia" w:hAnsiTheme="minorHAnsi" w:cstheme="minorBidi"/>
            <w:noProof/>
            <w:sz w:val="22"/>
            <w:szCs w:val="22"/>
            <w:lang w:val="sl-SI" w:eastAsia="sl-SI"/>
          </w:rPr>
          <w:tab/>
        </w:r>
        <w:r w:rsidR="00E565C0" w:rsidRPr="00CC2F49">
          <w:rPr>
            <w:rStyle w:val="Hyperlink"/>
            <w:noProof/>
          </w:rPr>
          <w:t>Analiza premoženja PPU državnega proračuna</w:t>
        </w:r>
        <w:r w:rsidR="00E565C0">
          <w:rPr>
            <w:noProof/>
            <w:webHidden/>
          </w:rPr>
          <w:tab/>
        </w:r>
        <w:r w:rsidR="00E565C0">
          <w:rPr>
            <w:noProof/>
            <w:webHidden/>
          </w:rPr>
          <w:fldChar w:fldCharType="begin"/>
        </w:r>
        <w:r w:rsidR="00E565C0">
          <w:rPr>
            <w:noProof/>
            <w:webHidden/>
          </w:rPr>
          <w:instrText xml:space="preserve"> PAGEREF _Toc49771314 \h </w:instrText>
        </w:r>
        <w:r w:rsidR="00E565C0">
          <w:rPr>
            <w:noProof/>
            <w:webHidden/>
          </w:rPr>
        </w:r>
        <w:r w:rsidR="00E565C0">
          <w:rPr>
            <w:noProof/>
            <w:webHidden/>
          </w:rPr>
          <w:fldChar w:fldCharType="separate"/>
        </w:r>
        <w:r w:rsidR="00E565C0">
          <w:rPr>
            <w:noProof/>
            <w:webHidden/>
          </w:rPr>
          <w:t>32</w:t>
        </w:r>
        <w:r w:rsidR="00E565C0">
          <w:rPr>
            <w:noProof/>
            <w:webHidden/>
          </w:rPr>
          <w:fldChar w:fldCharType="end"/>
        </w:r>
      </w:hyperlink>
    </w:p>
    <w:p w:rsidR="00E565C0" w:rsidRDefault="008E6E2A">
      <w:pPr>
        <w:pStyle w:val="TOC1"/>
        <w:tabs>
          <w:tab w:val="left" w:pos="440"/>
          <w:tab w:val="right" w:leader="dot" w:pos="9060"/>
        </w:tabs>
        <w:rPr>
          <w:rFonts w:asciiTheme="minorHAnsi" w:eastAsiaTheme="minorEastAsia" w:hAnsiTheme="minorHAnsi" w:cstheme="minorBidi"/>
          <w:noProof/>
          <w:sz w:val="22"/>
          <w:szCs w:val="22"/>
          <w:lang w:val="sl-SI" w:eastAsia="sl-SI"/>
        </w:rPr>
      </w:pPr>
      <w:hyperlink w:anchor="_Toc49771315" w:history="1">
        <w:r w:rsidR="00E565C0" w:rsidRPr="00CC2F49">
          <w:rPr>
            <w:rStyle w:val="Hyperlink"/>
            <w:noProof/>
          </w:rPr>
          <w:t>5</w:t>
        </w:r>
        <w:r w:rsidR="00E565C0">
          <w:rPr>
            <w:rFonts w:asciiTheme="minorHAnsi" w:eastAsiaTheme="minorEastAsia" w:hAnsiTheme="minorHAnsi" w:cstheme="minorBidi"/>
            <w:noProof/>
            <w:sz w:val="22"/>
            <w:szCs w:val="22"/>
            <w:lang w:val="sl-SI" w:eastAsia="sl-SI"/>
          </w:rPr>
          <w:tab/>
        </w:r>
        <w:r w:rsidR="00E565C0" w:rsidRPr="00CC2F49">
          <w:rPr>
            <w:rStyle w:val="Hyperlink"/>
            <w:noProof/>
          </w:rPr>
          <w:t>PREMOŽENJSKE BILANCE OBČIN</w:t>
        </w:r>
        <w:r w:rsidR="00E565C0">
          <w:rPr>
            <w:noProof/>
            <w:webHidden/>
          </w:rPr>
          <w:tab/>
        </w:r>
        <w:r w:rsidR="00E565C0">
          <w:rPr>
            <w:noProof/>
            <w:webHidden/>
          </w:rPr>
          <w:fldChar w:fldCharType="begin"/>
        </w:r>
        <w:r w:rsidR="00E565C0">
          <w:rPr>
            <w:noProof/>
            <w:webHidden/>
          </w:rPr>
          <w:instrText xml:space="preserve"> PAGEREF _Toc49771315 \h </w:instrText>
        </w:r>
        <w:r w:rsidR="00E565C0">
          <w:rPr>
            <w:noProof/>
            <w:webHidden/>
          </w:rPr>
        </w:r>
        <w:r w:rsidR="00E565C0">
          <w:rPr>
            <w:noProof/>
            <w:webHidden/>
          </w:rPr>
          <w:fldChar w:fldCharType="separate"/>
        </w:r>
        <w:r w:rsidR="00E565C0">
          <w:rPr>
            <w:noProof/>
            <w:webHidden/>
          </w:rPr>
          <w:t>38</w:t>
        </w:r>
        <w:r w:rsidR="00E565C0">
          <w:rPr>
            <w:noProof/>
            <w:webHidden/>
          </w:rPr>
          <w:fldChar w:fldCharType="end"/>
        </w:r>
      </w:hyperlink>
    </w:p>
    <w:p w:rsidR="00E565C0" w:rsidRDefault="008E6E2A">
      <w:pPr>
        <w:pStyle w:val="TOC2"/>
        <w:tabs>
          <w:tab w:val="left" w:pos="880"/>
          <w:tab w:val="right" w:leader="dot" w:pos="9060"/>
        </w:tabs>
        <w:rPr>
          <w:rFonts w:asciiTheme="minorHAnsi" w:eastAsiaTheme="minorEastAsia" w:hAnsiTheme="minorHAnsi" w:cstheme="minorBidi"/>
          <w:noProof/>
          <w:sz w:val="22"/>
          <w:szCs w:val="22"/>
          <w:lang w:val="sl-SI" w:eastAsia="sl-SI"/>
        </w:rPr>
      </w:pPr>
      <w:hyperlink w:anchor="_Toc49771316" w:history="1">
        <w:r w:rsidR="00E565C0" w:rsidRPr="00CC2F49">
          <w:rPr>
            <w:rStyle w:val="Hyperlink"/>
            <w:noProof/>
          </w:rPr>
          <w:t>5.1</w:t>
        </w:r>
        <w:r w:rsidR="00E565C0">
          <w:rPr>
            <w:rFonts w:asciiTheme="minorHAnsi" w:eastAsiaTheme="minorEastAsia" w:hAnsiTheme="minorHAnsi" w:cstheme="minorBidi"/>
            <w:noProof/>
            <w:sz w:val="22"/>
            <w:szCs w:val="22"/>
            <w:lang w:val="sl-SI" w:eastAsia="sl-SI"/>
          </w:rPr>
          <w:tab/>
        </w:r>
        <w:r w:rsidR="00E565C0" w:rsidRPr="00CC2F49">
          <w:rPr>
            <w:rStyle w:val="Hyperlink"/>
            <w:noProof/>
          </w:rPr>
          <w:t>Obseg konsolidacije</w:t>
        </w:r>
        <w:r w:rsidR="00E565C0">
          <w:rPr>
            <w:noProof/>
            <w:webHidden/>
          </w:rPr>
          <w:tab/>
        </w:r>
        <w:r w:rsidR="00E565C0">
          <w:rPr>
            <w:noProof/>
            <w:webHidden/>
          </w:rPr>
          <w:fldChar w:fldCharType="begin"/>
        </w:r>
        <w:r w:rsidR="00E565C0">
          <w:rPr>
            <w:noProof/>
            <w:webHidden/>
          </w:rPr>
          <w:instrText xml:space="preserve"> PAGEREF _Toc49771316 \h </w:instrText>
        </w:r>
        <w:r w:rsidR="00E565C0">
          <w:rPr>
            <w:noProof/>
            <w:webHidden/>
          </w:rPr>
        </w:r>
        <w:r w:rsidR="00E565C0">
          <w:rPr>
            <w:noProof/>
            <w:webHidden/>
          </w:rPr>
          <w:fldChar w:fldCharType="separate"/>
        </w:r>
        <w:r w:rsidR="00E565C0">
          <w:rPr>
            <w:noProof/>
            <w:webHidden/>
          </w:rPr>
          <w:t>38</w:t>
        </w:r>
        <w:r w:rsidR="00E565C0">
          <w:rPr>
            <w:noProof/>
            <w:webHidden/>
          </w:rPr>
          <w:fldChar w:fldCharType="end"/>
        </w:r>
      </w:hyperlink>
    </w:p>
    <w:p w:rsidR="00E565C0" w:rsidRDefault="008E6E2A">
      <w:pPr>
        <w:pStyle w:val="TOC2"/>
        <w:tabs>
          <w:tab w:val="left" w:pos="880"/>
          <w:tab w:val="right" w:leader="dot" w:pos="9060"/>
        </w:tabs>
        <w:rPr>
          <w:rFonts w:asciiTheme="minorHAnsi" w:eastAsiaTheme="minorEastAsia" w:hAnsiTheme="minorHAnsi" w:cstheme="minorBidi"/>
          <w:noProof/>
          <w:sz w:val="22"/>
          <w:szCs w:val="22"/>
          <w:lang w:val="sl-SI" w:eastAsia="sl-SI"/>
        </w:rPr>
      </w:pPr>
      <w:hyperlink w:anchor="_Toc49771317" w:history="1">
        <w:r w:rsidR="00E565C0" w:rsidRPr="00CC2F49">
          <w:rPr>
            <w:rStyle w:val="Hyperlink"/>
            <w:noProof/>
          </w:rPr>
          <w:t>5.2</w:t>
        </w:r>
        <w:r w:rsidR="00E565C0">
          <w:rPr>
            <w:rFonts w:asciiTheme="minorHAnsi" w:eastAsiaTheme="minorEastAsia" w:hAnsiTheme="minorHAnsi" w:cstheme="minorBidi"/>
            <w:noProof/>
            <w:sz w:val="22"/>
            <w:szCs w:val="22"/>
            <w:lang w:val="sl-SI" w:eastAsia="sl-SI"/>
          </w:rPr>
          <w:tab/>
        </w:r>
        <w:r w:rsidR="00E565C0" w:rsidRPr="00CC2F49">
          <w:rPr>
            <w:rStyle w:val="Hyperlink"/>
            <w:noProof/>
          </w:rPr>
          <w:t>Rezultat konsolidacije</w:t>
        </w:r>
        <w:r w:rsidR="00E565C0">
          <w:rPr>
            <w:noProof/>
            <w:webHidden/>
          </w:rPr>
          <w:tab/>
        </w:r>
        <w:r w:rsidR="00E565C0">
          <w:rPr>
            <w:noProof/>
            <w:webHidden/>
          </w:rPr>
          <w:fldChar w:fldCharType="begin"/>
        </w:r>
        <w:r w:rsidR="00E565C0">
          <w:rPr>
            <w:noProof/>
            <w:webHidden/>
          </w:rPr>
          <w:instrText xml:space="preserve"> PAGEREF _Toc49771317 \h </w:instrText>
        </w:r>
        <w:r w:rsidR="00E565C0">
          <w:rPr>
            <w:noProof/>
            <w:webHidden/>
          </w:rPr>
        </w:r>
        <w:r w:rsidR="00E565C0">
          <w:rPr>
            <w:noProof/>
            <w:webHidden/>
          </w:rPr>
          <w:fldChar w:fldCharType="separate"/>
        </w:r>
        <w:r w:rsidR="00E565C0">
          <w:rPr>
            <w:noProof/>
            <w:webHidden/>
          </w:rPr>
          <w:t>38</w:t>
        </w:r>
        <w:r w:rsidR="00E565C0">
          <w:rPr>
            <w:noProof/>
            <w:webHidden/>
          </w:rPr>
          <w:fldChar w:fldCharType="end"/>
        </w:r>
      </w:hyperlink>
    </w:p>
    <w:p w:rsidR="00E565C0" w:rsidRDefault="008E6E2A">
      <w:pPr>
        <w:pStyle w:val="TOC2"/>
        <w:tabs>
          <w:tab w:val="left" w:pos="880"/>
          <w:tab w:val="right" w:leader="dot" w:pos="9060"/>
        </w:tabs>
        <w:rPr>
          <w:rFonts w:asciiTheme="minorHAnsi" w:eastAsiaTheme="minorEastAsia" w:hAnsiTheme="minorHAnsi" w:cstheme="minorBidi"/>
          <w:noProof/>
          <w:sz w:val="22"/>
          <w:szCs w:val="22"/>
          <w:lang w:val="sl-SI" w:eastAsia="sl-SI"/>
        </w:rPr>
      </w:pPr>
      <w:hyperlink w:anchor="_Toc49771318" w:history="1">
        <w:r w:rsidR="00E565C0" w:rsidRPr="00CC2F49">
          <w:rPr>
            <w:rStyle w:val="Hyperlink"/>
            <w:noProof/>
          </w:rPr>
          <w:t>5.3</w:t>
        </w:r>
        <w:r w:rsidR="00E565C0">
          <w:rPr>
            <w:rFonts w:asciiTheme="minorHAnsi" w:eastAsiaTheme="minorEastAsia" w:hAnsiTheme="minorHAnsi" w:cstheme="minorBidi"/>
            <w:noProof/>
            <w:sz w:val="22"/>
            <w:szCs w:val="22"/>
            <w:lang w:val="sl-SI" w:eastAsia="sl-SI"/>
          </w:rPr>
          <w:tab/>
        </w:r>
        <w:r w:rsidR="00E565C0" w:rsidRPr="00CC2F49">
          <w:rPr>
            <w:rStyle w:val="Hyperlink"/>
            <w:noProof/>
          </w:rPr>
          <w:t>Analiza premoženja NPU občinskih proračunov</w:t>
        </w:r>
        <w:r w:rsidR="00E565C0">
          <w:rPr>
            <w:noProof/>
            <w:webHidden/>
          </w:rPr>
          <w:tab/>
        </w:r>
        <w:r w:rsidR="00E565C0">
          <w:rPr>
            <w:noProof/>
            <w:webHidden/>
          </w:rPr>
          <w:fldChar w:fldCharType="begin"/>
        </w:r>
        <w:r w:rsidR="00E565C0">
          <w:rPr>
            <w:noProof/>
            <w:webHidden/>
          </w:rPr>
          <w:instrText xml:space="preserve"> PAGEREF _Toc49771318 \h </w:instrText>
        </w:r>
        <w:r w:rsidR="00E565C0">
          <w:rPr>
            <w:noProof/>
            <w:webHidden/>
          </w:rPr>
        </w:r>
        <w:r w:rsidR="00E565C0">
          <w:rPr>
            <w:noProof/>
            <w:webHidden/>
          </w:rPr>
          <w:fldChar w:fldCharType="separate"/>
        </w:r>
        <w:r w:rsidR="00E565C0">
          <w:rPr>
            <w:noProof/>
            <w:webHidden/>
          </w:rPr>
          <w:t>42</w:t>
        </w:r>
        <w:r w:rsidR="00E565C0">
          <w:rPr>
            <w:noProof/>
            <w:webHidden/>
          </w:rPr>
          <w:fldChar w:fldCharType="end"/>
        </w:r>
      </w:hyperlink>
    </w:p>
    <w:p w:rsidR="00E565C0" w:rsidRDefault="008E6E2A">
      <w:pPr>
        <w:pStyle w:val="TOC2"/>
        <w:tabs>
          <w:tab w:val="left" w:pos="880"/>
          <w:tab w:val="right" w:leader="dot" w:pos="9060"/>
        </w:tabs>
        <w:rPr>
          <w:rFonts w:asciiTheme="minorHAnsi" w:eastAsiaTheme="minorEastAsia" w:hAnsiTheme="minorHAnsi" w:cstheme="minorBidi"/>
          <w:noProof/>
          <w:sz w:val="22"/>
          <w:szCs w:val="22"/>
          <w:lang w:val="sl-SI" w:eastAsia="sl-SI"/>
        </w:rPr>
      </w:pPr>
      <w:hyperlink w:anchor="_Toc49771319" w:history="1">
        <w:r w:rsidR="00E565C0" w:rsidRPr="00CC2F49">
          <w:rPr>
            <w:rStyle w:val="Hyperlink"/>
            <w:noProof/>
          </w:rPr>
          <w:t>5.4</w:t>
        </w:r>
        <w:r w:rsidR="00E565C0">
          <w:rPr>
            <w:rFonts w:asciiTheme="minorHAnsi" w:eastAsiaTheme="minorEastAsia" w:hAnsiTheme="minorHAnsi" w:cstheme="minorBidi"/>
            <w:noProof/>
            <w:sz w:val="22"/>
            <w:szCs w:val="22"/>
            <w:lang w:val="sl-SI" w:eastAsia="sl-SI"/>
          </w:rPr>
          <w:tab/>
        </w:r>
        <w:r w:rsidR="00E565C0" w:rsidRPr="00CC2F49">
          <w:rPr>
            <w:rStyle w:val="Hyperlink"/>
            <w:noProof/>
          </w:rPr>
          <w:t>Analiza premoženja PPU občinskih proračunov</w:t>
        </w:r>
        <w:r w:rsidR="00E565C0">
          <w:rPr>
            <w:noProof/>
            <w:webHidden/>
          </w:rPr>
          <w:tab/>
        </w:r>
        <w:r w:rsidR="00E565C0">
          <w:rPr>
            <w:noProof/>
            <w:webHidden/>
          </w:rPr>
          <w:fldChar w:fldCharType="begin"/>
        </w:r>
        <w:r w:rsidR="00E565C0">
          <w:rPr>
            <w:noProof/>
            <w:webHidden/>
          </w:rPr>
          <w:instrText xml:space="preserve"> PAGEREF _Toc49771319 \h </w:instrText>
        </w:r>
        <w:r w:rsidR="00E565C0">
          <w:rPr>
            <w:noProof/>
            <w:webHidden/>
          </w:rPr>
        </w:r>
        <w:r w:rsidR="00E565C0">
          <w:rPr>
            <w:noProof/>
            <w:webHidden/>
          </w:rPr>
          <w:fldChar w:fldCharType="separate"/>
        </w:r>
        <w:r w:rsidR="00E565C0">
          <w:rPr>
            <w:noProof/>
            <w:webHidden/>
          </w:rPr>
          <w:t>47</w:t>
        </w:r>
        <w:r w:rsidR="00E565C0">
          <w:rPr>
            <w:noProof/>
            <w:webHidden/>
          </w:rPr>
          <w:fldChar w:fldCharType="end"/>
        </w:r>
      </w:hyperlink>
    </w:p>
    <w:p w:rsidR="009C08C6" w:rsidRDefault="009C08C6">
      <w:r>
        <w:rPr>
          <w:b/>
          <w:bCs/>
        </w:rPr>
        <w:fldChar w:fldCharType="end"/>
      </w:r>
    </w:p>
    <w:p w:rsidR="009C08C6" w:rsidRPr="00FF2497" w:rsidRDefault="00FF2497" w:rsidP="00E4103D">
      <w:pPr>
        <w:spacing w:line="240" w:lineRule="auto"/>
        <w:rPr>
          <w:rFonts w:cs="Arial"/>
          <w:b/>
          <w:iCs/>
          <w:sz w:val="24"/>
          <w:lang w:val="sl-SI" w:eastAsia="sl-SI"/>
        </w:rPr>
      </w:pPr>
      <w:r w:rsidRPr="00FF2497">
        <w:rPr>
          <w:rFonts w:cs="Arial"/>
          <w:b/>
          <w:iCs/>
          <w:sz w:val="24"/>
          <w:lang w:val="sl-SI" w:eastAsia="sl-SI"/>
        </w:rPr>
        <w:t>Seznam tabel:</w:t>
      </w:r>
    </w:p>
    <w:p w:rsidR="00E565C0" w:rsidRPr="00E565C0" w:rsidRDefault="00E4103D">
      <w:pPr>
        <w:pStyle w:val="TableofFigures"/>
        <w:tabs>
          <w:tab w:val="right" w:leader="dot" w:pos="9060"/>
        </w:tabs>
        <w:rPr>
          <w:rFonts w:asciiTheme="minorHAnsi" w:eastAsiaTheme="minorEastAsia" w:hAnsiTheme="minorHAnsi" w:cstheme="minorBidi"/>
          <w:noProof/>
          <w:sz w:val="22"/>
          <w:szCs w:val="22"/>
          <w:lang w:val="sl-SI" w:eastAsia="sl-SI"/>
        </w:rPr>
      </w:pPr>
      <w:r>
        <w:rPr>
          <w:rFonts w:cs="Arial"/>
          <w:b/>
          <w:iCs/>
          <w:sz w:val="28"/>
          <w:szCs w:val="28"/>
          <w:lang w:val="sl-SI" w:eastAsia="sl-SI"/>
        </w:rPr>
        <w:fldChar w:fldCharType="begin"/>
      </w:r>
      <w:r>
        <w:rPr>
          <w:rFonts w:cs="Arial"/>
          <w:b/>
          <w:iCs/>
          <w:sz w:val="28"/>
          <w:szCs w:val="28"/>
          <w:lang w:val="sl-SI" w:eastAsia="sl-SI"/>
        </w:rPr>
        <w:instrText xml:space="preserve"> TOC \h \z \c "Tabela" </w:instrText>
      </w:r>
      <w:r>
        <w:rPr>
          <w:rFonts w:cs="Arial"/>
          <w:b/>
          <w:iCs/>
          <w:sz w:val="28"/>
          <w:szCs w:val="28"/>
          <w:lang w:val="sl-SI" w:eastAsia="sl-SI"/>
        </w:rPr>
        <w:fldChar w:fldCharType="separate"/>
      </w:r>
      <w:hyperlink w:anchor="_Toc49771320" w:history="1">
        <w:r w:rsidR="00E565C0" w:rsidRPr="00E565C0">
          <w:rPr>
            <w:rStyle w:val="Hyperlink"/>
            <w:noProof/>
          </w:rPr>
          <w:t>Tabela 1: Razčlenitev poročanja po tipih proračunskih uporabnikov in po tipih obrazcev</w:t>
        </w:r>
        <w:r w:rsidR="00E565C0" w:rsidRPr="00E565C0">
          <w:rPr>
            <w:noProof/>
            <w:webHidden/>
          </w:rPr>
          <w:tab/>
        </w:r>
        <w:r w:rsidR="00E565C0" w:rsidRPr="00E565C0">
          <w:rPr>
            <w:noProof/>
            <w:webHidden/>
          </w:rPr>
          <w:fldChar w:fldCharType="begin"/>
        </w:r>
        <w:r w:rsidR="00E565C0" w:rsidRPr="00E565C0">
          <w:rPr>
            <w:noProof/>
            <w:webHidden/>
          </w:rPr>
          <w:instrText xml:space="preserve"> PAGEREF _Toc49771320 \h </w:instrText>
        </w:r>
        <w:r w:rsidR="00E565C0" w:rsidRPr="00E565C0">
          <w:rPr>
            <w:noProof/>
            <w:webHidden/>
          </w:rPr>
        </w:r>
        <w:r w:rsidR="00E565C0" w:rsidRPr="00E565C0">
          <w:rPr>
            <w:noProof/>
            <w:webHidden/>
          </w:rPr>
          <w:fldChar w:fldCharType="separate"/>
        </w:r>
        <w:r w:rsidR="00E565C0" w:rsidRPr="00E565C0">
          <w:rPr>
            <w:noProof/>
            <w:webHidden/>
          </w:rPr>
          <w:t>7</w:t>
        </w:r>
        <w:r w:rsidR="00E565C0" w:rsidRPr="00E565C0">
          <w:rPr>
            <w:noProof/>
            <w:webHidden/>
          </w:rPr>
          <w:fldChar w:fldCharType="end"/>
        </w:r>
      </w:hyperlink>
    </w:p>
    <w:p w:rsidR="00E565C0" w:rsidRPr="00E565C0" w:rsidRDefault="008E6E2A">
      <w:pPr>
        <w:pStyle w:val="TableofFigures"/>
        <w:tabs>
          <w:tab w:val="right" w:leader="dot" w:pos="9060"/>
        </w:tabs>
        <w:rPr>
          <w:rFonts w:asciiTheme="minorHAnsi" w:eastAsiaTheme="minorEastAsia" w:hAnsiTheme="minorHAnsi" w:cstheme="minorBidi"/>
          <w:noProof/>
          <w:sz w:val="22"/>
          <w:szCs w:val="22"/>
          <w:lang w:val="sl-SI" w:eastAsia="sl-SI"/>
        </w:rPr>
      </w:pPr>
      <w:hyperlink w:anchor="_Toc49771321" w:history="1">
        <w:r w:rsidR="00E565C0" w:rsidRPr="00E565C0">
          <w:rPr>
            <w:rStyle w:val="Hyperlink"/>
            <w:noProof/>
          </w:rPr>
          <w:t>Tabela 2: Stanje premoženja države in občin na dan 31.12.2018 in na dan 31.12.2017 skupaj s spremembo</w:t>
        </w:r>
        <w:r w:rsidR="00E565C0" w:rsidRPr="00E565C0">
          <w:rPr>
            <w:noProof/>
            <w:webHidden/>
          </w:rPr>
          <w:tab/>
        </w:r>
        <w:r w:rsidR="00E565C0" w:rsidRPr="00E565C0">
          <w:rPr>
            <w:noProof/>
            <w:webHidden/>
          </w:rPr>
          <w:fldChar w:fldCharType="begin"/>
        </w:r>
        <w:r w:rsidR="00E565C0" w:rsidRPr="00E565C0">
          <w:rPr>
            <w:noProof/>
            <w:webHidden/>
          </w:rPr>
          <w:instrText xml:space="preserve"> PAGEREF _Toc49771321 \h </w:instrText>
        </w:r>
        <w:r w:rsidR="00E565C0" w:rsidRPr="00E565C0">
          <w:rPr>
            <w:noProof/>
            <w:webHidden/>
          </w:rPr>
        </w:r>
        <w:r w:rsidR="00E565C0" w:rsidRPr="00E565C0">
          <w:rPr>
            <w:noProof/>
            <w:webHidden/>
          </w:rPr>
          <w:fldChar w:fldCharType="separate"/>
        </w:r>
        <w:r w:rsidR="00E565C0" w:rsidRPr="00E565C0">
          <w:rPr>
            <w:noProof/>
            <w:webHidden/>
          </w:rPr>
          <w:t>8</w:t>
        </w:r>
        <w:r w:rsidR="00E565C0" w:rsidRPr="00E565C0">
          <w:rPr>
            <w:noProof/>
            <w:webHidden/>
          </w:rPr>
          <w:fldChar w:fldCharType="end"/>
        </w:r>
      </w:hyperlink>
    </w:p>
    <w:p w:rsidR="00E565C0" w:rsidRPr="00E565C0" w:rsidRDefault="008E6E2A">
      <w:pPr>
        <w:pStyle w:val="TableofFigures"/>
        <w:tabs>
          <w:tab w:val="right" w:leader="dot" w:pos="9060"/>
        </w:tabs>
        <w:rPr>
          <w:rFonts w:asciiTheme="minorHAnsi" w:eastAsiaTheme="minorEastAsia" w:hAnsiTheme="minorHAnsi" w:cstheme="minorBidi"/>
          <w:noProof/>
          <w:sz w:val="22"/>
          <w:szCs w:val="22"/>
          <w:lang w:val="sl-SI" w:eastAsia="sl-SI"/>
        </w:rPr>
      </w:pPr>
      <w:hyperlink w:anchor="_Toc49771322" w:history="1">
        <w:r w:rsidR="00E565C0" w:rsidRPr="00E565C0">
          <w:rPr>
            <w:rStyle w:val="Hyperlink"/>
            <w:noProof/>
          </w:rPr>
          <w:t>Tabela 3: Porazdelitev premoženja države in občin med državo in občine na dan 31.12.2018</w:t>
        </w:r>
        <w:r w:rsidR="00E565C0" w:rsidRPr="00E565C0">
          <w:rPr>
            <w:noProof/>
            <w:webHidden/>
          </w:rPr>
          <w:tab/>
        </w:r>
        <w:r w:rsidR="00E565C0" w:rsidRPr="00E565C0">
          <w:rPr>
            <w:noProof/>
            <w:webHidden/>
          </w:rPr>
          <w:fldChar w:fldCharType="begin"/>
        </w:r>
        <w:r w:rsidR="00E565C0" w:rsidRPr="00E565C0">
          <w:rPr>
            <w:noProof/>
            <w:webHidden/>
          </w:rPr>
          <w:instrText xml:space="preserve"> PAGEREF _Toc49771322 \h </w:instrText>
        </w:r>
        <w:r w:rsidR="00E565C0" w:rsidRPr="00E565C0">
          <w:rPr>
            <w:noProof/>
            <w:webHidden/>
          </w:rPr>
        </w:r>
        <w:r w:rsidR="00E565C0" w:rsidRPr="00E565C0">
          <w:rPr>
            <w:noProof/>
            <w:webHidden/>
          </w:rPr>
          <w:fldChar w:fldCharType="separate"/>
        </w:r>
        <w:r w:rsidR="00E565C0" w:rsidRPr="00E565C0">
          <w:rPr>
            <w:noProof/>
            <w:webHidden/>
          </w:rPr>
          <w:t>10</w:t>
        </w:r>
        <w:r w:rsidR="00E565C0" w:rsidRPr="00E565C0">
          <w:rPr>
            <w:noProof/>
            <w:webHidden/>
          </w:rPr>
          <w:fldChar w:fldCharType="end"/>
        </w:r>
      </w:hyperlink>
    </w:p>
    <w:p w:rsidR="00E565C0" w:rsidRPr="00E565C0" w:rsidRDefault="008E6E2A">
      <w:pPr>
        <w:pStyle w:val="TableofFigures"/>
        <w:tabs>
          <w:tab w:val="right" w:leader="dot" w:pos="9060"/>
        </w:tabs>
        <w:rPr>
          <w:rFonts w:asciiTheme="minorHAnsi" w:eastAsiaTheme="minorEastAsia" w:hAnsiTheme="minorHAnsi" w:cstheme="minorBidi"/>
          <w:noProof/>
          <w:sz w:val="22"/>
          <w:szCs w:val="22"/>
          <w:lang w:val="sl-SI" w:eastAsia="sl-SI"/>
        </w:rPr>
      </w:pPr>
      <w:hyperlink w:anchor="_Toc49771323" w:history="1">
        <w:r w:rsidR="00E565C0" w:rsidRPr="00E565C0">
          <w:rPr>
            <w:rStyle w:val="Hyperlink"/>
            <w:noProof/>
          </w:rPr>
          <w:t>Tabela 4: Struktura porazdelitve premoženja države in občin na dan 31.12.2018 po PU (za 3 največje)</w:t>
        </w:r>
        <w:r w:rsidR="00E565C0" w:rsidRPr="00E565C0">
          <w:rPr>
            <w:noProof/>
            <w:webHidden/>
          </w:rPr>
          <w:tab/>
        </w:r>
        <w:r w:rsidR="00E565C0" w:rsidRPr="00E565C0">
          <w:rPr>
            <w:noProof/>
            <w:webHidden/>
          </w:rPr>
          <w:fldChar w:fldCharType="begin"/>
        </w:r>
        <w:r w:rsidR="00E565C0" w:rsidRPr="00E565C0">
          <w:rPr>
            <w:noProof/>
            <w:webHidden/>
          </w:rPr>
          <w:instrText xml:space="preserve"> PAGEREF _Toc49771323 \h </w:instrText>
        </w:r>
        <w:r w:rsidR="00E565C0" w:rsidRPr="00E565C0">
          <w:rPr>
            <w:noProof/>
            <w:webHidden/>
          </w:rPr>
        </w:r>
        <w:r w:rsidR="00E565C0" w:rsidRPr="00E565C0">
          <w:rPr>
            <w:noProof/>
            <w:webHidden/>
          </w:rPr>
          <w:fldChar w:fldCharType="separate"/>
        </w:r>
        <w:r w:rsidR="00E565C0" w:rsidRPr="00E565C0">
          <w:rPr>
            <w:noProof/>
            <w:webHidden/>
          </w:rPr>
          <w:t>12</w:t>
        </w:r>
        <w:r w:rsidR="00E565C0" w:rsidRPr="00E565C0">
          <w:rPr>
            <w:noProof/>
            <w:webHidden/>
          </w:rPr>
          <w:fldChar w:fldCharType="end"/>
        </w:r>
      </w:hyperlink>
    </w:p>
    <w:p w:rsidR="00E565C0" w:rsidRPr="00E565C0" w:rsidRDefault="008E6E2A">
      <w:pPr>
        <w:pStyle w:val="TableofFigures"/>
        <w:tabs>
          <w:tab w:val="right" w:leader="dot" w:pos="9060"/>
        </w:tabs>
        <w:rPr>
          <w:rFonts w:asciiTheme="minorHAnsi" w:eastAsiaTheme="minorEastAsia" w:hAnsiTheme="minorHAnsi" w:cstheme="minorBidi"/>
          <w:noProof/>
          <w:sz w:val="22"/>
          <w:szCs w:val="22"/>
          <w:lang w:val="sl-SI" w:eastAsia="sl-SI"/>
        </w:rPr>
      </w:pPr>
      <w:hyperlink w:anchor="_Toc49771324" w:history="1">
        <w:r w:rsidR="00E565C0" w:rsidRPr="00E565C0">
          <w:rPr>
            <w:rStyle w:val="Hyperlink"/>
            <w:noProof/>
          </w:rPr>
          <w:t>Tabela 5: Struktura porazdelitve sprememb stanja premoženja države in občin po PU (za 5 največjih) na dan 31.12.2018 glede na dan 31.12.2017</w:t>
        </w:r>
        <w:r w:rsidR="00E565C0" w:rsidRPr="00E565C0">
          <w:rPr>
            <w:noProof/>
            <w:webHidden/>
          </w:rPr>
          <w:tab/>
        </w:r>
        <w:r w:rsidR="00E565C0" w:rsidRPr="00E565C0">
          <w:rPr>
            <w:noProof/>
            <w:webHidden/>
          </w:rPr>
          <w:fldChar w:fldCharType="begin"/>
        </w:r>
        <w:r w:rsidR="00E565C0" w:rsidRPr="00E565C0">
          <w:rPr>
            <w:noProof/>
            <w:webHidden/>
          </w:rPr>
          <w:instrText xml:space="preserve"> PAGEREF _Toc49771324 \h </w:instrText>
        </w:r>
        <w:r w:rsidR="00E565C0" w:rsidRPr="00E565C0">
          <w:rPr>
            <w:noProof/>
            <w:webHidden/>
          </w:rPr>
        </w:r>
        <w:r w:rsidR="00E565C0" w:rsidRPr="00E565C0">
          <w:rPr>
            <w:noProof/>
            <w:webHidden/>
          </w:rPr>
          <w:fldChar w:fldCharType="separate"/>
        </w:r>
        <w:r w:rsidR="00E565C0" w:rsidRPr="00E565C0">
          <w:rPr>
            <w:noProof/>
            <w:webHidden/>
          </w:rPr>
          <w:t>15</w:t>
        </w:r>
        <w:r w:rsidR="00E565C0" w:rsidRPr="00E565C0">
          <w:rPr>
            <w:noProof/>
            <w:webHidden/>
          </w:rPr>
          <w:fldChar w:fldCharType="end"/>
        </w:r>
      </w:hyperlink>
    </w:p>
    <w:p w:rsidR="00E565C0" w:rsidRPr="00E565C0" w:rsidRDefault="008E6E2A">
      <w:pPr>
        <w:pStyle w:val="TableofFigures"/>
        <w:tabs>
          <w:tab w:val="right" w:leader="dot" w:pos="9060"/>
        </w:tabs>
        <w:rPr>
          <w:rFonts w:asciiTheme="minorHAnsi" w:eastAsiaTheme="minorEastAsia" w:hAnsiTheme="minorHAnsi" w:cstheme="minorBidi"/>
          <w:noProof/>
          <w:sz w:val="22"/>
          <w:szCs w:val="22"/>
          <w:lang w:val="sl-SI" w:eastAsia="sl-SI"/>
        </w:rPr>
      </w:pPr>
      <w:hyperlink w:anchor="_Toc49771325" w:history="1">
        <w:r w:rsidR="00E565C0" w:rsidRPr="00E565C0">
          <w:rPr>
            <w:rStyle w:val="Hyperlink"/>
            <w:noProof/>
          </w:rPr>
          <w:t>Tabela 6: Stanje posameznih postavk konsolidirane premoženjske bilance države in občin na zadnji dan leta v obdobju 2012-2018</w:t>
        </w:r>
        <w:r w:rsidR="00E565C0" w:rsidRPr="00E565C0">
          <w:rPr>
            <w:noProof/>
            <w:webHidden/>
          </w:rPr>
          <w:tab/>
        </w:r>
        <w:r w:rsidR="00E565C0" w:rsidRPr="00E565C0">
          <w:rPr>
            <w:noProof/>
            <w:webHidden/>
          </w:rPr>
          <w:fldChar w:fldCharType="begin"/>
        </w:r>
        <w:r w:rsidR="00E565C0" w:rsidRPr="00E565C0">
          <w:rPr>
            <w:noProof/>
            <w:webHidden/>
          </w:rPr>
          <w:instrText xml:space="preserve"> PAGEREF _Toc49771325 \h </w:instrText>
        </w:r>
        <w:r w:rsidR="00E565C0" w:rsidRPr="00E565C0">
          <w:rPr>
            <w:noProof/>
            <w:webHidden/>
          </w:rPr>
        </w:r>
        <w:r w:rsidR="00E565C0" w:rsidRPr="00E565C0">
          <w:rPr>
            <w:noProof/>
            <w:webHidden/>
          </w:rPr>
          <w:fldChar w:fldCharType="separate"/>
        </w:r>
        <w:r w:rsidR="00E565C0" w:rsidRPr="00E565C0">
          <w:rPr>
            <w:noProof/>
            <w:webHidden/>
          </w:rPr>
          <w:t>20</w:t>
        </w:r>
        <w:r w:rsidR="00E565C0" w:rsidRPr="00E565C0">
          <w:rPr>
            <w:noProof/>
            <w:webHidden/>
          </w:rPr>
          <w:fldChar w:fldCharType="end"/>
        </w:r>
      </w:hyperlink>
    </w:p>
    <w:p w:rsidR="00E565C0" w:rsidRPr="00E565C0" w:rsidRDefault="008E6E2A">
      <w:pPr>
        <w:pStyle w:val="TableofFigures"/>
        <w:tabs>
          <w:tab w:val="right" w:leader="dot" w:pos="9060"/>
        </w:tabs>
        <w:rPr>
          <w:rFonts w:asciiTheme="minorHAnsi" w:eastAsiaTheme="minorEastAsia" w:hAnsiTheme="minorHAnsi" w:cstheme="minorBidi"/>
          <w:noProof/>
          <w:sz w:val="22"/>
          <w:szCs w:val="22"/>
          <w:lang w:val="sl-SI" w:eastAsia="sl-SI"/>
        </w:rPr>
      </w:pPr>
      <w:hyperlink w:anchor="_Toc49771326" w:history="1">
        <w:r w:rsidR="00E565C0" w:rsidRPr="00E565C0">
          <w:rPr>
            <w:rStyle w:val="Hyperlink"/>
            <w:noProof/>
          </w:rPr>
          <w:t>Tabela 7: Delež (v %) sedanje vrednosti nepremičnin, dolgoročnega dolga in dolgoročnih finančnih naložb v bruto domačem  proizvodu v obdobju 2012-2018 (podatki o bruto domačem proizvodu za izračun so pridobljeni na Statističnem uradu RS, www.surs.si)</w:t>
        </w:r>
        <w:r w:rsidR="00E565C0" w:rsidRPr="00E565C0">
          <w:rPr>
            <w:noProof/>
            <w:webHidden/>
          </w:rPr>
          <w:tab/>
        </w:r>
        <w:r w:rsidR="00E565C0" w:rsidRPr="00E565C0">
          <w:rPr>
            <w:noProof/>
            <w:webHidden/>
          </w:rPr>
          <w:fldChar w:fldCharType="begin"/>
        </w:r>
        <w:r w:rsidR="00E565C0" w:rsidRPr="00E565C0">
          <w:rPr>
            <w:noProof/>
            <w:webHidden/>
          </w:rPr>
          <w:instrText xml:space="preserve"> PAGEREF _Toc49771326 \h </w:instrText>
        </w:r>
        <w:r w:rsidR="00E565C0" w:rsidRPr="00E565C0">
          <w:rPr>
            <w:noProof/>
            <w:webHidden/>
          </w:rPr>
        </w:r>
        <w:r w:rsidR="00E565C0" w:rsidRPr="00E565C0">
          <w:rPr>
            <w:noProof/>
            <w:webHidden/>
          </w:rPr>
          <w:fldChar w:fldCharType="separate"/>
        </w:r>
        <w:r w:rsidR="00E565C0" w:rsidRPr="00E565C0">
          <w:rPr>
            <w:noProof/>
            <w:webHidden/>
          </w:rPr>
          <w:t>21</w:t>
        </w:r>
        <w:r w:rsidR="00E565C0" w:rsidRPr="00E565C0">
          <w:rPr>
            <w:noProof/>
            <w:webHidden/>
          </w:rPr>
          <w:fldChar w:fldCharType="end"/>
        </w:r>
      </w:hyperlink>
    </w:p>
    <w:p w:rsidR="00E565C0" w:rsidRDefault="008E6E2A">
      <w:pPr>
        <w:pStyle w:val="TableofFigures"/>
        <w:tabs>
          <w:tab w:val="right" w:leader="dot" w:pos="9060"/>
        </w:tabs>
        <w:rPr>
          <w:rFonts w:asciiTheme="minorHAnsi" w:eastAsiaTheme="minorEastAsia" w:hAnsiTheme="minorHAnsi" w:cstheme="minorBidi"/>
          <w:noProof/>
          <w:sz w:val="22"/>
          <w:szCs w:val="22"/>
          <w:lang w:val="sl-SI" w:eastAsia="sl-SI"/>
        </w:rPr>
      </w:pPr>
      <w:hyperlink w:anchor="_Toc49771327" w:history="1">
        <w:r w:rsidR="00E565C0" w:rsidRPr="00E565C0">
          <w:rPr>
            <w:rStyle w:val="Hyperlink"/>
            <w:bCs/>
            <w:noProof/>
          </w:rPr>
          <w:t xml:space="preserve">Tabela 8: </w:t>
        </w:r>
        <w:r w:rsidR="00E565C0" w:rsidRPr="00E565C0">
          <w:rPr>
            <w:rStyle w:val="Hyperlink"/>
            <w:noProof/>
          </w:rPr>
          <w:t>Sedanja vrednost nepremičnin, dolgoročni dolg in dolgoročne finančne naložbe na prebivalca na zadnji dan leta (v €) v obdobju 2012-2018 (podatki o številu prebivalcev za izračun so pridobljeni na Statističnem uradu RS, www.surs.si)</w:t>
        </w:r>
        <w:r w:rsidR="00E565C0" w:rsidRPr="00E565C0">
          <w:rPr>
            <w:noProof/>
            <w:webHidden/>
          </w:rPr>
          <w:tab/>
        </w:r>
        <w:r w:rsidR="00E565C0" w:rsidRPr="00E565C0">
          <w:rPr>
            <w:noProof/>
            <w:webHidden/>
          </w:rPr>
          <w:fldChar w:fldCharType="begin"/>
        </w:r>
        <w:r w:rsidR="00E565C0" w:rsidRPr="00E565C0">
          <w:rPr>
            <w:noProof/>
            <w:webHidden/>
          </w:rPr>
          <w:instrText xml:space="preserve"> PAGEREF _Toc49771327 \h </w:instrText>
        </w:r>
        <w:r w:rsidR="00E565C0" w:rsidRPr="00E565C0">
          <w:rPr>
            <w:noProof/>
            <w:webHidden/>
          </w:rPr>
        </w:r>
        <w:r w:rsidR="00E565C0" w:rsidRPr="00E565C0">
          <w:rPr>
            <w:noProof/>
            <w:webHidden/>
          </w:rPr>
          <w:fldChar w:fldCharType="separate"/>
        </w:r>
        <w:r w:rsidR="00E565C0" w:rsidRPr="00E565C0">
          <w:rPr>
            <w:noProof/>
            <w:webHidden/>
          </w:rPr>
          <w:t>22</w:t>
        </w:r>
        <w:r w:rsidR="00E565C0" w:rsidRPr="00E565C0">
          <w:rPr>
            <w:noProof/>
            <w:webHidden/>
          </w:rPr>
          <w:fldChar w:fldCharType="end"/>
        </w:r>
      </w:hyperlink>
    </w:p>
    <w:p w:rsidR="00E565C0" w:rsidRDefault="008E6E2A">
      <w:pPr>
        <w:pStyle w:val="TableofFigures"/>
        <w:tabs>
          <w:tab w:val="right" w:leader="dot" w:pos="9060"/>
        </w:tabs>
        <w:rPr>
          <w:rFonts w:asciiTheme="minorHAnsi" w:eastAsiaTheme="minorEastAsia" w:hAnsiTheme="minorHAnsi" w:cstheme="minorBidi"/>
          <w:noProof/>
          <w:sz w:val="22"/>
          <w:szCs w:val="22"/>
          <w:lang w:val="sl-SI" w:eastAsia="sl-SI"/>
        </w:rPr>
      </w:pPr>
      <w:hyperlink w:anchor="_Toc49771328" w:history="1">
        <w:r w:rsidR="00E565C0" w:rsidRPr="00DE0C7C">
          <w:rPr>
            <w:rStyle w:val="Hyperlink"/>
            <w:noProof/>
          </w:rPr>
          <w:t>Tabela 6: Stanje premoženja države na dan 31.12.2018 in na dan 31.12.2017 skupaj s spremembo</w:t>
        </w:r>
        <w:r w:rsidR="00E565C0">
          <w:rPr>
            <w:noProof/>
            <w:webHidden/>
          </w:rPr>
          <w:tab/>
        </w:r>
        <w:r w:rsidR="00E565C0">
          <w:rPr>
            <w:noProof/>
            <w:webHidden/>
          </w:rPr>
          <w:fldChar w:fldCharType="begin"/>
        </w:r>
        <w:r w:rsidR="00E565C0">
          <w:rPr>
            <w:noProof/>
            <w:webHidden/>
          </w:rPr>
          <w:instrText xml:space="preserve"> PAGEREF _Toc49771328 \h </w:instrText>
        </w:r>
        <w:r w:rsidR="00E565C0">
          <w:rPr>
            <w:noProof/>
            <w:webHidden/>
          </w:rPr>
        </w:r>
        <w:r w:rsidR="00E565C0">
          <w:rPr>
            <w:noProof/>
            <w:webHidden/>
          </w:rPr>
          <w:fldChar w:fldCharType="separate"/>
        </w:r>
        <w:r w:rsidR="00E565C0">
          <w:rPr>
            <w:noProof/>
            <w:webHidden/>
          </w:rPr>
          <w:t>23</w:t>
        </w:r>
        <w:r w:rsidR="00E565C0">
          <w:rPr>
            <w:noProof/>
            <w:webHidden/>
          </w:rPr>
          <w:fldChar w:fldCharType="end"/>
        </w:r>
      </w:hyperlink>
    </w:p>
    <w:p w:rsidR="00E565C0" w:rsidRDefault="008E6E2A">
      <w:pPr>
        <w:pStyle w:val="TableofFigures"/>
        <w:tabs>
          <w:tab w:val="right" w:leader="dot" w:pos="9060"/>
        </w:tabs>
        <w:rPr>
          <w:rFonts w:asciiTheme="minorHAnsi" w:eastAsiaTheme="minorEastAsia" w:hAnsiTheme="minorHAnsi" w:cstheme="minorBidi"/>
          <w:noProof/>
          <w:sz w:val="22"/>
          <w:szCs w:val="22"/>
          <w:lang w:val="sl-SI" w:eastAsia="sl-SI"/>
        </w:rPr>
      </w:pPr>
      <w:hyperlink w:anchor="_Toc49771329" w:history="1">
        <w:r w:rsidR="00E565C0" w:rsidRPr="00DE0C7C">
          <w:rPr>
            <w:rStyle w:val="Hyperlink"/>
            <w:noProof/>
          </w:rPr>
          <w:t>Tabela 7: Porazdelitev premoženja države med NPU in PPU državnega proračuna na dan 31.12.2018</w:t>
        </w:r>
        <w:r w:rsidR="00E565C0">
          <w:rPr>
            <w:noProof/>
            <w:webHidden/>
          </w:rPr>
          <w:tab/>
        </w:r>
        <w:r w:rsidR="00E565C0">
          <w:rPr>
            <w:noProof/>
            <w:webHidden/>
          </w:rPr>
          <w:fldChar w:fldCharType="begin"/>
        </w:r>
        <w:r w:rsidR="00E565C0">
          <w:rPr>
            <w:noProof/>
            <w:webHidden/>
          </w:rPr>
          <w:instrText xml:space="preserve"> PAGEREF _Toc49771329 \h </w:instrText>
        </w:r>
        <w:r w:rsidR="00E565C0">
          <w:rPr>
            <w:noProof/>
            <w:webHidden/>
          </w:rPr>
        </w:r>
        <w:r w:rsidR="00E565C0">
          <w:rPr>
            <w:noProof/>
            <w:webHidden/>
          </w:rPr>
          <w:fldChar w:fldCharType="separate"/>
        </w:r>
        <w:r w:rsidR="00E565C0">
          <w:rPr>
            <w:noProof/>
            <w:webHidden/>
          </w:rPr>
          <w:t>25</w:t>
        </w:r>
        <w:r w:rsidR="00E565C0">
          <w:rPr>
            <w:noProof/>
            <w:webHidden/>
          </w:rPr>
          <w:fldChar w:fldCharType="end"/>
        </w:r>
      </w:hyperlink>
    </w:p>
    <w:p w:rsidR="00E565C0" w:rsidRDefault="008E6E2A">
      <w:pPr>
        <w:pStyle w:val="TableofFigures"/>
        <w:tabs>
          <w:tab w:val="right" w:leader="dot" w:pos="9060"/>
        </w:tabs>
        <w:rPr>
          <w:rFonts w:asciiTheme="minorHAnsi" w:eastAsiaTheme="minorEastAsia" w:hAnsiTheme="minorHAnsi" w:cstheme="minorBidi"/>
          <w:noProof/>
          <w:sz w:val="22"/>
          <w:szCs w:val="22"/>
          <w:lang w:val="sl-SI" w:eastAsia="sl-SI"/>
        </w:rPr>
      </w:pPr>
      <w:hyperlink w:anchor="_Toc49771330" w:history="1">
        <w:r w:rsidR="00E565C0" w:rsidRPr="00DE0C7C">
          <w:rPr>
            <w:rStyle w:val="Hyperlink"/>
            <w:noProof/>
          </w:rPr>
          <w:t>Tabela 8: Seštevki premoženja NPU državnega proračuna na dan 31.12.2018 in na dan 31.12.2017</w:t>
        </w:r>
        <w:r w:rsidR="00E565C0">
          <w:rPr>
            <w:noProof/>
            <w:webHidden/>
          </w:rPr>
          <w:tab/>
        </w:r>
        <w:r w:rsidR="00E565C0">
          <w:rPr>
            <w:noProof/>
            <w:webHidden/>
          </w:rPr>
          <w:fldChar w:fldCharType="begin"/>
        </w:r>
        <w:r w:rsidR="00E565C0">
          <w:rPr>
            <w:noProof/>
            <w:webHidden/>
          </w:rPr>
          <w:instrText xml:space="preserve"> PAGEREF _Toc49771330 \h </w:instrText>
        </w:r>
        <w:r w:rsidR="00E565C0">
          <w:rPr>
            <w:noProof/>
            <w:webHidden/>
          </w:rPr>
        </w:r>
        <w:r w:rsidR="00E565C0">
          <w:rPr>
            <w:noProof/>
            <w:webHidden/>
          </w:rPr>
          <w:fldChar w:fldCharType="separate"/>
        </w:r>
        <w:r w:rsidR="00E565C0">
          <w:rPr>
            <w:noProof/>
            <w:webHidden/>
          </w:rPr>
          <w:t>27</w:t>
        </w:r>
        <w:r w:rsidR="00E565C0">
          <w:rPr>
            <w:noProof/>
            <w:webHidden/>
          </w:rPr>
          <w:fldChar w:fldCharType="end"/>
        </w:r>
      </w:hyperlink>
    </w:p>
    <w:p w:rsidR="00E565C0" w:rsidRDefault="008E6E2A">
      <w:pPr>
        <w:pStyle w:val="TableofFigures"/>
        <w:tabs>
          <w:tab w:val="right" w:leader="dot" w:pos="9060"/>
        </w:tabs>
        <w:rPr>
          <w:rFonts w:asciiTheme="minorHAnsi" w:eastAsiaTheme="minorEastAsia" w:hAnsiTheme="minorHAnsi" w:cstheme="minorBidi"/>
          <w:noProof/>
          <w:sz w:val="22"/>
          <w:szCs w:val="22"/>
          <w:lang w:val="sl-SI" w:eastAsia="sl-SI"/>
        </w:rPr>
      </w:pPr>
      <w:hyperlink w:anchor="_Toc49771331" w:history="1">
        <w:r w:rsidR="00E565C0" w:rsidRPr="00DE0C7C">
          <w:rPr>
            <w:rStyle w:val="Hyperlink"/>
            <w:noProof/>
          </w:rPr>
          <w:t>Tabela 9: Število NPU državnega proračuna glede na vrednost bilančne vsote na dan 31.12.2018</w:t>
        </w:r>
        <w:r w:rsidR="00E565C0">
          <w:rPr>
            <w:noProof/>
            <w:webHidden/>
          </w:rPr>
          <w:tab/>
        </w:r>
        <w:r w:rsidR="00E565C0">
          <w:rPr>
            <w:noProof/>
            <w:webHidden/>
          </w:rPr>
          <w:fldChar w:fldCharType="begin"/>
        </w:r>
        <w:r w:rsidR="00E565C0">
          <w:rPr>
            <w:noProof/>
            <w:webHidden/>
          </w:rPr>
          <w:instrText xml:space="preserve"> PAGEREF _Toc49771331 \h </w:instrText>
        </w:r>
        <w:r w:rsidR="00E565C0">
          <w:rPr>
            <w:noProof/>
            <w:webHidden/>
          </w:rPr>
        </w:r>
        <w:r w:rsidR="00E565C0">
          <w:rPr>
            <w:noProof/>
            <w:webHidden/>
          </w:rPr>
          <w:fldChar w:fldCharType="separate"/>
        </w:r>
        <w:r w:rsidR="00E565C0">
          <w:rPr>
            <w:noProof/>
            <w:webHidden/>
          </w:rPr>
          <w:t>28</w:t>
        </w:r>
        <w:r w:rsidR="00E565C0">
          <w:rPr>
            <w:noProof/>
            <w:webHidden/>
          </w:rPr>
          <w:fldChar w:fldCharType="end"/>
        </w:r>
      </w:hyperlink>
    </w:p>
    <w:p w:rsidR="00E565C0" w:rsidRDefault="008E6E2A">
      <w:pPr>
        <w:pStyle w:val="TableofFigures"/>
        <w:tabs>
          <w:tab w:val="right" w:leader="dot" w:pos="9060"/>
        </w:tabs>
        <w:rPr>
          <w:rFonts w:asciiTheme="minorHAnsi" w:eastAsiaTheme="minorEastAsia" w:hAnsiTheme="minorHAnsi" w:cstheme="minorBidi"/>
          <w:noProof/>
          <w:sz w:val="22"/>
          <w:szCs w:val="22"/>
          <w:lang w:val="sl-SI" w:eastAsia="sl-SI"/>
        </w:rPr>
      </w:pPr>
      <w:hyperlink w:anchor="_Toc49771332" w:history="1">
        <w:r w:rsidR="00E565C0" w:rsidRPr="00DE0C7C">
          <w:rPr>
            <w:rStyle w:val="Hyperlink"/>
            <w:noProof/>
          </w:rPr>
          <w:t>Tabela 10: Struktura porazdelitve premoženja NPU državnega proračuna po PU na dan 31.12.2018</w:t>
        </w:r>
        <w:r w:rsidR="00E565C0">
          <w:rPr>
            <w:noProof/>
            <w:webHidden/>
          </w:rPr>
          <w:tab/>
        </w:r>
        <w:r w:rsidR="00E565C0">
          <w:rPr>
            <w:noProof/>
            <w:webHidden/>
          </w:rPr>
          <w:fldChar w:fldCharType="begin"/>
        </w:r>
        <w:r w:rsidR="00E565C0">
          <w:rPr>
            <w:noProof/>
            <w:webHidden/>
          </w:rPr>
          <w:instrText xml:space="preserve"> PAGEREF _Toc49771332 \h </w:instrText>
        </w:r>
        <w:r w:rsidR="00E565C0">
          <w:rPr>
            <w:noProof/>
            <w:webHidden/>
          </w:rPr>
        </w:r>
        <w:r w:rsidR="00E565C0">
          <w:rPr>
            <w:noProof/>
            <w:webHidden/>
          </w:rPr>
          <w:fldChar w:fldCharType="separate"/>
        </w:r>
        <w:r w:rsidR="00E565C0">
          <w:rPr>
            <w:noProof/>
            <w:webHidden/>
          </w:rPr>
          <w:t>29</w:t>
        </w:r>
        <w:r w:rsidR="00E565C0">
          <w:rPr>
            <w:noProof/>
            <w:webHidden/>
          </w:rPr>
          <w:fldChar w:fldCharType="end"/>
        </w:r>
      </w:hyperlink>
    </w:p>
    <w:p w:rsidR="00E565C0" w:rsidRDefault="008E6E2A">
      <w:pPr>
        <w:pStyle w:val="TableofFigures"/>
        <w:tabs>
          <w:tab w:val="right" w:leader="dot" w:pos="9060"/>
        </w:tabs>
        <w:rPr>
          <w:rFonts w:asciiTheme="minorHAnsi" w:eastAsiaTheme="minorEastAsia" w:hAnsiTheme="minorHAnsi" w:cstheme="minorBidi"/>
          <w:noProof/>
          <w:sz w:val="22"/>
          <w:szCs w:val="22"/>
          <w:lang w:val="sl-SI" w:eastAsia="sl-SI"/>
        </w:rPr>
      </w:pPr>
      <w:hyperlink w:anchor="_Toc49771333" w:history="1">
        <w:r w:rsidR="00E565C0" w:rsidRPr="00DE0C7C">
          <w:rPr>
            <w:rStyle w:val="Hyperlink"/>
            <w:noProof/>
          </w:rPr>
          <w:t>Tabela 11: Seštevki premoženja PPU državnega proračuna na dan 31.12.2018 in na dan 31.12.2017</w:t>
        </w:r>
        <w:r w:rsidR="00E565C0">
          <w:rPr>
            <w:noProof/>
            <w:webHidden/>
          </w:rPr>
          <w:tab/>
        </w:r>
        <w:r w:rsidR="00E565C0">
          <w:rPr>
            <w:noProof/>
            <w:webHidden/>
          </w:rPr>
          <w:fldChar w:fldCharType="begin"/>
        </w:r>
        <w:r w:rsidR="00E565C0">
          <w:rPr>
            <w:noProof/>
            <w:webHidden/>
          </w:rPr>
          <w:instrText xml:space="preserve"> PAGEREF _Toc49771333 \h </w:instrText>
        </w:r>
        <w:r w:rsidR="00E565C0">
          <w:rPr>
            <w:noProof/>
            <w:webHidden/>
          </w:rPr>
        </w:r>
        <w:r w:rsidR="00E565C0">
          <w:rPr>
            <w:noProof/>
            <w:webHidden/>
          </w:rPr>
          <w:fldChar w:fldCharType="separate"/>
        </w:r>
        <w:r w:rsidR="00E565C0">
          <w:rPr>
            <w:noProof/>
            <w:webHidden/>
          </w:rPr>
          <w:t>32</w:t>
        </w:r>
        <w:r w:rsidR="00E565C0">
          <w:rPr>
            <w:noProof/>
            <w:webHidden/>
          </w:rPr>
          <w:fldChar w:fldCharType="end"/>
        </w:r>
      </w:hyperlink>
    </w:p>
    <w:p w:rsidR="00E565C0" w:rsidRDefault="008E6E2A">
      <w:pPr>
        <w:pStyle w:val="TableofFigures"/>
        <w:tabs>
          <w:tab w:val="right" w:leader="dot" w:pos="9060"/>
        </w:tabs>
        <w:rPr>
          <w:rFonts w:asciiTheme="minorHAnsi" w:eastAsiaTheme="minorEastAsia" w:hAnsiTheme="minorHAnsi" w:cstheme="minorBidi"/>
          <w:noProof/>
          <w:sz w:val="22"/>
          <w:szCs w:val="22"/>
          <w:lang w:val="sl-SI" w:eastAsia="sl-SI"/>
        </w:rPr>
      </w:pPr>
      <w:hyperlink w:anchor="_Toc49771334" w:history="1">
        <w:r w:rsidR="00E565C0" w:rsidRPr="00DE0C7C">
          <w:rPr>
            <w:rStyle w:val="Hyperlink"/>
            <w:noProof/>
          </w:rPr>
          <w:t>Tabela 12: Število PPU državnega proračuna glede na vrednost bilančne vsote na dan 31.12.2018</w:t>
        </w:r>
        <w:r w:rsidR="00E565C0">
          <w:rPr>
            <w:noProof/>
            <w:webHidden/>
          </w:rPr>
          <w:tab/>
        </w:r>
        <w:r w:rsidR="00E565C0">
          <w:rPr>
            <w:noProof/>
            <w:webHidden/>
          </w:rPr>
          <w:fldChar w:fldCharType="begin"/>
        </w:r>
        <w:r w:rsidR="00E565C0">
          <w:rPr>
            <w:noProof/>
            <w:webHidden/>
          </w:rPr>
          <w:instrText xml:space="preserve"> PAGEREF _Toc49771334 \h </w:instrText>
        </w:r>
        <w:r w:rsidR="00E565C0">
          <w:rPr>
            <w:noProof/>
            <w:webHidden/>
          </w:rPr>
        </w:r>
        <w:r w:rsidR="00E565C0">
          <w:rPr>
            <w:noProof/>
            <w:webHidden/>
          </w:rPr>
          <w:fldChar w:fldCharType="separate"/>
        </w:r>
        <w:r w:rsidR="00E565C0">
          <w:rPr>
            <w:noProof/>
            <w:webHidden/>
          </w:rPr>
          <w:t>33</w:t>
        </w:r>
        <w:r w:rsidR="00E565C0">
          <w:rPr>
            <w:noProof/>
            <w:webHidden/>
          </w:rPr>
          <w:fldChar w:fldCharType="end"/>
        </w:r>
      </w:hyperlink>
    </w:p>
    <w:p w:rsidR="00E565C0" w:rsidRDefault="008E6E2A">
      <w:pPr>
        <w:pStyle w:val="TableofFigures"/>
        <w:tabs>
          <w:tab w:val="right" w:leader="dot" w:pos="9060"/>
        </w:tabs>
        <w:rPr>
          <w:rFonts w:asciiTheme="minorHAnsi" w:eastAsiaTheme="minorEastAsia" w:hAnsiTheme="minorHAnsi" w:cstheme="minorBidi"/>
          <w:noProof/>
          <w:sz w:val="22"/>
          <w:szCs w:val="22"/>
          <w:lang w:val="sl-SI" w:eastAsia="sl-SI"/>
        </w:rPr>
      </w:pPr>
      <w:hyperlink w:anchor="_Toc49771335" w:history="1">
        <w:r w:rsidR="00E565C0" w:rsidRPr="00DE0C7C">
          <w:rPr>
            <w:rStyle w:val="Hyperlink"/>
            <w:noProof/>
          </w:rPr>
          <w:t>Tabela 13: Prikaz dolgoročnih in kratkoročnih finančnih naložb ter dolgoročnih in kratkoročnih finančnih obveznosti po izbranih skupinah SKD za PPU državnega proračuna na dan 31.12.2018</w:t>
        </w:r>
        <w:r w:rsidR="00E565C0">
          <w:rPr>
            <w:noProof/>
            <w:webHidden/>
          </w:rPr>
          <w:tab/>
        </w:r>
        <w:r w:rsidR="00E565C0">
          <w:rPr>
            <w:noProof/>
            <w:webHidden/>
          </w:rPr>
          <w:fldChar w:fldCharType="begin"/>
        </w:r>
        <w:r w:rsidR="00E565C0">
          <w:rPr>
            <w:noProof/>
            <w:webHidden/>
          </w:rPr>
          <w:instrText xml:space="preserve"> PAGEREF _Toc49771335 \h </w:instrText>
        </w:r>
        <w:r w:rsidR="00E565C0">
          <w:rPr>
            <w:noProof/>
            <w:webHidden/>
          </w:rPr>
        </w:r>
        <w:r w:rsidR="00E565C0">
          <w:rPr>
            <w:noProof/>
            <w:webHidden/>
          </w:rPr>
          <w:fldChar w:fldCharType="separate"/>
        </w:r>
        <w:r w:rsidR="00E565C0">
          <w:rPr>
            <w:noProof/>
            <w:webHidden/>
          </w:rPr>
          <w:t>33</w:t>
        </w:r>
        <w:r w:rsidR="00E565C0">
          <w:rPr>
            <w:noProof/>
            <w:webHidden/>
          </w:rPr>
          <w:fldChar w:fldCharType="end"/>
        </w:r>
      </w:hyperlink>
    </w:p>
    <w:p w:rsidR="00E565C0" w:rsidRDefault="008E6E2A">
      <w:pPr>
        <w:pStyle w:val="TableofFigures"/>
        <w:tabs>
          <w:tab w:val="right" w:leader="dot" w:pos="9060"/>
        </w:tabs>
        <w:rPr>
          <w:rFonts w:asciiTheme="minorHAnsi" w:eastAsiaTheme="minorEastAsia" w:hAnsiTheme="minorHAnsi" w:cstheme="minorBidi"/>
          <w:noProof/>
          <w:sz w:val="22"/>
          <w:szCs w:val="22"/>
          <w:lang w:val="sl-SI" w:eastAsia="sl-SI"/>
        </w:rPr>
      </w:pPr>
      <w:hyperlink w:anchor="_Toc49771336" w:history="1">
        <w:r w:rsidR="00E565C0" w:rsidRPr="00DE0C7C">
          <w:rPr>
            <w:rStyle w:val="Hyperlink"/>
            <w:noProof/>
          </w:rPr>
          <w:t>Tabela 14: Struktura porazdelitve premoženja PPU državnega proračuna po PU na dan 31.12.2018</w:t>
        </w:r>
        <w:r w:rsidR="00E565C0">
          <w:rPr>
            <w:noProof/>
            <w:webHidden/>
          </w:rPr>
          <w:tab/>
        </w:r>
        <w:r w:rsidR="00E565C0">
          <w:rPr>
            <w:noProof/>
            <w:webHidden/>
          </w:rPr>
          <w:fldChar w:fldCharType="begin"/>
        </w:r>
        <w:r w:rsidR="00E565C0">
          <w:rPr>
            <w:noProof/>
            <w:webHidden/>
          </w:rPr>
          <w:instrText xml:space="preserve"> PAGEREF _Toc49771336 \h </w:instrText>
        </w:r>
        <w:r w:rsidR="00E565C0">
          <w:rPr>
            <w:noProof/>
            <w:webHidden/>
          </w:rPr>
        </w:r>
        <w:r w:rsidR="00E565C0">
          <w:rPr>
            <w:noProof/>
            <w:webHidden/>
          </w:rPr>
          <w:fldChar w:fldCharType="separate"/>
        </w:r>
        <w:r w:rsidR="00E565C0">
          <w:rPr>
            <w:noProof/>
            <w:webHidden/>
          </w:rPr>
          <w:t>34</w:t>
        </w:r>
        <w:r w:rsidR="00E565C0">
          <w:rPr>
            <w:noProof/>
            <w:webHidden/>
          </w:rPr>
          <w:fldChar w:fldCharType="end"/>
        </w:r>
      </w:hyperlink>
    </w:p>
    <w:p w:rsidR="00E565C0" w:rsidRDefault="008E6E2A">
      <w:pPr>
        <w:pStyle w:val="TableofFigures"/>
        <w:tabs>
          <w:tab w:val="right" w:leader="dot" w:pos="9060"/>
        </w:tabs>
        <w:rPr>
          <w:rFonts w:asciiTheme="minorHAnsi" w:eastAsiaTheme="minorEastAsia" w:hAnsiTheme="minorHAnsi" w:cstheme="minorBidi"/>
          <w:noProof/>
          <w:sz w:val="22"/>
          <w:szCs w:val="22"/>
          <w:lang w:val="sl-SI" w:eastAsia="sl-SI"/>
        </w:rPr>
      </w:pPr>
      <w:hyperlink w:anchor="_Toc49771337" w:history="1">
        <w:r w:rsidR="00E565C0" w:rsidRPr="00DE0C7C">
          <w:rPr>
            <w:rStyle w:val="Hyperlink"/>
            <w:noProof/>
          </w:rPr>
          <w:t>Tabela 15: Stanje premoženja občin na dan 31.12.2018 in na dan 31.12.2017 skupaj s spremembo</w:t>
        </w:r>
        <w:r w:rsidR="00E565C0">
          <w:rPr>
            <w:noProof/>
            <w:webHidden/>
          </w:rPr>
          <w:tab/>
        </w:r>
        <w:r w:rsidR="00E565C0">
          <w:rPr>
            <w:noProof/>
            <w:webHidden/>
          </w:rPr>
          <w:fldChar w:fldCharType="begin"/>
        </w:r>
        <w:r w:rsidR="00E565C0">
          <w:rPr>
            <w:noProof/>
            <w:webHidden/>
          </w:rPr>
          <w:instrText xml:space="preserve"> PAGEREF _Toc49771337 \h </w:instrText>
        </w:r>
        <w:r w:rsidR="00E565C0">
          <w:rPr>
            <w:noProof/>
            <w:webHidden/>
          </w:rPr>
        </w:r>
        <w:r w:rsidR="00E565C0">
          <w:rPr>
            <w:noProof/>
            <w:webHidden/>
          </w:rPr>
          <w:fldChar w:fldCharType="separate"/>
        </w:r>
        <w:r w:rsidR="00E565C0">
          <w:rPr>
            <w:noProof/>
            <w:webHidden/>
          </w:rPr>
          <w:t>38</w:t>
        </w:r>
        <w:r w:rsidR="00E565C0">
          <w:rPr>
            <w:noProof/>
            <w:webHidden/>
          </w:rPr>
          <w:fldChar w:fldCharType="end"/>
        </w:r>
      </w:hyperlink>
    </w:p>
    <w:p w:rsidR="00E565C0" w:rsidRDefault="008E6E2A">
      <w:pPr>
        <w:pStyle w:val="TableofFigures"/>
        <w:tabs>
          <w:tab w:val="right" w:leader="dot" w:pos="9060"/>
        </w:tabs>
        <w:rPr>
          <w:rFonts w:asciiTheme="minorHAnsi" w:eastAsiaTheme="minorEastAsia" w:hAnsiTheme="minorHAnsi" w:cstheme="minorBidi"/>
          <w:noProof/>
          <w:sz w:val="22"/>
          <w:szCs w:val="22"/>
          <w:lang w:val="sl-SI" w:eastAsia="sl-SI"/>
        </w:rPr>
      </w:pPr>
      <w:hyperlink w:anchor="_Toc49771338" w:history="1">
        <w:r w:rsidR="00E565C0" w:rsidRPr="00DE0C7C">
          <w:rPr>
            <w:rStyle w:val="Hyperlink"/>
            <w:noProof/>
          </w:rPr>
          <w:t>Tabela 16: Porazdelitev premoženja občin med NPU in PPU občinskih proračunov na dan 31.12.2018</w:t>
        </w:r>
        <w:r w:rsidR="00E565C0">
          <w:rPr>
            <w:noProof/>
            <w:webHidden/>
          </w:rPr>
          <w:tab/>
        </w:r>
        <w:r w:rsidR="00E565C0">
          <w:rPr>
            <w:noProof/>
            <w:webHidden/>
          </w:rPr>
          <w:fldChar w:fldCharType="begin"/>
        </w:r>
        <w:r w:rsidR="00E565C0">
          <w:rPr>
            <w:noProof/>
            <w:webHidden/>
          </w:rPr>
          <w:instrText xml:space="preserve"> PAGEREF _Toc49771338 \h </w:instrText>
        </w:r>
        <w:r w:rsidR="00E565C0">
          <w:rPr>
            <w:noProof/>
            <w:webHidden/>
          </w:rPr>
        </w:r>
        <w:r w:rsidR="00E565C0">
          <w:rPr>
            <w:noProof/>
            <w:webHidden/>
          </w:rPr>
          <w:fldChar w:fldCharType="separate"/>
        </w:r>
        <w:r w:rsidR="00E565C0">
          <w:rPr>
            <w:noProof/>
            <w:webHidden/>
          </w:rPr>
          <w:t>40</w:t>
        </w:r>
        <w:r w:rsidR="00E565C0">
          <w:rPr>
            <w:noProof/>
            <w:webHidden/>
          </w:rPr>
          <w:fldChar w:fldCharType="end"/>
        </w:r>
      </w:hyperlink>
    </w:p>
    <w:p w:rsidR="00E565C0" w:rsidRDefault="008E6E2A">
      <w:pPr>
        <w:pStyle w:val="TableofFigures"/>
        <w:tabs>
          <w:tab w:val="right" w:leader="dot" w:pos="9060"/>
        </w:tabs>
        <w:rPr>
          <w:rFonts w:asciiTheme="minorHAnsi" w:eastAsiaTheme="minorEastAsia" w:hAnsiTheme="minorHAnsi" w:cstheme="minorBidi"/>
          <w:noProof/>
          <w:sz w:val="22"/>
          <w:szCs w:val="22"/>
          <w:lang w:val="sl-SI" w:eastAsia="sl-SI"/>
        </w:rPr>
      </w:pPr>
      <w:hyperlink w:anchor="_Toc49771339" w:history="1">
        <w:r w:rsidR="00E565C0" w:rsidRPr="00DE0C7C">
          <w:rPr>
            <w:rStyle w:val="Hyperlink"/>
            <w:noProof/>
          </w:rPr>
          <w:t>Tabela 17: Seštevki premoženja NPU občinskih prorač</w:t>
        </w:r>
        <w:bookmarkStart w:id="1" w:name="_GoBack"/>
        <w:bookmarkEnd w:id="1"/>
        <w:r w:rsidR="00E565C0" w:rsidRPr="00DE0C7C">
          <w:rPr>
            <w:rStyle w:val="Hyperlink"/>
            <w:noProof/>
          </w:rPr>
          <w:t>unov na dan 31.12.2018 in na dan 31.12.2017</w:t>
        </w:r>
        <w:r w:rsidR="00E565C0">
          <w:rPr>
            <w:noProof/>
            <w:webHidden/>
          </w:rPr>
          <w:tab/>
        </w:r>
        <w:r w:rsidR="00E565C0">
          <w:rPr>
            <w:noProof/>
            <w:webHidden/>
          </w:rPr>
          <w:fldChar w:fldCharType="begin"/>
        </w:r>
        <w:r w:rsidR="00E565C0">
          <w:rPr>
            <w:noProof/>
            <w:webHidden/>
          </w:rPr>
          <w:instrText xml:space="preserve"> PAGEREF _Toc49771339 \h </w:instrText>
        </w:r>
        <w:r w:rsidR="00E565C0">
          <w:rPr>
            <w:noProof/>
            <w:webHidden/>
          </w:rPr>
        </w:r>
        <w:r w:rsidR="00E565C0">
          <w:rPr>
            <w:noProof/>
            <w:webHidden/>
          </w:rPr>
          <w:fldChar w:fldCharType="separate"/>
        </w:r>
        <w:r w:rsidR="00E565C0">
          <w:rPr>
            <w:noProof/>
            <w:webHidden/>
          </w:rPr>
          <w:t>42</w:t>
        </w:r>
        <w:r w:rsidR="00E565C0">
          <w:rPr>
            <w:noProof/>
            <w:webHidden/>
          </w:rPr>
          <w:fldChar w:fldCharType="end"/>
        </w:r>
      </w:hyperlink>
    </w:p>
    <w:p w:rsidR="00E565C0" w:rsidRDefault="008E6E2A">
      <w:pPr>
        <w:pStyle w:val="TableofFigures"/>
        <w:tabs>
          <w:tab w:val="right" w:leader="dot" w:pos="9060"/>
        </w:tabs>
        <w:rPr>
          <w:rFonts w:asciiTheme="minorHAnsi" w:eastAsiaTheme="minorEastAsia" w:hAnsiTheme="minorHAnsi" w:cstheme="minorBidi"/>
          <w:noProof/>
          <w:sz w:val="22"/>
          <w:szCs w:val="22"/>
          <w:lang w:val="sl-SI" w:eastAsia="sl-SI"/>
        </w:rPr>
      </w:pPr>
      <w:hyperlink w:anchor="_Toc49771340" w:history="1">
        <w:r w:rsidR="00E565C0" w:rsidRPr="00DE0C7C">
          <w:rPr>
            <w:rStyle w:val="Hyperlink"/>
            <w:noProof/>
          </w:rPr>
          <w:t>Tabela 18: Število NPU občinskih proračunov glede na vrednost bilančne vsote na dan 31.12.2018</w:t>
        </w:r>
        <w:r w:rsidR="00E565C0">
          <w:rPr>
            <w:noProof/>
            <w:webHidden/>
          </w:rPr>
          <w:tab/>
        </w:r>
        <w:r w:rsidR="00E565C0">
          <w:rPr>
            <w:noProof/>
            <w:webHidden/>
          </w:rPr>
          <w:fldChar w:fldCharType="begin"/>
        </w:r>
        <w:r w:rsidR="00E565C0">
          <w:rPr>
            <w:noProof/>
            <w:webHidden/>
          </w:rPr>
          <w:instrText xml:space="preserve"> PAGEREF _Toc49771340 \h </w:instrText>
        </w:r>
        <w:r w:rsidR="00E565C0">
          <w:rPr>
            <w:noProof/>
            <w:webHidden/>
          </w:rPr>
        </w:r>
        <w:r w:rsidR="00E565C0">
          <w:rPr>
            <w:noProof/>
            <w:webHidden/>
          </w:rPr>
          <w:fldChar w:fldCharType="separate"/>
        </w:r>
        <w:r w:rsidR="00E565C0">
          <w:rPr>
            <w:noProof/>
            <w:webHidden/>
          </w:rPr>
          <w:t>43</w:t>
        </w:r>
        <w:r w:rsidR="00E565C0">
          <w:rPr>
            <w:noProof/>
            <w:webHidden/>
          </w:rPr>
          <w:fldChar w:fldCharType="end"/>
        </w:r>
      </w:hyperlink>
    </w:p>
    <w:p w:rsidR="00E565C0" w:rsidRDefault="008E6E2A">
      <w:pPr>
        <w:pStyle w:val="TableofFigures"/>
        <w:tabs>
          <w:tab w:val="right" w:leader="dot" w:pos="9060"/>
        </w:tabs>
        <w:rPr>
          <w:rFonts w:asciiTheme="minorHAnsi" w:eastAsiaTheme="minorEastAsia" w:hAnsiTheme="minorHAnsi" w:cstheme="minorBidi"/>
          <w:noProof/>
          <w:sz w:val="22"/>
          <w:szCs w:val="22"/>
          <w:lang w:val="sl-SI" w:eastAsia="sl-SI"/>
        </w:rPr>
      </w:pPr>
      <w:hyperlink w:anchor="_Toc49771341" w:history="1">
        <w:r w:rsidR="00E565C0" w:rsidRPr="00DE0C7C">
          <w:rPr>
            <w:rStyle w:val="Hyperlink"/>
            <w:noProof/>
          </w:rPr>
          <w:t>Tabela 19: Struktura porazdelitve premoženja NPU občinskih proračunov po PU na dan 31.12.2018</w:t>
        </w:r>
        <w:r w:rsidR="00E565C0">
          <w:rPr>
            <w:noProof/>
            <w:webHidden/>
          </w:rPr>
          <w:tab/>
        </w:r>
        <w:r w:rsidR="00E565C0">
          <w:rPr>
            <w:noProof/>
            <w:webHidden/>
          </w:rPr>
          <w:fldChar w:fldCharType="begin"/>
        </w:r>
        <w:r w:rsidR="00E565C0">
          <w:rPr>
            <w:noProof/>
            <w:webHidden/>
          </w:rPr>
          <w:instrText xml:space="preserve"> PAGEREF _Toc49771341 \h </w:instrText>
        </w:r>
        <w:r w:rsidR="00E565C0">
          <w:rPr>
            <w:noProof/>
            <w:webHidden/>
          </w:rPr>
        </w:r>
        <w:r w:rsidR="00E565C0">
          <w:rPr>
            <w:noProof/>
            <w:webHidden/>
          </w:rPr>
          <w:fldChar w:fldCharType="separate"/>
        </w:r>
        <w:r w:rsidR="00E565C0">
          <w:rPr>
            <w:noProof/>
            <w:webHidden/>
          </w:rPr>
          <w:t>43</w:t>
        </w:r>
        <w:r w:rsidR="00E565C0">
          <w:rPr>
            <w:noProof/>
            <w:webHidden/>
          </w:rPr>
          <w:fldChar w:fldCharType="end"/>
        </w:r>
      </w:hyperlink>
    </w:p>
    <w:p w:rsidR="00E565C0" w:rsidRDefault="008E6E2A">
      <w:pPr>
        <w:pStyle w:val="TableofFigures"/>
        <w:tabs>
          <w:tab w:val="right" w:leader="dot" w:pos="9060"/>
        </w:tabs>
        <w:rPr>
          <w:rFonts w:asciiTheme="minorHAnsi" w:eastAsiaTheme="minorEastAsia" w:hAnsiTheme="minorHAnsi" w:cstheme="minorBidi"/>
          <w:noProof/>
          <w:sz w:val="22"/>
          <w:szCs w:val="22"/>
          <w:lang w:val="sl-SI" w:eastAsia="sl-SI"/>
        </w:rPr>
      </w:pPr>
      <w:hyperlink w:anchor="_Toc49771342" w:history="1">
        <w:r w:rsidR="00E565C0" w:rsidRPr="00DE0C7C">
          <w:rPr>
            <w:rStyle w:val="Hyperlink"/>
            <w:noProof/>
          </w:rPr>
          <w:t>Tabela 20: Seštevki premoženja PPU občinskih proračunov na dan 31.12.2018 in na dan 31.12.2017</w:t>
        </w:r>
        <w:r w:rsidR="00E565C0">
          <w:rPr>
            <w:noProof/>
            <w:webHidden/>
          </w:rPr>
          <w:tab/>
        </w:r>
        <w:r w:rsidR="00E565C0">
          <w:rPr>
            <w:noProof/>
            <w:webHidden/>
          </w:rPr>
          <w:fldChar w:fldCharType="begin"/>
        </w:r>
        <w:r w:rsidR="00E565C0">
          <w:rPr>
            <w:noProof/>
            <w:webHidden/>
          </w:rPr>
          <w:instrText xml:space="preserve"> PAGEREF _Toc49771342 \h </w:instrText>
        </w:r>
        <w:r w:rsidR="00E565C0">
          <w:rPr>
            <w:noProof/>
            <w:webHidden/>
          </w:rPr>
        </w:r>
        <w:r w:rsidR="00E565C0">
          <w:rPr>
            <w:noProof/>
            <w:webHidden/>
          </w:rPr>
          <w:fldChar w:fldCharType="separate"/>
        </w:r>
        <w:r w:rsidR="00E565C0">
          <w:rPr>
            <w:noProof/>
            <w:webHidden/>
          </w:rPr>
          <w:t>47</w:t>
        </w:r>
        <w:r w:rsidR="00E565C0">
          <w:rPr>
            <w:noProof/>
            <w:webHidden/>
          </w:rPr>
          <w:fldChar w:fldCharType="end"/>
        </w:r>
      </w:hyperlink>
    </w:p>
    <w:p w:rsidR="00E565C0" w:rsidRDefault="008E6E2A">
      <w:pPr>
        <w:pStyle w:val="TableofFigures"/>
        <w:tabs>
          <w:tab w:val="right" w:leader="dot" w:pos="9060"/>
        </w:tabs>
        <w:rPr>
          <w:rFonts w:asciiTheme="minorHAnsi" w:eastAsiaTheme="minorEastAsia" w:hAnsiTheme="minorHAnsi" w:cstheme="minorBidi"/>
          <w:noProof/>
          <w:sz w:val="22"/>
          <w:szCs w:val="22"/>
          <w:lang w:val="sl-SI" w:eastAsia="sl-SI"/>
        </w:rPr>
      </w:pPr>
      <w:hyperlink w:anchor="_Toc49771343" w:history="1">
        <w:r w:rsidR="00E565C0" w:rsidRPr="00DE0C7C">
          <w:rPr>
            <w:rStyle w:val="Hyperlink"/>
            <w:noProof/>
          </w:rPr>
          <w:t>Tabela 21: Število PPU občinskih proračunov glede na vrednost bilančne vsote na dan 31.12.2018</w:t>
        </w:r>
        <w:r w:rsidR="00E565C0">
          <w:rPr>
            <w:noProof/>
            <w:webHidden/>
          </w:rPr>
          <w:tab/>
        </w:r>
        <w:r w:rsidR="00E565C0">
          <w:rPr>
            <w:noProof/>
            <w:webHidden/>
          </w:rPr>
          <w:fldChar w:fldCharType="begin"/>
        </w:r>
        <w:r w:rsidR="00E565C0">
          <w:rPr>
            <w:noProof/>
            <w:webHidden/>
          </w:rPr>
          <w:instrText xml:space="preserve"> PAGEREF _Toc49771343 \h </w:instrText>
        </w:r>
        <w:r w:rsidR="00E565C0">
          <w:rPr>
            <w:noProof/>
            <w:webHidden/>
          </w:rPr>
        </w:r>
        <w:r w:rsidR="00E565C0">
          <w:rPr>
            <w:noProof/>
            <w:webHidden/>
          </w:rPr>
          <w:fldChar w:fldCharType="separate"/>
        </w:r>
        <w:r w:rsidR="00E565C0">
          <w:rPr>
            <w:noProof/>
            <w:webHidden/>
          </w:rPr>
          <w:t>48</w:t>
        </w:r>
        <w:r w:rsidR="00E565C0">
          <w:rPr>
            <w:noProof/>
            <w:webHidden/>
          </w:rPr>
          <w:fldChar w:fldCharType="end"/>
        </w:r>
      </w:hyperlink>
    </w:p>
    <w:p w:rsidR="00E565C0" w:rsidRDefault="008E6E2A">
      <w:pPr>
        <w:pStyle w:val="TableofFigures"/>
        <w:tabs>
          <w:tab w:val="right" w:leader="dot" w:pos="9060"/>
        </w:tabs>
        <w:rPr>
          <w:rFonts w:asciiTheme="minorHAnsi" w:eastAsiaTheme="minorEastAsia" w:hAnsiTheme="minorHAnsi" w:cstheme="minorBidi"/>
          <w:noProof/>
          <w:sz w:val="22"/>
          <w:szCs w:val="22"/>
          <w:lang w:val="sl-SI" w:eastAsia="sl-SI"/>
        </w:rPr>
      </w:pPr>
      <w:hyperlink w:anchor="_Toc49771344" w:history="1">
        <w:r w:rsidR="00E565C0" w:rsidRPr="00E565C0">
          <w:rPr>
            <w:rStyle w:val="Hyperlink"/>
            <w:noProof/>
          </w:rPr>
          <w:t>Tabela 22: Prikaz dolgoročnih in kratkoročnih finančnih naložb ter dolgoročnih in kratkoročnih finančnih obveznosti po izbranih skupinah SKD za PPU občinskih proračunov na dan 31.12.2018</w:t>
        </w:r>
        <w:r w:rsidR="00E565C0">
          <w:rPr>
            <w:noProof/>
            <w:webHidden/>
          </w:rPr>
          <w:tab/>
        </w:r>
        <w:r w:rsidR="00E565C0">
          <w:rPr>
            <w:noProof/>
            <w:webHidden/>
          </w:rPr>
          <w:fldChar w:fldCharType="begin"/>
        </w:r>
        <w:r w:rsidR="00E565C0">
          <w:rPr>
            <w:noProof/>
            <w:webHidden/>
          </w:rPr>
          <w:instrText xml:space="preserve"> PAGEREF _Toc49771344 \h </w:instrText>
        </w:r>
        <w:r w:rsidR="00E565C0">
          <w:rPr>
            <w:noProof/>
            <w:webHidden/>
          </w:rPr>
        </w:r>
        <w:r w:rsidR="00E565C0">
          <w:rPr>
            <w:noProof/>
            <w:webHidden/>
          </w:rPr>
          <w:fldChar w:fldCharType="separate"/>
        </w:r>
        <w:r w:rsidR="00E565C0">
          <w:rPr>
            <w:noProof/>
            <w:webHidden/>
          </w:rPr>
          <w:t>48</w:t>
        </w:r>
        <w:r w:rsidR="00E565C0">
          <w:rPr>
            <w:noProof/>
            <w:webHidden/>
          </w:rPr>
          <w:fldChar w:fldCharType="end"/>
        </w:r>
      </w:hyperlink>
    </w:p>
    <w:p w:rsidR="00E565C0" w:rsidRDefault="008E6E2A">
      <w:pPr>
        <w:pStyle w:val="TableofFigures"/>
        <w:tabs>
          <w:tab w:val="right" w:leader="dot" w:pos="9060"/>
        </w:tabs>
        <w:rPr>
          <w:rFonts w:asciiTheme="minorHAnsi" w:eastAsiaTheme="minorEastAsia" w:hAnsiTheme="minorHAnsi" w:cstheme="minorBidi"/>
          <w:noProof/>
          <w:sz w:val="22"/>
          <w:szCs w:val="22"/>
          <w:lang w:val="sl-SI" w:eastAsia="sl-SI"/>
        </w:rPr>
      </w:pPr>
      <w:hyperlink w:anchor="_Toc49771345" w:history="1">
        <w:r w:rsidR="00E565C0" w:rsidRPr="00DE0C7C">
          <w:rPr>
            <w:rStyle w:val="Hyperlink"/>
            <w:noProof/>
          </w:rPr>
          <w:t>Tabela 23: Struktura porazdelitve premoženja PPU občinskih proračunov po PU na dan 31.12.2018</w:t>
        </w:r>
        <w:r w:rsidR="00E565C0">
          <w:rPr>
            <w:noProof/>
            <w:webHidden/>
          </w:rPr>
          <w:tab/>
        </w:r>
        <w:r w:rsidR="00E565C0">
          <w:rPr>
            <w:noProof/>
            <w:webHidden/>
          </w:rPr>
          <w:fldChar w:fldCharType="begin"/>
        </w:r>
        <w:r w:rsidR="00E565C0">
          <w:rPr>
            <w:noProof/>
            <w:webHidden/>
          </w:rPr>
          <w:instrText xml:space="preserve"> PAGEREF _Toc49771345 \h </w:instrText>
        </w:r>
        <w:r w:rsidR="00E565C0">
          <w:rPr>
            <w:noProof/>
            <w:webHidden/>
          </w:rPr>
        </w:r>
        <w:r w:rsidR="00E565C0">
          <w:rPr>
            <w:noProof/>
            <w:webHidden/>
          </w:rPr>
          <w:fldChar w:fldCharType="separate"/>
        </w:r>
        <w:r w:rsidR="00E565C0">
          <w:rPr>
            <w:noProof/>
            <w:webHidden/>
          </w:rPr>
          <w:t>49</w:t>
        </w:r>
        <w:r w:rsidR="00E565C0">
          <w:rPr>
            <w:noProof/>
            <w:webHidden/>
          </w:rPr>
          <w:fldChar w:fldCharType="end"/>
        </w:r>
      </w:hyperlink>
    </w:p>
    <w:p w:rsidR="00FF2497" w:rsidRDefault="00E4103D" w:rsidP="00E4103D">
      <w:pPr>
        <w:spacing w:line="240" w:lineRule="auto"/>
        <w:rPr>
          <w:rFonts w:cs="Arial"/>
          <w:b/>
          <w:iCs/>
          <w:sz w:val="28"/>
          <w:szCs w:val="28"/>
          <w:lang w:val="sl-SI" w:eastAsia="sl-SI"/>
        </w:rPr>
      </w:pPr>
      <w:r>
        <w:rPr>
          <w:rFonts w:cs="Arial"/>
          <w:b/>
          <w:iCs/>
          <w:sz w:val="28"/>
          <w:szCs w:val="28"/>
          <w:lang w:val="sl-SI" w:eastAsia="sl-SI"/>
        </w:rPr>
        <w:fldChar w:fldCharType="end"/>
      </w:r>
    </w:p>
    <w:p w:rsidR="00E4103D" w:rsidRPr="00FF2497" w:rsidRDefault="00FF2497" w:rsidP="00E4103D">
      <w:pPr>
        <w:spacing w:line="240" w:lineRule="auto"/>
        <w:rPr>
          <w:rFonts w:cs="Arial"/>
          <w:b/>
          <w:iCs/>
          <w:sz w:val="24"/>
          <w:lang w:val="sl-SI" w:eastAsia="sl-SI"/>
        </w:rPr>
      </w:pPr>
      <w:r w:rsidRPr="00FF2497">
        <w:rPr>
          <w:rFonts w:cs="Arial"/>
          <w:b/>
          <w:iCs/>
          <w:sz w:val="24"/>
          <w:lang w:val="sl-SI" w:eastAsia="sl-SI"/>
        </w:rPr>
        <w:t xml:space="preserve">Seznam </w:t>
      </w:r>
      <w:r>
        <w:rPr>
          <w:rFonts w:cs="Arial"/>
          <w:b/>
          <w:iCs/>
          <w:sz w:val="24"/>
          <w:lang w:val="sl-SI" w:eastAsia="sl-SI"/>
        </w:rPr>
        <w:t>slik</w:t>
      </w:r>
      <w:r w:rsidRPr="00FF2497">
        <w:rPr>
          <w:rFonts w:cs="Arial"/>
          <w:b/>
          <w:iCs/>
          <w:sz w:val="24"/>
          <w:lang w:val="sl-SI" w:eastAsia="sl-SI"/>
        </w:rPr>
        <w:t>:</w:t>
      </w:r>
    </w:p>
    <w:p w:rsidR="00E565C0" w:rsidRDefault="00206B1C">
      <w:pPr>
        <w:pStyle w:val="TableofFigures"/>
        <w:tabs>
          <w:tab w:val="right" w:leader="dot" w:pos="9060"/>
        </w:tabs>
        <w:rPr>
          <w:rFonts w:asciiTheme="minorHAnsi" w:eastAsiaTheme="minorEastAsia" w:hAnsiTheme="minorHAnsi" w:cstheme="minorBidi"/>
          <w:noProof/>
          <w:sz w:val="22"/>
          <w:szCs w:val="22"/>
          <w:lang w:val="sl-SI" w:eastAsia="sl-SI"/>
        </w:rPr>
      </w:pPr>
      <w:r>
        <w:rPr>
          <w:rFonts w:cs="Arial"/>
          <w:b/>
          <w:iCs/>
          <w:sz w:val="28"/>
          <w:szCs w:val="28"/>
          <w:lang w:val="sl-SI" w:eastAsia="sl-SI"/>
        </w:rPr>
        <w:fldChar w:fldCharType="begin"/>
      </w:r>
      <w:r>
        <w:rPr>
          <w:rFonts w:cs="Arial"/>
          <w:b/>
          <w:iCs/>
          <w:sz w:val="28"/>
          <w:szCs w:val="28"/>
          <w:lang w:val="sl-SI" w:eastAsia="sl-SI"/>
        </w:rPr>
        <w:instrText xml:space="preserve"> TOC \h \z \c "Slika" </w:instrText>
      </w:r>
      <w:r>
        <w:rPr>
          <w:rFonts w:cs="Arial"/>
          <w:b/>
          <w:iCs/>
          <w:sz w:val="28"/>
          <w:szCs w:val="28"/>
          <w:lang w:val="sl-SI" w:eastAsia="sl-SI"/>
        </w:rPr>
        <w:fldChar w:fldCharType="separate"/>
      </w:r>
      <w:hyperlink w:anchor="_Toc49771346" w:history="1">
        <w:r w:rsidR="00E565C0" w:rsidRPr="006F1C22">
          <w:rPr>
            <w:rStyle w:val="Hyperlink"/>
            <w:noProof/>
          </w:rPr>
          <w:t>Slika 1: Razčlenitev poročanja po tipih proračunskih uporabnikov države in občin za KPBDO na dan 31.12.2018</w:t>
        </w:r>
        <w:r w:rsidR="00E565C0">
          <w:rPr>
            <w:noProof/>
            <w:webHidden/>
          </w:rPr>
          <w:tab/>
        </w:r>
        <w:r w:rsidR="00E565C0">
          <w:rPr>
            <w:noProof/>
            <w:webHidden/>
          </w:rPr>
          <w:fldChar w:fldCharType="begin"/>
        </w:r>
        <w:r w:rsidR="00E565C0">
          <w:rPr>
            <w:noProof/>
            <w:webHidden/>
          </w:rPr>
          <w:instrText xml:space="preserve"> PAGEREF _Toc49771346 \h </w:instrText>
        </w:r>
        <w:r w:rsidR="00E565C0">
          <w:rPr>
            <w:noProof/>
            <w:webHidden/>
          </w:rPr>
        </w:r>
        <w:r w:rsidR="00E565C0">
          <w:rPr>
            <w:noProof/>
            <w:webHidden/>
          </w:rPr>
          <w:fldChar w:fldCharType="separate"/>
        </w:r>
        <w:r w:rsidR="00E565C0">
          <w:rPr>
            <w:noProof/>
            <w:webHidden/>
          </w:rPr>
          <w:t>7</w:t>
        </w:r>
        <w:r w:rsidR="00E565C0">
          <w:rPr>
            <w:noProof/>
            <w:webHidden/>
          </w:rPr>
          <w:fldChar w:fldCharType="end"/>
        </w:r>
      </w:hyperlink>
    </w:p>
    <w:p w:rsidR="00E565C0" w:rsidRPr="00E565C0" w:rsidRDefault="008E6E2A">
      <w:pPr>
        <w:pStyle w:val="TableofFigures"/>
        <w:tabs>
          <w:tab w:val="right" w:leader="dot" w:pos="9060"/>
        </w:tabs>
        <w:rPr>
          <w:rFonts w:asciiTheme="minorHAnsi" w:eastAsiaTheme="minorEastAsia" w:hAnsiTheme="minorHAnsi" w:cstheme="minorBidi"/>
          <w:noProof/>
          <w:sz w:val="22"/>
          <w:szCs w:val="22"/>
          <w:lang w:val="sl-SI" w:eastAsia="sl-SI"/>
        </w:rPr>
      </w:pPr>
      <w:hyperlink w:anchor="_Toc49771347" w:history="1">
        <w:r w:rsidR="00E565C0" w:rsidRPr="00E565C0">
          <w:rPr>
            <w:rStyle w:val="Hyperlink"/>
            <w:noProof/>
          </w:rPr>
          <w:t>Slika 2: Delež aktivnih postavk konsolidirane premoženjske bilance države in občin v bilančni vsoti na dan 31.12.2018</w:t>
        </w:r>
        <w:r w:rsidR="00E565C0" w:rsidRPr="00E565C0">
          <w:rPr>
            <w:noProof/>
            <w:webHidden/>
          </w:rPr>
          <w:tab/>
        </w:r>
        <w:r w:rsidR="00E565C0" w:rsidRPr="00E565C0">
          <w:rPr>
            <w:noProof/>
            <w:webHidden/>
          </w:rPr>
          <w:fldChar w:fldCharType="begin"/>
        </w:r>
        <w:r w:rsidR="00E565C0" w:rsidRPr="00E565C0">
          <w:rPr>
            <w:noProof/>
            <w:webHidden/>
          </w:rPr>
          <w:instrText xml:space="preserve"> PAGEREF _Toc49771347 \h </w:instrText>
        </w:r>
        <w:r w:rsidR="00E565C0" w:rsidRPr="00E565C0">
          <w:rPr>
            <w:noProof/>
            <w:webHidden/>
          </w:rPr>
        </w:r>
        <w:r w:rsidR="00E565C0" w:rsidRPr="00E565C0">
          <w:rPr>
            <w:noProof/>
            <w:webHidden/>
          </w:rPr>
          <w:fldChar w:fldCharType="separate"/>
        </w:r>
        <w:r w:rsidR="00E565C0" w:rsidRPr="00E565C0">
          <w:rPr>
            <w:noProof/>
            <w:webHidden/>
          </w:rPr>
          <w:t>9</w:t>
        </w:r>
        <w:r w:rsidR="00E565C0" w:rsidRPr="00E565C0">
          <w:rPr>
            <w:noProof/>
            <w:webHidden/>
          </w:rPr>
          <w:fldChar w:fldCharType="end"/>
        </w:r>
      </w:hyperlink>
    </w:p>
    <w:p w:rsidR="00E565C0" w:rsidRPr="00E565C0" w:rsidRDefault="008E6E2A">
      <w:pPr>
        <w:pStyle w:val="TableofFigures"/>
        <w:tabs>
          <w:tab w:val="right" w:leader="dot" w:pos="9060"/>
        </w:tabs>
        <w:rPr>
          <w:rFonts w:asciiTheme="minorHAnsi" w:eastAsiaTheme="minorEastAsia" w:hAnsiTheme="minorHAnsi" w:cstheme="minorBidi"/>
          <w:noProof/>
          <w:sz w:val="22"/>
          <w:szCs w:val="22"/>
          <w:lang w:val="sl-SI" w:eastAsia="sl-SI"/>
        </w:rPr>
      </w:pPr>
      <w:hyperlink w:anchor="_Toc49771348" w:history="1">
        <w:r w:rsidR="00E565C0" w:rsidRPr="00E565C0">
          <w:rPr>
            <w:rStyle w:val="Hyperlink"/>
            <w:noProof/>
          </w:rPr>
          <w:t>Slika 3: Delež pasivnih postavk konsolidirane premoženjske bilance države in občin v bilančni vsoti na dan 31.12.2018</w:t>
        </w:r>
        <w:r w:rsidR="00E565C0" w:rsidRPr="00E565C0">
          <w:rPr>
            <w:noProof/>
            <w:webHidden/>
          </w:rPr>
          <w:tab/>
        </w:r>
        <w:r w:rsidR="00E565C0" w:rsidRPr="00E565C0">
          <w:rPr>
            <w:noProof/>
            <w:webHidden/>
          </w:rPr>
          <w:fldChar w:fldCharType="begin"/>
        </w:r>
        <w:r w:rsidR="00E565C0" w:rsidRPr="00E565C0">
          <w:rPr>
            <w:noProof/>
            <w:webHidden/>
          </w:rPr>
          <w:instrText xml:space="preserve"> PAGEREF _Toc49771348 \h </w:instrText>
        </w:r>
        <w:r w:rsidR="00E565C0" w:rsidRPr="00E565C0">
          <w:rPr>
            <w:noProof/>
            <w:webHidden/>
          </w:rPr>
        </w:r>
        <w:r w:rsidR="00E565C0" w:rsidRPr="00E565C0">
          <w:rPr>
            <w:noProof/>
            <w:webHidden/>
          </w:rPr>
          <w:fldChar w:fldCharType="separate"/>
        </w:r>
        <w:r w:rsidR="00E565C0" w:rsidRPr="00E565C0">
          <w:rPr>
            <w:noProof/>
            <w:webHidden/>
          </w:rPr>
          <w:t>9</w:t>
        </w:r>
        <w:r w:rsidR="00E565C0" w:rsidRPr="00E565C0">
          <w:rPr>
            <w:noProof/>
            <w:webHidden/>
          </w:rPr>
          <w:fldChar w:fldCharType="end"/>
        </w:r>
      </w:hyperlink>
    </w:p>
    <w:p w:rsidR="00E565C0" w:rsidRPr="00E565C0" w:rsidRDefault="008E6E2A">
      <w:pPr>
        <w:pStyle w:val="TableofFigures"/>
        <w:tabs>
          <w:tab w:val="right" w:leader="dot" w:pos="9060"/>
        </w:tabs>
        <w:rPr>
          <w:rFonts w:asciiTheme="minorHAnsi" w:eastAsiaTheme="minorEastAsia" w:hAnsiTheme="minorHAnsi" w:cstheme="minorBidi"/>
          <w:noProof/>
          <w:sz w:val="22"/>
          <w:szCs w:val="22"/>
          <w:lang w:val="sl-SI" w:eastAsia="sl-SI"/>
        </w:rPr>
      </w:pPr>
      <w:hyperlink w:anchor="_Toc49771349" w:history="1">
        <w:r w:rsidR="00E565C0" w:rsidRPr="00E565C0">
          <w:rPr>
            <w:rStyle w:val="Hyperlink"/>
            <w:noProof/>
          </w:rPr>
          <w:t>Slika 4: Indeks 2018/2017 premoženja in obveznosti države in občin</w:t>
        </w:r>
        <w:r w:rsidR="00E565C0" w:rsidRPr="00E565C0">
          <w:rPr>
            <w:noProof/>
            <w:webHidden/>
          </w:rPr>
          <w:tab/>
        </w:r>
        <w:r w:rsidR="00E565C0" w:rsidRPr="00E565C0">
          <w:rPr>
            <w:noProof/>
            <w:webHidden/>
          </w:rPr>
          <w:fldChar w:fldCharType="begin"/>
        </w:r>
        <w:r w:rsidR="00E565C0" w:rsidRPr="00E565C0">
          <w:rPr>
            <w:noProof/>
            <w:webHidden/>
          </w:rPr>
          <w:instrText xml:space="preserve"> PAGEREF _Toc49771349 \h </w:instrText>
        </w:r>
        <w:r w:rsidR="00E565C0" w:rsidRPr="00E565C0">
          <w:rPr>
            <w:noProof/>
            <w:webHidden/>
          </w:rPr>
        </w:r>
        <w:r w:rsidR="00E565C0" w:rsidRPr="00E565C0">
          <w:rPr>
            <w:noProof/>
            <w:webHidden/>
          </w:rPr>
          <w:fldChar w:fldCharType="separate"/>
        </w:r>
        <w:r w:rsidR="00E565C0" w:rsidRPr="00E565C0">
          <w:rPr>
            <w:noProof/>
            <w:webHidden/>
          </w:rPr>
          <w:t>19</w:t>
        </w:r>
        <w:r w:rsidR="00E565C0" w:rsidRPr="00E565C0">
          <w:rPr>
            <w:noProof/>
            <w:webHidden/>
          </w:rPr>
          <w:fldChar w:fldCharType="end"/>
        </w:r>
      </w:hyperlink>
    </w:p>
    <w:p w:rsidR="00E565C0" w:rsidRPr="00E565C0" w:rsidRDefault="008E6E2A">
      <w:pPr>
        <w:pStyle w:val="TableofFigures"/>
        <w:tabs>
          <w:tab w:val="right" w:leader="dot" w:pos="9060"/>
        </w:tabs>
        <w:rPr>
          <w:rFonts w:asciiTheme="minorHAnsi" w:eastAsiaTheme="minorEastAsia" w:hAnsiTheme="minorHAnsi" w:cstheme="minorBidi"/>
          <w:noProof/>
          <w:sz w:val="22"/>
          <w:szCs w:val="22"/>
          <w:lang w:val="sl-SI" w:eastAsia="sl-SI"/>
        </w:rPr>
      </w:pPr>
      <w:hyperlink w:anchor="_Toc49771350" w:history="1">
        <w:r w:rsidR="00E565C0" w:rsidRPr="00E565C0">
          <w:rPr>
            <w:rStyle w:val="Hyperlink"/>
            <w:noProof/>
          </w:rPr>
          <w:t>Slika 5: Gibanje posameznih postavk konsolidirane premoženjske bilance države in občin na zadnji dan leta v obdobju 2012-2018 (v mrd. €)</w:t>
        </w:r>
        <w:r w:rsidR="00E565C0" w:rsidRPr="00E565C0">
          <w:rPr>
            <w:noProof/>
            <w:webHidden/>
          </w:rPr>
          <w:tab/>
        </w:r>
        <w:r w:rsidR="00E565C0" w:rsidRPr="00E565C0">
          <w:rPr>
            <w:noProof/>
            <w:webHidden/>
          </w:rPr>
          <w:fldChar w:fldCharType="begin"/>
        </w:r>
        <w:r w:rsidR="00E565C0" w:rsidRPr="00E565C0">
          <w:rPr>
            <w:noProof/>
            <w:webHidden/>
          </w:rPr>
          <w:instrText xml:space="preserve"> PAGEREF _Toc49771350 \h </w:instrText>
        </w:r>
        <w:r w:rsidR="00E565C0" w:rsidRPr="00E565C0">
          <w:rPr>
            <w:noProof/>
            <w:webHidden/>
          </w:rPr>
        </w:r>
        <w:r w:rsidR="00E565C0" w:rsidRPr="00E565C0">
          <w:rPr>
            <w:noProof/>
            <w:webHidden/>
          </w:rPr>
          <w:fldChar w:fldCharType="separate"/>
        </w:r>
        <w:r w:rsidR="00E565C0" w:rsidRPr="00E565C0">
          <w:rPr>
            <w:noProof/>
            <w:webHidden/>
          </w:rPr>
          <w:t>20</w:t>
        </w:r>
        <w:r w:rsidR="00E565C0" w:rsidRPr="00E565C0">
          <w:rPr>
            <w:noProof/>
            <w:webHidden/>
          </w:rPr>
          <w:fldChar w:fldCharType="end"/>
        </w:r>
      </w:hyperlink>
    </w:p>
    <w:p w:rsidR="00E565C0" w:rsidRPr="00E565C0" w:rsidRDefault="008E6E2A">
      <w:pPr>
        <w:pStyle w:val="TableofFigures"/>
        <w:tabs>
          <w:tab w:val="right" w:leader="dot" w:pos="9060"/>
        </w:tabs>
        <w:rPr>
          <w:rFonts w:asciiTheme="minorHAnsi" w:eastAsiaTheme="minorEastAsia" w:hAnsiTheme="minorHAnsi" w:cstheme="minorBidi"/>
          <w:noProof/>
          <w:sz w:val="22"/>
          <w:szCs w:val="22"/>
          <w:lang w:val="sl-SI" w:eastAsia="sl-SI"/>
        </w:rPr>
      </w:pPr>
      <w:hyperlink w:anchor="_Toc49771351" w:history="1">
        <w:r w:rsidR="00E565C0" w:rsidRPr="00E565C0">
          <w:rPr>
            <w:rStyle w:val="Hyperlink"/>
            <w:noProof/>
          </w:rPr>
          <w:t>Slika 6: Gibanje deleža (v %) sedanje vrednosti nepremičnin, dolgoročnega dolga in dolgoročnih finančnih naložb v bruto domačem  proizvodu v obdobju 2012-2018 (podatki o bruto domačem proizvodu za izračun so pridobljeni na Statističnem uradu RS, www.surs.si)</w:t>
        </w:r>
        <w:r w:rsidR="00E565C0" w:rsidRPr="00E565C0">
          <w:rPr>
            <w:noProof/>
            <w:webHidden/>
          </w:rPr>
          <w:tab/>
        </w:r>
        <w:r w:rsidR="00E565C0" w:rsidRPr="00E565C0">
          <w:rPr>
            <w:noProof/>
            <w:webHidden/>
          </w:rPr>
          <w:fldChar w:fldCharType="begin"/>
        </w:r>
        <w:r w:rsidR="00E565C0" w:rsidRPr="00E565C0">
          <w:rPr>
            <w:noProof/>
            <w:webHidden/>
          </w:rPr>
          <w:instrText xml:space="preserve"> PAGEREF _Toc49771351 \h </w:instrText>
        </w:r>
        <w:r w:rsidR="00E565C0" w:rsidRPr="00E565C0">
          <w:rPr>
            <w:noProof/>
            <w:webHidden/>
          </w:rPr>
        </w:r>
        <w:r w:rsidR="00E565C0" w:rsidRPr="00E565C0">
          <w:rPr>
            <w:noProof/>
            <w:webHidden/>
          </w:rPr>
          <w:fldChar w:fldCharType="separate"/>
        </w:r>
        <w:r w:rsidR="00E565C0" w:rsidRPr="00E565C0">
          <w:rPr>
            <w:noProof/>
            <w:webHidden/>
          </w:rPr>
          <w:t>21</w:t>
        </w:r>
        <w:r w:rsidR="00E565C0" w:rsidRPr="00E565C0">
          <w:rPr>
            <w:noProof/>
            <w:webHidden/>
          </w:rPr>
          <w:fldChar w:fldCharType="end"/>
        </w:r>
      </w:hyperlink>
    </w:p>
    <w:p w:rsidR="00E565C0" w:rsidRPr="00E565C0" w:rsidRDefault="008E6E2A">
      <w:pPr>
        <w:pStyle w:val="TableofFigures"/>
        <w:tabs>
          <w:tab w:val="right" w:leader="dot" w:pos="9060"/>
        </w:tabs>
        <w:rPr>
          <w:rFonts w:asciiTheme="minorHAnsi" w:eastAsiaTheme="minorEastAsia" w:hAnsiTheme="minorHAnsi" w:cstheme="minorBidi"/>
          <w:noProof/>
          <w:sz w:val="22"/>
          <w:szCs w:val="22"/>
          <w:lang w:val="sl-SI" w:eastAsia="sl-SI"/>
        </w:rPr>
      </w:pPr>
      <w:hyperlink w:anchor="_Toc49771352" w:history="1">
        <w:r w:rsidR="00E565C0" w:rsidRPr="00E565C0">
          <w:rPr>
            <w:rStyle w:val="Hyperlink"/>
            <w:noProof/>
          </w:rPr>
          <w:t>Slika 7: Gibanje sedanje vrednosti nepremičnin, dolgoročnega dolga in dolgoročnih finančnih naložb na prebivalca na zadnji dan leta (v €) v obdobju 2012-2018 (podatki o številu prebivalcev za izračun so pridobljeni na Statističnem uradu RS, www.surs.si)</w:t>
        </w:r>
        <w:r w:rsidR="00E565C0" w:rsidRPr="00E565C0">
          <w:rPr>
            <w:noProof/>
            <w:webHidden/>
          </w:rPr>
          <w:tab/>
        </w:r>
        <w:r w:rsidR="00E565C0" w:rsidRPr="00E565C0">
          <w:rPr>
            <w:noProof/>
            <w:webHidden/>
          </w:rPr>
          <w:fldChar w:fldCharType="begin"/>
        </w:r>
        <w:r w:rsidR="00E565C0" w:rsidRPr="00E565C0">
          <w:rPr>
            <w:noProof/>
            <w:webHidden/>
          </w:rPr>
          <w:instrText xml:space="preserve"> PAGEREF _Toc49771352 \h </w:instrText>
        </w:r>
        <w:r w:rsidR="00E565C0" w:rsidRPr="00E565C0">
          <w:rPr>
            <w:noProof/>
            <w:webHidden/>
          </w:rPr>
        </w:r>
        <w:r w:rsidR="00E565C0" w:rsidRPr="00E565C0">
          <w:rPr>
            <w:noProof/>
            <w:webHidden/>
          </w:rPr>
          <w:fldChar w:fldCharType="separate"/>
        </w:r>
        <w:r w:rsidR="00E565C0" w:rsidRPr="00E565C0">
          <w:rPr>
            <w:noProof/>
            <w:webHidden/>
          </w:rPr>
          <w:t>22</w:t>
        </w:r>
        <w:r w:rsidR="00E565C0" w:rsidRPr="00E565C0">
          <w:rPr>
            <w:noProof/>
            <w:webHidden/>
          </w:rPr>
          <w:fldChar w:fldCharType="end"/>
        </w:r>
      </w:hyperlink>
    </w:p>
    <w:p w:rsidR="00E565C0" w:rsidRPr="00E565C0" w:rsidRDefault="008E6E2A">
      <w:pPr>
        <w:pStyle w:val="TableofFigures"/>
        <w:tabs>
          <w:tab w:val="right" w:leader="dot" w:pos="9060"/>
        </w:tabs>
        <w:rPr>
          <w:rFonts w:asciiTheme="minorHAnsi" w:eastAsiaTheme="minorEastAsia" w:hAnsiTheme="minorHAnsi" w:cstheme="minorBidi"/>
          <w:noProof/>
          <w:sz w:val="22"/>
          <w:szCs w:val="22"/>
          <w:lang w:val="sl-SI" w:eastAsia="sl-SI"/>
        </w:rPr>
      </w:pPr>
      <w:hyperlink w:anchor="_Toc49771353" w:history="1">
        <w:r w:rsidR="00E565C0" w:rsidRPr="00E565C0">
          <w:rPr>
            <w:rStyle w:val="Hyperlink"/>
            <w:noProof/>
          </w:rPr>
          <w:t>Slika 8: Delež aktivnih postavk premoženjske bilance države v bilančni vsoti na dan 31.12.2018</w:t>
        </w:r>
        <w:r w:rsidR="00E565C0" w:rsidRPr="00E565C0">
          <w:rPr>
            <w:noProof/>
            <w:webHidden/>
          </w:rPr>
          <w:tab/>
        </w:r>
        <w:r w:rsidR="00E565C0" w:rsidRPr="00E565C0">
          <w:rPr>
            <w:noProof/>
            <w:webHidden/>
          </w:rPr>
          <w:fldChar w:fldCharType="begin"/>
        </w:r>
        <w:r w:rsidR="00E565C0" w:rsidRPr="00E565C0">
          <w:rPr>
            <w:noProof/>
            <w:webHidden/>
          </w:rPr>
          <w:instrText xml:space="preserve"> PAGEREF _Toc49771353 \h </w:instrText>
        </w:r>
        <w:r w:rsidR="00E565C0" w:rsidRPr="00E565C0">
          <w:rPr>
            <w:noProof/>
            <w:webHidden/>
          </w:rPr>
        </w:r>
        <w:r w:rsidR="00E565C0" w:rsidRPr="00E565C0">
          <w:rPr>
            <w:noProof/>
            <w:webHidden/>
          </w:rPr>
          <w:fldChar w:fldCharType="separate"/>
        </w:r>
        <w:r w:rsidR="00E565C0" w:rsidRPr="00E565C0">
          <w:rPr>
            <w:noProof/>
            <w:webHidden/>
          </w:rPr>
          <w:t>24</w:t>
        </w:r>
        <w:r w:rsidR="00E565C0" w:rsidRPr="00E565C0">
          <w:rPr>
            <w:noProof/>
            <w:webHidden/>
          </w:rPr>
          <w:fldChar w:fldCharType="end"/>
        </w:r>
      </w:hyperlink>
    </w:p>
    <w:p w:rsidR="00E565C0" w:rsidRPr="00E565C0" w:rsidRDefault="008E6E2A">
      <w:pPr>
        <w:pStyle w:val="TableofFigures"/>
        <w:tabs>
          <w:tab w:val="right" w:leader="dot" w:pos="9060"/>
        </w:tabs>
        <w:rPr>
          <w:rFonts w:asciiTheme="minorHAnsi" w:eastAsiaTheme="minorEastAsia" w:hAnsiTheme="minorHAnsi" w:cstheme="minorBidi"/>
          <w:noProof/>
          <w:sz w:val="22"/>
          <w:szCs w:val="22"/>
          <w:lang w:val="sl-SI" w:eastAsia="sl-SI"/>
        </w:rPr>
      </w:pPr>
      <w:hyperlink w:anchor="_Toc49771354" w:history="1">
        <w:r w:rsidR="00E565C0" w:rsidRPr="00E565C0">
          <w:rPr>
            <w:rStyle w:val="Hyperlink"/>
            <w:bCs/>
            <w:noProof/>
          </w:rPr>
          <w:t>Slika 9: Delež pasivnih postavk premoženjske bilance države v bilančni vsoti na dan 31.12.2018</w:t>
        </w:r>
        <w:r w:rsidR="00E565C0" w:rsidRPr="00E565C0">
          <w:rPr>
            <w:noProof/>
            <w:webHidden/>
          </w:rPr>
          <w:tab/>
        </w:r>
        <w:r w:rsidR="00E565C0" w:rsidRPr="00E565C0">
          <w:rPr>
            <w:noProof/>
            <w:webHidden/>
          </w:rPr>
          <w:fldChar w:fldCharType="begin"/>
        </w:r>
        <w:r w:rsidR="00E565C0" w:rsidRPr="00E565C0">
          <w:rPr>
            <w:noProof/>
            <w:webHidden/>
          </w:rPr>
          <w:instrText xml:space="preserve"> PAGEREF _Toc49771354 \h </w:instrText>
        </w:r>
        <w:r w:rsidR="00E565C0" w:rsidRPr="00E565C0">
          <w:rPr>
            <w:noProof/>
            <w:webHidden/>
          </w:rPr>
        </w:r>
        <w:r w:rsidR="00E565C0" w:rsidRPr="00E565C0">
          <w:rPr>
            <w:noProof/>
            <w:webHidden/>
          </w:rPr>
          <w:fldChar w:fldCharType="separate"/>
        </w:r>
        <w:r w:rsidR="00E565C0" w:rsidRPr="00E565C0">
          <w:rPr>
            <w:noProof/>
            <w:webHidden/>
          </w:rPr>
          <w:t>25</w:t>
        </w:r>
        <w:r w:rsidR="00E565C0" w:rsidRPr="00E565C0">
          <w:rPr>
            <w:noProof/>
            <w:webHidden/>
          </w:rPr>
          <w:fldChar w:fldCharType="end"/>
        </w:r>
      </w:hyperlink>
    </w:p>
    <w:p w:rsidR="00E565C0" w:rsidRPr="00E565C0" w:rsidRDefault="008E6E2A">
      <w:pPr>
        <w:pStyle w:val="TableofFigures"/>
        <w:tabs>
          <w:tab w:val="right" w:leader="dot" w:pos="9060"/>
        </w:tabs>
        <w:rPr>
          <w:rFonts w:asciiTheme="minorHAnsi" w:eastAsiaTheme="minorEastAsia" w:hAnsiTheme="minorHAnsi" w:cstheme="minorBidi"/>
          <w:noProof/>
          <w:sz w:val="22"/>
          <w:szCs w:val="22"/>
          <w:lang w:val="sl-SI" w:eastAsia="sl-SI"/>
        </w:rPr>
      </w:pPr>
      <w:hyperlink w:anchor="_Toc49771355" w:history="1">
        <w:r w:rsidR="00E565C0" w:rsidRPr="00E565C0">
          <w:rPr>
            <w:rStyle w:val="Hyperlink"/>
            <w:noProof/>
          </w:rPr>
          <w:t>Slika 10: Prikaz presežkov prihodkov nad odhodki oziroma presežkov odhodkov nad prihodki  po izbranih skupinah SKD za PPU državnega proračuna na dan 31.12.2018 v (€)</w:t>
        </w:r>
        <w:r w:rsidR="00E565C0" w:rsidRPr="00E565C0">
          <w:rPr>
            <w:noProof/>
            <w:webHidden/>
          </w:rPr>
          <w:tab/>
        </w:r>
        <w:r w:rsidR="00E565C0" w:rsidRPr="00E565C0">
          <w:rPr>
            <w:noProof/>
            <w:webHidden/>
          </w:rPr>
          <w:fldChar w:fldCharType="begin"/>
        </w:r>
        <w:r w:rsidR="00E565C0" w:rsidRPr="00E565C0">
          <w:rPr>
            <w:noProof/>
            <w:webHidden/>
          </w:rPr>
          <w:instrText xml:space="preserve"> PAGEREF _Toc49771355 \h </w:instrText>
        </w:r>
        <w:r w:rsidR="00E565C0" w:rsidRPr="00E565C0">
          <w:rPr>
            <w:noProof/>
            <w:webHidden/>
          </w:rPr>
        </w:r>
        <w:r w:rsidR="00E565C0" w:rsidRPr="00E565C0">
          <w:rPr>
            <w:noProof/>
            <w:webHidden/>
          </w:rPr>
          <w:fldChar w:fldCharType="separate"/>
        </w:r>
        <w:r w:rsidR="00E565C0" w:rsidRPr="00E565C0">
          <w:rPr>
            <w:noProof/>
            <w:webHidden/>
          </w:rPr>
          <w:t>34</w:t>
        </w:r>
        <w:r w:rsidR="00E565C0" w:rsidRPr="00E565C0">
          <w:rPr>
            <w:noProof/>
            <w:webHidden/>
          </w:rPr>
          <w:fldChar w:fldCharType="end"/>
        </w:r>
      </w:hyperlink>
    </w:p>
    <w:p w:rsidR="00E565C0" w:rsidRPr="00E565C0" w:rsidRDefault="008E6E2A">
      <w:pPr>
        <w:pStyle w:val="TableofFigures"/>
        <w:tabs>
          <w:tab w:val="right" w:leader="dot" w:pos="9060"/>
        </w:tabs>
        <w:rPr>
          <w:rFonts w:asciiTheme="minorHAnsi" w:eastAsiaTheme="minorEastAsia" w:hAnsiTheme="minorHAnsi" w:cstheme="minorBidi"/>
          <w:noProof/>
          <w:sz w:val="22"/>
          <w:szCs w:val="22"/>
          <w:lang w:val="sl-SI" w:eastAsia="sl-SI"/>
        </w:rPr>
      </w:pPr>
      <w:hyperlink w:anchor="_Toc49771356" w:history="1">
        <w:r w:rsidR="00E565C0" w:rsidRPr="00E565C0">
          <w:rPr>
            <w:rStyle w:val="Hyperlink"/>
            <w:noProof/>
          </w:rPr>
          <w:t>Slika 11: Delež aktivnih postavk vseh premoženjskih bilanc občin v bilančni vsoti na dan 31.12.2018</w:t>
        </w:r>
        <w:r w:rsidR="00E565C0" w:rsidRPr="00E565C0">
          <w:rPr>
            <w:noProof/>
            <w:webHidden/>
          </w:rPr>
          <w:tab/>
        </w:r>
        <w:r w:rsidR="00E565C0" w:rsidRPr="00E565C0">
          <w:rPr>
            <w:noProof/>
            <w:webHidden/>
          </w:rPr>
          <w:fldChar w:fldCharType="begin"/>
        </w:r>
        <w:r w:rsidR="00E565C0" w:rsidRPr="00E565C0">
          <w:rPr>
            <w:noProof/>
            <w:webHidden/>
          </w:rPr>
          <w:instrText xml:space="preserve"> PAGEREF _Toc49771356 \h </w:instrText>
        </w:r>
        <w:r w:rsidR="00E565C0" w:rsidRPr="00E565C0">
          <w:rPr>
            <w:noProof/>
            <w:webHidden/>
          </w:rPr>
        </w:r>
        <w:r w:rsidR="00E565C0" w:rsidRPr="00E565C0">
          <w:rPr>
            <w:noProof/>
            <w:webHidden/>
          </w:rPr>
          <w:fldChar w:fldCharType="separate"/>
        </w:r>
        <w:r w:rsidR="00E565C0" w:rsidRPr="00E565C0">
          <w:rPr>
            <w:noProof/>
            <w:webHidden/>
          </w:rPr>
          <w:t>39</w:t>
        </w:r>
        <w:r w:rsidR="00E565C0" w:rsidRPr="00E565C0">
          <w:rPr>
            <w:noProof/>
            <w:webHidden/>
          </w:rPr>
          <w:fldChar w:fldCharType="end"/>
        </w:r>
      </w:hyperlink>
    </w:p>
    <w:p w:rsidR="00E565C0" w:rsidRPr="00E565C0" w:rsidRDefault="008E6E2A">
      <w:pPr>
        <w:pStyle w:val="TableofFigures"/>
        <w:tabs>
          <w:tab w:val="right" w:leader="dot" w:pos="9060"/>
        </w:tabs>
        <w:rPr>
          <w:rFonts w:asciiTheme="minorHAnsi" w:eastAsiaTheme="minorEastAsia" w:hAnsiTheme="minorHAnsi" w:cstheme="minorBidi"/>
          <w:noProof/>
          <w:sz w:val="22"/>
          <w:szCs w:val="22"/>
          <w:lang w:val="sl-SI" w:eastAsia="sl-SI"/>
        </w:rPr>
      </w:pPr>
      <w:hyperlink w:anchor="_Toc49771357" w:history="1">
        <w:r w:rsidR="00E565C0" w:rsidRPr="00E565C0">
          <w:rPr>
            <w:rStyle w:val="Hyperlink"/>
            <w:noProof/>
          </w:rPr>
          <w:t>Slika 12: Delež pasivnih postavk vseh premoženjskih bilanc občin v bilančni vsoti na dan 31.12.2018</w:t>
        </w:r>
        <w:r w:rsidR="00E565C0" w:rsidRPr="00E565C0">
          <w:rPr>
            <w:noProof/>
            <w:webHidden/>
          </w:rPr>
          <w:tab/>
        </w:r>
        <w:r w:rsidR="00E565C0" w:rsidRPr="00E565C0">
          <w:rPr>
            <w:noProof/>
            <w:webHidden/>
          </w:rPr>
          <w:fldChar w:fldCharType="begin"/>
        </w:r>
        <w:r w:rsidR="00E565C0" w:rsidRPr="00E565C0">
          <w:rPr>
            <w:noProof/>
            <w:webHidden/>
          </w:rPr>
          <w:instrText xml:space="preserve"> PAGEREF _Toc49771357 \h </w:instrText>
        </w:r>
        <w:r w:rsidR="00E565C0" w:rsidRPr="00E565C0">
          <w:rPr>
            <w:noProof/>
            <w:webHidden/>
          </w:rPr>
        </w:r>
        <w:r w:rsidR="00E565C0" w:rsidRPr="00E565C0">
          <w:rPr>
            <w:noProof/>
            <w:webHidden/>
          </w:rPr>
          <w:fldChar w:fldCharType="separate"/>
        </w:r>
        <w:r w:rsidR="00E565C0" w:rsidRPr="00E565C0">
          <w:rPr>
            <w:noProof/>
            <w:webHidden/>
          </w:rPr>
          <w:t>39</w:t>
        </w:r>
        <w:r w:rsidR="00E565C0" w:rsidRPr="00E565C0">
          <w:rPr>
            <w:noProof/>
            <w:webHidden/>
          </w:rPr>
          <w:fldChar w:fldCharType="end"/>
        </w:r>
      </w:hyperlink>
    </w:p>
    <w:p w:rsidR="00E565C0" w:rsidRPr="00E565C0" w:rsidRDefault="008E6E2A">
      <w:pPr>
        <w:pStyle w:val="TableofFigures"/>
        <w:tabs>
          <w:tab w:val="right" w:leader="dot" w:pos="9060"/>
        </w:tabs>
        <w:rPr>
          <w:rFonts w:asciiTheme="minorHAnsi" w:eastAsiaTheme="minorEastAsia" w:hAnsiTheme="minorHAnsi" w:cstheme="minorBidi"/>
          <w:noProof/>
          <w:sz w:val="22"/>
          <w:szCs w:val="22"/>
          <w:lang w:val="sl-SI" w:eastAsia="sl-SI"/>
        </w:rPr>
      </w:pPr>
      <w:hyperlink w:anchor="_Toc49771358" w:history="1">
        <w:r w:rsidR="00E565C0" w:rsidRPr="00E565C0">
          <w:rPr>
            <w:rStyle w:val="Hyperlink"/>
            <w:noProof/>
          </w:rPr>
          <w:t>Slika 13: Prikaz presežkov prihodkov nad odhodki oziroma presežkov odhodkov nad prihodki  po izbranih skupinah SKD za PPU občinskih proračunov na dan 31.12.2018 v (€)</w:t>
        </w:r>
        <w:r w:rsidR="00E565C0" w:rsidRPr="00E565C0">
          <w:rPr>
            <w:noProof/>
            <w:webHidden/>
          </w:rPr>
          <w:tab/>
        </w:r>
        <w:r w:rsidR="00E565C0" w:rsidRPr="00E565C0">
          <w:rPr>
            <w:noProof/>
            <w:webHidden/>
          </w:rPr>
          <w:fldChar w:fldCharType="begin"/>
        </w:r>
        <w:r w:rsidR="00E565C0" w:rsidRPr="00E565C0">
          <w:rPr>
            <w:noProof/>
            <w:webHidden/>
          </w:rPr>
          <w:instrText xml:space="preserve"> PAGEREF _Toc49771358 \h </w:instrText>
        </w:r>
        <w:r w:rsidR="00E565C0" w:rsidRPr="00E565C0">
          <w:rPr>
            <w:noProof/>
            <w:webHidden/>
          </w:rPr>
        </w:r>
        <w:r w:rsidR="00E565C0" w:rsidRPr="00E565C0">
          <w:rPr>
            <w:noProof/>
            <w:webHidden/>
          </w:rPr>
          <w:fldChar w:fldCharType="separate"/>
        </w:r>
        <w:r w:rsidR="00E565C0" w:rsidRPr="00E565C0">
          <w:rPr>
            <w:noProof/>
            <w:webHidden/>
          </w:rPr>
          <w:t>49</w:t>
        </w:r>
        <w:r w:rsidR="00E565C0" w:rsidRPr="00E565C0">
          <w:rPr>
            <w:noProof/>
            <w:webHidden/>
          </w:rPr>
          <w:fldChar w:fldCharType="end"/>
        </w:r>
      </w:hyperlink>
    </w:p>
    <w:p w:rsidR="00F64398" w:rsidRDefault="00206B1C" w:rsidP="000F6B5B">
      <w:pPr>
        <w:spacing w:line="240" w:lineRule="auto"/>
        <w:rPr>
          <w:lang w:val="sl-SI" w:eastAsia="sl-SI"/>
        </w:rPr>
      </w:pPr>
      <w:r>
        <w:rPr>
          <w:rFonts w:cs="Arial"/>
          <w:b/>
          <w:iCs/>
          <w:sz w:val="28"/>
          <w:szCs w:val="28"/>
          <w:lang w:val="sl-SI" w:eastAsia="sl-SI"/>
        </w:rPr>
        <w:fldChar w:fldCharType="end"/>
      </w:r>
      <w:r w:rsidR="001A27E7" w:rsidRPr="00FF29CD">
        <w:rPr>
          <w:rFonts w:cs="Arial"/>
          <w:b/>
          <w:iCs/>
          <w:sz w:val="24"/>
          <w:lang w:val="sl-SI" w:eastAsia="sl-SI"/>
        </w:rPr>
        <w:t>Kratice</w:t>
      </w:r>
    </w:p>
    <w:tbl>
      <w:tblPr>
        <w:tblW w:w="8080" w:type="dxa"/>
        <w:tblInd w:w="55" w:type="dxa"/>
        <w:tblCellMar>
          <w:left w:w="70" w:type="dxa"/>
          <w:right w:w="70" w:type="dxa"/>
        </w:tblCellMar>
        <w:tblLook w:val="04A0" w:firstRow="1" w:lastRow="0" w:firstColumn="1" w:lastColumn="0" w:noHBand="0" w:noVBand="1"/>
      </w:tblPr>
      <w:tblGrid>
        <w:gridCol w:w="1680"/>
        <w:gridCol w:w="6400"/>
      </w:tblGrid>
      <w:tr w:rsidR="00425201" w:rsidRPr="00425201" w:rsidTr="00425201">
        <w:trPr>
          <w:trHeight w:val="170"/>
        </w:trPr>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AJPES</w:t>
            </w:r>
          </w:p>
        </w:tc>
        <w:tc>
          <w:tcPr>
            <w:tcW w:w="6400" w:type="dxa"/>
            <w:tcBorders>
              <w:top w:val="single" w:sz="8" w:space="0" w:color="000000"/>
              <w:left w:val="nil"/>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Agencija za javnopravne storitve in evidence</w:t>
            </w:r>
          </w:p>
        </w:tc>
      </w:tr>
      <w:tr w:rsidR="00425201" w:rsidRPr="00425201" w:rsidTr="00425201">
        <w:trPr>
          <w:trHeight w:val="170"/>
        </w:trPr>
        <w:tc>
          <w:tcPr>
            <w:tcW w:w="1680" w:type="dxa"/>
            <w:tcBorders>
              <w:top w:val="nil"/>
              <w:left w:val="single" w:sz="8" w:space="0" w:color="000000"/>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DSO</w:t>
            </w:r>
          </w:p>
        </w:tc>
        <w:tc>
          <w:tcPr>
            <w:tcW w:w="6400" w:type="dxa"/>
            <w:tcBorders>
              <w:top w:val="nil"/>
              <w:left w:val="nil"/>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 xml:space="preserve">Domovi za starejše občane </w:t>
            </w:r>
          </w:p>
        </w:tc>
      </w:tr>
      <w:tr w:rsidR="00425201" w:rsidRPr="00425201" w:rsidTr="00425201">
        <w:trPr>
          <w:trHeight w:val="170"/>
        </w:trPr>
        <w:tc>
          <w:tcPr>
            <w:tcW w:w="1680" w:type="dxa"/>
            <w:tcBorders>
              <w:top w:val="nil"/>
              <w:left w:val="single" w:sz="8" w:space="0" w:color="000000"/>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EZR</w:t>
            </w:r>
          </w:p>
        </w:tc>
        <w:tc>
          <w:tcPr>
            <w:tcW w:w="6400" w:type="dxa"/>
            <w:tcBorders>
              <w:top w:val="nil"/>
              <w:left w:val="nil"/>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Enotni zakladniški račun</w:t>
            </w:r>
          </w:p>
        </w:tc>
      </w:tr>
      <w:tr w:rsidR="00425201" w:rsidRPr="00425201" w:rsidTr="00425201">
        <w:trPr>
          <w:trHeight w:val="170"/>
        </w:trPr>
        <w:tc>
          <w:tcPr>
            <w:tcW w:w="1680" w:type="dxa"/>
            <w:tcBorders>
              <w:top w:val="nil"/>
              <w:left w:val="single" w:sz="8" w:space="0" w:color="000000"/>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EZRD</w:t>
            </w:r>
          </w:p>
        </w:tc>
        <w:tc>
          <w:tcPr>
            <w:tcW w:w="6400" w:type="dxa"/>
            <w:tcBorders>
              <w:top w:val="nil"/>
              <w:left w:val="nil"/>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Enotni zakladniški račun države</w:t>
            </w:r>
          </w:p>
        </w:tc>
      </w:tr>
      <w:tr w:rsidR="00425201" w:rsidRPr="00425201" w:rsidTr="00425201">
        <w:trPr>
          <w:trHeight w:val="170"/>
        </w:trPr>
        <w:tc>
          <w:tcPr>
            <w:tcW w:w="1680" w:type="dxa"/>
            <w:tcBorders>
              <w:top w:val="nil"/>
              <w:left w:val="single" w:sz="8" w:space="0" w:color="000000"/>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EZRO</w:t>
            </w:r>
          </w:p>
        </w:tc>
        <w:tc>
          <w:tcPr>
            <w:tcW w:w="6400" w:type="dxa"/>
            <w:tcBorders>
              <w:top w:val="nil"/>
              <w:left w:val="nil"/>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Enotni zakladniški račun občin</w:t>
            </w:r>
          </w:p>
        </w:tc>
      </w:tr>
      <w:tr w:rsidR="00425201" w:rsidRPr="00425201" w:rsidTr="00425201">
        <w:trPr>
          <w:trHeight w:val="170"/>
        </w:trPr>
        <w:tc>
          <w:tcPr>
            <w:tcW w:w="1680" w:type="dxa"/>
            <w:tcBorders>
              <w:top w:val="nil"/>
              <w:left w:val="single" w:sz="8" w:space="0" w:color="000000"/>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NPU</w:t>
            </w:r>
          </w:p>
        </w:tc>
        <w:tc>
          <w:tcPr>
            <w:tcW w:w="6400" w:type="dxa"/>
            <w:tcBorders>
              <w:top w:val="nil"/>
              <w:left w:val="nil"/>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Neposredni uporabnik proračuna</w:t>
            </w:r>
          </w:p>
        </w:tc>
      </w:tr>
      <w:tr w:rsidR="00425201" w:rsidRPr="00425201" w:rsidTr="00425201">
        <w:trPr>
          <w:trHeight w:val="170"/>
        </w:trPr>
        <w:tc>
          <w:tcPr>
            <w:tcW w:w="1680" w:type="dxa"/>
            <w:tcBorders>
              <w:top w:val="nil"/>
              <w:left w:val="single" w:sz="8" w:space="0" w:color="000000"/>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OŠ</w:t>
            </w:r>
          </w:p>
        </w:tc>
        <w:tc>
          <w:tcPr>
            <w:tcW w:w="6400" w:type="dxa"/>
            <w:tcBorders>
              <w:top w:val="nil"/>
              <w:left w:val="nil"/>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Osnovne šole</w:t>
            </w:r>
          </w:p>
        </w:tc>
      </w:tr>
      <w:tr w:rsidR="00425201" w:rsidRPr="00425201" w:rsidTr="00425201">
        <w:trPr>
          <w:trHeight w:val="170"/>
        </w:trPr>
        <w:tc>
          <w:tcPr>
            <w:tcW w:w="1680" w:type="dxa"/>
            <w:tcBorders>
              <w:top w:val="nil"/>
              <w:left w:val="single" w:sz="8" w:space="0" w:color="000000"/>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PB</w:t>
            </w:r>
          </w:p>
        </w:tc>
        <w:tc>
          <w:tcPr>
            <w:tcW w:w="6400" w:type="dxa"/>
            <w:tcBorders>
              <w:top w:val="nil"/>
              <w:left w:val="nil"/>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Premoženjska bilanca</w:t>
            </w:r>
          </w:p>
        </w:tc>
      </w:tr>
      <w:tr w:rsidR="00425201" w:rsidRPr="00425201" w:rsidTr="00425201">
        <w:trPr>
          <w:trHeight w:val="170"/>
        </w:trPr>
        <w:tc>
          <w:tcPr>
            <w:tcW w:w="1680" w:type="dxa"/>
            <w:tcBorders>
              <w:top w:val="nil"/>
              <w:left w:val="single" w:sz="8" w:space="0" w:color="000000"/>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PPU</w:t>
            </w:r>
          </w:p>
        </w:tc>
        <w:tc>
          <w:tcPr>
            <w:tcW w:w="6400" w:type="dxa"/>
            <w:tcBorders>
              <w:top w:val="nil"/>
              <w:left w:val="nil"/>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Posredni uporabnik proračuna</w:t>
            </w:r>
          </w:p>
        </w:tc>
      </w:tr>
      <w:tr w:rsidR="00425201" w:rsidRPr="00425201" w:rsidTr="00425201">
        <w:trPr>
          <w:trHeight w:val="170"/>
        </w:trPr>
        <w:tc>
          <w:tcPr>
            <w:tcW w:w="1680" w:type="dxa"/>
            <w:tcBorders>
              <w:top w:val="nil"/>
              <w:left w:val="single" w:sz="8" w:space="0" w:color="000000"/>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PU</w:t>
            </w:r>
          </w:p>
        </w:tc>
        <w:tc>
          <w:tcPr>
            <w:tcW w:w="6400" w:type="dxa"/>
            <w:tcBorders>
              <w:top w:val="nil"/>
              <w:left w:val="nil"/>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Proračunski uporabnik</w:t>
            </w:r>
          </w:p>
        </w:tc>
      </w:tr>
      <w:tr w:rsidR="00425201" w:rsidRPr="00425201" w:rsidTr="00425201">
        <w:trPr>
          <w:trHeight w:val="170"/>
        </w:trPr>
        <w:tc>
          <w:tcPr>
            <w:tcW w:w="1680" w:type="dxa"/>
            <w:tcBorders>
              <w:top w:val="nil"/>
              <w:left w:val="single" w:sz="8" w:space="0" w:color="000000"/>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RS</w:t>
            </w:r>
          </w:p>
        </w:tc>
        <w:tc>
          <w:tcPr>
            <w:tcW w:w="6400" w:type="dxa"/>
            <w:tcBorders>
              <w:top w:val="nil"/>
              <w:left w:val="nil"/>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Republika Sovenija</w:t>
            </w:r>
          </w:p>
        </w:tc>
      </w:tr>
      <w:tr w:rsidR="00425201" w:rsidRPr="00425201" w:rsidTr="00425201">
        <w:trPr>
          <w:trHeight w:val="170"/>
        </w:trPr>
        <w:tc>
          <w:tcPr>
            <w:tcW w:w="1680" w:type="dxa"/>
            <w:tcBorders>
              <w:top w:val="nil"/>
              <w:left w:val="single" w:sz="8" w:space="0" w:color="000000"/>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RS - proračun</w:t>
            </w:r>
          </w:p>
        </w:tc>
        <w:tc>
          <w:tcPr>
            <w:tcW w:w="6400" w:type="dxa"/>
            <w:tcBorders>
              <w:top w:val="nil"/>
              <w:left w:val="nil"/>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Republika Slovenija - proračun (proračunski uporabnik 10995)</w:t>
            </w:r>
          </w:p>
        </w:tc>
      </w:tr>
      <w:tr w:rsidR="00425201" w:rsidRPr="00425201" w:rsidTr="00425201">
        <w:trPr>
          <w:trHeight w:val="170"/>
        </w:trPr>
        <w:tc>
          <w:tcPr>
            <w:tcW w:w="1680" w:type="dxa"/>
            <w:tcBorders>
              <w:top w:val="nil"/>
              <w:left w:val="single" w:sz="8" w:space="0" w:color="000000"/>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lastRenderedPageBreak/>
              <w:t>SKD</w:t>
            </w:r>
          </w:p>
        </w:tc>
        <w:tc>
          <w:tcPr>
            <w:tcW w:w="6400" w:type="dxa"/>
            <w:tcBorders>
              <w:top w:val="nil"/>
              <w:left w:val="nil"/>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Standardna klasifikacija dejavnosti</w:t>
            </w:r>
          </w:p>
        </w:tc>
      </w:tr>
      <w:tr w:rsidR="0086567B" w:rsidRPr="00425201" w:rsidTr="00425201">
        <w:trPr>
          <w:trHeight w:val="170"/>
        </w:trPr>
        <w:tc>
          <w:tcPr>
            <w:tcW w:w="1680" w:type="dxa"/>
            <w:tcBorders>
              <w:top w:val="nil"/>
              <w:left w:val="single" w:sz="8" w:space="0" w:color="000000"/>
              <w:bottom w:val="single" w:sz="8" w:space="0" w:color="000000"/>
              <w:right w:val="single" w:sz="8" w:space="0" w:color="000000"/>
            </w:tcBorders>
            <w:shd w:val="clear" w:color="auto" w:fill="auto"/>
            <w:vAlign w:val="center"/>
          </w:tcPr>
          <w:p w:rsidR="0086567B" w:rsidRPr="00425201" w:rsidRDefault="0086567B" w:rsidP="00425201">
            <w:pPr>
              <w:rPr>
                <w:lang w:val="sl-SI" w:eastAsia="sl-SI"/>
              </w:rPr>
            </w:pPr>
            <w:r>
              <w:rPr>
                <w:lang w:val="sl-SI" w:eastAsia="sl-SI"/>
              </w:rPr>
              <w:t>Sklad NEK</w:t>
            </w:r>
          </w:p>
        </w:tc>
        <w:tc>
          <w:tcPr>
            <w:tcW w:w="6400" w:type="dxa"/>
            <w:tcBorders>
              <w:top w:val="nil"/>
              <w:left w:val="nil"/>
              <w:bottom w:val="single" w:sz="8" w:space="0" w:color="000000"/>
              <w:right w:val="single" w:sz="8" w:space="0" w:color="000000"/>
            </w:tcBorders>
            <w:shd w:val="clear" w:color="auto" w:fill="auto"/>
            <w:vAlign w:val="center"/>
          </w:tcPr>
          <w:p w:rsidR="0086567B" w:rsidRPr="00425201" w:rsidRDefault="0086567B" w:rsidP="00425201">
            <w:pPr>
              <w:rPr>
                <w:lang w:val="sl-SI" w:eastAsia="sl-SI"/>
              </w:rPr>
            </w:pPr>
            <w:r w:rsidRPr="000F6B5B">
              <w:rPr>
                <w:lang w:val="sl-SI" w:eastAsia="sl-SI"/>
              </w:rPr>
              <w:t>Sklad za financiranje razgradnje Nuklearne elektrarne Krško in za odlaganje radioaktivnih odpadkov iz Nuklearne elektrarne Krško</w:t>
            </w:r>
          </w:p>
        </w:tc>
      </w:tr>
      <w:tr w:rsidR="00425201" w:rsidRPr="00425201" w:rsidTr="00425201">
        <w:trPr>
          <w:trHeight w:val="170"/>
        </w:trPr>
        <w:tc>
          <w:tcPr>
            <w:tcW w:w="1680" w:type="dxa"/>
            <w:tcBorders>
              <w:top w:val="nil"/>
              <w:left w:val="single" w:sz="8" w:space="0" w:color="000000"/>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SŠ poklicno</w:t>
            </w:r>
          </w:p>
        </w:tc>
        <w:tc>
          <w:tcPr>
            <w:tcW w:w="6400" w:type="dxa"/>
            <w:tcBorders>
              <w:top w:val="nil"/>
              <w:left w:val="nil"/>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Poklicno srednješolsko izobraževanje</w:t>
            </w:r>
          </w:p>
        </w:tc>
      </w:tr>
      <w:tr w:rsidR="00425201" w:rsidRPr="00425201" w:rsidTr="00425201">
        <w:trPr>
          <w:trHeight w:val="170"/>
        </w:trPr>
        <w:tc>
          <w:tcPr>
            <w:tcW w:w="1680" w:type="dxa"/>
            <w:tcBorders>
              <w:top w:val="nil"/>
              <w:left w:val="single" w:sz="8" w:space="0" w:color="000000"/>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SŠ splošno</w:t>
            </w:r>
          </w:p>
        </w:tc>
        <w:tc>
          <w:tcPr>
            <w:tcW w:w="6400" w:type="dxa"/>
            <w:tcBorders>
              <w:top w:val="nil"/>
              <w:left w:val="nil"/>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 xml:space="preserve">Splošno srednješolsko izobraževanje </w:t>
            </w:r>
          </w:p>
        </w:tc>
      </w:tr>
      <w:tr w:rsidR="00425201" w:rsidRPr="00425201" w:rsidTr="00425201">
        <w:trPr>
          <w:trHeight w:val="170"/>
        </w:trPr>
        <w:tc>
          <w:tcPr>
            <w:tcW w:w="1680" w:type="dxa"/>
            <w:tcBorders>
              <w:top w:val="nil"/>
              <w:left w:val="single" w:sz="8" w:space="0" w:color="000000"/>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UJP</w:t>
            </w:r>
          </w:p>
        </w:tc>
        <w:tc>
          <w:tcPr>
            <w:tcW w:w="6400" w:type="dxa"/>
            <w:tcBorders>
              <w:top w:val="nil"/>
              <w:left w:val="nil"/>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 xml:space="preserve">Uprava </w:t>
            </w:r>
            <w:r w:rsidR="00265DF2">
              <w:rPr>
                <w:lang w:val="sl-SI" w:eastAsia="sl-SI"/>
              </w:rPr>
              <w:t>RS</w:t>
            </w:r>
            <w:r w:rsidRPr="00425201">
              <w:rPr>
                <w:lang w:val="sl-SI" w:eastAsia="sl-SI"/>
              </w:rPr>
              <w:t xml:space="preserve"> za javna plačila</w:t>
            </w:r>
          </w:p>
        </w:tc>
      </w:tr>
      <w:tr w:rsidR="00425201" w:rsidRPr="00425201" w:rsidTr="00425201">
        <w:trPr>
          <w:trHeight w:val="170"/>
        </w:trPr>
        <w:tc>
          <w:tcPr>
            <w:tcW w:w="1680" w:type="dxa"/>
            <w:tcBorders>
              <w:top w:val="nil"/>
              <w:left w:val="single" w:sz="8" w:space="0" w:color="000000"/>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UNI</w:t>
            </w:r>
          </w:p>
        </w:tc>
        <w:tc>
          <w:tcPr>
            <w:tcW w:w="6400" w:type="dxa"/>
            <w:tcBorders>
              <w:top w:val="nil"/>
              <w:left w:val="nil"/>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Univerze in fakultete</w:t>
            </w:r>
          </w:p>
        </w:tc>
      </w:tr>
      <w:tr w:rsidR="00425201" w:rsidRPr="00425201" w:rsidTr="00425201">
        <w:trPr>
          <w:trHeight w:val="170"/>
        </w:trPr>
        <w:tc>
          <w:tcPr>
            <w:tcW w:w="1680" w:type="dxa"/>
            <w:tcBorders>
              <w:top w:val="nil"/>
              <w:left w:val="single" w:sz="8" w:space="0" w:color="000000"/>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ZP</w:t>
            </w:r>
          </w:p>
        </w:tc>
        <w:tc>
          <w:tcPr>
            <w:tcW w:w="6400" w:type="dxa"/>
            <w:tcBorders>
              <w:top w:val="nil"/>
              <w:left w:val="nil"/>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Zakladniški podračun</w:t>
            </w:r>
          </w:p>
        </w:tc>
      </w:tr>
      <w:tr w:rsidR="00425201" w:rsidRPr="00425201" w:rsidTr="00425201">
        <w:trPr>
          <w:trHeight w:val="170"/>
        </w:trPr>
        <w:tc>
          <w:tcPr>
            <w:tcW w:w="1680" w:type="dxa"/>
            <w:tcBorders>
              <w:top w:val="nil"/>
              <w:left w:val="single" w:sz="8" w:space="0" w:color="000000"/>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ZPIZ</w:t>
            </w:r>
          </w:p>
        </w:tc>
        <w:tc>
          <w:tcPr>
            <w:tcW w:w="6400" w:type="dxa"/>
            <w:tcBorders>
              <w:top w:val="nil"/>
              <w:left w:val="nil"/>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Zavod za pokojninsko in invalidsko zavarovanje</w:t>
            </w:r>
          </w:p>
        </w:tc>
      </w:tr>
      <w:tr w:rsidR="00425201" w:rsidRPr="00425201" w:rsidTr="00425201">
        <w:trPr>
          <w:trHeight w:val="170"/>
        </w:trPr>
        <w:tc>
          <w:tcPr>
            <w:tcW w:w="1680" w:type="dxa"/>
            <w:tcBorders>
              <w:top w:val="nil"/>
              <w:left w:val="single" w:sz="8" w:space="0" w:color="000000"/>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ZZZS</w:t>
            </w:r>
          </w:p>
        </w:tc>
        <w:tc>
          <w:tcPr>
            <w:tcW w:w="6400" w:type="dxa"/>
            <w:tcBorders>
              <w:top w:val="nil"/>
              <w:left w:val="nil"/>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Zavod za zdravstveno zavarovanje Slovenije</w:t>
            </w:r>
          </w:p>
        </w:tc>
      </w:tr>
    </w:tbl>
    <w:p w:rsidR="00D425CC" w:rsidRDefault="00F64398" w:rsidP="008F0A8D">
      <w:pPr>
        <w:pStyle w:val="Heading1"/>
      </w:pPr>
      <w:r>
        <w:rPr>
          <w:lang w:val="sl-SI" w:eastAsia="sl-SI"/>
        </w:rPr>
        <w:br w:type="page"/>
      </w:r>
      <w:bookmarkStart w:id="2" w:name="_Toc49771305"/>
      <w:r w:rsidR="00D425CC" w:rsidRPr="00D425CC">
        <w:lastRenderedPageBreak/>
        <w:t>UVOD</w:t>
      </w:r>
      <w:bookmarkEnd w:id="2"/>
    </w:p>
    <w:p w:rsidR="00642628" w:rsidRDefault="00642628" w:rsidP="00480FF3">
      <w:r>
        <w:t xml:space="preserve">Konsolidirana premoženjska bilanca države in občin je akt vlade, v katerem je prikazano konsolidirano stanje premoženja države in občin </w:t>
      </w:r>
      <w:proofErr w:type="gramStart"/>
      <w:r>
        <w:t>na</w:t>
      </w:r>
      <w:proofErr w:type="gramEnd"/>
      <w:r>
        <w:t xml:space="preserve"> dan 31. </w:t>
      </w:r>
      <w:proofErr w:type="gramStart"/>
      <w:r>
        <w:t>decembra</w:t>
      </w:r>
      <w:proofErr w:type="gramEnd"/>
      <w:r>
        <w:t xml:space="preserve"> tekočega leta (93. člen Z</w:t>
      </w:r>
      <w:r w:rsidR="002F05A0">
        <w:t>akona o javnih financah</w:t>
      </w:r>
      <w:r>
        <w:t xml:space="preserve">). Konsolidirano premoženjsko bilanco se izdela </w:t>
      </w:r>
      <w:proofErr w:type="gramStart"/>
      <w:r>
        <w:t>na</w:t>
      </w:r>
      <w:proofErr w:type="gramEnd"/>
      <w:r>
        <w:t xml:space="preserve"> podlagi podatkov iz bilanc stanja (29. člen Z</w:t>
      </w:r>
      <w:r w:rsidR="002F05A0">
        <w:t>akona o računovodstvu</w:t>
      </w:r>
      <w:r>
        <w:t xml:space="preserve">) in podatkov poslovnih knjig.  </w:t>
      </w:r>
      <w:proofErr w:type="gramStart"/>
      <w:r>
        <w:t>Vlada vsaki dve leti ob zaključnem računu državnega proračuna predloži državnemu zboru tudi konsolidirano premoženjsko bilanco države in občin (94. člen Z</w:t>
      </w:r>
      <w:r w:rsidR="002F05A0">
        <w:t>akona o javnih financah</w:t>
      </w:r>
      <w:r>
        <w:t>).</w:t>
      </w:r>
      <w:proofErr w:type="gramEnd"/>
      <w:r w:rsidR="00B16315">
        <w:t xml:space="preserve"> </w:t>
      </w:r>
      <w:r>
        <w:t xml:space="preserve">Zadnjič </w:t>
      </w:r>
      <w:proofErr w:type="gramStart"/>
      <w:r>
        <w:t>jo</w:t>
      </w:r>
      <w:proofErr w:type="gramEnd"/>
      <w:r>
        <w:t xml:space="preserve"> je predložila za stanje na dan 31.12.201</w:t>
      </w:r>
      <w:r w:rsidR="00052B06">
        <w:t>7</w:t>
      </w:r>
      <w:r>
        <w:t xml:space="preserve">, </w:t>
      </w:r>
      <w:r w:rsidR="008062B4">
        <w:t>zato j</w:t>
      </w:r>
      <w:r w:rsidR="00052B06">
        <w:t>e</w:t>
      </w:r>
      <w:r w:rsidR="008062B4">
        <w:t xml:space="preserve"> letos za stanje na dan 31.12.201</w:t>
      </w:r>
      <w:r w:rsidR="00052B06">
        <w:t>8</w:t>
      </w:r>
      <w:r w:rsidR="00052B06" w:rsidRPr="00052B06">
        <w:t xml:space="preserve"> </w:t>
      </w:r>
      <w:r w:rsidR="00052B06">
        <w:t>ne predlaga</w:t>
      </w:r>
      <w:r>
        <w:t>.</w:t>
      </w:r>
    </w:p>
    <w:p w:rsidR="00642628" w:rsidRDefault="00642628" w:rsidP="00480FF3"/>
    <w:p w:rsidR="009C08C6" w:rsidRDefault="00E44F88" w:rsidP="00480FF3">
      <w:r>
        <w:t xml:space="preserve">Namen prikazovanja konsolidirane premoženjske bilance države in občin je prikazati vrednost finančnega in stvarnega premoženja v lasti države ter občin kot tudi vrednost obveznosti, ki jih imajo država ter občine do drugih domačih in tujih subjektov. </w:t>
      </w:r>
      <w:r w:rsidR="00F00FEE">
        <w:t>Državno in občinsko premoženje opredeljuje 67.člen Zakona o javnih financah, in sicer: f</w:t>
      </w:r>
      <w:r>
        <w:t xml:space="preserve">inančno premoženje so denarna sredstva, denarne terjatve in terjatve za premoženje v upravljanju ter delnice in deleži </w:t>
      </w:r>
      <w:proofErr w:type="gramStart"/>
      <w:r>
        <w:t>na</w:t>
      </w:r>
      <w:proofErr w:type="gramEnd"/>
      <w:r>
        <w:t xml:space="preserve"> kapitalu pravnih oseb in druge naložbe v pravne osebe, ki niso proračunski uporabniki</w:t>
      </w:r>
      <w:r w:rsidR="00F00FEE">
        <w:t>; s</w:t>
      </w:r>
      <w:r>
        <w:t xml:space="preserve">tvarno premoženje </w:t>
      </w:r>
      <w:r w:rsidR="00F00FEE">
        <w:t xml:space="preserve">pa </w:t>
      </w:r>
      <w:r>
        <w:t>so premičnine in nepremičnine.</w:t>
      </w:r>
      <w:r w:rsidR="00A426EF">
        <w:t xml:space="preserve"> Javni zavodi in javne agencije imajo premoženje zgolj v upravljanju, medtem </w:t>
      </w:r>
      <w:proofErr w:type="gramStart"/>
      <w:r w:rsidR="00A426EF">
        <w:t>ko</w:t>
      </w:r>
      <w:proofErr w:type="gramEnd"/>
      <w:r w:rsidR="00A426EF">
        <w:t xml:space="preserve"> zakon o visokem šolstvu opredeljuje, da imajo Univerze in njene članice premoženje v lasti. </w:t>
      </w:r>
      <w:proofErr w:type="gramStart"/>
      <w:r w:rsidR="00A426EF">
        <w:t>Skladno z zakonom o javnih skladih enako velja tudi za javne sklade.</w:t>
      </w:r>
      <w:proofErr w:type="gramEnd"/>
    </w:p>
    <w:p w:rsidR="009B22FF" w:rsidRDefault="009B22FF" w:rsidP="00480FF3"/>
    <w:p w:rsidR="009B22FF" w:rsidRDefault="009B22FF" w:rsidP="00480FF3">
      <w:proofErr w:type="gramStart"/>
      <w:r>
        <w:t xml:space="preserve">Zavezanci za oddajo premoženjskih bilanc so vsi neposredni in posredni proračunski uporabniki državnega in občinskih proračunov, ki so vpisani v register proračunskih uporabnikov, ki ga vodi Uprava </w:t>
      </w:r>
      <w:r w:rsidR="00F57AAA">
        <w:t>RS</w:t>
      </w:r>
      <w:r>
        <w:t xml:space="preserve"> za javna plačila.</w:t>
      </w:r>
      <w:proofErr w:type="gramEnd"/>
    </w:p>
    <w:p w:rsidR="00E44F88" w:rsidRDefault="00E44F88" w:rsidP="00480FF3"/>
    <w:p w:rsidR="00E44F88" w:rsidRDefault="00E44F88" w:rsidP="00480FF3">
      <w:r>
        <w:t xml:space="preserve">Pravne podlage za pripravo konsolidirane premoženjske bilance države in občin </w:t>
      </w:r>
      <w:proofErr w:type="gramStart"/>
      <w:r>
        <w:t>na</w:t>
      </w:r>
      <w:proofErr w:type="gramEnd"/>
      <w:r>
        <w:t xml:space="preserve"> dan 31.12.201</w:t>
      </w:r>
      <w:r w:rsidR="00052B06">
        <w:t>8</w:t>
      </w:r>
      <w:r>
        <w:t xml:space="preserve"> so bile:</w:t>
      </w:r>
    </w:p>
    <w:p w:rsidR="00E44F88" w:rsidRPr="00512575" w:rsidRDefault="00E44F88" w:rsidP="00BC536D">
      <w:pPr>
        <w:numPr>
          <w:ilvl w:val="0"/>
          <w:numId w:val="10"/>
        </w:numPr>
        <w:rPr>
          <w:szCs w:val="20"/>
        </w:rPr>
      </w:pPr>
      <w:r w:rsidRPr="00512575">
        <w:rPr>
          <w:szCs w:val="20"/>
        </w:rPr>
        <w:t xml:space="preserve">Ustava RS (146. člen Ustave RS, </w:t>
      </w:r>
      <w:r w:rsidR="00F57AAA">
        <w:rPr>
          <w:rFonts w:cs="Arial"/>
          <w:szCs w:val="20"/>
        </w:rPr>
        <w:t>Uradni list RS, št. 33/91, 42/97, 66/00, 24/03, 69/04, 68/06, 47/</w:t>
      </w:r>
      <w:r w:rsidRPr="00512575">
        <w:rPr>
          <w:rFonts w:cs="Arial"/>
          <w:szCs w:val="20"/>
        </w:rPr>
        <w:t>13</w:t>
      </w:r>
      <w:r w:rsidR="00C20A98">
        <w:rPr>
          <w:rFonts w:cs="Arial"/>
          <w:szCs w:val="20"/>
        </w:rPr>
        <w:t>, 75/16</w:t>
      </w:r>
      <w:r w:rsidRPr="00512575">
        <w:rPr>
          <w:rFonts w:cs="Arial"/>
          <w:szCs w:val="20"/>
        </w:rPr>
        <w:t>),</w:t>
      </w:r>
    </w:p>
    <w:p w:rsidR="00E44F88" w:rsidRPr="00512575" w:rsidRDefault="00E44F88" w:rsidP="00BC536D">
      <w:pPr>
        <w:numPr>
          <w:ilvl w:val="0"/>
          <w:numId w:val="10"/>
        </w:numPr>
        <w:rPr>
          <w:szCs w:val="20"/>
        </w:rPr>
      </w:pPr>
      <w:r w:rsidRPr="00512575">
        <w:rPr>
          <w:szCs w:val="20"/>
        </w:rPr>
        <w:t>Zakon o javnih financah (</w:t>
      </w:r>
      <w:r w:rsidRPr="00512575">
        <w:rPr>
          <w:rFonts w:cs="Arial"/>
          <w:szCs w:val="20"/>
        </w:rPr>
        <w:t xml:space="preserve">93. člen Zakona o javnih financah, Uradni list RS, št. </w:t>
      </w:r>
      <w:r w:rsidR="00D013B3" w:rsidRPr="00E72DB7">
        <w:rPr>
          <w:rFonts w:cs="Arial"/>
          <w:szCs w:val="20"/>
        </w:rPr>
        <w:t>11/11 – uradno prečiščeno besedilo, 14/13 – popr., 101/13, 55/15 – ZFisP in 96/15 – ZIPRS1617</w:t>
      </w:r>
      <w:r w:rsidR="009344FE">
        <w:rPr>
          <w:rFonts w:cs="Arial"/>
          <w:szCs w:val="20"/>
        </w:rPr>
        <w:t>, 13/18</w:t>
      </w:r>
      <w:r w:rsidRPr="00512575">
        <w:rPr>
          <w:rFonts w:cs="Arial"/>
          <w:szCs w:val="20"/>
        </w:rPr>
        <w:t>), v nadaljevanju ZJF,</w:t>
      </w:r>
    </w:p>
    <w:p w:rsidR="00E44F88" w:rsidRPr="00512575" w:rsidRDefault="00E44F88" w:rsidP="00BC536D">
      <w:pPr>
        <w:numPr>
          <w:ilvl w:val="0"/>
          <w:numId w:val="10"/>
        </w:numPr>
        <w:rPr>
          <w:szCs w:val="20"/>
        </w:rPr>
      </w:pPr>
      <w:r w:rsidRPr="00512575">
        <w:rPr>
          <w:szCs w:val="20"/>
        </w:rPr>
        <w:t>Zakon o računovodstvu (Urad</w:t>
      </w:r>
      <w:r w:rsidR="00F57AAA">
        <w:rPr>
          <w:szCs w:val="20"/>
        </w:rPr>
        <w:t>ni list RS, št. 23/99 in 30/</w:t>
      </w:r>
      <w:r w:rsidRPr="00512575">
        <w:rPr>
          <w:szCs w:val="20"/>
        </w:rPr>
        <w:t>02-ZJF-C</w:t>
      </w:r>
      <w:r w:rsidR="009344FE">
        <w:rPr>
          <w:szCs w:val="20"/>
        </w:rPr>
        <w:t>, 114/16-ZUE</w:t>
      </w:r>
      <w:r w:rsidRPr="00512575">
        <w:rPr>
          <w:szCs w:val="20"/>
        </w:rPr>
        <w:t>), v nadaljevanju ZR,</w:t>
      </w:r>
    </w:p>
    <w:p w:rsidR="00E44F88" w:rsidRPr="00512575" w:rsidRDefault="00E44F88" w:rsidP="00BC536D">
      <w:pPr>
        <w:numPr>
          <w:ilvl w:val="0"/>
          <w:numId w:val="10"/>
        </w:numPr>
        <w:rPr>
          <w:szCs w:val="20"/>
        </w:rPr>
      </w:pPr>
      <w:r w:rsidRPr="00512575">
        <w:rPr>
          <w:rFonts w:cs="Arial"/>
          <w:szCs w:val="20"/>
        </w:rPr>
        <w:t>Zakon o opravljanju plačilnih storitev za proračunske uporabnike</w:t>
      </w:r>
      <w:r w:rsidRPr="00512575">
        <w:rPr>
          <w:szCs w:val="20"/>
        </w:rPr>
        <w:t xml:space="preserve"> </w:t>
      </w:r>
      <w:r w:rsidR="00F57AAA">
        <w:rPr>
          <w:rFonts w:cs="Arial"/>
          <w:szCs w:val="20"/>
        </w:rPr>
        <w:t>(Uradni list RS, št.</w:t>
      </w:r>
      <w:r w:rsidR="00C20A98">
        <w:rPr>
          <w:rFonts w:cs="Arial"/>
          <w:szCs w:val="20"/>
        </w:rPr>
        <w:t xml:space="preserve"> 77/16</w:t>
      </w:r>
      <w:r w:rsidRPr="00512575">
        <w:rPr>
          <w:rFonts w:cs="Arial"/>
          <w:szCs w:val="20"/>
        </w:rPr>
        <w:t xml:space="preserve">), </w:t>
      </w:r>
      <w:r w:rsidR="00A426EF">
        <w:rPr>
          <w:rFonts w:cs="Arial"/>
          <w:szCs w:val="20"/>
        </w:rPr>
        <w:t>v nadaljevanju ZOPSPU</w:t>
      </w:r>
      <w:r w:rsidR="00C25414">
        <w:rPr>
          <w:rFonts w:cs="Arial"/>
          <w:szCs w:val="20"/>
        </w:rPr>
        <w:t>-1</w:t>
      </w:r>
      <w:r w:rsidR="00A426EF">
        <w:rPr>
          <w:rFonts w:cs="Arial"/>
          <w:szCs w:val="20"/>
        </w:rPr>
        <w:t>,</w:t>
      </w:r>
    </w:p>
    <w:p w:rsidR="00E44F88" w:rsidRPr="00512575" w:rsidRDefault="00E44F88" w:rsidP="00BC536D">
      <w:pPr>
        <w:numPr>
          <w:ilvl w:val="0"/>
          <w:numId w:val="10"/>
        </w:numPr>
        <w:rPr>
          <w:szCs w:val="20"/>
        </w:rPr>
      </w:pPr>
      <w:r w:rsidRPr="00512575">
        <w:rPr>
          <w:rFonts w:cs="Arial"/>
          <w:szCs w:val="20"/>
        </w:rPr>
        <w:t>Zakon o izvrševanju proračunov RS za leti 201</w:t>
      </w:r>
      <w:r w:rsidR="00052B06">
        <w:rPr>
          <w:rFonts w:cs="Arial"/>
          <w:szCs w:val="20"/>
        </w:rPr>
        <w:t>8</w:t>
      </w:r>
      <w:r w:rsidRPr="00512575">
        <w:rPr>
          <w:rFonts w:cs="Arial"/>
          <w:szCs w:val="20"/>
        </w:rPr>
        <w:t xml:space="preserve"> in 201</w:t>
      </w:r>
      <w:r w:rsidR="00052B06">
        <w:rPr>
          <w:rFonts w:cs="Arial"/>
          <w:szCs w:val="20"/>
        </w:rPr>
        <w:t>9</w:t>
      </w:r>
      <w:r w:rsidRPr="00512575">
        <w:rPr>
          <w:rFonts w:cs="Arial"/>
          <w:szCs w:val="20"/>
        </w:rPr>
        <w:t xml:space="preserve"> (</w:t>
      </w:r>
      <w:r w:rsidR="00052B06">
        <w:rPr>
          <w:rFonts w:cs="Arial"/>
          <w:szCs w:val="20"/>
        </w:rPr>
        <w:t>67</w:t>
      </w:r>
      <w:r w:rsidRPr="00512575">
        <w:rPr>
          <w:rFonts w:cs="Arial"/>
          <w:szCs w:val="20"/>
        </w:rPr>
        <w:t>. člen Zakona o izvrševanju proračunov RS za leti 201</w:t>
      </w:r>
      <w:r w:rsidR="00052B06">
        <w:rPr>
          <w:rFonts w:cs="Arial"/>
          <w:szCs w:val="20"/>
        </w:rPr>
        <w:t>8</w:t>
      </w:r>
      <w:r w:rsidRPr="00512575">
        <w:rPr>
          <w:rFonts w:cs="Arial"/>
          <w:szCs w:val="20"/>
        </w:rPr>
        <w:t xml:space="preserve"> in 201</w:t>
      </w:r>
      <w:r w:rsidR="00052B06">
        <w:rPr>
          <w:rFonts w:cs="Arial"/>
          <w:szCs w:val="20"/>
        </w:rPr>
        <w:t>9</w:t>
      </w:r>
      <w:r w:rsidRPr="00512575">
        <w:rPr>
          <w:rFonts w:cs="Arial"/>
          <w:szCs w:val="20"/>
        </w:rPr>
        <w:t xml:space="preserve">, Uradni list RS, št. </w:t>
      </w:r>
      <w:r w:rsidR="00052B06">
        <w:rPr>
          <w:rFonts w:cs="Arial"/>
          <w:szCs w:val="20"/>
        </w:rPr>
        <w:t>71/17, 13/18-ZJF-H, 83/18, 19/19</w:t>
      </w:r>
      <w:r w:rsidRPr="00512575">
        <w:rPr>
          <w:rFonts w:cs="Arial"/>
          <w:szCs w:val="20"/>
        </w:rPr>
        <w:t>),</w:t>
      </w:r>
    </w:p>
    <w:p w:rsidR="00E44F88" w:rsidRPr="00512575" w:rsidRDefault="00E44F88" w:rsidP="00BC536D">
      <w:pPr>
        <w:numPr>
          <w:ilvl w:val="0"/>
          <w:numId w:val="10"/>
        </w:numPr>
        <w:rPr>
          <w:szCs w:val="20"/>
        </w:rPr>
      </w:pPr>
      <w:r w:rsidRPr="00512575">
        <w:rPr>
          <w:szCs w:val="20"/>
        </w:rPr>
        <w:t xml:space="preserve">Pravilnik o pripravi konsolidirane premoženjske bilance države in občin </w:t>
      </w:r>
      <w:r w:rsidR="00F57AAA">
        <w:rPr>
          <w:rFonts w:cs="Arial"/>
          <w:szCs w:val="20"/>
        </w:rPr>
        <w:t>(Uradni list RS, št. 106/</w:t>
      </w:r>
      <w:r w:rsidRPr="00512575">
        <w:rPr>
          <w:rFonts w:cs="Arial"/>
          <w:szCs w:val="20"/>
        </w:rPr>
        <w:t>13</w:t>
      </w:r>
      <w:r w:rsidR="00F57AAA">
        <w:rPr>
          <w:rFonts w:cs="Arial"/>
          <w:szCs w:val="20"/>
        </w:rPr>
        <w:t>, 94/</w:t>
      </w:r>
      <w:r w:rsidR="00C7544E">
        <w:rPr>
          <w:rFonts w:cs="Arial"/>
          <w:szCs w:val="20"/>
        </w:rPr>
        <w:t>14</w:t>
      </w:r>
      <w:r w:rsidRPr="00512575">
        <w:rPr>
          <w:rFonts w:cs="Arial"/>
          <w:szCs w:val="20"/>
        </w:rPr>
        <w:t>), v nadaljevanju PoKPB,</w:t>
      </w:r>
    </w:p>
    <w:p w:rsidR="00E44F88" w:rsidRPr="00512575" w:rsidRDefault="00E44F88" w:rsidP="00BC536D">
      <w:pPr>
        <w:numPr>
          <w:ilvl w:val="0"/>
          <w:numId w:val="10"/>
        </w:numPr>
        <w:rPr>
          <w:rFonts w:cs="Arial"/>
          <w:szCs w:val="20"/>
        </w:rPr>
      </w:pPr>
      <w:r w:rsidRPr="00512575">
        <w:rPr>
          <w:szCs w:val="20"/>
        </w:rPr>
        <w:t xml:space="preserve">Pravilnik o enotnem kontnem načrtu za proračun, proračunske uporabnike in druge osebe javnega prava </w:t>
      </w:r>
      <w:r w:rsidR="00F57AAA">
        <w:rPr>
          <w:rFonts w:cs="Arial"/>
          <w:szCs w:val="20"/>
        </w:rPr>
        <w:t>(Uradni list RS, št. 112/09, 58/10, 104/10, 104/11, 97/12, 108/</w:t>
      </w:r>
      <w:r w:rsidRPr="00512575">
        <w:rPr>
          <w:rFonts w:cs="Arial"/>
          <w:szCs w:val="20"/>
        </w:rPr>
        <w:t>13</w:t>
      </w:r>
      <w:r w:rsidR="00F57AAA">
        <w:rPr>
          <w:rFonts w:cs="Arial"/>
          <w:szCs w:val="20"/>
        </w:rPr>
        <w:t>, 94/</w:t>
      </w:r>
      <w:r w:rsidR="00C7544E">
        <w:rPr>
          <w:rFonts w:cs="Arial"/>
          <w:szCs w:val="20"/>
        </w:rPr>
        <w:t>14</w:t>
      </w:r>
      <w:r w:rsidR="00D013B3">
        <w:rPr>
          <w:rFonts w:cs="Arial"/>
          <w:szCs w:val="20"/>
        </w:rPr>
        <w:t>, 100/15</w:t>
      </w:r>
      <w:r w:rsidR="00C20A98">
        <w:rPr>
          <w:rFonts w:cs="Arial"/>
          <w:szCs w:val="20"/>
        </w:rPr>
        <w:t>, 84/16</w:t>
      </w:r>
      <w:r w:rsidR="00220FFF">
        <w:rPr>
          <w:rFonts w:cs="Arial"/>
          <w:szCs w:val="20"/>
        </w:rPr>
        <w:t>, 75/17</w:t>
      </w:r>
      <w:r w:rsidR="00A1022B">
        <w:rPr>
          <w:rFonts w:cs="Arial"/>
          <w:szCs w:val="20"/>
        </w:rPr>
        <w:t>, 82/18</w:t>
      </w:r>
      <w:r w:rsidRPr="00512575">
        <w:rPr>
          <w:rFonts w:cs="Arial"/>
          <w:szCs w:val="20"/>
        </w:rPr>
        <w:t xml:space="preserve">), </w:t>
      </w:r>
    </w:p>
    <w:p w:rsidR="00E44F88" w:rsidRPr="00512575" w:rsidRDefault="00E44F88" w:rsidP="00BC536D">
      <w:pPr>
        <w:numPr>
          <w:ilvl w:val="0"/>
          <w:numId w:val="10"/>
        </w:numPr>
        <w:rPr>
          <w:rFonts w:cs="Arial"/>
          <w:szCs w:val="20"/>
        </w:rPr>
      </w:pPr>
      <w:r w:rsidRPr="00512575">
        <w:rPr>
          <w:rFonts w:cs="Arial"/>
          <w:color w:val="222222"/>
          <w:szCs w:val="20"/>
        </w:rPr>
        <w:t xml:space="preserve">Pravilnik o vodenju računovodskih evidenc upravljanja denarnih sredstev sistema </w:t>
      </w:r>
      <w:r w:rsidR="00AA0436">
        <w:rPr>
          <w:rFonts w:cs="Arial"/>
          <w:color w:val="222222"/>
          <w:szCs w:val="20"/>
        </w:rPr>
        <w:t>EZR</w:t>
      </w:r>
      <w:r w:rsidR="00F57AAA">
        <w:rPr>
          <w:rFonts w:cs="Arial"/>
          <w:color w:val="222222"/>
          <w:szCs w:val="20"/>
        </w:rPr>
        <w:t xml:space="preserve"> (Uradni list RS, št. 120/07, 104/</w:t>
      </w:r>
      <w:r w:rsidRPr="00512575">
        <w:rPr>
          <w:rFonts w:cs="Arial"/>
          <w:color w:val="222222"/>
          <w:szCs w:val="20"/>
        </w:rPr>
        <w:t>09), v nadaljevanju Pravilnik EZR</w:t>
      </w:r>
    </w:p>
    <w:p w:rsidR="00EE5762" w:rsidRPr="00EE5762" w:rsidRDefault="00E44F88" w:rsidP="00BC536D">
      <w:pPr>
        <w:numPr>
          <w:ilvl w:val="0"/>
          <w:numId w:val="10"/>
        </w:numPr>
      </w:pPr>
      <w:r w:rsidRPr="00512575">
        <w:rPr>
          <w:szCs w:val="20"/>
        </w:rPr>
        <w:t>Pravilnik o  sestavljanju letnih poročil za proračun, proračunske uporabnike in druge osebe javnega pr</w:t>
      </w:r>
      <w:r w:rsidR="00F57AAA">
        <w:rPr>
          <w:szCs w:val="20"/>
        </w:rPr>
        <w:t>ava  (Uradni list RS, št. 115/02, 21/03, 134/03, 126/04, 120/07, 124/08, 58/10, 60/10-popr., 104/10, 104/</w:t>
      </w:r>
      <w:r w:rsidRPr="00512575">
        <w:rPr>
          <w:szCs w:val="20"/>
        </w:rPr>
        <w:t>11</w:t>
      </w:r>
      <w:r w:rsidR="00C20A98">
        <w:rPr>
          <w:szCs w:val="20"/>
        </w:rPr>
        <w:t>, 86/16</w:t>
      </w:r>
      <w:r w:rsidRPr="00512575">
        <w:rPr>
          <w:szCs w:val="20"/>
        </w:rPr>
        <w:t>)</w:t>
      </w:r>
      <w:r w:rsidR="00EE5762">
        <w:rPr>
          <w:szCs w:val="20"/>
        </w:rPr>
        <w:t>,</w:t>
      </w:r>
    </w:p>
    <w:p w:rsidR="00EE5762" w:rsidRPr="001B1024" w:rsidRDefault="00EE5762" w:rsidP="00BC536D">
      <w:pPr>
        <w:numPr>
          <w:ilvl w:val="0"/>
          <w:numId w:val="10"/>
        </w:numPr>
      </w:pPr>
      <w:r w:rsidRPr="00EE5762">
        <w:rPr>
          <w:szCs w:val="20"/>
        </w:rPr>
        <w:t>Pravilnik o določitvi neposrednih in posrednih uporabnikov državnega in občinskih proračunov</w:t>
      </w:r>
      <w:r>
        <w:rPr>
          <w:szCs w:val="20"/>
        </w:rPr>
        <w:t xml:space="preserve"> </w:t>
      </w:r>
      <w:r w:rsidRPr="00512575">
        <w:rPr>
          <w:rFonts w:cs="Arial"/>
          <w:color w:val="222222"/>
          <w:szCs w:val="20"/>
        </w:rPr>
        <w:t>(Uradni list RS, št.</w:t>
      </w:r>
      <w:r>
        <w:rPr>
          <w:rFonts w:cs="Arial"/>
          <w:color w:val="222222"/>
          <w:szCs w:val="20"/>
        </w:rPr>
        <w:t xml:space="preserve"> 46/03),</w:t>
      </w:r>
    </w:p>
    <w:p w:rsidR="00E44F88" w:rsidRDefault="00EE5762" w:rsidP="00BC536D">
      <w:pPr>
        <w:numPr>
          <w:ilvl w:val="0"/>
          <w:numId w:val="10"/>
        </w:numPr>
      </w:pPr>
      <w:r>
        <w:rPr>
          <w:szCs w:val="20"/>
        </w:rPr>
        <w:t>Pravilnik</w:t>
      </w:r>
      <w:r w:rsidRPr="00EE5762">
        <w:rPr>
          <w:szCs w:val="20"/>
        </w:rPr>
        <w:t xml:space="preserve"> o </w:t>
      </w:r>
      <w:r w:rsidR="008C59EF">
        <w:rPr>
          <w:szCs w:val="20"/>
        </w:rPr>
        <w:t xml:space="preserve">načinu </w:t>
      </w:r>
      <w:r w:rsidRPr="00EE5762">
        <w:rPr>
          <w:szCs w:val="20"/>
        </w:rPr>
        <w:t>vodenj</w:t>
      </w:r>
      <w:r w:rsidR="008C59EF">
        <w:rPr>
          <w:szCs w:val="20"/>
        </w:rPr>
        <w:t>a</w:t>
      </w:r>
      <w:r w:rsidRPr="00EE5762">
        <w:rPr>
          <w:szCs w:val="20"/>
        </w:rPr>
        <w:t xml:space="preserve"> registra neposrednih in posrednih uporabnikov državnega in občinskih proračunov ter postopkih odpiranja in zapiranja računov</w:t>
      </w:r>
      <w:r w:rsidR="00A836D9">
        <w:rPr>
          <w:szCs w:val="20"/>
        </w:rPr>
        <w:t xml:space="preserve"> (Uradni list RS</w:t>
      </w:r>
      <w:r w:rsidR="002A0750">
        <w:rPr>
          <w:szCs w:val="20"/>
        </w:rPr>
        <w:t xml:space="preserve"> št.</w:t>
      </w:r>
      <w:r w:rsidR="00A836D9">
        <w:rPr>
          <w:szCs w:val="20"/>
        </w:rPr>
        <w:t xml:space="preserve"> </w:t>
      </w:r>
      <w:r w:rsidR="008C59EF">
        <w:rPr>
          <w:szCs w:val="20"/>
        </w:rPr>
        <w:t>25/17</w:t>
      </w:r>
      <w:r w:rsidR="00A836D9" w:rsidRPr="00A17429">
        <w:rPr>
          <w:szCs w:val="20"/>
        </w:rPr>
        <w:t>)</w:t>
      </w:r>
      <w:r w:rsidR="00A17429">
        <w:rPr>
          <w:szCs w:val="20"/>
        </w:rPr>
        <w:t>.</w:t>
      </w:r>
    </w:p>
    <w:p w:rsidR="00E44F88" w:rsidRDefault="00E44F88" w:rsidP="00480FF3"/>
    <w:p w:rsidR="00642628" w:rsidRDefault="00642628" w:rsidP="00480FF3">
      <w:proofErr w:type="gramStart"/>
      <w:r>
        <w:rPr>
          <w:b/>
          <w:bCs/>
        </w:rPr>
        <w:lastRenderedPageBreak/>
        <w:t>Metodologija</w:t>
      </w:r>
      <w:r>
        <w:t xml:space="preserve"> za izdelavo konsolidirane premoženjske bilance je predpisana v </w:t>
      </w:r>
      <w:r>
        <w:rPr>
          <w:rFonts w:cs="Arial"/>
        </w:rPr>
        <w:t>PoKPB.</w:t>
      </w:r>
      <w:proofErr w:type="gramEnd"/>
      <w:r>
        <w:rPr>
          <w:rFonts w:cs="Arial"/>
        </w:rPr>
        <w:t xml:space="preserve">  </w:t>
      </w:r>
      <w:proofErr w:type="gramStart"/>
      <w:r>
        <w:rPr>
          <w:rFonts w:cs="Arial"/>
        </w:rPr>
        <w:t>PoKPB določa postopke za pripravo premoženjskih bilanc PPU, NPU, ZPIZ, ZZZS, premoženjskih bilanc občin, premoženjske bilance države ter konsolidirane premoženjske bilance države in občin.</w:t>
      </w:r>
      <w:proofErr w:type="gramEnd"/>
    </w:p>
    <w:p w:rsidR="00642628" w:rsidRDefault="00642628" w:rsidP="00480FF3"/>
    <w:p w:rsidR="00B16315" w:rsidRDefault="00642628" w:rsidP="00480FF3">
      <w:pPr>
        <w:rPr>
          <w:rFonts w:cs="Arial"/>
          <w:color w:val="222222"/>
        </w:rPr>
      </w:pPr>
      <w:r>
        <w:t>Ministrstvo za finance je v letu 2007 z Računskim sodiščem dogovorilo računovodska pravila vodenja poslovnih knjig upravljavca sredstev sistema EZR</w:t>
      </w:r>
      <w:r w:rsidR="00481D8B">
        <w:t>D in EZRO</w:t>
      </w:r>
      <w:r>
        <w:t xml:space="preserve">. Ta pravila so bila objavljena v </w:t>
      </w:r>
      <w:r>
        <w:rPr>
          <w:rFonts w:cs="Arial"/>
          <w:color w:val="222222"/>
        </w:rPr>
        <w:t xml:space="preserve">Pravilniku EZR in v PoKPB. </w:t>
      </w:r>
    </w:p>
    <w:p w:rsidR="00B16315" w:rsidRDefault="00B16315" w:rsidP="00480FF3">
      <w:pPr>
        <w:rPr>
          <w:rFonts w:cs="Arial"/>
          <w:color w:val="222222"/>
        </w:rPr>
      </w:pPr>
    </w:p>
    <w:p w:rsidR="00642628" w:rsidRDefault="00642628" w:rsidP="00480FF3">
      <w:pPr>
        <w:rPr>
          <w:rFonts w:cs="Arial"/>
          <w:color w:val="222222"/>
        </w:rPr>
      </w:pPr>
      <w:proofErr w:type="gramStart"/>
      <w:r>
        <w:rPr>
          <w:rFonts w:cs="Arial"/>
          <w:color w:val="222222"/>
        </w:rPr>
        <w:t>ZJF v prvem odstavku 68.</w:t>
      </w:r>
      <w:proofErr w:type="gramEnd"/>
      <w:r w:rsidR="002F05A0">
        <w:rPr>
          <w:rFonts w:cs="Arial"/>
          <w:color w:val="222222"/>
        </w:rPr>
        <w:t xml:space="preserve"> </w:t>
      </w:r>
      <w:proofErr w:type="gramStart"/>
      <w:r>
        <w:rPr>
          <w:rFonts w:cs="Arial"/>
          <w:color w:val="222222"/>
        </w:rPr>
        <w:t>člena</w:t>
      </w:r>
      <w:proofErr w:type="gramEnd"/>
      <w:r w:rsidR="00C25414">
        <w:rPr>
          <w:rFonts w:cs="Arial"/>
          <w:color w:val="222222"/>
        </w:rPr>
        <w:t xml:space="preserve"> oziroma šesta alineja 2. </w:t>
      </w:r>
      <w:proofErr w:type="gramStart"/>
      <w:r w:rsidR="00C25414">
        <w:rPr>
          <w:rFonts w:cs="Arial"/>
          <w:color w:val="222222"/>
        </w:rPr>
        <w:t>člena</w:t>
      </w:r>
      <w:proofErr w:type="gramEnd"/>
      <w:r w:rsidR="00C25414">
        <w:rPr>
          <w:rFonts w:cs="Arial"/>
          <w:color w:val="222222"/>
        </w:rPr>
        <w:t xml:space="preserve"> ZOPSPU-1</w:t>
      </w:r>
      <w:r>
        <w:rPr>
          <w:rFonts w:cs="Arial"/>
          <w:color w:val="222222"/>
        </w:rPr>
        <w:t xml:space="preserve"> določa, da se u</w:t>
      </w:r>
      <w:r w:rsidRPr="004637D7">
        <w:rPr>
          <w:rFonts w:cs="Arial"/>
          <w:color w:val="222222"/>
        </w:rPr>
        <w:t xml:space="preserve">pravljavec sredstev sistema </w:t>
      </w:r>
      <w:r w:rsidR="00481D8B">
        <w:rPr>
          <w:rFonts w:cs="Arial"/>
          <w:color w:val="222222"/>
        </w:rPr>
        <w:t>EZRD in EZRO</w:t>
      </w:r>
      <w:r w:rsidRPr="004637D7">
        <w:rPr>
          <w:rFonts w:cs="Arial"/>
          <w:color w:val="222222"/>
        </w:rPr>
        <w:t xml:space="preserve"> registrira pri </w:t>
      </w:r>
      <w:r>
        <w:rPr>
          <w:rFonts w:cs="Arial"/>
          <w:color w:val="222222"/>
        </w:rPr>
        <w:t xml:space="preserve">UJP </w:t>
      </w:r>
      <w:r w:rsidRPr="004637D7">
        <w:rPr>
          <w:rFonts w:cs="Arial"/>
          <w:color w:val="222222"/>
        </w:rPr>
        <w:t>s svojo matično številko kot del ministrstva, pristojnega za finance, oziroma kot del občinske uprave.</w:t>
      </w:r>
    </w:p>
    <w:p w:rsidR="002F05A0" w:rsidRDefault="002F05A0" w:rsidP="00480FF3">
      <w:pPr>
        <w:rPr>
          <w:rFonts w:cs="Arial"/>
          <w:color w:val="222222"/>
        </w:rPr>
      </w:pPr>
    </w:p>
    <w:p w:rsidR="00642628" w:rsidRDefault="00642628" w:rsidP="00480FF3">
      <w:pPr>
        <w:rPr>
          <w:rFonts w:cs="Arial"/>
          <w:color w:val="222222"/>
        </w:rPr>
      </w:pPr>
      <w:r>
        <w:rPr>
          <w:rFonts w:cs="Arial"/>
          <w:color w:val="222222"/>
        </w:rPr>
        <w:t>Pravilnik EZR določa:</w:t>
      </w:r>
    </w:p>
    <w:p w:rsidR="00642628" w:rsidRDefault="00642628" w:rsidP="00BC536D">
      <w:pPr>
        <w:numPr>
          <w:ilvl w:val="0"/>
          <w:numId w:val="11"/>
        </w:numPr>
      </w:pPr>
      <w:r>
        <w:t>da morajo upravljavci</w:t>
      </w:r>
      <w:r w:rsidRPr="005D11E7">
        <w:t xml:space="preserve"> sredstev sistema EZR</w:t>
      </w:r>
      <w:r>
        <w:t>D in EZRO</w:t>
      </w:r>
      <w:r w:rsidRPr="005D11E7">
        <w:t xml:space="preserve"> vodi</w:t>
      </w:r>
      <w:r>
        <w:t>ti ločene poslovne knjige in i</w:t>
      </w:r>
      <w:r w:rsidRPr="005D11E7">
        <w:t>zdela</w:t>
      </w:r>
      <w:r>
        <w:t>ti</w:t>
      </w:r>
      <w:r w:rsidRPr="005D11E7">
        <w:t xml:space="preserve"> računovodsko poročilo, ki ga predloži</w:t>
      </w:r>
      <w:r>
        <w:t>jo na AJPES ter</w:t>
      </w:r>
      <w:r w:rsidRPr="005D11E7">
        <w:t xml:space="preserve"> ga vključi</w:t>
      </w:r>
      <w:r>
        <w:t>jo</w:t>
      </w:r>
      <w:r w:rsidRPr="005D11E7">
        <w:t xml:space="preserve"> v prilogo zaključnega računa proračuna</w:t>
      </w:r>
      <w:r>
        <w:t xml:space="preserve">, in izdelati </w:t>
      </w:r>
      <w:r w:rsidR="002F05A0">
        <w:t xml:space="preserve">ločeno </w:t>
      </w:r>
      <w:r w:rsidR="00481D8B">
        <w:t>PB</w:t>
      </w:r>
      <w:r>
        <w:t>;</w:t>
      </w:r>
    </w:p>
    <w:p w:rsidR="008F0A8D" w:rsidRDefault="00642628" w:rsidP="008F0A8D">
      <w:pPr>
        <w:numPr>
          <w:ilvl w:val="0"/>
          <w:numId w:val="11"/>
        </w:numPr>
      </w:pPr>
      <w:r>
        <w:rPr>
          <w:rFonts w:cs="Arial"/>
          <w:color w:val="222222"/>
        </w:rPr>
        <w:t>da d</w:t>
      </w:r>
      <w:r w:rsidRPr="007A6BE7">
        <w:rPr>
          <w:rFonts w:cs="Arial"/>
          <w:color w:val="222222"/>
        </w:rPr>
        <w:t>enarna sredstva subjektov, vključenih v sistem EZR, evidentira upravljavec sredstev sistema EZR v svojih poslovnih knjigah in poročilih, namenjenih konsolidaciji, kot denarna sredstva na računih – na ločenih podkontih glede na podkonto denarnih sredstev ZP – in kot obveznost do subjektov, vključenih v sistem EZR, ki se obrestuje</w:t>
      </w:r>
      <w:r>
        <w:rPr>
          <w:rFonts w:cs="Arial"/>
          <w:color w:val="222222"/>
        </w:rPr>
        <w:t>;</w:t>
      </w:r>
      <w:r w:rsidRPr="007A6BE7">
        <w:rPr>
          <w:rFonts w:cs="Arial"/>
          <w:color w:val="222222"/>
        </w:rPr>
        <w:t xml:space="preserve"> </w:t>
      </w:r>
      <w:r>
        <w:rPr>
          <w:rFonts w:cs="Arial"/>
          <w:color w:val="222222"/>
        </w:rPr>
        <w:t>s</w:t>
      </w:r>
      <w:r w:rsidRPr="007A6BE7">
        <w:rPr>
          <w:rFonts w:cs="Arial"/>
          <w:color w:val="222222"/>
        </w:rPr>
        <w:t xml:space="preserve">ubjekti, vključeni v sistem EZR, </w:t>
      </w:r>
      <w:r>
        <w:rPr>
          <w:rFonts w:cs="Arial"/>
          <w:color w:val="222222"/>
        </w:rPr>
        <w:t xml:space="preserve">pa </w:t>
      </w:r>
      <w:r w:rsidRPr="007A6BE7">
        <w:rPr>
          <w:rFonts w:cs="Arial"/>
          <w:color w:val="222222"/>
        </w:rPr>
        <w:t>evidentirajo ta denarna sredstva v svojih poslovnih knjigah kot denarna sredstva na računih, medtem ko jih v poročilih, namenjenih konsolidaciji, izkazujejo kot terjatev do upravljavca sredstev sistema EZR.</w:t>
      </w:r>
    </w:p>
    <w:p w:rsidR="008F0A8D" w:rsidRDefault="008F0A8D">
      <w:pPr>
        <w:spacing w:line="240" w:lineRule="auto"/>
        <w:jc w:val="left"/>
      </w:pPr>
      <w:r>
        <w:br w:type="page"/>
      </w:r>
    </w:p>
    <w:p w:rsidR="008373D9" w:rsidRDefault="00D425CC" w:rsidP="008F0A8D">
      <w:pPr>
        <w:pStyle w:val="Heading1"/>
      </w:pPr>
      <w:bookmarkStart w:id="3" w:name="_Toc49771306"/>
      <w:r>
        <w:lastRenderedPageBreak/>
        <w:t>KONSOLIDIRANA PREMOŽENJSKA BILANCA DRŽAVE IN OBČIN</w:t>
      </w:r>
      <w:bookmarkEnd w:id="3"/>
    </w:p>
    <w:p w:rsidR="008373D9" w:rsidRDefault="008373D9" w:rsidP="008373D9">
      <w:pPr>
        <w:pStyle w:val="Heading2"/>
        <w:spacing w:line="360" w:lineRule="auto"/>
      </w:pPr>
      <w:bookmarkStart w:id="4" w:name="_Ref389037018"/>
      <w:bookmarkStart w:id="5" w:name="_Toc49771307"/>
      <w:r>
        <w:t>Obseg konsolidacije</w:t>
      </w:r>
      <w:bookmarkEnd w:id="4"/>
      <w:bookmarkEnd w:id="5"/>
    </w:p>
    <w:p w:rsidR="00E4103D" w:rsidRDefault="008373D9" w:rsidP="008373D9">
      <w:proofErr w:type="gramStart"/>
      <w:r>
        <w:t xml:space="preserve">V konsolidacijo premoženjske bilance države in občin je bilo vključenih </w:t>
      </w:r>
      <w:r w:rsidR="00FE4A41">
        <w:t>2</w:t>
      </w:r>
      <w:r w:rsidR="0027173E">
        <w:t>8</w:t>
      </w:r>
      <w:r w:rsidR="00574007">
        <w:t>27</w:t>
      </w:r>
      <w:r w:rsidR="00FE4A41">
        <w:t xml:space="preserve"> </w:t>
      </w:r>
      <w:r>
        <w:t>PU državnega in občinskih proračunov</w:t>
      </w:r>
      <w:r w:rsidR="00FE4A41">
        <w:t>.</w:t>
      </w:r>
      <w:proofErr w:type="gramEnd"/>
      <w:r w:rsidR="00E4103D">
        <w:t xml:space="preserve"> Pregled </w:t>
      </w:r>
      <w:r w:rsidR="00E47A78">
        <w:t>števila PU l</w:t>
      </w:r>
      <w:r w:rsidR="00DD37B0">
        <w:t>očeno za državo in občine</w:t>
      </w:r>
      <w:r w:rsidR="00E4103D">
        <w:t xml:space="preserve"> prikazuje </w:t>
      </w:r>
      <w:r w:rsidR="00E4103D">
        <w:fldChar w:fldCharType="begin"/>
      </w:r>
      <w:r w:rsidR="00E4103D">
        <w:instrText xml:space="preserve"> REF _Ref388882143 \h </w:instrText>
      </w:r>
      <w:r w:rsidR="00E4103D">
        <w:fldChar w:fldCharType="separate"/>
      </w:r>
      <w:r w:rsidR="00CE55C4">
        <w:t xml:space="preserve">Tabela </w:t>
      </w:r>
      <w:r w:rsidR="00CE55C4">
        <w:rPr>
          <w:noProof/>
        </w:rPr>
        <w:t>1</w:t>
      </w:r>
      <w:r w:rsidR="00E4103D">
        <w:fldChar w:fldCharType="end"/>
      </w:r>
      <w:r w:rsidR="00E4103D">
        <w:t>:</w:t>
      </w:r>
    </w:p>
    <w:p w:rsidR="00E4103D" w:rsidRDefault="00E4103D" w:rsidP="008373D9"/>
    <w:p w:rsidR="008373D9" w:rsidRDefault="00E4103D" w:rsidP="00E4103D">
      <w:pPr>
        <w:pStyle w:val="Caption"/>
      </w:pPr>
      <w:bookmarkStart w:id="6" w:name="_Ref388882143"/>
      <w:bookmarkStart w:id="7" w:name="_Toc49771320"/>
      <w:r>
        <w:t xml:space="preserve">Tabela </w:t>
      </w:r>
      <w:r>
        <w:fldChar w:fldCharType="begin"/>
      </w:r>
      <w:r>
        <w:instrText xml:space="preserve"> SEQ Tabela \* ARABIC </w:instrText>
      </w:r>
      <w:r>
        <w:fldChar w:fldCharType="separate"/>
      </w:r>
      <w:r w:rsidR="00CE55C4">
        <w:rPr>
          <w:noProof/>
        </w:rPr>
        <w:t>1</w:t>
      </w:r>
      <w:r>
        <w:fldChar w:fldCharType="end"/>
      </w:r>
      <w:bookmarkEnd w:id="6"/>
      <w:r>
        <w:t>:</w:t>
      </w:r>
      <w:r w:rsidR="004C1360">
        <w:t xml:space="preserve"> Razčlenitev poročanja po tipih proračunskih uporabnikov in po tipih obrazcev</w:t>
      </w:r>
      <w:bookmarkEnd w:id="7"/>
      <w:r>
        <w:t xml:space="preserve"> </w:t>
      </w:r>
    </w:p>
    <w:p w:rsidR="00E4103D" w:rsidRDefault="00E4103D" w:rsidP="00E4103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2"/>
        <w:gridCol w:w="1905"/>
        <w:gridCol w:w="2694"/>
        <w:gridCol w:w="2409"/>
      </w:tblGrid>
      <w:tr w:rsidR="004C1360" w:rsidTr="00EA236A">
        <w:tc>
          <w:tcPr>
            <w:tcW w:w="2172" w:type="dxa"/>
            <w:shd w:val="clear" w:color="auto" w:fill="auto"/>
            <w:vAlign w:val="bottom"/>
          </w:tcPr>
          <w:p w:rsidR="004C1360" w:rsidRPr="00EA236A" w:rsidRDefault="004C1360">
            <w:pPr>
              <w:rPr>
                <w:rFonts w:cs="Arial"/>
                <w:color w:val="000000"/>
                <w:sz w:val="22"/>
                <w:szCs w:val="22"/>
              </w:rPr>
            </w:pPr>
          </w:p>
        </w:tc>
        <w:tc>
          <w:tcPr>
            <w:tcW w:w="1905" w:type="dxa"/>
            <w:shd w:val="clear" w:color="auto" w:fill="auto"/>
            <w:vAlign w:val="bottom"/>
          </w:tcPr>
          <w:p w:rsidR="004C1360" w:rsidRPr="00EA236A" w:rsidRDefault="004C1360" w:rsidP="00EA236A">
            <w:pPr>
              <w:jc w:val="center"/>
              <w:rPr>
                <w:rFonts w:cs="Arial"/>
                <w:color w:val="000000"/>
                <w:sz w:val="22"/>
                <w:szCs w:val="22"/>
              </w:rPr>
            </w:pPr>
            <w:r w:rsidRPr="00EA236A">
              <w:rPr>
                <w:rFonts w:cs="Arial"/>
                <w:color w:val="000000"/>
                <w:sz w:val="22"/>
                <w:szCs w:val="22"/>
              </w:rPr>
              <w:t>Država</w:t>
            </w:r>
          </w:p>
        </w:tc>
        <w:tc>
          <w:tcPr>
            <w:tcW w:w="2694" w:type="dxa"/>
            <w:shd w:val="clear" w:color="auto" w:fill="auto"/>
            <w:vAlign w:val="bottom"/>
          </w:tcPr>
          <w:p w:rsidR="004C1360" w:rsidRPr="00EA236A" w:rsidRDefault="004C1360" w:rsidP="00EA236A">
            <w:pPr>
              <w:jc w:val="center"/>
              <w:rPr>
                <w:rFonts w:cs="Arial"/>
                <w:color w:val="000000"/>
                <w:sz w:val="22"/>
                <w:szCs w:val="22"/>
              </w:rPr>
            </w:pPr>
            <w:r w:rsidRPr="00EA236A">
              <w:rPr>
                <w:rFonts w:cs="Arial"/>
                <w:color w:val="000000"/>
                <w:sz w:val="22"/>
                <w:szCs w:val="22"/>
              </w:rPr>
              <w:t>Občine</w:t>
            </w:r>
          </w:p>
        </w:tc>
        <w:tc>
          <w:tcPr>
            <w:tcW w:w="2409" w:type="dxa"/>
            <w:shd w:val="clear" w:color="auto" w:fill="auto"/>
            <w:vAlign w:val="bottom"/>
          </w:tcPr>
          <w:p w:rsidR="004C1360" w:rsidRPr="00EA236A" w:rsidRDefault="004C1360" w:rsidP="00EA236A">
            <w:pPr>
              <w:jc w:val="center"/>
              <w:rPr>
                <w:rFonts w:cs="Arial"/>
                <w:color w:val="000000"/>
                <w:sz w:val="22"/>
                <w:szCs w:val="22"/>
              </w:rPr>
            </w:pPr>
            <w:r w:rsidRPr="00EA236A">
              <w:rPr>
                <w:rFonts w:cs="Arial"/>
                <w:color w:val="000000"/>
                <w:sz w:val="22"/>
                <w:szCs w:val="22"/>
              </w:rPr>
              <w:t>Skupaj</w:t>
            </w:r>
          </w:p>
        </w:tc>
      </w:tr>
      <w:tr w:rsidR="00574007" w:rsidTr="00972554">
        <w:tc>
          <w:tcPr>
            <w:tcW w:w="2172" w:type="dxa"/>
            <w:shd w:val="clear" w:color="auto" w:fill="auto"/>
            <w:vAlign w:val="bottom"/>
          </w:tcPr>
          <w:p w:rsidR="00574007" w:rsidRPr="00EA236A" w:rsidRDefault="00574007" w:rsidP="00E4103D">
            <w:pPr>
              <w:rPr>
                <w:rFonts w:cs="Arial"/>
                <w:b/>
                <w:bCs/>
                <w:color w:val="000000"/>
                <w:sz w:val="22"/>
                <w:szCs w:val="22"/>
              </w:rPr>
            </w:pPr>
            <w:r w:rsidRPr="00EA236A">
              <w:rPr>
                <w:rFonts w:cs="Arial"/>
                <w:b/>
                <w:bCs/>
                <w:color w:val="000000"/>
                <w:sz w:val="22"/>
                <w:szCs w:val="22"/>
              </w:rPr>
              <w:t>Število PU</w:t>
            </w:r>
            <w:r>
              <w:rPr>
                <w:rStyle w:val="FootnoteReference"/>
                <w:color w:val="000000"/>
                <w:sz w:val="22"/>
                <w:szCs w:val="22"/>
              </w:rPr>
              <w:footnoteReference w:id="1"/>
            </w:r>
          </w:p>
        </w:tc>
        <w:tc>
          <w:tcPr>
            <w:tcW w:w="1905" w:type="dxa"/>
            <w:shd w:val="clear" w:color="auto" w:fill="auto"/>
            <w:vAlign w:val="center"/>
          </w:tcPr>
          <w:p w:rsidR="00574007" w:rsidRPr="00116FC1" w:rsidRDefault="00574007" w:rsidP="00EA236A">
            <w:pPr>
              <w:jc w:val="center"/>
              <w:rPr>
                <w:rFonts w:cs="Arial"/>
                <w:b/>
                <w:bCs/>
                <w:color w:val="000000"/>
                <w:sz w:val="22"/>
                <w:szCs w:val="22"/>
              </w:rPr>
            </w:pPr>
            <w:r w:rsidRPr="00972554">
              <w:rPr>
                <w:rFonts w:cs="Arial"/>
                <w:b/>
                <w:color w:val="000000"/>
                <w:sz w:val="22"/>
                <w:szCs w:val="22"/>
              </w:rPr>
              <w:t>534</w:t>
            </w:r>
          </w:p>
        </w:tc>
        <w:tc>
          <w:tcPr>
            <w:tcW w:w="2694" w:type="dxa"/>
            <w:shd w:val="clear" w:color="auto" w:fill="auto"/>
            <w:vAlign w:val="center"/>
          </w:tcPr>
          <w:p w:rsidR="00574007" w:rsidRPr="00116FC1" w:rsidRDefault="00574007" w:rsidP="00EA236A">
            <w:pPr>
              <w:jc w:val="center"/>
              <w:rPr>
                <w:rFonts w:cs="Arial"/>
                <w:b/>
                <w:bCs/>
                <w:color w:val="000000"/>
                <w:sz w:val="22"/>
                <w:szCs w:val="22"/>
              </w:rPr>
            </w:pPr>
            <w:r w:rsidRPr="00972554">
              <w:rPr>
                <w:rFonts w:cs="Arial"/>
                <w:b/>
                <w:color w:val="000000"/>
                <w:sz w:val="22"/>
                <w:szCs w:val="22"/>
              </w:rPr>
              <w:t>2293</w:t>
            </w:r>
          </w:p>
        </w:tc>
        <w:tc>
          <w:tcPr>
            <w:tcW w:w="2409" w:type="dxa"/>
            <w:shd w:val="clear" w:color="auto" w:fill="auto"/>
            <w:vAlign w:val="center"/>
          </w:tcPr>
          <w:p w:rsidR="00574007" w:rsidRPr="00116FC1" w:rsidRDefault="00574007" w:rsidP="00EA236A">
            <w:pPr>
              <w:jc w:val="center"/>
              <w:rPr>
                <w:rFonts w:cs="Arial"/>
                <w:b/>
                <w:bCs/>
                <w:color w:val="000000"/>
                <w:sz w:val="22"/>
                <w:szCs w:val="22"/>
              </w:rPr>
            </w:pPr>
            <w:r w:rsidRPr="00972554">
              <w:rPr>
                <w:rFonts w:cs="Arial"/>
                <w:b/>
                <w:color w:val="000000"/>
                <w:sz w:val="22"/>
                <w:szCs w:val="22"/>
              </w:rPr>
              <w:t>2827</w:t>
            </w:r>
          </w:p>
        </w:tc>
      </w:tr>
      <w:tr w:rsidR="00574007" w:rsidTr="00972554">
        <w:tc>
          <w:tcPr>
            <w:tcW w:w="2172" w:type="dxa"/>
            <w:shd w:val="clear" w:color="auto" w:fill="auto"/>
            <w:vAlign w:val="bottom"/>
          </w:tcPr>
          <w:p w:rsidR="00574007" w:rsidRPr="00EA236A" w:rsidRDefault="00574007" w:rsidP="00E4103D">
            <w:pPr>
              <w:rPr>
                <w:rFonts w:cs="Arial"/>
                <w:color w:val="000000"/>
                <w:sz w:val="22"/>
                <w:szCs w:val="22"/>
              </w:rPr>
            </w:pPr>
            <w:r w:rsidRPr="00EA236A">
              <w:rPr>
                <w:rFonts w:cs="Arial"/>
                <w:color w:val="000000"/>
                <w:sz w:val="22"/>
                <w:szCs w:val="22"/>
              </w:rPr>
              <w:t>Število NPU</w:t>
            </w:r>
            <w:r>
              <w:rPr>
                <w:rStyle w:val="FootnoteReference"/>
                <w:color w:val="000000"/>
                <w:sz w:val="22"/>
                <w:szCs w:val="22"/>
              </w:rPr>
              <w:footnoteReference w:id="2"/>
            </w:r>
          </w:p>
        </w:tc>
        <w:tc>
          <w:tcPr>
            <w:tcW w:w="1905" w:type="dxa"/>
            <w:shd w:val="clear" w:color="auto" w:fill="auto"/>
            <w:vAlign w:val="center"/>
          </w:tcPr>
          <w:p w:rsidR="00574007" w:rsidRPr="00EA236A" w:rsidRDefault="00574007" w:rsidP="001E0D95">
            <w:pPr>
              <w:jc w:val="center"/>
              <w:rPr>
                <w:rFonts w:cs="Arial"/>
                <w:color w:val="000000"/>
                <w:sz w:val="22"/>
                <w:szCs w:val="22"/>
              </w:rPr>
            </w:pPr>
            <w:r>
              <w:rPr>
                <w:rFonts w:cs="Arial"/>
                <w:color w:val="000000"/>
                <w:sz w:val="22"/>
                <w:szCs w:val="22"/>
              </w:rPr>
              <w:t>120</w:t>
            </w:r>
          </w:p>
        </w:tc>
        <w:tc>
          <w:tcPr>
            <w:tcW w:w="2694" w:type="dxa"/>
            <w:shd w:val="clear" w:color="auto" w:fill="auto"/>
            <w:vAlign w:val="center"/>
          </w:tcPr>
          <w:p w:rsidR="00574007" w:rsidRPr="00EA236A" w:rsidRDefault="00574007" w:rsidP="00EA236A">
            <w:pPr>
              <w:jc w:val="center"/>
              <w:rPr>
                <w:rFonts w:cs="Arial"/>
                <w:color w:val="000000"/>
                <w:sz w:val="22"/>
                <w:szCs w:val="22"/>
              </w:rPr>
            </w:pPr>
            <w:r>
              <w:rPr>
                <w:rFonts w:cs="Arial"/>
                <w:color w:val="000000"/>
                <w:sz w:val="22"/>
                <w:szCs w:val="22"/>
              </w:rPr>
              <w:t>1235</w:t>
            </w:r>
          </w:p>
        </w:tc>
        <w:tc>
          <w:tcPr>
            <w:tcW w:w="2409" w:type="dxa"/>
            <w:shd w:val="clear" w:color="auto" w:fill="auto"/>
            <w:vAlign w:val="center"/>
          </w:tcPr>
          <w:p w:rsidR="00574007" w:rsidRPr="00EA236A" w:rsidRDefault="00574007" w:rsidP="00EA236A">
            <w:pPr>
              <w:jc w:val="center"/>
              <w:rPr>
                <w:rFonts w:cs="Arial"/>
                <w:color w:val="000000"/>
                <w:sz w:val="22"/>
                <w:szCs w:val="22"/>
              </w:rPr>
            </w:pPr>
            <w:r>
              <w:rPr>
                <w:rFonts w:cs="Arial"/>
                <w:color w:val="000000"/>
                <w:sz w:val="22"/>
                <w:szCs w:val="22"/>
              </w:rPr>
              <w:t>1355</w:t>
            </w:r>
          </w:p>
        </w:tc>
      </w:tr>
      <w:tr w:rsidR="00574007" w:rsidTr="00972554">
        <w:tc>
          <w:tcPr>
            <w:tcW w:w="2172" w:type="dxa"/>
            <w:shd w:val="clear" w:color="auto" w:fill="auto"/>
            <w:vAlign w:val="bottom"/>
          </w:tcPr>
          <w:p w:rsidR="00574007" w:rsidRPr="00EA236A" w:rsidRDefault="00574007" w:rsidP="00E4103D">
            <w:pPr>
              <w:rPr>
                <w:rFonts w:cs="Arial"/>
                <w:color w:val="000000"/>
                <w:sz w:val="22"/>
                <w:szCs w:val="22"/>
              </w:rPr>
            </w:pPr>
            <w:r w:rsidRPr="00EA236A">
              <w:rPr>
                <w:rFonts w:cs="Arial"/>
                <w:color w:val="000000"/>
                <w:sz w:val="22"/>
                <w:szCs w:val="22"/>
              </w:rPr>
              <w:t>Število PPU</w:t>
            </w:r>
          </w:p>
        </w:tc>
        <w:tc>
          <w:tcPr>
            <w:tcW w:w="1905" w:type="dxa"/>
            <w:shd w:val="clear" w:color="auto" w:fill="auto"/>
            <w:vAlign w:val="center"/>
          </w:tcPr>
          <w:p w:rsidR="00574007" w:rsidRPr="00EA236A" w:rsidRDefault="00574007" w:rsidP="00EA236A">
            <w:pPr>
              <w:jc w:val="center"/>
              <w:rPr>
                <w:rFonts w:cs="Arial"/>
                <w:color w:val="000000"/>
                <w:sz w:val="22"/>
                <w:szCs w:val="22"/>
              </w:rPr>
            </w:pPr>
            <w:r>
              <w:rPr>
                <w:rFonts w:cs="Arial"/>
                <w:color w:val="000000"/>
                <w:sz w:val="22"/>
                <w:szCs w:val="22"/>
              </w:rPr>
              <w:t>414</w:t>
            </w:r>
          </w:p>
        </w:tc>
        <w:tc>
          <w:tcPr>
            <w:tcW w:w="2694" w:type="dxa"/>
            <w:shd w:val="clear" w:color="auto" w:fill="auto"/>
            <w:vAlign w:val="center"/>
          </w:tcPr>
          <w:p w:rsidR="00574007" w:rsidRPr="00EA236A" w:rsidRDefault="00574007" w:rsidP="00EA236A">
            <w:pPr>
              <w:jc w:val="center"/>
              <w:rPr>
                <w:rFonts w:cs="Arial"/>
                <w:color w:val="000000"/>
                <w:sz w:val="22"/>
                <w:szCs w:val="22"/>
              </w:rPr>
            </w:pPr>
            <w:r>
              <w:rPr>
                <w:rFonts w:cs="Arial"/>
                <w:color w:val="000000"/>
                <w:sz w:val="22"/>
                <w:szCs w:val="22"/>
              </w:rPr>
              <w:t>1058</w:t>
            </w:r>
          </w:p>
        </w:tc>
        <w:tc>
          <w:tcPr>
            <w:tcW w:w="2409" w:type="dxa"/>
            <w:shd w:val="clear" w:color="auto" w:fill="auto"/>
            <w:vAlign w:val="center"/>
          </w:tcPr>
          <w:p w:rsidR="00574007" w:rsidRPr="00EA236A" w:rsidRDefault="00574007" w:rsidP="00EA236A">
            <w:pPr>
              <w:jc w:val="center"/>
              <w:rPr>
                <w:rFonts w:cs="Arial"/>
                <w:color w:val="000000"/>
                <w:sz w:val="22"/>
                <w:szCs w:val="22"/>
              </w:rPr>
            </w:pPr>
            <w:r>
              <w:rPr>
                <w:rFonts w:cs="Arial"/>
                <w:color w:val="000000"/>
                <w:sz w:val="22"/>
                <w:szCs w:val="22"/>
              </w:rPr>
              <w:t>1472</w:t>
            </w:r>
          </w:p>
        </w:tc>
      </w:tr>
    </w:tbl>
    <w:p w:rsidR="00C15074" w:rsidRDefault="00C15074" w:rsidP="00DF06EF">
      <w:pPr>
        <w:rPr>
          <w:sz w:val="16"/>
          <w:szCs w:val="16"/>
        </w:rPr>
      </w:pPr>
    </w:p>
    <w:p w:rsidR="00F40CB9" w:rsidRPr="00DF06EF" w:rsidRDefault="00F40CB9" w:rsidP="00DF06EF">
      <w:pPr>
        <w:rPr>
          <w:sz w:val="16"/>
          <w:szCs w:val="16"/>
        </w:rPr>
      </w:pPr>
    </w:p>
    <w:p w:rsidR="00401743" w:rsidRDefault="00F751C8" w:rsidP="00401743">
      <w:pPr>
        <w:pStyle w:val="Caption"/>
        <w:spacing w:line="240" w:lineRule="auto"/>
        <w:jc w:val="left"/>
      </w:pPr>
      <w:bookmarkStart w:id="8" w:name="_Ref389206381"/>
      <w:bookmarkStart w:id="9" w:name="_Toc49771346"/>
      <w:r>
        <w:t xml:space="preserve">Slika </w:t>
      </w:r>
      <w:r>
        <w:fldChar w:fldCharType="begin"/>
      </w:r>
      <w:r>
        <w:instrText xml:space="preserve"> SEQ Slika \* ARABIC </w:instrText>
      </w:r>
      <w:r>
        <w:fldChar w:fldCharType="separate"/>
      </w:r>
      <w:r w:rsidR="00CE55C4">
        <w:rPr>
          <w:noProof/>
        </w:rPr>
        <w:t>1</w:t>
      </w:r>
      <w:r>
        <w:fldChar w:fldCharType="end"/>
      </w:r>
      <w:bookmarkEnd w:id="8"/>
      <w:r>
        <w:t xml:space="preserve">: Razčlenitev poročanja po tipih proračunskih uporabnikov </w:t>
      </w:r>
      <w:r w:rsidR="00FE24C5">
        <w:t xml:space="preserve">države in občin </w:t>
      </w:r>
      <w:r w:rsidR="00F40CB9">
        <w:t xml:space="preserve">za KPBDO </w:t>
      </w:r>
      <w:proofErr w:type="gramStart"/>
      <w:r w:rsidR="00F40CB9">
        <w:t>na</w:t>
      </w:r>
      <w:proofErr w:type="gramEnd"/>
      <w:r w:rsidR="00F40CB9">
        <w:t xml:space="preserve"> dan </w:t>
      </w:r>
      <w:r w:rsidR="00C045E2">
        <w:t>31.12.201</w:t>
      </w:r>
      <w:r w:rsidR="00F46105">
        <w:t>8</w:t>
      </w:r>
      <w:r w:rsidR="00F40CB9">
        <w:rPr>
          <w:noProof/>
          <w:lang w:val="sl-SI" w:eastAsia="sl-SI"/>
        </w:rPr>
        <w:drawing>
          <wp:inline distT="0" distB="0" distL="0" distR="0" wp14:anchorId="4D9F1DBD" wp14:editId="6C44CA54">
            <wp:extent cx="5532120" cy="2697480"/>
            <wp:effectExtent l="0" t="0" r="0" b="7620"/>
            <wp:docPr id="279" name="Picture 279" descr="Statistika poročanja" title="Razčlenitev poročanja po tipih proračunskih uporabnikov države in občin za KPBDO na dan 31.12.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2120" cy="2697480"/>
                    </a:xfrm>
                    <a:prstGeom prst="rect">
                      <a:avLst/>
                    </a:prstGeom>
                    <a:noFill/>
                  </pic:spPr>
                </pic:pic>
              </a:graphicData>
            </a:graphic>
          </wp:inline>
        </w:drawing>
      </w:r>
      <w:bookmarkEnd w:id="9"/>
    </w:p>
    <w:p w:rsidR="00401743" w:rsidRDefault="00401743">
      <w:pPr>
        <w:spacing w:line="240" w:lineRule="auto"/>
        <w:jc w:val="left"/>
        <w:rPr>
          <w:b/>
          <w:bCs/>
          <w:szCs w:val="20"/>
        </w:rPr>
      </w:pPr>
      <w:r>
        <w:br w:type="page"/>
      </w:r>
    </w:p>
    <w:p w:rsidR="00567DB5" w:rsidRDefault="00567DB5" w:rsidP="00401743">
      <w:pPr>
        <w:pStyle w:val="Caption"/>
        <w:spacing w:line="240" w:lineRule="auto"/>
        <w:jc w:val="left"/>
        <w:sectPr w:rsidR="00567DB5" w:rsidSect="00433C66">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8" w:footer="708" w:gutter="0"/>
          <w:cols w:space="708"/>
          <w:titlePg/>
          <w:docGrid w:linePitch="360"/>
        </w:sectPr>
      </w:pPr>
    </w:p>
    <w:p w:rsidR="008373D9" w:rsidRDefault="00D37616" w:rsidP="00567DB5">
      <w:pPr>
        <w:pStyle w:val="Heading2"/>
      </w:pPr>
      <w:bookmarkStart w:id="10" w:name="_Toc49771308"/>
      <w:r>
        <w:lastRenderedPageBreak/>
        <w:t>Rezultat konsolidacije</w:t>
      </w:r>
      <w:bookmarkEnd w:id="10"/>
    </w:p>
    <w:p w:rsidR="00D37616" w:rsidRPr="00D37616" w:rsidRDefault="00D37616" w:rsidP="00D37616">
      <w:pPr>
        <w:pStyle w:val="Caption"/>
        <w:rPr>
          <w:b w:val="0"/>
          <w:bCs w:val="0"/>
          <w:szCs w:val="24"/>
        </w:rPr>
      </w:pPr>
      <w:r w:rsidRPr="00D37616">
        <w:rPr>
          <w:bCs w:val="0"/>
          <w:szCs w:val="24"/>
        </w:rPr>
        <w:t xml:space="preserve">Bilančna vsota </w:t>
      </w:r>
      <w:r w:rsidR="00476227">
        <w:rPr>
          <w:bCs w:val="0"/>
          <w:szCs w:val="24"/>
        </w:rPr>
        <w:t xml:space="preserve">konsolidirane premoženjske bilance države in občin oziroma </w:t>
      </w:r>
      <w:r w:rsidRPr="00D37616">
        <w:rPr>
          <w:bCs w:val="0"/>
          <w:szCs w:val="24"/>
        </w:rPr>
        <w:t>premoženja države in občin na dan 31.12.201</w:t>
      </w:r>
      <w:r w:rsidR="00044B37">
        <w:rPr>
          <w:bCs w:val="0"/>
          <w:szCs w:val="24"/>
        </w:rPr>
        <w:t>8</w:t>
      </w:r>
      <w:r w:rsidRPr="00D37616">
        <w:rPr>
          <w:bCs w:val="0"/>
          <w:szCs w:val="24"/>
        </w:rPr>
        <w:t xml:space="preserve"> znaša </w:t>
      </w:r>
      <w:r w:rsidR="00044B37">
        <w:rPr>
          <w:bCs w:val="0"/>
          <w:szCs w:val="24"/>
        </w:rPr>
        <w:t>48</w:t>
      </w:r>
      <w:proofErr w:type="gramStart"/>
      <w:r w:rsidR="00044B37">
        <w:rPr>
          <w:bCs w:val="0"/>
          <w:szCs w:val="24"/>
        </w:rPr>
        <w:t>,47</w:t>
      </w:r>
      <w:proofErr w:type="gramEnd"/>
      <w:r w:rsidRPr="00D37616">
        <w:rPr>
          <w:bCs w:val="0"/>
          <w:szCs w:val="24"/>
        </w:rPr>
        <w:t xml:space="preserve"> mrd.</w:t>
      </w:r>
      <w:r w:rsidR="001B1024">
        <w:rPr>
          <w:bCs w:val="0"/>
          <w:szCs w:val="24"/>
        </w:rPr>
        <w:t xml:space="preserve"> €</w:t>
      </w:r>
      <w:r w:rsidRPr="00D37616">
        <w:rPr>
          <w:bCs w:val="0"/>
          <w:szCs w:val="24"/>
        </w:rPr>
        <w:t xml:space="preserve"> </w:t>
      </w:r>
      <w:r>
        <w:rPr>
          <w:b w:val="0"/>
          <w:bCs w:val="0"/>
          <w:szCs w:val="24"/>
        </w:rPr>
        <w:t xml:space="preserve">in se je </w:t>
      </w:r>
      <w:r w:rsidRPr="00D37616">
        <w:rPr>
          <w:b w:val="0"/>
          <w:bCs w:val="0"/>
          <w:szCs w:val="24"/>
        </w:rPr>
        <w:t>glede na stanje, izkazano na dan 31.12.201</w:t>
      </w:r>
      <w:r w:rsidR="00044B37">
        <w:rPr>
          <w:b w:val="0"/>
          <w:bCs w:val="0"/>
          <w:szCs w:val="24"/>
        </w:rPr>
        <w:t>7</w:t>
      </w:r>
      <w:r w:rsidRPr="00D37616">
        <w:rPr>
          <w:b w:val="0"/>
          <w:bCs w:val="0"/>
          <w:szCs w:val="24"/>
        </w:rPr>
        <w:t xml:space="preserve">, </w:t>
      </w:r>
      <w:r w:rsidRPr="001449CC">
        <w:rPr>
          <w:bCs w:val="0"/>
          <w:szCs w:val="24"/>
        </w:rPr>
        <w:t>v letu 201</w:t>
      </w:r>
      <w:r w:rsidR="00044B37">
        <w:rPr>
          <w:bCs w:val="0"/>
          <w:szCs w:val="24"/>
        </w:rPr>
        <w:t>8</w:t>
      </w:r>
      <w:r w:rsidRPr="001449CC">
        <w:rPr>
          <w:bCs w:val="0"/>
          <w:szCs w:val="24"/>
        </w:rPr>
        <w:t xml:space="preserve"> </w:t>
      </w:r>
      <w:r w:rsidR="008062B4">
        <w:rPr>
          <w:bCs w:val="0"/>
          <w:szCs w:val="24"/>
        </w:rPr>
        <w:t>povečala</w:t>
      </w:r>
      <w:r w:rsidR="008062B4" w:rsidRPr="001449CC">
        <w:rPr>
          <w:bCs w:val="0"/>
          <w:szCs w:val="24"/>
        </w:rPr>
        <w:t xml:space="preserve"> </w:t>
      </w:r>
      <w:r w:rsidRPr="001449CC">
        <w:rPr>
          <w:bCs w:val="0"/>
          <w:szCs w:val="24"/>
        </w:rPr>
        <w:t xml:space="preserve">za </w:t>
      </w:r>
      <w:r w:rsidR="00044B37">
        <w:rPr>
          <w:bCs w:val="0"/>
          <w:szCs w:val="24"/>
        </w:rPr>
        <w:t>3,20</w:t>
      </w:r>
      <w:r w:rsidRPr="001449CC">
        <w:rPr>
          <w:bCs w:val="0"/>
          <w:szCs w:val="24"/>
        </w:rPr>
        <w:t xml:space="preserve"> % oziroma </w:t>
      </w:r>
      <w:r w:rsidR="00044B37">
        <w:rPr>
          <w:bCs w:val="0"/>
          <w:szCs w:val="24"/>
        </w:rPr>
        <w:t>1,50</w:t>
      </w:r>
      <w:r w:rsidRPr="001449CC">
        <w:rPr>
          <w:bCs w:val="0"/>
          <w:szCs w:val="24"/>
        </w:rPr>
        <w:t xml:space="preserve"> mrd. </w:t>
      </w:r>
      <w:r w:rsidR="001B1024">
        <w:rPr>
          <w:bCs w:val="0"/>
          <w:szCs w:val="24"/>
        </w:rPr>
        <w:t>€.</w:t>
      </w:r>
    </w:p>
    <w:p w:rsidR="00D37616" w:rsidRDefault="00D37616" w:rsidP="00D37616">
      <w:pPr>
        <w:pStyle w:val="Caption"/>
      </w:pPr>
    </w:p>
    <w:p w:rsidR="00D37616" w:rsidRPr="00D37616" w:rsidRDefault="00D37616" w:rsidP="00D37616">
      <w:pPr>
        <w:pStyle w:val="Caption"/>
      </w:pPr>
      <w:bookmarkStart w:id="11" w:name="_Toc49771321"/>
      <w:r>
        <w:t xml:space="preserve">Tabela </w:t>
      </w:r>
      <w:r>
        <w:fldChar w:fldCharType="begin"/>
      </w:r>
      <w:r>
        <w:instrText xml:space="preserve"> SEQ Tabela \* ARABIC </w:instrText>
      </w:r>
      <w:r>
        <w:fldChar w:fldCharType="separate"/>
      </w:r>
      <w:r w:rsidR="00CE55C4">
        <w:rPr>
          <w:noProof/>
        </w:rPr>
        <w:t>2</w:t>
      </w:r>
      <w:r>
        <w:fldChar w:fldCharType="end"/>
      </w:r>
      <w:r w:rsidR="001449CC">
        <w:t xml:space="preserve">: Stanje premoženja države in občin </w:t>
      </w:r>
      <w:proofErr w:type="gramStart"/>
      <w:r w:rsidR="001449CC">
        <w:t>na</w:t>
      </w:r>
      <w:proofErr w:type="gramEnd"/>
      <w:r w:rsidR="001449CC">
        <w:t xml:space="preserve"> dan 31.12.201</w:t>
      </w:r>
      <w:r w:rsidR="00044B37">
        <w:t>8</w:t>
      </w:r>
      <w:r w:rsidR="001449CC">
        <w:t xml:space="preserve"> in na dan 31.12.201</w:t>
      </w:r>
      <w:r w:rsidR="00044B37">
        <w:t>7</w:t>
      </w:r>
      <w:r w:rsidR="00EE5762">
        <w:t xml:space="preserve"> skupaj s spremembo</w:t>
      </w:r>
      <w:bookmarkEnd w:id="11"/>
    </w:p>
    <w:tbl>
      <w:tblPr>
        <w:tblpPr w:leftFromText="141" w:rightFromText="141" w:vertAnchor="text" w:horzAnchor="margin" w:tblpXSpec="center" w:tblpY="154"/>
        <w:tblW w:w="10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436"/>
        <w:gridCol w:w="2436"/>
        <w:gridCol w:w="1146"/>
        <w:gridCol w:w="1418"/>
      </w:tblGrid>
      <w:tr w:rsidR="004D7A53" w:rsidRPr="004D7A53" w:rsidTr="00DD64EC">
        <w:trPr>
          <w:cantSplit/>
          <w:trHeight w:val="300"/>
          <w:tblHeader/>
        </w:trPr>
        <w:tc>
          <w:tcPr>
            <w:tcW w:w="3189" w:type="dxa"/>
            <w:shd w:val="pct25" w:color="auto" w:fill="auto"/>
            <w:noWrap/>
            <w:vAlign w:val="bottom"/>
          </w:tcPr>
          <w:p w:rsidR="004D7A53" w:rsidRPr="00A72BED" w:rsidRDefault="004D7A53" w:rsidP="00567DB5">
            <w:pPr>
              <w:spacing w:line="240" w:lineRule="auto"/>
              <w:jc w:val="left"/>
              <w:rPr>
                <w:rFonts w:ascii="Calibri" w:hAnsi="Calibri"/>
                <w:b/>
                <w:color w:val="000000"/>
                <w:sz w:val="18"/>
                <w:szCs w:val="18"/>
                <w:lang w:val="sl-SI" w:eastAsia="sl-SI"/>
              </w:rPr>
            </w:pPr>
          </w:p>
        </w:tc>
        <w:tc>
          <w:tcPr>
            <w:tcW w:w="2436" w:type="dxa"/>
            <w:shd w:val="pct25" w:color="auto" w:fill="auto"/>
            <w:noWrap/>
            <w:vAlign w:val="bottom"/>
          </w:tcPr>
          <w:p w:rsidR="004D7A53" w:rsidRPr="00A72BED" w:rsidRDefault="000A2357" w:rsidP="00044B37">
            <w:pPr>
              <w:spacing w:line="240" w:lineRule="auto"/>
              <w:jc w:val="center"/>
              <w:rPr>
                <w:rFonts w:ascii="Calibri" w:hAnsi="Calibri"/>
                <w:b/>
                <w:color w:val="000000"/>
                <w:sz w:val="18"/>
                <w:szCs w:val="18"/>
                <w:lang w:val="sl-SI" w:eastAsia="sl-SI"/>
              </w:rPr>
            </w:pPr>
            <w:r w:rsidRPr="00A72BED">
              <w:rPr>
                <w:rFonts w:ascii="Calibri" w:hAnsi="Calibri"/>
                <w:b/>
                <w:color w:val="000000"/>
                <w:sz w:val="18"/>
                <w:szCs w:val="18"/>
                <w:lang w:val="sl-SI" w:eastAsia="sl-SI"/>
              </w:rPr>
              <w:t>Stanje 31.12.201</w:t>
            </w:r>
            <w:r w:rsidR="00044B37">
              <w:rPr>
                <w:rFonts w:ascii="Calibri" w:hAnsi="Calibri"/>
                <w:b/>
                <w:color w:val="000000"/>
                <w:sz w:val="18"/>
                <w:szCs w:val="18"/>
                <w:lang w:val="sl-SI" w:eastAsia="sl-SI"/>
              </w:rPr>
              <w:t>8</w:t>
            </w:r>
          </w:p>
        </w:tc>
        <w:tc>
          <w:tcPr>
            <w:tcW w:w="2436" w:type="dxa"/>
            <w:shd w:val="pct25" w:color="auto" w:fill="auto"/>
            <w:noWrap/>
            <w:vAlign w:val="bottom"/>
          </w:tcPr>
          <w:p w:rsidR="004D7A53" w:rsidRPr="00A72BED" w:rsidRDefault="000A2357" w:rsidP="00044B37">
            <w:pPr>
              <w:spacing w:line="240" w:lineRule="auto"/>
              <w:jc w:val="center"/>
              <w:rPr>
                <w:rFonts w:ascii="Calibri" w:hAnsi="Calibri"/>
                <w:b/>
                <w:color w:val="000000"/>
                <w:sz w:val="18"/>
                <w:szCs w:val="18"/>
                <w:lang w:val="sl-SI" w:eastAsia="sl-SI"/>
              </w:rPr>
            </w:pPr>
            <w:r w:rsidRPr="00A72BED">
              <w:rPr>
                <w:rFonts w:ascii="Calibri" w:hAnsi="Calibri"/>
                <w:b/>
                <w:color w:val="000000"/>
                <w:sz w:val="18"/>
                <w:szCs w:val="18"/>
                <w:lang w:val="sl-SI" w:eastAsia="sl-SI"/>
              </w:rPr>
              <w:t>Stanje 31.12.201</w:t>
            </w:r>
            <w:r w:rsidR="00044B37">
              <w:rPr>
                <w:rFonts w:ascii="Calibri" w:hAnsi="Calibri"/>
                <w:b/>
                <w:color w:val="000000"/>
                <w:sz w:val="18"/>
                <w:szCs w:val="18"/>
                <w:lang w:val="sl-SI" w:eastAsia="sl-SI"/>
              </w:rPr>
              <w:t>7</w:t>
            </w:r>
          </w:p>
        </w:tc>
        <w:tc>
          <w:tcPr>
            <w:tcW w:w="1146" w:type="dxa"/>
            <w:shd w:val="pct25" w:color="auto" w:fill="auto"/>
            <w:noWrap/>
            <w:vAlign w:val="bottom"/>
          </w:tcPr>
          <w:p w:rsidR="004D7A53" w:rsidRPr="00A72BED" w:rsidRDefault="000A2357" w:rsidP="000A2357">
            <w:pPr>
              <w:spacing w:line="240" w:lineRule="auto"/>
              <w:jc w:val="center"/>
              <w:rPr>
                <w:rFonts w:ascii="Calibri" w:hAnsi="Calibri"/>
                <w:b/>
                <w:color w:val="000000"/>
                <w:sz w:val="18"/>
                <w:szCs w:val="18"/>
                <w:lang w:val="sl-SI" w:eastAsia="sl-SI"/>
              </w:rPr>
            </w:pPr>
            <w:r w:rsidRPr="00A72BED">
              <w:rPr>
                <w:rFonts w:ascii="Calibri" w:hAnsi="Calibri"/>
                <w:b/>
                <w:color w:val="000000"/>
                <w:sz w:val="18"/>
                <w:szCs w:val="18"/>
                <w:lang w:val="sl-SI" w:eastAsia="sl-SI"/>
              </w:rPr>
              <w:t>Indeks</w:t>
            </w:r>
          </w:p>
        </w:tc>
        <w:tc>
          <w:tcPr>
            <w:tcW w:w="1418" w:type="dxa"/>
            <w:shd w:val="pct25" w:color="auto" w:fill="auto"/>
            <w:noWrap/>
            <w:vAlign w:val="bottom"/>
          </w:tcPr>
          <w:p w:rsidR="004D7A53" w:rsidRPr="00A72BED" w:rsidRDefault="000A2357" w:rsidP="00044B37">
            <w:pPr>
              <w:spacing w:line="240" w:lineRule="auto"/>
              <w:jc w:val="center"/>
              <w:rPr>
                <w:rFonts w:ascii="Calibri" w:hAnsi="Calibri"/>
                <w:b/>
                <w:color w:val="000000"/>
                <w:sz w:val="18"/>
                <w:szCs w:val="18"/>
                <w:lang w:val="sl-SI" w:eastAsia="sl-SI"/>
              </w:rPr>
            </w:pPr>
            <w:r w:rsidRPr="00A72BED">
              <w:rPr>
                <w:rFonts w:ascii="Calibri" w:hAnsi="Calibri"/>
                <w:b/>
                <w:color w:val="000000"/>
                <w:sz w:val="18"/>
                <w:szCs w:val="18"/>
                <w:lang w:val="sl-SI" w:eastAsia="sl-SI"/>
              </w:rPr>
              <w:t>Sprememba 201</w:t>
            </w:r>
            <w:r w:rsidR="00044B37">
              <w:rPr>
                <w:rFonts w:ascii="Calibri" w:hAnsi="Calibri"/>
                <w:b/>
                <w:color w:val="000000"/>
                <w:sz w:val="18"/>
                <w:szCs w:val="18"/>
                <w:lang w:val="sl-SI" w:eastAsia="sl-SI"/>
              </w:rPr>
              <w:t>8</w:t>
            </w:r>
            <w:r w:rsidRPr="00A72BED">
              <w:rPr>
                <w:rFonts w:ascii="Calibri" w:hAnsi="Calibri"/>
                <w:b/>
                <w:color w:val="000000"/>
                <w:sz w:val="18"/>
                <w:szCs w:val="18"/>
                <w:lang w:val="sl-SI" w:eastAsia="sl-SI"/>
              </w:rPr>
              <w:t>-201</w:t>
            </w:r>
            <w:r w:rsidR="00044B37">
              <w:rPr>
                <w:rFonts w:ascii="Calibri" w:hAnsi="Calibri"/>
                <w:b/>
                <w:color w:val="000000"/>
                <w:sz w:val="18"/>
                <w:szCs w:val="18"/>
                <w:lang w:val="sl-SI" w:eastAsia="sl-SI"/>
              </w:rPr>
              <w:t>7</w:t>
            </w:r>
          </w:p>
        </w:tc>
      </w:tr>
      <w:tr w:rsidR="00385775" w:rsidRPr="004D7A53" w:rsidTr="00DD64EC">
        <w:trPr>
          <w:trHeight w:val="300"/>
          <w:tblHeader/>
        </w:trPr>
        <w:tc>
          <w:tcPr>
            <w:tcW w:w="3189" w:type="dxa"/>
            <w:shd w:val="pct25" w:color="auto" w:fill="auto"/>
            <w:noWrap/>
            <w:vAlign w:val="bottom"/>
          </w:tcPr>
          <w:p w:rsidR="00385775" w:rsidRPr="00A72BED" w:rsidRDefault="00385775" w:rsidP="00567DB5">
            <w:pPr>
              <w:spacing w:line="240" w:lineRule="auto"/>
              <w:jc w:val="left"/>
              <w:rPr>
                <w:rFonts w:ascii="Calibri" w:hAnsi="Calibri"/>
                <w:b/>
                <w:color w:val="000000"/>
                <w:sz w:val="18"/>
                <w:szCs w:val="18"/>
                <w:lang w:val="sl-SI" w:eastAsia="sl-SI"/>
              </w:rPr>
            </w:pPr>
            <w:r w:rsidRPr="00A72BED">
              <w:rPr>
                <w:rFonts w:ascii="Calibri" w:hAnsi="Calibri"/>
                <w:b/>
                <w:color w:val="000000"/>
                <w:sz w:val="18"/>
                <w:szCs w:val="18"/>
                <w:lang w:val="sl-SI" w:eastAsia="sl-SI"/>
              </w:rPr>
              <w:t>Oznaka in naziv AOP</w:t>
            </w:r>
          </w:p>
        </w:tc>
        <w:tc>
          <w:tcPr>
            <w:tcW w:w="2436" w:type="dxa"/>
            <w:shd w:val="pct25" w:color="auto" w:fill="auto"/>
            <w:noWrap/>
            <w:vAlign w:val="bottom"/>
          </w:tcPr>
          <w:p w:rsidR="00385775" w:rsidRPr="00A72BED" w:rsidRDefault="00385775" w:rsidP="000A2357">
            <w:pPr>
              <w:spacing w:line="240" w:lineRule="auto"/>
              <w:jc w:val="center"/>
              <w:rPr>
                <w:rFonts w:ascii="Calibri" w:hAnsi="Calibri"/>
                <w:b/>
                <w:color w:val="000000"/>
                <w:sz w:val="18"/>
                <w:szCs w:val="18"/>
                <w:lang w:val="sl-SI" w:eastAsia="sl-SI"/>
              </w:rPr>
            </w:pPr>
            <w:r w:rsidRPr="00A72BED">
              <w:rPr>
                <w:rFonts w:ascii="Calibri" w:hAnsi="Calibri"/>
                <w:b/>
                <w:color w:val="000000"/>
                <w:sz w:val="18"/>
                <w:szCs w:val="18"/>
                <w:lang w:val="sl-SI" w:eastAsia="sl-SI"/>
              </w:rPr>
              <w:t>(</w:t>
            </w:r>
            <w:r w:rsidR="00F70B5E" w:rsidRPr="00A72BED">
              <w:rPr>
                <w:rFonts w:ascii="Calibri" w:hAnsi="Calibri"/>
                <w:b/>
                <w:color w:val="000000"/>
                <w:sz w:val="18"/>
                <w:szCs w:val="18"/>
                <w:lang w:val="sl-SI" w:eastAsia="sl-SI"/>
              </w:rPr>
              <w:t>€</w:t>
            </w:r>
            <w:r w:rsidRPr="00A72BED">
              <w:rPr>
                <w:rFonts w:ascii="Calibri" w:hAnsi="Calibri"/>
                <w:b/>
                <w:color w:val="000000"/>
                <w:sz w:val="18"/>
                <w:szCs w:val="18"/>
                <w:lang w:val="sl-SI" w:eastAsia="sl-SI"/>
              </w:rPr>
              <w:t>)</w:t>
            </w:r>
          </w:p>
        </w:tc>
        <w:tc>
          <w:tcPr>
            <w:tcW w:w="2436" w:type="dxa"/>
            <w:shd w:val="pct25" w:color="auto" w:fill="auto"/>
            <w:noWrap/>
            <w:vAlign w:val="bottom"/>
          </w:tcPr>
          <w:p w:rsidR="00385775" w:rsidRPr="00A72BED" w:rsidRDefault="00385775" w:rsidP="000A2357">
            <w:pPr>
              <w:spacing w:line="240" w:lineRule="auto"/>
              <w:jc w:val="center"/>
              <w:rPr>
                <w:rFonts w:ascii="Calibri" w:hAnsi="Calibri"/>
                <w:b/>
                <w:color w:val="000000"/>
                <w:sz w:val="18"/>
                <w:szCs w:val="18"/>
                <w:lang w:val="sl-SI" w:eastAsia="sl-SI"/>
              </w:rPr>
            </w:pPr>
            <w:r w:rsidRPr="00A72BED">
              <w:rPr>
                <w:rFonts w:ascii="Calibri" w:hAnsi="Calibri"/>
                <w:b/>
                <w:color w:val="000000"/>
                <w:sz w:val="18"/>
                <w:szCs w:val="18"/>
                <w:lang w:val="sl-SI" w:eastAsia="sl-SI"/>
              </w:rPr>
              <w:t>(</w:t>
            </w:r>
            <w:r w:rsidR="00F70B5E" w:rsidRPr="00A72BED">
              <w:rPr>
                <w:rFonts w:ascii="Calibri" w:hAnsi="Calibri"/>
                <w:b/>
                <w:color w:val="000000"/>
                <w:sz w:val="18"/>
                <w:szCs w:val="18"/>
                <w:lang w:val="sl-SI" w:eastAsia="sl-SI"/>
              </w:rPr>
              <w:t>€</w:t>
            </w:r>
            <w:r w:rsidRPr="00A72BED">
              <w:rPr>
                <w:rFonts w:ascii="Calibri" w:hAnsi="Calibri"/>
                <w:b/>
                <w:color w:val="000000"/>
                <w:sz w:val="18"/>
                <w:szCs w:val="18"/>
                <w:lang w:val="sl-SI" w:eastAsia="sl-SI"/>
              </w:rPr>
              <w:t>)</w:t>
            </w:r>
          </w:p>
        </w:tc>
        <w:tc>
          <w:tcPr>
            <w:tcW w:w="1146" w:type="dxa"/>
            <w:shd w:val="pct25" w:color="auto" w:fill="auto"/>
            <w:noWrap/>
            <w:vAlign w:val="bottom"/>
          </w:tcPr>
          <w:p w:rsidR="00385775" w:rsidRPr="00A72BED" w:rsidRDefault="00385775" w:rsidP="000A2357">
            <w:pPr>
              <w:spacing w:line="240" w:lineRule="auto"/>
              <w:jc w:val="center"/>
              <w:rPr>
                <w:rFonts w:ascii="Calibri" w:hAnsi="Calibri"/>
                <w:b/>
                <w:color w:val="000000"/>
                <w:sz w:val="18"/>
                <w:szCs w:val="18"/>
                <w:lang w:val="sl-SI" w:eastAsia="sl-SI"/>
              </w:rPr>
            </w:pPr>
            <w:r w:rsidRPr="00A72BED">
              <w:rPr>
                <w:rFonts w:ascii="Calibri" w:hAnsi="Calibri"/>
                <w:b/>
                <w:color w:val="000000"/>
                <w:sz w:val="18"/>
                <w:szCs w:val="18"/>
                <w:lang w:val="sl-SI" w:eastAsia="sl-SI"/>
              </w:rPr>
              <w:t>%</w:t>
            </w:r>
          </w:p>
        </w:tc>
        <w:tc>
          <w:tcPr>
            <w:tcW w:w="1418" w:type="dxa"/>
            <w:shd w:val="pct25" w:color="auto" w:fill="auto"/>
            <w:noWrap/>
            <w:vAlign w:val="bottom"/>
          </w:tcPr>
          <w:p w:rsidR="00385775" w:rsidRPr="00A72BED" w:rsidRDefault="0053047D" w:rsidP="000A2357">
            <w:pPr>
              <w:spacing w:line="240" w:lineRule="auto"/>
              <w:jc w:val="center"/>
              <w:rPr>
                <w:rFonts w:ascii="Calibri" w:hAnsi="Calibri"/>
                <w:b/>
                <w:color w:val="000000"/>
                <w:sz w:val="18"/>
                <w:szCs w:val="18"/>
                <w:lang w:val="sl-SI" w:eastAsia="sl-SI"/>
              </w:rPr>
            </w:pPr>
            <w:r w:rsidRPr="00A72BED">
              <w:rPr>
                <w:rFonts w:ascii="Calibri" w:hAnsi="Calibri"/>
                <w:b/>
                <w:color w:val="000000"/>
                <w:sz w:val="18"/>
                <w:szCs w:val="18"/>
                <w:lang w:val="sl-SI" w:eastAsia="sl-SI"/>
              </w:rPr>
              <w:t>(€)</w:t>
            </w:r>
          </w:p>
        </w:tc>
      </w:tr>
      <w:tr w:rsidR="00385775" w:rsidRPr="004D7A53" w:rsidTr="00DD64EC">
        <w:trPr>
          <w:trHeight w:val="300"/>
          <w:tblHeader/>
        </w:trPr>
        <w:tc>
          <w:tcPr>
            <w:tcW w:w="3189" w:type="dxa"/>
            <w:shd w:val="pct25" w:color="auto" w:fill="auto"/>
            <w:noWrap/>
            <w:vAlign w:val="bottom"/>
          </w:tcPr>
          <w:p w:rsidR="00385775" w:rsidRPr="00A72BED" w:rsidRDefault="00385775" w:rsidP="000A2357">
            <w:pPr>
              <w:spacing w:line="240" w:lineRule="auto"/>
              <w:jc w:val="center"/>
              <w:rPr>
                <w:rFonts w:ascii="Calibri" w:hAnsi="Calibri"/>
                <w:b/>
                <w:color w:val="000000"/>
                <w:sz w:val="18"/>
                <w:szCs w:val="18"/>
                <w:lang w:val="sl-SI" w:eastAsia="sl-SI"/>
              </w:rPr>
            </w:pPr>
            <w:r w:rsidRPr="00A72BED">
              <w:rPr>
                <w:rFonts w:ascii="Calibri" w:hAnsi="Calibri"/>
                <w:b/>
                <w:color w:val="000000"/>
                <w:sz w:val="18"/>
                <w:szCs w:val="18"/>
                <w:lang w:val="sl-SI" w:eastAsia="sl-SI"/>
              </w:rPr>
              <w:t>1</w:t>
            </w:r>
          </w:p>
        </w:tc>
        <w:tc>
          <w:tcPr>
            <w:tcW w:w="2436" w:type="dxa"/>
            <w:shd w:val="pct25" w:color="auto" w:fill="auto"/>
            <w:noWrap/>
            <w:vAlign w:val="bottom"/>
          </w:tcPr>
          <w:p w:rsidR="00385775" w:rsidRPr="00A72BED" w:rsidRDefault="00385775" w:rsidP="000A2357">
            <w:pPr>
              <w:spacing w:line="240" w:lineRule="auto"/>
              <w:jc w:val="center"/>
              <w:rPr>
                <w:rFonts w:ascii="Calibri" w:hAnsi="Calibri"/>
                <w:b/>
                <w:color w:val="000000"/>
                <w:sz w:val="18"/>
                <w:szCs w:val="18"/>
                <w:lang w:val="sl-SI" w:eastAsia="sl-SI"/>
              </w:rPr>
            </w:pPr>
            <w:r w:rsidRPr="00A72BED">
              <w:rPr>
                <w:rFonts w:ascii="Calibri" w:hAnsi="Calibri"/>
                <w:b/>
                <w:color w:val="000000"/>
                <w:sz w:val="18"/>
                <w:szCs w:val="18"/>
                <w:lang w:val="sl-SI" w:eastAsia="sl-SI"/>
              </w:rPr>
              <w:t>2</w:t>
            </w:r>
          </w:p>
        </w:tc>
        <w:tc>
          <w:tcPr>
            <w:tcW w:w="2436" w:type="dxa"/>
            <w:shd w:val="pct25" w:color="auto" w:fill="auto"/>
            <w:noWrap/>
            <w:vAlign w:val="bottom"/>
          </w:tcPr>
          <w:p w:rsidR="00385775" w:rsidRPr="00A72BED" w:rsidRDefault="0032637C" w:rsidP="000A2357">
            <w:pPr>
              <w:spacing w:line="240" w:lineRule="auto"/>
              <w:jc w:val="center"/>
              <w:rPr>
                <w:rFonts w:ascii="Calibri" w:hAnsi="Calibri"/>
                <w:b/>
                <w:color w:val="000000"/>
                <w:sz w:val="18"/>
                <w:szCs w:val="18"/>
                <w:lang w:val="sl-SI" w:eastAsia="sl-SI"/>
              </w:rPr>
            </w:pPr>
            <w:r w:rsidRPr="00A72BED">
              <w:rPr>
                <w:rFonts w:ascii="Calibri" w:hAnsi="Calibri"/>
                <w:b/>
                <w:color w:val="000000"/>
                <w:sz w:val="18"/>
                <w:szCs w:val="18"/>
                <w:lang w:val="sl-SI" w:eastAsia="sl-SI"/>
              </w:rPr>
              <w:t>3</w:t>
            </w:r>
          </w:p>
        </w:tc>
        <w:tc>
          <w:tcPr>
            <w:tcW w:w="1146" w:type="dxa"/>
            <w:shd w:val="pct25" w:color="auto" w:fill="auto"/>
            <w:noWrap/>
            <w:vAlign w:val="bottom"/>
          </w:tcPr>
          <w:p w:rsidR="00385775" w:rsidRPr="00A72BED" w:rsidRDefault="0032637C" w:rsidP="000A2357">
            <w:pPr>
              <w:spacing w:line="240" w:lineRule="auto"/>
              <w:jc w:val="center"/>
              <w:rPr>
                <w:rFonts w:ascii="Calibri" w:hAnsi="Calibri"/>
                <w:b/>
                <w:color w:val="000000"/>
                <w:sz w:val="18"/>
                <w:szCs w:val="18"/>
                <w:lang w:val="sl-SI" w:eastAsia="sl-SI"/>
              </w:rPr>
            </w:pPr>
            <w:r w:rsidRPr="00A72BED">
              <w:rPr>
                <w:rFonts w:ascii="Calibri" w:hAnsi="Calibri"/>
                <w:b/>
                <w:color w:val="000000"/>
                <w:sz w:val="18"/>
                <w:szCs w:val="18"/>
                <w:lang w:val="sl-SI" w:eastAsia="sl-SI"/>
              </w:rPr>
              <w:t>4=2/3</w:t>
            </w:r>
            <w:r w:rsidR="00385775" w:rsidRPr="00A72BED">
              <w:rPr>
                <w:rFonts w:ascii="Calibri" w:hAnsi="Calibri"/>
                <w:b/>
                <w:color w:val="000000"/>
                <w:sz w:val="18"/>
                <w:szCs w:val="18"/>
                <w:lang w:val="sl-SI" w:eastAsia="sl-SI"/>
              </w:rPr>
              <w:t>*100</w:t>
            </w:r>
          </w:p>
        </w:tc>
        <w:tc>
          <w:tcPr>
            <w:tcW w:w="1418" w:type="dxa"/>
            <w:shd w:val="pct25" w:color="auto" w:fill="auto"/>
            <w:noWrap/>
            <w:vAlign w:val="bottom"/>
          </w:tcPr>
          <w:p w:rsidR="00385775" w:rsidRPr="00A72BED" w:rsidRDefault="0032637C" w:rsidP="000A2357">
            <w:pPr>
              <w:spacing w:line="240" w:lineRule="auto"/>
              <w:jc w:val="center"/>
              <w:rPr>
                <w:rFonts w:ascii="Calibri" w:hAnsi="Calibri"/>
                <w:b/>
                <w:color w:val="000000"/>
                <w:sz w:val="18"/>
                <w:szCs w:val="18"/>
                <w:lang w:val="sl-SI" w:eastAsia="sl-SI"/>
              </w:rPr>
            </w:pPr>
            <w:r w:rsidRPr="00A72BED">
              <w:rPr>
                <w:rFonts w:ascii="Calibri" w:hAnsi="Calibri"/>
                <w:b/>
                <w:color w:val="000000"/>
                <w:sz w:val="18"/>
                <w:szCs w:val="18"/>
                <w:lang w:val="sl-SI" w:eastAsia="sl-SI"/>
              </w:rPr>
              <w:t>5=2-3</w:t>
            </w:r>
          </w:p>
        </w:tc>
      </w:tr>
      <w:tr w:rsidR="008728DC" w:rsidRPr="004D7A53" w:rsidTr="00690826">
        <w:trPr>
          <w:trHeight w:val="300"/>
        </w:trPr>
        <w:tc>
          <w:tcPr>
            <w:tcW w:w="3189" w:type="dxa"/>
            <w:shd w:val="clear" w:color="auto" w:fill="auto"/>
            <w:noWrap/>
            <w:vAlign w:val="bottom"/>
            <w:hideMark/>
          </w:tcPr>
          <w:p w:rsidR="008728DC" w:rsidRPr="004D7A53" w:rsidRDefault="008728DC" w:rsidP="00044B37">
            <w:pPr>
              <w:spacing w:line="240" w:lineRule="auto"/>
              <w:jc w:val="left"/>
              <w:rPr>
                <w:rFonts w:ascii="Calibri" w:hAnsi="Calibri"/>
                <w:color w:val="000000"/>
                <w:sz w:val="18"/>
                <w:szCs w:val="18"/>
                <w:lang w:val="sl-SI" w:eastAsia="sl-SI"/>
              </w:rPr>
            </w:pPr>
            <w:r w:rsidRPr="004D7A53">
              <w:rPr>
                <w:rFonts w:ascii="Calibri" w:hAnsi="Calibri"/>
                <w:color w:val="000000"/>
                <w:sz w:val="18"/>
                <w:szCs w:val="18"/>
                <w:lang w:val="sl-SI" w:eastAsia="sl-SI"/>
              </w:rPr>
              <w:t>900-Sedanja vrednost neopredmetenih sredstev in dolgoročnih aktivnih časovnih razmejitev</w:t>
            </w:r>
          </w:p>
        </w:tc>
        <w:tc>
          <w:tcPr>
            <w:tcW w:w="2436" w:type="dxa"/>
            <w:shd w:val="clear" w:color="auto" w:fill="auto"/>
            <w:noWrap/>
            <w:vAlign w:val="bottom"/>
            <w:hideMark/>
          </w:tcPr>
          <w:p w:rsidR="008728DC" w:rsidRPr="00690826" w:rsidRDefault="008728DC" w:rsidP="00690826">
            <w:pPr>
              <w:autoSpaceDE w:val="0"/>
              <w:autoSpaceDN w:val="0"/>
              <w:adjustRightInd w:val="0"/>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 xml:space="preserve">154.447.295 </w:t>
            </w:r>
          </w:p>
        </w:tc>
        <w:tc>
          <w:tcPr>
            <w:tcW w:w="2436" w:type="dxa"/>
            <w:shd w:val="clear" w:color="auto" w:fill="auto"/>
            <w:noWrap/>
            <w:vAlign w:val="bottom"/>
          </w:tcPr>
          <w:p w:rsidR="008728DC" w:rsidRDefault="008728DC" w:rsidP="00044B37">
            <w:pPr>
              <w:autoSpaceDE w:val="0"/>
              <w:autoSpaceDN w:val="0"/>
              <w:adjustRightInd w:val="0"/>
              <w:jc w:val="right"/>
              <w:rPr>
                <w:rFonts w:cs="Arial"/>
                <w:color w:val="000000"/>
                <w:sz w:val="16"/>
                <w:szCs w:val="16"/>
              </w:rPr>
            </w:pPr>
            <w:r w:rsidRPr="008062B4">
              <w:rPr>
                <w:rFonts w:ascii="Calibri" w:hAnsi="Calibri" w:cs="Calibri"/>
                <w:color w:val="000000"/>
                <w:sz w:val="18"/>
                <w:szCs w:val="18"/>
                <w:lang w:val="sl-SI" w:eastAsia="sl-SI"/>
              </w:rPr>
              <w:t xml:space="preserve">144.386.771 </w:t>
            </w:r>
          </w:p>
        </w:tc>
        <w:tc>
          <w:tcPr>
            <w:tcW w:w="1146" w:type="dxa"/>
            <w:shd w:val="clear" w:color="auto" w:fill="auto"/>
            <w:noWrap/>
            <w:vAlign w:val="bottom"/>
          </w:tcPr>
          <w:p w:rsidR="008728DC" w:rsidRPr="00690826" w:rsidRDefault="008728DC" w:rsidP="00690826">
            <w:pPr>
              <w:spacing w:line="240" w:lineRule="auto"/>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106,97</w:t>
            </w:r>
          </w:p>
        </w:tc>
        <w:tc>
          <w:tcPr>
            <w:tcW w:w="1418" w:type="dxa"/>
            <w:shd w:val="clear" w:color="auto" w:fill="auto"/>
            <w:noWrap/>
            <w:vAlign w:val="bottom"/>
          </w:tcPr>
          <w:p w:rsidR="008728DC" w:rsidRPr="00690826" w:rsidRDefault="008728DC" w:rsidP="00690826">
            <w:pPr>
              <w:autoSpaceDE w:val="0"/>
              <w:autoSpaceDN w:val="0"/>
              <w:adjustRightInd w:val="0"/>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 xml:space="preserve">10.060.524 </w:t>
            </w:r>
          </w:p>
        </w:tc>
      </w:tr>
      <w:tr w:rsidR="008728DC" w:rsidRPr="004D7A53" w:rsidTr="00690826">
        <w:trPr>
          <w:trHeight w:val="300"/>
        </w:trPr>
        <w:tc>
          <w:tcPr>
            <w:tcW w:w="3189" w:type="dxa"/>
            <w:shd w:val="clear" w:color="auto" w:fill="auto"/>
            <w:noWrap/>
            <w:vAlign w:val="bottom"/>
            <w:hideMark/>
          </w:tcPr>
          <w:p w:rsidR="008728DC" w:rsidRPr="004D7A53" w:rsidRDefault="008728DC" w:rsidP="00044B37">
            <w:pPr>
              <w:spacing w:line="240" w:lineRule="auto"/>
              <w:jc w:val="left"/>
              <w:rPr>
                <w:rFonts w:ascii="Calibri" w:hAnsi="Calibri"/>
                <w:color w:val="000000"/>
                <w:sz w:val="18"/>
                <w:szCs w:val="18"/>
                <w:lang w:val="sl-SI" w:eastAsia="sl-SI"/>
              </w:rPr>
            </w:pPr>
            <w:r w:rsidRPr="004D7A53">
              <w:rPr>
                <w:rFonts w:ascii="Calibri" w:hAnsi="Calibri"/>
                <w:color w:val="000000"/>
                <w:sz w:val="18"/>
                <w:szCs w:val="18"/>
                <w:lang w:val="sl-SI" w:eastAsia="sl-SI"/>
              </w:rPr>
              <w:t>901-Nabavna vrednost neopredmetenih sredstev in dolgoročnih aktivnih časovnih razmejitev</w:t>
            </w:r>
          </w:p>
        </w:tc>
        <w:tc>
          <w:tcPr>
            <w:tcW w:w="2436" w:type="dxa"/>
            <w:shd w:val="clear" w:color="auto" w:fill="auto"/>
            <w:noWrap/>
            <w:vAlign w:val="bottom"/>
            <w:hideMark/>
          </w:tcPr>
          <w:p w:rsidR="008728DC" w:rsidRPr="00690826" w:rsidRDefault="008728DC" w:rsidP="00690826">
            <w:pPr>
              <w:autoSpaceDE w:val="0"/>
              <w:autoSpaceDN w:val="0"/>
              <w:adjustRightInd w:val="0"/>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 xml:space="preserve">738.049.607 </w:t>
            </w:r>
          </w:p>
        </w:tc>
        <w:tc>
          <w:tcPr>
            <w:tcW w:w="2436" w:type="dxa"/>
            <w:shd w:val="clear" w:color="auto" w:fill="auto"/>
            <w:noWrap/>
            <w:vAlign w:val="bottom"/>
          </w:tcPr>
          <w:p w:rsidR="008728DC" w:rsidRDefault="008728DC" w:rsidP="00044B37">
            <w:pPr>
              <w:autoSpaceDE w:val="0"/>
              <w:autoSpaceDN w:val="0"/>
              <w:adjustRightInd w:val="0"/>
              <w:jc w:val="right"/>
              <w:rPr>
                <w:rFonts w:cs="Arial"/>
                <w:color w:val="000000"/>
                <w:sz w:val="16"/>
                <w:szCs w:val="16"/>
              </w:rPr>
            </w:pPr>
            <w:r w:rsidRPr="008062B4">
              <w:rPr>
                <w:rFonts w:ascii="Calibri" w:hAnsi="Calibri" w:cs="Calibri"/>
                <w:color w:val="000000"/>
                <w:sz w:val="18"/>
                <w:szCs w:val="18"/>
                <w:lang w:val="sl-SI" w:eastAsia="sl-SI"/>
              </w:rPr>
              <w:t xml:space="preserve">710.131.497 </w:t>
            </w:r>
          </w:p>
        </w:tc>
        <w:tc>
          <w:tcPr>
            <w:tcW w:w="1146" w:type="dxa"/>
            <w:shd w:val="clear" w:color="auto" w:fill="auto"/>
            <w:noWrap/>
            <w:vAlign w:val="bottom"/>
          </w:tcPr>
          <w:p w:rsidR="008728DC" w:rsidRPr="00690826" w:rsidRDefault="008728DC" w:rsidP="00690826">
            <w:pPr>
              <w:spacing w:line="240" w:lineRule="auto"/>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103,93</w:t>
            </w:r>
          </w:p>
        </w:tc>
        <w:tc>
          <w:tcPr>
            <w:tcW w:w="1418" w:type="dxa"/>
            <w:shd w:val="clear" w:color="auto" w:fill="auto"/>
            <w:noWrap/>
            <w:vAlign w:val="bottom"/>
          </w:tcPr>
          <w:p w:rsidR="008728DC" w:rsidRPr="00690826" w:rsidRDefault="008728DC" w:rsidP="00690826">
            <w:pPr>
              <w:autoSpaceDE w:val="0"/>
              <w:autoSpaceDN w:val="0"/>
              <w:adjustRightInd w:val="0"/>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 xml:space="preserve">27.918.110 </w:t>
            </w:r>
          </w:p>
        </w:tc>
      </w:tr>
      <w:tr w:rsidR="008728DC" w:rsidRPr="004D7A53" w:rsidTr="00690826">
        <w:trPr>
          <w:trHeight w:val="300"/>
        </w:trPr>
        <w:tc>
          <w:tcPr>
            <w:tcW w:w="3189" w:type="dxa"/>
            <w:shd w:val="clear" w:color="auto" w:fill="auto"/>
            <w:noWrap/>
            <w:vAlign w:val="bottom"/>
            <w:hideMark/>
          </w:tcPr>
          <w:p w:rsidR="008728DC" w:rsidRPr="004D7A53" w:rsidRDefault="008728DC" w:rsidP="00044B37">
            <w:pPr>
              <w:spacing w:line="240" w:lineRule="auto"/>
              <w:jc w:val="left"/>
              <w:rPr>
                <w:rFonts w:ascii="Calibri" w:hAnsi="Calibri"/>
                <w:color w:val="000000"/>
                <w:sz w:val="18"/>
                <w:szCs w:val="18"/>
                <w:lang w:val="sl-SI" w:eastAsia="sl-SI"/>
              </w:rPr>
            </w:pPr>
            <w:r w:rsidRPr="004D7A53">
              <w:rPr>
                <w:rFonts w:ascii="Calibri" w:hAnsi="Calibri"/>
                <w:color w:val="000000"/>
                <w:sz w:val="18"/>
                <w:szCs w:val="18"/>
                <w:lang w:val="sl-SI" w:eastAsia="sl-SI"/>
              </w:rPr>
              <w:t>902-Popravki vrednosti neopredmetenih sredstev</w:t>
            </w:r>
          </w:p>
        </w:tc>
        <w:tc>
          <w:tcPr>
            <w:tcW w:w="2436" w:type="dxa"/>
            <w:shd w:val="clear" w:color="auto" w:fill="auto"/>
            <w:noWrap/>
            <w:vAlign w:val="bottom"/>
            <w:hideMark/>
          </w:tcPr>
          <w:p w:rsidR="008728DC" w:rsidRPr="00690826" w:rsidRDefault="008728DC" w:rsidP="00690826">
            <w:pPr>
              <w:autoSpaceDE w:val="0"/>
              <w:autoSpaceDN w:val="0"/>
              <w:adjustRightInd w:val="0"/>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 xml:space="preserve">583.602.312 </w:t>
            </w:r>
          </w:p>
        </w:tc>
        <w:tc>
          <w:tcPr>
            <w:tcW w:w="2436" w:type="dxa"/>
            <w:shd w:val="clear" w:color="auto" w:fill="auto"/>
            <w:noWrap/>
            <w:vAlign w:val="bottom"/>
          </w:tcPr>
          <w:p w:rsidR="008728DC" w:rsidRDefault="008728DC" w:rsidP="00044B37">
            <w:pPr>
              <w:autoSpaceDE w:val="0"/>
              <w:autoSpaceDN w:val="0"/>
              <w:adjustRightInd w:val="0"/>
              <w:jc w:val="right"/>
              <w:rPr>
                <w:rFonts w:cs="Arial"/>
                <w:color w:val="000000"/>
                <w:sz w:val="16"/>
                <w:szCs w:val="16"/>
              </w:rPr>
            </w:pPr>
            <w:r w:rsidRPr="008062B4">
              <w:rPr>
                <w:rFonts w:ascii="Calibri" w:hAnsi="Calibri" w:cs="Calibri"/>
                <w:color w:val="000000"/>
                <w:sz w:val="18"/>
                <w:szCs w:val="18"/>
                <w:lang w:val="sl-SI" w:eastAsia="sl-SI"/>
              </w:rPr>
              <w:t xml:space="preserve">565.744.726 </w:t>
            </w:r>
          </w:p>
        </w:tc>
        <w:tc>
          <w:tcPr>
            <w:tcW w:w="1146" w:type="dxa"/>
            <w:shd w:val="clear" w:color="auto" w:fill="auto"/>
            <w:noWrap/>
            <w:vAlign w:val="bottom"/>
          </w:tcPr>
          <w:p w:rsidR="008728DC" w:rsidRPr="00690826" w:rsidRDefault="008728DC" w:rsidP="00690826">
            <w:pPr>
              <w:spacing w:line="240" w:lineRule="auto"/>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103,16</w:t>
            </w:r>
          </w:p>
        </w:tc>
        <w:tc>
          <w:tcPr>
            <w:tcW w:w="1418" w:type="dxa"/>
            <w:shd w:val="clear" w:color="auto" w:fill="auto"/>
            <w:noWrap/>
            <w:vAlign w:val="bottom"/>
          </w:tcPr>
          <w:p w:rsidR="008728DC" w:rsidRPr="00690826" w:rsidRDefault="008728DC" w:rsidP="00690826">
            <w:pPr>
              <w:autoSpaceDE w:val="0"/>
              <w:autoSpaceDN w:val="0"/>
              <w:adjustRightInd w:val="0"/>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 xml:space="preserve">17.857.586 </w:t>
            </w:r>
          </w:p>
        </w:tc>
      </w:tr>
      <w:tr w:rsidR="008728DC" w:rsidRPr="004D7A53" w:rsidTr="00690826">
        <w:trPr>
          <w:trHeight w:val="300"/>
        </w:trPr>
        <w:tc>
          <w:tcPr>
            <w:tcW w:w="3189" w:type="dxa"/>
            <w:shd w:val="clear" w:color="auto" w:fill="auto"/>
            <w:noWrap/>
            <w:vAlign w:val="bottom"/>
            <w:hideMark/>
          </w:tcPr>
          <w:p w:rsidR="008728DC" w:rsidRPr="004D7A53" w:rsidRDefault="008728DC" w:rsidP="00044B37">
            <w:pPr>
              <w:spacing w:line="240" w:lineRule="auto"/>
              <w:jc w:val="left"/>
              <w:rPr>
                <w:rFonts w:ascii="Calibri" w:hAnsi="Calibri"/>
                <w:color w:val="000000"/>
                <w:sz w:val="18"/>
                <w:szCs w:val="18"/>
                <w:lang w:val="sl-SI" w:eastAsia="sl-SI"/>
              </w:rPr>
            </w:pPr>
            <w:r w:rsidRPr="004D7A53">
              <w:rPr>
                <w:rFonts w:ascii="Calibri" w:hAnsi="Calibri"/>
                <w:color w:val="000000"/>
                <w:sz w:val="18"/>
                <w:szCs w:val="18"/>
                <w:lang w:val="sl-SI" w:eastAsia="sl-SI"/>
              </w:rPr>
              <w:t>903-Sedanja vrednost nepremičnin</w:t>
            </w:r>
          </w:p>
        </w:tc>
        <w:tc>
          <w:tcPr>
            <w:tcW w:w="2436" w:type="dxa"/>
            <w:shd w:val="clear" w:color="auto" w:fill="auto"/>
            <w:noWrap/>
            <w:vAlign w:val="bottom"/>
            <w:hideMark/>
          </w:tcPr>
          <w:p w:rsidR="008728DC" w:rsidRPr="00690826" w:rsidRDefault="008728DC" w:rsidP="00690826">
            <w:pPr>
              <w:autoSpaceDE w:val="0"/>
              <w:autoSpaceDN w:val="0"/>
              <w:adjustRightInd w:val="0"/>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 xml:space="preserve">21.487.845.568 </w:t>
            </w:r>
          </w:p>
        </w:tc>
        <w:tc>
          <w:tcPr>
            <w:tcW w:w="2436" w:type="dxa"/>
            <w:shd w:val="clear" w:color="auto" w:fill="auto"/>
            <w:noWrap/>
            <w:vAlign w:val="bottom"/>
          </w:tcPr>
          <w:p w:rsidR="008728DC" w:rsidRDefault="008728DC" w:rsidP="00044B37">
            <w:pPr>
              <w:autoSpaceDE w:val="0"/>
              <w:autoSpaceDN w:val="0"/>
              <w:adjustRightInd w:val="0"/>
              <w:jc w:val="right"/>
              <w:rPr>
                <w:rFonts w:cs="Arial"/>
                <w:color w:val="000000"/>
                <w:sz w:val="16"/>
                <w:szCs w:val="16"/>
              </w:rPr>
            </w:pPr>
            <w:r w:rsidRPr="008062B4">
              <w:rPr>
                <w:rFonts w:ascii="Calibri" w:hAnsi="Calibri" w:cs="Calibri"/>
                <w:color w:val="000000"/>
                <w:sz w:val="18"/>
                <w:szCs w:val="18"/>
                <w:lang w:val="sl-SI" w:eastAsia="sl-SI"/>
              </w:rPr>
              <w:t xml:space="preserve">21.148.705.101 </w:t>
            </w:r>
          </w:p>
        </w:tc>
        <w:tc>
          <w:tcPr>
            <w:tcW w:w="1146" w:type="dxa"/>
            <w:shd w:val="clear" w:color="auto" w:fill="auto"/>
            <w:noWrap/>
            <w:vAlign w:val="bottom"/>
          </w:tcPr>
          <w:p w:rsidR="008728DC" w:rsidRPr="00690826" w:rsidRDefault="008728DC" w:rsidP="00690826">
            <w:pPr>
              <w:spacing w:line="240" w:lineRule="auto"/>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101,60</w:t>
            </w:r>
          </w:p>
        </w:tc>
        <w:tc>
          <w:tcPr>
            <w:tcW w:w="1418" w:type="dxa"/>
            <w:shd w:val="clear" w:color="auto" w:fill="auto"/>
            <w:noWrap/>
            <w:vAlign w:val="bottom"/>
          </w:tcPr>
          <w:p w:rsidR="008728DC" w:rsidRPr="00690826" w:rsidRDefault="008728DC" w:rsidP="00690826">
            <w:pPr>
              <w:autoSpaceDE w:val="0"/>
              <w:autoSpaceDN w:val="0"/>
              <w:adjustRightInd w:val="0"/>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 xml:space="preserve">339.140.467 </w:t>
            </w:r>
          </w:p>
        </w:tc>
      </w:tr>
      <w:tr w:rsidR="008728DC" w:rsidRPr="004D7A53" w:rsidTr="00690826">
        <w:trPr>
          <w:trHeight w:val="300"/>
        </w:trPr>
        <w:tc>
          <w:tcPr>
            <w:tcW w:w="3189" w:type="dxa"/>
            <w:shd w:val="clear" w:color="auto" w:fill="auto"/>
            <w:noWrap/>
            <w:vAlign w:val="bottom"/>
            <w:hideMark/>
          </w:tcPr>
          <w:p w:rsidR="008728DC" w:rsidRPr="004D7A53" w:rsidRDefault="008728DC" w:rsidP="00044B37">
            <w:pPr>
              <w:spacing w:line="240" w:lineRule="auto"/>
              <w:jc w:val="left"/>
              <w:rPr>
                <w:rFonts w:ascii="Calibri" w:hAnsi="Calibri"/>
                <w:color w:val="000000"/>
                <w:sz w:val="18"/>
                <w:szCs w:val="18"/>
                <w:lang w:val="sl-SI" w:eastAsia="sl-SI"/>
              </w:rPr>
            </w:pPr>
            <w:r w:rsidRPr="004D7A53">
              <w:rPr>
                <w:rFonts w:ascii="Calibri" w:hAnsi="Calibri"/>
                <w:color w:val="000000"/>
                <w:sz w:val="18"/>
                <w:szCs w:val="18"/>
                <w:lang w:val="sl-SI" w:eastAsia="sl-SI"/>
              </w:rPr>
              <w:t>904-Nabavna vrednost nepremičnin</w:t>
            </w:r>
          </w:p>
        </w:tc>
        <w:tc>
          <w:tcPr>
            <w:tcW w:w="2436" w:type="dxa"/>
            <w:shd w:val="clear" w:color="auto" w:fill="auto"/>
            <w:noWrap/>
            <w:vAlign w:val="bottom"/>
            <w:hideMark/>
          </w:tcPr>
          <w:p w:rsidR="008728DC" w:rsidRPr="00690826" w:rsidRDefault="008728DC" w:rsidP="00690826">
            <w:pPr>
              <w:autoSpaceDE w:val="0"/>
              <w:autoSpaceDN w:val="0"/>
              <w:adjustRightInd w:val="0"/>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 xml:space="preserve">31.881.591.070 </w:t>
            </w:r>
          </w:p>
        </w:tc>
        <w:tc>
          <w:tcPr>
            <w:tcW w:w="2436" w:type="dxa"/>
            <w:shd w:val="clear" w:color="auto" w:fill="auto"/>
            <w:noWrap/>
            <w:vAlign w:val="bottom"/>
          </w:tcPr>
          <w:p w:rsidR="008728DC" w:rsidRDefault="008728DC" w:rsidP="00044B37">
            <w:pPr>
              <w:autoSpaceDE w:val="0"/>
              <w:autoSpaceDN w:val="0"/>
              <w:adjustRightInd w:val="0"/>
              <w:jc w:val="right"/>
              <w:rPr>
                <w:rFonts w:cs="Arial"/>
                <w:color w:val="000000"/>
                <w:sz w:val="16"/>
                <w:szCs w:val="16"/>
              </w:rPr>
            </w:pPr>
            <w:r w:rsidRPr="008062B4">
              <w:rPr>
                <w:rFonts w:ascii="Calibri" w:hAnsi="Calibri" w:cs="Calibri"/>
                <w:color w:val="000000"/>
                <w:sz w:val="18"/>
                <w:szCs w:val="18"/>
                <w:lang w:val="sl-SI" w:eastAsia="sl-SI"/>
              </w:rPr>
              <w:t xml:space="preserve">30.948.851.071 </w:t>
            </w:r>
          </w:p>
        </w:tc>
        <w:tc>
          <w:tcPr>
            <w:tcW w:w="1146" w:type="dxa"/>
            <w:shd w:val="clear" w:color="auto" w:fill="auto"/>
            <w:noWrap/>
            <w:vAlign w:val="bottom"/>
          </w:tcPr>
          <w:p w:rsidR="008728DC" w:rsidRPr="00690826" w:rsidRDefault="008728DC" w:rsidP="00690826">
            <w:pPr>
              <w:spacing w:line="240" w:lineRule="auto"/>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103,01</w:t>
            </w:r>
          </w:p>
        </w:tc>
        <w:tc>
          <w:tcPr>
            <w:tcW w:w="1418" w:type="dxa"/>
            <w:shd w:val="clear" w:color="auto" w:fill="auto"/>
            <w:noWrap/>
            <w:vAlign w:val="bottom"/>
          </w:tcPr>
          <w:p w:rsidR="008728DC" w:rsidRPr="00690826" w:rsidRDefault="008728DC" w:rsidP="00690826">
            <w:pPr>
              <w:autoSpaceDE w:val="0"/>
              <w:autoSpaceDN w:val="0"/>
              <w:adjustRightInd w:val="0"/>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 xml:space="preserve">932.739.999 </w:t>
            </w:r>
          </w:p>
        </w:tc>
      </w:tr>
      <w:tr w:rsidR="008728DC" w:rsidRPr="004D7A53" w:rsidTr="00690826">
        <w:trPr>
          <w:trHeight w:val="300"/>
        </w:trPr>
        <w:tc>
          <w:tcPr>
            <w:tcW w:w="3189" w:type="dxa"/>
            <w:shd w:val="clear" w:color="auto" w:fill="auto"/>
            <w:noWrap/>
            <w:vAlign w:val="bottom"/>
            <w:hideMark/>
          </w:tcPr>
          <w:p w:rsidR="008728DC" w:rsidRPr="004D7A53" w:rsidRDefault="008728DC" w:rsidP="00044B37">
            <w:pPr>
              <w:spacing w:line="240" w:lineRule="auto"/>
              <w:jc w:val="left"/>
              <w:rPr>
                <w:rFonts w:ascii="Calibri" w:hAnsi="Calibri"/>
                <w:color w:val="000000"/>
                <w:sz w:val="18"/>
                <w:szCs w:val="18"/>
                <w:lang w:val="sl-SI" w:eastAsia="sl-SI"/>
              </w:rPr>
            </w:pPr>
            <w:r w:rsidRPr="004D7A53">
              <w:rPr>
                <w:rFonts w:ascii="Calibri" w:hAnsi="Calibri"/>
                <w:color w:val="000000"/>
                <w:sz w:val="18"/>
                <w:szCs w:val="18"/>
                <w:lang w:val="sl-SI" w:eastAsia="sl-SI"/>
              </w:rPr>
              <w:t>905-Popravek vrednosti nepremičnin</w:t>
            </w:r>
          </w:p>
        </w:tc>
        <w:tc>
          <w:tcPr>
            <w:tcW w:w="2436" w:type="dxa"/>
            <w:shd w:val="clear" w:color="auto" w:fill="auto"/>
            <w:noWrap/>
            <w:vAlign w:val="bottom"/>
            <w:hideMark/>
          </w:tcPr>
          <w:p w:rsidR="008728DC" w:rsidRPr="00690826" w:rsidRDefault="008728DC" w:rsidP="00690826">
            <w:pPr>
              <w:autoSpaceDE w:val="0"/>
              <w:autoSpaceDN w:val="0"/>
              <w:adjustRightInd w:val="0"/>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 xml:space="preserve">10.393.745.502 </w:t>
            </w:r>
          </w:p>
        </w:tc>
        <w:tc>
          <w:tcPr>
            <w:tcW w:w="2436" w:type="dxa"/>
            <w:shd w:val="clear" w:color="auto" w:fill="auto"/>
            <w:noWrap/>
            <w:vAlign w:val="bottom"/>
          </w:tcPr>
          <w:p w:rsidR="008728DC" w:rsidRDefault="008728DC" w:rsidP="00044B37">
            <w:pPr>
              <w:autoSpaceDE w:val="0"/>
              <w:autoSpaceDN w:val="0"/>
              <w:adjustRightInd w:val="0"/>
              <w:jc w:val="right"/>
              <w:rPr>
                <w:rFonts w:cs="Arial"/>
                <w:color w:val="000000"/>
                <w:sz w:val="16"/>
                <w:szCs w:val="16"/>
              </w:rPr>
            </w:pPr>
            <w:r w:rsidRPr="008062B4">
              <w:rPr>
                <w:rFonts w:ascii="Calibri" w:hAnsi="Calibri" w:cs="Calibri"/>
                <w:color w:val="000000"/>
                <w:sz w:val="18"/>
                <w:szCs w:val="18"/>
                <w:lang w:val="sl-SI" w:eastAsia="sl-SI"/>
              </w:rPr>
              <w:t xml:space="preserve">9.800.145.970 </w:t>
            </w:r>
          </w:p>
        </w:tc>
        <w:tc>
          <w:tcPr>
            <w:tcW w:w="1146" w:type="dxa"/>
            <w:shd w:val="clear" w:color="auto" w:fill="auto"/>
            <w:noWrap/>
            <w:vAlign w:val="bottom"/>
          </w:tcPr>
          <w:p w:rsidR="008728DC" w:rsidRPr="00690826" w:rsidRDefault="008728DC" w:rsidP="00690826">
            <w:pPr>
              <w:spacing w:line="240" w:lineRule="auto"/>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106,06</w:t>
            </w:r>
          </w:p>
        </w:tc>
        <w:tc>
          <w:tcPr>
            <w:tcW w:w="1418" w:type="dxa"/>
            <w:shd w:val="clear" w:color="auto" w:fill="auto"/>
            <w:noWrap/>
            <w:vAlign w:val="bottom"/>
          </w:tcPr>
          <w:p w:rsidR="008728DC" w:rsidRPr="00690826" w:rsidRDefault="008728DC" w:rsidP="00690826">
            <w:pPr>
              <w:autoSpaceDE w:val="0"/>
              <w:autoSpaceDN w:val="0"/>
              <w:adjustRightInd w:val="0"/>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 xml:space="preserve">593.599.532 </w:t>
            </w:r>
          </w:p>
        </w:tc>
      </w:tr>
      <w:tr w:rsidR="008728DC" w:rsidRPr="004D7A53" w:rsidTr="00690826">
        <w:trPr>
          <w:trHeight w:val="300"/>
        </w:trPr>
        <w:tc>
          <w:tcPr>
            <w:tcW w:w="3189" w:type="dxa"/>
            <w:shd w:val="clear" w:color="auto" w:fill="auto"/>
            <w:noWrap/>
            <w:vAlign w:val="bottom"/>
            <w:hideMark/>
          </w:tcPr>
          <w:p w:rsidR="008728DC" w:rsidRPr="004D7A53" w:rsidRDefault="008728DC" w:rsidP="00044B37">
            <w:pPr>
              <w:spacing w:line="240" w:lineRule="auto"/>
              <w:jc w:val="left"/>
              <w:rPr>
                <w:rFonts w:ascii="Calibri" w:hAnsi="Calibri"/>
                <w:color w:val="000000"/>
                <w:sz w:val="18"/>
                <w:szCs w:val="18"/>
                <w:lang w:val="sl-SI" w:eastAsia="sl-SI"/>
              </w:rPr>
            </w:pPr>
            <w:r w:rsidRPr="004D7A53">
              <w:rPr>
                <w:rFonts w:ascii="Calibri" w:hAnsi="Calibri"/>
                <w:color w:val="000000"/>
                <w:sz w:val="18"/>
                <w:szCs w:val="18"/>
                <w:lang w:val="sl-SI" w:eastAsia="sl-SI"/>
              </w:rPr>
              <w:t>906-Sedanja vrednost opreme in drugih opredmetenih osnovnih sredstev</w:t>
            </w:r>
          </w:p>
        </w:tc>
        <w:tc>
          <w:tcPr>
            <w:tcW w:w="2436" w:type="dxa"/>
            <w:shd w:val="clear" w:color="auto" w:fill="auto"/>
            <w:noWrap/>
            <w:vAlign w:val="bottom"/>
            <w:hideMark/>
          </w:tcPr>
          <w:p w:rsidR="008728DC" w:rsidRPr="00690826" w:rsidRDefault="008728DC" w:rsidP="00690826">
            <w:pPr>
              <w:autoSpaceDE w:val="0"/>
              <w:autoSpaceDN w:val="0"/>
              <w:adjustRightInd w:val="0"/>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 xml:space="preserve">2.097.863.477 </w:t>
            </w:r>
          </w:p>
        </w:tc>
        <w:tc>
          <w:tcPr>
            <w:tcW w:w="2436" w:type="dxa"/>
            <w:shd w:val="clear" w:color="auto" w:fill="auto"/>
            <w:noWrap/>
            <w:vAlign w:val="bottom"/>
          </w:tcPr>
          <w:p w:rsidR="008728DC" w:rsidRDefault="008728DC" w:rsidP="00044B37">
            <w:pPr>
              <w:autoSpaceDE w:val="0"/>
              <w:autoSpaceDN w:val="0"/>
              <w:adjustRightInd w:val="0"/>
              <w:jc w:val="right"/>
              <w:rPr>
                <w:rFonts w:cs="Arial"/>
                <w:color w:val="000000"/>
                <w:sz w:val="16"/>
                <w:szCs w:val="16"/>
              </w:rPr>
            </w:pPr>
            <w:r w:rsidRPr="008062B4">
              <w:rPr>
                <w:rFonts w:ascii="Calibri" w:hAnsi="Calibri" w:cs="Calibri"/>
                <w:color w:val="000000"/>
                <w:sz w:val="18"/>
                <w:szCs w:val="18"/>
                <w:lang w:val="sl-SI" w:eastAsia="sl-SI"/>
              </w:rPr>
              <w:t xml:space="preserve">1.644.173.416 </w:t>
            </w:r>
          </w:p>
        </w:tc>
        <w:tc>
          <w:tcPr>
            <w:tcW w:w="1146" w:type="dxa"/>
            <w:shd w:val="clear" w:color="auto" w:fill="auto"/>
            <w:noWrap/>
            <w:vAlign w:val="bottom"/>
          </w:tcPr>
          <w:p w:rsidR="008728DC" w:rsidRPr="00690826" w:rsidRDefault="008728DC" w:rsidP="00690826">
            <w:pPr>
              <w:spacing w:line="240" w:lineRule="auto"/>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127,59</w:t>
            </w:r>
          </w:p>
        </w:tc>
        <w:tc>
          <w:tcPr>
            <w:tcW w:w="1418" w:type="dxa"/>
            <w:shd w:val="clear" w:color="auto" w:fill="auto"/>
            <w:noWrap/>
            <w:vAlign w:val="bottom"/>
          </w:tcPr>
          <w:p w:rsidR="008728DC" w:rsidRPr="00690826" w:rsidRDefault="008728DC" w:rsidP="00690826">
            <w:pPr>
              <w:autoSpaceDE w:val="0"/>
              <w:autoSpaceDN w:val="0"/>
              <w:adjustRightInd w:val="0"/>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 xml:space="preserve">453.690.061 </w:t>
            </w:r>
          </w:p>
        </w:tc>
      </w:tr>
      <w:tr w:rsidR="008728DC" w:rsidRPr="004D7A53" w:rsidTr="00690826">
        <w:trPr>
          <w:trHeight w:val="300"/>
        </w:trPr>
        <w:tc>
          <w:tcPr>
            <w:tcW w:w="3189" w:type="dxa"/>
            <w:shd w:val="clear" w:color="auto" w:fill="auto"/>
            <w:noWrap/>
            <w:vAlign w:val="bottom"/>
            <w:hideMark/>
          </w:tcPr>
          <w:p w:rsidR="008728DC" w:rsidRPr="004D7A53" w:rsidRDefault="008728DC" w:rsidP="00044B37">
            <w:pPr>
              <w:spacing w:line="240" w:lineRule="auto"/>
              <w:jc w:val="left"/>
              <w:rPr>
                <w:rFonts w:ascii="Calibri" w:hAnsi="Calibri"/>
                <w:color w:val="000000"/>
                <w:sz w:val="18"/>
                <w:szCs w:val="18"/>
                <w:lang w:val="sl-SI" w:eastAsia="sl-SI"/>
              </w:rPr>
            </w:pPr>
            <w:r w:rsidRPr="004D7A53">
              <w:rPr>
                <w:rFonts w:ascii="Calibri" w:hAnsi="Calibri"/>
                <w:color w:val="000000"/>
                <w:sz w:val="18"/>
                <w:szCs w:val="18"/>
                <w:lang w:val="sl-SI" w:eastAsia="sl-SI"/>
              </w:rPr>
              <w:t>907-Nabavna vrednost opreme in drugih opredmetenih osnovnih sredstev</w:t>
            </w:r>
          </w:p>
        </w:tc>
        <w:tc>
          <w:tcPr>
            <w:tcW w:w="2436" w:type="dxa"/>
            <w:shd w:val="clear" w:color="auto" w:fill="auto"/>
            <w:noWrap/>
            <w:vAlign w:val="bottom"/>
            <w:hideMark/>
          </w:tcPr>
          <w:p w:rsidR="008728DC" w:rsidRPr="00690826" w:rsidRDefault="008728DC" w:rsidP="00690826">
            <w:pPr>
              <w:autoSpaceDE w:val="0"/>
              <w:autoSpaceDN w:val="0"/>
              <w:adjustRightInd w:val="0"/>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 xml:space="preserve">7.273.077.414 </w:t>
            </w:r>
          </w:p>
        </w:tc>
        <w:tc>
          <w:tcPr>
            <w:tcW w:w="2436" w:type="dxa"/>
            <w:shd w:val="clear" w:color="auto" w:fill="auto"/>
            <w:noWrap/>
            <w:vAlign w:val="bottom"/>
          </w:tcPr>
          <w:p w:rsidR="008728DC" w:rsidRDefault="008728DC" w:rsidP="00044B37">
            <w:pPr>
              <w:autoSpaceDE w:val="0"/>
              <w:autoSpaceDN w:val="0"/>
              <w:adjustRightInd w:val="0"/>
              <w:jc w:val="right"/>
              <w:rPr>
                <w:rFonts w:cs="Arial"/>
                <w:color w:val="000000"/>
                <w:sz w:val="16"/>
                <w:szCs w:val="16"/>
              </w:rPr>
            </w:pPr>
            <w:r w:rsidRPr="008062B4">
              <w:rPr>
                <w:rFonts w:ascii="Calibri" w:hAnsi="Calibri" w:cs="Calibri"/>
                <w:color w:val="000000"/>
                <w:sz w:val="18"/>
                <w:szCs w:val="18"/>
                <w:lang w:val="sl-SI" w:eastAsia="sl-SI"/>
              </w:rPr>
              <w:t xml:space="preserve">6.590.146.878 </w:t>
            </w:r>
          </w:p>
        </w:tc>
        <w:tc>
          <w:tcPr>
            <w:tcW w:w="1146" w:type="dxa"/>
            <w:shd w:val="clear" w:color="auto" w:fill="auto"/>
            <w:noWrap/>
            <w:vAlign w:val="bottom"/>
          </w:tcPr>
          <w:p w:rsidR="008728DC" w:rsidRPr="00690826" w:rsidRDefault="008728DC" w:rsidP="00690826">
            <w:pPr>
              <w:spacing w:line="240" w:lineRule="auto"/>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110,36</w:t>
            </w:r>
          </w:p>
        </w:tc>
        <w:tc>
          <w:tcPr>
            <w:tcW w:w="1418" w:type="dxa"/>
            <w:shd w:val="clear" w:color="auto" w:fill="auto"/>
            <w:noWrap/>
            <w:vAlign w:val="bottom"/>
          </w:tcPr>
          <w:p w:rsidR="008728DC" w:rsidRPr="00690826" w:rsidRDefault="008728DC" w:rsidP="00690826">
            <w:pPr>
              <w:autoSpaceDE w:val="0"/>
              <w:autoSpaceDN w:val="0"/>
              <w:adjustRightInd w:val="0"/>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 xml:space="preserve">682.930.536 </w:t>
            </w:r>
          </w:p>
        </w:tc>
      </w:tr>
      <w:tr w:rsidR="008728DC" w:rsidRPr="004D7A53" w:rsidTr="00690826">
        <w:trPr>
          <w:trHeight w:val="300"/>
        </w:trPr>
        <w:tc>
          <w:tcPr>
            <w:tcW w:w="3189" w:type="dxa"/>
            <w:shd w:val="clear" w:color="auto" w:fill="auto"/>
            <w:noWrap/>
            <w:vAlign w:val="bottom"/>
            <w:hideMark/>
          </w:tcPr>
          <w:p w:rsidR="008728DC" w:rsidRPr="004D7A53" w:rsidRDefault="008728DC" w:rsidP="00044B37">
            <w:pPr>
              <w:spacing w:line="240" w:lineRule="auto"/>
              <w:jc w:val="left"/>
              <w:rPr>
                <w:rFonts w:ascii="Calibri" w:hAnsi="Calibri"/>
                <w:color w:val="000000"/>
                <w:sz w:val="18"/>
                <w:szCs w:val="18"/>
                <w:lang w:val="sl-SI" w:eastAsia="sl-SI"/>
              </w:rPr>
            </w:pPr>
            <w:r w:rsidRPr="004D7A53">
              <w:rPr>
                <w:rFonts w:ascii="Calibri" w:hAnsi="Calibri"/>
                <w:color w:val="000000"/>
                <w:sz w:val="18"/>
                <w:szCs w:val="18"/>
                <w:lang w:val="sl-SI" w:eastAsia="sl-SI"/>
              </w:rPr>
              <w:t>908-Popravek vrednosti opreme in drugih opredmetenih osnovnih sredstev</w:t>
            </w:r>
          </w:p>
        </w:tc>
        <w:tc>
          <w:tcPr>
            <w:tcW w:w="2436" w:type="dxa"/>
            <w:shd w:val="clear" w:color="auto" w:fill="auto"/>
            <w:noWrap/>
            <w:vAlign w:val="bottom"/>
            <w:hideMark/>
          </w:tcPr>
          <w:p w:rsidR="008728DC" w:rsidRPr="00690826" w:rsidRDefault="008728DC" w:rsidP="00690826">
            <w:pPr>
              <w:autoSpaceDE w:val="0"/>
              <w:autoSpaceDN w:val="0"/>
              <w:adjustRightInd w:val="0"/>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 xml:space="preserve">5.175.213.937 </w:t>
            </w:r>
          </w:p>
        </w:tc>
        <w:tc>
          <w:tcPr>
            <w:tcW w:w="2436" w:type="dxa"/>
            <w:shd w:val="clear" w:color="auto" w:fill="auto"/>
            <w:noWrap/>
            <w:vAlign w:val="bottom"/>
          </w:tcPr>
          <w:p w:rsidR="008728DC" w:rsidRDefault="008728DC" w:rsidP="00044B37">
            <w:pPr>
              <w:autoSpaceDE w:val="0"/>
              <w:autoSpaceDN w:val="0"/>
              <w:adjustRightInd w:val="0"/>
              <w:jc w:val="right"/>
              <w:rPr>
                <w:rFonts w:cs="Arial"/>
                <w:color w:val="000000"/>
                <w:sz w:val="16"/>
                <w:szCs w:val="16"/>
              </w:rPr>
            </w:pPr>
            <w:r w:rsidRPr="008062B4">
              <w:rPr>
                <w:rFonts w:ascii="Calibri" w:hAnsi="Calibri" w:cs="Calibri"/>
                <w:color w:val="000000"/>
                <w:sz w:val="18"/>
                <w:szCs w:val="18"/>
                <w:lang w:val="sl-SI" w:eastAsia="sl-SI"/>
              </w:rPr>
              <w:t xml:space="preserve">4.945.973.462 </w:t>
            </w:r>
          </w:p>
        </w:tc>
        <w:tc>
          <w:tcPr>
            <w:tcW w:w="1146" w:type="dxa"/>
            <w:shd w:val="clear" w:color="auto" w:fill="auto"/>
            <w:noWrap/>
            <w:vAlign w:val="bottom"/>
          </w:tcPr>
          <w:p w:rsidR="008728DC" w:rsidRPr="00690826" w:rsidRDefault="008728DC" w:rsidP="00690826">
            <w:pPr>
              <w:spacing w:line="240" w:lineRule="auto"/>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104,63</w:t>
            </w:r>
          </w:p>
        </w:tc>
        <w:tc>
          <w:tcPr>
            <w:tcW w:w="1418" w:type="dxa"/>
            <w:shd w:val="clear" w:color="auto" w:fill="auto"/>
            <w:noWrap/>
            <w:vAlign w:val="bottom"/>
          </w:tcPr>
          <w:p w:rsidR="008728DC" w:rsidRPr="00690826" w:rsidRDefault="008728DC" w:rsidP="00690826">
            <w:pPr>
              <w:autoSpaceDE w:val="0"/>
              <w:autoSpaceDN w:val="0"/>
              <w:adjustRightInd w:val="0"/>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 xml:space="preserve">229.240.475 </w:t>
            </w:r>
          </w:p>
        </w:tc>
      </w:tr>
      <w:tr w:rsidR="008728DC" w:rsidRPr="004D7A53" w:rsidTr="00690826">
        <w:trPr>
          <w:trHeight w:val="300"/>
        </w:trPr>
        <w:tc>
          <w:tcPr>
            <w:tcW w:w="3189" w:type="dxa"/>
            <w:shd w:val="clear" w:color="auto" w:fill="auto"/>
            <w:noWrap/>
            <w:vAlign w:val="bottom"/>
            <w:hideMark/>
          </w:tcPr>
          <w:p w:rsidR="008728DC" w:rsidRPr="004D7A53" w:rsidRDefault="008728DC" w:rsidP="00044B37">
            <w:pPr>
              <w:spacing w:line="240" w:lineRule="auto"/>
              <w:jc w:val="left"/>
              <w:rPr>
                <w:rFonts w:ascii="Calibri" w:hAnsi="Calibri"/>
                <w:color w:val="000000"/>
                <w:sz w:val="18"/>
                <w:szCs w:val="18"/>
                <w:lang w:val="sl-SI" w:eastAsia="sl-SI"/>
              </w:rPr>
            </w:pPr>
            <w:r w:rsidRPr="004D7A53">
              <w:rPr>
                <w:rFonts w:ascii="Calibri" w:hAnsi="Calibri"/>
                <w:color w:val="000000"/>
                <w:sz w:val="18"/>
                <w:szCs w:val="18"/>
                <w:lang w:val="sl-SI" w:eastAsia="sl-SI"/>
              </w:rPr>
              <w:t>909-Terjatve za sredstva dana v upravljanje</w:t>
            </w:r>
          </w:p>
        </w:tc>
        <w:tc>
          <w:tcPr>
            <w:tcW w:w="2436" w:type="dxa"/>
            <w:shd w:val="clear" w:color="auto" w:fill="auto"/>
            <w:noWrap/>
            <w:vAlign w:val="bottom"/>
            <w:hideMark/>
          </w:tcPr>
          <w:p w:rsidR="008728DC" w:rsidRPr="00690826" w:rsidRDefault="008728DC" w:rsidP="00690826">
            <w:pPr>
              <w:autoSpaceDE w:val="0"/>
              <w:autoSpaceDN w:val="0"/>
              <w:adjustRightInd w:val="0"/>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 xml:space="preserve">29.907.899 </w:t>
            </w:r>
          </w:p>
        </w:tc>
        <w:tc>
          <w:tcPr>
            <w:tcW w:w="2436" w:type="dxa"/>
            <w:shd w:val="clear" w:color="auto" w:fill="auto"/>
            <w:noWrap/>
            <w:vAlign w:val="bottom"/>
          </w:tcPr>
          <w:p w:rsidR="008728DC" w:rsidRDefault="008728DC" w:rsidP="00044B37">
            <w:pPr>
              <w:autoSpaceDE w:val="0"/>
              <w:autoSpaceDN w:val="0"/>
              <w:adjustRightInd w:val="0"/>
              <w:jc w:val="right"/>
              <w:rPr>
                <w:rFonts w:cs="Arial"/>
                <w:color w:val="000000"/>
                <w:sz w:val="16"/>
                <w:szCs w:val="16"/>
              </w:rPr>
            </w:pPr>
            <w:r w:rsidRPr="008062B4">
              <w:rPr>
                <w:rFonts w:ascii="Calibri" w:hAnsi="Calibri" w:cs="Calibri"/>
                <w:color w:val="000000"/>
                <w:sz w:val="18"/>
                <w:szCs w:val="18"/>
                <w:lang w:val="sl-SI" w:eastAsia="sl-SI"/>
              </w:rPr>
              <w:t xml:space="preserve">31.600.754 </w:t>
            </w:r>
          </w:p>
        </w:tc>
        <w:tc>
          <w:tcPr>
            <w:tcW w:w="1146" w:type="dxa"/>
            <w:shd w:val="clear" w:color="auto" w:fill="auto"/>
            <w:noWrap/>
            <w:vAlign w:val="bottom"/>
          </w:tcPr>
          <w:p w:rsidR="008728DC" w:rsidRPr="00690826" w:rsidRDefault="008728DC" w:rsidP="00690826">
            <w:pPr>
              <w:spacing w:line="240" w:lineRule="auto"/>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94,64</w:t>
            </w:r>
          </w:p>
        </w:tc>
        <w:tc>
          <w:tcPr>
            <w:tcW w:w="1418" w:type="dxa"/>
            <w:shd w:val="clear" w:color="auto" w:fill="auto"/>
            <w:noWrap/>
            <w:vAlign w:val="bottom"/>
          </w:tcPr>
          <w:p w:rsidR="008728DC" w:rsidRPr="00690826" w:rsidRDefault="008728DC" w:rsidP="00690826">
            <w:pPr>
              <w:autoSpaceDE w:val="0"/>
              <w:autoSpaceDN w:val="0"/>
              <w:adjustRightInd w:val="0"/>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 xml:space="preserve">-1.692.855 </w:t>
            </w:r>
          </w:p>
        </w:tc>
      </w:tr>
      <w:tr w:rsidR="008728DC" w:rsidRPr="004D7A53" w:rsidTr="00690826">
        <w:trPr>
          <w:trHeight w:val="300"/>
        </w:trPr>
        <w:tc>
          <w:tcPr>
            <w:tcW w:w="3189" w:type="dxa"/>
            <w:shd w:val="clear" w:color="auto" w:fill="auto"/>
            <w:noWrap/>
            <w:vAlign w:val="bottom"/>
            <w:hideMark/>
          </w:tcPr>
          <w:p w:rsidR="008728DC" w:rsidRPr="004D7A53" w:rsidRDefault="008728DC" w:rsidP="00044B37">
            <w:pPr>
              <w:spacing w:line="240" w:lineRule="auto"/>
              <w:jc w:val="left"/>
              <w:rPr>
                <w:rFonts w:ascii="Calibri" w:hAnsi="Calibri"/>
                <w:color w:val="000000"/>
                <w:sz w:val="18"/>
                <w:szCs w:val="18"/>
                <w:lang w:val="sl-SI" w:eastAsia="sl-SI"/>
              </w:rPr>
            </w:pPr>
            <w:r w:rsidRPr="004D7A53">
              <w:rPr>
                <w:rFonts w:ascii="Calibri" w:hAnsi="Calibri"/>
                <w:color w:val="000000"/>
                <w:sz w:val="18"/>
                <w:szCs w:val="18"/>
                <w:lang w:val="sl-SI" w:eastAsia="sl-SI"/>
              </w:rPr>
              <w:t>910-Terjatve za sredstva dana v upravljanje drugim v lasti države</w:t>
            </w:r>
          </w:p>
        </w:tc>
        <w:tc>
          <w:tcPr>
            <w:tcW w:w="2436" w:type="dxa"/>
            <w:shd w:val="clear" w:color="auto" w:fill="auto"/>
            <w:noWrap/>
            <w:vAlign w:val="bottom"/>
            <w:hideMark/>
          </w:tcPr>
          <w:p w:rsidR="008728DC" w:rsidRPr="00690826" w:rsidRDefault="008728DC" w:rsidP="00690826">
            <w:pPr>
              <w:autoSpaceDE w:val="0"/>
              <w:autoSpaceDN w:val="0"/>
              <w:adjustRightInd w:val="0"/>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 xml:space="preserve">3.340.508 </w:t>
            </w:r>
          </w:p>
        </w:tc>
        <w:tc>
          <w:tcPr>
            <w:tcW w:w="2436" w:type="dxa"/>
            <w:shd w:val="clear" w:color="auto" w:fill="auto"/>
            <w:noWrap/>
            <w:vAlign w:val="bottom"/>
          </w:tcPr>
          <w:p w:rsidR="008728DC" w:rsidRDefault="008728DC" w:rsidP="00044B37">
            <w:pPr>
              <w:autoSpaceDE w:val="0"/>
              <w:autoSpaceDN w:val="0"/>
              <w:adjustRightInd w:val="0"/>
              <w:jc w:val="right"/>
              <w:rPr>
                <w:rFonts w:cs="Arial"/>
                <w:color w:val="000000"/>
                <w:sz w:val="16"/>
                <w:szCs w:val="16"/>
              </w:rPr>
            </w:pPr>
            <w:r w:rsidRPr="008062B4">
              <w:rPr>
                <w:rFonts w:ascii="Calibri" w:hAnsi="Calibri" w:cs="Calibri"/>
                <w:color w:val="000000"/>
                <w:sz w:val="18"/>
                <w:szCs w:val="18"/>
                <w:lang w:val="sl-SI" w:eastAsia="sl-SI"/>
              </w:rPr>
              <w:t xml:space="preserve">4.409.853 </w:t>
            </w:r>
          </w:p>
        </w:tc>
        <w:tc>
          <w:tcPr>
            <w:tcW w:w="1146" w:type="dxa"/>
            <w:shd w:val="clear" w:color="auto" w:fill="auto"/>
            <w:noWrap/>
            <w:vAlign w:val="bottom"/>
          </w:tcPr>
          <w:p w:rsidR="008728DC" w:rsidRPr="00690826" w:rsidRDefault="008728DC" w:rsidP="00690826">
            <w:pPr>
              <w:spacing w:line="240" w:lineRule="auto"/>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75,75</w:t>
            </w:r>
          </w:p>
        </w:tc>
        <w:tc>
          <w:tcPr>
            <w:tcW w:w="1418" w:type="dxa"/>
            <w:shd w:val="clear" w:color="auto" w:fill="auto"/>
            <w:noWrap/>
            <w:vAlign w:val="bottom"/>
          </w:tcPr>
          <w:p w:rsidR="008728DC" w:rsidRPr="00690826" w:rsidRDefault="008728DC" w:rsidP="00690826">
            <w:pPr>
              <w:autoSpaceDE w:val="0"/>
              <w:autoSpaceDN w:val="0"/>
              <w:adjustRightInd w:val="0"/>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 xml:space="preserve">-1.069.345 </w:t>
            </w:r>
          </w:p>
        </w:tc>
      </w:tr>
      <w:tr w:rsidR="008728DC" w:rsidRPr="004D7A53" w:rsidTr="00690826">
        <w:trPr>
          <w:trHeight w:val="300"/>
        </w:trPr>
        <w:tc>
          <w:tcPr>
            <w:tcW w:w="3189" w:type="dxa"/>
            <w:shd w:val="clear" w:color="auto" w:fill="auto"/>
            <w:noWrap/>
            <w:vAlign w:val="bottom"/>
            <w:hideMark/>
          </w:tcPr>
          <w:p w:rsidR="008728DC" w:rsidRPr="004D7A53" w:rsidRDefault="008728DC" w:rsidP="00044B37">
            <w:pPr>
              <w:spacing w:line="240" w:lineRule="auto"/>
              <w:jc w:val="left"/>
              <w:rPr>
                <w:rFonts w:ascii="Calibri" w:hAnsi="Calibri"/>
                <w:color w:val="000000"/>
                <w:sz w:val="18"/>
                <w:szCs w:val="18"/>
                <w:lang w:val="sl-SI" w:eastAsia="sl-SI"/>
              </w:rPr>
            </w:pPr>
            <w:r w:rsidRPr="004D7A53">
              <w:rPr>
                <w:rFonts w:ascii="Calibri" w:hAnsi="Calibri"/>
                <w:color w:val="000000"/>
                <w:sz w:val="18"/>
                <w:szCs w:val="18"/>
                <w:lang w:val="sl-SI" w:eastAsia="sl-SI"/>
              </w:rPr>
              <w:t>911-Terjatve za sredstva dana v upravljanje drugim v lasti občine</w:t>
            </w:r>
          </w:p>
        </w:tc>
        <w:tc>
          <w:tcPr>
            <w:tcW w:w="2436" w:type="dxa"/>
            <w:shd w:val="clear" w:color="auto" w:fill="auto"/>
            <w:noWrap/>
            <w:vAlign w:val="bottom"/>
            <w:hideMark/>
          </w:tcPr>
          <w:p w:rsidR="008728DC" w:rsidRPr="00690826" w:rsidRDefault="008728DC" w:rsidP="00690826">
            <w:pPr>
              <w:autoSpaceDE w:val="0"/>
              <w:autoSpaceDN w:val="0"/>
              <w:adjustRightInd w:val="0"/>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 xml:space="preserve">26.567.391 </w:t>
            </w:r>
          </w:p>
        </w:tc>
        <w:tc>
          <w:tcPr>
            <w:tcW w:w="2436" w:type="dxa"/>
            <w:shd w:val="clear" w:color="auto" w:fill="auto"/>
            <w:noWrap/>
            <w:vAlign w:val="bottom"/>
          </w:tcPr>
          <w:p w:rsidR="008728DC" w:rsidRDefault="008728DC" w:rsidP="00044B37">
            <w:pPr>
              <w:autoSpaceDE w:val="0"/>
              <w:autoSpaceDN w:val="0"/>
              <w:adjustRightInd w:val="0"/>
              <w:jc w:val="right"/>
              <w:rPr>
                <w:rFonts w:cs="Arial"/>
                <w:color w:val="000000"/>
                <w:sz w:val="16"/>
                <w:szCs w:val="16"/>
              </w:rPr>
            </w:pPr>
            <w:r w:rsidRPr="008062B4">
              <w:rPr>
                <w:rFonts w:ascii="Calibri" w:hAnsi="Calibri" w:cs="Calibri"/>
                <w:color w:val="000000"/>
                <w:sz w:val="18"/>
                <w:szCs w:val="18"/>
                <w:lang w:val="sl-SI" w:eastAsia="sl-SI"/>
              </w:rPr>
              <w:t xml:space="preserve">27.190.901 </w:t>
            </w:r>
          </w:p>
        </w:tc>
        <w:tc>
          <w:tcPr>
            <w:tcW w:w="1146" w:type="dxa"/>
            <w:shd w:val="clear" w:color="auto" w:fill="auto"/>
            <w:noWrap/>
            <w:vAlign w:val="bottom"/>
          </w:tcPr>
          <w:p w:rsidR="008728DC" w:rsidRPr="00690826" w:rsidRDefault="008728DC" w:rsidP="00690826">
            <w:pPr>
              <w:spacing w:line="240" w:lineRule="auto"/>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97,71</w:t>
            </w:r>
          </w:p>
        </w:tc>
        <w:tc>
          <w:tcPr>
            <w:tcW w:w="1418" w:type="dxa"/>
            <w:shd w:val="clear" w:color="auto" w:fill="auto"/>
            <w:noWrap/>
            <w:vAlign w:val="bottom"/>
          </w:tcPr>
          <w:p w:rsidR="008728DC" w:rsidRPr="00690826" w:rsidRDefault="008728DC" w:rsidP="00690826">
            <w:pPr>
              <w:autoSpaceDE w:val="0"/>
              <w:autoSpaceDN w:val="0"/>
              <w:adjustRightInd w:val="0"/>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 xml:space="preserve">-623.510 </w:t>
            </w:r>
          </w:p>
        </w:tc>
      </w:tr>
      <w:tr w:rsidR="008728DC" w:rsidRPr="004D7A53" w:rsidTr="00690826">
        <w:trPr>
          <w:trHeight w:val="300"/>
        </w:trPr>
        <w:tc>
          <w:tcPr>
            <w:tcW w:w="3189" w:type="dxa"/>
            <w:shd w:val="clear" w:color="auto" w:fill="auto"/>
            <w:noWrap/>
            <w:vAlign w:val="bottom"/>
            <w:hideMark/>
          </w:tcPr>
          <w:p w:rsidR="008728DC" w:rsidRPr="004D7A53" w:rsidRDefault="008728DC" w:rsidP="00044B37">
            <w:pPr>
              <w:spacing w:line="240" w:lineRule="auto"/>
              <w:jc w:val="left"/>
              <w:rPr>
                <w:rFonts w:ascii="Calibri" w:hAnsi="Calibri"/>
                <w:color w:val="000000"/>
                <w:sz w:val="18"/>
                <w:szCs w:val="18"/>
                <w:lang w:val="sl-SI" w:eastAsia="sl-SI"/>
              </w:rPr>
            </w:pPr>
            <w:r w:rsidRPr="004D7A53">
              <w:rPr>
                <w:rFonts w:ascii="Calibri" w:hAnsi="Calibri"/>
                <w:color w:val="000000"/>
                <w:sz w:val="18"/>
                <w:szCs w:val="18"/>
                <w:lang w:val="sl-SI" w:eastAsia="sl-SI"/>
              </w:rPr>
              <w:t>912-Zaloge</w:t>
            </w:r>
          </w:p>
        </w:tc>
        <w:tc>
          <w:tcPr>
            <w:tcW w:w="2436" w:type="dxa"/>
            <w:shd w:val="clear" w:color="auto" w:fill="auto"/>
            <w:noWrap/>
            <w:vAlign w:val="bottom"/>
            <w:hideMark/>
          </w:tcPr>
          <w:p w:rsidR="008728DC" w:rsidRPr="00690826" w:rsidRDefault="008728DC" w:rsidP="00690826">
            <w:pPr>
              <w:autoSpaceDE w:val="0"/>
              <w:autoSpaceDN w:val="0"/>
              <w:adjustRightInd w:val="0"/>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 xml:space="preserve">388.973.449 </w:t>
            </w:r>
          </w:p>
        </w:tc>
        <w:tc>
          <w:tcPr>
            <w:tcW w:w="2436" w:type="dxa"/>
            <w:shd w:val="clear" w:color="auto" w:fill="auto"/>
            <w:noWrap/>
            <w:vAlign w:val="bottom"/>
          </w:tcPr>
          <w:p w:rsidR="008728DC" w:rsidRDefault="008728DC" w:rsidP="00044B37">
            <w:pPr>
              <w:autoSpaceDE w:val="0"/>
              <w:autoSpaceDN w:val="0"/>
              <w:adjustRightInd w:val="0"/>
              <w:jc w:val="right"/>
              <w:rPr>
                <w:rFonts w:cs="Arial"/>
                <w:color w:val="000000"/>
                <w:sz w:val="16"/>
                <w:szCs w:val="16"/>
              </w:rPr>
            </w:pPr>
            <w:r w:rsidRPr="008062B4">
              <w:rPr>
                <w:rFonts w:ascii="Calibri" w:hAnsi="Calibri" w:cs="Calibri"/>
                <w:color w:val="000000"/>
                <w:sz w:val="18"/>
                <w:szCs w:val="18"/>
                <w:lang w:val="sl-SI" w:eastAsia="sl-SI"/>
              </w:rPr>
              <w:t xml:space="preserve">382.953.302 </w:t>
            </w:r>
          </w:p>
        </w:tc>
        <w:tc>
          <w:tcPr>
            <w:tcW w:w="1146" w:type="dxa"/>
            <w:shd w:val="clear" w:color="auto" w:fill="auto"/>
            <w:noWrap/>
            <w:vAlign w:val="bottom"/>
          </w:tcPr>
          <w:p w:rsidR="008728DC" w:rsidRPr="00690826" w:rsidRDefault="008728DC" w:rsidP="00690826">
            <w:pPr>
              <w:spacing w:line="240" w:lineRule="auto"/>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101,57</w:t>
            </w:r>
          </w:p>
        </w:tc>
        <w:tc>
          <w:tcPr>
            <w:tcW w:w="1418" w:type="dxa"/>
            <w:shd w:val="clear" w:color="auto" w:fill="auto"/>
            <w:noWrap/>
            <w:vAlign w:val="bottom"/>
          </w:tcPr>
          <w:p w:rsidR="008728DC" w:rsidRPr="00690826" w:rsidRDefault="008728DC" w:rsidP="00690826">
            <w:pPr>
              <w:autoSpaceDE w:val="0"/>
              <w:autoSpaceDN w:val="0"/>
              <w:adjustRightInd w:val="0"/>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 xml:space="preserve">6.020.147 </w:t>
            </w:r>
          </w:p>
        </w:tc>
      </w:tr>
      <w:tr w:rsidR="008728DC" w:rsidRPr="004D7A53" w:rsidTr="00690826">
        <w:trPr>
          <w:trHeight w:val="300"/>
        </w:trPr>
        <w:tc>
          <w:tcPr>
            <w:tcW w:w="3189" w:type="dxa"/>
            <w:shd w:val="clear" w:color="auto" w:fill="auto"/>
            <w:noWrap/>
            <w:vAlign w:val="bottom"/>
            <w:hideMark/>
          </w:tcPr>
          <w:p w:rsidR="008728DC" w:rsidRPr="004D7A53" w:rsidRDefault="008728DC" w:rsidP="00044B37">
            <w:pPr>
              <w:spacing w:line="240" w:lineRule="auto"/>
              <w:jc w:val="left"/>
              <w:rPr>
                <w:rFonts w:ascii="Calibri" w:hAnsi="Calibri"/>
                <w:color w:val="000000"/>
                <w:sz w:val="18"/>
                <w:szCs w:val="18"/>
                <w:lang w:val="sl-SI" w:eastAsia="sl-SI"/>
              </w:rPr>
            </w:pPr>
            <w:r w:rsidRPr="004D7A53">
              <w:rPr>
                <w:rFonts w:ascii="Calibri" w:hAnsi="Calibri"/>
                <w:color w:val="000000"/>
                <w:sz w:val="18"/>
                <w:szCs w:val="18"/>
                <w:lang w:val="sl-SI" w:eastAsia="sl-SI"/>
              </w:rPr>
              <w:t>913-Dolgoročne finančne naložbe</w:t>
            </w:r>
          </w:p>
        </w:tc>
        <w:tc>
          <w:tcPr>
            <w:tcW w:w="2436" w:type="dxa"/>
            <w:shd w:val="clear" w:color="auto" w:fill="auto"/>
            <w:noWrap/>
            <w:vAlign w:val="bottom"/>
            <w:hideMark/>
          </w:tcPr>
          <w:p w:rsidR="008728DC" w:rsidRPr="00690826" w:rsidRDefault="008728DC" w:rsidP="00690826">
            <w:pPr>
              <w:autoSpaceDE w:val="0"/>
              <w:autoSpaceDN w:val="0"/>
              <w:adjustRightInd w:val="0"/>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 xml:space="preserve">11.694.851.309 </w:t>
            </w:r>
          </w:p>
        </w:tc>
        <w:tc>
          <w:tcPr>
            <w:tcW w:w="2436" w:type="dxa"/>
            <w:shd w:val="clear" w:color="auto" w:fill="auto"/>
            <w:noWrap/>
            <w:vAlign w:val="bottom"/>
          </w:tcPr>
          <w:p w:rsidR="008728DC" w:rsidRDefault="008728DC" w:rsidP="00044B37">
            <w:pPr>
              <w:autoSpaceDE w:val="0"/>
              <w:autoSpaceDN w:val="0"/>
              <w:adjustRightInd w:val="0"/>
              <w:jc w:val="right"/>
              <w:rPr>
                <w:rFonts w:cs="Arial"/>
                <w:color w:val="000000"/>
                <w:sz w:val="16"/>
                <w:szCs w:val="16"/>
              </w:rPr>
            </w:pPr>
            <w:r w:rsidRPr="008062B4">
              <w:rPr>
                <w:rFonts w:ascii="Calibri" w:hAnsi="Calibri" w:cs="Calibri"/>
                <w:color w:val="000000"/>
                <w:sz w:val="18"/>
                <w:szCs w:val="18"/>
                <w:lang w:val="sl-SI" w:eastAsia="sl-SI"/>
              </w:rPr>
              <w:t xml:space="preserve">12.542.191.943 </w:t>
            </w:r>
          </w:p>
        </w:tc>
        <w:tc>
          <w:tcPr>
            <w:tcW w:w="1146" w:type="dxa"/>
            <w:shd w:val="clear" w:color="auto" w:fill="auto"/>
            <w:noWrap/>
            <w:vAlign w:val="bottom"/>
          </w:tcPr>
          <w:p w:rsidR="008728DC" w:rsidRPr="00690826" w:rsidRDefault="008728DC" w:rsidP="00690826">
            <w:pPr>
              <w:spacing w:line="240" w:lineRule="auto"/>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93,24</w:t>
            </w:r>
          </w:p>
        </w:tc>
        <w:tc>
          <w:tcPr>
            <w:tcW w:w="1418" w:type="dxa"/>
            <w:shd w:val="clear" w:color="auto" w:fill="auto"/>
            <w:noWrap/>
            <w:vAlign w:val="bottom"/>
          </w:tcPr>
          <w:p w:rsidR="008728DC" w:rsidRPr="00690826" w:rsidRDefault="008728DC" w:rsidP="00690826">
            <w:pPr>
              <w:autoSpaceDE w:val="0"/>
              <w:autoSpaceDN w:val="0"/>
              <w:adjustRightInd w:val="0"/>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 xml:space="preserve">-847.340.634 </w:t>
            </w:r>
          </w:p>
        </w:tc>
      </w:tr>
      <w:tr w:rsidR="008728DC" w:rsidRPr="004D7A53" w:rsidTr="00690826">
        <w:trPr>
          <w:trHeight w:val="300"/>
        </w:trPr>
        <w:tc>
          <w:tcPr>
            <w:tcW w:w="3189" w:type="dxa"/>
            <w:shd w:val="clear" w:color="auto" w:fill="auto"/>
            <w:noWrap/>
            <w:vAlign w:val="bottom"/>
            <w:hideMark/>
          </w:tcPr>
          <w:p w:rsidR="008728DC" w:rsidRPr="004D7A53" w:rsidRDefault="008728DC" w:rsidP="00044B37">
            <w:pPr>
              <w:spacing w:line="240" w:lineRule="auto"/>
              <w:jc w:val="left"/>
              <w:rPr>
                <w:rFonts w:ascii="Calibri" w:hAnsi="Calibri"/>
                <w:color w:val="000000"/>
                <w:sz w:val="18"/>
                <w:szCs w:val="18"/>
                <w:lang w:val="sl-SI" w:eastAsia="sl-SI"/>
              </w:rPr>
            </w:pPr>
            <w:r w:rsidRPr="004D7A53">
              <w:rPr>
                <w:rFonts w:ascii="Calibri" w:hAnsi="Calibri"/>
                <w:color w:val="000000"/>
                <w:sz w:val="18"/>
                <w:szCs w:val="18"/>
                <w:lang w:val="sl-SI" w:eastAsia="sl-SI"/>
              </w:rPr>
              <w:t>914-Dolgoročno dana posojila in depoziti</w:t>
            </w:r>
          </w:p>
        </w:tc>
        <w:tc>
          <w:tcPr>
            <w:tcW w:w="2436" w:type="dxa"/>
            <w:shd w:val="clear" w:color="auto" w:fill="auto"/>
            <w:noWrap/>
            <w:vAlign w:val="bottom"/>
            <w:hideMark/>
          </w:tcPr>
          <w:p w:rsidR="008728DC" w:rsidRPr="00690826" w:rsidRDefault="008728DC" w:rsidP="00690826">
            <w:pPr>
              <w:autoSpaceDE w:val="0"/>
              <w:autoSpaceDN w:val="0"/>
              <w:adjustRightInd w:val="0"/>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 xml:space="preserve">3.644.100.285 </w:t>
            </w:r>
          </w:p>
        </w:tc>
        <w:tc>
          <w:tcPr>
            <w:tcW w:w="2436" w:type="dxa"/>
            <w:shd w:val="clear" w:color="auto" w:fill="auto"/>
            <w:noWrap/>
            <w:vAlign w:val="bottom"/>
          </w:tcPr>
          <w:p w:rsidR="008728DC" w:rsidRDefault="008728DC" w:rsidP="00044B37">
            <w:pPr>
              <w:autoSpaceDE w:val="0"/>
              <w:autoSpaceDN w:val="0"/>
              <w:adjustRightInd w:val="0"/>
              <w:jc w:val="right"/>
              <w:rPr>
                <w:rFonts w:cs="Arial"/>
                <w:color w:val="000000"/>
                <w:sz w:val="16"/>
                <w:szCs w:val="16"/>
              </w:rPr>
            </w:pPr>
            <w:r w:rsidRPr="008062B4">
              <w:rPr>
                <w:rFonts w:ascii="Calibri" w:hAnsi="Calibri" w:cs="Calibri"/>
                <w:color w:val="000000"/>
                <w:sz w:val="18"/>
                <w:szCs w:val="18"/>
                <w:lang w:val="sl-SI" w:eastAsia="sl-SI"/>
              </w:rPr>
              <w:t xml:space="preserve">3.317.735.623 </w:t>
            </w:r>
          </w:p>
        </w:tc>
        <w:tc>
          <w:tcPr>
            <w:tcW w:w="1146" w:type="dxa"/>
            <w:shd w:val="clear" w:color="auto" w:fill="auto"/>
            <w:noWrap/>
            <w:vAlign w:val="bottom"/>
          </w:tcPr>
          <w:p w:rsidR="008728DC" w:rsidRPr="00690826" w:rsidRDefault="008728DC" w:rsidP="00690826">
            <w:pPr>
              <w:spacing w:line="240" w:lineRule="auto"/>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109,84</w:t>
            </w:r>
          </w:p>
        </w:tc>
        <w:tc>
          <w:tcPr>
            <w:tcW w:w="1418" w:type="dxa"/>
            <w:shd w:val="clear" w:color="auto" w:fill="auto"/>
            <w:noWrap/>
            <w:vAlign w:val="bottom"/>
          </w:tcPr>
          <w:p w:rsidR="008728DC" w:rsidRPr="00690826" w:rsidRDefault="008728DC" w:rsidP="00690826">
            <w:pPr>
              <w:autoSpaceDE w:val="0"/>
              <w:autoSpaceDN w:val="0"/>
              <w:adjustRightInd w:val="0"/>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 xml:space="preserve">326.364.662 </w:t>
            </w:r>
          </w:p>
        </w:tc>
      </w:tr>
      <w:tr w:rsidR="008728DC" w:rsidRPr="004D7A53" w:rsidTr="00690826">
        <w:trPr>
          <w:trHeight w:val="300"/>
        </w:trPr>
        <w:tc>
          <w:tcPr>
            <w:tcW w:w="3189" w:type="dxa"/>
            <w:shd w:val="clear" w:color="auto" w:fill="auto"/>
            <w:noWrap/>
            <w:vAlign w:val="bottom"/>
            <w:hideMark/>
          </w:tcPr>
          <w:p w:rsidR="008728DC" w:rsidRPr="004D7A53" w:rsidRDefault="008728DC" w:rsidP="00044B37">
            <w:pPr>
              <w:spacing w:line="240" w:lineRule="auto"/>
              <w:jc w:val="left"/>
              <w:rPr>
                <w:rFonts w:ascii="Calibri" w:hAnsi="Calibri"/>
                <w:color w:val="000000"/>
                <w:sz w:val="18"/>
                <w:szCs w:val="18"/>
                <w:lang w:val="sl-SI" w:eastAsia="sl-SI"/>
              </w:rPr>
            </w:pPr>
            <w:r w:rsidRPr="004D7A53">
              <w:rPr>
                <w:rFonts w:ascii="Calibri" w:hAnsi="Calibri"/>
                <w:color w:val="000000"/>
                <w:sz w:val="18"/>
                <w:szCs w:val="18"/>
                <w:lang w:val="sl-SI" w:eastAsia="sl-SI"/>
              </w:rPr>
              <w:t>915-Dolgoročne terjatve iz poslovanja</w:t>
            </w:r>
          </w:p>
        </w:tc>
        <w:tc>
          <w:tcPr>
            <w:tcW w:w="2436" w:type="dxa"/>
            <w:shd w:val="clear" w:color="auto" w:fill="auto"/>
            <w:noWrap/>
            <w:vAlign w:val="bottom"/>
            <w:hideMark/>
          </w:tcPr>
          <w:p w:rsidR="008728DC" w:rsidRPr="00690826" w:rsidRDefault="008728DC" w:rsidP="00690826">
            <w:pPr>
              <w:autoSpaceDE w:val="0"/>
              <w:autoSpaceDN w:val="0"/>
              <w:adjustRightInd w:val="0"/>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 xml:space="preserve">425.016.727 </w:t>
            </w:r>
          </w:p>
        </w:tc>
        <w:tc>
          <w:tcPr>
            <w:tcW w:w="2436" w:type="dxa"/>
            <w:shd w:val="clear" w:color="auto" w:fill="auto"/>
            <w:noWrap/>
            <w:vAlign w:val="bottom"/>
          </w:tcPr>
          <w:p w:rsidR="008728DC" w:rsidRDefault="008728DC" w:rsidP="00044B37">
            <w:pPr>
              <w:autoSpaceDE w:val="0"/>
              <w:autoSpaceDN w:val="0"/>
              <w:adjustRightInd w:val="0"/>
              <w:jc w:val="right"/>
              <w:rPr>
                <w:rFonts w:cs="Arial"/>
                <w:color w:val="000000"/>
                <w:sz w:val="16"/>
                <w:szCs w:val="16"/>
              </w:rPr>
            </w:pPr>
            <w:r w:rsidRPr="008062B4">
              <w:rPr>
                <w:rFonts w:ascii="Calibri" w:hAnsi="Calibri" w:cs="Calibri"/>
                <w:color w:val="000000"/>
                <w:sz w:val="18"/>
                <w:szCs w:val="18"/>
                <w:lang w:val="sl-SI" w:eastAsia="sl-SI"/>
              </w:rPr>
              <w:t xml:space="preserve">474.912.347 </w:t>
            </w:r>
          </w:p>
        </w:tc>
        <w:tc>
          <w:tcPr>
            <w:tcW w:w="1146" w:type="dxa"/>
            <w:shd w:val="clear" w:color="auto" w:fill="auto"/>
            <w:noWrap/>
            <w:vAlign w:val="bottom"/>
          </w:tcPr>
          <w:p w:rsidR="008728DC" w:rsidRPr="00690826" w:rsidRDefault="008728DC" w:rsidP="00690826">
            <w:pPr>
              <w:spacing w:line="240" w:lineRule="auto"/>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89,49</w:t>
            </w:r>
          </w:p>
        </w:tc>
        <w:tc>
          <w:tcPr>
            <w:tcW w:w="1418" w:type="dxa"/>
            <w:shd w:val="clear" w:color="auto" w:fill="auto"/>
            <w:noWrap/>
            <w:vAlign w:val="bottom"/>
          </w:tcPr>
          <w:p w:rsidR="008728DC" w:rsidRPr="00690826" w:rsidRDefault="008728DC" w:rsidP="00690826">
            <w:pPr>
              <w:autoSpaceDE w:val="0"/>
              <w:autoSpaceDN w:val="0"/>
              <w:adjustRightInd w:val="0"/>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 xml:space="preserve">-49.895.620 </w:t>
            </w:r>
          </w:p>
        </w:tc>
      </w:tr>
      <w:tr w:rsidR="008728DC" w:rsidRPr="004D7A53" w:rsidTr="00690826">
        <w:trPr>
          <w:trHeight w:val="300"/>
        </w:trPr>
        <w:tc>
          <w:tcPr>
            <w:tcW w:w="3189" w:type="dxa"/>
            <w:shd w:val="clear" w:color="auto" w:fill="auto"/>
            <w:noWrap/>
            <w:vAlign w:val="bottom"/>
            <w:hideMark/>
          </w:tcPr>
          <w:p w:rsidR="008728DC" w:rsidRPr="004D7A53" w:rsidRDefault="008728DC" w:rsidP="00044B37">
            <w:pPr>
              <w:spacing w:line="240" w:lineRule="auto"/>
              <w:jc w:val="left"/>
              <w:rPr>
                <w:rFonts w:ascii="Calibri" w:hAnsi="Calibri"/>
                <w:color w:val="000000"/>
                <w:sz w:val="18"/>
                <w:szCs w:val="18"/>
                <w:lang w:val="sl-SI" w:eastAsia="sl-SI"/>
              </w:rPr>
            </w:pPr>
            <w:r w:rsidRPr="004D7A53">
              <w:rPr>
                <w:rFonts w:ascii="Calibri" w:hAnsi="Calibri"/>
                <w:color w:val="000000"/>
                <w:sz w:val="18"/>
                <w:szCs w:val="18"/>
                <w:lang w:val="sl-SI" w:eastAsia="sl-SI"/>
              </w:rPr>
              <w:t>916-Denarna sredstva</w:t>
            </w:r>
          </w:p>
        </w:tc>
        <w:tc>
          <w:tcPr>
            <w:tcW w:w="2436" w:type="dxa"/>
            <w:shd w:val="clear" w:color="auto" w:fill="auto"/>
            <w:noWrap/>
            <w:vAlign w:val="bottom"/>
            <w:hideMark/>
          </w:tcPr>
          <w:p w:rsidR="008728DC" w:rsidRPr="00690826" w:rsidRDefault="008728DC" w:rsidP="00690826">
            <w:pPr>
              <w:autoSpaceDE w:val="0"/>
              <w:autoSpaceDN w:val="0"/>
              <w:adjustRightInd w:val="0"/>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 xml:space="preserve">3.792.312.159 </w:t>
            </w:r>
          </w:p>
        </w:tc>
        <w:tc>
          <w:tcPr>
            <w:tcW w:w="2436" w:type="dxa"/>
            <w:shd w:val="clear" w:color="auto" w:fill="auto"/>
            <w:noWrap/>
            <w:vAlign w:val="bottom"/>
          </w:tcPr>
          <w:p w:rsidR="008728DC" w:rsidRDefault="008728DC" w:rsidP="00044B37">
            <w:pPr>
              <w:autoSpaceDE w:val="0"/>
              <w:autoSpaceDN w:val="0"/>
              <w:adjustRightInd w:val="0"/>
              <w:jc w:val="right"/>
              <w:rPr>
                <w:rFonts w:cs="Arial"/>
                <w:color w:val="000000"/>
                <w:sz w:val="16"/>
                <w:szCs w:val="16"/>
              </w:rPr>
            </w:pPr>
            <w:r w:rsidRPr="008062B4">
              <w:rPr>
                <w:rFonts w:ascii="Calibri" w:hAnsi="Calibri" w:cs="Calibri"/>
                <w:color w:val="000000"/>
                <w:sz w:val="18"/>
                <w:szCs w:val="18"/>
                <w:lang w:val="sl-SI" w:eastAsia="sl-SI"/>
              </w:rPr>
              <w:t xml:space="preserve">2.643.686.697 </w:t>
            </w:r>
          </w:p>
        </w:tc>
        <w:tc>
          <w:tcPr>
            <w:tcW w:w="1146" w:type="dxa"/>
            <w:shd w:val="clear" w:color="auto" w:fill="auto"/>
            <w:noWrap/>
            <w:vAlign w:val="bottom"/>
          </w:tcPr>
          <w:p w:rsidR="008728DC" w:rsidRPr="00690826" w:rsidRDefault="008728DC" w:rsidP="00690826">
            <w:pPr>
              <w:spacing w:line="240" w:lineRule="auto"/>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143,45</w:t>
            </w:r>
          </w:p>
        </w:tc>
        <w:tc>
          <w:tcPr>
            <w:tcW w:w="1418" w:type="dxa"/>
            <w:shd w:val="clear" w:color="auto" w:fill="auto"/>
            <w:noWrap/>
            <w:vAlign w:val="bottom"/>
          </w:tcPr>
          <w:p w:rsidR="008728DC" w:rsidRPr="00690826" w:rsidRDefault="008728DC" w:rsidP="00690826">
            <w:pPr>
              <w:autoSpaceDE w:val="0"/>
              <w:autoSpaceDN w:val="0"/>
              <w:adjustRightInd w:val="0"/>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 xml:space="preserve">1.148.625.462 </w:t>
            </w:r>
          </w:p>
        </w:tc>
      </w:tr>
      <w:tr w:rsidR="008728DC" w:rsidRPr="004D7A53" w:rsidTr="00690826">
        <w:trPr>
          <w:trHeight w:val="300"/>
        </w:trPr>
        <w:tc>
          <w:tcPr>
            <w:tcW w:w="3189" w:type="dxa"/>
            <w:tcBorders>
              <w:bottom w:val="single" w:sz="4" w:space="0" w:color="auto"/>
            </w:tcBorders>
            <w:shd w:val="clear" w:color="auto" w:fill="auto"/>
            <w:noWrap/>
            <w:vAlign w:val="bottom"/>
            <w:hideMark/>
          </w:tcPr>
          <w:p w:rsidR="008728DC" w:rsidRPr="004D7A53" w:rsidRDefault="008728DC" w:rsidP="00044B37">
            <w:pPr>
              <w:spacing w:line="240" w:lineRule="auto"/>
              <w:jc w:val="left"/>
              <w:rPr>
                <w:rFonts w:ascii="Calibri" w:hAnsi="Calibri"/>
                <w:color w:val="000000"/>
                <w:sz w:val="18"/>
                <w:szCs w:val="18"/>
                <w:lang w:val="sl-SI" w:eastAsia="sl-SI"/>
              </w:rPr>
            </w:pPr>
            <w:r w:rsidRPr="004D7A53">
              <w:rPr>
                <w:rFonts w:ascii="Calibri" w:hAnsi="Calibri"/>
                <w:color w:val="000000"/>
                <w:sz w:val="18"/>
                <w:szCs w:val="18"/>
                <w:lang w:val="sl-SI" w:eastAsia="sl-SI"/>
              </w:rPr>
              <w:t>917-Kratkoročne terjatve</w:t>
            </w:r>
          </w:p>
        </w:tc>
        <w:tc>
          <w:tcPr>
            <w:tcW w:w="2436" w:type="dxa"/>
            <w:tcBorders>
              <w:bottom w:val="single" w:sz="4" w:space="0" w:color="auto"/>
            </w:tcBorders>
            <w:shd w:val="clear" w:color="auto" w:fill="auto"/>
            <w:noWrap/>
            <w:vAlign w:val="bottom"/>
            <w:hideMark/>
          </w:tcPr>
          <w:p w:rsidR="008728DC" w:rsidRPr="00690826" w:rsidRDefault="008728DC" w:rsidP="00690826">
            <w:pPr>
              <w:autoSpaceDE w:val="0"/>
              <w:autoSpaceDN w:val="0"/>
              <w:adjustRightInd w:val="0"/>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 xml:space="preserve">4.754.196.702 </w:t>
            </w:r>
          </w:p>
        </w:tc>
        <w:tc>
          <w:tcPr>
            <w:tcW w:w="2436" w:type="dxa"/>
            <w:tcBorders>
              <w:bottom w:val="single" w:sz="4" w:space="0" w:color="auto"/>
            </w:tcBorders>
            <w:shd w:val="clear" w:color="auto" w:fill="auto"/>
            <w:noWrap/>
            <w:vAlign w:val="bottom"/>
          </w:tcPr>
          <w:p w:rsidR="008728DC" w:rsidRDefault="008728DC" w:rsidP="00044B37">
            <w:pPr>
              <w:autoSpaceDE w:val="0"/>
              <w:autoSpaceDN w:val="0"/>
              <w:adjustRightInd w:val="0"/>
              <w:jc w:val="right"/>
              <w:rPr>
                <w:rFonts w:cs="Arial"/>
                <w:color w:val="000000"/>
                <w:sz w:val="16"/>
                <w:szCs w:val="16"/>
              </w:rPr>
            </w:pPr>
            <w:r w:rsidRPr="008062B4">
              <w:rPr>
                <w:rFonts w:ascii="Calibri" w:hAnsi="Calibri" w:cs="Calibri"/>
                <w:color w:val="000000"/>
                <w:sz w:val="18"/>
                <w:szCs w:val="18"/>
                <w:lang w:val="sl-SI" w:eastAsia="sl-SI"/>
              </w:rPr>
              <w:t xml:space="preserve">4.636.800.889 </w:t>
            </w:r>
          </w:p>
        </w:tc>
        <w:tc>
          <w:tcPr>
            <w:tcW w:w="1146" w:type="dxa"/>
            <w:tcBorders>
              <w:bottom w:val="single" w:sz="4" w:space="0" w:color="auto"/>
            </w:tcBorders>
            <w:shd w:val="clear" w:color="auto" w:fill="auto"/>
            <w:noWrap/>
            <w:vAlign w:val="bottom"/>
          </w:tcPr>
          <w:p w:rsidR="008728DC" w:rsidRPr="00690826" w:rsidRDefault="008728DC" w:rsidP="00690826">
            <w:pPr>
              <w:spacing w:line="240" w:lineRule="auto"/>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102,53</w:t>
            </w:r>
          </w:p>
        </w:tc>
        <w:tc>
          <w:tcPr>
            <w:tcW w:w="1418" w:type="dxa"/>
            <w:tcBorders>
              <w:bottom w:val="single" w:sz="4" w:space="0" w:color="auto"/>
            </w:tcBorders>
            <w:shd w:val="clear" w:color="auto" w:fill="auto"/>
            <w:noWrap/>
            <w:vAlign w:val="bottom"/>
          </w:tcPr>
          <w:p w:rsidR="008728DC" w:rsidRPr="00690826" w:rsidRDefault="008728DC" w:rsidP="00690826">
            <w:pPr>
              <w:autoSpaceDE w:val="0"/>
              <w:autoSpaceDN w:val="0"/>
              <w:adjustRightInd w:val="0"/>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 xml:space="preserve">117.395.813 </w:t>
            </w:r>
          </w:p>
        </w:tc>
      </w:tr>
      <w:tr w:rsidR="008728DC" w:rsidRPr="004D7A53" w:rsidTr="00690826">
        <w:trPr>
          <w:trHeight w:val="300"/>
        </w:trPr>
        <w:tc>
          <w:tcPr>
            <w:tcW w:w="3189" w:type="dxa"/>
            <w:shd w:val="clear" w:color="auto" w:fill="92D050"/>
            <w:noWrap/>
            <w:vAlign w:val="bottom"/>
            <w:hideMark/>
          </w:tcPr>
          <w:p w:rsidR="008728DC" w:rsidRPr="0059603D" w:rsidRDefault="008728DC" w:rsidP="00044B37">
            <w:pPr>
              <w:spacing w:line="240" w:lineRule="auto"/>
              <w:jc w:val="left"/>
              <w:rPr>
                <w:rFonts w:ascii="Calibri" w:hAnsi="Calibri"/>
                <w:b/>
                <w:i/>
                <w:color w:val="000000"/>
                <w:sz w:val="18"/>
                <w:szCs w:val="18"/>
                <w:lang w:val="sl-SI" w:eastAsia="sl-SI"/>
              </w:rPr>
            </w:pPr>
            <w:r w:rsidRPr="0059603D">
              <w:rPr>
                <w:rFonts w:ascii="Calibri" w:hAnsi="Calibri"/>
                <w:b/>
                <w:i/>
                <w:color w:val="000000"/>
                <w:sz w:val="18"/>
                <w:szCs w:val="18"/>
                <w:lang w:val="sl-SI" w:eastAsia="sl-SI"/>
              </w:rPr>
              <w:t>918-Skupaj aktiva</w:t>
            </w:r>
          </w:p>
        </w:tc>
        <w:tc>
          <w:tcPr>
            <w:tcW w:w="2436" w:type="dxa"/>
            <w:shd w:val="clear" w:color="auto" w:fill="92D050"/>
            <w:noWrap/>
            <w:vAlign w:val="bottom"/>
            <w:hideMark/>
          </w:tcPr>
          <w:p w:rsidR="008728DC" w:rsidRPr="00690826" w:rsidRDefault="008728DC" w:rsidP="00690826">
            <w:pPr>
              <w:autoSpaceDE w:val="0"/>
              <w:autoSpaceDN w:val="0"/>
              <w:adjustRightInd w:val="0"/>
              <w:spacing w:line="240" w:lineRule="auto"/>
              <w:jc w:val="right"/>
              <w:rPr>
                <w:rFonts w:ascii="Calibri" w:hAnsi="Calibri"/>
                <w:b/>
                <w:i/>
                <w:color w:val="000000"/>
                <w:sz w:val="18"/>
                <w:szCs w:val="18"/>
                <w:lang w:val="sl-SI" w:eastAsia="sl-SI"/>
              </w:rPr>
            </w:pPr>
            <w:r w:rsidRPr="00690826">
              <w:rPr>
                <w:rFonts w:ascii="Calibri" w:hAnsi="Calibri"/>
                <w:b/>
                <w:i/>
                <w:color w:val="000000"/>
                <w:sz w:val="18"/>
                <w:szCs w:val="18"/>
                <w:lang w:val="sl-SI" w:eastAsia="sl-SI"/>
              </w:rPr>
              <w:t xml:space="preserve">48.469.514.870 </w:t>
            </w:r>
          </w:p>
        </w:tc>
        <w:tc>
          <w:tcPr>
            <w:tcW w:w="2436" w:type="dxa"/>
            <w:shd w:val="clear" w:color="auto" w:fill="92D050"/>
            <w:noWrap/>
            <w:vAlign w:val="bottom"/>
          </w:tcPr>
          <w:p w:rsidR="008728DC" w:rsidRPr="0059603D" w:rsidRDefault="008728DC" w:rsidP="00044B37">
            <w:pPr>
              <w:autoSpaceDE w:val="0"/>
              <w:autoSpaceDN w:val="0"/>
              <w:adjustRightInd w:val="0"/>
              <w:spacing w:line="240" w:lineRule="auto"/>
              <w:jc w:val="right"/>
              <w:rPr>
                <w:rFonts w:ascii="Calibri" w:hAnsi="Calibri"/>
                <w:b/>
                <w:i/>
                <w:color w:val="000000"/>
                <w:sz w:val="18"/>
                <w:szCs w:val="18"/>
                <w:lang w:val="sl-SI" w:eastAsia="sl-SI"/>
              </w:rPr>
            </w:pPr>
            <w:r w:rsidRPr="008062B4">
              <w:rPr>
                <w:rFonts w:ascii="Calibri" w:hAnsi="Calibri"/>
                <w:b/>
                <w:i/>
                <w:color w:val="000000"/>
                <w:sz w:val="18"/>
                <w:szCs w:val="18"/>
                <w:lang w:val="sl-SI" w:eastAsia="sl-SI"/>
              </w:rPr>
              <w:t>46.967.146.843</w:t>
            </w:r>
            <w:r w:rsidRPr="008062B4">
              <w:rPr>
                <w:rFonts w:ascii="Calibri" w:hAnsi="Calibri" w:cs="Calibri"/>
                <w:color w:val="000000"/>
                <w:sz w:val="18"/>
                <w:szCs w:val="18"/>
                <w:lang w:val="sl-SI" w:eastAsia="sl-SI"/>
              </w:rPr>
              <w:t xml:space="preserve"> </w:t>
            </w:r>
          </w:p>
        </w:tc>
        <w:tc>
          <w:tcPr>
            <w:tcW w:w="1146" w:type="dxa"/>
            <w:shd w:val="clear" w:color="auto" w:fill="92D050"/>
            <w:noWrap/>
            <w:vAlign w:val="bottom"/>
          </w:tcPr>
          <w:p w:rsidR="008728DC" w:rsidRPr="00690826" w:rsidRDefault="008728DC" w:rsidP="00690826">
            <w:pPr>
              <w:spacing w:line="240" w:lineRule="auto"/>
              <w:jc w:val="right"/>
              <w:rPr>
                <w:rFonts w:ascii="Calibri" w:hAnsi="Calibri"/>
                <w:b/>
                <w:i/>
                <w:color w:val="000000"/>
                <w:sz w:val="18"/>
                <w:szCs w:val="18"/>
                <w:lang w:val="sl-SI" w:eastAsia="sl-SI"/>
              </w:rPr>
            </w:pPr>
            <w:r w:rsidRPr="00690826">
              <w:rPr>
                <w:rFonts w:ascii="Calibri" w:hAnsi="Calibri" w:cs="Calibri"/>
                <w:b/>
                <w:i/>
                <w:color w:val="000000"/>
                <w:sz w:val="18"/>
                <w:szCs w:val="18"/>
                <w:lang w:val="sl-SI" w:eastAsia="sl-SI"/>
              </w:rPr>
              <w:t>103,20</w:t>
            </w:r>
          </w:p>
        </w:tc>
        <w:tc>
          <w:tcPr>
            <w:tcW w:w="1418" w:type="dxa"/>
            <w:shd w:val="clear" w:color="auto" w:fill="92D050"/>
            <w:noWrap/>
            <w:vAlign w:val="bottom"/>
          </w:tcPr>
          <w:p w:rsidR="008728DC" w:rsidRPr="00690826" w:rsidRDefault="008728DC" w:rsidP="00690826">
            <w:pPr>
              <w:spacing w:line="240" w:lineRule="auto"/>
              <w:jc w:val="right"/>
              <w:rPr>
                <w:rFonts w:ascii="Calibri" w:hAnsi="Calibri"/>
                <w:b/>
                <w:i/>
                <w:color w:val="000000"/>
                <w:sz w:val="18"/>
                <w:szCs w:val="18"/>
                <w:lang w:val="sl-SI" w:eastAsia="sl-SI"/>
              </w:rPr>
            </w:pPr>
            <w:r w:rsidRPr="00690826">
              <w:rPr>
                <w:rFonts w:ascii="Calibri" w:hAnsi="Calibri" w:cs="Calibri"/>
                <w:b/>
                <w:i/>
                <w:color w:val="000000"/>
                <w:sz w:val="18"/>
                <w:szCs w:val="18"/>
                <w:lang w:val="sl-SI" w:eastAsia="sl-SI"/>
              </w:rPr>
              <w:t xml:space="preserve">1.502.368.027 </w:t>
            </w:r>
          </w:p>
        </w:tc>
      </w:tr>
      <w:tr w:rsidR="008728DC" w:rsidRPr="004D7A53" w:rsidTr="00690826">
        <w:trPr>
          <w:trHeight w:val="300"/>
        </w:trPr>
        <w:tc>
          <w:tcPr>
            <w:tcW w:w="3189" w:type="dxa"/>
            <w:shd w:val="clear" w:color="auto" w:fill="auto"/>
            <w:noWrap/>
            <w:vAlign w:val="bottom"/>
            <w:hideMark/>
          </w:tcPr>
          <w:p w:rsidR="008728DC" w:rsidRPr="004D7A53" w:rsidRDefault="008728DC" w:rsidP="00044B37">
            <w:pPr>
              <w:spacing w:line="240" w:lineRule="auto"/>
              <w:jc w:val="left"/>
              <w:rPr>
                <w:rFonts w:ascii="Calibri" w:hAnsi="Calibri"/>
                <w:color w:val="000000"/>
                <w:sz w:val="18"/>
                <w:szCs w:val="18"/>
                <w:lang w:val="sl-SI" w:eastAsia="sl-SI"/>
              </w:rPr>
            </w:pPr>
            <w:r w:rsidRPr="004D7A53">
              <w:rPr>
                <w:rFonts w:ascii="Calibri" w:hAnsi="Calibri"/>
                <w:color w:val="000000"/>
                <w:sz w:val="18"/>
                <w:szCs w:val="18"/>
                <w:lang w:val="sl-SI" w:eastAsia="sl-SI"/>
              </w:rPr>
              <w:t>919-Splošni sklad</w:t>
            </w:r>
          </w:p>
        </w:tc>
        <w:tc>
          <w:tcPr>
            <w:tcW w:w="2436" w:type="dxa"/>
            <w:shd w:val="clear" w:color="auto" w:fill="auto"/>
            <w:noWrap/>
            <w:vAlign w:val="bottom"/>
            <w:hideMark/>
          </w:tcPr>
          <w:p w:rsidR="008728DC" w:rsidRPr="00690826" w:rsidRDefault="008728DC" w:rsidP="00690826">
            <w:pPr>
              <w:autoSpaceDE w:val="0"/>
              <w:autoSpaceDN w:val="0"/>
              <w:adjustRightInd w:val="0"/>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 xml:space="preserve">15.510.139.605 </w:t>
            </w:r>
          </w:p>
        </w:tc>
        <w:tc>
          <w:tcPr>
            <w:tcW w:w="2436" w:type="dxa"/>
            <w:shd w:val="clear" w:color="auto" w:fill="auto"/>
            <w:noWrap/>
            <w:vAlign w:val="bottom"/>
          </w:tcPr>
          <w:p w:rsidR="008728DC" w:rsidRDefault="008728DC" w:rsidP="00044B37">
            <w:pPr>
              <w:autoSpaceDE w:val="0"/>
              <w:autoSpaceDN w:val="0"/>
              <w:adjustRightInd w:val="0"/>
              <w:jc w:val="right"/>
              <w:rPr>
                <w:rFonts w:cs="Arial"/>
                <w:color w:val="000000"/>
                <w:sz w:val="16"/>
                <w:szCs w:val="16"/>
              </w:rPr>
            </w:pPr>
            <w:r w:rsidRPr="008062B4">
              <w:rPr>
                <w:rFonts w:ascii="Calibri" w:hAnsi="Calibri" w:cs="Calibri"/>
                <w:color w:val="000000"/>
                <w:sz w:val="18"/>
                <w:szCs w:val="18"/>
                <w:lang w:val="sl-SI" w:eastAsia="sl-SI"/>
              </w:rPr>
              <w:t xml:space="preserve">14.438.628.826 </w:t>
            </w:r>
          </w:p>
        </w:tc>
        <w:tc>
          <w:tcPr>
            <w:tcW w:w="1146" w:type="dxa"/>
            <w:shd w:val="clear" w:color="auto" w:fill="auto"/>
            <w:noWrap/>
            <w:vAlign w:val="bottom"/>
          </w:tcPr>
          <w:p w:rsidR="008728DC" w:rsidRPr="00690826" w:rsidRDefault="008728DC" w:rsidP="00690826">
            <w:pPr>
              <w:autoSpaceDE w:val="0"/>
              <w:autoSpaceDN w:val="0"/>
              <w:adjustRightInd w:val="0"/>
              <w:spacing w:line="240" w:lineRule="auto"/>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107,42</w:t>
            </w:r>
          </w:p>
        </w:tc>
        <w:tc>
          <w:tcPr>
            <w:tcW w:w="1418" w:type="dxa"/>
            <w:shd w:val="clear" w:color="auto" w:fill="auto"/>
            <w:noWrap/>
            <w:vAlign w:val="bottom"/>
          </w:tcPr>
          <w:p w:rsidR="008728DC" w:rsidRPr="00690826" w:rsidRDefault="008728DC" w:rsidP="00690826">
            <w:pPr>
              <w:autoSpaceDE w:val="0"/>
              <w:autoSpaceDN w:val="0"/>
              <w:adjustRightInd w:val="0"/>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 xml:space="preserve">1.071.510.779 </w:t>
            </w:r>
          </w:p>
        </w:tc>
      </w:tr>
      <w:tr w:rsidR="008728DC" w:rsidRPr="004D7A53" w:rsidTr="00690826">
        <w:trPr>
          <w:trHeight w:val="300"/>
        </w:trPr>
        <w:tc>
          <w:tcPr>
            <w:tcW w:w="3189" w:type="dxa"/>
            <w:shd w:val="clear" w:color="auto" w:fill="auto"/>
            <w:noWrap/>
            <w:vAlign w:val="bottom"/>
            <w:hideMark/>
          </w:tcPr>
          <w:p w:rsidR="008728DC" w:rsidRPr="004D7A53" w:rsidRDefault="008728DC" w:rsidP="00044B37">
            <w:pPr>
              <w:spacing w:line="240" w:lineRule="auto"/>
              <w:jc w:val="left"/>
              <w:rPr>
                <w:rFonts w:ascii="Calibri" w:hAnsi="Calibri"/>
                <w:color w:val="000000"/>
                <w:sz w:val="18"/>
                <w:szCs w:val="18"/>
                <w:lang w:val="sl-SI" w:eastAsia="sl-SI"/>
              </w:rPr>
            </w:pPr>
            <w:r w:rsidRPr="004D7A53">
              <w:rPr>
                <w:rFonts w:ascii="Calibri" w:hAnsi="Calibri"/>
                <w:color w:val="000000"/>
                <w:sz w:val="18"/>
                <w:szCs w:val="18"/>
                <w:lang w:val="sl-SI" w:eastAsia="sl-SI"/>
              </w:rPr>
              <w:t>920-Rezervni sklad</w:t>
            </w:r>
          </w:p>
        </w:tc>
        <w:tc>
          <w:tcPr>
            <w:tcW w:w="2436" w:type="dxa"/>
            <w:shd w:val="clear" w:color="auto" w:fill="auto"/>
            <w:noWrap/>
            <w:vAlign w:val="bottom"/>
            <w:hideMark/>
          </w:tcPr>
          <w:p w:rsidR="008728DC" w:rsidRPr="00690826" w:rsidRDefault="008728DC" w:rsidP="00690826">
            <w:pPr>
              <w:autoSpaceDE w:val="0"/>
              <w:autoSpaceDN w:val="0"/>
              <w:adjustRightInd w:val="0"/>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 xml:space="preserve">95.512.752 </w:t>
            </w:r>
          </w:p>
        </w:tc>
        <w:tc>
          <w:tcPr>
            <w:tcW w:w="2436" w:type="dxa"/>
            <w:shd w:val="clear" w:color="auto" w:fill="auto"/>
            <w:noWrap/>
            <w:vAlign w:val="bottom"/>
          </w:tcPr>
          <w:p w:rsidR="008728DC" w:rsidRDefault="008728DC" w:rsidP="00044B37">
            <w:pPr>
              <w:autoSpaceDE w:val="0"/>
              <w:autoSpaceDN w:val="0"/>
              <w:adjustRightInd w:val="0"/>
              <w:jc w:val="right"/>
              <w:rPr>
                <w:rFonts w:cs="Arial"/>
                <w:color w:val="000000"/>
                <w:sz w:val="16"/>
                <w:szCs w:val="16"/>
              </w:rPr>
            </w:pPr>
            <w:r w:rsidRPr="008062B4">
              <w:rPr>
                <w:rFonts w:ascii="Calibri" w:hAnsi="Calibri" w:cs="Calibri"/>
                <w:color w:val="000000"/>
                <w:sz w:val="18"/>
                <w:szCs w:val="18"/>
                <w:lang w:val="sl-SI" w:eastAsia="sl-SI"/>
              </w:rPr>
              <w:t xml:space="preserve">97.421.795 </w:t>
            </w:r>
          </w:p>
        </w:tc>
        <w:tc>
          <w:tcPr>
            <w:tcW w:w="1146" w:type="dxa"/>
            <w:shd w:val="clear" w:color="auto" w:fill="auto"/>
            <w:noWrap/>
            <w:vAlign w:val="bottom"/>
          </w:tcPr>
          <w:p w:rsidR="008728DC" w:rsidRPr="00690826" w:rsidRDefault="008728DC" w:rsidP="00690826">
            <w:pPr>
              <w:autoSpaceDE w:val="0"/>
              <w:autoSpaceDN w:val="0"/>
              <w:adjustRightInd w:val="0"/>
              <w:spacing w:line="240" w:lineRule="auto"/>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98,04</w:t>
            </w:r>
          </w:p>
        </w:tc>
        <w:tc>
          <w:tcPr>
            <w:tcW w:w="1418" w:type="dxa"/>
            <w:shd w:val="clear" w:color="auto" w:fill="auto"/>
            <w:noWrap/>
            <w:vAlign w:val="bottom"/>
          </w:tcPr>
          <w:p w:rsidR="008728DC" w:rsidRPr="00690826" w:rsidRDefault="008728DC" w:rsidP="00690826">
            <w:pPr>
              <w:autoSpaceDE w:val="0"/>
              <w:autoSpaceDN w:val="0"/>
              <w:adjustRightInd w:val="0"/>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 xml:space="preserve">-1.909.043 </w:t>
            </w:r>
          </w:p>
        </w:tc>
      </w:tr>
      <w:tr w:rsidR="008728DC" w:rsidRPr="004D7A53" w:rsidTr="00690826">
        <w:trPr>
          <w:trHeight w:val="300"/>
        </w:trPr>
        <w:tc>
          <w:tcPr>
            <w:tcW w:w="3189" w:type="dxa"/>
            <w:shd w:val="clear" w:color="auto" w:fill="auto"/>
            <w:noWrap/>
            <w:vAlign w:val="bottom"/>
            <w:hideMark/>
          </w:tcPr>
          <w:p w:rsidR="008728DC" w:rsidRPr="004D7A53" w:rsidRDefault="008728DC" w:rsidP="00044B37">
            <w:pPr>
              <w:spacing w:line="240" w:lineRule="auto"/>
              <w:jc w:val="left"/>
              <w:rPr>
                <w:rFonts w:ascii="Calibri" w:hAnsi="Calibri"/>
                <w:color w:val="000000"/>
                <w:sz w:val="18"/>
                <w:szCs w:val="18"/>
                <w:lang w:val="sl-SI" w:eastAsia="sl-SI"/>
              </w:rPr>
            </w:pPr>
            <w:r w:rsidRPr="004D7A53">
              <w:rPr>
                <w:rFonts w:ascii="Calibri" w:hAnsi="Calibri"/>
                <w:color w:val="000000"/>
                <w:sz w:val="18"/>
                <w:szCs w:val="18"/>
                <w:lang w:val="sl-SI" w:eastAsia="sl-SI"/>
              </w:rPr>
              <w:t>921-Dolgoročno prejeta posojila</w:t>
            </w:r>
          </w:p>
        </w:tc>
        <w:tc>
          <w:tcPr>
            <w:tcW w:w="2436" w:type="dxa"/>
            <w:shd w:val="clear" w:color="auto" w:fill="auto"/>
            <w:noWrap/>
            <w:vAlign w:val="bottom"/>
            <w:hideMark/>
          </w:tcPr>
          <w:p w:rsidR="008728DC" w:rsidRPr="00690826" w:rsidRDefault="008728DC" w:rsidP="00690826">
            <w:pPr>
              <w:autoSpaceDE w:val="0"/>
              <w:autoSpaceDN w:val="0"/>
              <w:adjustRightInd w:val="0"/>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 xml:space="preserve">29.476.696.012 </w:t>
            </w:r>
          </w:p>
        </w:tc>
        <w:tc>
          <w:tcPr>
            <w:tcW w:w="2436" w:type="dxa"/>
            <w:shd w:val="clear" w:color="auto" w:fill="auto"/>
            <w:noWrap/>
            <w:vAlign w:val="bottom"/>
          </w:tcPr>
          <w:p w:rsidR="008728DC" w:rsidRDefault="008728DC" w:rsidP="00044B37">
            <w:pPr>
              <w:autoSpaceDE w:val="0"/>
              <w:autoSpaceDN w:val="0"/>
              <w:adjustRightInd w:val="0"/>
              <w:jc w:val="right"/>
              <w:rPr>
                <w:rFonts w:cs="Arial"/>
                <w:color w:val="000000"/>
                <w:sz w:val="16"/>
                <w:szCs w:val="16"/>
              </w:rPr>
            </w:pPr>
            <w:r w:rsidRPr="008062B4">
              <w:rPr>
                <w:rFonts w:ascii="Calibri" w:hAnsi="Calibri" w:cs="Calibri"/>
                <w:color w:val="000000"/>
                <w:sz w:val="18"/>
                <w:szCs w:val="18"/>
                <w:lang w:val="sl-SI" w:eastAsia="sl-SI"/>
              </w:rPr>
              <w:t xml:space="preserve">29.032.428.243 </w:t>
            </w:r>
          </w:p>
        </w:tc>
        <w:tc>
          <w:tcPr>
            <w:tcW w:w="1146" w:type="dxa"/>
            <w:shd w:val="clear" w:color="auto" w:fill="auto"/>
            <w:noWrap/>
            <w:vAlign w:val="bottom"/>
          </w:tcPr>
          <w:p w:rsidR="008728DC" w:rsidRPr="00690826" w:rsidRDefault="008728DC" w:rsidP="00690826">
            <w:pPr>
              <w:autoSpaceDE w:val="0"/>
              <w:autoSpaceDN w:val="0"/>
              <w:adjustRightInd w:val="0"/>
              <w:spacing w:line="240" w:lineRule="auto"/>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101,53</w:t>
            </w:r>
          </w:p>
        </w:tc>
        <w:tc>
          <w:tcPr>
            <w:tcW w:w="1418" w:type="dxa"/>
            <w:shd w:val="clear" w:color="auto" w:fill="auto"/>
            <w:noWrap/>
            <w:vAlign w:val="bottom"/>
          </w:tcPr>
          <w:p w:rsidR="008728DC" w:rsidRPr="00690826" w:rsidRDefault="008728DC" w:rsidP="00690826">
            <w:pPr>
              <w:autoSpaceDE w:val="0"/>
              <w:autoSpaceDN w:val="0"/>
              <w:adjustRightInd w:val="0"/>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 xml:space="preserve">444.267.769 </w:t>
            </w:r>
          </w:p>
        </w:tc>
      </w:tr>
      <w:tr w:rsidR="008728DC" w:rsidRPr="004D7A53" w:rsidTr="00690826">
        <w:trPr>
          <w:trHeight w:val="300"/>
        </w:trPr>
        <w:tc>
          <w:tcPr>
            <w:tcW w:w="3189" w:type="dxa"/>
            <w:shd w:val="clear" w:color="auto" w:fill="auto"/>
            <w:noWrap/>
            <w:vAlign w:val="bottom"/>
            <w:hideMark/>
          </w:tcPr>
          <w:p w:rsidR="008728DC" w:rsidRPr="004D7A53" w:rsidRDefault="008728DC" w:rsidP="00044B37">
            <w:pPr>
              <w:spacing w:line="240" w:lineRule="auto"/>
              <w:jc w:val="left"/>
              <w:rPr>
                <w:rFonts w:ascii="Calibri" w:hAnsi="Calibri"/>
                <w:color w:val="000000"/>
                <w:sz w:val="18"/>
                <w:szCs w:val="18"/>
                <w:lang w:val="sl-SI" w:eastAsia="sl-SI"/>
              </w:rPr>
            </w:pPr>
            <w:r w:rsidRPr="004D7A53">
              <w:rPr>
                <w:rFonts w:ascii="Calibri" w:hAnsi="Calibri"/>
                <w:color w:val="000000"/>
                <w:sz w:val="18"/>
                <w:szCs w:val="18"/>
                <w:lang w:val="sl-SI" w:eastAsia="sl-SI"/>
              </w:rPr>
              <w:t>922-Dolgoročne obveznosti iz poslovanja</w:t>
            </w:r>
          </w:p>
        </w:tc>
        <w:tc>
          <w:tcPr>
            <w:tcW w:w="2436" w:type="dxa"/>
            <w:shd w:val="clear" w:color="auto" w:fill="auto"/>
            <w:noWrap/>
            <w:vAlign w:val="bottom"/>
            <w:hideMark/>
          </w:tcPr>
          <w:p w:rsidR="008728DC" w:rsidRPr="00690826" w:rsidRDefault="008728DC" w:rsidP="00690826">
            <w:pPr>
              <w:autoSpaceDE w:val="0"/>
              <w:autoSpaceDN w:val="0"/>
              <w:adjustRightInd w:val="0"/>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 xml:space="preserve">322.940.819 </w:t>
            </w:r>
          </w:p>
        </w:tc>
        <w:tc>
          <w:tcPr>
            <w:tcW w:w="2436" w:type="dxa"/>
            <w:shd w:val="clear" w:color="auto" w:fill="auto"/>
            <w:noWrap/>
            <w:vAlign w:val="bottom"/>
          </w:tcPr>
          <w:p w:rsidR="008728DC" w:rsidRDefault="008728DC" w:rsidP="00044B37">
            <w:pPr>
              <w:autoSpaceDE w:val="0"/>
              <w:autoSpaceDN w:val="0"/>
              <w:adjustRightInd w:val="0"/>
              <w:jc w:val="right"/>
              <w:rPr>
                <w:rFonts w:cs="Arial"/>
                <w:color w:val="000000"/>
                <w:sz w:val="16"/>
                <w:szCs w:val="16"/>
              </w:rPr>
            </w:pPr>
            <w:r w:rsidRPr="008062B4">
              <w:rPr>
                <w:rFonts w:ascii="Calibri" w:hAnsi="Calibri" w:cs="Calibri"/>
                <w:color w:val="000000"/>
                <w:sz w:val="18"/>
                <w:szCs w:val="18"/>
                <w:lang w:val="sl-SI" w:eastAsia="sl-SI"/>
              </w:rPr>
              <w:t xml:space="preserve">429.180.955 </w:t>
            </w:r>
          </w:p>
        </w:tc>
        <w:tc>
          <w:tcPr>
            <w:tcW w:w="1146" w:type="dxa"/>
            <w:shd w:val="clear" w:color="auto" w:fill="auto"/>
            <w:noWrap/>
            <w:vAlign w:val="bottom"/>
          </w:tcPr>
          <w:p w:rsidR="008728DC" w:rsidRPr="00690826" w:rsidRDefault="008728DC" w:rsidP="00690826">
            <w:pPr>
              <w:autoSpaceDE w:val="0"/>
              <w:autoSpaceDN w:val="0"/>
              <w:adjustRightInd w:val="0"/>
              <w:spacing w:line="240" w:lineRule="auto"/>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75,25</w:t>
            </w:r>
          </w:p>
        </w:tc>
        <w:tc>
          <w:tcPr>
            <w:tcW w:w="1418" w:type="dxa"/>
            <w:shd w:val="clear" w:color="auto" w:fill="auto"/>
            <w:noWrap/>
            <w:vAlign w:val="bottom"/>
          </w:tcPr>
          <w:p w:rsidR="008728DC" w:rsidRPr="00690826" w:rsidRDefault="008728DC" w:rsidP="00690826">
            <w:pPr>
              <w:autoSpaceDE w:val="0"/>
              <w:autoSpaceDN w:val="0"/>
              <w:adjustRightInd w:val="0"/>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 xml:space="preserve">-106.240.136 </w:t>
            </w:r>
          </w:p>
        </w:tc>
      </w:tr>
      <w:tr w:rsidR="008728DC" w:rsidRPr="004D7A53" w:rsidTr="00690826">
        <w:trPr>
          <w:trHeight w:val="300"/>
        </w:trPr>
        <w:tc>
          <w:tcPr>
            <w:tcW w:w="3189" w:type="dxa"/>
            <w:tcBorders>
              <w:bottom w:val="single" w:sz="4" w:space="0" w:color="auto"/>
            </w:tcBorders>
            <w:shd w:val="clear" w:color="auto" w:fill="auto"/>
            <w:noWrap/>
            <w:vAlign w:val="bottom"/>
            <w:hideMark/>
          </w:tcPr>
          <w:p w:rsidR="008728DC" w:rsidRPr="004D7A53" w:rsidRDefault="008728DC" w:rsidP="00044B37">
            <w:pPr>
              <w:spacing w:line="240" w:lineRule="auto"/>
              <w:jc w:val="left"/>
              <w:rPr>
                <w:rFonts w:ascii="Calibri" w:hAnsi="Calibri"/>
                <w:color w:val="000000"/>
                <w:sz w:val="18"/>
                <w:szCs w:val="18"/>
                <w:lang w:val="sl-SI" w:eastAsia="sl-SI"/>
              </w:rPr>
            </w:pPr>
            <w:r w:rsidRPr="004D7A53">
              <w:rPr>
                <w:rFonts w:ascii="Calibri" w:hAnsi="Calibri"/>
                <w:color w:val="000000"/>
                <w:sz w:val="18"/>
                <w:szCs w:val="18"/>
                <w:lang w:val="sl-SI" w:eastAsia="sl-SI"/>
              </w:rPr>
              <w:t>923-Kratkoročne obveznosti</w:t>
            </w:r>
          </w:p>
        </w:tc>
        <w:tc>
          <w:tcPr>
            <w:tcW w:w="2436" w:type="dxa"/>
            <w:tcBorders>
              <w:bottom w:val="single" w:sz="4" w:space="0" w:color="auto"/>
            </w:tcBorders>
            <w:shd w:val="clear" w:color="auto" w:fill="auto"/>
            <w:noWrap/>
            <w:vAlign w:val="bottom"/>
            <w:hideMark/>
          </w:tcPr>
          <w:p w:rsidR="008728DC" w:rsidRPr="00690826" w:rsidRDefault="008728DC" w:rsidP="00690826">
            <w:pPr>
              <w:autoSpaceDE w:val="0"/>
              <w:autoSpaceDN w:val="0"/>
              <w:adjustRightInd w:val="0"/>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 xml:space="preserve">3.064.225.682 </w:t>
            </w:r>
          </w:p>
        </w:tc>
        <w:tc>
          <w:tcPr>
            <w:tcW w:w="2436" w:type="dxa"/>
            <w:tcBorders>
              <w:bottom w:val="single" w:sz="4" w:space="0" w:color="auto"/>
            </w:tcBorders>
            <w:shd w:val="clear" w:color="auto" w:fill="auto"/>
            <w:noWrap/>
            <w:vAlign w:val="bottom"/>
          </w:tcPr>
          <w:p w:rsidR="008728DC" w:rsidRDefault="008728DC" w:rsidP="00044B37">
            <w:pPr>
              <w:autoSpaceDE w:val="0"/>
              <w:autoSpaceDN w:val="0"/>
              <w:adjustRightInd w:val="0"/>
              <w:jc w:val="right"/>
              <w:rPr>
                <w:rFonts w:cs="Arial"/>
                <w:color w:val="000000"/>
                <w:sz w:val="16"/>
                <w:szCs w:val="16"/>
              </w:rPr>
            </w:pPr>
            <w:r w:rsidRPr="008062B4">
              <w:rPr>
                <w:rFonts w:ascii="Calibri" w:hAnsi="Calibri" w:cs="Calibri"/>
                <w:color w:val="000000"/>
                <w:sz w:val="18"/>
                <w:szCs w:val="18"/>
                <w:lang w:val="sl-SI" w:eastAsia="sl-SI"/>
              </w:rPr>
              <w:t xml:space="preserve">2.969.487.024 </w:t>
            </w:r>
          </w:p>
        </w:tc>
        <w:tc>
          <w:tcPr>
            <w:tcW w:w="1146" w:type="dxa"/>
            <w:tcBorders>
              <w:bottom w:val="single" w:sz="4" w:space="0" w:color="auto"/>
            </w:tcBorders>
            <w:shd w:val="clear" w:color="auto" w:fill="auto"/>
            <w:noWrap/>
            <w:vAlign w:val="bottom"/>
          </w:tcPr>
          <w:p w:rsidR="008728DC" w:rsidRPr="00690826" w:rsidRDefault="008728DC" w:rsidP="00690826">
            <w:pPr>
              <w:autoSpaceDE w:val="0"/>
              <w:autoSpaceDN w:val="0"/>
              <w:adjustRightInd w:val="0"/>
              <w:spacing w:line="240" w:lineRule="auto"/>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103,19</w:t>
            </w:r>
          </w:p>
        </w:tc>
        <w:tc>
          <w:tcPr>
            <w:tcW w:w="1418" w:type="dxa"/>
            <w:tcBorders>
              <w:bottom w:val="single" w:sz="4" w:space="0" w:color="auto"/>
            </w:tcBorders>
            <w:shd w:val="clear" w:color="auto" w:fill="auto"/>
            <w:noWrap/>
            <w:vAlign w:val="bottom"/>
          </w:tcPr>
          <w:p w:rsidR="008728DC" w:rsidRPr="00690826" w:rsidRDefault="008728DC" w:rsidP="00690826">
            <w:pPr>
              <w:autoSpaceDE w:val="0"/>
              <w:autoSpaceDN w:val="0"/>
              <w:adjustRightInd w:val="0"/>
              <w:jc w:val="right"/>
              <w:rPr>
                <w:rFonts w:ascii="Calibri" w:hAnsi="Calibri"/>
                <w:color w:val="000000"/>
                <w:sz w:val="18"/>
                <w:szCs w:val="18"/>
                <w:lang w:val="sl-SI" w:eastAsia="sl-SI"/>
              </w:rPr>
            </w:pPr>
            <w:r w:rsidRPr="00690826">
              <w:rPr>
                <w:rFonts w:ascii="Calibri" w:hAnsi="Calibri" w:cs="Calibri"/>
                <w:color w:val="000000"/>
                <w:sz w:val="18"/>
                <w:szCs w:val="18"/>
                <w:lang w:val="sl-SI" w:eastAsia="sl-SI"/>
              </w:rPr>
              <w:t xml:space="preserve">94.738.658 </w:t>
            </w:r>
          </w:p>
        </w:tc>
      </w:tr>
      <w:tr w:rsidR="008728DC" w:rsidRPr="004D7A53" w:rsidTr="00690826">
        <w:trPr>
          <w:trHeight w:val="300"/>
        </w:trPr>
        <w:tc>
          <w:tcPr>
            <w:tcW w:w="3189" w:type="dxa"/>
            <w:shd w:val="clear" w:color="auto" w:fill="92D050"/>
            <w:noWrap/>
            <w:vAlign w:val="bottom"/>
            <w:hideMark/>
          </w:tcPr>
          <w:p w:rsidR="008728DC" w:rsidRPr="0059603D" w:rsidRDefault="008728DC" w:rsidP="00044B37">
            <w:pPr>
              <w:spacing w:line="240" w:lineRule="auto"/>
              <w:jc w:val="left"/>
              <w:rPr>
                <w:rFonts w:ascii="Calibri" w:hAnsi="Calibri"/>
                <w:b/>
                <w:i/>
                <w:color w:val="000000"/>
                <w:sz w:val="18"/>
                <w:szCs w:val="18"/>
                <w:lang w:val="sl-SI" w:eastAsia="sl-SI"/>
              </w:rPr>
            </w:pPr>
            <w:r w:rsidRPr="0059603D">
              <w:rPr>
                <w:rFonts w:ascii="Calibri" w:hAnsi="Calibri"/>
                <w:b/>
                <w:i/>
                <w:color w:val="000000"/>
                <w:sz w:val="18"/>
                <w:szCs w:val="18"/>
                <w:lang w:val="sl-SI" w:eastAsia="sl-SI"/>
              </w:rPr>
              <w:t>924-Skupaj pasiva</w:t>
            </w:r>
          </w:p>
        </w:tc>
        <w:tc>
          <w:tcPr>
            <w:tcW w:w="2436" w:type="dxa"/>
            <w:shd w:val="clear" w:color="auto" w:fill="92D050"/>
            <w:noWrap/>
            <w:vAlign w:val="bottom"/>
            <w:hideMark/>
          </w:tcPr>
          <w:p w:rsidR="008728DC" w:rsidRPr="00690826" w:rsidRDefault="008728DC" w:rsidP="00690826">
            <w:pPr>
              <w:autoSpaceDE w:val="0"/>
              <w:autoSpaceDN w:val="0"/>
              <w:adjustRightInd w:val="0"/>
              <w:spacing w:line="240" w:lineRule="auto"/>
              <w:jc w:val="right"/>
              <w:rPr>
                <w:rFonts w:ascii="Calibri" w:hAnsi="Calibri"/>
                <w:b/>
                <w:i/>
                <w:color w:val="000000"/>
                <w:sz w:val="18"/>
                <w:szCs w:val="18"/>
                <w:lang w:val="sl-SI" w:eastAsia="sl-SI"/>
              </w:rPr>
            </w:pPr>
            <w:r w:rsidRPr="00690826">
              <w:rPr>
                <w:rFonts w:ascii="Calibri" w:hAnsi="Calibri"/>
                <w:b/>
                <w:i/>
                <w:color w:val="000000"/>
                <w:sz w:val="18"/>
                <w:szCs w:val="18"/>
                <w:lang w:val="sl-SI" w:eastAsia="sl-SI"/>
              </w:rPr>
              <w:t xml:space="preserve">48.469.514.870 </w:t>
            </w:r>
          </w:p>
        </w:tc>
        <w:tc>
          <w:tcPr>
            <w:tcW w:w="2436" w:type="dxa"/>
            <w:shd w:val="clear" w:color="auto" w:fill="92D050"/>
            <w:noWrap/>
            <w:vAlign w:val="bottom"/>
          </w:tcPr>
          <w:p w:rsidR="008728DC" w:rsidRPr="0059603D" w:rsidRDefault="008728DC" w:rsidP="00044B37">
            <w:pPr>
              <w:spacing w:line="240" w:lineRule="auto"/>
              <w:jc w:val="right"/>
              <w:rPr>
                <w:rFonts w:cs="Arial"/>
                <w:b/>
                <w:i/>
                <w:color w:val="000000"/>
                <w:sz w:val="16"/>
                <w:szCs w:val="16"/>
              </w:rPr>
            </w:pPr>
            <w:r w:rsidRPr="008062B4">
              <w:rPr>
                <w:rFonts w:ascii="Calibri" w:hAnsi="Calibri"/>
                <w:b/>
                <w:i/>
                <w:color w:val="000000"/>
                <w:sz w:val="18"/>
                <w:szCs w:val="18"/>
                <w:lang w:val="sl-SI" w:eastAsia="sl-SI"/>
              </w:rPr>
              <w:t xml:space="preserve">46.967.146.843 </w:t>
            </w:r>
          </w:p>
        </w:tc>
        <w:tc>
          <w:tcPr>
            <w:tcW w:w="1146" w:type="dxa"/>
            <w:shd w:val="clear" w:color="auto" w:fill="92D050"/>
            <w:noWrap/>
            <w:vAlign w:val="bottom"/>
          </w:tcPr>
          <w:p w:rsidR="008728DC" w:rsidRPr="00690826" w:rsidRDefault="008728DC" w:rsidP="00690826">
            <w:pPr>
              <w:spacing w:line="240" w:lineRule="auto"/>
              <w:jc w:val="right"/>
              <w:rPr>
                <w:rFonts w:ascii="Calibri" w:hAnsi="Calibri"/>
                <w:b/>
                <w:i/>
                <w:color w:val="000000"/>
                <w:sz w:val="18"/>
                <w:szCs w:val="18"/>
                <w:lang w:val="sl-SI" w:eastAsia="sl-SI"/>
              </w:rPr>
            </w:pPr>
            <w:r w:rsidRPr="00690826">
              <w:rPr>
                <w:rFonts w:ascii="Calibri" w:hAnsi="Calibri" w:cs="Calibri"/>
                <w:b/>
                <w:i/>
                <w:color w:val="000000"/>
                <w:sz w:val="18"/>
                <w:szCs w:val="18"/>
                <w:lang w:val="sl-SI" w:eastAsia="sl-SI"/>
              </w:rPr>
              <w:t>103,20</w:t>
            </w:r>
          </w:p>
        </w:tc>
        <w:tc>
          <w:tcPr>
            <w:tcW w:w="1418" w:type="dxa"/>
            <w:shd w:val="clear" w:color="auto" w:fill="92D050"/>
            <w:noWrap/>
            <w:vAlign w:val="bottom"/>
          </w:tcPr>
          <w:p w:rsidR="008728DC" w:rsidRPr="00690826" w:rsidRDefault="008728DC" w:rsidP="00690826">
            <w:pPr>
              <w:spacing w:line="240" w:lineRule="auto"/>
              <w:jc w:val="right"/>
              <w:rPr>
                <w:rFonts w:ascii="Calibri" w:hAnsi="Calibri"/>
                <w:b/>
                <w:i/>
                <w:color w:val="000000"/>
                <w:sz w:val="18"/>
                <w:szCs w:val="18"/>
                <w:lang w:val="sl-SI" w:eastAsia="sl-SI"/>
              </w:rPr>
            </w:pPr>
            <w:r w:rsidRPr="00690826">
              <w:rPr>
                <w:rFonts w:ascii="Calibri" w:hAnsi="Calibri" w:cs="Calibri"/>
                <w:b/>
                <w:i/>
                <w:color w:val="000000"/>
                <w:sz w:val="18"/>
                <w:szCs w:val="18"/>
                <w:lang w:val="sl-SI" w:eastAsia="sl-SI"/>
              </w:rPr>
              <w:t xml:space="preserve">1.502.368.027 </w:t>
            </w:r>
          </w:p>
        </w:tc>
      </w:tr>
    </w:tbl>
    <w:p w:rsidR="008373D9" w:rsidRDefault="008373D9" w:rsidP="008373D9"/>
    <w:p w:rsidR="00870D78" w:rsidRDefault="00870D78" w:rsidP="008373D9">
      <w:pPr>
        <w:rPr>
          <w:b/>
        </w:rPr>
      </w:pPr>
    </w:p>
    <w:p w:rsidR="00870D78" w:rsidRPr="00A72BED" w:rsidRDefault="00870D78" w:rsidP="000A057A">
      <w:pPr>
        <w:pStyle w:val="Caption"/>
        <w:rPr>
          <w:b w:val="0"/>
        </w:rPr>
      </w:pPr>
      <w:proofErr w:type="gramStart"/>
      <w:r w:rsidRPr="00C61053">
        <w:rPr>
          <w:b w:val="0"/>
        </w:rPr>
        <w:lastRenderedPageBreak/>
        <w:t xml:space="preserve">Med aktivnimi postavkami konsolidirane premoženjske bilance države in občin imajo največji delež v </w:t>
      </w:r>
      <w:r w:rsidRPr="00A72BED">
        <w:t>premoženju nepremičnine (4</w:t>
      </w:r>
      <w:r w:rsidR="009A0EB5">
        <w:t>4</w:t>
      </w:r>
      <w:r w:rsidRPr="00A72BED">
        <w:t>%) in dolgoročne finančne naložbe (</w:t>
      </w:r>
      <w:r w:rsidR="00306DCC" w:rsidRPr="00A72BED">
        <w:t>2</w:t>
      </w:r>
      <w:r w:rsidR="009A0EB5">
        <w:t>4</w:t>
      </w:r>
      <w:r w:rsidRPr="00A72BED">
        <w:t>%).</w:t>
      </w:r>
      <w:proofErr w:type="gramEnd"/>
      <w:r>
        <w:t xml:space="preserve"> </w:t>
      </w:r>
      <w:proofErr w:type="gramStart"/>
      <w:r w:rsidRPr="00A72BED">
        <w:rPr>
          <w:b w:val="0"/>
        </w:rPr>
        <w:t xml:space="preserve">Podroben prikaz posameznih deležev prikazuje </w:t>
      </w:r>
      <w:r w:rsidR="002E248B" w:rsidRPr="00A72BED">
        <w:rPr>
          <w:b w:val="0"/>
        </w:rPr>
        <w:fldChar w:fldCharType="begin"/>
      </w:r>
      <w:r w:rsidR="002E248B" w:rsidRPr="00A72BED">
        <w:rPr>
          <w:b w:val="0"/>
        </w:rPr>
        <w:instrText xml:space="preserve"> REF _Ref391640550 \h  \* MERGEFORMAT </w:instrText>
      </w:r>
      <w:r w:rsidR="002E248B" w:rsidRPr="00A72BED">
        <w:rPr>
          <w:b w:val="0"/>
        </w:rPr>
      </w:r>
      <w:r w:rsidR="002E248B" w:rsidRPr="00A72BED">
        <w:rPr>
          <w:b w:val="0"/>
        </w:rPr>
        <w:fldChar w:fldCharType="separate"/>
      </w:r>
      <w:r w:rsidR="00CE55C4" w:rsidRPr="00CE55C4">
        <w:rPr>
          <w:b w:val="0"/>
        </w:rPr>
        <w:t xml:space="preserve">Slika </w:t>
      </w:r>
      <w:r w:rsidR="00CE55C4" w:rsidRPr="00CE55C4">
        <w:rPr>
          <w:b w:val="0"/>
          <w:noProof/>
        </w:rPr>
        <w:t>2</w:t>
      </w:r>
      <w:r w:rsidR="002E248B" w:rsidRPr="00A72BED">
        <w:rPr>
          <w:b w:val="0"/>
        </w:rPr>
        <w:fldChar w:fldCharType="end"/>
      </w:r>
      <w:r w:rsidR="000A057A" w:rsidRPr="00A72BED">
        <w:rPr>
          <w:b w:val="0"/>
        </w:rPr>
        <w:t>.</w:t>
      </w:r>
      <w:proofErr w:type="gramEnd"/>
      <w:r w:rsidR="000A057A" w:rsidRPr="00A72BED">
        <w:rPr>
          <w:b w:val="0"/>
        </w:rPr>
        <w:t xml:space="preserve"> </w:t>
      </w:r>
    </w:p>
    <w:p w:rsidR="00476227" w:rsidRDefault="00476227" w:rsidP="00870D78">
      <w:pPr>
        <w:pStyle w:val="Caption"/>
      </w:pPr>
      <w:bookmarkStart w:id="12" w:name="_Ref389464285"/>
    </w:p>
    <w:p w:rsidR="00870D78" w:rsidRDefault="00870D78" w:rsidP="00870D78">
      <w:pPr>
        <w:pStyle w:val="Caption"/>
      </w:pPr>
      <w:bookmarkStart w:id="13" w:name="_Ref391640550"/>
      <w:bookmarkStart w:id="14" w:name="_Toc49771347"/>
      <w:r>
        <w:t xml:space="preserve">Slika </w:t>
      </w:r>
      <w:r>
        <w:fldChar w:fldCharType="begin"/>
      </w:r>
      <w:r>
        <w:instrText xml:space="preserve"> SEQ Slika \* ARABIC </w:instrText>
      </w:r>
      <w:r>
        <w:fldChar w:fldCharType="separate"/>
      </w:r>
      <w:r w:rsidR="00CE55C4">
        <w:rPr>
          <w:noProof/>
        </w:rPr>
        <w:t>2</w:t>
      </w:r>
      <w:r>
        <w:fldChar w:fldCharType="end"/>
      </w:r>
      <w:bookmarkEnd w:id="12"/>
      <w:bookmarkEnd w:id="13"/>
      <w:r>
        <w:t xml:space="preserve">: Delež aktivnih postavk konsolidirane premoženjske bilance države in občin v bilančni vsoti </w:t>
      </w:r>
      <w:proofErr w:type="gramStart"/>
      <w:r>
        <w:t>na</w:t>
      </w:r>
      <w:proofErr w:type="gramEnd"/>
      <w:r>
        <w:t xml:space="preserve"> dan 31.12.201</w:t>
      </w:r>
      <w:r w:rsidR="009A0EB5">
        <w:t>8</w:t>
      </w:r>
      <w:bookmarkEnd w:id="14"/>
    </w:p>
    <w:p w:rsidR="00870D78" w:rsidRDefault="00583F4C" w:rsidP="00F40CB9">
      <w:pPr>
        <w:spacing w:line="240" w:lineRule="auto"/>
        <w:jc w:val="center"/>
      </w:pPr>
      <w:r>
        <w:rPr>
          <w:noProof/>
          <w:lang w:val="sl-SI" w:eastAsia="sl-SI"/>
        </w:rPr>
        <w:drawing>
          <wp:inline distT="0" distB="0" distL="0" distR="0" wp14:anchorId="2612DD39" wp14:editId="3CBD8BFB">
            <wp:extent cx="4394835" cy="2975610"/>
            <wp:effectExtent l="0" t="0" r="5715" b="0"/>
            <wp:docPr id="271" name="Picture 271" descr="Delež aktivnih postavk v KPBDO 2018" title="Delež aktivnih postavk konsolidirane premoženjske bilance države in občin v bilančni vsoti na dan 31.12.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94835" cy="2975610"/>
                    </a:xfrm>
                    <a:prstGeom prst="rect">
                      <a:avLst/>
                    </a:prstGeom>
                    <a:noFill/>
                  </pic:spPr>
                </pic:pic>
              </a:graphicData>
            </a:graphic>
          </wp:inline>
        </w:drawing>
      </w:r>
    </w:p>
    <w:p w:rsidR="00870D78" w:rsidRDefault="00870D78" w:rsidP="00870D78"/>
    <w:p w:rsidR="00870D78" w:rsidRDefault="00C61053" w:rsidP="00870D78">
      <w:proofErr w:type="gramStart"/>
      <w:r w:rsidRPr="00C61053">
        <w:rPr>
          <w:b/>
        </w:rPr>
        <w:t>Med pasivnimi postavkami konsolidirane premoženjske bilance države in občin imajo največji delež med obveznostmi dolgoročno prejeta posojila (</w:t>
      </w:r>
      <w:r w:rsidR="001A3F4D">
        <w:rPr>
          <w:b/>
        </w:rPr>
        <w:t>6</w:t>
      </w:r>
      <w:r w:rsidR="009A0EB5">
        <w:rPr>
          <w:b/>
        </w:rPr>
        <w:t>1</w:t>
      </w:r>
      <w:r w:rsidR="00B347D6">
        <w:rPr>
          <w:b/>
        </w:rPr>
        <w:t>%</w:t>
      </w:r>
      <w:r w:rsidRPr="00C61053">
        <w:rPr>
          <w:b/>
        </w:rPr>
        <w:t>).</w:t>
      </w:r>
      <w:proofErr w:type="gramEnd"/>
      <w:r>
        <w:t xml:space="preserve"> </w:t>
      </w:r>
      <w:proofErr w:type="gramStart"/>
      <w:r>
        <w:t xml:space="preserve">Podroben prikaz posameznih deležev prikazuje </w:t>
      </w:r>
      <w:r>
        <w:fldChar w:fldCharType="begin"/>
      </w:r>
      <w:r>
        <w:instrText xml:space="preserve"> REF _Ref389465673 \h </w:instrText>
      </w:r>
      <w:r>
        <w:fldChar w:fldCharType="separate"/>
      </w:r>
      <w:r w:rsidR="00CE55C4">
        <w:t xml:space="preserve">Slika </w:t>
      </w:r>
      <w:r w:rsidR="00CE55C4">
        <w:rPr>
          <w:noProof/>
        </w:rPr>
        <w:t>3</w:t>
      </w:r>
      <w:r>
        <w:fldChar w:fldCharType="end"/>
      </w:r>
      <w:r w:rsidR="0053047D">
        <w:t>.</w:t>
      </w:r>
      <w:proofErr w:type="gramEnd"/>
    </w:p>
    <w:p w:rsidR="00C61053" w:rsidRDefault="00C61053" w:rsidP="00870D78"/>
    <w:p w:rsidR="00870D78" w:rsidRDefault="00C61053" w:rsidP="00C61053">
      <w:pPr>
        <w:pStyle w:val="Caption"/>
      </w:pPr>
      <w:bookmarkStart w:id="15" w:name="_Ref389465673"/>
      <w:bookmarkStart w:id="16" w:name="_Toc49771348"/>
      <w:r>
        <w:t xml:space="preserve">Slika </w:t>
      </w:r>
      <w:r>
        <w:fldChar w:fldCharType="begin"/>
      </w:r>
      <w:r>
        <w:instrText xml:space="preserve"> SEQ Slika \* ARABIC </w:instrText>
      </w:r>
      <w:r>
        <w:fldChar w:fldCharType="separate"/>
      </w:r>
      <w:r w:rsidR="00CE55C4">
        <w:rPr>
          <w:noProof/>
        </w:rPr>
        <w:t>3</w:t>
      </w:r>
      <w:r>
        <w:fldChar w:fldCharType="end"/>
      </w:r>
      <w:bookmarkEnd w:id="15"/>
      <w:r>
        <w:t xml:space="preserve">: Delež pasivnih postavk konsolidirane premoženjske bilance države in občin v bilančni vsoti </w:t>
      </w:r>
      <w:proofErr w:type="gramStart"/>
      <w:r>
        <w:t>na</w:t>
      </w:r>
      <w:proofErr w:type="gramEnd"/>
      <w:r>
        <w:t xml:space="preserve"> dan 31.12.201</w:t>
      </w:r>
      <w:r w:rsidR="009A0EB5">
        <w:t>8</w:t>
      </w:r>
      <w:bookmarkEnd w:id="16"/>
    </w:p>
    <w:p w:rsidR="00870D78" w:rsidRDefault="00870D78" w:rsidP="00870D78"/>
    <w:p w:rsidR="00C61053" w:rsidRDefault="00583F4C" w:rsidP="00E90071">
      <w:pPr>
        <w:spacing w:line="240" w:lineRule="auto"/>
        <w:jc w:val="center"/>
      </w:pPr>
      <w:r>
        <w:rPr>
          <w:noProof/>
          <w:lang w:val="sl-SI" w:eastAsia="sl-SI"/>
        </w:rPr>
        <w:drawing>
          <wp:inline distT="0" distB="0" distL="0" distR="0" wp14:anchorId="4EAFDF78" wp14:editId="4C1CDCC7">
            <wp:extent cx="4516120" cy="3042285"/>
            <wp:effectExtent l="0" t="0" r="0" b="5715"/>
            <wp:docPr id="272" name="Picture 272" descr="Delež pasivnih postavk KPBDO 2018" title="Delež pasivnih postavk konsolidirane premoženjske bilance države in občin v bilančni vsoti na dan 31.12.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16120" cy="3042285"/>
                    </a:xfrm>
                    <a:prstGeom prst="rect">
                      <a:avLst/>
                    </a:prstGeom>
                    <a:noFill/>
                  </pic:spPr>
                </pic:pic>
              </a:graphicData>
            </a:graphic>
          </wp:inline>
        </w:drawing>
      </w:r>
    </w:p>
    <w:p w:rsidR="00E90071" w:rsidRDefault="00E90071" w:rsidP="000A057A">
      <w:pPr>
        <w:pStyle w:val="Caption"/>
        <w:rPr>
          <w:b w:val="0"/>
          <w:bCs w:val="0"/>
          <w:szCs w:val="24"/>
        </w:rPr>
      </w:pPr>
    </w:p>
    <w:p w:rsidR="00C864AE" w:rsidRPr="00872B54" w:rsidRDefault="002100C5" w:rsidP="000A057A">
      <w:pPr>
        <w:pStyle w:val="Caption"/>
        <w:rPr>
          <w:b w:val="0"/>
        </w:rPr>
      </w:pPr>
      <w:r w:rsidRPr="00872B54">
        <w:lastRenderedPageBreak/>
        <w:t>Iz porazdelitve premoženja</w:t>
      </w:r>
      <w:r>
        <w:t xml:space="preserve"> države in občin </w:t>
      </w:r>
      <w:r w:rsidRPr="002100C5">
        <w:rPr>
          <w:b w:val="0"/>
        </w:rPr>
        <w:t>med državo in občine</w:t>
      </w:r>
      <w:r>
        <w:t xml:space="preserve"> </w:t>
      </w:r>
      <w:r w:rsidRPr="00872B54">
        <w:rPr>
          <w:b w:val="0"/>
        </w:rPr>
        <w:t xml:space="preserve">je razvidno, da </w:t>
      </w:r>
      <w:r w:rsidR="00DF5A10" w:rsidRPr="00FF29CD">
        <w:t>delež</w:t>
      </w:r>
      <w:r>
        <w:t xml:space="preserve"> </w:t>
      </w:r>
      <w:r w:rsidR="00DF5A10">
        <w:t>države znaša</w:t>
      </w:r>
      <w:r w:rsidRPr="00872B54">
        <w:t xml:space="preserve"> </w:t>
      </w:r>
      <w:r w:rsidR="006843AA">
        <w:t>69</w:t>
      </w:r>
      <w:proofErr w:type="gramStart"/>
      <w:r w:rsidR="006843AA">
        <w:t>,</w:t>
      </w:r>
      <w:r w:rsidR="004262A6">
        <w:t>26</w:t>
      </w:r>
      <w:proofErr w:type="gramEnd"/>
      <w:r w:rsidRPr="00872B54">
        <w:t xml:space="preserve">%, delež občin pa </w:t>
      </w:r>
      <w:r w:rsidR="006843AA">
        <w:t>30,</w:t>
      </w:r>
      <w:r w:rsidR="004262A6">
        <w:t>74</w:t>
      </w:r>
      <w:r w:rsidRPr="00872B54">
        <w:t>%.</w:t>
      </w:r>
      <w:r>
        <w:rPr>
          <w:b w:val="0"/>
        </w:rPr>
        <w:t xml:space="preserve"> </w:t>
      </w:r>
      <w:r w:rsidRPr="00872B54">
        <w:t>Največji delež</w:t>
      </w:r>
      <w:r w:rsidR="00DF5A10">
        <w:t xml:space="preserve"> skupnega premoženja države in občin država </w:t>
      </w:r>
      <w:r w:rsidRPr="00872B54">
        <w:rPr>
          <w:b w:val="0"/>
        </w:rPr>
        <w:t>dosega</w:t>
      </w:r>
      <w:r>
        <w:t xml:space="preserve"> pri </w:t>
      </w:r>
      <w:r w:rsidR="003843D8" w:rsidRPr="00F70B5E">
        <w:t>dolgoročno danih posojilih in depozitih (</w:t>
      </w:r>
      <w:r w:rsidR="004B74C0">
        <w:t>9</w:t>
      </w:r>
      <w:r w:rsidR="009B4901">
        <w:t>9</w:t>
      </w:r>
      <w:proofErr w:type="gramStart"/>
      <w:r w:rsidR="009B4901">
        <w:t>,</w:t>
      </w:r>
      <w:r w:rsidR="004B6D45">
        <w:t>6</w:t>
      </w:r>
      <w:r w:rsidR="004262A6">
        <w:t>7</w:t>
      </w:r>
      <w:proofErr w:type="gramEnd"/>
      <w:r w:rsidR="003843D8" w:rsidRPr="00F70B5E">
        <w:t>%</w:t>
      </w:r>
      <w:r w:rsidR="0037758F">
        <w:rPr>
          <w:b w:val="0"/>
        </w:rPr>
        <w:t xml:space="preserve">, glej </w:t>
      </w:r>
      <w:r w:rsidR="00F70B5E" w:rsidRPr="00872B54">
        <w:rPr>
          <w:b w:val="0"/>
        </w:rPr>
        <w:fldChar w:fldCharType="begin"/>
      </w:r>
      <w:r w:rsidR="00F70B5E" w:rsidRPr="00872B54">
        <w:rPr>
          <w:b w:val="0"/>
        </w:rPr>
        <w:instrText xml:space="preserve"> REF _Ref389484436 \h  \* MERGEFORMAT </w:instrText>
      </w:r>
      <w:r w:rsidR="00F70B5E" w:rsidRPr="00872B54">
        <w:rPr>
          <w:b w:val="0"/>
        </w:rPr>
      </w:r>
      <w:r w:rsidR="00F70B5E" w:rsidRPr="00872B54">
        <w:rPr>
          <w:b w:val="0"/>
        </w:rPr>
        <w:fldChar w:fldCharType="separate"/>
      </w:r>
      <w:r w:rsidR="00CE55C4" w:rsidRPr="00CE55C4">
        <w:rPr>
          <w:b w:val="0"/>
        </w:rPr>
        <w:t xml:space="preserve">Tabela </w:t>
      </w:r>
      <w:r w:rsidR="00CE55C4" w:rsidRPr="00CE55C4">
        <w:rPr>
          <w:b w:val="0"/>
          <w:noProof/>
        </w:rPr>
        <w:t>3</w:t>
      </w:r>
      <w:r w:rsidR="00F70B5E" w:rsidRPr="00872B54">
        <w:rPr>
          <w:b w:val="0"/>
        </w:rPr>
        <w:fldChar w:fldCharType="end"/>
      </w:r>
      <w:r w:rsidR="0037758F">
        <w:rPr>
          <w:b w:val="0"/>
        </w:rPr>
        <w:t>, AOP 914)</w:t>
      </w:r>
      <w:r w:rsidR="003843D8">
        <w:t xml:space="preserve"> ter pri </w:t>
      </w:r>
      <w:r w:rsidR="003843D8" w:rsidRPr="00872B54">
        <w:t>dolgoročnih finančnih naložbah (</w:t>
      </w:r>
      <w:r w:rsidR="004B74C0">
        <w:t>95,</w:t>
      </w:r>
      <w:r w:rsidR="004262A6">
        <w:t>05</w:t>
      </w:r>
      <w:r w:rsidR="003843D8" w:rsidRPr="00872B54">
        <w:t>%)</w:t>
      </w:r>
      <w:r w:rsidR="009709D6" w:rsidRPr="00872B54">
        <w:t>.</w:t>
      </w:r>
      <w:r w:rsidR="009709D6">
        <w:rPr>
          <w:b w:val="0"/>
        </w:rPr>
        <w:t xml:space="preserve"> </w:t>
      </w:r>
      <w:proofErr w:type="gramStart"/>
      <w:r w:rsidR="009709D6" w:rsidRPr="00872B54">
        <w:rPr>
          <w:b w:val="0"/>
        </w:rPr>
        <w:t>Država ima prevladujoč delež pri večini postavk premoženja države in občin.</w:t>
      </w:r>
      <w:proofErr w:type="gramEnd"/>
      <w:r w:rsidR="009709D6">
        <w:t xml:space="preserve"> </w:t>
      </w:r>
      <w:r w:rsidR="009709D6" w:rsidRPr="00D01164">
        <w:rPr>
          <w:b w:val="0"/>
        </w:rPr>
        <w:t xml:space="preserve">Pri </w:t>
      </w:r>
      <w:r w:rsidR="009709D6" w:rsidRPr="00872B54">
        <w:rPr>
          <w:b w:val="0"/>
        </w:rPr>
        <w:t>postavki</w:t>
      </w:r>
      <w:r w:rsidR="009709D6">
        <w:t xml:space="preserve"> </w:t>
      </w:r>
      <w:r w:rsidR="009709D6" w:rsidRPr="00872B54">
        <w:t>sedanje vrednosti nepremičnin</w:t>
      </w:r>
      <w:r w:rsidR="009709D6">
        <w:t xml:space="preserve"> </w:t>
      </w:r>
      <w:r w:rsidR="009709D6" w:rsidRPr="00872B54">
        <w:rPr>
          <w:b w:val="0"/>
        </w:rPr>
        <w:t>pa</w:t>
      </w:r>
      <w:r w:rsidR="009709D6">
        <w:t xml:space="preserve"> </w:t>
      </w:r>
      <w:r w:rsidR="009709D6" w:rsidRPr="00872B54">
        <w:t xml:space="preserve">delež občin </w:t>
      </w:r>
      <w:r w:rsidR="009709D6" w:rsidRPr="00872B54">
        <w:rPr>
          <w:b w:val="0"/>
        </w:rPr>
        <w:t>(</w:t>
      </w:r>
      <w:r w:rsidR="004B6D45">
        <w:rPr>
          <w:b w:val="0"/>
        </w:rPr>
        <w:t>5</w:t>
      </w:r>
      <w:r w:rsidR="000F0608">
        <w:rPr>
          <w:b w:val="0"/>
        </w:rPr>
        <w:t>9</w:t>
      </w:r>
      <w:proofErr w:type="gramStart"/>
      <w:r w:rsidR="000F0608">
        <w:rPr>
          <w:b w:val="0"/>
        </w:rPr>
        <w:t>,44</w:t>
      </w:r>
      <w:proofErr w:type="gramEnd"/>
      <w:r w:rsidR="009709D6" w:rsidRPr="00872B54">
        <w:rPr>
          <w:b w:val="0"/>
        </w:rPr>
        <w:t>%)</w:t>
      </w:r>
      <w:r w:rsidR="009709D6" w:rsidRPr="00872B54">
        <w:t xml:space="preserve"> presega delež države </w:t>
      </w:r>
      <w:r w:rsidR="009709D6" w:rsidRPr="00872B54">
        <w:rPr>
          <w:b w:val="0"/>
        </w:rPr>
        <w:t>(</w:t>
      </w:r>
      <w:r w:rsidR="000F0608">
        <w:rPr>
          <w:b w:val="0"/>
        </w:rPr>
        <w:t>40,56</w:t>
      </w:r>
      <w:r w:rsidR="009709D6" w:rsidRPr="00872B54">
        <w:rPr>
          <w:b w:val="0"/>
        </w:rPr>
        <w:t>%).</w:t>
      </w:r>
      <w:r w:rsidR="009709D6">
        <w:t xml:space="preserve"> </w:t>
      </w:r>
      <w:proofErr w:type="gramStart"/>
      <w:r w:rsidR="00872B54" w:rsidRPr="00872B54">
        <w:rPr>
          <w:b w:val="0"/>
        </w:rPr>
        <w:t>Država ima prevladujoč delež pri večini pasivnih postavk.</w:t>
      </w:r>
      <w:proofErr w:type="gramEnd"/>
      <w:r w:rsidR="00872B54">
        <w:t xml:space="preserve"> Pri postavki dolgoročno prejetih posojil znaša delež </w:t>
      </w:r>
      <w:r w:rsidR="004B6D45">
        <w:t>9</w:t>
      </w:r>
      <w:r w:rsidR="000F0608">
        <w:t>8</w:t>
      </w:r>
      <w:proofErr w:type="gramStart"/>
      <w:r w:rsidR="000F0608">
        <w:t>,01</w:t>
      </w:r>
      <w:proofErr w:type="gramEnd"/>
      <w:r w:rsidR="00872B54">
        <w:t xml:space="preserve">%. </w:t>
      </w:r>
      <w:proofErr w:type="gramStart"/>
      <w:r w:rsidR="00872B54" w:rsidRPr="00872B54">
        <w:rPr>
          <w:b w:val="0"/>
        </w:rPr>
        <w:t>Bolj podrobna porazdelitev premoženja med državo in občine prikazuje</w:t>
      </w:r>
      <w:r w:rsidR="000A057A">
        <w:rPr>
          <w:b w:val="0"/>
        </w:rPr>
        <w:t xml:space="preserve"> </w:t>
      </w:r>
      <w:r w:rsidR="000A057A" w:rsidRPr="000A057A">
        <w:rPr>
          <w:b w:val="0"/>
        </w:rPr>
        <w:fldChar w:fldCharType="begin"/>
      </w:r>
      <w:r w:rsidR="000A057A" w:rsidRPr="000A057A">
        <w:rPr>
          <w:b w:val="0"/>
        </w:rPr>
        <w:instrText xml:space="preserve"> REF _Ref389484436 \h  \* MERGEFORMAT </w:instrText>
      </w:r>
      <w:r w:rsidR="000A057A" w:rsidRPr="000A057A">
        <w:rPr>
          <w:b w:val="0"/>
        </w:rPr>
      </w:r>
      <w:r w:rsidR="000A057A" w:rsidRPr="000A057A">
        <w:rPr>
          <w:b w:val="0"/>
        </w:rPr>
        <w:fldChar w:fldCharType="separate"/>
      </w:r>
      <w:r w:rsidR="00CE55C4" w:rsidRPr="00CE55C4">
        <w:rPr>
          <w:b w:val="0"/>
        </w:rPr>
        <w:t xml:space="preserve">Tabela </w:t>
      </w:r>
      <w:r w:rsidR="00CE55C4" w:rsidRPr="00CE55C4">
        <w:rPr>
          <w:b w:val="0"/>
          <w:noProof/>
        </w:rPr>
        <w:t>3</w:t>
      </w:r>
      <w:r w:rsidR="000A057A" w:rsidRPr="000A057A">
        <w:rPr>
          <w:b w:val="0"/>
        </w:rPr>
        <w:fldChar w:fldCharType="end"/>
      </w:r>
      <w:r w:rsidR="0053047D">
        <w:rPr>
          <w:b w:val="0"/>
        </w:rPr>
        <w:t>.</w:t>
      </w:r>
      <w:proofErr w:type="gramEnd"/>
      <w:r w:rsidR="00D4621F">
        <w:rPr>
          <w:b w:val="0"/>
        </w:rPr>
        <w:t xml:space="preserve"> </w:t>
      </w:r>
    </w:p>
    <w:p w:rsidR="00C61053" w:rsidRDefault="00C61053" w:rsidP="00C864AE">
      <w:pPr>
        <w:pStyle w:val="Caption"/>
      </w:pPr>
      <w:bookmarkStart w:id="17" w:name="_Ref389462187"/>
    </w:p>
    <w:p w:rsidR="00C864AE" w:rsidRDefault="00C864AE" w:rsidP="00C864AE">
      <w:pPr>
        <w:pStyle w:val="Caption"/>
      </w:pPr>
      <w:bookmarkStart w:id="18" w:name="_Ref389484436"/>
      <w:bookmarkStart w:id="19" w:name="_Toc49771322"/>
      <w:r>
        <w:t xml:space="preserve">Tabela </w:t>
      </w:r>
      <w:r>
        <w:fldChar w:fldCharType="begin"/>
      </w:r>
      <w:r>
        <w:instrText xml:space="preserve"> SEQ Tabela \* ARABIC </w:instrText>
      </w:r>
      <w:r>
        <w:fldChar w:fldCharType="separate"/>
      </w:r>
      <w:r w:rsidR="00CE55C4">
        <w:rPr>
          <w:noProof/>
        </w:rPr>
        <w:t>3</w:t>
      </w:r>
      <w:r>
        <w:fldChar w:fldCharType="end"/>
      </w:r>
      <w:bookmarkEnd w:id="17"/>
      <w:bookmarkEnd w:id="18"/>
      <w:r>
        <w:t>: Porazdelitev premoženja države in občin med dr</w:t>
      </w:r>
      <w:r w:rsidR="00A721EB">
        <w:t xml:space="preserve">žavo in občine </w:t>
      </w:r>
      <w:proofErr w:type="gramStart"/>
      <w:r w:rsidR="00A721EB">
        <w:t>na</w:t>
      </w:r>
      <w:proofErr w:type="gramEnd"/>
      <w:r w:rsidR="00A721EB">
        <w:t xml:space="preserve"> dan 31.12.201</w:t>
      </w:r>
      <w:r w:rsidR="00BD0399">
        <w:t>8</w:t>
      </w:r>
      <w:bookmarkEnd w:id="19"/>
    </w:p>
    <w:p w:rsidR="00A721EB" w:rsidRPr="00A721EB" w:rsidRDefault="00A721EB" w:rsidP="00A721EB"/>
    <w:tbl>
      <w:tblPr>
        <w:tblW w:w="10098"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94"/>
        <w:gridCol w:w="2428"/>
        <w:gridCol w:w="1276"/>
      </w:tblGrid>
      <w:tr w:rsidR="00673BFD" w:rsidRPr="00A721EB" w:rsidTr="00002C2A">
        <w:trPr>
          <w:trHeight w:val="300"/>
          <w:tblHeader/>
        </w:trPr>
        <w:tc>
          <w:tcPr>
            <w:tcW w:w="6394" w:type="dxa"/>
            <w:shd w:val="pct25" w:color="auto" w:fill="auto"/>
            <w:noWrap/>
            <w:vAlign w:val="bottom"/>
          </w:tcPr>
          <w:p w:rsidR="00673BFD" w:rsidRPr="00A72BED" w:rsidRDefault="00673BFD" w:rsidP="00A721EB">
            <w:pPr>
              <w:spacing w:line="240" w:lineRule="auto"/>
              <w:rPr>
                <w:rFonts w:ascii="Calibri" w:hAnsi="Calibri"/>
                <w:b/>
                <w:bCs/>
                <w:color w:val="000000"/>
                <w:sz w:val="18"/>
                <w:szCs w:val="18"/>
                <w:lang w:eastAsia="sl-SI"/>
              </w:rPr>
            </w:pPr>
          </w:p>
        </w:tc>
        <w:tc>
          <w:tcPr>
            <w:tcW w:w="3704" w:type="dxa"/>
            <w:gridSpan w:val="2"/>
            <w:shd w:val="pct25" w:color="auto" w:fill="auto"/>
            <w:noWrap/>
            <w:vAlign w:val="bottom"/>
          </w:tcPr>
          <w:p w:rsidR="00673BFD" w:rsidRPr="00A72BED" w:rsidRDefault="00673BFD" w:rsidP="002D5A63">
            <w:pPr>
              <w:spacing w:line="240" w:lineRule="auto"/>
              <w:jc w:val="center"/>
              <w:rPr>
                <w:rFonts w:ascii="Calibri" w:hAnsi="Calibri"/>
                <w:b/>
                <w:bCs/>
                <w:color w:val="EEECE1"/>
                <w:sz w:val="18"/>
                <w:szCs w:val="18"/>
                <w:lang w:eastAsia="sl-SI"/>
              </w:rPr>
            </w:pPr>
            <w:r w:rsidRPr="00A72BED">
              <w:rPr>
                <w:rFonts w:ascii="Calibri" w:hAnsi="Calibri"/>
                <w:b/>
                <w:color w:val="000000"/>
                <w:sz w:val="18"/>
                <w:szCs w:val="18"/>
                <w:lang w:val="sl-SI" w:eastAsia="sl-SI"/>
              </w:rPr>
              <w:t>Stanje 31.12.201</w:t>
            </w:r>
            <w:r w:rsidR="00BD0399">
              <w:rPr>
                <w:rFonts w:ascii="Calibri" w:hAnsi="Calibri"/>
                <w:b/>
                <w:color w:val="000000"/>
                <w:sz w:val="18"/>
                <w:szCs w:val="18"/>
                <w:lang w:val="sl-SI" w:eastAsia="sl-SI"/>
              </w:rPr>
              <w:t>8</w:t>
            </w:r>
          </w:p>
        </w:tc>
      </w:tr>
      <w:tr w:rsidR="00673BFD" w:rsidRPr="00A721EB" w:rsidTr="00002C2A">
        <w:trPr>
          <w:trHeight w:val="300"/>
          <w:tblHeader/>
        </w:trPr>
        <w:tc>
          <w:tcPr>
            <w:tcW w:w="6394" w:type="dxa"/>
            <w:shd w:val="pct25" w:color="auto" w:fill="auto"/>
            <w:noWrap/>
            <w:vAlign w:val="bottom"/>
          </w:tcPr>
          <w:p w:rsidR="00673BFD" w:rsidRPr="00A72BED" w:rsidRDefault="00673BFD" w:rsidP="00673BFD">
            <w:pPr>
              <w:spacing w:line="240" w:lineRule="auto"/>
              <w:jc w:val="left"/>
              <w:rPr>
                <w:rFonts w:ascii="Calibri" w:hAnsi="Calibri"/>
                <w:b/>
                <w:color w:val="000000"/>
                <w:sz w:val="18"/>
                <w:szCs w:val="18"/>
                <w:lang w:val="sl-SI" w:eastAsia="sl-SI"/>
              </w:rPr>
            </w:pPr>
            <w:r w:rsidRPr="00A72BED">
              <w:rPr>
                <w:rFonts w:ascii="Calibri" w:hAnsi="Calibri"/>
                <w:b/>
                <w:color w:val="000000"/>
                <w:sz w:val="18"/>
                <w:szCs w:val="18"/>
                <w:lang w:val="sl-SI" w:eastAsia="sl-SI"/>
              </w:rPr>
              <w:t>Oznaka in naziv AOP</w:t>
            </w:r>
            <w:r w:rsidR="00A41641" w:rsidRPr="00A72BED">
              <w:rPr>
                <w:rFonts w:ascii="Calibri" w:hAnsi="Calibri"/>
                <w:b/>
                <w:color w:val="000000"/>
                <w:sz w:val="18"/>
                <w:szCs w:val="18"/>
                <w:lang w:val="sl-SI" w:eastAsia="sl-SI"/>
              </w:rPr>
              <w:t>/država/občina</w:t>
            </w:r>
          </w:p>
        </w:tc>
        <w:tc>
          <w:tcPr>
            <w:tcW w:w="2428" w:type="dxa"/>
            <w:shd w:val="pct25" w:color="auto" w:fill="auto"/>
            <w:noWrap/>
            <w:vAlign w:val="bottom"/>
          </w:tcPr>
          <w:p w:rsidR="00673BFD" w:rsidRPr="00A72BED" w:rsidRDefault="00673BFD" w:rsidP="00673BFD">
            <w:pPr>
              <w:spacing w:line="240" w:lineRule="auto"/>
              <w:jc w:val="center"/>
              <w:rPr>
                <w:rFonts w:ascii="Calibri" w:hAnsi="Calibri"/>
                <w:b/>
                <w:color w:val="000000"/>
                <w:sz w:val="18"/>
                <w:szCs w:val="18"/>
                <w:lang w:val="sl-SI" w:eastAsia="sl-SI"/>
              </w:rPr>
            </w:pPr>
            <w:r w:rsidRPr="00A72BED">
              <w:rPr>
                <w:rFonts w:ascii="Calibri" w:hAnsi="Calibri"/>
                <w:b/>
                <w:color w:val="000000"/>
                <w:sz w:val="18"/>
                <w:szCs w:val="18"/>
                <w:lang w:val="sl-SI" w:eastAsia="sl-SI"/>
              </w:rPr>
              <w:t>(</w:t>
            </w:r>
            <w:r w:rsidR="001A3F4D">
              <w:rPr>
                <w:rFonts w:ascii="Calibri" w:hAnsi="Calibri"/>
                <w:b/>
                <w:color w:val="000000"/>
                <w:sz w:val="18"/>
                <w:szCs w:val="18"/>
                <w:lang w:val="sl-SI" w:eastAsia="sl-SI"/>
              </w:rPr>
              <w:t>€</w:t>
            </w:r>
            <w:r w:rsidRPr="00A72BED">
              <w:rPr>
                <w:rFonts w:ascii="Calibri" w:hAnsi="Calibri"/>
                <w:b/>
                <w:color w:val="000000"/>
                <w:sz w:val="18"/>
                <w:szCs w:val="18"/>
                <w:lang w:val="sl-SI" w:eastAsia="sl-SI"/>
              </w:rPr>
              <w:t>)</w:t>
            </w:r>
          </w:p>
        </w:tc>
        <w:tc>
          <w:tcPr>
            <w:tcW w:w="1276" w:type="dxa"/>
            <w:shd w:val="pct25" w:color="auto" w:fill="auto"/>
            <w:noWrap/>
            <w:vAlign w:val="bottom"/>
          </w:tcPr>
          <w:p w:rsidR="00673BFD" w:rsidRPr="00A72BED" w:rsidRDefault="00673BFD" w:rsidP="00673BFD">
            <w:pPr>
              <w:spacing w:line="240" w:lineRule="auto"/>
              <w:jc w:val="center"/>
              <w:rPr>
                <w:rFonts w:ascii="Calibri" w:hAnsi="Calibri"/>
                <w:b/>
                <w:color w:val="000000"/>
                <w:sz w:val="18"/>
                <w:szCs w:val="18"/>
                <w:lang w:val="sl-SI" w:eastAsia="sl-SI"/>
              </w:rPr>
            </w:pPr>
            <w:r w:rsidRPr="00A72BED">
              <w:rPr>
                <w:rFonts w:ascii="Calibri" w:hAnsi="Calibri"/>
                <w:b/>
                <w:color w:val="000000"/>
                <w:sz w:val="18"/>
                <w:szCs w:val="18"/>
                <w:lang w:val="sl-SI" w:eastAsia="sl-SI"/>
              </w:rPr>
              <w:t>%</w:t>
            </w:r>
          </w:p>
        </w:tc>
      </w:tr>
      <w:tr w:rsidR="00673BFD" w:rsidRPr="00A721EB" w:rsidTr="00002C2A">
        <w:trPr>
          <w:trHeight w:val="300"/>
          <w:tblHeader/>
        </w:trPr>
        <w:tc>
          <w:tcPr>
            <w:tcW w:w="6394" w:type="dxa"/>
            <w:shd w:val="pct25" w:color="auto" w:fill="auto"/>
            <w:noWrap/>
            <w:vAlign w:val="bottom"/>
          </w:tcPr>
          <w:p w:rsidR="00673BFD" w:rsidRPr="00A72BED" w:rsidRDefault="00673BFD" w:rsidP="00673BFD">
            <w:pPr>
              <w:spacing w:line="240" w:lineRule="auto"/>
              <w:jc w:val="center"/>
              <w:rPr>
                <w:rFonts w:ascii="Calibri" w:hAnsi="Calibri"/>
                <w:b/>
                <w:bCs/>
                <w:color w:val="000000"/>
                <w:sz w:val="18"/>
                <w:szCs w:val="18"/>
                <w:lang w:eastAsia="sl-SI"/>
              </w:rPr>
            </w:pPr>
            <w:r w:rsidRPr="00A72BED">
              <w:rPr>
                <w:rFonts w:ascii="Calibri" w:hAnsi="Calibri"/>
                <w:b/>
                <w:bCs/>
                <w:color w:val="000000"/>
                <w:sz w:val="18"/>
                <w:szCs w:val="18"/>
                <w:lang w:eastAsia="sl-SI"/>
              </w:rPr>
              <w:t>1</w:t>
            </w:r>
          </w:p>
        </w:tc>
        <w:tc>
          <w:tcPr>
            <w:tcW w:w="2428" w:type="dxa"/>
            <w:shd w:val="pct25" w:color="auto" w:fill="auto"/>
            <w:noWrap/>
            <w:vAlign w:val="bottom"/>
          </w:tcPr>
          <w:p w:rsidR="00673BFD" w:rsidRPr="00A72BED" w:rsidRDefault="00673BFD" w:rsidP="00673BFD">
            <w:pPr>
              <w:spacing w:line="240" w:lineRule="auto"/>
              <w:jc w:val="center"/>
              <w:rPr>
                <w:rFonts w:ascii="Calibri" w:hAnsi="Calibri"/>
                <w:b/>
                <w:bCs/>
                <w:color w:val="000000"/>
                <w:sz w:val="18"/>
                <w:szCs w:val="18"/>
                <w:lang w:eastAsia="sl-SI"/>
              </w:rPr>
            </w:pPr>
            <w:r w:rsidRPr="00A72BED">
              <w:rPr>
                <w:rFonts w:ascii="Calibri" w:hAnsi="Calibri"/>
                <w:b/>
                <w:bCs/>
                <w:color w:val="000000"/>
                <w:sz w:val="18"/>
                <w:szCs w:val="18"/>
                <w:lang w:eastAsia="sl-SI"/>
              </w:rPr>
              <w:t>2</w:t>
            </w:r>
          </w:p>
        </w:tc>
        <w:tc>
          <w:tcPr>
            <w:tcW w:w="1276" w:type="dxa"/>
            <w:tcBorders>
              <w:bottom w:val="single" w:sz="4" w:space="0" w:color="auto"/>
            </w:tcBorders>
            <w:shd w:val="pct25" w:color="auto" w:fill="auto"/>
            <w:noWrap/>
            <w:vAlign w:val="bottom"/>
          </w:tcPr>
          <w:p w:rsidR="00673BFD" w:rsidRPr="00A72BED" w:rsidRDefault="00673BFD" w:rsidP="00673BFD">
            <w:pPr>
              <w:spacing w:line="240" w:lineRule="auto"/>
              <w:jc w:val="center"/>
              <w:rPr>
                <w:rFonts w:ascii="Calibri" w:hAnsi="Calibri"/>
                <w:b/>
                <w:bCs/>
                <w:sz w:val="18"/>
                <w:szCs w:val="18"/>
                <w:lang w:eastAsia="sl-SI"/>
              </w:rPr>
            </w:pPr>
            <w:r w:rsidRPr="00A72BED">
              <w:rPr>
                <w:rFonts w:ascii="Calibri" w:hAnsi="Calibri"/>
                <w:b/>
                <w:bCs/>
                <w:sz w:val="18"/>
                <w:szCs w:val="18"/>
                <w:lang w:eastAsia="sl-SI"/>
              </w:rPr>
              <w:t>3</w:t>
            </w:r>
          </w:p>
        </w:tc>
      </w:tr>
      <w:tr w:rsidR="00BD0399" w:rsidRPr="007008DB" w:rsidTr="002D5A63">
        <w:trPr>
          <w:trHeight w:val="300"/>
        </w:trPr>
        <w:tc>
          <w:tcPr>
            <w:tcW w:w="6394" w:type="dxa"/>
            <w:shd w:val="clear" w:color="auto" w:fill="auto"/>
            <w:noWrap/>
            <w:vAlign w:val="bottom"/>
            <w:hideMark/>
          </w:tcPr>
          <w:p w:rsidR="00BD0399" w:rsidRPr="007008DB" w:rsidRDefault="00BD0399" w:rsidP="00673BFD">
            <w:pPr>
              <w:spacing w:line="240" w:lineRule="auto"/>
              <w:rPr>
                <w:rFonts w:ascii="Calibri" w:hAnsi="Calibri"/>
                <w:b/>
                <w:bCs/>
                <w:color w:val="000000"/>
                <w:sz w:val="18"/>
                <w:szCs w:val="18"/>
                <w:lang w:eastAsia="sl-SI"/>
              </w:rPr>
            </w:pPr>
            <w:r w:rsidRPr="007008DB">
              <w:rPr>
                <w:rFonts w:ascii="Calibri" w:hAnsi="Calibri"/>
                <w:b/>
                <w:bCs/>
                <w:color w:val="000000"/>
                <w:sz w:val="18"/>
                <w:szCs w:val="18"/>
                <w:lang w:eastAsia="sl-SI"/>
              </w:rPr>
              <w:t>900-Sedanja vrednost neopredmetenih sredstev in dolgoročnih aktivnih časovnih razmejitev</w:t>
            </w:r>
          </w:p>
        </w:tc>
        <w:tc>
          <w:tcPr>
            <w:tcW w:w="2428" w:type="dxa"/>
            <w:shd w:val="clear" w:color="auto" w:fill="auto"/>
            <w:noWrap/>
            <w:vAlign w:val="bottom"/>
          </w:tcPr>
          <w:p w:rsidR="00BD0399" w:rsidRPr="00F31068" w:rsidRDefault="00BD0399" w:rsidP="002D5A63">
            <w:pPr>
              <w:spacing w:line="240" w:lineRule="auto"/>
              <w:jc w:val="right"/>
              <w:rPr>
                <w:rFonts w:ascii="Calibri" w:hAnsi="Calibri"/>
                <w:b/>
                <w:bCs/>
                <w:sz w:val="18"/>
                <w:szCs w:val="18"/>
                <w:lang w:eastAsia="sl-SI"/>
              </w:rPr>
            </w:pPr>
            <w:r w:rsidRPr="00F31068">
              <w:rPr>
                <w:rFonts w:ascii="Calibri" w:hAnsi="Calibri" w:cs="Calibri"/>
                <w:b/>
                <w:bCs/>
                <w:sz w:val="18"/>
                <w:szCs w:val="18"/>
                <w:lang w:val="sl-SI" w:eastAsia="sl-SI"/>
              </w:rPr>
              <w:t xml:space="preserve">154.447.295 </w:t>
            </w:r>
          </w:p>
        </w:tc>
        <w:tc>
          <w:tcPr>
            <w:tcW w:w="1276" w:type="dxa"/>
            <w:shd w:val="clear" w:color="auto" w:fill="auto"/>
            <w:noWrap/>
            <w:vAlign w:val="bottom"/>
            <w:hideMark/>
          </w:tcPr>
          <w:p w:rsidR="00BD0399" w:rsidRPr="00F31068" w:rsidRDefault="00BD0399" w:rsidP="002D5A63">
            <w:pPr>
              <w:spacing w:line="240" w:lineRule="auto"/>
              <w:jc w:val="right"/>
              <w:rPr>
                <w:rFonts w:ascii="Calibri" w:hAnsi="Calibri"/>
                <w:b/>
                <w:bCs/>
                <w:sz w:val="18"/>
                <w:szCs w:val="18"/>
                <w:lang w:eastAsia="sl-SI"/>
              </w:rPr>
            </w:pPr>
          </w:p>
        </w:tc>
      </w:tr>
      <w:tr w:rsidR="00BD0399" w:rsidRPr="007008DB" w:rsidTr="002D5A63">
        <w:trPr>
          <w:trHeight w:val="300"/>
        </w:trPr>
        <w:tc>
          <w:tcPr>
            <w:tcW w:w="6394" w:type="dxa"/>
            <w:shd w:val="clear" w:color="auto" w:fill="auto"/>
            <w:noWrap/>
            <w:vAlign w:val="bottom"/>
            <w:hideMark/>
          </w:tcPr>
          <w:p w:rsidR="00BD0399" w:rsidRPr="007008DB" w:rsidRDefault="00BD0399" w:rsidP="00673BFD">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država</w:t>
            </w:r>
          </w:p>
        </w:tc>
        <w:tc>
          <w:tcPr>
            <w:tcW w:w="2428" w:type="dxa"/>
            <w:shd w:val="clear" w:color="auto" w:fill="auto"/>
            <w:noWrap/>
            <w:vAlign w:val="bottom"/>
          </w:tcPr>
          <w:p w:rsidR="00BD0399" w:rsidRPr="00F31068" w:rsidRDefault="00BD0399" w:rsidP="002D5A63">
            <w:pPr>
              <w:spacing w:line="240" w:lineRule="auto"/>
              <w:jc w:val="right"/>
              <w:rPr>
                <w:rFonts w:ascii="Calibri" w:hAnsi="Calibri"/>
                <w:sz w:val="18"/>
                <w:szCs w:val="18"/>
                <w:lang w:eastAsia="sl-SI"/>
              </w:rPr>
            </w:pPr>
            <w:r w:rsidRPr="00F31068">
              <w:rPr>
                <w:rFonts w:ascii="Calibri" w:hAnsi="Calibri" w:cs="Calibri"/>
                <w:sz w:val="18"/>
                <w:szCs w:val="18"/>
                <w:lang w:val="sl-SI" w:eastAsia="sl-SI"/>
              </w:rPr>
              <w:t xml:space="preserve">125.442.145 </w:t>
            </w:r>
          </w:p>
        </w:tc>
        <w:tc>
          <w:tcPr>
            <w:tcW w:w="1276" w:type="dxa"/>
            <w:shd w:val="clear" w:color="auto" w:fill="auto"/>
            <w:noWrap/>
            <w:vAlign w:val="bottom"/>
            <w:hideMark/>
          </w:tcPr>
          <w:p w:rsidR="00BD0399" w:rsidRPr="00F31068" w:rsidRDefault="00BD0399" w:rsidP="002D5A63">
            <w:pPr>
              <w:spacing w:line="240" w:lineRule="auto"/>
              <w:jc w:val="right"/>
              <w:rPr>
                <w:rFonts w:ascii="Calibri" w:hAnsi="Calibri"/>
                <w:sz w:val="18"/>
                <w:szCs w:val="18"/>
                <w:lang w:eastAsia="sl-SI"/>
              </w:rPr>
            </w:pPr>
            <w:r w:rsidRPr="00F31068">
              <w:rPr>
                <w:rFonts w:ascii="Calibri" w:hAnsi="Calibri" w:cs="Calibri"/>
                <w:sz w:val="18"/>
                <w:szCs w:val="18"/>
                <w:lang w:val="sl-SI" w:eastAsia="sl-SI"/>
              </w:rPr>
              <w:t>81,22</w:t>
            </w:r>
          </w:p>
        </w:tc>
      </w:tr>
      <w:tr w:rsidR="00BD0399" w:rsidRPr="007008DB" w:rsidTr="002D5A63">
        <w:trPr>
          <w:trHeight w:val="300"/>
        </w:trPr>
        <w:tc>
          <w:tcPr>
            <w:tcW w:w="6394" w:type="dxa"/>
            <w:shd w:val="clear" w:color="auto" w:fill="auto"/>
            <w:noWrap/>
            <w:vAlign w:val="bottom"/>
            <w:hideMark/>
          </w:tcPr>
          <w:p w:rsidR="00BD0399" w:rsidRPr="007008DB" w:rsidRDefault="00BD0399" w:rsidP="00BC0D29">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občin</w:t>
            </w:r>
            <w:r>
              <w:rPr>
                <w:rFonts w:ascii="Calibri" w:hAnsi="Calibri"/>
                <w:color w:val="000000"/>
                <w:sz w:val="18"/>
                <w:szCs w:val="18"/>
                <w:lang w:eastAsia="sl-SI"/>
              </w:rPr>
              <w:t>e</w:t>
            </w:r>
          </w:p>
        </w:tc>
        <w:tc>
          <w:tcPr>
            <w:tcW w:w="2428" w:type="dxa"/>
            <w:shd w:val="clear" w:color="auto" w:fill="auto"/>
            <w:noWrap/>
            <w:vAlign w:val="bottom"/>
          </w:tcPr>
          <w:p w:rsidR="00BD0399" w:rsidRPr="00F3106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 xml:space="preserve">29.005.150 </w:t>
            </w:r>
          </w:p>
        </w:tc>
        <w:tc>
          <w:tcPr>
            <w:tcW w:w="1276" w:type="dxa"/>
            <w:shd w:val="clear" w:color="auto" w:fill="auto"/>
            <w:noWrap/>
            <w:vAlign w:val="bottom"/>
            <w:hideMark/>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18,78</w:t>
            </w:r>
          </w:p>
        </w:tc>
      </w:tr>
      <w:tr w:rsidR="00BD0399" w:rsidRPr="007008DB" w:rsidTr="002D5A63">
        <w:trPr>
          <w:trHeight w:val="300"/>
        </w:trPr>
        <w:tc>
          <w:tcPr>
            <w:tcW w:w="6394" w:type="dxa"/>
            <w:shd w:val="clear" w:color="auto" w:fill="auto"/>
            <w:noWrap/>
            <w:vAlign w:val="bottom"/>
            <w:hideMark/>
          </w:tcPr>
          <w:p w:rsidR="00BD0399" w:rsidRPr="007008DB" w:rsidRDefault="00BD0399" w:rsidP="00673BFD">
            <w:pPr>
              <w:spacing w:line="240" w:lineRule="auto"/>
              <w:rPr>
                <w:rFonts w:ascii="Calibri" w:hAnsi="Calibri"/>
                <w:b/>
                <w:bCs/>
                <w:color w:val="000000"/>
                <w:sz w:val="18"/>
                <w:szCs w:val="18"/>
                <w:lang w:eastAsia="sl-SI"/>
              </w:rPr>
            </w:pPr>
            <w:r w:rsidRPr="007008DB">
              <w:rPr>
                <w:rFonts w:ascii="Calibri" w:hAnsi="Calibri"/>
                <w:b/>
                <w:bCs/>
                <w:color w:val="000000"/>
                <w:sz w:val="18"/>
                <w:szCs w:val="18"/>
                <w:lang w:eastAsia="sl-SI"/>
              </w:rPr>
              <w:t>901-Nabavna vrednost neopredmetenih sredstev in dolgoročnih aktivnih časovnih razmejitev</w:t>
            </w:r>
          </w:p>
        </w:tc>
        <w:tc>
          <w:tcPr>
            <w:tcW w:w="2428" w:type="dxa"/>
            <w:shd w:val="clear" w:color="auto" w:fill="auto"/>
            <w:noWrap/>
            <w:vAlign w:val="bottom"/>
          </w:tcPr>
          <w:p w:rsidR="00BD0399" w:rsidRPr="00834708" w:rsidRDefault="00BD0399" w:rsidP="002D5A63">
            <w:pPr>
              <w:spacing w:line="240" w:lineRule="auto"/>
              <w:jc w:val="right"/>
              <w:rPr>
                <w:rFonts w:ascii="Calibri" w:hAnsi="Calibri"/>
                <w:b/>
                <w:bCs/>
                <w:sz w:val="18"/>
                <w:szCs w:val="18"/>
                <w:lang w:eastAsia="sl-SI"/>
              </w:rPr>
            </w:pPr>
            <w:r w:rsidRPr="00972554">
              <w:rPr>
                <w:rFonts w:ascii="Calibri" w:hAnsi="Calibri" w:cs="Calibri"/>
                <w:b/>
                <w:bCs/>
                <w:sz w:val="18"/>
                <w:szCs w:val="18"/>
                <w:lang w:val="sl-SI" w:eastAsia="sl-SI"/>
              </w:rPr>
              <w:t xml:space="preserve">738.049.607 </w:t>
            </w:r>
          </w:p>
        </w:tc>
        <w:tc>
          <w:tcPr>
            <w:tcW w:w="1276" w:type="dxa"/>
            <w:shd w:val="clear" w:color="auto" w:fill="auto"/>
            <w:noWrap/>
            <w:vAlign w:val="bottom"/>
            <w:hideMark/>
          </w:tcPr>
          <w:p w:rsidR="00BD0399" w:rsidRPr="00871D79" w:rsidRDefault="00BD0399" w:rsidP="002D5A63">
            <w:pPr>
              <w:spacing w:line="240" w:lineRule="auto"/>
              <w:jc w:val="right"/>
              <w:rPr>
                <w:rFonts w:ascii="Calibri" w:hAnsi="Calibri"/>
                <w:b/>
                <w:bCs/>
                <w:sz w:val="18"/>
                <w:szCs w:val="18"/>
                <w:lang w:eastAsia="sl-SI"/>
              </w:rPr>
            </w:pPr>
          </w:p>
        </w:tc>
      </w:tr>
      <w:tr w:rsidR="00BD0399" w:rsidRPr="007008DB" w:rsidTr="002D5A63">
        <w:trPr>
          <w:trHeight w:val="300"/>
        </w:trPr>
        <w:tc>
          <w:tcPr>
            <w:tcW w:w="6394" w:type="dxa"/>
            <w:shd w:val="clear" w:color="auto" w:fill="auto"/>
            <w:noWrap/>
            <w:vAlign w:val="bottom"/>
            <w:hideMark/>
          </w:tcPr>
          <w:p w:rsidR="00BD0399" w:rsidRPr="007008DB" w:rsidRDefault="00BD0399" w:rsidP="00673BFD">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država</w:t>
            </w:r>
          </w:p>
        </w:tc>
        <w:tc>
          <w:tcPr>
            <w:tcW w:w="2428" w:type="dxa"/>
            <w:shd w:val="clear" w:color="auto" w:fill="auto"/>
            <w:noWrap/>
            <w:vAlign w:val="bottom"/>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 xml:space="preserve">637.112.551 </w:t>
            </w:r>
          </w:p>
        </w:tc>
        <w:tc>
          <w:tcPr>
            <w:tcW w:w="1276" w:type="dxa"/>
            <w:shd w:val="clear" w:color="auto" w:fill="auto"/>
            <w:noWrap/>
            <w:vAlign w:val="bottom"/>
            <w:hideMark/>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86,32</w:t>
            </w:r>
          </w:p>
        </w:tc>
      </w:tr>
      <w:tr w:rsidR="00BD0399" w:rsidRPr="007008DB" w:rsidTr="002D5A63">
        <w:trPr>
          <w:trHeight w:val="300"/>
        </w:trPr>
        <w:tc>
          <w:tcPr>
            <w:tcW w:w="6394" w:type="dxa"/>
            <w:shd w:val="clear" w:color="auto" w:fill="auto"/>
            <w:noWrap/>
            <w:vAlign w:val="bottom"/>
            <w:hideMark/>
          </w:tcPr>
          <w:p w:rsidR="00BD0399" w:rsidRPr="007008DB" w:rsidRDefault="00BD0399" w:rsidP="00BC0D29">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občin</w:t>
            </w:r>
            <w:r>
              <w:rPr>
                <w:rFonts w:ascii="Calibri" w:hAnsi="Calibri"/>
                <w:color w:val="000000"/>
                <w:sz w:val="18"/>
                <w:szCs w:val="18"/>
                <w:lang w:eastAsia="sl-SI"/>
              </w:rPr>
              <w:t>e</w:t>
            </w:r>
          </w:p>
        </w:tc>
        <w:tc>
          <w:tcPr>
            <w:tcW w:w="2428" w:type="dxa"/>
            <w:shd w:val="clear" w:color="auto" w:fill="auto"/>
            <w:noWrap/>
            <w:vAlign w:val="bottom"/>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 xml:space="preserve">100.937.056 </w:t>
            </w:r>
          </w:p>
        </w:tc>
        <w:tc>
          <w:tcPr>
            <w:tcW w:w="1276" w:type="dxa"/>
            <w:shd w:val="clear" w:color="auto" w:fill="auto"/>
            <w:noWrap/>
            <w:vAlign w:val="bottom"/>
            <w:hideMark/>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13,68</w:t>
            </w:r>
          </w:p>
        </w:tc>
      </w:tr>
      <w:tr w:rsidR="00BD0399" w:rsidRPr="007008DB" w:rsidTr="002D5A63">
        <w:trPr>
          <w:trHeight w:val="300"/>
        </w:trPr>
        <w:tc>
          <w:tcPr>
            <w:tcW w:w="6394" w:type="dxa"/>
            <w:shd w:val="clear" w:color="auto" w:fill="auto"/>
            <w:noWrap/>
            <w:vAlign w:val="bottom"/>
            <w:hideMark/>
          </w:tcPr>
          <w:p w:rsidR="00BD0399" w:rsidRPr="007008DB" w:rsidRDefault="00BD0399" w:rsidP="00673BFD">
            <w:pPr>
              <w:spacing w:line="240" w:lineRule="auto"/>
              <w:rPr>
                <w:rFonts w:ascii="Calibri" w:hAnsi="Calibri"/>
                <w:b/>
                <w:bCs/>
                <w:color w:val="000000"/>
                <w:sz w:val="18"/>
                <w:szCs w:val="18"/>
                <w:lang w:eastAsia="sl-SI"/>
              </w:rPr>
            </w:pPr>
            <w:r w:rsidRPr="007008DB">
              <w:rPr>
                <w:rFonts w:ascii="Calibri" w:hAnsi="Calibri"/>
                <w:b/>
                <w:bCs/>
                <w:color w:val="000000"/>
                <w:sz w:val="18"/>
                <w:szCs w:val="18"/>
                <w:lang w:eastAsia="sl-SI"/>
              </w:rPr>
              <w:t>902-Popravki vrednosti neopredmetenih sredstev</w:t>
            </w:r>
          </w:p>
        </w:tc>
        <w:tc>
          <w:tcPr>
            <w:tcW w:w="2428" w:type="dxa"/>
            <w:shd w:val="clear" w:color="auto" w:fill="auto"/>
            <w:noWrap/>
            <w:vAlign w:val="bottom"/>
          </w:tcPr>
          <w:p w:rsidR="00BD0399" w:rsidRPr="00834708" w:rsidRDefault="00BD0399" w:rsidP="002D5A63">
            <w:pPr>
              <w:spacing w:line="240" w:lineRule="auto"/>
              <w:jc w:val="right"/>
              <w:rPr>
                <w:rFonts w:ascii="Calibri" w:hAnsi="Calibri"/>
                <w:b/>
                <w:bCs/>
                <w:sz w:val="18"/>
                <w:szCs w:val="18"/>
                <w:lang w:eastAsia="sl-SI"/>
              </w:rPr>
            </w:pPr>
            <w:r w:rsidRPr="00972554">
              <w:rPr>
                <w:rFonts w:ascii="Calibri" w:hAnsi="Calibri" w:cs="Calibri"/>
                <w:b/>
                <w:bCs/>
                <w:sz w:val="18"/>
                <w:szCs w:val="18"/>
                <w:lang w:val="sl-SI" w:eastAsia="sl-SI"/>
              </w:rPr>
              <w:t xml:space="preserve">583.602.312 </w:t>
            </w:r>
          </w:p>
        </w:tc>
        <w:tc>
          <w:tcPr>
            <w:tcW w:w="1276" w:type="dxa"/>
            <w:shd w:val="clear" w:color="auto" w:fill="auto"/>
            <w:noWrap/>
            <w:vAlign w:val="bottom"/>
            <w:hideMark/>
          </w:tcPr>
          <w:p w:rsidR="00BD0399" w:rsidRPr="00871D79" w:rsidRDefault="00BD0399" w:rsidP="002D5A63">
            <w:pPr>
              <w:spacing w:line="240" w:lineRule="auto"/>
              <w:jc w:val="right"/>
              <w:rPr>
                <w:rFonts w:ascii="Calibri" w:hAnsi="Calibri"/>
                <w:b/>
                <w:bCs/>
                <w:sz w:val="18"/>
                <w:szCs w:val="18"/>
                <w:lang w:eastAsia="sl-SI"/>
              </w:rPr>
            </w:pPr>
          </w:p>
        </w:tc>
      </w:tr>
      <w:tr w:rsidR="00BD0399" w:rsidRPr="007008DB" w:rsidTr="002D5A63">
        <w:trPr>
          <w:trHeight w:val="300"/>
        </w:trPr>
        <w:tc>
          <w:tcPr>
            <w:tcW w:w="6394" w:type="dxa"/>
            <w:shd w:val="clear" w:color="auto" w:fill="auto"/>
            <w:noWrap/>
            <w:vAlign w:val="bottom"/>
            <w:hideMark/>
          </w:tcPr>
          <w:p w:rsidR="00BD0399" w:rsidRPr="007008DB" w:rsidRDefault="00BD0399" w:rsidP="00673BFD">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država</w:t>
            </w:r>
          </w:p>
        </w:tc>
        <w:tc>
          <w:tcPr>
            <w:tcW w:w="2428" w:type="dxa"/>
            <w:shd w:val="clear" w:color="auto" w:fill="auto"/>
            <w:noWrap/>
            <w:vAlign w:val="bottom"/>
          </w:tcPr>
          <w:p w:rsidR="00BD0399" w:rsidRPr="00871D79"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 xml:space="preserve">511.670.406 </w:t>
            </w:r>
          </w:p>
        </w:tc>
        <w:tc>
          <w:tcPr>
            <w:tcW w:w="1276" w:type="dxa"/>
            <w:shd w:val="clear" w:color="auto" w:fill="auto"/>
            <w:noWrap/>
            <w:vAlign w:val="bottom"/>
            <w:hideMark/>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87,67</w:t>
            </w:r>
          </w:p>
        </w:tc>
      </w:tr>
      <w:tr w:rsidR="00BD0399" w:rsidRPr="007008DB" w:rsidTr="002D5A63">
        <w:trPr>
          <w:trHeight w:val="300"/>
        </w:trPr>
        <w:tc>
          <w:tcPr>
            <w:tcW w:w="6394" w:type="dxa"/>
            <w:shd w:val="clear" w:color="auto" w:fill="auto"/>
            <w:noWrap/>
            <w:vAlign w:val="bottom"/>
            <w:hideMark/>
          </w:tcPr>
          <w:p w:rsidR="00BD0399" w:rsidRPr="007008DB" w:rsidRDefault="00BD0399" w:rsidP="00BC0D29">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občin</w:t>
            </w:r>
            <w:r>
              <w:rPr>
                <w:rFonts w:ascii="Calibri" w:hAnsi="Calibri"/>
                <w:color w:val="000000"/>
                <w:sz w:val="18"/>
                <w:szCs w:val="18"/>
                <w:lang w:eastAsia="sl-SI"/>
              </w:rPr>
              <w:t>e</w:t>
            </w:r>
          </w:p>
        </w:tc>
        <w:tc>
          <w:tcPr>
            <w:tcW w:w="2428" w:type="dxa"/>
            <w:shd w:val="clear" w:color="auto" w:fill="auto"/>
            <w:noWrap/>
            <w:vAlign w:val="bottom"/>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 xml:space="preserve">71.931.906 </w:t>
            </w:r>
          </w:p>
        </w:tc>
        <w:tc>
          <w:tcPr>
            <w:tcW w:w="1276" w:type="dxa"/>
            <w:shd w:val="clear" w:color="auto" w:fill="auto"/>
            <w:noWrap/>
            <w:vAlign w:val="bottom"/>
            <w:hideMark/>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12,33</w:t>
            </w:r>
          </w:p>
        </w:tc>
      </w:tr>
      <w:tr w:rsidR="00BD0399" w:rsidRPr="007008DB" w:rsidTr="002D5A63">
        <w:trPr>
          <w:trHeight w:val="300"/>
        </w:trPr>
        <w:tc>
          <w:tcPr>
            <w:tcW w:w="6394" w:type="dxa"/>
            <w:shd w:val="clear" w:color="auto" w:fill="auto"/>
            <w:noWrap/>
            <w:vAlign w:val="bottom"/>
            <w:hideMark/>
          </w:tcPr>
          <w:p w:rsidR="00BD0399" w:rsidRPr="007008DB" w:rsidRDefault="00BD0399" w:rsidP="00673BFD">
            <w:pPr>
              <w:spacing w:line="240" w:lineRule="auto"/>
              <w:rPr>
                <w:rFonts w:ascii="Calibri" w:hAnsi="Calibri"/>
                <w:b/>
                <w:bCs/>
                <w:color w:val="000000"/>
                <w:sz w:val="18"/>
                <w:szCs w:val="18"/>
                <w:lang w:eastAsia="sl-SI"/>
              </w:rPr>
            </w:pPr>
            <w:r w:rsidRPr="007008DB">
              <w:rPr>
                <w:rFonts w:ascii="Calibri" w:hAnsi="Calibri"/>
                <w:b/>
                <w:bCs/>
                <w:color w:val="000000"/>
                <w:sz w:val="18"/>
                <w:szCs w:val="18"/>
                <w:lang w:eastAsia="sl-SI"/>
              </w:rPr>
              <w:t>903-Sedanja vrednost nepremičnin</w:t>
            </w:r>
          </w:p>
        </w:tc>
        <w:tc>
          <w:tcPr>
            <w:tcW w:w="2428" w:type="dxa"/>
            <w:shd w:val="clear" w:color="auto" w:fill="auto"/>
            <w:noWrap/>
            <w:vAlign w:val="bottom"/>
          </w:tcPr>
          <w:p w:rsidR="00BD0399" w:rsidRPr="00834708" w:rsidRDefault="00BD0399" w:rsidP="002D5A63">
            <w:pPr>
              <w:spacing w:line="240" w:lineRule="auto"/>
              <w:jc w:val="right"/>
              <w:rPr>
                <w:rFonts w:ascii="Calibri" w:hAnsi="Calibri"/>
                <w:b/>
                <w:bCs/>
                <w:sz w:val="18"/>
                <w:szCs w:val="18"/>
                <w:lang w:eastAsia="sl-SI"/>
              </w:rPr>
            </w:pPr>
            <w:r w:rsidRPr="00972554">
              <w:rPr>
                <w:rFonts w:ascii="Calibri" w:hAnsi="Calibri" w:cs="Calibri"/>
                <w:b/>
                <w:bCs/>
                <w:sz w:val="18"/>
                <w:szCs w:val="18"/>
                <w:lang w:val="sl-SI" w:eastAsia="sl-SI"/>
              </w:rPr>
              <w:t xml:space="preserve">21.487.845.568 </w:t>
            </w:r>
          </w:p>
        </w:tc>
        <w:tc>
          <w:tcPr>
            <w:tcW w:w="1276" w:type="dxa"/>
            <w:shd w:val="clear" w:color="auto" w:fill="auto"/>
            <w:noWrap/>
            <w:vAlign w:val="bottom"/>
            <w:hideMark/>
          </w:tcPr>
          <w:p w:rsidR="00BD0399" w:rsidRPr="00871D79" w:rsidRDefault="00BD0399" w:rsidP="002D5A63">
            <w:pPr>
              <w:spacing w:line="240" w:lineRule="auto"/>
              <w:jc w:val="right"/>
              <w:rPr>
                <w:rFonts w:ascii="Calibri" w:hAnsi="Calibri"/>
                <w:b/>
                <w:bCs/>
                <w:sz w:val="18"/>
                <w:szCs w:val="18"/>
                <w:lang w:eastAsia="sl-SI"/>
              </w:rPr>
            </w:pPr>
          </w:p>
        </w:tc>
      </w:tr>
      <w:tr w:rsidR="00BD0399" w:rsidRPr="007008DB" w:rsidTr="002D5A63">
        <w:trPr>
          <w:trHeight w:val="300"/>
        </w:trPr>
        <w:tc>
          <w:tcPr>
            <w:tcW w:w="6394" w:type="dxa"/>
            <w:shd w:val="clear" w:color="auto" w:fill="auto"/>
            <w:noWrap/>
            <w:vAlign w:val="bottom"/>
            <w:hideMark/>
          </w:tcPr>
          <w:p w:rsidR="00BD0399" w:rsidRPr="007008DB" w:rsidRDefault="00BD0399" w:rsidP="00673BFD">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država</w:t>
            </w:r>
          </w:p>
        </w:tc>
        <w:tc>
          <w:tcPr>
            <w:tcW w:w="2428" w:type="dxa"/>
            <w:shd w:val="clear" w:color="auto" w:fill="auto"/>
            <w:noWrap/>
            <w:vAlign w:val="bottom"/>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 xml:space="preserve">8.715.643.840 </w:t>
            </w:r>
          </w:p>
        </w:tc>
        <w:tc>
          <w:tcPr>
            <w:tcW w:w="1276" w:type="dxa"/>
            <w:shd w:val="clear" w:color="auto" w:fill="auto"/>
            <w:noWrap/>
            <w:vAlign w:val="bottom"/>
            <w:hideMark/>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40,56</w:t>
            </w:r>
          </w:p>
        </w:tc>
      </w:tr>
      <w:tr w:rsidR="00BD0399" w:rsidRPr="007008DB" w:rsidTr="002D5A63">
        <w:trPr>
          <w:trHeight w:val="300"/>
        </w:trPr>
        <w:tc>
          <w:tcPr>
            <w:tcW w:w="6394" w:type="dxa"/>
            <w:shd w:val="clear" w:color="auto" w:fill="auto"/>
            <w:noWrap/>
            <w:vAlign w:val="bottom"/>
            <w:hideMark/>
          </w:tcPr>
          <w:p w:rsidR="00BD0399" w:rsidRPr="007008DB" w:rsidRDefault="00BD0399" w:rsidP="00BC0D29">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občin</w:t>
            </w:r>
            <w:r>
              <w:rPr>
                <w:rFonts w:ascii="Calibri" w:hAnsi="Calibri"/>
                <w:color w:val="000000"/>
                <w:sz w:val="18"/>
                <w:szCs w:val="18"/>
                <w:lang w:eastAsia="sl-SI"/>
              </w:rPr>
              <w:t>e</w:t>
            </w:r>
          </w:p>
        </w:tc>
        <w:tc>
          <w:tcPr>
            <w:tcW w:w="2428" w:type="dxa"/>
            <w:shd w:val="clear" w:color="auto" w:fill="auto"/>
            <w:noWrap/>
            <w:vAlign w:val="bottom"/>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 xml:space="preserve">12.772.201.728 </w:t>
            </w:r>
          </w:p>
        </w:tc>
        <w:tc>
          <w:tcPr>
            <w:tcW w:w="1276" w:type="dxa"/>
            <w:shd w:val="clear" w:color="auto" w:fill="auto"/>
            <w:noWrap/>
            <w:vAlign w:val="bottom"/>
            <w:hideMark/>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59,44</w:t>
            </w:r>
          </w:p>
        </w:tc>
      </w:tr>
      <w:tr w:rsidR="00BD0399" w:rsidRPr="007008DB" w:rsidTr="002D5A63">
        <w:trPr>
          <w:trHeight w:val="300"/>
        </w:trPr>
        <w:tc>
          <w:tcPr>
            <w:tcW w:w="6394" w:type="dxa"/>
            <w:shd w:val="clear" w:color="auto" w:fill="auto"/>
            <w:noWrap/>
            <w:vAlign w:val="bottom"/>
            <w:hideMark/>
          </w:tcPr>
          <w:p w:rsidR="00BD0399" w:rsidRPr="007008DB" w:rsidRDefault="00BD0399" w:rsidP="00673BFD">
            <w:pPr>
              <w:spacing w:line="240" w:lineRule="auto"/>
              <w:rPr>
                <w:rFonts w:ascii="Calibri" w:hAnsi="Calibri"/>
                <w:b/>
                <w:bCs/>
                <w:color w:val="000000"/>
                <w:sz w:val="18"/>
                <w:szCs w:val="18"/>
                <w:lang w:eastAsia="sl-SI"/>
              </w:rPr>
            </w:pPr>
            <w:r w:rsidRPr="007008DB">
              <w:rPr>
                <w:rFonts w:ascii="Calibri" w:hAnsi="Calibri"/>
                <w:b/>
                <w:bCs/>
                <w:color w:val="000000"/>
                <w:sz w:val="18"/>
                <w:szCs w:val="18"/>
                <w:lang w:eastAsia="sl-SI"/>
              </w:rPr>
              <w:t>904-Nabavna vrednost nepremičnin</w:t>
            </w:r>
          </w:p>
        </w:tc>
        <w:tc>
          <w:tcPr>
            <w:tcW w:w="2428" w:type="dxa"/>
            <w:shd w:val="clear" w:color="auto" w:fill="auto"/>
            <w:noWrap/>
            <w:vAlign w:val="bottom"/>
          </w:tcPr>
          <w:p w:rsidR="00BD0399" w:rsidRPr="00834708" w:rsidRDefault="00BD0399" w:rsidP="002D5A63">
            <w:pPr>
              <w:spacing w:line="240" w:lineRule="auto"/>
              <w:jc w:val="right"/>
              <w:rPr>
                <w:rFonts w:ascii="Calibri" w:hAnsi="Calibri"/>
                <w:b/>
                <w:bCs/>
                <w:sz w:val="18"/>
                <w:szCs w:val="18"/>
                <w:lang w:eastAsia="sl-SI"/>
              </w:rPr>
            </w:pPr>
            <w:r w:rsidRPr="00972554">
              <w:rPr>
                <w:rFonts w:ascii="Calibri" w:hAnsi="Calibri" w:cs="Calibri"/>
                <w:b/>
                <w:bCs/>
                <w:sz w:val="18"/>
                <w:szCs w:val="18"/>
                <w:lang w:val="sl-SI" w:eastAsia="sl-SI"/>
              </w:rPr>
              <w:t xml:space="preserve">31.881.591.070 </w:t>
            </w:r>
          </w:p>
        </w:tc>
        <w:tc>
          <w:tcPr>
            <w:tcW w:w="1276" w:type="dxa"/>
            <w:shd w:val="clear" w:color="auto" w:fill="auto"/>
            <w:noWrap/>
            <w:vAlign w:val="bottom"/>
            <w:hideMark/>
          </w:tcPr>
          <w:p w:rsidR="00BD0399" w:rsidRPr="00871D79" w:rsidRDefault="00BD0399" w:rsidP="002D5A63">
            <w:pPr>
              <w:spacing w:line="240" w:lineRule="auto"/>
              <w:jc w:val="right"/>
              <w:rPr>
                <w:rFonts w:ascii="Calibri" w:hAnsi="Calibri"/>
                <w:b/>
                <w:bCs/>
                <w:sz w:val="18"/>
                <w:szCs w:val="18"/>
                <w:lang w:eastAsia="sl-SI"/>
              </w:rPr>
            </w:pPr>
          </w:p>
        </w:tc>
      </w:tr>
      <w:tr w:rsidR="00BD0399" w:rsidRPr="007008DB" w:rsidTr="002D5A63">
        <w:trPr>
          <w:trHeight w:val="300"/>
        </w:trPr>
        <w:tc>
          <w:tcPr>
            <w:tcW w:w="6394" w:type="dxa"/>
            <w:shd w:val="clear" w:color="auto" w:fill="auto"/>
            <w:noWrap/>
            <w:vAlign w:val="bottom"/>
            <w:hideMark/>
          </w:tcPr>
          <w:p w:rsidR="00BD0399" w:rsidRPr="007008DB" w:rsidRDefault="00BD0399" w:rsidP="00673BFD">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država</w:t>
            </w:r>
          </w:p>
        </w:tc>
        <w:tc>
          <w:tcPr>
            <w:tcW w:w="2428" w:type="dxa"/>
            <w:shd w:val="clear" w:color="auto" w:fill="auto"/>
            <w:noWrap/>
            <w:vAlign w:val="bottom"/>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 xml:space="preserve">14.427.362.712 </w:t>
            </w:r>
          </w:p>
        </w:tc>
        <w:tc>
          <w:tcPr>
            <w:tcW w:w="1276" w:type="dxa"/>
            <w:shd w:val="clear" w:color="auto" w:fill="auto"/>
            <w:noWrap/>
            <w:vAlign w:val="bottom"/>
            <w:hideMark/>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45,25</w:t>
            </w:r>
          </w:p>
        </w:tc>
      </w:tr>
      <w:tr w:rsidR="00BD0399" w:rsidRPr="007008DB" w:rsidTr="002D5A63">
        <w:trPr>
          <w:trHeight w:val="300"/>
        </w:trPr>
        <w:tc>
          <w:tcPr>
            <w:tcW w:w="6394" w:type="dxa"/>
            <w:shd w:val="clear" w:color="auto" w:fill="auto"/>
            <w:noWrap/>
            <w:vAlign w:val="bottom"/>
            <w:hideMark/>
          </w:tcPr>
          <w:p w:rsidR="00BD0399" w:rsidRPr="007008DB" w:rsidRDefault="00BD0399" w:rsidP="00BC0D29">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občin</w:t>
            </w:r>
            <w:r>
              <w:rPr>
                <w:rFonts w:ascii="Calibri" w:hAnsi="Calibri"/>
                <w:color w:val="000000"/>
                <w:sz w:val="18"/>
                <w:szCs w:val="18"/>
                <w:lang w:eastAsia="sl-SI"/>
              </w:rPr>
              <w:t>e</w:t>
            </w:r>
          </w:p>
        </w:tc>
        <w:tc>
          <w:tcPr>
            <w:tcW w:w="2428" w:type="dxa"/>
            <w:shd w:val="clear" w:color="auto" w:fill="auto"/>
            <w:noWrap/>
            <w:vAlign w:val="bottom"/>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 xml:space="preserve">17.454.228.358 </w:t>
            </w:r>
          </w:p>
        </w:tc>
        <w:tc>
          <w:tcPr>
            <w:tcW w:w="1276" w:type="dxa"/>
            <w:shd w:val="clear" w:color="auto" w:fill="auto"/>
            <w:noWrap/>
            <w:vAlign w:val="bottom"/>
            <w:hideMark/>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54,75</w:t>
            </w:r>
          </w:p>
        </w:tc>
      </w:tr>
      <w:tr w:rsidR="00BD0399" w:rsidRPr="007008DB" w:rsidTr="002D5A63">
        <w:trPr>
          <w:trHeight w:val="300"/>
        </w:trPr>
        <w:tc>
          <w:tcPr>
            <w:tcW w:w="6394" w:type="dxa"/>
            <w:shd w:val="clear" w:color="auto" w:fill="auto"/>
            <w:noWrap/>
            <w:vAlign w:val="bottom"/>
            <w:hideMark/>
          </w:tcPr>
          <w:p w:rsidR="00BD0399" w:rsidRPr="007008DB" w:rsidRDefault="00BD0399" w:rsidP="00673BFD">
            <w:pPr>
              <w:spacing w:line="240" w:lineRule="auto"/>
              <w:rPr>
                <w:rFonts w:ascii="Calibri" w:hAnsi="Calibri"/>
                <w:b/>
                <w:bCs/>
                <w:color w:val="000000"/>
                <w:sz w:val="18"/>
                <w:szCs w:val="18"/>
                <w:lang w:eastAsia="sl-SI"/>
              </w:rPr>
            </w:pPr>
            <w:r w:rsidRPr="007008DB">
              <w:rPr>
                <w:rFonts w:ascii="Calibri" w:hAnsi="Calibri"/>
                <w:b/>
                <w:bCs/>
                <w:color w:val="000000"/>
                <w:sz w:val="18"/>
                <w:szCs w:val="18"/>
                <w:lang w:eastAsia="sl-SI"/>
              </w:rPr>
              <w:t>905-Popravek vrednosti nepremičnin</w:t>
            </w:r>
          </w:p>
        </w:tc>
        <w:tc>
          <w:tcPr>
            <w:tcW w:w="2428" w:type="dxa"/>
            <w:shd w:val="clear" w:color="auto" w:fill="auto"/>
            <w:noWrap/>
            <w:vAlign w:val="bottom"/>
          </w:tcPr>
          <w:p w:rsidR="00BD0399" w:rsidRPr="00834708" w:rsidRDefault="00BD0399" w:rsidP="002D5A63">
            <w:pPr>
              <w:spacing w:line="240" w:lineRule="auto"/>
              <w:jc w:val="right"/>
              <w:rPr>
                <w:rFonts w:ascii="Calibri" w:hAnsi="Calibri"/>
                <w:b/>
                <w:bCs/>
                <w:sz w:val="18"/>
                <w:szCs w:val="18"/>
                <w:lang w:eastAsia="sl-SI"/>
              </w:rPr>
            </w:pPr>
            <w:r w:rsidRPr="00972554">
              <w:rPr>
                <w:rFonts w:ascii="Calibri" w:hAnsi="Calibri" w:cs="Calibri"/>
                <w:b/>
                <w:bCs/>
                <w:sz w:val="18"/>
                <w:szCs w:val="18"/>
                <w:lang w:val="sl-SI" w:eastAsia="sl-SI"/>
              </w:rPr>
              <w:t xml:space="preserve">10.393.745.502 </w:t>
            </w:r>
          </w:p>
        </w:tc>
        <w:tc>
          <w:tcPr>
            <w:tcW w:w="1276" w:type="dxa"/>
            <w:shd w:val="clear" w:color="auto" w:fill="auto"/>
            <w:noWrap/>
            <w:vAlign w:val="bottom"/>
            <w:hideMark/>
          </w:tcPr>
          <w:p w:rsidR="00BD0399" w:rsidRPr="00871D79" w:rsidRDefault="00BD0399" w:rsidP="002D5A63">
            <w:pPr>
              <w:spacing w:line="240" w:lineRule="auto"/>
              <w:jc w:val="right"/>
              <w:rPr>
                <w:rFonts w:ascii="Calibri" w:hAnsi="Calibri"/>
                <w:b/>
                <w:bCs/>
                <w:sz w:val="18"/>
                <w:szCs w:val="18"/>
                <w:lang w:eastAsia="sl-SI"/>
              </w:rPr>
            </w:pPr>
          </w:p>
        </w:tc>
      </w:tr>
      <w:tr w:rsidR="00BD0399" w:rsidRPr="007008DB" w:rsidTr="002D5A63">
        <w:trPr>
          <w:trHeight w:val="300"/>
        </w:trPr>
        <w:tc>
          <w:tcPr>
            <w:tcW w:w="6394" w:type="dxa"/>
            <w:shd w:val="clear" w:color="auto" w:fill="auto"/>
            <w:noWrap/>
            <w:vAlign w:val="bottom"/>
            <w:hideMark/>
          </w:tcPr>
          <w:p w:rsidR="00BD0399" w:rsidRPr="007008DB" w:rsidRDefault="00BD0399" w:rsidP="00673BFD">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država</w:t>
            </w:r>
          </w:p>
        </w:tc>
        <w:tc>
          <w:tcPr>
            <w:tcW w:w="2428" w:type="dxa"/>
            <w:shd w:val="clear" w:color="auto" w:fill="auto"/>
            <w:noWrap/>
            <w:vAlign w:val="bottom"/>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 xml:space="preserve">5.711.718.872 </w:t>
            </w:r>
          </w:p>
        </w:tc>
        <w:tc>
          <w:tcPr>
            <w:tcW w:w="1276" w:type="dxa"/>
            <w:shd w:val="clear" w:color="auto" w:fill="auto"/>
            <w:noWrap/>
            <w:vAlign w:val="bottom"/>
            <w:hideMark/>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54,95</w:t>
            </w:r>
          </w:p>
        </w:tc>
      </w:tr>
      <w:tr w:rsidR="00BD0399" w:rsidRPr="007008DB" w:rsidTr="002D5A63">
        <w:trPr>
          <w:trHeight w:val="300"/>
        </w:trPr>
        <w:tc>
          <w:tcPr>
            <w:tcW w:w="6394" w:type="dxa"/>
            <w:shd w:val="clear" w:color="auto" w:fill="auto"/>
            <w:noWrap/>
            <w:vAlign w:val="bottom"/>
            <w:hideMark/>
          </w:tcPr>
          <w:p w:rsidR="00BD0399" w:rsidRPr="007008DB" w:rsidRDefault="00BD0399" w:rsidP="00BC0D29">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občin</w:t>
            </w:r>
            <w:r>
              <w:rPr>
                <w:rFonts w:ascii="Calibri" w:hAnsi="Calibri"/>
                <w:color w:val="000000"/>
                <w:sz w:val="18"/>
                <w:szCs w:val="18"/>
                <w:lang w:eastAsia="sl-SI"/>
              </w:rPr>
              <w:t>e</w:t>
            </w:r>
          </w:p>
        </w:tc>
        <w:tc>
          <w:tcPr>
            <w:tcW w:w="2428" w:type="dxa"/>
            <w:shd w:val="clear" w:color="auto" w:fill="auto"/>
            <w:noWrap/>
            <w:vAlign w:val="bottom"/>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 xml:space="preserve">4.682.026.630 </w:t>
            </w:r>
          </w:p>
        </w:tc>
        <w:tc>
          <w:tcPr>
            <w:tcW w:w="1276" w:type="dxa"/>
            <w:shd w:val="clear" w:color="auto" w:fill="auto"/>
            <w:noWrap/>
            <w:vAlign w:val="bottom"/>
            <w:hideMark/>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45,05</w:t>
            </w:r>
          </w:p>
        </w:tc>
      </w:tr>
      <w:tr w:rsidR="00BD0399" w:rsidRPr="007008DB" w:rsidTr="002D5A63">
        <w:trPr>
          <w:trHeight w:val="300"/>
        </w:trPr>
        <w:tc>
          <w:tcPr>
            <w:tcW w:w="6394" w:type="dxa"/>
            <w:shd w:val="clear" w:color="auto" w:fill="auto"/>
            <w:noWrap/>
            <w:vAlign w:val="bottom"/>
            <w:hideMark/>
          </w:tcPr>
          <w:p w:rsidR="00BD0399" w:rsidRPr="007008DB" w:rsidRDefault="00BD0399" w:rsidP="00673BFD">
            <w:pPr>
              <w:spacing w:line="240" w:lineRule="auto"/>
              <w:rPr>
                <w:rFonts w:ascii="Calibri" w:hAnsi="Calibri"/>
                <w:b/>
                <w:bCs/>
                <w:color w:val="000000"/>
                <w:sz w:val="18"/>
                <w:szCs w:val="18"/>
                <w:lang w:eastAsia="sl-SI"/>
              </w:rPr>
            </w:pPr>
            <w:r w:rsidRPr="007008DB">
              <w:rPr>
                <w:rFonts w:ascii="Calibri" w:hAnsi="Calibri"/>
                <w:b/>
                <w:bCs/>
                <w:color w:val="000000"/>
                <w:sz w:val="18"/>
                <w:szCs w:val="18"/>
                <w:lang w:eastAsia="sl-SI"/>
              </w:rPr>
              <w:t>906-Sedanja vrednost opreme in drugih opredmetenih osnovnih sredstev</w:t>
            </w:r>
          </w:p>
        </w:tc>
        <w:tc>
          <w:tcPr>
            <w:tcW w:w="2428" w:type="dxa"/>
            <w:shd w:val="clear" w:color="auto" w:fill="auto"/>
            <w:noWrap/>
            <w:vAlign w:val="bottom"/>
          </w:tcPr>
          <w:p w:rsidR="00BD0399" w:rsidRPr="00834708" w:rsidRDefault="00BD0399" w:rsidP="002D5A63">
            <w:pPr>
              <w:spacing w:line="240" w:lineRule="auto"/>
              <w:jc w:val="right"/>
              <w:rPr>
                <w:rFonts w:ascii="Calibri" w:hAnsi="Calibri"/>
                <w:b/>
                <w:bCs/>
                <w:sz w:val="18"/>
                <w:szCs w:val="18"/>
                <w:lang w:eastAsia="sl-SI"/>
              </w:rPr>
            </w:pPr>
            <w:r w:rsidRPr="00972554">
              <w:rPr>
                <w:rFonts w:ascii="Calibri" w:hAnsi="Calibri" w:cs="Calibri"/>
                <w:b/>
                <w:bCs/>
                <w:sz w:val="18"/>
                <w:szCs w:val="18"/>
                <w:lang w:val="sl-SI" w:eastAsia="sl-SI"/>
              </w:rPr>
              <w:t xml:space="preserve">2.097.863.477 </w:t>
            </w:r>
          </w:p>
        </w:tc>
        <w:tc>
          <w:tcPr>
            <w:tcW w:w="1276" w:type="dxa"/>
            <w:shd w:val="clear" w:color="auto" w:fill="auto"/>
            <w:noWrap/>
            <w:vAlign w:val="bottom"/>
            <w:hideMark/>
          </w:tcPr>
          <w:p w:rsidR="00BD0399" w:rsidRPr="00871D79" w:rsidRDefault="00BD0399" w:rsidP="002D5A63">
            <w:pPr>
              <w:spacing w:line="240" w:lineRule="auto"/>
              <w:jc w:val="right"/>
              <w:rPr>
                <w:rFonts w:ascii="Calibri" w:hAnsi="Calibri"/>
                <w:b/>
                <w:bCs/>
                <w:sz w:val="18"/>
                <w:szCs w:val="18"/>
                <w:lang w:eastAsia="sl-SI"/>
              </w:rPr>
            </w:pPr>
          </w:p>
        </w:tc>
      </w:tr>
      <w:tr w:rsidR="00BD0399" w:rsidRPr="007008DB" w:rsidTr="002D5A63">
        <w:trPr>
          <w:trHeight w:val="300"/>
        </w:trPr>
        <w:tc>
          <w:tcPr>
            <w:tcW w:w="6394" w:type="dxa"/>
            <w:shd w:val="clear" w:color="auto" w:fill="auto"/>
            <w:noWrap/>
            <w:vAlign w:val="bottom"/>
            <w:hideMark/>
          </w:tcPr>
          <w:p w:rsidR="00BD0399" w:rsidRPr="007008DB" w:rsidRDefault="00BD0399" w:rsidP="00673BFD">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država</w:t>
            </w:r>
          </w:p>
        </w:tc>
        <w:tc>
          <w:tcPr>
            <w:tcW w:w="2428" w:type="dxa"/>
            <w:shd w:val="clear" w:color="auto" w:fill="auto"/>
            <w:noWrap/>
            <w:vAlign w:val="bottom"/>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 xml:space="preserve">1.568.351.954 </w:t>
            </w:r>
          </w:p>
        </w:tc>
        <w:tc>
          <w:tcPr>
            <w:tcW w:w="1276" w:type="dxa"/>
            <w:shd w:val="clear" w:color="auto" w:fill="auto"/>
            <w:noWrap/>
            <w:vAlign w:val="bottom"/>
            <w:hideMark/>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74,76</w:t>
            </w:r>
          </w:p>
        </w:tc>
      </w:tr>
      <w:tr w:rsidR="00BD0399" w:rsidRPr="007008DB" w:rsidTr="002D5A63">
        <w:trPr>
          <w:trHeight w:val="300"/>
        </w:trPr>
        <w:tc>
          <w:tcPr>
            <w:tcW w:w="6394" w:type="dxa"/>
            <w:shd w:val="clear" w:color="auto" w:fill="auto"/>
            <w:noWrap/>
            <w:vAlign w:val="bottom"/>
            <w:hideMark/>
          </w:tcPr>
          <w:p w:rsidR="00BD0399" w:rsidRPr="007008DB" w:rsidRDefault="00BD0399" w:rsidP="00BC0D29">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občin</w:t>
            </w:r>
            <w:r>
              <w:rPr>
                <w:rFonts w:ascii="Calibri" w:hAnsi="Calibri"/>
                <w:color w:val="000000"/>
                <w:sz w:val="18"/>
                <w:szCs w:val="18"/>
                <w:lang w:eastAsia="sl-SI"/>
              </w:rPr>
              <w:t>e</w:t>
            </w:r>
          </w:p>
        </w:tc>
        <w:tc>
          <w:tcPr>
            <w:tcW w:w="2428" w:type="dxa"/>
            <w:shd w:val="clear" w:color="auto" w:fill="auto"/>
            <w:noWrap/>
            <w:vAlign w:val="bottom"/>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 xml:space="preserve">529.511.523 </w:t>
            </w:r>
          </w:p>
        </w:tc>
        <w:tc>
          <w:tcPr>
            <w:tcW w:w="1276" w:type="dxa"/>
            <w:shd w:val="clear" w:color="auto" w:fill="auto"/>
            <w:noWrap/>
            <w:vAlign w:val="bottom"/>
            <w:hideMark/>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25,24</w:t>
            </w:r>
          </w:p>
        </w:tc>
      </w:tr>
      <w:tr w:rsidR="00BD0399" w:rsidRPr="007008DB" w:rsidTr="002D5A63">
        <w:trPr>
          <w:trHeight w:val="300"/>
        </w:trPr>
        <w:tc>
          <w:tcPr>
            <w:tcW w:w="6394" w:type="dxa"/>
            <w:shd w:val="clear" w:color="auto" w:fill="auto"/>
            <w:noWrap/>
            <w:vAlign w:val="bottom"/>
            <w:hideMark/>
          </w:tcPr>
          <w:p w:rsidR="00BD0399" w:rsidRPr="007008DB" w:rsidRDefault="00BD0399" w:rsidP="00673BFD">
            <w:pPr>
              <w:spacing w:line="240" w:lineRule="auto"/>
              <w:rPr>
                <w:rFonts w:ascii="Calibri" w:hAnsi="Calibri"/>
                <w:b/>
                <w:bCs/>
                <w:color w:val="000000"/>
                <w:sz w:val="18"/>
                <w:szCs w:val="18"/>
                <w:lang w:eastAsia="sl-SI"/>
              </w:rPr>
            </w:pPr>
            <w:r w:rsidRPr="007008DB">
              <w:rPr>
                <w:rFonts w:ascii="Calibri" w:hAnsi="Calibri"/>
                <w:b/>
                <w:bCs/>
                <w:color w:val="000000"/>
                <w:sz w:val="18"/>
                <w:szCs w:val="18"/>
                <w:lang w:eastAsia="sl-SI"/>
              </w:rPr>
              <w:t>907-Nabavna vrednost opreme in drugih opredmetenih osnovnih sredstev</w:t>
            </w:r>
          </w:p>
        </w:tc>
        <w:tc>
          <w:tcPr>
            <w:tcW w:w="2428" w:type="dxa"/>
            <w:shd w:val="clear" w:color="auto" w:fill="auto"/>
            <w:noWrap/>
            <w:vAlign w:val="bottom"/>
          </w:tcPr>
          <w:p w:rsidR="00BD0399" w:rsidRPr="00834708" w:rsidRDefault="00BD0399" w:rsidP="002D5A63">
            <w:pPr>
              <w:spacing w:line="240" w:lineRule="auto"/>
              <w:jc w:val="right"/>
              <w:rPr>
                <w:rFonts w:ascii="Calibri" w:hAnsi="Calibri"/>
                <w:b/>
                <w:bCs/>
                <w:sz w:val="18"/>
                <w:szCs w:val="18"/>
                <w:lang w:eastAsia="sl-SI"/>
              </w:rPr>
            </w:pPr>
            <w:r w:rsidRPr="00972554">
              <w:rPr>
                <w:rFonts w:ascii="Calibri" w:hAnsi="Calibri" w:cs="Calibri"/>
                <w:b/>
                <w:bCs/>
                <w:sz w:val="18"/>
                <w:szCs w:val="18"/>
                <w:lang w:val="sl-SI" w:eastAsia="sl-SI"/>
              </w:rPr>
              <w:t xml:space="preserve">7.273.077.414 </w:t>
            </w:r>
          </w:p>
        </w:tc>
        <w:tc>
          <w:tcPr>
            <w:tcW w:w="1276" w:type="dxa"/>
            <w:shd w:val="clear" w:color="auto" w:fill="auto"/>
            <w:noWrap/>
            <w:vAlign w:val="bottom"/>
            <w:hideMark/>
          </w:tcPr>
          <w:p w:rsidR="00BD0399" w:rsidRPr="00871D79" w:rsidRDefault="00BD0399" w:rsidP="002D5A63">
            <w:pPr>
              <w:spacing w:line="240" w:lineRule="auto"/>
              <w:jc w:val="right"/>
              <w:rPr>
                <w:rFonts w:ascii="Calibri" w:hAnsi="Calibri"/>
                <w:b/>
                <w:bCs/>
                <w:sz w:val="18"/>
                <w:szCs w:val="18"/>
                <w:lang w:eastAsia="sl-SI"/>
              </w:rPr>
            </w:pPr>
          </w:p>
        </w:tc>
      </w:tr>
      <w:tr w:rsidR="00BD0399" w:rsidRPr="007008DB" w:rsidTr="002D5A63">
        <w:trPr>
          <w:trHeight w:val="300"/>
        </w:trPr>
        <w:tc>
          <w:tcPr>
            <w:tcW w:w="6394" w:type="dxa"/>
            <w:shd w:val="clear" w:color="auto" w:fill="auto"/>
            <w:noWrap/>
            <w:vAlign w:val="bottom"/>
            <w:hideMark/>
          </w:tcPr>
          <w:p w:rsidR="00BD0399" w:rsidRPr="007008DB" w:rsidRDefault="00BD0399" w:rsidP="00673BFD">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država</w:t>
            </w:r>
          </w:p>
        </w:tc>
        <w:tc>
          <w:tcPr>
            <w:tcW w:w="2428" w:type="dxa"/>
            <w:shd w:val="clear" w:color="auto" w:fill="auto"/>
            <w:noWrap/>
            <w:vAlign w:val="bottom"/>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 xml:space="preserve">5.216.735.695 </w:t>
            </w:r>
          </w:p>
        </w:tc>
        <w:tc>
          <w:tcPr>
            <w:tcW w:w="1276" w:type="dxa"/>
            <w:shd w:val="clear" w:color="auto" w:fill="auto"/>
            <w:noWrap/>
            <w:vAlign w:val="bottom"/>
            <w:hideMark/>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71,73</w:t>
            </w:r>
          </w:p>
        </w:tc>
      </w:tr>
      <w:tr w:rsidR="00BD0399" w:rsidRPr="007008DB" w:rsidTr="002D5A63">
        <w:trPr>
          <w:trHeight w:val="300"/>
        </w:trPr>
        <w:tc>
          <w:tcPr>
            <w:tcW w:w="6394" w:type="dxa"/>
            <w:shd w:val="clear" w:color="auto" w:fill="auto"/>
            <w:noWrap/>
            <w:vAlign w:val="bottom"/>
            <w:hideMark/>
          </w:tcPr>
          <w:p w:rsidR="00BD0399" w:rsidRPr="007008DB" w:rsidRDefault="00BD0399" w:rsidP="00BC0D29">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občin</w:t>
            </w:r>
            <w:r>
              <w:rPr>
                <w:rFonts w:ascii="Calibri" w:hAnsi="Calibri"/>
                <w:color w:val="000000"/>
                <w:sz w:val="18"/>
                <w:szCs w:val="18"/>
                <w:lang w:eastAsia="sl-SI"/>
              </w:rPr>
              <w:t>e</w:t>
            </w:r>
          </w:p>
        </w:tc>
        <w:tc>
          <w:tcPr>
            <w:tcW w:w="2428" w:type="dxa"/>
            <w:shd w:val="clear" w:color="auto" w:fill="auto"/>
            <w:noWrap/>
            <w:vAlign w:val="bottom"/>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 xml:space="preserve">2.056.341.719 </w:t>
            </w:r>
          </w:p>
        </w:tc>
        <w:tc>
          <w:tcPr>
            <w:tcW w:w="1276" w:type="dxa"/>
            <w:shd w:val="clear" w:color="auto" w:fill="auto"/>
            <w:noWrap/>
            <w:vAlign w:val="bottom"/>
            <w:hideMark/>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28,27</w:t>
            </w:r>
          </w:p>
        </w:tc>
      </w:tr>
      <w:tr w:rsidR="00BD0399" w:rsidRPr="007008DB" w:rsidTr="002D5A63">
        <w:trPr>
          <w:trHeight w:val="300"/>
        </w:trPr>
        <w:tc>
          <w:tcPr>
            <w:tcW w:w="6394" w:type="dxa"/>
            <w:shd w:val="clear" w:color="auto" w:fill="auto"/>
            <w:noWrap/>
            <w:vAlign w:val="bottom"/>
            <w:hideMark/>
          </w:tcPr>
          <w:p w:rsidR="00BD0399" w:rsidRPr="007008DB" w:rsidRDefault="00BD0399" w:rsidP="00673BFD">
            <w:pPr>
              <w:spacing w:line="240" w:lineRule="auto"/>
              <w:rPr>
                <w:rFonts w:ascii="Calibri" w:hAnsi="Calibri"/>
                <w:b/>
                <w:bCs/>
                <w:color w:val="000000"/>
                <w:sz w:val="18"/>
                <w:szCs w:val="18"/>
                <w:lang w:eastAsia="sl-SI"/>
              </w:rPr>
            </w:pPr>
            <w:r w:rsidRPr="007008DB">
              <w:rPr>
                <w:rFonts w:ascii="Calibri" w:hAnsi="Calibri"/>
                <w:b/>
                <w:bCs/>
                <w:color w:val="000000"/>
                <w:sz w:val="18"/>
                <w:szCs w:val="18"/>
                <w:lang w:eastAsia="sl-SI"/>
              </w:rPr>
              <w:t>908-Popravek vrednosti opreme in drugih opredmetenih osnovnih sredstev</w:t>
            </w:r>
          </w:p>
        </w:tc>
        <w:tc>
          <w:tcPr>
            <w:tcW w:w="2428" w:type="dxa"/>
            <w:shd w:val="clear" w:color="auto" w:fill="auto"/>
            <w:noWrap/>
            <w:vAlign w:val="bottom"/>
          </w:tcPr>
          <w:p w:rsidR="00BD0399" w:rsidRPr="00834708" w:rsidRDefault="00BD0399" w:rsidP="002D5A63">
            <w:pPr>
              <w:spacing w:line="240" w:lineRule="auto"/>
              <w:jc w:val="right"/>
              <w:rPr>
                <w:rFonts w:ascii="Calibri" w:hAnsi="Calibri"/>
                <w:b/>
                <w:bCs/>
                <w:sz w:val="18"/>
                <w:szCs w:val="18"/>
                <w:lang w:eastAsia="sl-SI"/>
              </w:rPr>
            </w:pPr>
            <w:r w:rsidRPr="00972554">
              <w:rPr>
                <w:rFonts w:ascii="Calibri" w:hAnsi="Calibri" w:cs="Calibri"/>
                <w:b/>
                <w:bCs/>
                <w:sz w:val="18"/>
                <w:szCs w:val="18"/>
                <w:lang w:val="sl-SI" w:eastAsia="sl-SI"/>
              </w:rPr>
              <w:t xml:space="preserve">5.175.213.937 </w:t>
            </w:r>
          </w:p>
        </w:tc>
        <w:tc>
          <w:tcPr>
            <w:tcW w:w="1276" w:type="dxa"/>
            <w:shd w:val="clear" w:color="auto" w:fill="auto"/>
            <w:noWrap/>
            <w:vAlign w:val="bottom"/>
            <w:hideMark/>
          </w:tcPr>
          <w:p w:rsidR="00BD0399" w:rsidRPr="00871D79" w:rsidRDefault="00BD0399" w:rsidP="002D5A63">
            <w:pPr>
              <w:spacing w:line="240" w:lineRule="auto"/>
              <w:jc w:val="right"/>
              <w:rPr>
                <w:rFonts w:ascii="Calibri" w:hAnsi="Calibri"/>
                <w:b/>
                <w:bCs/>
                <w:sz w:val="18"/>
                <w:szCs w:val="18"/>
                <w:lang w:eastAsia="sl-SI"/>
              </w:rPr>
            </w:pPr>
          </w:p>
        </w:tc>
      </w:tr>
      <w:tr w:rsidR="00BD0399" w:rsidRPr="007008DB" w:rsidTr="002D5A63">
        <w:trPr>
          <w:trHeight w:val="300"/>
        </w:trPr>
        <w:tc>
          <w:tcPr>
            <w:tcW w:w="6394" w:type="dxa"/>
            <w:shd w:val="clear" w:color="auto" w:fill="auto"/>
            <w:noWrap/>
            <w:vAlign w:val="bottom"/>
            <w:hideMark/>
          </w:tcPr>
          <w:p w:rsidR="00BD0399" w:rsidRPr="007008DB" w:rsidRDefault="00BD0399" w:rsidP="00673BFD">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država</w:t>
            </w:r>
          </w:p>
        </w:tc>
        <w:tc>
          <w:tcPr>
            <w:tcW w:w="2428" w:type="dxa"/>
            <w:shd w:val="clear" w:color="auto" w:fill="auto"/>
            <w:noWrap/>
            <w:vAlign w:val="bottom"/>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 xml:space="preserve">3.648.383.741 </w:t>
            </w:r>
          </w:p>
        </w:tc>
        <w:tc>
          <w:tcPr>
            <w:tcW w:w="1276" w:type="dxa"/>
            <w:shd w:val="clear" w:color="auto" w:fill="auto"/>
            <w:noWrap/>
            <w:vAlign w:val="bottom"/>
            <w:hideMark/>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70,50</w:t>
            </w:r>
          </w:p>
        </w:tc>
      </w:tr>
      <w:tr w:rsidR="00BD0399" w:rsidRPr="007008DB" w:rsidTr="002D5A63">
        <w:trPr>
          <w:trHeight w:val="300"/>
        </w:trPr>
        <w:tc>
          <w:tcPr>
            <w:tcW w:w="6394" w:type="dxa"/>
            <w:shd w:val="clear" w:color="auto" w:fill="auto"/>
            <w:noWrap/>
            <w:vAlign w:val="bottom"/>
            <w:hideMark/>
          </w:tcPr>
          <w:p w:rsidR="00BD0399" w:rsidRPr="007008DB" w:rsidRDefault="00BD0399" w:rsidP="00BC0D29">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občin</w:t>
            </w:r>
            <w:r>
              <w:rPr>
                <w:rFonts w:ascii="Calibri" w:hAnsi="Calibri"/>
                <w:color w:val="000000"/>
                <w:sz w:val="18"/>
                <w:szCs w:val="18"/>
                <w:lang w:eastAsia="sl-SI"/>
              </w:rPr>
              <w:t>e</w:t>
            </w:r>
          </w:p>
        </w:tc>
        <w:tc>
          <w:tcPr>
            <w:tcW w:w="2428" w:type="dxa"/>
            <w:shd w:val="clear" w:color="auto" w:fill="auto"/>
            <w:noWrap/>
            <w:vAlign w:val="bottom"/>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 xml:space="preserve">1.526.830.196 </w:t>
            </w:r>
          </w:p>
        </w:tc>
        <w:tc>
          <w:tcPr>
            <w:tcW w:w="1276" w:type="dxa"/>
            <w:shd w:val="clear" w:color="auto" w:fill="auto"/>
            <w:noWrap/>
            <w:vAlign w:val="bottom"/>
            <w:hideMark/>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29,50</w:t>
            </w:r>
          </w:p>
        </w:tc>
      </w:tr>
      <w:tr w:rsidR="00BD0399" w:rsidRPr="007008DB" w:rsidTr="002D5A63">
        <w:trPr>
          <w:trHeight w:val="300"/>
        </w:trPr>
        <w:tc>
          <w:tcPr>
            <w:tcW w:w="6394" w:type="dxa"/>
            <w:shd w:val="clear" w:color="auto" w:fill="auto"/>
            <w:noWrap/>
            <w:vAlign w:val="bottom"/>
            <w:hideMark/>
          </w:tcPr>
          <w:p w:rsidR="00BD0399" w:rsidRPr="007008DB" w:rsidRDefault="00BD0399" w:rsidP="00673BFD">
            <w:pPr>
              <w:spacing w:line="240" w:lineRule="auto"/>
              <w:rPr>
                <w:rFonts w:ascii="Calibri" w:hAnsi="Calibri"/>
                <w:b/>
                <w:bCs/>
                <w:color w:val="000000"/>
                <w:sz w:val="18"/>
                <w:szCs w:val="18"/>
                <w:lang w:eastAsia="sl-SI"/>
              </w:rPr>
            </w:pPr>
            <w:r w:rsidRPr="007008DB">
              <w:rPr>
                <w:rFonts w:ascii="Calibri" w:hAnsi="Calibri"/>
                <w:b/>
                <w:bCs/>
                <w:color w:val="000000"/>
                <w:sz w:val="18"/>
                <w:szCs w:val="18"/>
                <w:lang w:eastAsia="sl-SI"/>
              </w:rPr>
              <w:t>909-Terjatve za sredstva dana v upravljanje</w:t>
            </w:r>
          </w:p>
        </w:tc>
        <w:tc>
          <w:tcPr>
            <w:tcW w:w="2428" w:type="dxa"/>
            <w:shd w:val="clear" w:color="auto" w:fill="auto"/>
            <w:noWrap/>
            <w:vAlign w:val="bottom"/>
          </w:tcPr>
          <w:p w:rsidR="00BD0399" w:rsidRPr="00834708" w:rsidRDefault="00BD0399" w:rsidP="002D5A63">
            <w:pPr>
              <w:spacing w:line="240" w:lineRule="auto"/>
              <w:jc w:val="right"/>
              <w:rPr>
                <w:rFonts w:ascii="Calibri" w:hAnsi="Calibri"/>
                <w:b/>
                <w:bCs/>
                <w:sz w:val="18"/>
                <w:szCs w:val="18"/>
                <w:lang w:eastAsia="sl-SI"/>
              </w:rPr>
            </w:pPr>
            <w:r w:rsidRPr="00972554">
              <w:rPr>
                <w:rFonts w:ascii="Calibri" w:hAnsi="Calibri" w:cs="Calibri"/>
                <w:b/>
                <w:bCs/>
                <w:sz w:val="18"/>
                <w:szCs w:val="18"/>
                <w:lang w:val="sl-SI" w:eastAsia="sl-SI"/>
              </w:rPr>
              <w:t xml:space="preserve">29.907.899 </w:t>
            </w:r>
          </w:p>
        </w:tc>
        <w:tc>
          <w:tcPr>
            <w:tcW w:w="1276" w:type="dxa"/>
            <w:shd w:val="clear" w:color="auto" w:fill="auto"/>
            <w:noWrap/>
            <w:vAlign w:val="bottom"/>
            <w:hideMark/>
          </w:tcPr>
          <w:p w:rsidR="00BD0399" w:rsidRPr="00871D79" w:rsidRDefault="00BD0399" w:rsidP="002D5A63">
            <w:pPr>
              <w:spacing w:line="240" w:lineRule="auto"/>
              <w:jc w:val="right"/>
              <w:rPr>
                <w:rFonts w:ascii="Calibri" w:hAnsi="Calibri"/>
                <w:b/>
                <w:bCs/>
                <w:sz w:val="18"/>
                <w:szCs w:val="18"/>
                <w:lang w:eastAsia="sl-SI"/>
              </w:rPr>
            </w:pPr>
          </w:p>
        </w:tc>
      </w:tr>
      <w:tr w:rsidR="00BD0399" w:rsidRPr="007008DB" w:rsidTr="002D5A63">
        <w:trPr>
          <w:trHeight w:val="300"/>
        </w:trPr>
        <w:tc>
          <w:tcPr>
            <w:tcW w:w="6394" w:type="dxa"/>
            <w:shd w:val="clear" w:color="auto" w:fill="auto"/>
            <w:noWrap/>
            <w:vAlign w:val="bottom"/>
            <w:hideMark/>
          </w:tcPr>
          <w:p w:rsidR="00BD0399" w:rsidRPr="007008DB" w:rsidRDefault="00BD0399" w:rsidP="00673BFD">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država</w:t>
            </w:r>
          </w:p>
        </w:tc>
        <w:tc>
          <w:tcPr>
            <w:tcW w:w="2428" w:type="dxa"/>
            <w:shd w:val="clear" w:color="auto" w:fill="auto"/>
            <w:noWrap/>
            <w:vAlign w:val="bottom"/>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 xml:space="preserve">689.130 </w:t>
            </w:r>
          </w:p>
        </w:tc>
        <w:tc>
          <w:tcPr>
            <w:tcW w:w="1276" w:type="dxa"/>
            <w:shd w:val="clear" w:color="auto" w:fill="auto"/>
            <w:noWrap/>
            <w:vAlign w:val="bottom"/>
            <w:hideMark/>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2,30</w:t>
            </w:r>
          </w:p>
        </w:tc>
      </w:tr>
      <w:tr w:rsidR="00BD0399" w:rsidRPr="007008DB" w:rsidTr="002D5A63">
        <w:trPr>
          <w:trHeight w:val="300"/>
        </w:trPr>
        <w:tc>
          <w:tcPr>
            <w:tcW w:w="6394" w:type="dxa"/>
            <w:shd w:val="clear" w:color="auto" w:fill="auto"/>
            <w:noWrap/>
            <w:vAlign w:val="bottom"/>
            <w:hideMark/>
          </w:tcPr>
          <w:p w:rsidR="00BD0399" w:rsidRPr="007008DB" w:rsidRDefault="00BD0399" w:rsidP="00BC0D29">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občin</w:t>
            </w:r>
            <w:r>
              <w:rPr>
                <w:rFonts w:ascii="Calibri" w:hAnsi="Calibri"/>
                <w:color w:val="000000"/>
                <w:sz w:val="18"/>
                <w:szCs w:val="18"/>
                <w:lang w:eastAsia="sl-SI"/>
              </w:rPr>
              <w:t>e</w:t>
            </w:r>
          </w:p>
        </w:tc>
        <w:tc>
          <w:tcPr>
            <w:tcW w:w="2428" w:type="dxa"/>
            <w:shd w:val="clear" w:color="auto" w:fill="auto"/>
            <w:noWrap/>
            <w:vAlign w:val="bottom"/>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 xml:space="preserve">29.218.769 </w:t>
            </w:r>
          </w:p>
        </w:tc>
        <w:tc>
          <w:tcPr>
            <w:tcW w:w="1276" w:type="dxa"/>
            <w:shd w:val="clear" w:color="auto" w:fill="auto"/>
            <w:noWrap/>
            <w:vAlign w:val="bottom"/>
            <w:hideMark/>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97,70</w:t>
            </w:r>
          </w:p>
        </w:tc>
      </w:tr>
      <w:tr w:rsidR="00BD0399" w:rsidRPr="007008DB" w:rsidTr="002D5A63">
        <w:trPr>
          <w:trHeight w:val="300"/>
        </w:trPr>
        <w:tc>
          <w:tcPr>
            <w:tcW w:w="6394" w:type="dxa"/>
            <w:shd w:val="clear" w:color="auto" w:fill="auto"/>
            <w:noWrap/>
            <w:vAlign w:val="bottom"/>
            <w:hideMark/>
          </w:tcPr>
          <w:p w:rsidR="00BD0399" w:rsidRPr="007008DB" w:rsidRDefault="00BD0399" w:rsidP="00673BFD">
            <w:pPr>
              <w:spacing w:line="240" w:lineRule="auto"/>
              <w:rPr>
                <w:rFonts w:ascii="Calibri" w:hAnsi="Calibri"/>
                <w:b/>
                <w:bCs/>
                <w:color w:val="000000"/>
                <w:sz w:val="18"/>
                <w:szCs w:val="18"/>
                <w:lang w:eastAsia="sl-SI"/>
              </w:rPr>
            </w:pPr>
            <w:r w:rsidRPr="007008DB">
              <w:rPr>
                <w:rFonts w:ascii="Calibri" w:hAnsi="Calibri"/>
                <w:b/>
                <w:bCs/>
                <w:color w:val="000000"/>
                <w:sz w:val="18"/>
                <w:szCs w:val="18"/>
                <w:lang w:eastAsia="sl-SI"/>
              </w:rPr>
              <w:t>910-Terjatve za sredstva dana v upravljanje drugim v lasti države</w:t>
            </w:r>
          </w:p>
        </w:tc>
        <w:tc>
          <w:tcPr>
            <w:tcW w:w="2428" w:type="dxa"/>
            <w:shd w:val="clear" w:color="auto" w:fill="auto"/>
            <w:noWrap/>
            <w:vAlign w:val="bottom"/>
          </w:tcPr>
          <w:p w:rsidR="00BD0399" w:rsidRPr="00834708" w:rsidRDefault="00BD0399" w:rsidP="002D5A63">
            <w:pPr>
              <w:spacing w:line="240" w:lineRule="auto"/>
              <w:jc w:val="right"/>
              <w:rPr>
                <w:rFonts w:ascii="Calibri" w:hAnsi="Calibri"/>
                <w:b/>
                <w:bCs/>
                <w:sz w:val="18"/>
                <w:szCs w:val="18"/>
                <w:lang w:eastAsia="sl-SI"/>
              </w:rPr>
            </w:pPr>
            <w:r w:rsidRPr="00972554">
              <w:rPr>
                <w:rFonts w:ascii="Calibri" w:hAnsi="Calibri" w:cs="Calibri"/>
                <w:b/>
                <w:bCs/>
                <w:sz w:val="18"/>
                <w:szCs w:val="18"/>
                <w:lang w:val="sl-SI" w:eastAsia="sl-SI"/>
              </w:rPr>
              <w:t xml:space="preserve">3.340.508 </w:t>
            </w:r>
          </w:p>
        </w:tc>
        <w:tc>
          <w:tcPr>
            <w:tcW w:w="1276" w:type="dxa"/>
            <w:shd w:val="clear" w:color="auto" w:fill="auto"/>
            <w:noWrap/>
            <w:vAlign w:val="bottom"/>
            <w:hideMark/>
          </w:tcPr>
          <w:p w:rsidR="00BD0399" w:rsidRPr="00871D79" w:rsidRDefault="00BD0399" w:rsidP="002D5A63">
            <w:pPr>
              <w:spacing w:line="240" w:lineRule="auto"/>
              <w:jc w:val="right"/>
              <w:rPr>
                <w:rFonts w:ascii="Calibri" w:hAnsi="Calibri"/>
                <w:b/>
                <w:bCs/>
                <w:sz w:val="18"/>
                <w:szCs w:val="18"/>
                <w:lang w:eastAsia="sl-SI"/>
              </w:rPr>
            </w:pPr>
          </w:p>
        </w:tc>
      </w:tr>
      <w:tr w:rsidR="00BD0399" w:rsidRPr="007008DB" w:rsidTr="002D5A63">
        <w:trPr>
          <w:trHeight w:val="300"/>
        </w:trPr>
        <w:tc>
          <w:tcPr>
            <w:tcW w:w="6394" w:type="dxa"/>
            <w:shd w:val="clear" w:color="auto" w:fill="auto"/>
            <w:noWrap/>
            <w:vAlign w:val="bottom"/>
            <w:hideMark/>
          </w:tcPr>
          <w:p w:rsidR="00BD0399" w:rsidRPr="007008DB" w:rsidRDefault="00BD0399" w:rsidP="00673BFD">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lastRenderedPageBreak/>
              <w:t>država</w:t>
            </w:r>
          </w:p>
        </w:tc>
        <w:tc>
          <w:tcPr>
            <w:tcW w:w="2428" w:type="dxa"/>
            <w:shd w:val="clear" w:color="auto" w:fill="auto"/>
            <w:noWrap/>
            <w:vAlign w:val="bottom"/>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 xml:space="preserve">689.130 </w:t>
            </w:r>
          </w:p>
        </w:tc>
        <w:tc>
          <w:tcPr>
            <w:tcW w:w="1276" w:type="dxa"/>
            <w:shd w:val="clear" w:color="auto" w:fill="auto"/>
            <w:noWrap/>
            <w:vAlign w:val="bottom"/>
            <w:hideMark/>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20,63</w:t>
            </w:r>
          </w:p>
        </w:tc>
      </w:tr>
      <w:tr w:rsidR="00BD0399" w:rsidRPr="007008DB" w:rsidTr="002D5A63">
        <w:trPr>
          <w:trHeight w:val="300"/>
        </w:trPr>
        <w:tc>
          <w:tcPr>
            <w:tcW w:w="6394" w:type="dxa"/>
            <w:shd w:val="clear" w:color="auto" w:fill="auto"/>
            <w:noWrap/>
            <w:vAlign w:val="bottom"/>
            <w:hideMark/>
          </w:tcPr>
          <w:p w:rsidR="00BD0399" w:rsidRPr="007008DB" w:rsidRDefault="00BD0399" w:rsidP="00BC0D29">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občin</w:t>
            </w:r>
            <w:r>
              <w:rPr>
                <w:rFonts w:ascii="Calibri" w:hAnsi="Calibri"/>
                <w:color w:val="000000"/>
                <w:sz w:val="18"/>
                <w:szCs w:val="18"/>
                <w:lang w:eastAsia="sl-SI"/>
              </w:rPr>
              <w:t>e</w:t>
            </w:r>
          </w:p>
        </w:tc>
        <w:tc>
          <w:tcPr>
            <w:tcW w:w="2428" w:type="dxa"/>
            <w:shd w:val="clear" w:color="auto" w:fill="auto"/>
            <w:noWrap/>
            <w:vAlign w:val="bottom"/>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 xml:space="preserve">2.651.378 </w:t>
            </w:r>
          </w:p>
        </w:tc>
        <w:tc>
          <w:tcPr>
            <w:tcW w:w="1276" w:type="dxa"/>
            <w:shd w:val="clear" w:color="auto" w:fill="auto"/>
            <w:noWrap/>
            <w:vAlign w:val="bottom"/>
            <w:hideMark/>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79,37</w:t>
            </w:r>
          </w:p>
        </w:tc>
      </w:tr>
      <w:tr w:rsidR="00BD0399" w:rsidRPr="007008DB" w:rsidTr="002D5A63">
        <w:trPr>
          <w:trHeight w:val="300"/>
        </w:trPr>
        <w:tc>
          <w:tcPr>
            <w:tcW w:w="6394" w:type="dxa"/>
            <w:shd w:val="clear" w:color="auto" w:fill="auto"/>
            <w:noWrap/>
            <w:vAlign w:val="bottom"/>
            <w:hideMark/>
          </w:tcPr>
          <w:p w:rsidR="00BD0399" w:rsidRPr="007008DB" w:rsidRDefault="00BD0399" w:rsidP="00673BFD">
            <w:pPr>
              <w:spacing w:line="240" w:lineRule="auto"/>
              <w:rPr>
                <w:rFonts w:ascii="Calibri" w:hAnsi="Calibri"/>
                <w:b/>
                <w:bCs/>
                <w:color w:val="000000"/>
                <w:sz w:val="18"/>
                <w:szCs w:val="18"/>
                <w:lang w:eastAsia="sl-SI"/>
              </w:rPr>
            </w:pPr>
            <w:r w:rsidRPr="007008DB">
              <w:rPr>
                <w:rFonts w:ascii="Calibri" w:hAnsi="Calibri"/>
                <w:b/>
                <w:bCs/>
                <w:color w:val="000000"/>
                <w:sz w:val="18"/>
                <w:szCs w:val="18"/>
                <w:lang w:eastAsia="sl-SI"/>
              </w:rPr>
              <w:t>911-Terjatve za sredstva dana v upravljanje drugim v lasti občine</w:t>
            </w:r>
          </w:p>
        </w:tc>
        <w:tc>
          <w:tcPr>
            <w:tcW w:w="2428" w:type="dxa"/>
            <w:shd w:val="clear" w:color="auto" w:fill="auto"/>
            <w:noWrap/>
            <w:vAlign w:val="bottom"/>
          </w:tcPr>
          <w:p w:rsidR="00BD0399" w:rsidRPr="00834708" w:rsidRDefault="00BD0399" w:rsidP="002D5A63">
            <w:pPr>
              <w:spacing w:line="240" w:lineRule="auto"/>
              <w:jc w:val="right"/>
              <w:rPr>
                <w:rFonts w:ascii="Calibri" w:hAnsi="Calibri"/>
                <w:b/>
                <w:bCs/>
                <w:sz w:val="18"/>
                <w:szCs w:val="18"/>
                <w:lang w:eastAsia="sl-SI"/>
              </w:rPr>
            </w:pPr>
            <w:r w:rsidRPr="00972554">
              <w:rPr>
                <w:rFonts w:ascii="Calibri" w:hAnsi="Calibri" w:cs="Calibri"/>
                <w:b/>
                <w:bCs/>
                <w:sz w:val="18"/>
                <w:szCs w:val="18"/>
                <w:lang w:val="sl-SI" w:eastAsia="sl-SI"/>
              </w:rPr>
              <w:t xml:space="preserve">26.567.391 </w:t>
            </w:r>
          </w:p>
        </w:tc>
        <w:tc>
          <w:tcPr>
            <w:tcW w:w="1276" w:type="dxa"/>
            <w:shd w:val="clear" w:color="auto" w:fill="auto"/>
            <w:noWrap/>
            <w:vAlign w:val="bottom"/>
            <w:hideMark/>
          </w:tcPr>
          <w:p w:rsidR="00BD0399" w:rsidRPr="00871D79" w:rsidRDefault="00BD0399" w:rsidP="002D5A63">
            <w:pPr>
              <w:spacing w:line="240" w:lineRule="auto"/>
              <w:jc w:val="right"/>
              <w:rPr>
                <w:rFonts w:ascii="Calibri" w:hAnsi="Calibri"/>
                <w:b/>
                <w:bCs/>
                <w:sz w:val="18"/>
                <w:szCs w:val="18"/>
                <w:lang w:eastAsia="sl-SI"/>
              </w:rPr>
            </w:pPr>
          </w:p>
        </w:tc>
      </w:tr>
      <w:tr w:rsidR="00BD0399" w:rsidRPr="007008DB" w:rsidTr="002D5A63">
        <w:trPr>
          <w:trHeight w:val="300"/>
        </w:trPr>
        <w:tc>
          <w:tcPr>
            <w:tcW w:w="6394" w:type="dxa"/>
            <w:shd w:val="clear" w:color="auto" w:fill="auto"/>
            <w:noWrap/>
            <w:vAlign w:val="bottom"/>
            <w:hideMark/>
          </w:tcPr>
          <w:p w:rsidR="00BD0399" w:rsidRPr="007008DB" w:rsidRDefault="00BD0399" w:rsidP="00673BFD">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država</w:t>
            </w:r>
          </w:p>
        </w:tc>
        <w:tc>
          <w:tcPr>
            <w:tcW w:w="2428" w:type="dxa"/>
            <w:shd w:val="clear" w:color="auto" w:fill="auto"/>
            <w:noWrap/>
            <w:vAlign w:val="bottom"/>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 xml:space="preserve">0 </w:t>
            </w:r>
          </w:p>
        </w:tc>
        <w:tc>
          <w:tcPr>
            <w:tcW w:w="1276" w:type="dxa"/>
            <w:shd w:val="clear" w:color="auto" w:fill="auto"/>
            <w:noWrap/>
            <w:vAlign w:val="bottom"/>
            <w:hideMark/>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0,00</w:t>
            </w:r>
          </w:p>
        </w:tc>
      </w:tr>
      <w:tr w:rsidR="00BD0399" w:rsidRPr="007008DB" w:rsidTr="002D5A63">
        <w:trPr>
          <w:trHeight w:val="300"/>
        </w:trPr>
        <w:tc>
          <w:tcPr>
            <w:tcW w:w="6394" w:type="dxa"/>
            <w:shd w:val="clear" w:color="auto" w:fill="auto"/>
            <w:noWrap/>
            <w:vAlign w:val="bottom"/>
            <w:hideMark/>
          </w:tcPr>
          <w:p w:rsidR="00BD0399" w:rsidRPr="007008DB" w:rsidRDefault="00BD0399" w:rsidP="00BC0D29">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občin</w:t>
            </w:r>
            <w:r>
              <w:rPr>
                <w:rFonts w:ascii="Calibri" w:hAnsi="Calibri"/>
                <w:color w:val="000000"/>
                <w:sz w:val="18"/>
                <w:szCs w:val="18"/>
                <w:lang w:eastAsia="sl-SI"/>
              </w:rPr>
              <w:t>e</w:t>
            </w:r>
          </w:p>
        </w:tc>
        <w:tc>
          <w:tcPr>
            <w:tcW w:w="2428" w:type="dxa"/>
            <w:shd w:val="clear" w:color="auto" w:fill="auto"/>
            <w:noWrap/>
            <w:vAlign w:val="bottom"/>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 xml:space="preserve">26.567.391 </w:t>
            </w:r>
          </w:p>
        </w:tc>
        <w:tc>
          <w:tcPr>
            <w:tcW w:w="1276" w:type="dxa"/>
            <w:shd w:val="clear" w:color="auto" w:fill="auto"/>
            <w:noWrap/>
            <w:vAlign w:val="bottom"/>
            <w:hideMark/>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100,00</w:t>
            </w:r>
          </w:p>
        </w:tc>
      </w:tr>
      <w:tr w:rsidR="00BD0399" w:rsidRPr="007008DB" w:rsidTr="002D5A63">
        <w:trPr>
          <w:trHeight w:val="300"/>
        </w:trPr>
        <w:tc>
          <w:tcPr>
            <w:tcW w:w="6394" w:type="dxa"/>
            <w:shd w:val="clear" w:color="auto" w:fill="auto"/>
            <w:noWrap/>
            <w:vAlign w:val="bottom"/>
            <w:hideMark/>
          </w:tcPr>
          <w:p w:rsidR="00BD0399" w:rsidRPr="007008DB" w:rsidRDefault="00BD0399" w:rsidP="00673BFD">
            <w:pPr>
              <w:spacing w:line="240" w:lineRule="auto"/>
              <w:rPr>
                <w:rFonts w:ascii="Calibri" w:hAnsi="Calibri"/>
                <w:b/>
                <w:bCs/>
                <w:color w:val="000000"/>
                <w:sz w:val="18"/>
                <w:szCs w:val="18"/>
                <w:lang w:eastAsia="sl-SI"/>
              </w:rPr>
            </w:pPr>
            <w:r w:rsidRPr="007008DB">
              <w:rPr>
                <w:rFonts w:ascii="Calibri" w:hAnsi="Calibri"/>
                <w:b/>
                <w:bCs/>
                <w:color w:val="000000"/>
                <w:sz w:val="18"/>
                <w:szCs w:val="18"/>
                <w:lang w:eastAsia="sl-SI"/>
              </w:rPr>
              <w:t>912-Zaloge</w:t>
            </w:r>
          </w:p>
        </w:tc>
        <w:tc>
          <w:tcPr>
            <w:tcW w:w="2428" w:type="dxa"/>
            <w:shd w:val="clear" w:color="auto" w:fill="auto"/>
            <w:noWrap/>
            <w:vAlign w:val="bottom"/>
          </w:tcPr>
          <w:p w:rsidR="00BD0399" w:rsidRPr="00834708" w:rsidRDefault="00BD0399" w:rsidP="002D5A63">
            <w:pPr>
              <w:spacing w:line="240" w:lineRule="auto"/>
              <w:jc w:val="right"/>
              <w:rPr>
                <w:rFonts w:ascii="Calibri" w:hAnsi="Calibri"/>
                <w:b/>
                <w:bCs/>
                <w:sz w:val="18"/>
                <w:szCs w:val="18"/>
                <w:lang w:eastAsia="sl-SI"/>
              </w:rPr>
            </w:pPr>
            <w:r w:rsidRPr="00972554">
              <w:rPr>
                <w:rFonts w:ascii="Calibri" w:hAnsi="Calibri" w:cs="Calibri"/>
                <w:b/>
                <w:bCs/>
                <w:sz w:val="18"/>
                <w:szCs w:val="18"/>
                <w:lang w:val="sl-SI" w:eastAsia="sl-SI"/>
              </w:rPr>
              <w:t xml:space="preserve">388.973.449 </w:t>
            </w:r>
          </w:p>
        </w:tc>
        <w:tc>
          <w:tcPr>
            <w:tcW w:w="1276" w:type="dxa"/>
            <w:shd w:val="clear" w:color="auto" w:fill="auto"/>
            <w:noWrap/>
            <w:vAlign w:val="bottom"/>
            <w:hideMark/>
          </w:tcPr>
          <w:p w:rsidR="00BD0399" w:rsidRPr="00871D79" w:rsidRDefault="00BD0399" w:rsidP="002D5A63">
            <w:pPr>
              <w:spacing w:line="240" w:lineRule="auto"/>
              <w:jc w:val="right"/>
              <w:rPr>
                <w:rFonts w:ascii="Calibri" w:hAnsi="Calibri"/>
                <w:b/>
                <w:bCs/>
                <w:sz w:val="18"/>
                <w:szCs w:val="18"/>
                <w:lang w:eastAsia="sl-SI"/>
              </w:rPr>
            </w:pPr>
          </w:p>
        </w:tc>
      </w:tr>
      <w:tr w:rsidR="00BD0399" w:rsidRPr="007008DB" w:rsidTr="002D5A63">
        <w:trPr>
          <w:trHeight w:val="300"/>
        </w:trPr>
        <w:tc>
          <w:tcPr>
            <w:tcW w:w="6394" w:type="dxa"/>
            <w:shd w:val="clear" w:color="auto" w:fill="auto"/>
            <w:noWrap/>
            <w:vAlign w:val="bottom"/>
            <w:hideMark/>
          </w:tcPr>
          <w:p w:rsidR="00BD0399" w:rsidRPr="007008DB" w:rsidRDefault="00BD0399" w:rsidP="00673BFD">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država</w:t>
            </w:r>
          </w:p>
        </w:tc>
        <w:tc>
          <w:tcPr>
            <w:tcW w:w="2428" w:type="dxa"/>
            <w:shd w:val="clear" w:color="auto" w:fill="auto"/>
            <w:noWrap/>
            <w:vAlign w:val="bottom"/>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 xml:space="preserve">333.686.828 </w:t>
            </w:r>
          </w:p>
        </w:tc>
        <w:tc>
          <w:tcPr>
            <w:tcW w:w="1276" w:type="dxa"/>
            <w:shd w:val="clear" w:color="auto" w:fill="auto"/>
            <w:noWrap/>
            <w:vAlign w:val="bottom"/>
            <w:hideMark/>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85,79</w:t>
            </w:r>
          </w:p>
        </w:tc>
      </w:tr>
      <w:tr w:rsidR="00BD0399" w:rsidRPr="007008DB" w:rsidTr="002D5A63">
        <w:trPr>
          <w:trHeight w:val="300"/>
        </w:trPr>
        <w:tc>
          <w:tcPr>
            <w:tcW w:w="6394" w:type="dxa"/>
            <w:shd w:val="clear" w:color="auto" w:fill="auto"/>
            <w:noWrap/>
            <w:vAlign w:val="bottom"/>
            <w:hideMark/>
          </w:tcPr>
          <w:p w:rsidR="00BD0399" w:rsidRPr="007008DB" w:rsidRDefault="00BD0399" w:rsidP="00BC0D29">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občin</w:t>
            </w:r>
            <w:r>
              <w:rPr>
                <w:rFonts w:ascii="Calibri" w:hAnsi="Calibri"/>
                <w:color w:val="000000"/>
                <w:sz w:val="18"/>
                <w:szCs w:val="18"/>
                <w:lang w:eastAsia="sl-SI"/>
              </w:rPr>
              <w:t>e</w:t>
            </w:r>
          </w:p>
        </w:tc>
        <w:tc>
          <w:tcPr>
            <w:tcW w:w="2428" w:type="dxa"/>
            <w:shd w:val="clear" w:color="auto" w:fill="auto"/>
            <w:noWrap/>
            <w:vAlign w:val="bottom"/>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 xml:space="preserve">55.286.621 </w:t>
            </w:r>
          </w:p>
        </w:tc>
        <w:tc>
          <w:tcPr>
            <w:tcW w:w="1276" w:type="dxa"/>
            <w:shd w:val="clear" w:color="auto" w:fill="auto"/>
            <w:noWrap/>
            <w:vAlign w:val="bottom"/>
            <w:hideMark/>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14,21</w:t>
            </w:r>
          </w:p>
        </w:tc>
      </w:tr>
      <w:tr w:rsidR="00BD0399" w:rsidRPr="007008DB" w:rsidTr="002D5A63">
        <w:trPr>
          <w:trHeight w:val="300"/>
        </w:trPr>
        <w:tc>
          <w:tcPr>
            <w:tcW w:w="6394" w:type="dxa"/>
            <w:shd w:val="clear" w:color="auto" w:fill="auto"/>
            <w:noWrap/>
            <w:vAlign w:val="bottom"/>
            <w:hideMark/>
          </w:tcPr>
          <w:p w:rsidR="00BD0399" w:rsidRPr="007008DB" w:rsidRDefault="00BD0399" w:rsidP="00673BFD">
            <w:pPr>
              <w:spacing w:line="240" w:lineRule="auto"/>
              <w:rPr>
                <w:rFonts w:ascii="Calibri" w:hAnsi="Calibri"/>
                <w:b/>
                <w:bCs/>
                <w:color w:val="000000"/>
                <w:sz w:val="18"/>
                <w:szCs w:val="18"/>
                <w:lang w:eastAsia="sl-SI"/>
              </w:rPr>
            </w:pPr>
            <w:r w:rsidRPr="007008DB">
              <w:rPr>
                <w:rFonts w:ascii="Calibri" w:hAnsi="Calibri"/>
                <w:b/>
                <w:bCs/>
                <w:color w:val="000000"/>
                <w:sz w:val="18"/>
                <w:szCs w:val="18"/>
                <w:lang w:eastAsia="sl-SI"/>
              </w:rPr>
              <w:t>913-Dolgoročne finančne naložbe</w:t>
            </w:r>
          </w:p>
        </w:tc>
        <w:tc>
          <w:tcPr>
            <w:tcW w:w="2428" w:type="dxa"/>
            <w:shd w:val="clear" w:color="auto" w:fill="auto"/>
            <w:noWrap/>
            <w:vAlign w:val="bottom"/>
          </w:tcPr>
          <w:p w:rsidR="00BD0399" w:rsidRPr="00834708" w:rsidRDefault="00BD0399" w:rsidP="002D5A63">
            <w:pPr>
              <w:spacing w:line="240" w:lineRule="auto"/>
              <w:jc w:val="right"/>
              <w:rPr>
                <w:rFonts w:ascii="Calibri" w:hAnsi="Calibri"/>
                <w:b/>
                <w:bCs/>
                <w:sz w:val="18"/>
                <w:szCs w:val="18"/>
                <w:lang w:eastAsia="sl-SI"/>
              </w:rPr>
            </w:pPr>
            <w:r w:rsidRPr="00972554">
              <w:rPr>
                <w:rFonts w:ascii="Calibri" w:hAnsi="Calibri" w:cs="Calibri"/>
                <w:b/>
                <w:bCs/>
                <w:sz w:val="18"/>
                <w:szCs w:val="18"/>
                <w:lang w:val="sl-SI" w:eastAsia="sl-SI"/>
              </w:rPr>
              <w:t xml:space="preserve">11.694.851.309 </w:t>
            </w:r>
          </w:p>
        </w:tc>
        <w:tc>
          <w:tcPr>
            <w:tcW w:w="1276" w:type="dxa"/>
            <w:shd w:val="clear" w:color="auto" w:fill="auto"/>
            <w:noWrap/>
            <w:vAlign w:val="bottom"/>
            <w:hideMark/>
          </w:tcPr>
          <w:p w:rsidR="00BD0399" w:rsidRPr="00871D79" w:rsidRDefault="00BD0399" w:rsidP="002D5A63">
            <w:pPr>
              <w:spacing w:line="240" w:lineRule="auto"/>
              <w:jc w:val="right"/>
              <w:rPr>
                <w:rFonts w:ascii="Calibri" w:hAnsi="Calibri"/>
                <w:b/>
                <w:bCs/>
                <w:sz w:val="18"/>
                <w:szCs w:val="18"/>
                <w:lang w:eastAsia="sl-SI"/>
              </w:rPr>
            </w:pPr>
          </w:p>
        </w:tc>
      </w:tr>
      <w:tr w:rsidR="00BD0399" w:rsidRPr="007008DB" w:rsidTr="002D5A63">
        <w:trPr>
          <w:trHeight w:val="300"/>
        </w:trPr>
        <w:tc>
          <w:tcPr>
            <w:tcW w:w="6394" w:type="dxa"/>
            <w:shd w:val="clear" w:color="auto" w:fill="auto"/>
            <w:noWrap/>
            <w:vAlign w:val="bottom"/>
            <w:hideMark/>
          </w:tcPr>
          <w:p w:rsidR="00BD0399" w:rsidRPr="007008DB" w:rsidRDefault="00BD0399" w:rsidP="00673BFD">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država</w:t>
            </w:r>
          </w:p>
        </w:tc>
        <w:tc>
          <w:tcPr>
            <w:tcW w:w="2428" w:type="dxa"/>
            <w:shd w:val="clear" w:color="auto" w:fill="auto"/>
            <w:noWrap/>
            <w:vAlign w:val="bottom"/>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 xml:space="preserve">11.115.453.873 </w:t>
            </w:r>
          </w:p>
        </w:tc>
        <w:tc>
          <w:tcPr>
            <w:tcW w:w="1276" w:type="dxa"/>
            <w:shd w:val="clear" w:color="auto" w:fill="auto"/>
            <w:noWrap/>
            <w:vAlign w:val="bottom"/>
            <w:hideMark/>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95,05</w:t>
            </w:r>
          </w:p>
        </w:tc>
      </w:tr>
      <w:tr w:rsidR="00BD0399" w:rsidRPr="007008DB" w:rsidTr="002D5A63">
        <w:trPr>
          <w:trHeight w:val="300"/>
        </w:trPr>
        <w:tc>
          <w:tcPr>
            <w:tcW w:w="6394" w:type="dxa"/>
            <w:shd w:val="clear" w:color="auto" w:fill="auto"/>
            <w:noWrap/>
            <w:vAlign w:val="bottom"/>
            <w:hideMark/>
          </w:tcPr>
          <w:p w:rsidR="00BD0399" w:rsidRPr="007008DB" w:rsidRDefault="00BD0399" w:rsidP="00BC0D29">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občin</w:t>
            </w:r>
            <w:r>
              <w:rPr>
                <w:rFonts w:ascii="Calibri" w:hAnsi="Calibri"/>
                <w:color w:val="000000"/>
                <w:sz w:val="18"/>
                <w:szCs w:val="18"/>
                <w:lang w:eastAsia="sl-SI"/>
              </w:rPr>
              <w:t>e</w:t>
            </w:r>
          </w:p>
        </w:tc>
        <w:tc>
          <w:tcPr>
            <w:tcW w:w="2428" w:type="dxa"/>
            <w:shd w:val="clear" w:color="auto" w:fill="auto"/>
            <w:noWrap/>
            <w:vAlign w:val="bottom"/>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 xml:space="preserve">579.397.436 </w:t>
            </w:r>
          </w:p>
        </w:tc>
        <w:tc>
          <w:tcPr>
            <w:tcW w:w="1276" w:type="dxa"/>
            <w:shd w:val="clear" w:color="auto" w:fill="auto"/>
            <w:noWrap/>
            <w:vAlign w:val="bottom"/>
            <w:hideMark/>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4,95</w:t>
            </w:r>
          </w:p>
        </w:tc>
      </w:tr>
      <w:tr w:rsidR="00BD0399" w:rsidRPr="007008DB" w:rsidTr="002D5A63">
        <w:trPr>
          <w:trHeight w:val="300"/>
        </w:trPr>
        <w:tc>
          <w:tcPr>
            <w:tcW w:w="6394" w:type="dxa"/>
            <w:shd w:val="clear" w:color="auto" w:fill="auto"/>
            <w:noWrap/>
            <w:vAlign w:val="bottom"/>
            <w:hideMark/>
          </w:tcPr>
          <w:p w:rsidR="00BD0399" w:rsidRPr="007008DB" w:rsidRDefault="00BD0399" w:rsidP="00673BFD">
            <w:pPr>
              <w:spacing w:line="240" w:lineRule="auto"/>
              <w:rPr>
                <w:rFonts w:ascii="Calibri" w:hAnsi="Calibri"/>
                <w:b/>
                <w:bCs/>
                <w:color w:val="000000"/>
                <w:sz w:val="18"/>
                <w:szCs w:val="18"/>
                <w:lang w:eastAsia="sl-SI"/>
              </w:rPr>
            </w:pPr>
            <w:r w:rsidRPr="007008DB">
              <w:rPr>
                <w:rFonts w:ascii="Calibri" w:hAnsi="Calibri"/>
                <w:b/>
                <w:bCs/>
                <w:color w:val="000000"/>
                <w:sz w:val="18"/>
                <w:szCs w:val="18"/>
                <w:lang w:eastAsia="sl-SI"/>
              </w:rPr>
              <w:t>914-Dolgoročno dana posojila in depoziti</w:t>
            </w:r>
          </w:p>
        </w:tc>
        <w:tc>
          <w:tcPr>
            <w:tcW w:w="2428" w:type="dxa"/>
            <w:shd w:val="clear" w:color="auto" w:fill="auto"/>
            <w:noWrap/>
            <w:vAlign w:val="bottom"/>
          </w:tcPr>
          <w:p w:rsidR="00BD0399" w:rsidRPr="00834708" w:rsidRDefault="00BD0399" w:rsidP="002D5A63">
            <w:pPr>
              <w:spacing w:line="240" w:lineRule="auto"/>
              <w:jc w:val="right"/>
              <w:rPr>
                <w:rFonts w:ascii="Calibri" w:hAnsi="Calibri"/>
                <w:b/>
                <w:bCs/>
                <w:sz w:val="18"/>
                <w:szCs w:val="18"/>
                <w:lang w:eastAsia="sl-SI"/>
              </w:rPr>
            </w:pPr>
            <w:r w:rsidRPr="00972554">
              <w:rPr>
                <w:rFonts w:ascii="Calibri" w:hAnsi="Calibri" w:cs="Calibri"/>
                <w:b/>
                <w:bCs/>
                <w:sz w:val="18"/>
                <w:szCs w:val="18"/>
                <w:lang w:val="sl-SI" w:eastAsia="sl-SI"/>
              </w:rPr>
              <w:t xml:space="preserve">3.644.100.285 </w:t>
            </w:r>
          </w:p>
        </w:tc>
        <w:tc>
          <w:tcPr>
            <w:tcW w:w="1276" w:type="dxa"/>
            <w:shd w:val="clear" w:color="auto" w:fill="auto"/>
            <w:noWrap/>
            <w:vAlign w:val="bottom"/>
            <w:hideMark/>
          </w:tcPr>
          <w:p w:rsidR="00BD0399" w:rsidRPr="00871D79" w:rsidRDefault="00BD0399" w:rsidP="002D5A63">
            <w:pPr>
              <w:spacing w:line="240" w:lineRule="auto"/>
              <w:jc w:val="right"/>
              <w:rPr>
                <w:rFonts w:ascii="Calibri" w:hAnsi="Calibri"/>
                <w:b/>
                <w:bCs/>
                <w:sz w:val="18"/>
                <w:szCs w:val="18"/>
                <w:lang w:eastAsia="sl-SI"/>
              </w:rPr>
            </w:pPr>
          </w:p>
        </w:tc>
      </w:tr>
      <w:tr w:rsidR="00BD0399" w:rsidRPr="007008DB" w:rsidTr="002D5A63">
        <w:trPr>
          <w:trHeight w:val="300"/>
        </w:trPr>
        <w:tc>
          <w:tcPr>
            <w:tcW w:w="6394" w:type="dxa"/>
            <w:shd w:val="clear" w:color="auto" w:fill="auto"/>
            <w:noWrap/>
            <w:vAlign w:val="bottom"/>
            <w:hideMark/>
          </w:tcPr>
          <w:p w:rsidR="00BD0399" w:rsidRPr="007008DB" w:rsidRDefault="00BD0399" w:rsidP="00673BFD">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država</w:t>
            </w:r>
          </w:p>
        </w:tc>
        <w:tc>
          <w:tcPr>
            <w:tcW w:w="2428" w:type="dxa"/>
            <w:shd w:val="clear" w:color="auto" w:fill="auto"/>
            <w:noWrap/>
            <w:vAlign w:val="bottom"/>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 xml:space="preserve">3.631.987.965 </w:t>
            </w:r>
          </w:p>
        </w:tc>
        <w:tc>
          <w:tcPr>
            <w:tcW w:w="1276" w:type="dxa"/>
            <w:shd w:val="clear" w:color="auto" w:fill="auto"/>
            <w:noWrap/>
            <w:vAlign w:val="bottom"/>
            <w:hideMark/>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99,67</w:t>
            </w:r>
          </w:p>
        </w:tc>
      </w:tr>
      <w:tr w:rsidR="00BD0399" w:rsidRPr="007008DB" w:rsidTr="002D5A63">
        <w:trPr>
          <w:trHeight w:val="300"/>
        </w:trPr>
        <w:tc>
          <w:tcPr>
            <w:tcW w:w="6394" w:type="dxa"/>
            <w:shd w:val="clear" w:color="auto" w:fill="auto"/>
            <w:noWrap/>
            <w:vAlign w:val="bottom"/>
            <w:hideMark/>
          </w:tcPr>
          <w:p w:rsidR="00BD0399" w:rsidRPr="007008DB" w:rsidRDefault="00BD0399" w:rsidP="00BC0D29">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občin</w:t>
            </w:r>
            <w:r>
              <w:rPr>
                <w:rFonts w:ascii="Calibri" w:hAnsi="Calibri"/>
                <w:color w:val="000000"/>
                <w:sz w:val="18"/>
                <w:szCs w:val="18"/>
                <w:lang w:eastAsia="sl-SI"/>
              </w:rPr>
              <w:t>e</w:t>
            </w:r>
          </w:p>
        </w:tc>
        <w:tc>
          <w:tcPr>
            <w:tcW w:w="2428" w:type="dxa"/>
            <w:shd w:val="clear" w:color="auto" w:fill="auto"/>
            <w:noWrap/>
            <w:vAlign w:val="bottom"/>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 xml:space="preserve">12.112.320 </w:t>
            </w:r>
          </w:p>
        </w:tc>
        <w:tc>
          <w:tcPr>
            <w:tcW w:w="1276" w:type="dxa"/>
            <w:shd w:val="clear" w:color="auto" w:fill="auto"/>
            <w:noWrap/>
            <w:vAlign w:val="bottom"/>
            <w:hideMark/>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0,33</w:t>
            </w:r>
          </w:p>
        </w:tc>
      </w:tr>
      <w:tr w:rsidR="00BD0399" w:rsidRPr="007008DB" w:rsidTr="002D5A63">
        <w:trPr>
          <w:trHeight w:val="300"/>
        </w:trPr>
        <w:tc>
          <w:tcPr>
            <w:tcW w:w="6394" w:type="dxa"/>
            <w:shd w:val="clear" w:color="auto" w:fill="auto"/>
            <w:noWrap/>
            <w:vAlign w:val="bottom"/>
            <w:hideMark/>
          </w:tcPr>
          <w:p w:rsidR="00BD0399" w:rsidRPr="007008DB" w:rsidRDefault="00BD0399" w:rsidP="00673BFD">
            <w:pPr>
              <w:spacing w:line="240" w:lineRule="auto"/>
              <w:rPr>
                <w:rFonts w:ascii="Calibri" w:hAnsi="Calibri"/>
                <w:b/>
                <w:bCs/>
                <w:color w:val="000000"/>
                <w:sz w:val="18"/>
                <w:szCs w:val="18"/>
                <w:lang w:eastAsia="sl-SI"/>
              </w:rPr>
            </w:pPr>
            <w:r w:rsidRPr="007008DB">
              <w:rPr>
                <w:rFonts w:ascii="Calibri" w:hAnsi="Calibri"/>
                <w:b/>
                <w:bCs/>
                <w:color w:val="000000"/>
                <w:sz w:val="18"/>
                <w:szCs w:val="18"/>
                <w:lang w:eastAsia="sl-SI"/>
              </w:rPr>
              <w:t>915-Dolgoročne terjatve iz poslovanja</w:t>
            </w:r>
          </w:p>
        </w:tc>
        <w:tc>
          <w:tcPr>
            <w:tcW w:w="2428" w:type="dxa"/>
            <w:shd w:val="clear" w:color="auto" w:fill="auto"/>
            <w:noWrap/>
            <w:vAlign w:val="bottom"/>
          </w:tcPr>
          <w:p w:rsidR="00BD0399" w:rsidRPr="00834708" w:rsidRDefault="00BD0399" w:rsidP="002D5A63">
            <w:pPr>
              <w:spacing w:line="240" w:lineRule="auto"/>
              <w:jc w:val="right"/>
              <w:rPr>
                <w:rFonts w:ascii="Calibri" w:hAnsi="Calibri"/>
                <w:b/>
                <w:bCs/>
                <w:sz w:val="18"/>
                <w:szCs w:val="18"/>
                <w:lang w:eastAsia="sl-SI"/>
              </w:rPr>
            </w:pPr>
            <w:r w:rsidRPr="00972554">
              <w:rPr>
                <w:rFonts w:ascii="Calibri" w:hAnsi="Calibri" w:cs="Calibri"/>
                <w:b/>
                <w:bCs/>
                <w:sz w:val="18"/>
                <w:szCs w:val="18"/>
                <w:lang w:val="sl-SI" w:eastAsia="sl-SI"/>
              </w:rPr>
              <w:t xml:space="preserve">425.016.727 </w:t>
            </w:r>
          </w:p>
        </w:tc>
        <w:tc>
          <w:tcPr>
            <w:tcW w:w="1276" w:type="dxa"/>
            <w:shd w:val="clear" w:color="auto" w:fill="auto"/>
            <w:noWrap/>
            <w:vAlign w:val="bottom"/>
            <w:hideMark/>
          </w:tcPr>
          <w:p w:rsidR="00BD0399" w:rsidRPr="00871D79" w:rsidRDefault="00BD0399" w:rsidP="002D5A63">
            <w:pPr>
              <w:spacing w:line="240" w:lineRule="auto"/>
              <w:jc w:val="right"/>
              <w:rPr>
                <w:rFonts w:ascii="Calibri" w:hAnsi="Calibri"/>
                <w:b/>
                <w:bCs/>
                <w:sz w:val="18"/>
                <w:szCs w:val="18"/>
                <w:lang w:eastAsia="sl-SI"/>
              </w:rPr>
            </w:pPr>
          </w:p>
        </w:tc>
      </w:tr>
      <w:tr w:rsidR="00BD0399" w:rsidRPr="007008DB" w:rsidTr="002D5A63">
        <w:trPr>
          <w:trHeight w:val="300"/>
        </w:trPr>
        <w:tc>
          <w:tcPr>
            <w:tcW w:w="6394" w:type="dxa"/>
            <w:shd w:val="clear" w:color="auto" w:fill="auto"/>
            <w:noWrap/>
            <w:vAlign w:val="bottom"/>
            <w:hideMark/>
          </w:tcPr>
          <w:p w:rsidR="00BD0399" w:rsidRPr="007008DB" w:rsidRDefault="00BD0399" w:rsidP="00673BFD">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država</w:t>
            </w:r>
          </w:p>
        </w:tc>
        <w:tc>
          <w:tcPr>
            <w:tcW w:w="2428" w:type="dxa"/>
            <w:shd w:val="clear" w:color="auto" w:fill="auto"/>
            <w:noWrap/>
            <w:vAlign w:val="bottom"/>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 xml:space="preserve">347.547.254 </w:t>
            </w:r>
          </w:p>
        </w:tc>
        <w:tc>
          <w:tcPr>
            <w:tcW w:w="1276" w:type="dxa"/>
            <w:shd w:val="clear" w:color="auto" w:fill="auto"/>
            <w:noWrap/>
            <w:vAlign w:val="bottom"/>
            <w:hideMark/>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81,77</w:t>
            </w:r>
          </w:p>
        </w:tc>
      </w:tr>
      <w:tr w:rsidR="00BD0399" w:rsidRPr="007008DB" w:rsidTr="002D5A63">
        <w:trPr>
          <w:trHeight w:val="300"/>
        </w:trPr>
        <w:tc>
          <w:tcPr>
            <w:tcW w:w="6394" w:type="dxa"/>
            <w:shd w:val="clear" w:color="auto" w:fill="auto"/>
            <w:noWrap/>
            <w:vAlign w:val="bottom"/>
            <w:hideMark/>
          </w:tcPr>
          <w:p w:rsidR="00BD0399" w:rsidRPr="007008DB" w:rsidRDefault="00BD0399" w:rsidP="00BC0D29">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občin</w:t>
            </w:r>
            <w:r>
              <w:rPr>
                <w:rFonts w:ascii="Calibri" w:hAnsi="Calibri"/>
                <w:color w:val="000000"/>
                <w:sz w:val="18"/>
                <w:szCs w:val="18"/>
                <w:lang w:eastAsia="sl-SI"/>
              </w:rPr>
              <w:t>e</w:t>
            </w:r>
          </w:p>
        </w:tc>
        <w:tc>
          <w:tcPr>
            <w:tcW w:w="2428" w:type="dxa"/>
            <w:shd w:val="clear" w:color="auto" w:fill="auto"/>
            <w:noWrap/>
            <w:vAlign w:val="bottom"/>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 xml:space="preserve">77.469.473 </w:t>
            </w:r>
          </w:p>
        </w:tc>
        <w:tc>
          <w:tcPr>
            <w:tcW w:w="1276" w:type="dxa"/>
            <w:shd w:val="clear" w:color="auto" w:fill="auto"/>
            <w:noWrap/>
            <w:vAlign w:val="bottom"/>
            <w:hideMark/>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18,23</w:t>
            </w:r>
          </w:p>
        </w:tc>
      </w:tr>
      <w:tr w:rsidR="00BD0399" w:rsidRPr="007008DB" w:rsidTr="002D5A63">
        <w:trPr>
          <w:trHeight w:val="300"/>
        </w:trPr>
        <w:tc>
          <w:tcPr>
            <w:tcW w:w="6394" w:type="dxa"/>
            <w:shd w:val="clear" w:color="auto" w:fill="auto"/>
            <w:noWrap/>
            <w:vAlign w:val="bottom"/>
            <w:hideMark/>
          </w:tcPr>
          <w:p w:rsidR="00BD0399" w:rsidRPr="007008DB" w:rsidRDefault="00BD0399" w:rsidP="00673BFD">
            <w:pPr>
              <w:spacing w:line="240" w:lineRule="auto"/>
              <w:rPr>
                <w:rFonts w:ascii="Calibri" w:hAnsi="Calibri"/>
                <w:b/>
                <w:bCs/>
                <w:color w:val="000000"/>
                <w:sz w:val="18"/>
                <w:szCs w:val="18"/>
                <w:lang w:eastAsia="sl-SI"/>
              </w:rPr>
            </w:pPr>
            <w:r w:rsidRPr="007008DB">
              <w:rPr>
                <w:rFonts w:ascii="Calibri" w:hAnsi="Calibri"/>
                <w:b/>
                <w:bCs/>
                <w:color w:val="000000"/>
                <w:sz w:val="18"/>
                <w:szCs w:val="18"/>
                <w:lang w:eastAsia="sl-SI"/>
              </w:rPr>
              <w:t>916-Denarna sredstva</w:t>
            </w:r>
          </w:p>
        </w:tc>
        <w:tc>
          <w:tcPr>
            <w:tcW w:w="2428" w:type="dxa"/>
            <w:shd w:val="clear" w:color="auto" w:fill="auto"/>
            <w:noWrap/>
            <w:vAlign w:val="bottom"/>
          </w:tcPr>
          <w:p w:rsidR="00BD0399" w:rsidRPr="00834708" w:rsidRDefault="00BD0399" w:rsidP="002D5A63">
            <w:pPr>
              <w:spacing w:line="240" w:lineRule="auto"/>
              <w:jc w:val="right"/>
              <w:rPr>
                <w:rFonts w:ascii="Calibri" w:hAnsi="Calibri"/>
                <w:b/>
                <w:bCs/>
                <w:sz w:val="18"/>
                <w:szCs w:val="18"/>
                <w:lang w:eastAsia="sl-SI"/>
              </w:rPr>
            </w:pPr>
            <w:r w:rsidRPr="00972554">
              <w:rPr>
                <w:rFonts w:ascii="Calibri" w:hAnsi="Calibri" w:cs="Calibri"/>
                <w:b/>
                <w:bCs/>
                <w:sz w:val="18"/>
                <w:szCs w:val="18"/>
                <w:lang w:val="sl-SI" w:eastAsia="sl-SI"/>
              </w:rPr>
              <w:t xml:space="preserve">3.792.312.159 </w:t>
            </w:r>
          </w:p>
        </w:tc>
        <w:tc>
          <w:tcPr>
            <w:tcW w:w="1276" w:type="dxa"/>
            <w:shd w:val="clear" w:color="auto" w:fill="auto"/>
            <w:noWrap/>
            <w:vAlign w:val="bottom"/>
            <w:hideMark/>
          </w:tcPr>
          <w:p w:rsidR="00BD0399" w:rsidRPr="00871D79" w:rsidRDefault="00BD0399" w:rsidP="002D5A63">
            <w:pPr>
              <w:spacing w:line="240" w:lineRule="auto"/>
              <w:jc w:val="right"/>
              <w:rPr>
                <w:rFonts w:ascii="Calibri" w:hAnsi="Calibri"/>
                <w:b/>
                <w:bCs/>
                <w:sz w:val="18"/>
                <w:szCs w:val="18"/>
                <w:lang w:eastAsia="sl-SI"/>
              </w:rPr>
            </w:pPr>
          </w:p>
        </w:tc>
      </w:tr>
      <w:tr w:rsidR="00BD0399" w:rsidRPr="007008DB" w:rsidTr="002D5A63">
        <w:trPr>
          <w:trHeight w:val="300"/>
        </w:trPr>
        <w:tc>
          <w:tcPr>
            <w:tcW w:w="6394" w:type="dxa"/>
            <w:shd w:val="clear" w:color="auto" w:fill="auto"/>
            <w:noWrap/>
            <w:vAlign w:val="bottom"/>
            <w:hideMark/>
          </w:tcPr>
          <w:p w:rsidR="00BD0399" w:rsidRPr="007008DB" w:rsidRDefault="00BD0399" w:rsidP="00673BFD">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država</w:t>
            </w:r>
          </w:p>
        </w:tc>
        <w:tc>
          <w:tcPr>
            <w:tcW w:w="2428" w:type="dxa"/>
            <w:shd w:val="clear" w:color="auto" w:fill="auto"/>
            <w:noWrap/>
            <w:vAlign w:val="bottom"/>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 xml:space="preserve">3.508.598.012 </w:t>
            </w:r>
          </w:p>
        </w:tc>
        <w:tc>
          <w:tcPr>
            <w:tcW w:w="1276" w:type="dxa"/>
            <w:shd w:val="clear" w:color="auto" w:fill="auto"/>
            <w:noWrap/>
            <w:vAlign w:val="bottom"/>
            <w:hideMark/>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92,52</w:t>
            </w:r>
          </w:p>
        </w:tc>
      </w:tr>
      <w:tr w:rsidR="00BD0399" w:rsidRPr="007008DB" w:rsidTr="002D5A63">
        <w:trPr>
          <w:trHeight w:val="300"/>
        </w:trPr>
        <w:tc>
          <w:tcPr>
            <w:tcW w:w="6394" w:type="dxa"/>
            <w:shd w:val="clear" w:color="auto" w:fill="auto"/>
            <w:noWrap/>
            <w:vAlign w:val="bottom"/>
            <w:hideMark/>
          </w:tcPr>
          <w:p w:rsidR="00BD0399" w:rsidRPr="007008DB" w:rsidRDefault="00BD0399" w:rsidP="00BC0D29">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občin</w:t>
            </w:r>
            <w:r>
              <w:rPr>
                <w:rFonts w:ascii="Calibri" w:hAnsi="Calibri"/>
                <w:color w:val="000000"/>
                <w:sz w:val="18"/>
                <w:szCs w:val="18"/>
                <w:lang w:eastAsia="sl-SI"/>
              </w:rPr>
              <w:t>e</w:t>
            </w:r>
          </w:p>
        </w:tc>
        <w:tc>
          <w:tcPr>
            <w:tcW w:w="2428" w:type="dxa"/>
            <w:shd w:val="clear" w:color="auto" w:fill="auto"/>
            <w:noWrap/>
            <w:vAlign w:val="bottom"/>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 xml:space="preserve">283.714.147 </w:t>
            </w:r>
          </w:p>
        </w:tc>
        <w:tc>
          <w:tcPr>
            <w:tcW w:w="1276" w:type="dxa"/>
            <w:shd w:val="clear" w:color="auto" w:fill="auto"/>
            <w:noWrap/>
            <w:vAlign w:val="bottom"/>
            <w:hideMark/>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7,48</w:t>
            </w:r>
          </w:p>
        </w:tc>
      </w:tr>
      <w:tr w:rsidR="00BD0399" w:rsidRPr="007008DB" w:rsidTr="002D5A63">
        <w:trPr>
          <w:trHeight w:val="300"/>
        </w:trPr>
        <w:tc>
          <w:tcPr>
            <w:tcW w:w="6394" w:type="dxa"/>
            <w:shd w:val="clear" w:color="auto" w:fill="auto"/>
            <w:noWrap/>
            <w:vAlign w:val="bottom"/>
            <w:hideMark/>
          </w:tcPr>
          <w:p w:rsidR="00BD0399" w:rsidRPr="007008DB" w:rsidRDefault="00BD0399" w:rsidP="00673BFD">
            <w:pPr>
              <w:spacing w:line="240" w:lineRule="auto"/>
              <w:rPr>
                <w:rFonts w:ascii="Calibri" w:hAnsi="Calibri"/>
                <w:b/>
                <w:bCs/>
                <w:color w:val="000000"/>
                <w:sz w:val="18"/>
                <w:szCs w:val="18"/>
                <w:lang w:eastAsia="sl-SI"/>
              </w:rPr>
            </w:pPr>
            <w:r w:rsidRPr="007008DB">
              <w:rPr>
                <w:rFonts w:ascii="Calibri" w:hAnsi="Calibri"/>
                <w:b/>
                <w:bCs/>
                <w:color w:val="000000"/>
                <w:sz w:val="18"/>
                <w:szCs w:val="18"/>
                <w:lang w:eastAsia="sl-SI"/>
              </w:rPr>
              <w:t>917-Kratkoročne terjatve</w:t>
            </w:r>
          </w:p>
        </w:tc>
        <w:tc>
          <w:tcPr>
            <w:tcW w:w="2428" w:type="dxa"/>
            <w:shd w:val="clear" w:color="auto" w:fill="auto"/>
            <w:noWrap/>
            <w:vAlign w:val="bottom"/>
          </w:tcPr>
          <w:p w:rsidR="00BD0399" w:rsidRPr="00834708" w:rsidRDefault="00BD0399" w:rsidP="002D5A63">
            <w:pPr>
              <w:spacing w:line="240" w:lineRule="auto"/>
              <w:jc w:val="right"/>
              <w:rPr>
                <w:rFonts w:ascii="Calibri" w:hAnsi="Calibri"/>
                <w:b/>
                <w:bCs/>
                <w:sz w:val="18"/>
                <w:szCs w:val="18"/>
                <w:lang w:eastAsia="sl-SI"/>
              </w:rPr>
            </w:pPr>
            <w:r w:rsidRPr="00972554">
              <w:rPr>
                <w:rFonts w:ascii="Calibri" w:hAnsi="Calibri" w:cs="Calibri"/>
                <w:b/>
                <w:bCs/>
                <w:sz w:val="18"/>
                <w:szCs w:val="18"/>
                <w:lang w:val="sl-SI" w:eastAsia="sl-SI"/>
              </w:rPr>
              <w:t xml:space="preserve">4.754.196.702 </w:t>
            </w:r>
          </w:p>
        </w:tc>
        <w:tc>
          <w:tcPr>
            <w:tcW w:w="1276" w:type="dxa"/>
            <w:shd w:val="clear" w:color="auto" w:fill="auto"/>
            <w:noWrap/>
            <w:vAlign w:val="bottom"/>
            <w:hideMark/>
          </w:tcPr>
          <w:p w:rsidR="00BD0399" w:rsidRPr="00871D79" w:rsidRDefault="00BD0399" w:rsidP="002D5A63">
            <w:pPr>
              <w:spacing w:line="240" w:lineRule="auto"/>
              <w:jc w:val="right"/>
              <w:rPr>
                <w:rFonts w:ascii="Calibri" w:hAnsi="Calibri"/>
                <w:b/>
                <w:bCs/>
                <w:sz w:val="18"/>
                <w:szCs w:val="18"/>
                <w:lang w:eastAsia="sl-SI"/>
              </w:rPr>
            </w:pPr>
          </w:p>
        </w:tc>
      </w:tr>
      <w:tr w:rsidR="00BD0399" w:rsidRPr="007008DB" w:rsidTr="002D5A63">
        <w:trPr>
          <w:trHeight w:val="300"/>
        </w:trPr>
        <w:tc>
          <w:tcPr>
            <w:tcW w:w="6394" w:type="dxa"/>
            <w:shd w:val="clear" w:color="auto" w:fill="auto"/>
            <w:noWrap/>
            <w:vAlign w:val="bottom"/>
            <w:hideMark/>
          </w:tcPr>
          <w:p w:rsidR="00BD0399" w:rsidRPr="007008DB" w:rsidRDefault="00BD0399" w:rsidP="00673BFD">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država</w:t>
            </w:r>
          </w:p>
        </w:tc>
        <w:tc>
          <w:tcPr>
            <w:tcW w:w="2428" w:type="dxa"/>
            <w:shd w:val="clear" w:color="auto" w:fill="auto"/>
            <w:noWrap/>
            <w:vAlign w:val="bottom"/>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 xml:space="preserve">4.221.708.734 </w:t>
            </w:r>
          </w:p>
        </w:tc>
        <w:tc>
          <w:tcPr>
            <w:tcW w:w="1276" w:type="dxa"/>
            <w:shd w:val="clear" w:color="auto" w:fill="auto"/>
            <w:noWrap/>
            <w:vAlign w:val="bottom"/>
            <w:hideMark/>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88,80</w:t>
            </w:r>
          </w:p>
        </w:tc>
      </w:tr>
      <w:tr w:rsidR="00BD0399" w:rsidRPr="007008DB" w:rsidTr="002D5A63">
        <w:trPr>
          <w:trHeight w:val="300"/>
        </w:trPr>
        <w:tc>
          <w:tcPr>
            <w:tcW w:w="6394" w:type="dxa"/>
            <w:tcBorders>
              <w:bottom w:val="single" w:sz="4" w:space="0" w:color="auto"/>
            </w:tcBorders>
            <w:shd w:val="clear" w:color="auto" w:fill="auto"/>
            <w:noWrap/>
            <w:vAlign w:val="bottom"/>
            <w:hideMark/>
          </w:tcPr>
          <w:p w:rsidR="00BD0399" w:rsidRPr="007008DB" w:rsidRDefault="00BD0399" w:rsidP="00BC0D29">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občin</w:t>
            </w:r>
            <w:r>
              <w:rPr>
                <w:rFonts w:ascii="Calibri" w:hAnsi="Calibri"/>
                <w:color w:val="000000"/>
                <w:sz w:val="18"/>
                <w:szCs w:val="18"/>
                <w:lang w:eastAsia="sl-SI"/>
              </w:rPr>
              <w:t>e</w:t>
            </w:r>
          </w:p>
        </w:tc>
        <w:tc>
          <w:tcPr>
            <w:tcW w:w="2428" w:type="dxa"/>
            <w:tcBorders>
              <w:bottom w:val="single" w:sz="4" w:space="0" w:color="auto"/>
            </w:tcBorders>
            <w:shd w:val="clear" w:color="auto" w:fill="auto"/>
            <w:noWrap/>
            <w:vAlign w:val="bottom"/>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 xml:space="preserve">532.487.968 </w:t>
            </w:r>
          </w:p>
        </w:tc>
        <w:tc>
          <w:tcPr>
            <w:tcW w:w="1276" w:type="dxa"/>
            <w:tcBorders>
              <w:bottom w:val="single" w:sz="4" w:space="0" w:color="auto"/>
            </w:tcBorders>
            <w:shd w:val="clear" w:color="auto" w:fill="auto"/>
            <w:noWrap/>
            <w:vAlign w:val="bottom"/>
            <w:hideMark/>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11,20</w:t>
            </w:r>
          </w:p>
        </w:tc>
      </w:tr>
      <w:tr w:rsidR="00BD0399" w:rsidRPr="006A4F67" w:rsidTr="002D5A63">
        <w:trPr>
          <w:trHeight w:val="300"/>
        </w:trPr>
        <w:tc>
          <w:tcPr>
            <w:tcW w:w="6394" w:type="dxa"/>
            <w:tcBorders>
              <w:bottom w:val="single" w:sz="4" w:space="0" w:color="auto"/>
            </w:tcBorders>
            <w:shd w:val="clear" w:color="auto" w:fill="92D050"/>
            <w:noWrap/>
            <w:vAlign w:val="bottom"/>
            <w:hideMark/>
          </w:tcPr>
          <w:p w:rsidR="00BD0399" w:rsidRPr="006A4F67" w:rsidRDefault="00BD0399" w:rsidP="00673BFD">
            <w:pPr>
              <w:spacing w:line="240" w:lineRule="auto"/>
              <w:rPr>
                <w:rFonts w:ascii="Calibri" w:hAnsi="Calibri"/>
                <w:b/>
                <w:bCs/>
                <w:i/>
                <w:color w:val="000000"/>
                <w:sz w:val="18"/>
                <w:szCs w:val="18"/>
                <w:lang w:eastAsia="sl-SI"/>
              </w:rPr>
            </w:pPr>
            <w:r w:rsidRPr="006A4F67">
              <w:rPr>
                <w:rFonts w:ascii="Calibri" w:hAnsi="Calibri"/>
                <w:b/>
                <w:bCs/>
                <w:i/>
                <w:color w:val="000000"/>
                <w:sz w:val="18"/>
                <w:szCs w:val="18"/>
                <w:lang w:eastAsia="sl-SI"/>
              </w:rPr>
              <w:t>918-Skupaj aktiva</w:t>
            </w:r>
          </w:p>
        </w:tc>
        <w:tc>
          <w:tcPr>
            <w:tcW w:w="2428" w:type="dxa"/>
            <w:tcBorders>
              <w:bottom w:val="single" w:sz="4" w:space="0" w:color="auto"/>
            </w:tcBorders>
            <w:shd w:val="clear" w:color="auto" w:fill="92D050"/>
            <w:noWrap/>
            <w:vAlign w:val="bottom"/>
          </w:tcPr>
          <w:p w:rsidR="00BD0399" w:rsidRPr="00834708" w:rsidRDefault="00BD0399" w:rsidP="002D5A63">
            <w:pPr>
              <w:spacing w:line="240" w:lineRule="auto"/>
              <w:jc w:val="right"/>
              <w:rPr>
                <w:rFonts w:ascii="Calibri" w:hAnsi="Calibri"/>
                <w:b/>
                <w:bCs/>
                <w:i/>
                <w:sz w:val="18"/>
                <w:szCs w:val="18"/>
                <w:lang w:eastAsia="sl-SI"/>
              </w:rPr>
            </w:pPr>
            <w:r w:rsidRPr="00972554">
              <w:rPr>
                <w:rFonts w:ascii="Calibri" w:hAnsi="Calibri" w:cs="Calibri"/>
                <w:b/>
                <w:bCs/>
                <w:sz w:val="18"/>
                <w:szCs w:val="18"/>
                <w:lang w:val="sl-SI" w:eastAsia="sl-SI"/>
              </w:rPr>
              <w:t xml:space="preserve">48.469.514.870 </w:t>
            </w:r>
          </w:p>
        </w:tc>
        <w:tc>
          <w:tcPr>
            <w:tcW w:w="1276" w:type="dxa"/>
            <w:tcBorders>
              <w:bottom w:val="single" w:sz="4" w:space="0" w:color="auto"/>
            </w:tcBorders>
            <w:shd w:val="clear" w:color="auto" w:fill="92D050"/>
            <w:noWrap/>
            <w:vAlign w:val="bottom"/>
            <w:hideMark/>
          </w:tcPr>
          <w:p w:rsidR="00BD0399" w:rsidRPr="00871D79" w:rsidRDefault="00BD0399" w:rsidP="002D5A63">
            <w:pPr>
              <w:spacing w:line="240" w:lineRule="auto"/>
              <w:jc w:val="right"/>
              <w:rPr>
                <w:rFonts w:ascii="Calibri" w:hAnsi="Calibri"/>
                <w:b/>
                <w:bCs/>
                <w:i/>
                <w:sz w:val="18"/>
                <w:szCs w:val="18"/>
                <w:lang w:eastAsia="sl-SI"/>
              </w:rPr>
            </w:pPr>
          </w:p>
        </w:tc>
      </w:tr>
      <w:tr w:rsidR="00BD0399" w:rsidRPr="007008DB" w:rsidTr="002D5A63">
        <w:trPr>
          <w:trHeight w:val="300"/>
        </w:trPr>
        <w:tc>
          <w:tcPr>
            <w:tcW w:w="6394" w:type="dxa"/>
            <w:tcBorders>
              <w:bottom w:val="single" w:sz="4" w:space="0" w:color="auto"/>
            </w:tcBorders>
            <w:shd w:val="pct12" w:color="auto" w:fill="auto"/>
            <w:noWrap/>
            <w:vAlign w:val="bottom"/>
            <w:hideMark/>
          </w:tcPr>
          <w:p w:rsidR="00BD0399" w:rsidRPr="002100C5" w:rsidRDefault="00BD0399" w:rsidP="002100C5">
            <w:pPr>
              <w:spacing w:line="240" w:lineRule="auto"/>
              <w:ind w:firstLineChars="100" w:firstLine="181"/>
              <w:rPr>
                <w:rFonts w:ascii="Calibri" w:hAnsi="Calibri"/>
                <w:b/>
                <w:i/>
                <w:color w:val="000000"/>
                <w:sz w:val="18"/>
                <w:szCs w:val="18"/>
                <w:lang w:eastAsia="sl-SI"/>
              </w:rPr>
            </w:pPr>
            <w:r w:rsidRPr="002100C5">
              <w:rPr>
                <w:rFonts w:ascii="Calibri" w:hAnsi="Calibri"/>
                <w:b/>
                <w:i/>
                <w:color w:val="000000"/>
                <w:sz w:val="18"/>
                <w:szCs w:val="18"/>
                <w:lang w:eastAsia="sl-SI"/>
              </w:rPr>
              <w:t>država</w:t>
            </w:r>
          </w:p>
        </w:tc>
        <w:tc>
          <w:tcPr>
            <w:tcW w:w="2428" w:type="dxa"/>
            <w:tcBorders>
              <w:bottom w:val="single" w:sz="4" w:space="0" w:color="auto"/>
            </w:tcBorders>
            <w:shd w:val="pct12" w:color="auto" w:fill="auto"/>
            <w:noWrap/>
            <w:vAlign w:val="bottom"/>
          </w:tcPr>
          <w:p w:rsidR="00BD0399" w:rsidRPr="00834708" w:rsidRDefault="00BD0399" w:rsidP="002D5A63">
            <w:pPr>
              <w:spacing w:line="240" w:lineRule="auto"/>
              <w:jc w:val="right"/>
              <w:rPr>
                <w:rFonts w:ascii="Calibri" w:hAnsi="Calibri"/>
                <w:b/>
                <w:i/>
                <w:sz w:val="18"/>
                <w:szCs w:val="18"/>
                <w:lang w:eastAsia="sl-SI"/>
              </w:rPr>
            </w:pPr>
            <w:r w:rsidRPr="00972554">
              <w:rPr>
                <w:rFonts w:ascii="Calibri" w:hAnsi="Calibri" w:cs="Calibri"/>
                <w:sz w:val="18"/>
                <w:szCs w:val="18"/>
                <w:lang w:val="sl-SI" w:eastAsia="sl-SI"/>
              </w:rPr>
              <w:t xml:space="preserve">33.569.109.735 </w:t>
            </w:r>
          </w:p>
        </w:tc>
        <w:tc>
          <w:tcPr>
            <w:tcW w:w="1276" w:type="dxa"/>
            <w:tcBorders>
              <w:bottom w:val="single" w:sz="4" w:space="0" w:color="auto"/>
            </w:tcBorders>
            <w:shd w:val="pct12" w:color="auto" w:fill="auto"/>
            <w:noWrap/>
            <w:vAlign w:val="bottom"/>
            <w:hideMark/>
          </w:tcPr>
          <w:p w:rsidR="00BD0399" w:rsidRPr="00834708" w:rsidRDefault="00BD0399" w:rsidP="002D5A63">
            <w:pPr>
              <w:spacing w:line="240" w:lineRule="auto"/>
              <w:jc w:val="right"/>
              <w:rPr>
                <w:rFonts w:ascii="Calibri" w:hAnsi="Calibri"/>
                <w:b/>
                <w:i/>
                <w:sz w:val="18"/>
                <w:szCs w:val="18"/>
                <w:lang w:eastAsia="sl-SI"/>
              </w:rPr>
            </w:pPr>
            <w:r w:rsidRPr="00972554">
              <w:rPr>
                <w:rFonts w:ascii="Calibri" w:hAnsi="Calibri" w:cs="Calibri"/>
                <w:sz w:val="18"/>
                <w:szCs w:val="18"/>
                <w:lang w:val="sl-SI" w:eastAsia="sl-SI"/>
              </w:rPr>
              <w:t>69,26</w:t>
            </w:r>
          </w:p>
        </w:tc>
      </w:tr>
      <w:tr w:rsidR="00BD0399" w:rsidRPr="007008DB" w:rsidTr="002D5A63">
        <w:trPr>
          <w:trHeight w:val="300"/>
        </w:trPr>
        <w:tc>
          <w:tcPr>
            <w:tcW w:w="6394" w:type="dxa"/>
            <w:shd w:val="pct37" w:color="auto" w:fill="auto"/>
            <w:noWrap/>
            <w:vAlign w:val="bottom"/>
            <w:hideMark/>
          </w:tcPr>
          <w:p w:rsidR="00BD0399" w:rsidRPr="002100C5" w:rsidRDefault="00BD0399" w:rsidP="002100C5">
            <w:pPr>
              <w:spacing w:line="240" w:lineRule="auto"/>
              <w:ind w:firstLineChars="100" w:firstLine="181"/>
              <w:rPr>
                <w:rFonts w:ascii="Calibri" w:hAnsi="Calibri"/>
                <w:b/>
                <w:i/>
                <w:color w:val="000000"/>
                <w:sz w:val="18"/>
                <w:szCs w:val="18"/>
                <w:lang w:eastAsia="sl-SI"/>
              </w:rPr>
            </w:pPr>
            <w:r w:rsidRPr="002100C5">
              <w:rPr>
                <w:rFonts w:ascii="Calibri" w:hAnsi="Calibri"/>
                <w:b/>
                <w:i/>
                <w:color w:val="000000"/>
                <w:sz w:val="18"/>
                <w:szCs w:val="18"/>
                <w:lang w:eastAsia="sl-SI"/>
              </w:rPr>
              <w:t>občin</w:t>
            </w:r>
            <w:r>
              <w:rPr>
                <w:rFonts w:ascii="Calibri" w:hAnsi="Calibri"/>
                <w:b/>
                <w:i/>
                <w:color w:val="000000"/>
                <w:sz w:val="18"/>
                <w:szCs w:val="18"/>
                <w:lang w:eastAsia="sl-SI"/>
              </w:rPr>
              <w:t>e</w:t>
            </w:r>
          </w:p>
        </w:tc>
        <w:tc>
          <w:tcPr>
            <w:tcW w:w="2428" w:type="dxa"/>
            <w:shd w:val="pct37" w:color="auto" w:fill="auto"/>
            <w:noWrap/>
            <w:vAlign w:val="bottom"/>
          </w:tcPr>
          <w:p w:rsidR="00BD0399" w:rsidRPr="00834708" w:rsidRDefault="00BD0399" w:rsidP="002D5A63">
            <w:pPr>
              <w:spacing w:line="240" w:lineRule="auto"/>
              <w:jc w:val="right"/>
              <w:rPr>
                <w:rFonts w:ascii="Calibri" w:hAnsi="Calibri"/>
                <w:b/>
                <w:i/>
                <w:sz w:val="18"/>
                <w:szCs w:val="18"/>
                <w:lang w:eastAsia="sl-SI"/>
              </w:rPr>
            </w:pPr>
            <w:r w:rsidRPr="00972554">
              <w:rPr>
                <w:rFonts w:ascii="Calibri" w:hAnsi="Calibri" w:cs="Calibri"/>
                <w:sz w:val="18"/>
                <w:szCs w:val="18"/>
                <w:lang w:val="sl-SI" w:eastAsia="sl-SI"/>
              </w:rPr>
              <w:t xml:space="preserve">14.900.405.135 </w:t>
            </w:r>
          </w:p>
        </w:tc>
        <w:tc>
          <w:tcPr>
            <w:tcW w:w="1276" w:type="dxa"/>
            <w:shd w:val="pct37" w:color="auto" w:fill="auto"/>
            <w:noWrap/>
            <w:vAlign w:val="bottom"/>
            <w:hideMark/>
          </w:tcPr>
          <w:p w:rsidR="00BD0399" w:rsidRPr="00834708" w:rsidRDefault="00BD0399" w:rsidP="002D5A63">
            <w:pPr>
              <w:spacing w:line="240" w:lineRule="auto"/>
              <w:jc w:val="right"/>
              <w:rPr>
                <w:rFonts w:ascii="Calibri" w:hAnsi="Calibri"/>
                <w:b/>
                <w:i/>
                <w:sz w:val="18"/>
                <w:szCs w:val="18"/>
                <w:lang w:eastAsia="sl-SI"/>
              </w:rPr>
            </w:pPr>
            <w:r w:rsidRPr="00972554">
              <w:rPr>
                <w:rFonts w:ascii="Calibri" w:hAnsi="Calibri" w:cs="Calibri"/>
                <w:sz w:val="18"/>
                <w:szCs w:val="18"/>
                <w:lang w:val="sl-SI" w:eastAsia="sl-SI"/>
              </w:rPr>
              <w:t>30,74</w:t>
            </w:r>
          </w:p>
        </w:tc>
      </w:tr>
      <w:tr w:rsidR="00BD0399" w:rsidRPr="007008DB" w:rsidTr="002D5A63">
        <w:trPr>
          <w:trHeight w:val="300"/>
        </w:trPr>
        <w:tc>
          <w:tcPr>
            <w:tcW w:w="6394" w:type="dxa"/>
            <w:shd w:val="clear" w:color="auto" w:fill="auto"/>
            <w:noWrap/>
            <w:vAlign w:val="bottom"/>
            <w:hideMark/>
          </w:tcPr>
          <w:p w:rsidR="00BD0399" w:rsidRPr="007008DB" w:rsidRDefault="00BD0399" w:rsidP="00673BFD">
            <w:pPr>
              <w:spacing w:line="240" w:lineRule="auto"/>
              <w:rPr>
                <w:rFonts w:ascii="Calibri" w:hAnsi="Calibri"/>
                <w:b/>
                <w:bCs/>
                <w:color w:val="000000"/>
                <w:sz w:val="18"/>
                <w:szCs w:val="18"/>
                <w:lang w:eastAsia="sl-SI"/>
              </w:rPr>
            </w:pPr>
            <w:r w:rsidRPr="007008DB">
              <w:rPr>
                <w:rFonts w:ascii="Calibri" w:hAnsi="Calibri"/>
                <w:b/>
                <w:bCs/>
                <w:color w:val="000000"/>
                <w:sz w:val="18"/>
                <w:szCs w:val="18"/>
                <w:lang w:eastAsia="sl-SI"/>
              </w:rPr>
              <w:t>919-Splošni sklad</w:t>
            </w:r>
          </w:p>
        </w:tc>
        <w:tc>
          <w:tcPr>
            <w:tcW w:w="2428" w:type="dxa"/>
            <w:shd w:val="clear" w:color="auto" w:fill="auto"/>
            <w:noWrap/>
            <w:vAlign w:val="bottom"/>
          </w:tcPr>
          <w:p w:rsidR="00BD0399" w:rsidRPr="00834708" w:rsidRDefault="00BD0399" w:rsidP="002D5A63">
            <w:pPr>
              <w:spacing w:line="240" w:lineRule="auto"/>
              <w:jc w:val="right"/>
              <w:rPr>
                <w:rFonts w:ascii="Calibri" w:hAnsi="Calibri"/>
                <w:b/>
                <w:bCs/>
                <w:sz w:val="18"/>
                <w:szCs w:val="18"/>
                <w:lang w:eastAsia="sl-SI"/>
              </w:rPr>
            </w:pPr>
            <w:r w:rsidRPr="00972554">
              <w:rPr>
                <w:rFonts w:ascii="Calibri" w:hAnsi="Calibri" w:cs="Calibri"/>
                <w:b/>
                <w:bCs/>
                <w:sz w:val="18"/>
                <w:szCs w:val="18"/>
                <w:lang w:val="sl-SI" w:eastAsia="sl-SI"/>
              </w:rPr>
              <w:t xml:space="preserve">15.510.139.605 </w:t>
            </w:r>
          </w:p>
        </w:tc>
        <w:tc>
          <w:tcPr>
            <w:tcW w:w="1276" w:type="dxa"/>
            <w:shd w:val="clear" w:color="auto" w:fill="auto"/>
            <w:noWrap/>
            <w:vAlign w:val="bottom"/>
            <w:hideMark/>
          </w:tcPr>
          <w:p w:rsidR="00BD0399" w:rsidRPr="00871D79" w:rsidRDefault="00BD0399" w:rsidP="002D5A63">
            <w:pPr>
              <w:spacing w:line="240" w:lineRule="auto"/>
              <w:jc w:val="right"/>
              <w:rPr>
                <w:rFonts w:ascii="Calibri" w:hAnsi="Calibri"/>
                <w:b/>
                <w:bCs/>
                <w:sz w:val="18"/>
                <w:szCs w:val="18"/>
                <w:lang w:eastAsia="sl-SI"/>
              </w:rPr>
            </w:pPr>
          </w:p>
        </w:tc>
      </w:tr>
      <w:tr w:rsidR="00BD0399" w:rsidRPr="007008DB" w:rsidTr="002D5A63">
        <w:trPr>
          <w:trHeight w:val="300"/>
        </w:trPr>
        <w:tc>
          <w:tcPr>
            <w:tcW w:w="6394" w:type="dxa"/>
            <w:shd w:val="clear" w:color="auto" w:fill="auto"/>
            <w:noWrap/>
            <w:vAlign w:val="bottom"/>
            <w:hideMark/>
          </w:tcPr>
          <w:p w:rsidR="00BD0399" w:rsidRPr="007008DB" w:rsidRDefault="00BD0399" w:rsidP="00673BFD">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država</w:t>
            </w:r>
          </w:p>
        </w:tc>
        <w:tc>
          <w:tcPr>
            <w:tcW w:w="2428" w:type="dxa"/>
            <w:shd w:val="clear" w:color="auto" w:fill="auto"/>
            <w:noWrap/>
            <w:vAlign w:val="bottom"/>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 xml:space="preserve">1.750.959.972 </w:t>
            </w:r>
          </w:p>
        </w:tc>
        <w:tc>
          <w:tcPr>
            <w:tcW w:w="1276" w:type="dxa"/>
            <w:shd w:val="clear" w:color="auto" w:fill="auto"/>
            <w:noWrap/>
            <w:vAlign w:val="bottom"/>
            <w:hideMark/>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11,29</w:t>
            </w:r>
          </w:p>
        </w:tc>
      </w:tr>
      <w:tr w:rsidR="00BD0399" w:rsidRPr="007008DB" w:rsidTr="002D5A63">
        <w:trPr>
          <w:trHeight w:val="300"/>
        </w:trPr>
        <w:tc>
          <w:tcPr>
            <w:tcW w:w="6394" w:type="dxa"/>
            <w:shd w:val="clear" w:color="auto" w:fill="auto"/>
            <w:noWrap/>
            <w:vAlign w:val="bottom"/>
            <w:hideMark/>
          </w:tcPr>
          <w:p w:rsidR="00BD0399" w:rsidRPr="007008DB" w:rsidRDefault="00BD0399" w:rsidP="00BC0D29">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občin</w:t>
            </w:r>
            <w:r>
              <w:rPr>
                <w:rFonts w:ascii="Calibri" w:hAnsi="Calibri"/>
                <w:color w:val="000000"/>
                <w:sz w:val="18"/>
                <w:szCs w:val="18"/>
                <w:lang w:eastAsia="sl-SI"/>
              </w:rPr>
              <w:t>e</w:t>
            </w:r>
          </w:p>
        </w:tc>
        <w:tc>
          <w:tcPr>
            <w:tcW w:w="2428" w:type="dxa"/>
            <w:shd w:val="clear" w:color="auto" w:fill="auto"/>
            <w:noWrap/>
            <w:vAlign w:val="bottom"/>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 xml:space="preserve">13.759.179.633 </w:t>
            </w:r>
          </w:p>
        </w:tc>
        <w:tc>
          <w:tcPr>
            <w:tcW w:w="1276" w:type="dxa"/>
            <w:shd w:val="clear" w:color="auto" w:fill="auto"/>
            <w:noWrap/>
            <w:vAlign w:val="bottom"/>
            <w:hideMark/>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88,71</w:t>
            </w:r>
          </w:p>
        </w:tc>
      </w:tr>
      <w:tr w:rsidR="00BD0399" w:rsidRPr="007008DB" w:rsidTr="002D5A63">
        <w:trPr>
          <w:trHeight w:val="300"/>
        </w:trPr>
        <w:tc>
          <w:tcPr>
            <w:tcW w:w="6394" w:type="dxa"/>
            <w:shd w:val="clear" w:color="auto" w:fill="auto"/>
            <w:noWrap/>
            <w:vAlign w:val="bottom"/>
            <w:hideMark/>
          </w:tcPr>
          <w:p w:rsidR="00BD0399" w:rsidRPr="007008DB" w:rsidRDefault="00BD0399" w:rsidP="00673BFD">
            <w:pPr>
              <w:spacing w:line="240" w:lineRule="auto"/>
              <w:rPr>
                <w:rFonts w:ascii="Calibri" w:hAnsi="Calibri"/>
                <w:b/>
                <w:bCs/>
                <w:color w:val="000000"/>
                <w:sz w:val="18"/>
                <w:szCs w:val="18"/>
                <w:lang w:eastAsia="sl-SI"/>
              </w:rPr>
            </w:pPr>
            <w:r w:rsidRPr="007008DB">
              <w:rPr>
                <w:rFonts w:ascii="Calibri" w:hAnsi="Calibri"/>
                <w:b/>
                <w:bCs/>
                <w:color w:val="000000"/>
                <w:sz w:val="18"/>
                <w:szCs w:val="18"/>
                <w:lang w:eastAsia="sl-SI"/>
              </w:rPr>
              <w:t>920-Rezervni sklad</w:t>
            </w:r>
          </w:p>
        </w:tc>
        <w:tc>
          <w:tcPr>
            <w:tcW w:w="2428" w:type="dxa"/>
            <w:shd w:val="clear" w:color="auto" w:fill="auto"/>
            <w:noWrap/>
            <w:vAlign w:val="bottom"/>
          </w:tcPr>
          <w:p w:rsidR="00BD0399" w:rsidRPr="00834708" w:rsidRDefault="00BD0399" w:rsidP="002D5A63">
            <w:pPr>
              <w:spacing w:line="240" w:lineRule="auto"/>
              <w:jc w:val="right"/>
              <w:rPr>
                <w:rFonts w:ascii="Calibri" w:hAnsi="Calibri"/>
                <w:b/>
                <w:bCs/>
                <w:sz w:val="18"/>
                <w:szCs w:val="18"/>
                <w:lang w:eastAsia="sl-SI"/>
              </w:rPr>
            </w:pPr>
            <w:r w:rsidRPr="00972554">
              <w:rPr>
                <w:rFonts w:ascii="Calibri" w:hAnsi="Calibri" w:cs="Calibri"/>
                <w:b/>
                <w:bCs/>
                <w:sz w:val="18"/>
                <w:szCs w:val="18"/>
                <w:lang w:val="sl-SI" w:eastAsia="sl-SI"/>
              </w:rPr>
              <w:t xml:space="preserve">95.512.752 </w:t>
            </w:r>
          </w:p>
        </w:tc>
        <w:tc>
          <w:tcPr>
            <w:tcW w:w="1276" w:type="dxa"/>
            <w:shd w:val="clear" w:color="auto" w:fill="auto"/>
            <w:noWrap/>
            <w:vAlign w:val="bottom"/>
            <w:hideMark/>
          </w:tcPr>
          <w:p w:rsidR="00BD0399" w:rsidRPr="00871D79" w:rsidRDefault="00BD0399" w:rsidP="002D5A63">
            <w:pPr>
              <w:spacing w:line="240" w:lineRule="auto"/>
              <w:jc w:val="right"/>
              <w:rPr>
                <w:rFonts w:ascii="Calibri" w:hAnsi="Calibri"/>
                <w:b/>
                <w:bCs/>
                <w:sz w:val="18"/>
                <w:szCs w:val="18"/>
                <w:lang w:eastAsia="sl-SI"/>
              </w:rPr>
            </w:pPr>
          </w:p>
        </w:tc>
      </w:tr>
      <w:tr w:rsidR="00BD0399" w:rsidRPr="007008DB" w:rsidTr="002D5A63">
        <w:trPr>
          <w:trHeight w:val="300"/>
        </w:trPr>
        <w:tc>
          <w:tcPr>
            <w:tcW w:w="6394" w:type="dxa"/>
            <w:shd w:val="clear" w:color="auto" w:fill="auto"/>
            <w:noWrap/>
            <w:vAlign w:val="bottom"/>
            <w:hideMark/>
          </w:tcPr>
          <w:p w:rsidR="00BD0399" w:rsidRPr="007008DB" w:rsidRDefault="00BD0399" w:rsidP="00673BFD">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država</w:t>
            </w:r>
          </w:p>
        </w:tc>
        <w:tc>
          <w:tcPr>
            <w:tcW w:w="2428" w:type="dxa"/>
            <w:shd w:val="clear" w:color="auto" w:fill="auto"/>
            <w:noWrap/>
            <w:vAlign w:val="bottom"/>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 xml:space="preserve">78.563.693 </w:t>
            </w:r>
          </w:p>
        </w:tc>
        <w:tc>
          <w:tcPr>
            <w:tcW w:w="1276" w:type="dxa"/>
            <w:shd w:val="clear" w:color="auto" w:fill="auto"/>
            <w:noWrap/>
            <w:vAlign w:val="bottom"/>
            <w:hideMark/>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82,25</w:t>
            </w:r>
          </w:p>
        </w:tc>
      </w:tr>
      <w:tr w:rsidR="00BD0399" w:rsidRPr="007008DB" w:rsidTr="002D5A63">
        <w:trPr>
          <w:trHeight w:val="300"/>
        </w:trPr>
        <w:tc>
          <w:tcPr>
            <w:tcW w:w="6394" w:type="dxa"/>
            <w:shd w:val="clear" w:color="auto" w:fill="auto"/>
            <w:noWrap/>
            <w:vAlign w:val="bottom"/>
            <w:hideMark/>
          </w:tcPr>
          <w:p w:rsidR="00BD0399" w:rsidRPr="007008DB" w:rsidRDefault="00BD0399" w:rsidP="00BC0D29">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občin</w:t>
            </w:r>
            <w:r>
              <w:rPr>
                <w:rFonts w:ascii="Calibri" w:hAnsi="Calibri"/>
                <w:color w:val="000000"/>
                <w:sz w:val="18"/>
                <w:szCs w:val="18"/>
                <w:lang w:eastAsia="sl-SI"/>
              </w:rPr>
              <w:t>e</w:t>
            </w:r>
          </w:p>
        </w:tc>
        <w:tc>
          <w:tcPr>
            <w:tcW w:w="2428" w:type="dxa"/>
            <w:shd w:val="clear" w:color="auto" w:fill="auto"/>
            <w:noWrap/>
            <w:vAlign w:val="bottom"/>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 xml:space="preserve">16.949.059 </w:t>
            </w:r>
          </w:p>
        </w:tc>
        <w:tc>
          <w:tcPr>
            <w:tcW w:w="1276" w:type="dxa"/>
            <w:shd w:val="clear" w:color="auto" w:fill="auto"/>
            <w:noWrap/>
            <w:vAlign w:val="bottom"/>
            <w:hideMark/>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17,75</w:t>
            </w:r>
          </w:p>
        </w:tc>
      </w:tr>
      <w:tr w:rsidR="00BD0399" w:rsidRPr="007008DB" w:rsidTr="002D5A63">
        <w:trPr>
          <w:trHeight w:val="300"/>
        </w:trPr>
        <w:tc>
          <w:tcPr>
            <w:tcW w:w="6394" w:type="dxa"/>
            <w:shd w:val="clear" w:color="auto" w:fill="auto"/>
            <w:noWrap/>
            <w:vAlign w:val="bottom"/>
            <w:hideMark/>
          </w:tcPr>
          <w:p w:rsidR="00BD0399" w:rsidRPr="007008DB" w:rsidRDefault="00BD0399" w:rsidP="00673BFD">
            <w:pPr>
              <w:spacing w:line="240" w:lineRule="auto"/>
              <w:rPr>
                <w:rFonts w:ascii="Calibri" w:hAnsi="Calibri"/>
                <w:b/>
                <w:bCs/>
                <w:color w:val="000000"/>
                <w:sz w:val="18"/>
                <w:szCs w:val="18"/>
                <w:lang w:eastAsia="sl-SI"/>
              </w:rPr>
            </w:pPr>
            <w:r w:rsidRPr="007008DB">
              <w:rPr>
                <w:rFonts w:ascii="Calibri" w:hAnsi="Calibri"/>
                <w:b/>
                <w:bCs/>
                <w:color w:val="000000"/>
                <w:sz w:val="18"/>
                <w:szCs w:val="18"/>
                <w:lang w:eastAsia="sl-SI"/>
              </w:rPr>
              <w:t>921-Dolgoročno prejeta posojila</w:t>
            </w:r>
          </w:p>
        </w:tc>
        <w:tc>
          <w:tcPr>
            <w:tcW w:w="2428" w:type="dxa"/>
            <w:shd w:val="clear" w:color="auto" w:fill="auto"/>
            <w:noWrap/>
            <w:vAlign w:val="bottom"/>
          </w:tcPr>
          <w:p w:rsidR="00BD0399" w:rsidRPr="00834708" w:rsidRDefault="00BD0399" w:rsidP="002D5A63">
            <w:pPr>
              <w:spacing w:line="240" w:lineRule="auto"/>
              <w:jc w:val="right"/>
              <w:rPr>
                <w:rFonts w:ascii="Calibri" w:hAnsi="Calibri"/>
                <w:b/>
                <w:bCs/>
                <w:sz w:val="18"/>
                <w:szCs w:val="18"/>
                <w:lang w:eastAsia="sl-SI"/>
              </w:rPr>
            </w:pPr>
            <w:r w:rsidRPr="00972554">
              <w:rPr>
                <w:rFonts w:ascii="Calibri" w:hAnsi="Calibri" w:cs="Calibri"/>
                <w:b/>
                <w:bCs/>
                <w:sz w:val="18"/>
                <w:szCs w:val="18"/>
                <w:lang w:val="sl-SI" w:eastAsia="sl-SI"/>
              </w:rPr>
              <w:t xml:space="preserve">29.476.696.012 </w:t>
            </w:r>
          </w:p>
        </w:tc>
        <w:tc>
          <w:tcPr>
            <w:tcW w:w="1276" w:type="dxa"/>
            <w:shd w:val="clear" w:color="auto" w:fill="auto"/>
            <w:noWrap/>
            <w:vAlign w:val="bottom"/>
            <w:hideMark/>
          </w:tcPr>
          <w:p w:rsidR="00BD0399" w:rsidRPr="00871D79" w:rsidRDefault="00BD0399" w:rsidP="002D5A63">
            <w:pPr>
              <w:spacing w:line="240" w:lineRule="auto"/>
              <w:jc w:val="right"/>
              <w:rPr>
                <w:rFonts w:ascii="Calibri" w:hAnsi="Calibri"/>
                <w:b/>
                <w:bCs/>
                <w:sz w:val="18"/>
                <w:szCs w:val="18"/>
                <w:lang w:eastAsia="sl-SI"/>
              </w:rPr>
            </w:pPr>
          </w:p>
        </w:tc>
      </w:tr>
      <w:tr w:rsidR="00BD0399" w:rsidRPr="007008DB" w:rsidTr="002D5A63">
        <w:trPr>
          <w:trHeight w:val="300"/>
        </w:trPr>
        <w:tc>
          <w:tcPr>
            <w:tcW w:w="6394" w:type="dxa"/>
            <w:shd w:val="clear" w:color="auto" w:fill="auto"/>
            <w:noWrap/>
            <w:vAlign w:val="bottom"/>
            <w:hideMark/>
          </w:tcPr>
          <w:p w:rsidR="00BD0399" w:rsidRPr="007008DB" w:rsidRDefault="00BD0399" w:rsidP="00673BFD">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država</w:t>
            </w:r>
          </w:p>
        </w:tc>
        <w:tc>
          <w:tcPr>
            <w:tcW w:w="2428" w:type="dxa"/>
            <w:shd w:val="clear" w:color="auto" w:fill="auto"/>
            <w:noWrap/>
            <w:vAlign w:val="bottom"/>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 xml:space="preserve">28.888.957.679 </w:t>
            </w:r>
          </w:p>
        </w:tc>
        <w:tc>
          <w:tcPr>
            <w:tcW w:w="1276" w:type="dxa"/>
            <w:shd w:val="clear" w:color="auto" w:fill="auto"/>
            <w:noWrap/>
            <w:vAlign w:val="bottom"/>
            <w:hideMark/>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98,01</w:t>
            </w:r>
          </w:p>
        </w:tc>
      </w:tr>
      <w:tr w:rsidR="00BD0399" w:rsidRPr="007008DB" w:rsidTr="002D5A63">
        <w:trPr>
          <w:trHeight w:val="300"/>
        </w:trPr>
        <w:tc>
          <w:tcPr>
            <w:tcW w:w="6394" w:type="dxa"/>
            <w:shd w:val="clear" w:color="auto" w:fill="auto"/>
            <w:noWrap/>
            <w:vAlign w:val="bottom"/>
            <w:hideMark/>
          </w:tcPr>
          <w:p w:rsidR="00BD0399" w:rsidRPr="007008DB" w:rsidRDefault="00BD0399" w:rsidP="00BC0D29">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občin</w:t>
            </w:r>
            <w:r>
              <w:rPr>
                <w:rFonts w:ascii="Calibri" w:hAnsi="Calibri"/>
                <w:color w:val="000000"/>
                <w:sz w:val="18"/>
                <w:szCs w:val="18"/>
                <w:lang w:eastAsia="sl-SI"/>
              </w:rPr>
              <w:t>e</w:t>
            </w:r>
          </w:p>
        </w:tc>
        <w:tc>
          <w:tcPr>
            <w:tcW w:w="2428" w:type="dxa"/>
            <w:shd w:val="clear" w:color="auto" w:fill="auto"/>
            <w:noWrap/>
            <w:vAlign w:val="bottom"/>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 xml:space="preserve">587.738.333 </w:t>
            </w:r>
          </w:p>
        </w:tc>
        <w:tc>
          <w:tcPr>
            <w:tcW w:w="1276" w:type="dxa"/>
            <w:shd w:val="clear" w:color="auto" w:fill="auto"/>
            <w:noWrap/>
            <w:vAlign w:val="bottom"/>
            <w:hideMark/>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1,99</w:t>
            </w:r>
          </w:p>
        </w:tc>
      </w:tr>
      <w:tr w:rsidR="00BD0399" w:rsidRPr="007008DB" w:rsidTr="002D5A63">
        <w:trPr>
          <w:trHeight w:val="300"/>
        </w:trPr>
        <w:tc>
          <w:tcPr>
            <w:tcW w:w="6394" w:type="dxa"/>
            <w:shd w:val="clear" w:color="auto" w:fill="auto"/>
            <w:noWrap/>
            <w:vAlign w:val="bottom"/>
            <w:hideMark/>
          </w:tcPr>
          <w:p w:rsidR="00BD0399" w:rsidRPr="007008DB" w:rsidRDefault="00BD0399" w:rsidP="00673BFD">
            <w:pPr>
              <w:spacing w:line="240" w:lineRule="auto"/>
              <w:rPr>
                <w:rFonts w:ascii="Calibri" w:hAnsi="Calibri"/>
                <w:b/>
                <w:bCs/>
                <w:color w:val="000000"/>
                <w:sz w:val="18"/>
                <w:szCs w:val="18"/>
                <w:lang w:eastAsia="sl-SI"/>
              </w:rPr>
            </w:pPr>
            <w:r w:rsidRPr="007008DB">
              <w:rPr>
                <w:rFonts w:ascii="Calibri" w:hAnsi="Calibri"/>
                <w:b/>
                <w:bCs/>
                <w:color w:val="000000"/>
                <w:sz w:val="18"/>
                <w:szCs w:val="18"/>
                <w:lang w:eastAsia="sl-SI"/>
              </w:rPr>
              <w:t>922-Dolgoročne obveznosti iz poslovanja</w:t>
            </w:r>
          </w:p>
        </w:tc>
        <w:tc>
          <w:tcPr>
            <w:tcW w:w="2428" w:type="dxa"/>
            <w:shd w:val="clear" w:color="auto" w:fill="auto"/>
            <w:noWrap/>
            <w:vAlign w:val="bottom"/>
          </w:tcPr>
          <w:p w:rsidR="00BD0399" w:rsidRPr="00834708" w:rsidRDefault="00BD0399" w:rsidP="002D5A63">
            <w:pPr>
              <w:spacing w:line="240" w:lineRule="auto"/>
              <w:jc w:val="right"/>
              <w:rPr>
                <w:rFonts w:ascii="Calibri" w:hAnsi="Calibri"/>
                <w:b/>
                <w:bCs/>
                <w:sz w:val="18"/>
                <w:szCs w:val="18"/>
                <w:lang w:eastAsia="sl-SI"/>
              </w:rPr>
            </w:pPr>
            <w:r w:rsidRPr="00972554">
              <w:rPr>
                <w:rFonts w:ascii="Calibri" w:hAnsi="Calibri" w:cs="Calibri"/>
                <w:b/>
                <w:bCs/>
                <w:sz w:val="18"/>
                <w:szCs w:val="18"/>
                <w:lang w:val="sl-SI" w:eastAsia="sl-SI"/>
              </w:rPr>
              <w:t xml:space="preserve">322.940.819 </w:t>
            </w:r>
          </w:p>
        </w:tc>
        <w:tc>
          <w:tcPr>
            <w:tcW w:w="1276" w:type="dxa"/>
            <w:shd w:val="clear" w:color="auto" w:fill="auto"/>
            <w:noWrap/>
            <w:vAlign w:val="bottom"/>
            <w:hideMark/>
          </w:tcPr>
          <w:p w:rsidR="00BD0399" w:rsidRPr="00871D79" w:rsidRDefault="00BD0399" w:rsidP="002D5A63">
            <w:pPr>
              <w:spacing w:line="240" w:lineRule="auto"/>
              <w:jc w:val="right"/>
              <w:rPr>
                <w:rFonts w:ascii="Calibri" w:hAnsi="Calibri"/>
                <w:b/>
                <w:bCs/>
                <w:sz w:val="18"/>
                <w:szCs w:val="18"/>
                <w:lang w:eastAsia="sl-SI"/>
              </w:rPr>
            </w:pPr>
          </w:p>
        </w:tc>
      </w:tr>
      <w:tr w:rsidR="00BD0399" w:rsidRPr="007008DB" w:rsidTr="002D5A63">
        <w:trPr>
          <w:trHeight w:val="300"/>
        </w:trPr>
        <w:tc>
          <w:tcPr>
            <w:tcW w:w="6394" w:type="dxa"/>
            <w:shd w:val="clear" w:color="auto" w:fill="auto"/>
            <w:noWrap/>
            <w:vAlign w:val="bottom"/>
            <w:hideMark/>
          </w:tcPr>
          <w:p w:rsidR="00BD0399" w:rsidRPr="007008DB" w:rsidRDefault="00BD0399" w:rsidP="00673BFD">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država</w:t>
            </w:r>
          </w:p>
        </w:tc>
        <w:tc>
          <w:tcPr>
            <w:tcW w:w="2428" w:type="dxa"/>
            <w:shd w:val="clear" w:color="auto" w:fill="auto"/>
            <w:noWrap/>
            <w:vAlign w:val="bottom"/>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 xml:space="preserve">227.004.141 </w:t>
            </w:r>
          </w:p>
        </w:tc>
        <w:tc>
          <w:tcPr>
            <w:tcW w:w="1276" w:type="dxa"/>
            <w:shd w:val="clear" w:color="auto" w:fill="auto"/>
            <w:noWrap/>
            <w:vAlign w:val="bottom"/>
            <w:hideMark/>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70,29</w:t>
            </w:r>
          </w:p>
        </w:tc>
      </w:tr>
      <w:tr w:rsidR="00BD0399" w:rsidRPr="007008DB" w:rsidTr="002D5A63">
        <w:trPr>
          <w:trHeight w:val="300"/>
        </w:trPr>
        <w:tc>
          <w:tcPr>
            <w:tcW w:w="6394" w:type="dxa"/>
            <w:shd w:val="clear" w:color="auto" w:fill="auto"/>
            <w:noWrap/>
            <w:vAlign w:val="bottom"/>
            <w:hideMark/>
          </w:tcPr>
          <w:p w:rsidR="00BD0399" w:rsidRPr="007008DB" w:rsidRDefault="00BD0399" w:rsidP="00BC0D29">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občin</w:t>
            </w:r>
            <w:r>
              <w:rPr>
                <w:rFonts w:ascii="Calibri" w:hAnsi="Calibri"/>
                <w:color w:val="000000"/>
                <w:sz w:val="18"/>
                <w:szCs w:val="18"/>
                <w:lang w:eastAsia="sl-SI"/>
              </w:rPr>
              <w:t>e</w:t>
            </w:r>
          </w:p>
        </w:tc>
        <w:tc>
          <w:tcPr>
            <w:tcW w:w="2428" w:type="dxa"/>
            <w:shd w:val="clear" w:color="auto" w:fill="auto"/>
            <w:noWrap/>
            <w:vAlign w:val="bottom"/>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 xml:space="preserve">95.936.678 </w:t>
            </w:r>
          </w:p>
        </w:tc>
        <w:tc>
          <w:tcPr>
            <w:tcW w:w="1276" w:type="dxa"/>
            <w:shd w:val="clear" w:color="auto" w:fill="auto"/>
            <w:noWrap/>
            <w:vAlign w:val="bottom"/>
            <w:hideMark/>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29,71</w:t>
            </w:r>
          </w:p>
        </w:tc>
      </w:tr>
      <w:tr w:rsidR="00BD0399" w:rsidRPr="007008DB" w:rsidTr="002D5A63">
        <w:trPr>
          <w:trHeight w:val="300"/>
        </w:trPr>
        <w:tc>
          <w:tcPr>
            <w:tcW w:w="6394" w:type="dxa"/>
            <w:shd w:val="clear" w:color="auto" w:fill="auto"/>
            <w:noWrap/>
            <w:vAlign w:val="bottom"/>
            <w:hideMark/>
          </w:tcPr>
          <w:p w:rsidR="00BD0399" w:rsidRPr="007008DB" w:rsidRDefault="00BD0399" w:rsidP="00673BFD">
            <w:pPr>
              <w:spacing w:line="240" w:lineRule="auto"/>
              <w:rPr>
                <w:rFonts w:ascii="Calibri" w:hAnsi="Calibri"/>
                <w:b/>
                <w:bCs/>
                <w:color w:val="000000"/>
                <w:sz w:val="18"/>
                <w:szCs w:val="18"/>
                <w:lang w:eastAsia="sl-SI"/>
              </w:rPr>
            </w:pPr>
            <w:r w:rsidRPr="007008DB">
              <w:rPr>
                <w:rFonts w:ascii="Calibri" w:hAnsi="Calibri"/>
                <w:b/>
                <w:bCs/>
                <w:color w:val="000000"/>
                <w:sz w:val="18"/>
                <w:szCs w:val="18"/>
                <w:lang w:eastAsia="sl-SI"/>
              </w:rPr>
              <w:t>923-Kratkoročne obveznosti</w:t>
            </w:r>
          </w:p>
        </w:tc>
        <w:tc>
          <w:tcPr>
            <w:tcW w:w="2428" w:type="dxa"/>
            <w:shd w:val="clear" w:color="auto" w:fill="auto"/>
            <w:noWrap/>
            <w:vAlign w:val="bottom"/>
          </w:tcPr>
          <w:p w:rsidR="00BD0399" w:rsidRPr="00834708" w:rsidRDefault="00BD0399" w:rsidP="002D5A63">
            <w:pPr>
              <w:spacing w:line="240" w:lineRule="auto"/>
              <w:jc w:val="right"/>
              <w:rPr>
                <w:rFonts w:ascii="Calibri" w:hAnsi="Calibri"/>
                <w:b/>
                <w:bCs/>
                <w:sz w:val="18"/>
                <w:szCs w:val="18"/>
                <w:lang w:eastAsia="sl-SI"/>
              </w:rPr>
            </w:pPr>
            <w:r w:rsidRPr="00972554">
              <w:rPr>
                <w:rFonts w:ascii="Calibri" w:hAnsi="Calibri" w:cs="Calibri"/>
                <w:b/>
                <w:bCs/>
                <w:sz w:val="18"/>
                <w:szCs w:val="18"/>
                <w:lang w:val="sl-SI" w:eastAsia="sl-SI"/>
              </w:rPr>
              <w:t xml:space="preserve">3.064.225.682 </w:t>
            </w:r>
          </w:p>
        </w:tc>
        <w:tc>
          <w:tcPr>
            <w:tcW w:w="1276" w:type="dxa"/>
            <w:shd w:val="clear" w:color="auto" w:fill="auto"/>
            <w:noWrap/>
            <w:vAlign w:val="bottom"/>
            <w:hideMark/>
          </w:tcPr>
          <w:p w:rsidR="00BD0399" w:rsidRPr="00871D79" w:rsidRDefault="00BD0399" w:rsidP="002D5A63">
            <w:pPr>
              <w:spacing w:line="240" w:lineRule="auto"/>
              <w:jc w:val="right"/>
              <w:rPr>
                <w:rFonts w:ascii="Calibri" w:hAnsi="Calibri"/>
                <w:b/>
                <w:bCs/>
                <w:sz w:val="18"/>
                <w:szCs w:val="18"/>
                <w:lang w:eastAsia="sl-SI"/>
              </w:rPr>
            </w:pPr>
          </w:p>
        </w:tc>
      </w:tr>
      <w:tr w:rsidR="00BD0399" w:rsidRPr="007008DB" w:rsidTr="002D5A63">
        <w:trPr>
          <w:trHeight w:val="300"/>
        </w:trPr>
        <w:tc>
          <w:tcPr>
            <w:tcW w:w="6394" w:type="dxa"/>
            <w:shd w:val="clear" w:color="auto" w:fill="auto"/>
            <w:noWrap/>
            <w:vAlign w:val="bottom"/>
            <w:hideMark/>
          </w:tcPr>
          <w:p w:rsidR="00BD0399" w:rsidRPr="007008DB" w:rsidRDefault="00BD0399" w:rsidP="00673BFD">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država</w:t>
            </w:r>
          </w:p>
        </w:tc>
        <w:tc>
          <w:tcPr>
            <w:tcW w:w="2428" w:type="dxa"/>
            <w:shd w:val="clear" w:color="auto" w:fill="auto"/>
            <w:noWrap/>
            <w:vAlign w:val="bottom"/>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 xml:space="preserve">2.623.624.250 </w:t>
            </w:r>
          </w:p>
        </w:tc>
        <w:tc>
          <w:tcPr>
            <w:tcW w:w="1276" w:type="dxa"/>
            <w:shd w:val="clear" w:color="auto" w:fill="auto"/>
            <w:noWrap/>
            <w:vAlign w:val="bottom"/>
            <w:hideMark/>
          </w:tcPr>
          <w:p w:rsidR="00BD0399" w:rsidRPr="00871D79"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85,62</w:t>
            </w:r>
          </w:p>
        </w:tc>
      </w:tr>
      <w:tr w:rsidR="00BD0399" w:rsidRPr="007008DB" w:rsidTr="002D5A63">
        <w:trPr>
          <w:trHeight w:val="300"/>
        </w:trPr>
        <w:tc>
          <w:tcPr>
            <w:tcW w:w="6394" w:type="dxa"/>
            <w:tcBorders>
              <w:bottom w:val="single" w:sz="4" w:space="0" w:color="auto"/>
            </w:tcBorders>
            <w:shd w:val="clear" w:color="auto" w:fill="auto"/>
            <w:noWrap/>
            <w:vAlign w:val="bottom"/>
            <w:hideMark/>
          </w:tcPr>
          <w:p w:rsidR="00BD0399" w:rsidRPr="007008DB" w:rsidRDefault="00BD0399" w:rsidP="00BC0D29">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občin</w:t>
            </w:r>
            <w:r>
              <w:rPr>
                <w:rFonts w:ascii="Calibri" w:hAnsi="Calibri"/>
                <w:color w:val="000000"/>
                <w:sz w:val="18"/>
                <w:szCs w:val="18"/>
                <w:lang w:eastAsia="sl-SI"/>
              </w:rPr>
              <w:t>e</w:t>
            </w:r>
          </w:p>
        </w:tc>
        <w:tc>
          <w:tcPr>
            <w:tcW w:w="2428" w:type="dxa"/>
            <w:tcBorders>
              <w:bottom w:val="single" w:sz="4" w:space="0" w:color="auto"/>
            </w:tcBorders>
            <w:shd w:val="clear" w:color="auto" w:fill="auto"/>
            <w:noWrap/>
            <w:vAlign w:val="bottom"/>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 xml:space="preserve">440.601.432 </w:t>
            </w:r>
          </w:p>
        </w:tc>
        <w:tc>
          <w:tcPr>
            <w:tcW w:w="1276" w:type="dxa"/>
            <w:tcBorders>
              <w:bottom w:val="single" w:sz="4" w:space="0" w:color="auto"/>
            </w:tcBorders>
            <w:shd w:val="clear" w:color="auto" w:fill="auto"/>
            <w:noWrap/>
            <w:vAlign w:val="bottom"/>
            <w:hideMark/>
          </w:tcPr>
          <w:p w:rsidR="00BD0399" w:rsidRPr="00834708" w:rsidRDefault="00BD0399" w:rsidP="002D5A63">
            <w:pPr>
              <w:spacing w:line="240" w:lineRule="auto"/>
              <w:jc w:val="right"/>
              <w:rPr>
                <w:rFonts w:ascii="Calibri" w:hAnsi="Calibri"/>
                <w:sz w:val="18"/>
                <w:szCs w:val="18"/>
                <w:lang w:eastAsia="sl-SI"/>
              </w:rPr>
            </w:pPr>
            <w:r w:rsidRPr="00972554">
              <w:rPr>
                <w:rFonts w:ascii="Calibri" w:hAnsi="Calibri" w:cs="Calibri"/>
                <w:sz w:val="18"/>
                <w:szCs w:val="18"/>
                <w:lang w:val="sl-SI" w:eastAsia="sl-SI"/>
              </w:rPr>
              <w:t>14,38</w:t>
            </w:r>
          </w:p>
        </w:tc>
      </w:tr>
      <w:tr w:rsidR="00BD0399" w:rsidRPr="007008DB" w:rsidTr="002D5A63">
        <w:trPr>
          <w:trHeight w:val="300"/>
        </w:trPr>
        <w:tc>
          <w:tcPr>
            <w:tcW w:w="6394" w:type="dxa"/>
            <w:tcBorders>
              <w:bottom w:val="single" w:sz="4" w:space="0" w:color="auto"/>
            </w:tcBorders>
            <w:shd w:val="clear" w:color="auto" w:fill="92D050"/>
            <w:noWrap/>
            <w:vAlign w:val="bottom"/>
            <w:hideMark/>
          </w:tcPr>
          <w:p w:rsidR="00BD0399" w:rsidRPr="006A4F67" w:rsidRDefault="00BD0399" w:rsidP="00673BFD">
            <w:pPr>
              <w:spacing w:line="240" w:lineRule="auto"/>
              <w:rPr>
                <w:rFonts w:ascii="Calibri" w:hAnsi="Calibri"/>
                <w:b/>
                <w:bCs/>
                <w:i/>
                <w:color w:val="000000"/>
                <w:sz w:val="18"/>
                <w:szCs w:val="18"/>
                <w:lang w:eastAsia="sl-SI"/>
              </w:rPr>
            </w:pPr>
            <w:r w:rsidRPr="006A4F67">
              <w:rPr>
                <w:rFonts w:ascii="Calibri" w:hAnsi="Calibri"/>
                <w:b/>
                <w:bCs/>
                <w:i/>
                <w:color w:val="000000"/>
                <w:sz w:val="18"/>
                <w:szCs w:val="18"/>
                <w:lang w:eastAsia="sl-SI"/>
              </w:rPr>
              <w:lastRenderedPageBreak/>
              <w:t>924-Skupaj pasiva</w:t>
            </w:r>
          </w:p>
        </w:tc>
        <w:tc>
          <w:tcPr>
            <w:tcW w:w="2428" w:type="dxa"/>
            <w:tcBorders>
              <w:bottom w:val="single" w:sz="4" w:space="0" w:color="auto"/>
            </w:tcBorders>
            <w:shd w:val="clear" w:color="auto" w:fill="92D050"/>
            <w:noWrap/>
            <w:vAlign w:val="bottom"/>
          </w:tcPr>
          <w:p w:rsidR="00BD0399" w:rsidRPr="00834708" w:rsidRDefault="00BD0399" w:rsidP="002D5A63">
            <w:pPr>
              <w:spacing w:line="240" w:lineRule="auto"/>
              <w:jc w:val="right"/>
              <w:rPr>
                <w:rFonts w:ascii="Calibri" w:hAnsi="Calibri"/>
                <w:b/>
                <w:bCs/>
                <w:i/>
                <w:sz w:val="18"/>
                <w:szCs w:val="18"/>
                <w:lang w:eastAsia="sl-SI"/>
              </w:rPr>
            </w:pPr>
            <w:r w:rsidRPr="00972554">
              <w:rPr>
                <w:rFonts w:ascii="Calibri" w:hAnsi="Calibri" w:cs="Calibri"/>
                <w:b/>
                <w:bCs/>
                <w:sz w:val="18"/>
                <w:szCs w:val="18"/>
                <w:lang w:val="sl-SI" w:eastAsia="sl-SI"/>
              </w:rPr>
              <w:t xml:space="preserve">48.469.514.870 </w:t>
            </w:r>
          </w:p>
        </w:tc>
        <w:tc>
          <w:tcPr>
            <w:tcW w:w="1276" w:type="dxa"/>
            <w:tcBorders>
              <w:bottom w:val="single" w:sz="4" w:space="0" w:color="auto"/>
            </w:tcBorders>
            <w:shd w:val="clear" w:color="auto" w:fill="92D050"/>
            <w:noWrap/>
            <w:vAlign w:val="bottom"/>
            <w:hideMark/>
          </w:tcPr>
          <w:p w:rsidR="00BD0399" w:rsidRPr="00871D79" w:rsidRDefault="00BD0399" w:rsidP="002D5A63">
            <w:pPr>
              <w:spacing w:line="240" w:lineRule="auto"/>
              <w:jc w:val="right"/>
              <w:rPr>
                <w:rFonts w:ascii="Calibri" w:hAnsi="Calibri"/>
                <w:b/>
                <w:bCs/>
                <w:i/>
                <w:sz w:val="18"/>
                <w:szCs w:val="18"/>
                <w:lang w:eastAsia="sl-SI"/>
              </w:rPr>
            </w:pPr>
          </w:p>
        </w:tc>
      </w:tr>
      <w:tr w:rsidR="00BD0399" w:rsidRPr="007008DB" w:rsidTr="002D5A63">
        <w:trPr>
          <w:trHeight w:val="300"/>
        </w:trPr>
        <w:tc>
          <w:tcPr>
            <w:tcW w:w="6394" w:type="dxa"/>
            <w:tcBorders>
              <w:bottom w:val="single" w:sz="4" w:space="0" w:color="auto"/>
            </w:tcBorders>
            <w:shd w:val="pct12" w:color="auto" w:fill="auto"/>
            <w:noWrap/>
            <w:vAlign w:val="bottom"/>
            <w:hideMark/>
          </w:tcPr>
          <w:p w:rsidR="00BD0399" w:rsidRPr="002100C5" w:rsidRDefault="00BD0399" w:rsidP="002100C5">
            <w:pPr>
              <w:spacing w:line="240" w:lineRule="auto"/>
              <w:rPr>
                <w:rFonts w:ascii="Calibri" w:hAnsi="Calibri"/>
                <w:b/>
                <w:bCs/>
                <w:i/>
                <w:color w:val="000000"/>
                <w:sz w:val="18"/>
                <w:szCs w:val="18"/>
                <w:lang w:eastAsia="sl-SI"/>
              </w:rPr>
            </w:pPr>
            <w:r w:rsidRPr="002100C5">
              <w:rPr>
                <w:rFonts w:ascii="Calibri" w:hAnsi="Calibri"/>
                <w:b/>
                <w:bCs/>
                <w:i/>
                <w:color w:val="000000"/>
                <w:sz w:val="18"/>
                <w:szCs w:val="18"/>
                <w:lang w:eastAsia="sl-SI"/>
              </w:rPr>
              <w:t>država</w:t>
            </w:r>
          </w:p>
        </w:tc>
        <w:tc>
          <w:tcPr>
            <w:tcW w:w="2428" w:type="dxa"/>
            <w:tcBorders>
              <w:bottom w:val="single" w:sz="4" w:space="0" w:color="auto"/>
            </w:tcBorders>
            <w:shd w:val="pct12" w:color="auto" w:fill="auto"/>
            <w:noWrap/>
            <w:vAlign w:val="bottom"/>
          </w:tcPr>
          <w:p w:rsidR="00BD0399" w:rsidRPr="00834708" w:rsidRDefault="00BD0399" w:rsidP="002D5A63">
            <w:pPr>
              <w:spacing w:line="240" w:lineRule="auto"/>
              <w:jc w:val="right"/>
              <w:rPr>
                <w:rFonts w:ascii="Calibri" w:hAnsi="Calibri"/>
                <w:b/>
                <w:bCs/>
                <w:i/>
                <w:sz w:val="18"/>
                <w:szCs w:val="18"/>
                <w:lang w:eastAsia="sl-SI"/>
              </w:rPr>
            </w:pPr>
            <w:r w:rsidRPr="00972554">
              <w:rPr>
                <w:rFonts w:ascii="Calibri" w:hAnsi="Calibri" w:cs="Calibri"/>
                <w:sz w:val="18"/>
                <w:szCs w:val="18"/>
                <w:lang w:val="sl-SI" w:eastAsia="sl-SI"/>
              </w:rPr>
              <w:t xml:space="preserve">33.569.109.735 </w:t>
            </w:r>
          </w:p>
        </w:tc>
        <w:tc>
          <w:tcPr>
            <w:tcW w:w="1276" w:type="dxa"/>
            <w:tcBorders>
              <w:bottom w:val="single" w:sz="4" w:space="0" w:color="auto"/>
            </w:tcBorders>
            <w:shd w:val="pct12" w:color="auto" w:fill="auto"/>
            <w:noWrap/>
            <w:vAlign w:val="bottom"/>
            <w:hideMark/>
          </w:tcPr>
          <w:p w:rsidR="00BD0399" w:rsidRPr="00834708" w:rsidRDefault="00BD0399" w:rsidP="002D5A63">
            <w:pPr>
              <w:spacing w:line="240" w:lineRule="auto"/>
              <w:jc w:val="right"/>
              <w:rPr>
                <w:rFonts w:ascii="Calibri" w:hAnsi="Calibri"/>
                <w:b/>
                <w:bCs/>
                <w:i/>
                <w:sz w:val="18"/>
                <w:szCs w:val="18"/>
                <w:lang w:eastAsia="sl-SI"/>
              </w:rPr>
            </w:pPr>
            <w:r w:rsidRPr="00972554">
              <w:rPr>
                <w:rFonts w:ascii="Calibri" w:hAnsi="Calibri" w:cs="Calibri"/>
                <w:sz w:val="18"/>
                <w:szCs w:val="18"/>
                <w:lang w:val="sl-SI" w:eastAsia="sl-SI"/>
              </w:rPr>
              <w:t>69,26</w:t>
            </w:r>
          </w:p>
        </w:tc>
      </w:tr>
      <w:tr w:rsidR="00BD0399" w:rsidRPr="007008DB" w:rsidTr="002D5A63">
        <w:trPr>
          <w:trHeight w:val="300"/>
        </w:trPr>
        <w:tc>
          <w:tcPr>
            <w:tcW w:w="6394" w:type="dxa"/>
            <w:shd w:val="pct37" w:color="auto" w:fill="auto"/>
            <w:noWrap/>
            <w:vAlign w:val="bottom"/>
            <w:hideMark/>
          </w:tcPr>
          <w:p w:rsidR="00BD0399" w:rsidRPr="002100C5" w:rsidRDefault="00BD0399" w:rsidP="002100C5">
            <w:pPr>
              <w:spacing w:line="240" w:lineRule="auto"/>
              <w:rPr>
                <w:rFonts w:ascii="Calibri" w:hAnsi="Calibri"/>
                <w:b/>
                <w:bCs/>
                <w:i/>
                <w:color w:val="000000"/>
                <w:sz w:val="18"/>
                <w:szCs w:val="18"/>
                <w:lang w:eastAsia="sl-SI"/>
              </w:rPr>
            </w:pPr>
            <w:r w:rsidRPr="002100C5">
              <w:rPr>
                <w:rFonts w:ascii="Calibri" w:hAnsi="Calibri"/>
                <w:b/>
                <w:bCs/>
                <w:i/>
                <w:color w:val="000000"/>
                <w:sz w:val="18"/>
                <w:szCs w:val="18"/>
                <w:lang w:eastAsia="sl-SI"/>
              </w:rPr>
              <w:t>občin</w:t>
            </w:r>
            <w:r>
              <w:rPr>
                <w:rFonts w:ascii="Calibri" w:hAnsi="Calibri"/>
                <w:b/>
                <w:bCs/>
                <w:i/>
                <w:color w:val="000000"/>
                <w:sz w:val="18"/>
                <w:szCs w:val="18"/>
                <w:lang w:eastAsia="sl-SI"/>
              </w:rPr>
              <w:t>e</w:t>
            </w:r>
          </w:p>
        </w:tc>
        <w:tc>
          <w:tcPr>
            <w:tcW w:w="2428" w:type="dxa"/>
            <w:shd w:val="pct37" w:color="auto" w:fill="auto"/>
            <w:noWrap/>
            <w:vAlign w:val="bottom"/>
          </w:tcPr>
          <w:p w:rsidR="00BD0399" w:rsidRPr="00834708" w:rsidRDefault="00BD0399" w:rsidP="002D5A63">
            <w:pPr>
              <w:spacing w:line="240" w:lineRule="auto"/>
              <w:jc w:val="right"/>
              <w:rPr>
                <w:rFonts w:ascii="Calibri" w:hAnsi="Calibri"/>
                <w:b/>
                <w:bCs/>
                <w:i/>
                <w:sz w:val="18"/>
                <w:szCs w:val="18"/>
                <w:lang w:eastAsia="sl-SI"/>
              </w:rPr>
            </w:pPr>
            <w:r w:rsidRPr="00972554">
              <w:rPr>
                <w:rFonts w:ascii="Calibri" w:hAnsi="Calibri" w:cs="Calibri"/>
                <w:sz w:val="18"/>
                <w:szCs w:val="18"/>
                <w:lang w:val="sl-SI" w:eastAsia="sl-SI"/>
              </w:rPr>
              <w:t xml:space="preserve">14.900.405.135 </w:t>
            </w:r>
          </w:p>
        </w:tc>
        <w:tc>
          <w:tcPr>
            <w:tcW w:w="1276" w:type="dxa"/>
            <w:shd w:val="pct37" w:color="auto" w:fill="auto"/>
            <w:noWrap/>
            <w:vAlign w:val="bottom"/>
            <w:hideMark/>
          </w:tcPr>
          <w:p w:rsidR="00BD0399" w:rsidRPr="00834708" w:rsidRDefault="00BD0399" w:rsidP="002D5A63">
            <w:pPr>
              <w:spacing w:line="240" w:lineRule="auto"/>
              <w:jc w:val="right"/>
              <w:rPr>
                <w:rFonts w:ascii="Calibri" w:hAnsi="Calibri"/>
                <w:b/>
                <w:bCs/>
                <w:i/>
                <w:sz w:val="18"/>
                <w:szCs w:val="18"/>
                <w:lang w:eastAsia="sl-SI"/>
              </w:rPr>
            </w:pPr>
            <w:r w:rsidRPr="00972554">
              <w:rPr>
                <w:rFonts w:ascii="Calibri" w:hAnsi="Calibri" w:cs="Calibri"/>
                <w:sz w:val="18"/>
                <w:szCs w:val="18"/>
                <w:lang w:val="sl-SI" w:eastAsia="sl-SI"/>
              </w:rPr>
              <w:t>30,74</w:t>
            </w:r>
          </w:p>
        </w:tc>
      </w:tr>
    </w:tbl>
    <w:p w:rsidR="00E52C87" w:rsidRDefault="00E52C87" w:rsidP="008373D9"/>
    <w:p w:rsidR="00B34CEC" w:rsidRDefault="00BC0D29" w:rsidP="008373D9">
      <w:r>
        <w:t>V konsolidirani premoženjski bilanci države in občin se največje vrednosti</w:t>
      </w:r>
      <w:r w:rsidR="00937F90">
        <w:t xml:space="preserve"> premoženja </w:t>
      </w:r>
      <w:r w:rsidR="00913FA8">
        <w:t>in obveznosti (</w:t>
      </w:r>
      <w:r w:rsidR="00913FA8">
        <w:fldChar w:fldCharType="begin"/>
      </w:r>
      <w:r w:rsidR="00913FA8">
        <w:instrText xml:space="preserve"> REF _Ref389549733 \h </w:instrText>
      </w:r>
      <w:r w:rsidR="00913FA8">
        <w:fldChar w:fldCharType="separate"/>
      </w:r>
      <w:r w:rsidR="00CE55C4">
        <w:t xml:space="preserve">Tabela </w:t>
      </w:r>
      <w:r w:rsidR="00CE55C4">
        <w:rPr>
          <w:noProof/>
        </w:rPr>
        <w:t>4</w:t>
      </w:r>
      <w:r w:rsidR="00913FA8">
        <w:fldChar w:fldCharType="end"/>
      </w:r>
      <w:proofErr w:type="gramStart"/>
      <w:r w:rsidR="00913FA8">
        <w:t xml:space="preserve">) </w:t>
      </w:r>
      <w:r>
        <w:t xml:space="preserve"> nanašajo</w:t>
      </w:r>
      <w:proofErr w:type="gramEnd"/>
      <w:r>
        <w:t xml:space="preserve"> na</w:t>
      </w:r>
      <w:r w:rsidR="009D1AA7">
        <w:t xml:space="preserve"> </w:t>
      </w:r>
      <w:r w:rsidR="0042664D">
        <w:t>NPU državnega proračuna</w:t>
      </w:r>
      <w:r w:rsidR="00937F90">
        <w:t xml:space="preserve">, in sicer izkazuje </w:t>
      </w:r>
      <w:r w:rsidR="00937F90" w:rsidRPr="00913FA8">
        <w:rPr>
          <w:b/>
        </w:rPr>
        <w:t>največji delež</w:t>
      </w:r>
      <w:r w:rsidR="00937F90">
        <w:t>:</w:t>
      </w:r>
    </w:p>
    <w:p w:rsidR="00937F90" w:rsidRPr="00913FA8" w:rsidRDefault="00937F90" w:rsidP="00BC536D">
      <w:pPr>
        <w:numPr>
          <w:ilvl w:val="0"/>
          <w:numId w:val="16"/>
        </w:numPr>
        <w:rPr>
          <w:i/>
        </w:rPr>
      </w:pPr>
      <w:proofErr w:type="gramStart"/>
      <w:r>
        <w:t>neopredmetenih</w:t>
      </w:r>
      <w:proofErr w:type="gramEnd"/>
      <w:r>
        <w:t xml:space="preserve"> sredstev in dolgoročnih aktivnih časovnih razmejitev </w:t>
      </w:r>
      <w:r w:rsidR="00913FA8">
        <w:t xml:space="preserve">- </w:t>
      </w:r>
      <w:r w:rsidRPr="00913FA8">
        <w:rPr>
          <w:i/>
        </w:rPr>
        <w:t xml:space="preserve">Ministrstvo za </w:t>
      </w:r>
      <w:r w:rsidR="001671A0">
        <w:rPr>
          <w:i/>
        </w:rPr>
        <w:t>javno upravo</w:t>
      </w:r>
      <w:r w:rsidR="001671A0" w:rsidRPr="00913FA8">
        <w:rPr>
          <w:i/>
        </w:rPr>
        <w:t xml:space="preserve"> </w:t>
      </w:r>
      <w:r w:rsidRPr="00913FA8">
        <w:rPr>
          <w:i/>
        </w:rPr>
        <w:t>(</w:t>
      </w:r>
      <w:r w:rsidR="00DC460F">
        <w:rPr>
          <w:i/>
        </w:rPr>
        <w:t>21,69</w:t>
      </w:r>
      <w:r w:rsidRPr="00913FA8">
        <w:rPr>
          <w:i/>
        </w:rPr>
        <w:t>%);</w:t>
      </w:r>
    </w:p>
    <w:p w:rsidR="00937F90" w:rsidRDefault="00937F90" w:rsidP="00BC536D">
      <w:pPr>
        <w:numPr>
          <w:ilvl w:val="0"/>
          <w:numId w:val="16"/>
        </w:numPr>
      </w:pPr>
      <w:proofErr w:type="gramStart"/>
      <w:r>
        <w:t>nepremičnin</w:t>
      </w:r>
      <w:proofErr w:type="gramEnd"/>
      <w:r w:rsidR="00913FA8">
        <w:t xml:space="preserve"> -</w:t>
      </w:r>
      <w:r>
        <w:t xml:space="preserve"> </w:t>
      </w:r>
      <w:r w:rsidRPr="00913FA8">
        <w:rPr>
          <w:i/>
        </w:rPr>
        <w:t>Ministrstvo za infrastrukturo</w:t>
      </w:r>
      <w:r w:rsidR="00AA1A77">
        <w:rPr>
          <w:i/>
        </w:rPr>
        <w:t>, Direkcija RS za infrastrukturo</w:t>
      </w:r>
      <w:r w:rsidRPr="00913FA8">
        <w:rPr>
          <w:i/>
        </w:rPr>
        <w:t xml:space="preserve"> (</w:t>
      </w:r>
      <w:r w:rsidR="00DC460F">
        <w:rPr>
          <w:i/>
        </w:rPr>
        <w:t>12,84</w:t>
      </w:r>
      <w:r w:rsidRPr="00913FA8">
        <w:rPr>
          <w:i/>
        </w:rPr>
        <w:t>%);</w:t>
      </w:r>
    </w:p>
    <w:p w:rsidR="00937F90" w:rsidRDefault="00937F90" w:rsidP="00BC536D">
      <w:pPr>
        <w:numPr>
          <w:ilvl w:val="0"/>
          <w:numId w:val="16"/>
        </w:numPr>
      </w:pPr>
      <w:proofErr w:type="gramStart"/>
      <w:r>
        <w:t>opreme</w:t>
      </w:r>
      <w:proofErr w:type="gramEnd"/>
      <w:r w:rsidR="00913FA8">
        <w:t xml:space="preserve"> -</w:t>
      </w:r>
      <w:r>
        <w:t xml:space="preserve"> </w:t>
      </w:r>
      <w:r w:rsidR="00DC460F" w:rsidRPr="00913FA8">
        <w:rPr>
          <w:i/>
        </w:rPr>
        <w:t>Ministrstvo za infrastrukturo</w:t>
      </w:r>
      <w:r w:rsidR="00DC460F">
        <w:rPr>
          <w:i/>
        </w:rPr>
        <w:t>, Direkcija RS za infrastrukturo</w:t>
      </w:r>
      <w:r w:rsidR="00DC460F" w:rsidRPr="00913FA8">
        <w:rPr>
          <w:i/>
        </w:rPr>
        <w:t xml:space="preserve"> </w:t>
      </w:r>
      <w:r w:rsidRPr="00913FA8">
        <w:rPr>
          <w:i/>
        </w:rPr>
        <w:t>(</w:t>
      </w:r>
      <w:r w:rsidR="00DC460F">
        <w:rPr>
          <w:i/>
        </w:rPr>
        <w:t>31,40</w:t>
      </w:r>
      <w:r w:rsidRPr="00913FA8">
        <w:rPr>
          <w:i/>
        </w:rPr>
        <w:t>%);</w:t>
      </w:r>
    </w:p>
    <w:p w:rsidR="00937F90" w:rsidRDefault="0076639C" w:rsidP="00BC536D">
      <w:pPr>
        <w:numPr>
          <w:ilvl w:val="0"/>
          <w:numId w:val="16"/>
        </w:numPr>
      </w:pPr>
      <w:proofErr w:type="gramStart"/>
      <w:r>
        <w:t>zalog</w:t>
      </w:r>
      <w:proofErr w:type="gramEnd"/>
      <w:r w:rsidR="00913FA8">
        <w:t xml:space="preserve"> -</w:t>
      </w:r>
      <w:r>
        <w:t xml:space="preserve"> </w:t>
      </w:r>
      <w:r w:rsidRPr="00913FA8">
        <w:rPr>
          <w:i/>
        </w:rPr>
        <w:t>Generalštab Slovenske vojske (</w:t>
      </w:r>
      <w:r w:rsidR="00015F00">
        <w:rPr>
          <w:i/>
        </w:rPr>
        <w:t>4</w:t>
      </w:r>
      <w:r w:rsidR="00DC460F">
        <w:rPr>
          <w:i/>
        </w:rPr>
        <w:t>8,36</w:t>
      </w:r>
      <w:r w:rsidRPr="00913FA8">
        <w:rPr>
          <w:i/>
        </w:rPr>
        <w:t>%);</w:t>
      </w:r>
    </w:p>
    <w:p w:rsidR="0076639C" w:rsidRDefault="0076639C" w:rsidP="00BC536D">
      <w:pPr>
        <w:numPr>
          <w:ilvl w:val="0"/>
          <w:numId w:val="16"/>
        </w:numPr>
      </w:pPr>
      <w:proofErr w:type="gramStart"/>
      <w:r>
        <w:t>dolgoročnih</w:t>
      </w:r>
      <w:proofErr w:type="gramEnd"/>
      <w:r>
        <w:t xml:space="preserve"> finančnih naložb</w:t>
      </w:r>
      <w:r w:rsidR="00913FA8">
        <w:t xml:space="preserve"> </w:t>
      </w:r>
      <w:r w:rsidR="00913FA8" w:rsidRPr="00913FA8">
        <w:rPr>
          <w:i/>
        </w:rPr>
        <w:t>-</w:t>
      </w:r>
      <w:r w:rsidRPr="00913FA8">
        <w:rPr>
          <w:i/>
        </w:rPr>
        <w:t xml:space="preserve"> Ministrstvo za finance (</w:t>
      </w:r>
      <w:r w:rsidR="00DC460F">
        <w:rPr>
          <w:i/>
        </w:rPr>
        <w:t>82,17</w:t>
      </w:r>
      <w:r w:rsidRPr="00913FA8">
        <w:rPr>
          <w:i/>
        </w:rPr>
        <w:t>%)</w:t>
      </w:r>
      <w:r w:rsidR="00913FA8" w:rsidRPr="00913FA8">
        <w:rPr>
          <w:i/>
        </w:rPr>
        <w:t>;</w:t>
      </w:r>
    </w:p>
    <w:p w:rsidR="00D56296" w:rsidRPr="00D56296" w:rsidRDefault="0076639C" w:rsidP="004F3F69">
      <w:pPr>
        <w:numPr>
          <w:ilvl w:val="0"/>
          <w:numId w:val="16"/>
        </w:numPr>
      </w:pPr>
      <w:proofErr w:type="gramStart"/>
      <w:r>
        <w:t>dolgoročno</w:t>
      </w:r>
      <w:proofErr w:type="gramEnd"/>
      <w:r>
        <w:t xml:space="preserve"> danih posojil in depozitov</w:t>
      </w:r>
      <w:r w:rsidR="00913FA8">
        <w:t xml:space="preserve"> </w:t>
      </w:r>
      <w:r w:rsidR="00913FA8" w:rsidRPr="004F3F69">
        <w:rPr>
          <w:i/>
        </w:rPr>
        <w:t>-</w:t>
      </w:r>
      <w:r w:rsidRPr="004F3F69">
        <w:rPr>
          <w:i/>
        </w:rPr>
        <w:t xml:space="preserve"> Upravljavec sredstev sistema EZR</w:t>
      </w:r>
      <w:r w:rsidR="00DF5A10" w:rsidRPr="00834708">
        <w:rPr>
          <w:i/>
        </w:rPr>
        <w:t>D</w:t>
      </w:r>
      <w:r w:rsidRPr="00834708">
        <w:rPr>
          <w:i/>
        </w:rPr>
        <w:t xml:space="preserve"> (</w:t>
      </w:r>
      <w:r w:rsidR="00015F00" w:rsidRPr="00871D79">
        <w:rPr>
          <w:i/>
        </w:rPr>
        <w:t>7</w:t>
      </w:r>
      <w:r w:rsidR="00B90242">
        <w:rPr>
          <w:i/>
        </w:rPr>
        <w:t>1,99</w:t>
      </w:r>
      <w:r w:rsidRPr="004F3F69">
        <w:rPr>
          <w:i/>
        </w:rPr>
        <w:t>%)</w:t>
      </w:r>
      <w:r w:rsidR="00913FA8" w:rsidRPr="00834708">
        <w:rPr>
          <w:i/>
        </w:rPr>
        <w:t>;</w:t>
      </w:r>
    </w:p>
    <w:p w:rsidR="00937F90" w:rsidRDefault="0076639C" w:rsidP="004F3F69">
      <w:pPr>
        <w:numPr>
          <w:ilvl w:val="0"/>
          <w:numId w:val="16"/>
        </w:numPr>
      </w:pPr>
      <w:proofErr w:type="gramStart"/>
      <w:r>
        <w:t>dolgoročnih</w:t>
      </w:r>
      <w:proofErr w:type="gramEnd"/>
      <w:r>
        <w:t xml:space="preserve"> terjatev iz poslovanja</w:t>
      </w:r>
      <w:r w:rsidR="006D6629">
        <w:t xml:space="preserve"> -</w:t>
      </w:r>
      <w:r>
        <w:t xml:space="preserve"> </w:t>
      </w:r>
      <w:r w:rsidR="001A27E7" w:rsidRPr="004F3F69">
        <w:rPr>
          <w:i/>
        </w:rPr>
        <w:t>RS</w:t>
      </w:r>
      <w:r w:rsidRPr="004F3F69">
        <w:rPr>
          <w:i/>
        </w:rPr>
        <w:t xml:space="preserve"> – proračun (</w:t>
      </w:r>
      <w:r w:rsidR="00D56296">
        <w:rPr>
          <w:i/>
        </w:rPr>
        <w:t>47,84</w:t>
      </w:r>
      <w:r w:rsidRPr="00834708">
        <w:rPr>
          <w:i/>
        </w:rPr>
        <w:t>%)</w:t>
      </w:r>
      <w:r w:rsidR="00913FA8" w:rsidRPr="00871D79">
        <w:rPr>
          <w:i/>
        </w:rPr>
        <w:t>;</w:t>
      </w:r>
    </w:p>
    <w:p w:rsidR="0076639C" w:rsidRDefault="0076639C" w:rsidP="00BC536D">
      <w:pPr>
        <w:numPr>
          <w:ilvl w:val="0"/>
          <w:numId w:val="16"/>
        </w:numPr>
      </w:pPr>
      <w:proofErr w:type="gramStart"/>
      <w:r>
        <w:t>denarnih</w:t>
      </w:r>
      <w:proofErr w:type="gramEnd"/>
      <w:r>
        <w:t xml:space="preserve"> sredstev</w:t>
      </w:r>
      <w:r w:rsidR="006D6629">
        <w:t xml:space="preserve"> -</w:t>
      </w:r>
      <w:r>
        <w:t xml:space="preserve"> </w:t>
      </w:r>
      <w:r w:rsidRPr="006D6629">
        <w:rPr>
          <w:i/>
        </w:rPr>
        <w:t>Upravljavec sredstev sistema EZR</w:t>
      </w:r>
      <w:r w:rsidR="00DF5A10">
        <w:rPr>
          <w:i/>
        </w:rPr>
        <w:t>D</w:t>
      </w:r>
      <w:r w:rsidRPr="006D6629">
        <w:rPr>
          <w:i/>
        </w:rPr>
        <w:t xml:space="preserve"> (</w:t>
      </w:r>
      <w:r w:rsidR="00B90242">
        <w:rPr>
          <w:i/>
        </w:rPr>
        <w:t>90,81</w:t>
      </w:r>
      <w:r w:rsidRPr="006D6629">
        <w:rPr>
          <w:i/>
        </w:rPr>
        <w:t>%)</w:t>
      </w:r>
      <w:r w:rsidR="00913FA8" w:rsidRPr="006D6629">
        <w:rPr>
          <w:i/>
        </w:rPr>
        <w:t>;</w:t>
      </w:r>
    </w:p>
    <w:p w:rsidR="0076639C" w:rsidRDefault="0076639C" w:rsidP="00BC536D">
      <w:pPr>
        <w:numPr>
          <w:ilvl w:val="0"/>
          <w:numId w:val="16"/>
        </w:numPr>
      </w:pPr>
      <w:proofErr w:type="gramStart"/>
      <w:r>
        <w:t>kratkoročnih</w:t>
      </w:r>
      <w:proofErr w:type="gramEnd"/>
      <w:r>
        <w:t xml:space="preserve"> terjatev</w:t>
      </w:r>
      <w:r w:rsidR="00E74C7A">
        <w:t xml:space="preserve"> </w:t>
      </w:r>
      <w:r w:rsidR="00E74C7A">
        <w:rPr>
          <w:i/>
        </w:rPr>
        <w:t>-</w:t>
      </w:r>
      <w:r w:rsidR="006D6629">
        <w:t xml:space="preserve"> </w:t>
      </w:r>
      <w:r>
        <w:t xml:space="preserve"> </w:t>
      </w:r>
      <w:r w:rsidR="00361963">
        <w:rPr>
          <w:i/>
        </w:rPr>
        <w:t xml:space="preserve">RS </w:t>
      </w:r>
      <w:r w:rsidR="00E74C7A">
        <w:t>–</w:t>
      </w:r>
      <w:r w:rsidR="00361963">
        <w:rPr>
          <w:i/>
        </w:rPr>
        <w:t xml:space="preserve"> proračun</w:t>
      </w:r>
      <w:r w:rsidR="001F4EA9" w:rsidRPr="006D6629">
        <w:rPr>
          <w:i/>
        </w:rPr>
        <w:t xml:space="preserve"> </w:t>
      </w:r>
      <w:r w:rsidRPr="006D6629">
        <w:rPr>
          <w:i/>
        </w:rPr>
        <w:t>(</w:t>
      </w:r>
      <w:r w:rsidR="00015F00">
        <w:rPr>
          <w:i/>
        </w:rPr>
        <w:t>5</w:t>
      </w:r>
      <w:r w:rsidR="00B90242">
        <w:rPr>
          <w:i/>
        </w:rPr>
        <w:t>0,35</w:t>
      </w:r>
      <w:r w:rsidRPr="006D6629">
        <w:rPr>
          <w:i/>
        </w:rPr>
        <w:t>%)</w:t>
      </w:r>
      <w:r w:rsidR="00913FA8" w:rsidRPr="006D6629">
        <w:rPr>
          <w:i/>
        </w:rPr>
        <w:t>;</w:t>
      </w:r>
    </w:p>
    <w:p w:rsidR="00913FA8" w:rsidRPr="006D6629" w:rsidRDefault="00913FA8" w:rsidP="00BC536D">
      <w:pPr>
        <w:numPr>
          <w:ilvl w:val="0"/>
          <w:numId w:val="16"/>
        </w:numPr>
        <w:rPr>
          <w:i/>
        </w:rPr>
      </w:pPr>
      <w:proofErr w:type="gramStart"/>
      <w:r>
        <w:t>dolgoročno</w:t>
      </w:r>
      <w:proofErr w:type="gramEnd"/>
      <w:r>
        <w:t xml:space="preserve"> prejetih posojil</w:t>
      </w:r>
      <w:r w:rsidR="006D6629">
        <w:t xml:space="preserve"> -</w:t>
      </w:r>
      <w:r>
        <w:t xml:space="preserve"> </w:t>
      </w:r>
      <w:r w:rsidR="001A27E7">
        <w:rPr>
          <w:i/>
        </w:rPr>
        <w:t>RS</w:t>
      </w:r>
      <w:r w:rsidRPr="006D6629">
        <w:rPr>
          <w:i/>
        </w:rPr>
        <w:t xml:space="preserve"> – proračun (9</w:t>
      </w:r>
      <w:r w:rsidR="001F4EA9">
        <w:rPr>
          <w:i/>
        </w:rPr>
        <w:t>7,</w:t>
      </w:r>
      <w:r w:rsidR="00B90242">
        <w:rPr>
          <w:i/>
        </w:rPr>
        <w:t>65</w:t>
      </w:r>
      <w:r w:rsidRPr="006D6629">
        <w:rPr>
          <w:i/>
        </w:rPr>
        <w:t>%);</w:t>
      </w:r>
    </w:p>
    <w:p w:rsidR="00913FA8" w:rsidRDefault="00913FA8" w:rsidP="00BC536D">
      <w:pPr>
        <w:numPr>
          <w:ilvl w:val="0"/>
          <w:numId w:val="16"/>
        </w:numPr>
      </w:pPr>
      <w:proofErr w:type="gramStart"/>
      <w:r>
        <w:t>dolgoročnih</w:t>
      </w:r>
      <w:proofErr w:type="gramEnd"/>
      <w:r>
        <w:t xml:space="preserve"> obveznosti iz poslovanja</w:t>
      </w:r>
      <w:r w:rsidR="006D6629">
        <w:t xml:space="preserve"> -</w:t>
      </w:r>
      <w:r>
        <w:t xml:space="preserve"> </w:t>
      </w:r>
      <w:r w:rsidR="00B90242">
        <w:rPr>
          <w:i/>
        </w:rPr>
        <w:t>RS</w:t>
      </w:r>
      <w:r w:rsidR="00B90242" w:rsidRPr="006D6629">
        <w:rPr>
          <w:i/>
        </w:rPr>
        <w:t xml:space="preserve"> – proračun </w:t>
      </w:r>
      <w:r w:rsidRPr="006D6629">
        <w:rPr>
          <w:i/>
        </w:rPr>
        <w:t>(</w:t>
      </w:r>
      <w:r w:rsidR="00B90242">
        <w:rPr>
          <w:i/>
        </w:rPr>
        <w:t>18,90</w:t>
      </w:r>
      <w:r w:rsidRPr="006D6629">
        <w:rPr>
          <w:i/>
        </w:rPr>
        <w:t>%);</w:t>
      </w:r>
    </w:p>
    <w:p w:rsidR="00913FA8" w:rsidRDefault="00913FA8" w:rsidP="00BC536D">
      <w:pPr>
        <w:numPr>
          <w:ilvl w:val="0"/>
          <w:numId w:val="16"/>
        </w:numPr>
      </w:pPr>
      <w:proofErr w:type="gramStart"/>
      <w:r>
        <w:t>kratkoročnih</w:t>
      </w:r>
      <w:proofErr w:type="gramEnd"/>
      <w:r>
        <w:t xml:space="preserve"> obveznosti</w:t>
      </w:r>
      <w:r w:rsidR="006D6629">
        <w:t xml:space="preserve"> -</w:t>
      </w:r>
      <w:r>
        <w:t xml:space="preserve"> </w:t>
      </w:r>
      <w:r w:rsidR="001A27E7">
        <w:rPr>
          <w:i/>
        </w:rPr>
        <w:t>RS</w:t>
      </w:r>
      <w:r w:rsidRPr="006D6629">
        <w:rPr>
          <w:i/>
        </w:rPr>
        <w:t xml:space="preserve"> – proračun (</w:t>
      </w:r>
      <w:r w:rsidR="00B90242">
        <w:rPr>
          <w:i/>
        </w:rPr>
        <w:t>54,03</w:t>
      </w:r>
      <w:r w:rsidRPr="006D6629">
        <w:rPr>
          <w:i/>
        </w:rPr>
        <w:t>%).</w:t>
      </w:r>
    </w:p>
    <w:p w:rsidR="00913FA8" w:rsidRDefault="00913FA8" w:rsidP="00913FA8"/>
    <w:p w:rsidR="003424EA" w:rsidRDefault="003424EA" w:rsidP="00357E16">
      <w:pPr>
        <w:pStyle w:val="Caption"/>
      </w:pPr>
      <w:bookmarkStart w:id="20" w:name="_Ref389549733"/>
      <w:bookmarkStart w:id="21" w:name="_Toc49771323"/>
      <w:r>
        <w:t xml:space="preserve">Tabela </w:t>
      </w:r>
      <w:r>
        <w:fldChar w:fldCharType="begin"/>
      </w:r>
      <w:r>
        <w:instrText xml:space="preserve"> SEQ Tabela \* ARABIC </w:instrText>
      </w:r>
      <w:r>
        <w:fldChar w:fldCharType="separate"/>
      </w:r>
      <w:r w:rsidR="00CE55C4">
        <w:rPr>
          <w:noProof/>
        </w:rPr>
        <w:t>4</w:t>
      </w:r>
      <w:r>
        <w:fldChar w:fldCharType="end"/>
      </w:r>
      <w:bookmarkEnd w:id="20"/>
      <w:r>
        <w:t xml:space="preserve">: Struktura porazdelitve premoženja države in občin </w:t>
      </w:r>
      <w:proofErr w:type="gramStart"/>
      <w:r>
        <w:t>na</w:t>
      </w:r>
      <w:proofErr w:type="gramEnd"/>
      <w:r>
        <w:t xml:space="preserve"> dan 31.12.201</w:t>
      </w:r>
      <w:r w:rsidR="002D5A63">
        <w:t>8</w:t>
      </w:r>
      <w:r>
        <w:t xml:space="preserve"> </w:t>
      </w:r>
      <w:r w:rsidR="00357E16">
        <w:t xml:space="preserve">po </w:t>
      </w:r>
      <w:r>
        <w:t>PU</w:t>
      </w:r>
      <w:r w:rsidR="00357E16">
        <w:t xml:space="preserve"> (za </w:t>
      </w:r>
      <w:r w:rsidR="00D26991">
        <w:t>3 največje</w:t>
      </w:r>
      <w:r w:rsidR="00357E16">
        <w:t>)</w:t>
      </w:r>
      <w:bookmarkEnd w:id="21"/>
    </w:p>
    <w:p w:rsidR="00357E16" w:rsidRPr="00357E16" w:rsidRDefault="00357E16" w:rsidP="00357E16"/>
    <w:tbl>
      <w:tblPr>
        <w:tblW w:w="924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78"/>
        <w:gridCol w:w="1288"/>
        <w:gridCol w:w="1276"/>
      </w:tblGrid>
      <w:tr w:rsidR="00D50416" w:rsidRPr="00972554" w:rsidTr="00D50416">
        <w:trPr>
          <w:trHeight w:val="300"/>
          <w:tblHeader/>
        </w:trPr>
        <w:tc>
          <w:tcPr>
            <w:tcW w:w="6678" w:type="dxa"/>
            <w:shd w:val="pct25" w:color="auto" w:fill="auto"/>
            <w:noWrap/>
            <w:vAlign w:val="bottom"/>
          </w:tcPr>
          <w:p w:rsidR="00D50416" w:rsidRPr="00834708" w:rsidRDefault="00D50416" w:rsidP="00937F90">
            <w:pPr>
              <w:spacing w:line="240" w:lineRule="auto"/>
              <w:jc w:val="center"/>
              <w:rPr>
                <w:rFonts w:ascii="Calibri" w:hAnsi="Calibri"/>
                <w:b/>
                <w:bCs/>
                <w:color w:val="000000"/>
                <w:sz w:val="18"/>
                <w:szCs w:val="18"/>
                <w:lang w:eastAsia="sl-SI"/>
              </w:rPr>
            </w:pPr>
          </w:p>
        </w:tc>
        <w:tc>
          <w:tcPr>
            <w:tcW w:w="2564" w:type="dxa"/>
            <w:gridSpan w:val="2"/>
            <w:shd w:val="pct25" w:color="auto" w:fill="auto"/>
            <w:noWrap/>
            <w:vAlign w:val="bottom"/>
          </w:tcPr>
          <w:p w:rsidR="00D50416" w:rsidRPr="00871D79" w:rsidRDefault="00D50416" w:rsidP="002D5A63">
            <w:pPr>
              <w:spacing w:line="240" w:lineRule="auto"/>
              <w:jc w:val="center"/>
              <w:rPr>
                <w:rFonts w:ascii="Calibri" w:hAnsi="Calibri"/>
                <w:b/>
                <w:bCs/>
                <w:sz w:val="18"/>
                <w:szCs w:val="18"/>
                <w:lang w:eastAsia="sl-SI"/>
              </w:rPr>
            </w:pPr>
            <w:r w:rsidRPr="00871D79">
              <w:rPr>
                <w:rFonts w:ascii="Calibri" w:hAnsi="Calibri"/>
                <w:b/>
                <w:bCs/>
                <w:sz w:val="18"/>
                <w:szCs w:val="18"/>
                <w:lang w:eastAsia="sl-SI"/>
              </w:rPr>
              <w:t>Stanje na dan 31.12.201</w:t>
            </w:r>
            <w:r w:rsidR="002D5A63" w:rsidRPr="00871D79">
              <w:rPr>
                <w:rFonts w:ascii="Calibri" w:hAnsi="Calibri"/>
                <w:b/>
                <w:bCs/>
                <w:sz w:val="18"/>
                <w:szCs w:val="18"/>
                <w:lang w:eastAsia="sl-SI"/>
              </w:rPr>
              <w:t>8</w:t>
            </w:r>
          </w:p>
        </w:tc>
      </w:tr>
      <w:tr w:rsidR="00D50416" w:rsidRPr="00972554" w:rsidTr="00D50416">
        <w:trPr>
          <w:trHeight w:val="300"/>
          <w:tblHeader/>
        </w:trPr>
        <w:tc>
          <w:tcPr>
            <w:tcW w:w="6678" w:type="dxa"/>
            <w:shd w:val="pct25" w:color="auto" w:fill="auto"/>
            <w:noWrap/>
            <w:vAlign w:val="bottom"/>
          </w:tcPr>
          <w:p w:rsidR="00D50416" w:rsidRPr="00834708" w:rsidRDefault="00D50416" w:rsidP="00937F90">
            <w:pPr>
              <w:spacing w:line="240" w:lineRule="auto"/>
              <w:jc w:val="left"/>
              <w:rPr>
                <w:rFonts w:ascii="Calibri" w:hAnsi="Calibri"/>
                <w:b/>
                <w:bCs/>
                <w:color w:val="000000"/>
                <w:sz w:val="18"/>
                <w:szCs w:val="18"/>
                <w:lang w:eastAsia="sl-SI"/>
              </w:rPr>
            </w:pPr>
            <w:r w:rsidRPr="00834708">
              <w:rPr>
                <w:rFonts w:ascii="Calibri" w:hAnsi="Calibri"/>
                <w:b/>
                <w:bCs/>
                <w:color w:val="000000"/>
                <w:sz w:val="18"/>
                <w:szCs w:val="18"/>
                <w:lang w:eastAsia="sl-SI"/>
              </w:rPr>
              <w:t>Oznaka in naziv AOP/PU</w:t>
            </w:r>
            <w:r w:rsidR="00EF0717" w:rsidRPr="00834708">
              <w:rPr>
                <w:rFonts w:ascii="Calibri" w:hAnsi="Calibri"/>
                <w:b/>
                <w:bCs/>
                <w:color w:val="000000"/>
                <w:sz w:val="18"/>
                <w:szCs w:val="18"/>
                <w:lang w:eastAsia="sl-SI"/>
              </w:rPr>
              <w:t xml:space="preserve"> z največjo vrednosjo</w:t>
            </w:r>
          </w:p>
        </w:tc>
        <w:tc>
          <w:tcPr>
            <w:tcW w:w="1288" w:type="dxa"/>
            <w:shd w:val="pct25" w:color="auto" w:fill="auto"/>
            <w:noWrap/>
            <w:vAlign w:val="bottom"/>
          </w:tcPr>
          <w:p w:rsidR="00D50416" w:rsidRPr="00834708" w:rsidRDefault="00D50416" w:rsidP="00937F90">
            <w:pPr>
              <w:spacing w:line="240" w:lineRule="auto"/>
              <w:jc w:val="center"/>
              <w:rPr>
                <w:rFonts w:ascii="Calibri" w:hAnsi="Calibri"/>
                <w:b/>
                <w:bCs/>
                <w:color w:val="000000"/>
                <w:sz w:val="18"/>
                <w:szCs w:val="18"/>
                <w:lang w:eastAsia="sl-SI"/>
              </w:rPr>
            </w:pPr>
            <w:r w:rsidRPr="00834708">
              <w:rPr>
                <w:rFonts w:ascii="Calibri" w:hAnsi="Calibri"/>
                <w:b/>
                <w:bCs/>
                <w:color w:val="000000"/>
                <w:sz w:val="18"/>
                <w:szCs w:val="18"/>
                <w:lang w:eastAsia="sl-SI"/>
              </w:rPr>
              <w:t>(</w:t>
            </w:r>
            <w:r w:rsidR="00E405A9" w:rsidRPr="00F31068">
              <w:rPr>
                <w:rFonts w:ascii="Calibri" w:hAnsi="Calibri"/>
                <w:b/>
                <w:bCs/>
                <w:color w:val="000000"/>
                <w:sz w:val="18"/>
                <w:szCs w:val="18"/>
                <w:lang w:eastAsia="sl-SI"/>
              </w:rPr>
              <w:t>€</w:t>
            </w:r>
            <w:r w:rsidRPr="00834708">
              <w:rPr>
                <w:rFonts w:ascii="Calibri" w:hAnsi="Calibri"/>
                <w:b/>
                <w:bCs/>
                <w:color w:val="000000"/>
                <w:sz w:val="18"/>
                <w:szCs w:val="18"/>
                <w:lang w:eastAsia="sl-SI"/>
              </w:rPr>
              <w:t>)</w:t>
            </w:r>
          </w:p>
        </w:tc>
        <w:tc>
          <w:tcPr>
            <w:tcW w:w="1276" w:type="dxa"/>
            <w:shd w:val="pct25" w:color="auto" w:fill="auto"/>
            <w:noWrap/>
            <w:vAlign w:val="bottom"/>
          </w:tcPr>
          <w:p w:rsidR="00D50416" w:rsidRPr="00834708" w:rsidRDefault="00E405A9" w:rsidP="00937F90">
            <w:pPr>
              <w:spacing w:line="240" w:lineRule="auto"/>
              <w:jc w:val="center"/>
              <w:rPr>
                <w:rFonts w:ascii="Calibri" w:hAnsi="Calibri"/>
                <w:b/>
                <w:bCs/>
                <w:sz w:val="18"/>
                <w:szCs w:val="18"/>
                <w:lang w:eastAsia="sl-SI"/>
              </w:rPr>
            </w:pPr>
            <w:r w:rsidRPr="00F31068">
              <w:rPr>
                <w:rFonts w:ascii="Calibri" w:hAnsi="Calibri"/>
                <w:b/>
                <w:bCs/>
                <w:sz w:val="18"/>
                <w:szCs w:val="18"/>
                <w:lang w:eastAsia="sl-SI"/>
              </w:rPr>
              <w:t>%</w:t>
            </w:r>
          </w:p>
        </w:tc>
      </w:tr>
      <w:tr w:rsidR="00D50416" w:rsidRPr="00972554" w:rsidTr="00D50416">
        <w:trPr>
          <w:trHeight w:val="300"/>
          <w:tblHeader/>
        </w:trPr>
        <w:tc>
          <w:tcPr>
            <w:tcW w:w="6678" w:type="dxa"/>
            <w:shd w:val="pct25" w:color="auto" w:fill="auto"/>
            <w:noWrap/>
            <w:vAlign w:val="bottom"/>
          </w:tcPr>
          <w:p w:rsidR="00D50416" w:rsidRPr="00834708" w:rsidRDefault="00D50416" w:rsidP="00937F90">
            <w:pPr>
              <w:spacing w:line="240" w:lineRule="auto"/>
              <w:jc w:val="center"/>
              <w:rPr>
                <w:rFonts w:ascii="Calibri" w:hAnsi="Calibri"/>
                <w:b/>
                <w:bCs/>
                <w:color w:val="000000"/>
                <w:sz w:val="18"/>
                <w:szCs w:val="18"/>
                <w:lang w:eastAsia="sl-SI"/>
              </w:rPr>
            </w:pPr>
            <w:r w:rsidRPr="00834708">
              <w:rPr>
                <w:rFonts w:ascii="Calibri" w:hAnsi="Calibri"/>
                <w:b/>
                <w:bCs/>
                <w:color w:val="000000"/>
                <w:sz w:val="18"/>
                <w:szCs w:val="18"/>
                <w:lang w:eastAsia="sl-SI"/>
              </w:rPr>
              <w:t>1</w:t>
            </w:r>
          </w:p>
        </w:tc>
        <w:tc>
          <w:tcPr>
            <w:tcW w:w="1288" w:type="dxa"/>
            <w:shd w:val="pct25" w:color="auto" w:fill="auto"/>
            <w:noWrap/>
            <w:vAlign w:val="bottom"/>
          </w:tcPr>
          <w:p w:rsidR="00D50416" w:rsidRPr="00871D79" w:rsidRDefault="00D50416" w:rsidP="00937F90">
            <w:pPr>
              <w:spacing w:line="240" w:lineRule="auto"/>
              <w:jc w:val="center"/>
              <w:rPr>
                <w:rFonts w:ascii="Calibri" w:hAnsi="Calibri"/>
                <w:b/>
                <w:bCs/>
                <w:color w:val="000000"/>
                <w:sz w:val="18"/>
                <w:szCs w:val="18"/>
                <w:lang w:eastAsia="sl-SI"/>
              </w:rPr>
            </w:pPr>
            <w:r w:rsidRPr="00871D79">
              <w:rPr>
                <w:rFonts w:ascii="Calibri" w:hAnsi="Calibri"/>
                <w:b/>
                <w:bCs/>
                <w:color w:val="000000"/>
                <w:sz w:val="18"/>
                <w:szCs w:val="18"/>
                <w:lang w:eastAsia="sl-SI"/>
              </w:rPr>
              <w:t>2</w:t>
            </w:r>
          </w:p>
        </w:tc>
        <w:tc>
          <w:tcPr>
            <w:tcW w:w="1276" w:type="dxa"/>
            <w:shd w:val="pct25" w:color="auto" w:fill="auto"/>
            <w:noWrap/>
            <w:vAlign w:val="bottom"/>
          </w:tcPr>
          <w:p w:rsidR="00D50416" w:rsidRPr="00F83FBB" w:rsidRDefault="00D50416" w:rsidP="00937F90">
            <w:pPr>
              <w:spacing w:line="240" w:lineRule="auto"/>
              <w:jc w:val="center"/>
              <w:rPr>
                <w:rFonts w:ascii="Calibri" w:hAnsi="Calibri"/>
                <w:b/>
                <w:bCs/>
                <w:sz w:val="18"/>
                <w:szCs w:val="18"/>
                <w:lang w:eastAsia="sl-SI"/>
              </w:rPr>
            </w:pPr>
            <w:r w:rsidRPr="00F83FBB">
              <w:rPr>
                <w:rFonts w:ascii="Calibri" w:hAnsi="Calibri"/>
                <w:b/>
                <w:bCs/>
                <w:sz w:val="18"/>
                <w:szCs w:val="18"/>
                <w:lang w:eastAsia="sl-SI"/>
              </w:rPr>
              <w:t>3</w:t>
            </w:r>
          </w:p>
        </w:tc>
      </w:tr>
      <w:tr w:rsidR="002D5A63" w:rsidRPr="00972554" w:rsidTr="00972554">
        <w:trPr>
          <w:trHeight w:val="300"/>
        </w:trPr>
        <w:tc>
          <w:tcPr>
            <w:tcW w:w="6678" w:type="dxa"/>
            <w:shd w:val="clear" w:color="auto" w:fill="auto"/>
            <w:noWrap/>
            <w:vAlign w:val="center"/>
            <w:hideMark/>
          </w:tcPr>
          <w:p w:rsidR="002D5A63" w:rsidRPr="00871D79" w:rsidRDefault="002D5A63" w:rsidP="004F3F69">
            <w:pPr>
              <w:spacing w:line="240" w:lineRule="auto"/>
              <w:jc w:val="left"/>
              <w:rPr>
                <w:rFonts w:ascii="Calibri" w:hAnsi="Calibri"/>
                <w:b/>
                <w:bCs/>
                <w:sz w:val="18"/>
                <w:szCs w:val="18"/>
                <w:lang w:eastAsia="sl-SI"/>
              </w:rPr>
            </w:pPr>
            <w:r w:rsidRPr="00972554">
              <w:rPr>
                <w:rFonts w:ascii="Calibri" w:hAnsi="Calibri"/>
                <w:sz w:val="18"/>
                <w:szCs w:val="18"/>
              </w:rPr>
              <w:t xml:space="preserve">900-Sedanja vrednost neopredmetenih sredstev in dolgoročnih aktivnih časovnih razmejitev </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b/>
                <w:bCs/>
                <w:sz w:val="18"/>
                <w:szCs w:val="18"/>
                <w:lang w:eastAsia="sl-SI"/>
              </w:rPr>
            </w:pPr>
            <w:r w:rsidRPr="00972554">
              <w:rPr>
                <w:rFonts w:ascii="Calibri" w:hAnsi="Calibri"/>
                <w:sz w:val="18"/>
                <w:szCs w:val="18"/>
              </w:rPr>
              <w:t xml:space="preserve">154.447.295 </w:t>
            </w:r>
          </w:p>
        </w:tc>
        <w:tc>
          <w:tcPr>
            <w:tcW w:w="1276" w:type="dxa"/>
            <w:shd w:val="clear" w:color="auto" w:fill="auto"/>
            <w:noWrap/>
            <w:vAlign w:val="bottom"/>
            <w:hideMark/>
          </w:tcPr>
          <w:p w:rsidR="002D5A63" w:rsidRPr="00871D79" w:rsidRDefault="002D5A63" w:rsidP="00834708">
            <w:pPr>
              <w:spacing w:line="240" w:lineRule="auto"/>
              <w:jc w:val="right"/>
              <w:rPr>
                <w:rFonts w:ascii="Calibri" w:hAnsi="Calibri"/>
                <w:b/>
                <w:bCs/>
                <w:sz w:val="18"/>
                <w:szCs w:val="18"/>
                <w:lang w:eastAsia="sl-SI"/>
              </w:rPr>
            </w:pPr>
          </w:p>
        </w:tc>
      </w:tr>
      <w:tr w:rsidR="002D5A63" w:rsidRPr="00972554" w:rsidTr="00972554">
        <w:trPr>
          <w:trHeight w:val="300"/>
        </w:trPr>
        <w:tc>
          <w:tcPr>
            <w:tcW w:w="6678" w:type="dxa"/>
            <w:shd w:val="clear" w:color="auto" w:fill="auto"/>
            <w:noWrap/>
            <w:vAlign w:val="center"/>
            <w:hideMark/>
          </w:tcPr>
          <w:p w:rsidR="002D5A63" w:rsidRPr="00834708" w:rsidRDefault="002D5A63"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JAVNO UPRAVO</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33.493.381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21,69</w:t>
            </w:r>
          </w:p>
        </w:tc>
      </w:tr>
      <w:tr w:rsidR="002D5A63" w:rsidRPr="00972554" w:rsidTr="00972554">
        <w:trPr>
          <w:trHeight w:val="300"/>
        </w:trPr>
        <w:tc>
          <w:tcPr>
            <w:tcW w:w="6678" w:type="dxa"/>
            <w:shd w:val="clear" w:color="auto" w:fill="auto"/>
            <w:noWrap/>
            <w:vAlign w:val="center"/>
            <w:hideMark/>
          </w:tcPr>
          <w:p w:rsidR="002D5A63" w:rsidRPr="00871D79" w:rsidRDefault="002D5A63"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MINISTRSTVO ZA FINANCE FINANČNA UPRAVA </w:t>
            </w:r>
            <w:r w:rsidR="00A355E3" w:rsidRPr="00F31068">
              <w:rPr>
                <w:rFonts w:ascii="Calibri" w:hAnsi="Calibri"/>
                <w:sz w:val="18"/>
                <w:szCs w:val="18"/>
              </w:rPr>
              <w:t>RS</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11.472.455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7,43</w:t>
            </w:r>
          </w:p>
        </w:tc>
      </w:tr>
      <w:tr w:rsidR="002D5A63" w:rsidRPr="00972554" w:rsidTr="00972554">
        <w:trPr>
          <w:trHeight w:val="300"/>
        </w:trPr>
        <w:tc>
          <w:tcPr>
            <w:tcW w:w="6678" w:type="dxa"/>
            <w:shd w:val="clear" w:color="auto" w:fill="auto"/>
            <w:noWrap/>
            <w:vAlign w:val="center"/>
            <w:hideMark/>
          </w:tcPr>
          <w:p w:rsidR="002D5A63" w:rsidRPr="00834708" w:rsidRDefault="002D5A63"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PRAVOSODJE</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6.035.535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3,91</w:t>
            </w:r>
          </w:p>
        </w:tc>
      </w:tr>
      <w:tr w:rsidR="002D5A63" w:rsidRPr="00972554" w:rsidTr="00972554">
        <w:trPr>
          <w:trHeight w:val="300"/>
        </w:trPr>
        <w:tc>
          <w:tcPr>
            <w:tcW w:w="6678" w:type="dxa"/>
            <w:shd w:val="clear" w:color="auto" w:fill="auto"/>
            <w:noWrap/>
            <w:vAlign w:val="center"/>
            <w:hideMark/>
          </w:tcPr>
          <w:p w:rsidR="002D5A63" w:rsidRPr="00871D79" w:rsidRDefault="002D5A63" w:rsidP="004F3F69">
            <w:pPr>
              <w:spacing w:line="240" w:lineRule="auto"/>
              <w:jc w:val="left"/>
              <w:rPr>
                <w:rFonts w:ascii="Calibri" w:hAnsi="Calibri"/>
                <w:b/>
                <w:bCs/>
                <w:sz w:val="18"/>
                <w:szCs w:val="18"/>
                <w:lang w:eastAsia="sl-SI"/>
              </w:rPr>
            </w:pPr>
            <w:r w:rsidRPr="00972554">
              <w:rPr>
                <w:rFonts w:ascii="Calibri" w:hAnsi="Calibri"/>
                <w:sz w:val="18"/>
                <w:szCs w:val="18"/>
              </w:rPr>
              <w:t xml:space="preserve">901-Nabavna vrednost neopredmetenih sredstev in dolgoročnih aktivnih časovnih razmejitev </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b/>
                <w:bCs/>
                <w:sz w:val="18"/>
                <w:szCs w:val="18"/>
                <w:lang w:eastAsia="sl-SI"/>
              </w:rPr>
            </w:pPr>
            <w:r w:rsidRPr="00972554">
              <w:rPr>
                <w:rFonts w:ascii="Calibri" w:hAnsi="Calibri"/>
                <w:sz w:val="18"/>
                <w:szCs w:val="18"/>
              </w:rPr>
              <w:t xml:space="preserve">738.049.607 </w:t>
            </w:r>
          </w:p>
        </w:tc>
        <w:tc>
          <w:tcPr>
            <w:tcW w:w="1276" w:type="dxa"/>
            <w:shd w:val="clear" w:color="auto" w:fill="auto"/>
            <w:noWrap/>
            <w:vAlign w:val="bottom"/>
            <w:hideMark/>
          </w:tcPr>
          <w:p w:rsidR="002D5A63" w:rsidRPr="00871D79" w:rsidRDefault="002D5A63" w:rsidP="00834708">
            <w:pPr>
              <w:spacing w:line="240" w:lineRule="auto"/>
              <w:jc w:val="right"/>
              <w:rPr>
                <w:rFonts w:ascii="Calibri" w:hAnsi="Calibri"/>
                <w:b/>
                <w:bCs/>
                <w:sz w:val="18"/>
                <w:szCs w:val="18"/>
                <w:lang w:eastAsia="sl-SI"/>
              </w:rPr>
            </w:pPr>
          </w:p>
        </w:tc>
      </w:tr>
      <w:tr w:rsidR="002D5A63" w:rsidRPr="00972554" w:rsidTr="00972554">
        <w:trPr>
          <w:trHeight w:val="300"/>
        </w:trPr>
        <w:tc>
          <w:tcPr>
            <w:tcW w:w="6678" w:type="dxa"/>
            <w:shd w:val="clear" w:color="auto" w:fill="auto"/>
            <w:noWrap/>
            <w:vAlign w:val="center"/>
            <w:hideMark/>
          </w:tcPr>
          <w:p w:rsidR="002D5A63" w:rsidRPr="00871D79" w:rsidRDefault="002D5A63"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JAVNO UPRAVO</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114.463.470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15,51</w:t>
            </w:r>
          </w:p>
        </w:tc>
      </w:tr>
      <w:tr w:rsidR="002D5A63" w:rsidRPr="00972554" w:rsidTr="00972554">
        <w:trPr>
          <w:trHeight w:val="300"/>
        </w:trPr>
        <w:tc>
          <w:tcPr>
            <w:tcW w:w="6678" w:type="dxa"/>
            <w:shd w:val="clear" w:color="auto" w:fill="auto"/>
            <w:noWrap/>
            <w:vAlign w:val="center"/>
            <w:hideMark/>
          </w:tcPr>
          <w:p w:rsidR="002D5A63" w:rsidRPr="00871D79" w:rsidRDefault="002D5A63"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MINISTRSTVO ZA FINANCE FINANČNA UPRAVA </w:t>
            </w:r>
            <w:r w:rsidR="00A355E3" w:rsidRPr="00F31068">
              <w:rPr>
                <w:rFonts w:ascii="Calibri" w:hAnsi="Calibri"/>
                <w:sz w:val="18"/>
                <w:szCs w:val="18"/>
              </w:rPr>
              <w:t>RS</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103.710.021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14,05</w:t>
            </w:r>
          </w:p>
        </w:tc>
      </w:tr>
      <w:tr w:rsidR="002D5A63" w:rsidRPr="00972554" w:rsidTr="00972554">
        <w:trPr>
          <w:trHeight w:val="300"/>
        </w:trPr>
        <w:tc>
          <w:tcPr>
            <w:tcW w:w="6678" w:type="dxa"/>
            <w:shd w:val="clear" w:color="auto" w:fill="auto"/>
            <w:noWrap/>
            <w:vAlign w:val="center"/>
            <w:hideMark/>
          </w:tcPr>
          <w:p w:rsidR="002D5A63" w:rsidRPr="00834708" w:rsidRDefault="002D5A63"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Slovenski filmski center</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36.590.035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4,96</w:t>
            </w:r>
          </w:p>
        </w:tc>
      </w:tr>
      <w:tr w:rsidR="002D5A63" w:rsidRPr="00972554" w:rsidTr="00972554">
        <w:trPr>
          <w:trHeight w:val="300"/>
        </w:trPr>
        <w:tc>
          <w:tcPr>
            <w:tcW w:w="6678" w:type="dxa"/>
            <w:shd w:val="clear" w:color="auto" w:fill="auto"/>
            <w:noWrap/>
            <w:vAlign w:val="center"/>
            <w:hideMark/>
          </w:tcPr>
          <w:p w:rsidR="002D5A63" w:rsidRPr="00871D79" w:rsidRDefault="002D5A63" w:rsidP="004F3F69">
            <w:pPr>
              <w:spacing w:line="240" w:lineRule="auto"/>
              <w:jc w:val="left"/>
              <w:rPr>
                <w:rFonts w:ascii="Calibri" w:hAnsi="Calibri"/>
                <w:b/>
                <w:bCs/>
                <w:sz w:val="18"/>
                <w:szCs w:val="18"/>
                <w:lang w:eastAsia="sl-SI"/>
              </w:rPr>
            </w:pPr>
            <w:r w:rsidRPr="00972554">
              <w:rPr>
                <w:rFonts w:ascii="Calibri" w:hAnsi="Calibri"/>
                <w:sz w:val="18"/>
                <w:szCs w:val="18"/>
              </w:rPr>
              <w:t xml:space="preserve">902-Popravki vrednosti neopredmetenih sredstev </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b/>
                <w:bCs/>
                <w:sz w:val="18"/>
                <w:szCs w:val="18"/>
                <w:lang w:eastAsia="sl-SI"/>
              </w:rPr>
            </w:pPr>
            <w:r w:rsidRPr="00972554">
              <w:rPr>
                <w:rFonts w:ascii="Calibri" w:hAnsi="Calibri"/>
                <w:sz w:val="18"/>
                <w:szCs w:val="18"/>
              </w:rPr>
              <w:t xml:space="preserve">583.602.312 </w:t>
            </w:r>
          </w:p>
        </w:tc>
        <w:tc>
          <w:tcPr>
            <w:tcW w:w="1276" w:type="dxa"/>
            <w:shd w:val="clear" w:color="auto" w:fill="auto"/>
            <w:noWrap/>
            <w:vAlign w:val="bottom"/>
            <w:hideMark/>
          </w:tcPr>
          <w:p w:rsidR="002D5A63" w:rsidRPr="00871D79" w:rsidRDefault="002D5A63" w:rsidP="00834708">
            <w:pPr>
              <w:spacing w:line="240" w:lineRule="auto"/>
              <w:jc w:val="right"/>
              <w:rPr>
                <w:rFonts w:ascii="Calibri" w:hAnsi="Calibri"/>
                <w:b/>
                <w:bCs/>
                <w:sz w:val="18"/>
                <w:szCs w:val="18"/>
                <w:lang w:eastAsia="sl-SI"/>
              </w:rPr>
            </w:pPr>
          </w:p>
        </w:tc>
      </w:tr>
      <w:tr w:rsidR="002D5A63" w:rsidRPr="00972554" w:rsidTr="00972554">
        <w:trPr>
          <w:trHeight w:val="300"/>
        </w:trPr>
        <w:tc>
          <w:tcPr>
            <w:tcW w:w="6678" w:type="dxa"/>
            <w:shd w:val="clear" w:color="auto" w:fill="auto"/>
            <w:noWrap/>
            <w:vAlign w:val="center"/>
            <w:hideMark/>
          </w:tcPr>
          <w:p w:rsidR="002D5A63" w:rsidRPr="00834708" w:rsidRDefault="002D5A63"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MINISTRSTVO ZA FINANCE FINANČNA UPRAVA </w:t>
            </w:r>
            <w:r w:rsidR="00A355E3" w:rsidRPr="00F31068">
              <w:rPr>
                <w:rFonts w:ascii="Calibri" w:hAnsi="Calibri"/>
                <w:sz w:val="18"/>
                <w:szCs w:val="18"/>
              </w:rPr>
              <w:t>RS</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92.237.566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15,80</w:t>
            </w:r>
          </w:p>
        </w:tc>
      </w:tr>
      <w:tr w:rsidR="002D5A63" w:rsidRPr="00972554" w:rsidTr="00972554">
        <w:trPr>
          <w:trHeight w:val="300"/>
        </w:trPr>
        <w:tc>
          <w:tcPr>
            <w:tcW w:w="6678" w:type="dxa"/>
            <w:shd w:val="clear" w:color="auto" w:fill="auto"/>
            <w:noWrap/>
            <w:vAlign w:val="center"/>
            <w:hideMark/>
          </w:tcPr>
          <w:p w:rsidR="002D5A63" w:rsidRPr="00834708" w:rsidRDefault="002D5A63"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JAVNO UPRAVO</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80.970.089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13,87</w:t>
            </w:r>
          </w:p>
        </w:tc>
      </w:tr>
      <w:tr w:rsidR="002D5A63" w:rsidRPr="00972554" w:rsidTr="00972554">
        <w:trPr>
          <w:trHeight w:val="300"/>
        </w:trPr>
        <w:tc>
          <w:tcPr>
            <w:tcW w:w="6678" w:type="dxa"/>
            <w:shd w:val="clear" w:color="auto" w:fill="auto"/>
            <w:noWrap/>
            <w:vAlign w:val="center"/>
            <w:hideMark/>
          </w:tcPr>
          <w:p w:rsidR="002D5A63" w:rsidRPr="00834708" w:rsidRDefault="002D5A63"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Slovenski filmski center</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34.511.712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5,91</w:t>
            </w:r>
          </w:p>
        </w:tc>
      </w:tr>
      <w:tr w:rsidR="002D5A63" w:rsidRPr="00972554" w:rsidTr="00972554">
        <w:trPr>
          <w:trHeight w:val="300"/>
        </w:trPr>
        <w:tc>
          <w:tcPr>
            <w:tcW w:w="6678" w:type="dxa"/>
            <w:shd w:val="clear" w:color="auto" w:fill="auto"/>
            <w:noWrap/>
            <w:vAlign w:val="center"/>
            <w:hideMark/>
          </w:tcPr>
          <w:p w:rsidR="002D5A63" w:rsidRPr="00871D79" w:rsidRDefault="002D5A63" w:rsidP="004F3F69">
            <w:pPr>
              <w:spacing w:line="240" w:lineRule="auto"/>
              <w:jc w:val="left"/>
              <w:rPr>
                <w:rFonts w:ascii="Calibri" w:hAnsi="Calibri"/>
                <w:b/>
                <w:bCs/>
                <w:sz w:val="18"/>
                <w:szCs w:val="18"/>
                <w:lang w:eastAsia="sl-SI"/>
              </w:rPr>
            </w:pPr>
            <w:r w:rsidRPr="00972554">
              <w:rPr>
                <w:rFonts w:ascii="Calibri" w:hAnsi="Calibri"/>
                <w:sz w:val="18"/>
                <w:szCs w:val="18"/>
              </w:rPr>
              <w:t xml:space="preserve">903-Sedanja vrednost nepremičnin </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b/>
                <w:bCs/>
                <w:sz w:val="18"/>
                <w:szCs w:val="18"/>
                <w:lang w:eastAsia="sl-SI"/>
              </w:rPr>
            </w:pPr>
            <w:r w:rsidRPr="00972554">
              <w:rPr>
                <w:rFonts w:ascii="Calibri" w:hAnsi="Calibri"/>
                <w:sz w:val="18"/>
                <w:szCs w:val="18"/>
              </w:rPr>
              <w:t xml:space="preserve">21.487.845.568 </w:t>
            </w:r>
          </w:p>
        </w:tc>
        <w:tc>
          <w:tcPr>
            <w:tcW w:w="1276" w:type="dxa"/>
            <w:shd w:val="clear" w:color="auto" w:fill="auto"/>
            <w:noWrap/>
            <w:vAlign w:val="bottom"/>
            <w:hideMark/>
          </w:tcPr>
          <w:p w:rsidR="002D5A63" w:rsidRPr="00871D79" w:rsidRDefault="002D5A63" w:rsidP="00834708">
            <w:pPr>
              <w:spacing w:line="240" w:lineRule="auto"/>
              <w:jc w:val="right"/>
              <w:rPr>
                <w:rFonts w:ascii="Calibri" w:hAnsi="Calibri"/>
                <w:b/>
                <w:bCs/>
                <w:sz w:val="18"/>
                <w:szCs w:val="18"/>
                <w:lang w:eastAsia="sl-SI"/>
              </w:rPr>
            </w:pPr>
          </w:p>
        </w:tc>
      </w:tr>
      <w:tr w:rsidR="002D5A63" w:rsidRPr="00972554" w:rsidTr="00972554">
        <w:trPr>
          <w:trHeight w:val="300"/>
        </w:trPr>
        <w:tc>
          <w:tcPr>
            <w:tcW w:w="6678" w:type="dxa"/>
            <w:shd w:val="clear" w:color="auto" w:fill="auto"/>
            <w:noWrap/>
            <w:vAlign w:val="center"/>
            <w:hideMark/>
          </w:tcPr>
          <w:p w:rsidR="002D5A63" w:rsidRPr="00871D79" w:rsidRDefault="002D5A63"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MINISTRSTVO ZA INFRASTRUKTURO, DIREKCIJA </w:t>
            </w:r>
            <w:r w:rsidR="00A355E3" w:rsidRPr="00F31068">
              <w:rPr>
                <w:rFonts w:ascii="Calibri" w:hAnsi="Calibri"/>
                <w:sz w:val="18"/>
                <w:szCs w:val="18"/>
              </w:rPr>
              <w:t>RS</w:t>
            </w:r>
            <w:r w:rsidRPr="00972554">
              <w:rPr>
                <w:rFonts w:ascii="Calibri" w:hAnsi="Calibri"/>
                <w:sz w:val="18"/>
                <w:szCs w:val="18"/>
              </w:rPr>
              <w:t xml:space="preserve"> ZA INFRASTRUKTURO</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2.758.652.865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12,84</w:t>
            </w:r>
          </w:p>
        </w:tc>
      </w:tr>
      <w:tr w:rsidR="002D5A63" w:rsidRPr="00972554" w:rsidTr="00972554">
        <w:trPr>
          <w:trHeight w:val="300"/>
        </w:trPr>
        <w:tc>
          <w:tcPr>
            <w:tcW w:w="6678" w:type="dxa"/>
            <w:shd w:val="clear" w:color="auto" w:fill="auto"/>
            <w:noWrap/>
            <w:vAlign w:val="center"/>
            <w:hideMark/>
          </w:tcPr>
          <w:p w:rsidR="002D5A63" w:rsidRPr="00834708" w:rsidRDefault="002D5A63"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KOPER</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1.537.260.413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7,15</w:t>
            </w:r>
          </w:p>
        </w:tc>
      </w:tr>
      <w:tr w:rsidR="002D5A63" w:rsidRPr="00972554" w:rsidTr="00972554">
        <w:trPr>
          <w:trHeight w:val="300"/>
        </w:trPr>
        <w:tc>
          <w:tcPr>
            <w:tcW w:w="6678" w:type="dxa"/>
            <w:shd w:val="clear" w:color="auto" w:fill="auto"/>
            <w:noWrap/>
            <w:vAlign w:val="center"/>
            <w:hideMark/>
          </w:tcPr>
          <w:p w:rsidR="002D5A63" w:rsidRPr="00834708" w:rsidRDefault="002D5A63"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LJUBLJANA</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1.023.794.695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4,76</w:t>
            </w:r>
          </w:p>
        </w:tc>
      </w:tr>
      <w:tr w:rsidR="002D5A63" w:rsidRPr="00972554" w:rsidTr="00972554">
        <w:trPr>
          <w:trHeight w:val="300"/>
        </w:trPr>
        <w:tc>
          <w:tcPr>
            <w:tcW w:w="6678" w:type="dxa"/>
            <w:shd w:val="clear" w:color="auto" w:fill="auto"/>
            <w:noWrap/>
            <w:vAlign w:val="center"/>
            <w:hideMark/>
          </w:tcPr>
          <w:p w:rsidR="002D5A63" w:rsidRPr="00834708" w:rsidRDefault="002D5A63" w:rsidP="004F3F69">
            <w:pPr>
              <w:spacing w:line="240" w:lineRule="auto"/>
              <w:jc w:val="left"/>
              <w:rPr>
                <w:rFonts w:ascii="Calibri" w:hAnsi="Calibri"/>
                <w:b/>
                <w:bCs/>
                <w:sz w:val="18"/>
                <w:szCs w:val="18"/>
                <w:lang w:eastAsia="sl-SI"/>
              </w:rPr>
            </w:pPr>
            <w:r w:rsidRPr="00972554">
              <w:rPr>
                <w:rFonts w:ascii="Calibri" w:hAnsi="Calibri"/>
                <w:sz w:val="18"/>
                <w:szCs w:val="18"/>
              </w:rPr>
              <w:t xml:space="preserve">904-Nabavna vrednost nepremičnin </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b/>
                <w:bCs/>
                <w:sz w:val="18"/>
                <w:szCs w:val="18"/>
                <w:lang w:eastAsia="sl-SI"/>
              </w:rPr>
            </w:pPr>
            <w:r w:rsidRPr="00972554">
              <w:rPr>
                <w:rFonts w:ascii="Calibri" w:hAnsi="Calibri"/>
                <w:sz w:val="18"/>
                <w:szCs w:val="18"/>
              </w:rPr>
              <w:t xml:space="preserve">31.881.591.070 </w:t>
            </w:r>
          </w:p>
        </w:tc>
        <w:tc>
          <w:tcPr>
            <w:tcW w:w="1276" w:type="dxa"/>
            <w:shd w:val="clear" w:color="auto" w:fill="auto"/>
            <w:noWrap/>
            <w:vAlign w:val="bottom"/>
            <w:hideMark/>
          </w:tcPr>
          <w:p w:rsidR="002D5A63" w:rsidRPr="00871D79" w:rsidRDefault="002D5A63" w:rsidP="00834708">
            <w:pPr>
              <w:spacing w:line="240" w:lineRule="auto"/>
              <w:jc w:val="right"/>
              <w:rPr>
                <w:rFonts w:ascii="Calibri" w:hAnsi="Calibri"/>
                <w:b/>
                <w:bCs/>
                <w:sz w:val="18"/>
                <w:szCs w:val="18"/>
                <w:lang w:eastAsia="sl-SI"/>
              </w:rPr>
            </w:pPr>
          </w:p>
        </w:tc>
      </w:tr>
      <w:tr w:rsidR="002D5A63" w:rsidRPr="00972554" w:rsidTr="00972554">
        <w:trPr>
          <w:trHeight w:val="300"/>
        </w:trPr>
        <w:tc>
          <w:tcPr>
            <w:tcW w:w="6678" w:type="dxa"/>
            <w:shd w:val="clear" w:color="auto" w:fill="auto"/>
            <w:noWrap/>
            <w:vAlign w:val="center"/>
            <w:hideMark/>
          </w:tcPr>
          <w:p w:rsidR="002D5A63" w:rsidRPr="00871D79" w:rsidRDefault="002D5A63"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lastRenderedPageBreak/>
              <w:t xml:space="preserve">MINISTRSTVO ZA INFRASTRUKTURO, DIREKCIJA </w:t>
            </w:r>
            <w:r w:rsidR="00A355E3" w:rsidRPr="00F31068">
              <w:rPr>
                <w:rFonts w:ascii="Calibri" w:hAnsi="Calibri"/>
                <w:sz w:val="18"/>
                <w:szCs w:val="18"/>
              </w:rPr>
              <w:t>RS</w:t>
            </w:r>
            <w:r w:rsidRPr="00972554">
              <w:rPr>
                <w:rFonts w:ascii="Calibri" w:hAnsi="Calibri"/>
                <w:sz w:val="18"/>
                <w:szCs w:val="18"/>
              </w:rPr>
              <w:t xml:space="preserve"> ZA INFRASTRUKTURO</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5.530.513.137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17,35</w:t>
            </w:r>
          </w:p>
        </w:tc>
      </w:tr>
      <w:tr w:rsidR="002D5A63" w:rsidRPr="00972554" w:rsidTr="00972554">
        <w:trPr>
          <w:trHeight w:val="300"/>
        </w:trPr>
        <w:tc>
          <w:tcPr>
            <w:tcW w:w="6678" w:type="dxa"/>
            <w:shd w:val="clear" w:color="auto" w:fill="auto"/>
            <w:noWrap/>
            <w:vAlign w:val="center"/>
            <w:hideMark/>
          </w:tcPr>
          <w:p w:rsidR="002D5A63" w:rsidRPr="00834708" w:rsidRDefault="002D5A63"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KOPER</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1.635.733.579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5,13</w:t>
            </w:r>
          </w:p>
        </w:tc>
      </w:tr>
      <w:tr w:rsidR="002D5A63" w:rsidRPr="00972554" w:rsidTr="00972554">
        <w:trPr>
          <w:trHeight w:val="300"/>
        </w:trPr>
        <w:tc>
          <w:tcPr>
            <w:tcW w:w="6678" w:type="dxa"/>
            <w:shd w:val="clear" w:color="auto" w:fill="auto"/>
            <w:noWrap/>
            <w:vAlign w:val="center"/>
            <w:hideMark/>
          </w:tcPr>
          <w:p w:rsidR="002D5A63" w:rsidRPr="00834708" w:rsidRDefault="002D5A63"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LJUBLJANA</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1.285.140.972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4,03</w:t>
            </w:r>
          </w:p>
        </w:tc>
      </w:tr>
      <w:tr w:rsidR="002D5A63" w:rsidRPr="00972554" w:rsidTr="00972554">
        <w:trPr>
          <w:trHeight w:val="300"/>
        </w:trPr>
        <w:tc>
          <w:tcPr>
            <w:tcW w:w="6678" w:type="dxa"/>
            <w:shd w:val="clear" w:color="auto" w:fill="auto"/>
            <w:noWrap/>
            <w:vAlign w:val="center"/>
            <w:hideMark/>
          </w:tcPr>
          <w:p w:rsidR="002D5A63" w:rsidRPr="00834708" w:rsidRDefault="002D5A63" w:rsidP="004F3F69">
            <w:pPr>
              <w:spacing w:line="240" w:lineRule="auto"/>
              <w:jc w:val="left"/>
              <w:rPr>
                <w:rFonts w:ascii="Calibri" w:hAnsi="Calibri"/>
                <w:b/>
                <w:bCs/>
                <w:sz w:val="18"/>
                <w:szCs w:val="18"/>
                <w:lang w:eastAsia="sl-SI"/>
              </w:rPr>
            </w:pPr>
            <w:r w:rsidRPr="00972554">
              <w:rPr>
                <w:rFonts w:ascii="Calibri" w:hAnsi="Calibri"/>
                <w:sz w:val="18"/>
                <w:szCs w:val="18"/>
              </w:rPr>
              <w:t xml:space="preserve">905-Popravek vrednosti nepremičnin </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b/>
                <w:bCs/>
                <w:sz w:val="18"/>
                <w:szCs w:val="18"/>
                <w:lang w:eastAsia="sl-SI"/>
              </w:rPr>
            </w:pPr>
            <w:r w:rsidRPr="00972554">
              <w:rPr>
                <w:rFonts w:ascii="Calibri" w:hAnsi="Calibri"/>
                <w:sz w:val="18"/>
                <w:szCs w:val="18"/>
              </w:rPr>
              <w:t xml:space="preserve">10.393.745.502 </w:t>
            </w:r>
          </w:p>
        </w:tc>
        <w:tc>
          <w:tcPr>
            <w:tcW w:w="1276" w:type="dxa"/>
            <w:shd w:val="clear" w:color="auto" w:fill="auto"/>
            <w:noWrap/>
            <w:vAlign w:val="bottom"/>
            <w:hideMark/>
          </w:tcPr>
          <w:p w:rsidR="002D5A63" w:rsidRPr="00871D79" w:rsidRDefault="002D5A63" w:rsidP="00834708">
            <w:pPr>
              <w:spacing w:line="240" w:lineRule="auto"/>
              <w:jc w:val="right"/>
              <w:rPr>
                <w:rFonts w:ascii="Calibri" w:hAnsi="Calibri"/>
                <w:b/>
                <w:bCs/>
                <w:sz w:val="18"/>
                <w:szCs w:val="18"/>
                <w:lang w:eastAsia="sl-SI"/>
              </w:rPr>
            </w:pPr>
          </w:p>
        </w:tc>
      </w:tr>
      <w:tr w:rsidR="002D5A63" w:rsidRPr="00972554" w:rsidTr="00972554">
        <w:trPr>
          <w:trHeight w:val="300"/>
        </w:trPr>
        <w:tc>
          <w:tcPr>
            <w:tcW w:w="6678" w:type="dxa"/>
            <w:shd w:val="clear" w:color="auto" w:fill="auto"/>
            <w:noWrap/>
            <w:vAlign w:val="center"/>
            <w:hideMark/>
          </w:tcPr>
          <w:p w:rsidR="002D5A63" w:rsidRPr="00F83FBB" w:rsidRDefault="002D5A63"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MINISTRSTVO ZA INFRASTRUKTURO, DIREKCIJA </w:t>
            </w:r>
            <w:r w:rsidR="00A355E3" w:rsidRPr="00F31068">
              <w:rPr>
                <w:rFonts w:ascii="Calibri" w:hAnsi="Calibri"/>
                <w:sz w:val="18"/>
                <w:szCs w:val="18"/>
              </w:rPr>
              <w:t>RS</w:t>
            </w:r>
            <w:r w:rsidRPr="00972554">
              <w:rPr>
                <w:rFonts w:ascii="Calibri" w:hAnsi="Calibri"/>
                <w:sz w:val="18"/>
                <w:szCs w:val="18"/>
              </w:rPr>
              <w:t xml:space="preserve"> ZA INFRASTRUKTURO</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2.771.860.272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26,67</w:t>
            </w:r>
          </w:p>
        </w:tc>
      </w:tr>
      <w:tr w:rsidR="002D5A63" w:rsidRPr="00972554" w:rsidTr="00972554">
        <w:trPr>
          <w:trHeight w:val="300"/>
        </w:trPr>
        <w:tc>
          <w:tcPr>
            <w:tcW w:w="6678" w:type="dxa"/>
            <w:shd w:val="clear" w:color="auto" w:fill="auto"/>
            <w:noWrap/>
            <w:vAlign w:val="center"/>
            <w:hideMark/>
          </w:tcPr>
          <w:p w:rsidR="002D5A63" w:rsidRPr="00871D79" w:rsidRDefault="002D5A63"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MINISTRSTVO ZA OKOLJE IN PROSTOR DIREKCIJA </w:t>
            </w:r>
            <w:r w:rsidR="00A355E3" w:rsidRPr="00F31068">
              <w:rPr>
                <w:rFonts w:ascii="Calibri" w:hAnsi="Calibri"/>
                <w:sz w:val="18"/>
                <w:szCs w:val="18"/>
              </w:rPr>
              <w:t>RS</w:t>
            </w:r>
            <w:r w:rsidRPr="00972554">
              <w:rPr>
                <w:rFonts w:ascii="Calibri" w:hAnsi="Calibri"/>
                <w:sz w:val="18"/>
                <w:szCs w:val="18"/>
              </w:rPr>
              <w:t xml:space="preserve"> ZA VODE</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779.986.497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7,50</w:t>
            </w:r>
          </w:p>
        </w:tc>
      </w:tr>
      <w:tr w:rsidR="002D5A63" w:rsidRPr="00972554" w:rsidTr="00972554">
        <w:trPr>
          <w:trHeight w:val="300"/>
        </w:trPr>
        <w:tc>
          <w:tcPr>
            <w:tcW w:w="6678" w:type="dxa"/>
            <w:shd w:val="clear" w:color="auto" w:fill="auto"/>
            <w:noWrap/>
            <w:vAlign w:val="center"/>
            <w:hideMark/>
          </w:tcPr>
          <w:p w:rsidR="002D5A63" w:rsidRPr="00834708" w:rsidRDefault="002D5A63"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LJUBLJANA</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261.346.277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2,51</w:t>
            </w:r>
          </w:p>
        </w:tc>
      </w:tr>
      <w:tr w:rsidR="002D5A63" w:rsidRPr="00972554" w:rsidTr="00972554">
        <w:trPr>
          <w:trHeight w:val="300"/>
        </w:trPr>
        <w:tc>
          <w:tcPr>
            <w:tcW w:w="6678" w:type="dxa"/>
            <w:shd w:val="clear" w:color="auto" w:fill="auto"/>
            <w:noWrap/>
            <w:vAlign w:val="center"/>
            <w:hideMark/>
          </w:tcPr>
          <w:p w:rsidR="002D5A63" w:rsidRPr="00871D79" w:rsidRDefault="002D5A63" w:rsidP="004F3F69">
            <w:pPr>
              <w:spacing w:line="240" w:lineRule="auto"/>
              <w:jc w:val="left"/>
              <w:rPr>
                <w:rFonts w:ascii="Calibri" w:hAnsi="Calibri"/>
                <w:b/>
                <w:bCs/>
                <w:sz w:val="18"/>
                <w:szCs w:val="18"/>
                <w:lang w:eastAsia="sl-SI"/>
              </w:rPr>
            </w:pPr>
            <w:r w:rsidRPr="00972554">
              <w:rPr>
                <w:rFonts w:ascii="Calibri" w:hAnsi="Calibri"/>
                <w:sz w:val="18"/>
                <w:szCs w:val="18"/>
              </w:rPr>
              <w:t xml:space="preserve">906-Sedanja vrednost opreme in drugih opredmetenih osnovnih sredstev </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b/>
                <w:bCs/>
                <w:sz w:val="18"/>
                <w:szCs w:val="18"/>
                <w:lang w:eastAsia="sl-SI"/>
              </w:rPr>
            </w:pPr>
            <w:r w:rsidRPr="00972554">
              <w:rPr>
                <w:rFonts w:ascii="Calibri" w:hAnsi="Calibri"/>
                <w:sz w:val="18"/>
                <w:szCs w:val="18"/>
              </w:rPr>
              <w:t xml:space="preserve">2.097.863.477 </w:t>
            </w:r>
          </w:p>
        </w:tc>
        <w:tc>
          <w:tcPr>
            <w:tcW w:w="1276" w:type="dxa"/>
            <w:shd w:val="clear" w:color="auto" w:fill="auto"/>
            <w:noWrap/>
            <w:vAlign w:val="bottom"/>
            <w:hideMark/>
          </w:tcPr>
          <w:p w:rsidR="002D5A63" w:rsidRPr="00871D79" w:rsidRDefault="002D5A63" w:rsidP="00834708">
            <w:pPr>
              <w:spacing w:line="240" w:lineRule="auto"/>
              <w:jc w:val="right"/>
              <w:rPr>
                <w:rFonts w:ascii="Calibri" w:hAnsi="Calibri"/>
                <w:b/>
                <w:bCs/>
                <w:sz w:val="18"/>
                <w:szCs w:val="18"/>
                <w:lang w:eastAsia="sl-SI"/>
              </w:rPr>
            </w:pPr>
          </w:p>
        </w:tc>
      </w:tr>
      <w:tr w:rsidR="002D5A63" w:rsidRPr="00972554" w:rsidTr="00972554">
        <w:trPr>
          <w:trHeight w:val="300"/>
        </w:trPr>
        <w:tc>
          <w:tcPr>
            <w:tcW w:w="6678" w:type="dxa"/>
            <w:shd w:val="clear" w:color="auto" w:fill="auto"/>
            <w:noWrap/>
            <w:vAlign w:val="center"/>
            <w:hideMark/>
          </w:tcPr>
          <w:p w:rsidR="002D5A63" w:rsidRPr="00F83FBB" w:rsidRDefault="002D5A63"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MINISTRSTVO ZA INFRASTRUKTURO, DIREKCIJA </w:t>
            </w:r>
            <w:r w:rsidR="00A355E3" w:rsidRPr="00F31068">
              <w:rPr>
                <w:rFonts w:ascii="Calibri" w:hAnsi="Calibri"/>
                <w:sz w:val="18"/>
                <w:szCs w:val="18"/>
              </w:rPr>
              <w:t>RS</w:t>
            </w:r>
            <w:r w:rsidRPr="00972554">
              <w:rPr>
                <w:rFonts w:ascii="Calibri" w:hAnsi="Calibri"/>
                <w:sz w:val="18"/>
                <w:szCs w:val="18"/>
              </w:rPr>
              <w:t xml:space="preserve"> ZA INFRASTRUKTURO</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658.785.194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31,40</w:t>
            </w:r>
          </w:p>
        </w:tc>
      </w:tr>
      <w:tr w:rsidR="002D5A63" w:rsidRPr="00972554" w:rsidTr="00972554">
        <w:trPr>
          <w:trHeight w:val="300"/>
        </w:trPr>
        <w:tc>
          <w:tcPr>
            <w:tcW w:w="6678" w:type="dxa"/>
            <w:shd w:val="clear" w:color="auto" w:fill="auto"/>
            <w:noWrap/>
            <w:vAlign w:val="center"/>
            <w:hideMark/>
          </w:tcPr>
          <w:p w:rsidR="002D5A63" w:rsidRPr="00871D79" w:rsidRDefault="002D5A63"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MINISTRSTVO ZA OBRAMBO </w:t>
            </w:r>
            <w:r w:rsidR="00A355E3" w:rsidRPr="00F31068">
              <w:rPr>
                <w:rFonts w:ascii="Calibri" w:hAnsi="Calibri"/>
                <w:sz w:val="18"/>
                <w:szCs w:val="18"/>
              </w:rPr>
              <w:t>RS</w:t>
            </w:r>
            <w:r w:rsidRPr="00972554">
              <w:rPr>
                <w:rFonts w:ascii="Calibri" w:hAnsi="Calibri"/>
                <w:sz w:val="18"/>
                <w:szCs w:val="18"/>
              </w:rPr>
              <w:t>, GENERALŠTAB SLOVENSKE VOJSKE</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312.190.046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14,88</w:t>
            </w:r>
          </w:p>
        </w:tc>
      </w:tr>
      <w:tr w:rsidR="002D5A63" w:rsidRPr="00972554" w:rsidTr="00972554">
        <w:trPr>
          <w:trHeight w:val="300"/>
        </w:trPr>
        <w:tc>
          <w:tcPr>
            <w:tcW w:w="6678" w:type="dxa"/>
            <w:shd w:val="clear" w:color="auto" w:fill="auto"/>
            <w:noWrap/>
            <w:vAlign w:val="center"/>
            <w:hideMark/>
          </w:tcPr>
          <w:p w:rsidR="002D5A63" w:rsidRPr="00871D79" w:rsidRDefault="002D5A63"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NOTRANJE ZADEVE POLICIJA</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56.785.827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2,71</w:t>
            </w:r>
          </w:p>
        </w:tc>
      </w:tr>
      <w:tr w:rsidR="002D5A63" w:rsidRPr="00972554" w:rsidTr="00972554">
        <w:trPr>
          <w:trHeight w:val="300"/>
        </w:trPr>
        <w:tc>
          <w:tcPr>
            <w:tcW w:w="6678" w:type="dxa"/>
            <w:shd w:val="clear" w:color="auto" w:fill="auto"/>
            <w:noWrap/>
            <w:vAlign w:val="center"/>
            <w:hideMark/>
          </w:tcPr>
          <w:p w:rsidR="002D5A63" w:rsidRPr="00871D79" w:rsidRDefault="002D5A63" w:rsidP="004F3F69">
            <w:pPr>
              <w:spacing w:line="240" w:lineRule="auto"/>
              <w:jc w:val="left"/>
              <w:rPr>
                <w:rFonts w:ascii="Calibri" w:hAnsi="Calibri"/>
                <w:b/>
                <w:bCs/>
                <w:sz w:val="18"/>
                <w:szCs w:val="18"/>
                <w:lang w:eastAsia="sl-SI"/>
              </w:rPr>
            </w:pPr>
            <w:r w:rsidRPr="00972554">
              <w:rPr>
                <w:rFonts w:ascii="Calibri" w:hAnsi="Calibri"/>
                <w:sz w:val="18"/>
                <w:szCs w:val="18"/>
              </w:rPr>
              <w:t xml:space="preserve">907-Nabavna vrednost opreme in drugih opredmetenih osnovnih sredstev </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b/>
                <w:bCs/>
                <w:sz w:val="18"/>
                <w:szCs w:val="18"/>
                <w:lang w:eastAsia="sl-SI"/>
              </w:rPr>
            </w:pPr>
            <w:r w:rsidRPr="00972554">
              <w:rPr>
                <w:rFonts w:ascii="Calibri" w:hAnsi="Calibri"/>
                <w:sz w:val="18"/>
                <w:szCs w:val="18"/>
              </w:rPr>
              <w:t xml:space="preserve">7.273.077.414 </w:t>
            </w:r>
          </w:p>
        </w:tc>
        <w:tc>
          <w:tcPr>
            <w:tcW w:w="1276" w:type="dxa"/>
            <w:shd w:val="clear" w:color="auto" w:fill="auto"/>
            <w:noWrap/>
            <w:vAlign w:val="bottom"/>
            <w:hideMark/>
          </w:tcPr>
          <w:p w:rsidR="002D5A63" w:rsidRPr="00871D79" w:rsidRDefault="002D5A63" w:rsidP="00834708">
            <w:pPr>
              <w:spacing w:line="240" w:lineRule="auto"/>
              <w:jc w:val="right"/>
              <w:rPr>
                <w:rFonts w:ascii="Calibri" w:hAnsi="Calibri"/>
                <w:b/>
                <w:bCs/>
                <w:sz w:val="18"/>
                <w:szCs w:val="18"/>
                <w:lang w:eastAsia="sl-SI"/>
              </w:rPr>
            </w:pPr>
          </w:p>
        </w:tc>
      </w:tr>
      <w:tr w:rsidR="002D5A63" w:rsidRPr="00972554" w:rsidTr="00972554">
        <w:trPr>
          <w:trHeight w:val="300"/>
        </w:trPr>
        <w:tc>
          <w:tcPr>
            <w:tcW w:w="6678" w:type="dxa"/>
            <w:shd w:val="clear" w:color="auto" w:fill="auto"/>
            <w:noWrap/>
            <w:vAlign w:val="center"/>
            <w:hideMark/>
          </w:tcPr>
          <w:p w:rsidR="002D5A63" w:rsidRPr="00871D79" w:rsidRDefault="002D5A63"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MINISTRSTVO ZA INFRASTRUKTURO, DIREKCIJA </w:t>
            </w:r>
            <w:r w:rsidR="00A355E3" w:rsidRPr="00F31068">
              <w:rPr>
                <w:rFonts w:ascii="Calibri" w:hAnsi="Calibri"/>
                <w:sz w:val="18"/>
                <w:szCs w:val="18"/>
              </w:rPr>
              <w:t>RS</w:t>
            </w:r>
            <w:r w:rsidRPr="00972554">
              <w:rPr>
                <w:rFonts w:ascii="Calibri" w:hAnsi="Calibri"/>
                <w:sz w:val="18"/>
                <w:szCs w:val="18"/>
              </w:rPr>
              <w:t xml:space="preserve"> ZA INFRASTRUKTURO</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1.122.994.489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15,44</w:t>
            </w:r>
          </w:p>
        </w:tc>
      </w:tr>
      <w:tr w:rsidR="002D5A63" w:rsidRPr="00972554" w:rsidTr="00972554">
        <w:trPr>
          <w:trHeight w:val="300"/>
        </w:trPr>
        <w:tc>
          <w:tcPr>
            <w:tcW w:w="6678" w:type="dxa"/>
            <w:shd w:val="clear" w:color="auto" w:fill="auto"/>
            <w:noWrap/>
            <w:vAlign w:val="center"/>
            <w:hideMark/>
          </w:tcPr>
          <w:p w:rsidR="002D5A63" w:rsidRPr="00F83FBB" w:rsidRDefault="002D5A63"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MINISTRSTVO ZA OBRAMBO </w:t>
            </w:r>
            <w:r w:rsidR="00A355E3" w:rsidRPr="00F31068">
              <w:rPr>
                <w:rFonts w:ascii="Calibri" w:hAnsi="Calibri"/>
                <w:sz w:val="18"/>
                <w:szCs w:val="18"/>
              </w:rPr>
              <w:t>RS</w:t>
            </w:r>
            <w:r w:rsidRPr="00972554">
              <w:rPr>
                <w:rFonts w:ascii="Calibri" w:hAnsi="Calibri"/>
                <w:sz w:val="18"/>
                <w:szCs w:val="18"/>
              </w:rPr>
              <w:t>, GENERALŠTAB SLOVENSKE VOJSKE</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916.817.053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12,61</w:t>
            </w:r>
          </w:p>
        </w:tc>
      </w:tr>
      <w:tr w:rsidR="002D5A63" w:rsidRPr="00972554" w:rsidTr="00972554">
        <w:trPr>
          <w:trHeight w:val="300"/>
        </w:trPr>
        <w:tc>
          <w:tcPr>
            <w:tcW w:w="6678" w:type="dxa"/>
            <w:shd w:val="clear" w:color="auto" w:fill="auto"/>
            <w:noWrap/>
            <w:vAlign w:val="center"/>
            <w:hideMark/>
          </w:tcPr>
          <w:p w:rsidR="002D5A63" w:rsidRPr="00871D79" w:rsidRDefault="002D5A63"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NOTRANJE ZADEVE POLICIJA</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269.356.786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3,70</w:t>
            </w:r>
          </w:p>
        </w:tc>
      </w:tr>
      <w:tr w:rsidR="002D5A63" w:rsidRPr="00972554" w:rsidTr="00972554">
        <w:trPr>
          <w:trHeight w:val="300"/>
        </w:trPr>
        <w:tc>
          <w:tcPr>
            <w:tcW w:w="6678" w:type="dxa"/>
            <w:shd w:val="clear" w:color="auto" w:fill="auto"/>
            <w:noWrap/>
            <w:vAlign w:val="center"/>
            <w:hideMark/>
          </w:tcPr>
          <w:p w:rsidR="002D5A63" w:rsidRPr="00F83FBB" w:rsidRDefault="002D5A63" w:rsidP="004F3F69">
            <w:pPr>
              <w:spacing w:line="240" w:lineRule="auto"/>
              <w:jc w:val="left"/>
              <w:rPr>
                <w:rFonts w:ascii="Calibri" w:hAnsi="Calibri"/>
                <w:b/>
                <w:bCs/>
                <w:sz w:val="18"/>
                <w:szCs w:val="18"/>
                <w:lang w:eastAsia="sl-SI"/>
              </w:rPr>
            </w:pPr>
            <w:r w:rsidRPr="00972554">
              <w:rPr>
                <w:rFonts w:ascii="Calibri" w:hAnsi="Calibri"/>
                <w:sz w:val="18"/>
                <w:szCs w:val="18"/>
              </w:rPr>
              <w:t xml:space="preserve">908-Popravek vrednosti opreme in drugih opredmetenih osnovnih sredstev </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b/>
                <w:bCs/>
                <w:sz w:val="18"/>
                <w:szCs w:val="18"/>
                <w:lang w:eastAsia="sl-SI"/>
              </w:rPr>
            </w:pPr>
            <w:r w:rsidRPr="00972554">
              <w:rPr>
                <w:rFonts w:ascii="Calibri" w:hAnsi="Calibri"/>
                <w:sz w:val="18"/>
                <w:szCs w:val="18"/>
              </w:rPr>
              <w:t xml:space="preserve">5.175.213.937 </w:t>
            </w:r>
          </w:p>
        </w:tc>
        <w:tc>
          <w:tcPr>
            <w:tcW w:w="1276" w:type="dxa"/>
            <w:shd w:val="clear" w:color="auto" w:fill="auto"/>
            <w:noWrap/>
            <w:vAlign w:val="bottom"/>
            <w:hideMark/>
          </w:tcPr>
          <w:p w:rsidR="002D5A63" w:rsidRPr="00871D79" w:rsidRDefault="002D5A63" w:rsidP="00834708">
            <w:pPr>
              <w:spacing w:line="240" w:lineRule="auto"/>
              <w:jc w:val="right"/>
              <w:rPr>
                <w:rFonts w:ascii="Calibri" w:hAnsi="Calibri"/>
                <w:b/>
                <w:bCs/>
                <w:sz w:val="18"/>
                <w:szCs w:val="18"/>
                <w:lang w:eastAsia="sl-SI"/>
              </w:rPr>
            </w:pPr>
          </w:p>
        </w:tc>
      </w:tr>
      <w:tr w:rsidR="002D5A63" w:rsidRPr="00972554" w:rsidTr="00972554">
        <w:trPr>
          <w:trHeight w:val="300"/>
        </w:trPr>
        <w:tc>
          <w:tcPr>
            <w:tcW w:w="6678" w:type="dxa"/>
            <w:shd w:val="clear" w:color="auto" w:fill="auto"/>
            <w:noWrap/>
            <w:vAlign w:val="center"/>
            <w:hideMark/>
          </w:tcPr>
          <w:p w:rsidR="002D5A63" w:rsidRPr="00871D79" w:rsidRDefault="002D5A63"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MINISTRSTVO ZA OBRAMBO </w:t>
            </w:r>
            <w:r w:rsidR="00A355E3" w:rsidRPr="00F31068">
              <w:rPr>
                <w:rFonts w:ascii="Calibri" w:hAnsi="Calibri"/>
                <w:sz w:val="18"/>
                <w:szCs w:val="18"/>
              </w:rPr>
              <w:t>RS</w:t>
            </w:r>
            <w:r w:rsidRPr="00972554">
              <w:rPr>
                <w:rFonts w:ascii="Calibri" w:hAnsi="Calibri"/>
                <w:sz w:val="18"/>
                <w:szCs w:val="18"/>
              </w:rPr>
              <w:t>, GENERALŠTAB SLOVENSKE VOJSKE</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604.627.007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11,68</w:t>
            </w:r>
          </w:p>
        </w:tc>
      </w:tr>
      <w:tr w:rsidR="002D5A63" w:rsidRPr="00972554" w:rsidTr="00972554">
        <w:trPr>
          <w:trHeight w:val="300"/>
        </w:trPr>
        <w:tc>
          <w:tcPr>
            <w:tcW w:w="6678" w:type="dxa"/>
            <w:shd w:val="clear" w:color="auto" w:fill="auto"/>
            <w:noWrap/>
            <w:vAlign w:val="center"/>
            <w:hideMark/>
          </w:tcPr>
          <w:p w:rsidR="002D5A63" w:rsidRPr="00871D79" w:rsidRDefault="002D5A63"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MINISTRSTVO ZA INFRASTRUKTURO, DIREKCIJA </w:t>
            </w:r>
            <w:r w:rsidR="00A355E3" w:rsidRPr="00F31068">
              <w:rPr>
                <w:rFonts w:ascii="Calibri" w:hAnsi="Calibri"/>
                <w:sz w:val="18"/>
                <w:szCs w:val="18"/>
              </w:rPr>
              <w:t>RS</w:t>
            </w:r>
            <w:r w:rsidRPr="00972554">
              <w:rPr>
                <w:rFonts w:ascii="Calibri" w:hAnsi="Calibri"/>
                <w:sz w:val="18"/>
                <w:szCs w:val="18"/>
              </w:rPr>
              <w:t xml:space="preserve"> ZA INFRASTRUKTURO</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464.209.295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8,97</w:t>
            </w:r>
          </w:p>
        </w:tc>
      </w:tr>
      <w:tr w:rsidR="002D5A63" w:rsidRPr="00972554" w:rsidTr="00972554">
        <w:trPr>
          <w:trHeight w:val="300"/>
        </w:trPr>
        <w:tc>
          <w:tcPr>
            <w:tcW w:w="6678" w:type="dxa"/>
            <w:shd w:val="clear" w:color="auto" w:fill="auto"/>
            <w:noWrap/>
            <w:vAlign w:val="center"/>
            <w:hideMark/>
          </w:tcPr>
          <w:p w:rsidR="002D5A63" w:rsidRPr="00871D79" w:rsidRDefault="002D5A63"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NOTRANJE ZADEVE POLICIJA</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212.570.959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4,11</w:t>
            </w:r>
          </w:p>
        </w:tc>
      </w:tr>
      <w:tr w:rsidR="002D5A63" w:rsidRPr="00972554" w:rsidTr="00972554">
        <w:trPr>
          <w:trHeight w:val="300"/>
        </w:trPr>
        <w:tc>
          <w:tcPr>
            <w:tcW w:w="6678" w:type="dxa"/>
            <w:shd w:val="clear" w:color="auto" w:fill="auto"/>
            <w:noWrap/>
            <w:vAlign w:val="center"/>
            <w:hideMark/>
          </w:tcPr>
          <w:p w:rsidR="002D5A63" w:rsidRPr="00834708" w:rsidRDefault="002D5A63" w:rsidP="004F3F69">
            <w:pPr>
              <w:spacing w:line="240" w:lineRule="auto"/>
              <w:jc w:val="left"/>
              <w:rPr>
                <w:rFonts w:ascii="Calibri" w:hAnsi="Calibri"/>
                <w:b/>
                <w:bCs/>
                <w:sz w:val="18"/>
                <w:szCs w:val="18"/>
                <w:lang w:eastAsia="sl-SI"/>
              </w:rPr>
            </w:pPr>
            <w:r w:rsidRPr="00972554">
              <w:rPr>
                <w:rFonts w:ascii="Calibri" w:hAnsi="Calibri"/>
                <w:sz w:val="18"/>
                <w:szCs w:val="18"/>
              </w:rPr>
              <w:t xml:space="preserve">909-Terjatve za sredstva dana v upravljanje </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b/>
                <w:bCs/>
                <w:sz w:val="18"/>
                <w:szCs w:val="18"/>
                <w:lang w:eastAsia="sl-SI"/>
              </w:rPr>
            </w:pPr>
            <w:r w:rsidRPr="00972554">
              <w:rPr>
                <w:rFonts w:ascii="Calibri" w:hAnsi="Calibri"/>
                <w:sz w:val="18"/>
                <w:szCs w:val="18"/>
              </w:rPr>
              <w:t xml:space="preserve">29.907.899 </w:t>
            </w:r>
          </w:p>
        </w:tc>
        <w:tc>
          <w:tcPr>
            <w:tcW w:w="1276" w:type="dxa"/>
            <w:shd w:val="clear" w:color="auto" w:fill="auto"/>
            <w:noWrap/>
            <w:vAlign w:val="bottom"/>
            <w:hideMark/>
          </w:tcPr>
          <w:p w:rsidR="002D5A63" w:rsidRPr="00871D79" w:rsidRDefault="002D5A63" w:rsidP="00834708">
            <w:pPr>
              <w:spacing w:line="240" w:lineRule="auto"/>
              <w:jc w:val="right"/>
              <w:rPr>
                <w:rFonts w:ascii="Calibri" w:hAnsi="Calibri"/>
                <w:b/>
                <w:bCs/>
                <w:sz w:val="18"/>
                <w:szCs w:val="18"/>
                <w:lang w:eastAsia="sl-SI"/>
              </w:rPr>
            </w:pPr>
          </w:p>
        </w:tc>
      </w:tr>
      <w:tr w:rsidR="002D5A63" w:rsidRPr="00972554" w:rsidTr="00972554">
        <w:trPr>
          <w:trHeight w:val="300"/>
        </w:trPr>
        <w:tc>
          <w:tcPr>
            <w:tcW w:w="6678" w:type="dxa"/>
            <w:shd w:val="clear" w:color="auto" w:fill="auto"/>
            <w:noWrap/>
            <w:vAlign w:val="center"/>
            <w:hideMark/>
          </w:tcPr>
          <w:p w:rsidR="002D5A63" w:rsidRPr="00834708" w:rsidRDefault="002D5A63"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MARIBOR</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14.072.689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47,05</w:t>
            </w:r>
          </w:p>
        </w:tc>
      </w:tr>
      <w:tr w:rsidR="002D5A63" w:rsidRPr="00972554" w:rsidTr="00972554">
        <w:trPr>
          <w:trHeight w:val="300"/>
        </w:trPr>
        <w:tc>
          <w:tcPr>
            <w:tcW w:w="6678" w:type="dxa"/>
            <w:shd w:val="clear" w:color="auto" w:fill="auto"/>
            <w:noWrap/>
            <w:vAlign w:val="center"/>
            <w:hideMark/>
          </w:tcPr>
          <w:p w:rsidR="002D5A63" w:rsidRPr="00834708" w:rsidRDefault="002D5A63"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OBČINA BELTINCI</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2.900.141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9,70</w:t>
            </w:r>
          </w:p>
        </w:tc>
      </w:tr>
      <w:tr w:rsidR="002D5A63" w:rsidRPr="00972554" w:rsidTr="00972554">
        <w:trPr>
          <w:trHeight w:val="300"/>
        </w:trPr>
        <w:tc>
          <w:tcPr>
            <w:tcW w:w="6678" w:type="dxa"/>
            <w:shd w:val="clear" w:color="auto" w:fill="auto"/>
            <w:noWrap/>
            <w:vAlign w:val="center"/>
            <w:hideMark/>
          </w:tcPr>
          <w:p w:rsidR="002D5A63" w:rsidRPr="00834708" w:rsidRDefault="002D5A63"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CELJE</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2.149.338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7,19</w:t>
            </w:r>
          </w:p>
        </w:tc>
      </w:tr>
      <w:tr w:rsidR="002D5A63" w:rsidRPr="00972554" w:rsidTr="00972554">
        <w:trPr>
          <w:trHeight w:val="300"/>
        </w:trPr>
        <w:tc>
          <w:tcPr>
            <w:tcW w:w="6678" w:type="dxa"/>
            <w:shd w:val="clear" w:color="auto" w:fill="auto"/>
            <w:noWrap/>
            <w:vAlign w:val="center"/>
            <w:hideMark/>
          </w:tcPr>
          <w:p w:rsidR="002D5A63" w:rsidRPr="00871D79" w:rsidRDefault="002D5A63" w:rsidP="004F3F69">
            <w:pPr>
              <w:spacing w:line="240" w:lineRule="auto"/>
              <w:jc w:val="left"/>
              <w:rPr>
                <w:rFonts w:ascii="Calibri" w:hAnsi="Calibri"/>
                <w:b/>
                <w:bCs/>
                <w:sz w:val="18"/>
                <w:szCs w:val="18"/>
                <w:lang w:eastAsia="sl-SI"/>
              </w:rPr>
            </w:pPr>
            <w:r w:rsidRPr="00972554">
              <w:rPr>
                <w:rFonts w:ascii="Calibri" w:hAnsi="Calibri"/>
                <w:sz w:val="18"/>
                <w:szCs w:val="18"/>
              </w:rPr>
              <w:t xml:space="preserve">910-Terjatve za sredstva dana v upravljanje drugim v lasti države </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b/>
                <w:bCs/>
                <w:sz w:val="18"/>
                <w:szCs w:val="18"/>
                <w:lang w:eastAsia="sl-SI"/>
              </w:rPr>
            </w:pPr>
            <w:r w:rsidRPr="00972554">
              <w:rPr>
                <w:rFonts w:ascii="Calibri" w:hAnsi="Calibri"/>
                <w:sz w:val="18"/>
                <w:szCs w:val="18"/>
              </w:rPr>
              <w:t xml:space="preserve">3.340.508 </w:t>
            </w:r>
          </w:p>
        </w:tc>
        <w:tc>
          <w:tcPr>
            <w:tcW w:w="1276" w:type="dxa"/>
            <w:shd w:val="clear" w:color="auto" w:fill="auto"/>
            <w:noWrap/>
            <w:vAlign w:val="bottom"/>
            <w:hideMark/>
          </w:tcPr>
          <w:p w:rsidR="002D5A63" w:rsidRPr="00871D79" w:rsidRDefault="002D5A63" w:rsidP="00834708">
            <w:pPr>
              <w:spacing w:line="240" w:lineRule="auto"/>
              <w:jc w:val="right"/>
              <w:rPr>
                <w:rFonts w:ascii="Calibri" w:hAnsi="Calibri"/>
                <w:b/>
                <w:bCs/>
                <w:sz w:val="18"/>
                <w:szCs w:val="18"/>
                <w:lang w:eastAsia="sl-SI"/>
              </w:rPr>
            </w:pPr>
          </w:p>
        </w:tc>
      </w:tr>
      <w:tr w:rsidR="002D5A63" w:rsidRPr="00972554" w:rsidTr="00972554">
        <w:trPr>
          <w:trHeight w:val="300"/>
        </w:trPr>
        <w:tc>
          <w:tcPr>
            <w:tcW w:w="6678" w:type="dxa"/>
            <w:shd w:val="clear" w:color="auto" w:fill="auto"/>
            <w:noWrap/>
            <w:vAlign w:val="center"/>
            <w:hideMark/>
          </w:tcPr>
          <w:p w:rsidR="002D5A63" w:rsidRPr="00834708" w:rsidRDefault="002D5A63"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CELJE</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1.120.543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33,54</w:t>
            </w:r>
          </w:p>
        </w:tc>
      </w:tr>
      <w:tr w:rsidR="002D5A63" w:rsidRPr="00972554" w:rsidTr="00972554">
        <w:trPr>
          <w:trHeight w:val="300"/>
        </w:trPr>
        <w:tc>
          <w:tcPr>
            <w:tcW w:w="6678" w:type="dxa"/>
            <w:shd w:val="clear" w:color="auto" w:fill="auto"/>
            <w:noWrap/>
            <w:vAlign w:val="center"/>
            <w:hideMark/>
          </w:tcPr>
          <w:p w:rsidR="002D5A63" w:rsidRPr="00834708" w:rsidRDefault="002D5A63"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OBČINA DOMŽALE</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731.840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21,91</w:t>
            </w:r>
          </w:p>
        </w:tc>
      </w:tr>
      <w:tr w:rsidR="002D5A63" w:rsidRPr="00972554" w:rsidTr="00972554">
        <w:trPr>
          <w:trHeight w:val="300"/>
        </w:trPr>
        <w:tc>
          <w:tcPr>
            <w:tcW w:w="6678" w:type="dxa"/>
            <w:shd w:val="clear" w:color="auto" w:fill="auto"/>
            <w:noWrap/>
            <w:vAlign w:val="center"/>
            <w:hideMark/>
          </w:tcPr>
          <w:p w:rsidR="002D5A63" w:rsidRPr="00871D79" w:rsidRDefault="002D5A63"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IZOBRAŽEVANJE, ZNANOST IN ŠPORT</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529.130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15,84</w:t>
            </w:r>
          </w:p>
        </w:tc>
      </w:tr>
      <w:tr w:rsidR="002D5A63" w:rsidRPr="00972554" w:rsidTr="00972554">
        <w:trPr>
          <w:trHeight w:val="300"/>
        </w:trPr>
        <w:tc>
          <w:tcPr>
            <w:tcW w:w="6678" w:type="dxa"/>
            <w:shd w:val="clear" w:color="auto" w:fill="auto"/>
            <w:noWrap/>
            <w:vAlign w:val="center"/>
            <w:hideMark/>
          </w:tcPr>
          <w:p w:rsidR="002D5A63" w:rsidRPr="00871D79" w:rsidRDefault="002D5A63" w:rsidP="004F3F69">
            <w:pPr>
              <w:spacing w:line="240" w:lineRule="auto"/>
              <w:jc w:val="left"/>
              <w:rPr>
                <w:rFonts w:ascii="Calibri" w:hAnsi="Calibri"/>
                <w:b/>
                <w:bCs/>
                <w:sz w:val="18"/>
                <w:szCs w:val="18"/>
                <w:lang w:eastAsia="sl-SI"/>
              </w:rPr>
            </w:pPr>
            <w:r w:rsidRPr="00972554">
              <w:rPr>
                <w:rFonts w:ascii="Calibri" w:hAnsi="Calibri"/>
                <w:sz w:val="18"/>
                <w:szCs w:val="18"/>
              </w:rPr>
              <w:t xml:space="preserve">911-Terjatve za sredstva dana v upravljanje drugim v lasti občine </w:t>
            </w:r>
          </w:p>
        </w:tc>
        <w:tc>
          <w:tcPr>
            <w:tcW w:w="1288" w:type="dxa"/>
            <w:shd w:val="clear" w:color="auto" w:fill="auto"/>
            <w:noWrap/>
            <w:vAlign w:val="bottom"/>
            <w:hideMark/>
          </w:tcPr>
          <w:p w:rsidR="002D5A63" w:rsidRPr="00871D79" w:rsidRDefault="002D5A63" w:rsidP="004F3F69">
            <w:pPr>
              <w:spacing w:line="240" w:lineRule="auto"/>
              <w:jc w:val="right"/>
              <w:rPr>
                <w:rFonts w:ascii="Calibri" w:hAnsi="Calibri"/>
                <w:b/>
                <w:bCs/>
                <w:sz w:val="18"/>
                <w:szCs w:val="18"/>
                <w:lang w:eastAsia="sl-SI"/>
              </w:rPr>
            </w:pPr>
            <w:r w:rsidRPr="00972554">
              <w:rPr>
                <w:rFonts w:ascii="Calibri" w:hAnsi="Calibri"/>
                <w:sz w:val="18"/>
                <w:szCs w:val="18"/>
              </w:rPr>
              <w:t xml:space="preserve">26.567.391 </w:t>
            </w:r>
          </w:p>
        </w:tc>
        <w:tc>
          <w:tcPr>
            <w:tcW w:w="1276" w:type="dxa"/>
            <w:shd w:val="clear" w:color="auto" w:fill="auto"/>
            <w:noWrap/>
            <w:vAlign w:val="bottom"/>
            <w:hideMark/>
          </w:tcPr>
          <w:p w:rsidR="002D5A63" w:rsidRPr="00F83FBB" w:rsidRDefault="002D5A63" w:rsidP="00834708">
            <w:pPr>
              <w:spacing w:line="240" w:lineRule="auto"/>
              <w:jc w:val="right"/>
              <w:rPr>
                <w:rFonts w:ascii="Calibri" w:hAnsi="Calibri"/>
                <w:b/>
                <w:bCs/>
                <w:sz w:val="18"/>
                <w:szCs w:val="18"/>
                <w:lang w:eastAsia="sl-SI"/>
              </w:rPr>
            </w:pPr>
          </w:p>
        </w:tc>
      </w:tr>
      <w:tr w:rsidR="002D5A63" w:rsidRPr="00972554" w:rsidTr="00972554">
        <w:trPr>
          <w:trHeight w:val="300"/>
        </w:trPr>
        <w:tc>
          <w:tcPr>
            <w:tcW w:w="6678" w:type="dxa"/>
            <w:shd w:val="clear" w:color="auto" w:fill="auto"/>
            <w:noWrap/>
            <w:vAlign w:val="center"/>
            <w:hideMark/>
          </w:tcPr>
          <w:p w:rsidR="002D5A63" w:rsidRPr="00834708" w:rsidRDefault="002D5A63"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MARIBOR</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14.072.689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52,97</w:t>
            </w:r>
          </w:p>
        </w:tc>
      </w:tr>
      <w:tr w:rsidR="002D5A63" w:rsidRPr="00972554" w:rsidTr="00972554">
        <w:trPr>
          <w:trHeight w:val="300"/>
        </w:trPr>
        <w:tc>
          <w:tcPr>
            <w:tcW w:w="6678" w:type="dxa"/>
            <w:shd w:val="clear" w:color="auto" w:fill="auto"/>
            <w:noWrap/>
            <w:vAlign w:val="center"/>
            <w:hideMark/>
          </w:tcPr>
          <w:p w:rsidR="002D5A63" w:rsidRPr="00834708" w:rsidRDefault="002D5A63"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OBČINA BELTINCI</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2.900.141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10,92</w:t>
            </w:r>
          </w:p>
        </w:tc>
      </w:tr>
      <w:tr w:rsidR="002D5A63" w:rsidRPr="00972554" w:rsidTr="00972554">
        <w:trPr>
          <w:trHeight w:val="300"/>
        </w:trPr>
        <w:tc>
          <w:tcPr>
            <w:tcW w:w="6678" w:type="dxa"/>
            <w:shd w:val="clear" w:color="auto" w:fill="auto"/>
            <w:noWrap/>
            <w:vAlign w:val="center"/>
            <w:hideMark/>
          </w:tcPr>
          <w:p w:rsidR="002D5A63" w:rsidRPr="00834708" w:rsidRDefault="002D5A63"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OBČINA TRŽIČ</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1.911.979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7,20</w:t>
            </w:r>
          </w:p>
        </w:tc>
      </w:tr>
      <w:tr w:rsidR="002D5A63" w:rsidRPr="00972554" w:rsidTr="00972554">
        <w:trPr>
          <w:trHeight w:val="300"/>
        </w:trPr>
        <w:tc>
          <w:tcPr>
            <w:tcW w:w="6678" w:type="dxa"/>
            <w:shd w:val="clear" w:color="auto" w:fill="auto"/>
            <w:noWrap/>
            <w:vAlign w:val="center"/>
            <w:hideMark/>
          </w:tcPr>
          <w:p w:rsidR="002D5A63" w:rsidRPr="00834708" w:rsidRDefault="002D5A63" w:rsidP="004F3F69">
            <w:pPr>
              <w:spacing w:line="240" w:lineRule="auto"/>
              <w:jc w:val="left"/>
              <w:rPr>
                <w:rFonts w:ascii="Calibri" w:hAnsi="Calibri"/>
                <w:b/>
                <w:bCs/>
                <w:sz w:val="18"/>
                <w:szCs w:val="18"/>
                <w:lang w:eastAsia="sl-SI"/>
              </w:rPr>
            </w:pPr>
            <w:r w:rsidRPr="00972554">
              <w:rPr>
                <w:rFonts w:ascii="Calibri" w:hAnsi="Calibri"/>
                <w:sz w:val="18"/>
                <w:szCs w:val="18"/>
              </w:rPr>
              <w:t xml:space="preserve">912-Zaloge </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b/>
                <w:bCs/>
                <w:sz w:val="18"/>
                <w:szCs w:val="18"/>
                <w:lang w:eastAsia="sl-SI"/>
              </w:rPr>
            </w:pPr>
            <w:r w:rsidRPr="00972554">
              <w:rPr>
                <w:rFonts w:ascii="Calibri" w:hAnsi="Calibri"/>
                <w:sz w:val="18"/>
                <w:szCs w:val="18"/>
              </w:rPr>
              <w:t xml:space="preserve">388.973.449 </w:t>
            </w:r>
          </w:p>
        </w:tc>
        <w:tc>
          <w:tcPr>
            <w:tcW w:w="1276" w:type="dxa"/>
            <w:shd w:val="clear" w:color="auto" w:fill="auto"/>
            <w:noWrap/>
            <w:vAlign w:val="bottom"/>
            <w:hideMark/>
          </w:tcPr>
          <w:p w:rsidR="002D5A63" w:rsidRPr="00871D79" w:rsidRDefault="002D5A63" w:rsidP="00834708">
            <w:pPr>
              <w:spacing w:line="240" w:lineRule="auto"/>
              <w:jc w:val="right"/>
              <w:rPr>
                <w:rFonts w:ascii="Calibri" w:hAnsi="Calibri"/>
                <w:b/>
                <w:bCs/>
                <w:sz w:val="18"/>
                <w:szCs w:val="18"/>
                <w:lang w:eastAsia="sl-SI"/>
              </w:rPr>
            </w:pPr>
          </w:p>
        </w:tc>
      </w:tr>
      <w:tr w:rsidR="002D5A63" w:rsidRPr="00972554" w:rsidTr="00972554">
        <w:trPr>
          <w:trHeight w:val="300"/>
        </w:trPr>
        <w:tc>
          <w:tcPr>
            <w:tcW w:w="6678" w:type="dxa"/>
            <w:shd w:val="clear" w:color="auto" w:fill="auto"/>
            <w:noWrap/>
            <w:vAlign w:val="center"/>
            <w:hideMark/>
          </w:tcPr>
          <w:p w:rsidR="002D5A63" w:rsidRPr="00871D79" w:rsidRDefault="002D5A63"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MINISTRSTVO ZA OBRAMBO </w:t>
            </w:r>
            <w:r w:rsidR="00A355E3" w:rsidRPr="00F31068">
              <w:rPr>
                <w:rFonts w:ascii="Calibri" w:hAnsi="Calibri"/>
                <w:sz w:val="18"/>
                <w:szCs w:val="18"/>
              </w:rPr>
              <w:t>RS</w:t>
            </w:r>
            <w:r w:rsidRPr="00972554">
              <w:rPr>
                <w:rFonts w:ascii="Calibri" w:hAnsi="Calibri"/>
                <w:sz w:val="18"/>
                <w:szCs w:val="18"/>
              </w:rPr>
              <w:t>, GENERALŠTAB SLOVENSKE VOJSKE</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188.116.925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48,36</w:t>
            </w:r>
          </w:p>
        </w:tc>
      </w:tr>
      <w:tr w:rsidR="002D5A63" w:rsidRPr="00972554" w:rsidTr="00972554">
        <w:trPr>
          <w:trHeight w:val="300"/>
        </w:trPr>
        <w:tc>
          <w:tcPr>
            <w:tcW w:w="6678" w:type="dxa"/>
            <w:shd w:val="clear" w:color="auto" w:fill="auto"/>
            <w:noWrap/>
            <w:vAlign w:val="center"/>
            <w:hideMark/>
          </w:tcPr>
          <w:p w:rsidR="002D5A63" w:rsidRPr="00834708" w:rsidRDefault="004A793F" w:rsidP="004F3F69">
            <w:pPr>
              <w:spacing w:line="240" w:lineRule="auto"/>
              <w:ind w:firstLineChars="100" w:firstLine="180"/>
              <w:jc w:val="left"/>
              <w:rPr>
                <w:rFonts w:ascii="Calibri" w:hAnsi="Calibri"/>
                <w:sz w:val="18"/>
                <w:szCs w:val="18"/>
                <w:lang w:eastAsia="sl-SI"/>
              </w:rPr>
            </w:pPr>
            <w:r w:rsidRPr="00F31068">
              <w:rPr>
                <w:rFonts w:ascii="Calibri" w:hAnsi="Calibri"/>
                <w:sz w:val="18"/>
                <w:szCs w:val="18"/>
              </w:rPr>
              <w:t>RS</w:t>
            </w:r>
            <w:r w:rsidR="002D5A63" w:rsidRPr="00972554">
              <w:rPr>
                <w:rFonts w:ascii="Calibri" w:hAnsi="Calibri"/>
                <w:sz w:val="18"/>
                <w:szCs w:val="18"/>
              </w:rPr>
              <w:t xml:space="preserve"> - PRORAČUN</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47.282.047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12,16</w:t>
            </w:r>
          </w:p>
        </w:tc>
      </w:tr>
      <w:tr w:rsidR="002D5A63" w:rsidRPr="00972554" w:rsidTr="00972554">
        <w:trPr>
          <w:trHeight w:val="300"/>
        </w:trPr>
        <w:tc>
          <w:tcPr>
            <w:tcW w:w="6678" w:type="dxa"/>
            <w:shd w:val="clear" w:color="auto" w:fill="auto"/>
            <w:noWrap/>
            <w:vAlign w:val="center"/>
            <w:hideMark/>
          </w:tcPr>
          <w:p w:rsidR="002D5A63" w:rsidRPr="00834708" w:rsidRDefault="002D5A63"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NOTRANJE ZADEVE POLICIJA</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27.733.136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7,13</w:t>
            </w:r>
          </w:p>
        </w:tc>
      </w:tr>
      <w:tr w:rsidR="002D5A63" w:rsidRPr="00972554" w:rsidTr="00972554">
        <w:trPr>
          <w:trHeight w:val="300"/>
        </w:trPr>
        <w:tc>
          <w:tcPr>
            <w:tcW w:w="6678" w:type="dxa"/>
            <w:shd w:val="clear" w:color="auto" w:fill="auto"/>
            <w:noWrap/>
            <w:vAlign w:val="center"/>
            <w:hideMark/>
          </w:tcPr>
          <w:p w:rsidR="002D5A63" w:rsidRPr="00834708" w:rsidRDefault="002D5A63" w:rsidP="004F3F69">
            <w:pPr>
              <w:spacing w:line="240" w:lineRule="auto"/>
              <w:jc w:val="left"/>
              <w:rPr>
                <w:rFonts w:ascii="Calibri" w:hAnsi="Calibri"/>
                <w:b/>
                <w:bCs/>
                <w:sz w:val="18"/>
                <w:szCs w:val="18"/>
                <w:lang w:eastAsia="sl-SI"/>
              </w:rPr>
            </w:pPr>
            <w:r w:rsidRPr="00972554">
              <w:rPr>
                <w:rFonts w:ascii="Calibri" w:hAnsi="Calibri"/>
                <w:sz w:val="18"/>
                <w:szCs w:val="18"/>
              </w:rPr>
              <w:t xml:space="preserve">913-Dolgoročne finančne naložbe </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b/>
                <w:bCs/>
                <w:sz w:val="18"/>
                <w:szCs w:val="18"/>
                <w:lang w:eastAsia="sl-SI"/>
              </w:rPr>
            </w:pPr>
            <w:r w:rsidRPr="00972554">
              <w:rPr>
                <w:rFonts w:ascii="Calibri" w:hAnsi="Calibri"/>
                <w:sz w:val="18"/>
                <w:szCs w:val="18"/>
              </w:rPr>
              <w:t xml:space="preserve">11.694.851.309 </w:t>
            </w:r>
          </w:p>
        </w:tc>
        <w:tc>
          <w:tcPr>
            <w:tcW w:w="1276" w:type="dxa"/>
            <w:shd w:val="clear" w:color="auto" w:fill="auto"/>
            <w:noWrap/>
            <w:vAlign w:val="bottom"/>
            <w:hideMark/>
          </w:tcPr>
          <w:p w:rsidR="002D5A63" w:rsidRPr="00871D79" w:rsidRDefault="002D5A63" w:rsidP="00834708">
            <w:pPr>
              <w:spacing w:line="240" w:lineRule="auto"/>
              <w:jc w:val="right"/>
              <w:rPr>
                <w:rFonts w:ascii="Calibri" w:hAnsi="Calibri"/>
                <w:b/>
                <w:bCs/>
                <w:sz w:val="18"/>
                <w:szCs w:val="18"/>
                <w:lang w:eastAsia="sl-SI"/>
              </w:rPr>
            </w:pPr>
          </w:p>
        </w:tc>
      </w:tr>
      <w:tr w:rsidR="002D5A63" w:rsidRPr="00972554" w:rsidTr="00972554">
        <w:trPr>
          <w:trHeight w:val="300"/>
        </w:trPr>
        <w:tc>
          <w:tcPr>
            <w:tcW w:w="6678" w:type="dxa"/>
            <w:shd w:val="clear" w:color="auto" w:fill="auto"/>
            <w:noWrap/>
            <w:vAlign w:val="center"/>
            <w:hideMark/>
          </w:tcPr>
          <w:p w:rsidR="002D5A63" w:rsidRPr="00834708" w:rsidRDefault="002D5A63"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FINANCE</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9.610.093.446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82,17</w:t>
            </w:r>
          </w:p>
        </w:tc>
      </w:tr>
      <w:tr w:rsidR="002D5A63" w:rsidRPr="00972554" w:rsidTr="00972554">
        <w:trPr>
          <w:trHeight w:val="300"/>
        </w:trPr>
        <w:tc>
          <w:tcPr>
            <w:tcW w:w="6678" w:type="dxa"/>
            <w:shd w:val="clear" w:color="auto" w:fill="auto"/>
            <w:noWrap/>
            <w:vAlign w:val="center"/>
            <w:hideMark/>
          </w:tcPr>
          <w:p w:rsidR="002D5A63" w:rsidRPr="00834708" w:rsidRDefault="002D5A63"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INFRASTRUKTURO</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589.543.039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5,04</w:t>
            </w:r>
          </w:p>
        </w:tc>
      </w:tr>
      <w:tr w:rsidR="002D5A63" w:rsidRPr="00972554" w:rsidTr="00972554">
        <w:trPr>
          <w:trHeight w:val="300"/>
        </w:trPr>
        <w:tc>
          <w:tcPr>
            <w:tcW w:w="6678" w:type="dxa"/>
            <w:shd w:val="clear" w:color="auto" w:fill="auto"/>
            <w:noWrap/>
            <w:vAlign w:val="center"/>
            <w:hideMark/>
          </w:tcPr>
          <w:p w:rsidR="002D5A63" w:rsidRPr="00834708" w:rsidRDefault="00A355E3" w:rsidP="004F3F69">
            <w:pPr>
              <w:spacing w:line="240" w:lineRule="auto"/>
              <w:ind w:firstLineChars="100" w:firstLine="180"/>
              <w:jc w:val="left"/>
              <w:rPr>
                <w:rFonts w:ascii="Calibri" w:hAnsi="Calibri"/>
                <w:sz w:val="18"/>
                <w:szCs w:val="18"/>
                <w:lang w:eastAsia="sl-SI"/>
              </w:rPr>
            </w:pPr>
            <w:r w:rsidRPr="00F31068">
              <w:rPr>
                <w:rFonts w:ascii="Calibri" w:hAnsi="Calibri"/>
                <w:sz w:val="18"/>
                <w:szCs w:val="18"/>
              </w:rPr>
              <w:t>ZPIZ</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340.634.765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2,91</w:t>
            </w:r>
          </w:p>
        </w:tc>
      </w:tr>
      <w:tr w:rsidR="002D5A63" w:rsidRPr="00972554" w:rsidTr="00972554">
        <w:trPr>
          <w:trHeight w:val="300"/>
        </w:trPr>
        <w:tc>
          <w:tcPr>
            <w:tcW w:w="6678" w:type="dxa"/>
            <w:shd w:val="clear" w:color="auto" w:fill="auto"/>
            <w:noWrap/>
            <w:vAlign w:val="center"/>
            <w:hideMark/>
          </w:tcPr>
          <w:p w:rsidR="002D5A63" w:rsidRPr="00834708" w:rsidRDefault="002D5A63" w:rsidP="004F3F69">
            <w:pPr>
              <w:spacing w:line="240" w:lineRule="auto"/>
              <w:jc w:val="left"/>
              <w:rPr>
                <w:rFonts w:ascii="Calibri" w:hAnsi="Calibri"/>
                <w:b/>
                <w:bCs/>
                <w:sz w:val="18"/>
                <w:szCs w:val="18"/>
                <w:lang w:eastAsia="sl-SI"/>
              </w:rPr>
            </w:pPr>
            <w:r w:rsidRPr="00972554">
              <w:rPr>
                <w:rFonts w:ascii="Calibri" w:hAnsi="Calibri"/>
                <w:sz w:val="18"/>
                <w:szCs w:val="18"/>
              </w:rPr>
              <w:t xml:space="preserve">914-Dolgoročno dana posojila in depoziti </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b/>
                <w:bCs/>
                <w:sz w:val="18"/>
                <w:szCs w:val="18"/>
                <w:lang w:eastAsia="sl-SI"/>
              </w:rPr>
            </w:pPr>
            <w:r w:rsidRPr="00972554">
              <w:rPr>
                <w:rFonts w:ascii="Calibri" w:hAnsi="Calibri"/>
                <w:sz w:val="18"/>
                <w:szCs w:val="18"/>
              </w:rPr>
              <w:t xml:space="preserve">3.644.100.285 </w:t>
            </w:r>
          </w:p>
        </w:tc>
        <w:tc>
          <w:tcPr>
            <w:tcW w:w="1276" w:type="dxa"/>
            <w:shd w:val="clear" w:color="auto" w:fill="auto"/>
            <w:noWrap/>
            <w:vAlign w:val="bottom"/>
            <w:hideMark/>
          </w:tcPr>
          <w:p w:rsidR="002D5A63" w:rsidRPr="00871D79" w:rsidRDefault="002D5A63" w:rsidP="00834708">
            <w:pPr>
              <w:spacing w:line="240" w:lineRule="auto"/>
              <w:jc w:val="right"/>
              <w:rPr>
                <w:rFonts w:ascii="Calibri" w:hAnsi="Calibri"/>
                <w:b/>
                <w:bCs/>
                <w:sz w:val="18"/>
                <w:szCs w:val="18"/>
                <w:lang w:eastAsia="sl-SI"/>
              </w:rPr>
            </w:pPr>
          </w:p>
        </w:tc>
      </w:tr>
      <w:tr w:rsidR="002D5A63" w:rsidRPr="00972554" w:rsidTr="00972554">
        <w:trPr>
          <w:trHeight w:val="300"/>
        </w:trPr>
        <w:tc>
          <w:tcPr>
            <w:tcW w:w="6678" w:type="dxa"/>
            <w:shd w:val="clear" w:color="auto" w:fill="auto"/>
            <w:noWrap/>
            <w:vAlign w:val="center"/>
            <w:hideMark/>
          </w:tcPr>
          <w:p w:rsidR="002D5A63" w:rsidRPr="00834708" w:rsidRDefault="002D5A63"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UPRAVLJAVEC SREDSTEV SISTEMA </w:t>
            </w:r>
            <w:r w:rsidR="00A355E3" w:rsidRPr="00F31068">
              <w:rPr>
                <w:rFonts w:ascii="Calibri" w:hAnsi="Calibri"/>
                <w:sz w:val="18"/>
                <w:szCs w:val="18"/>
              </w:rPr>
              <w:t>EZRD</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2.623.524.684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71,99</w:t>
            </w:r>
          </w:p>
        </w:tc>
      </w:tr>
      <w:tr w:rsidR="002D5A63" w:rsidRPr="00972554" w:rsidTr="00972554">
        <w:trPr>
          <w:trHeight w:val="300"/>
        </w:trPr>
        <w:tc>
          <w:tcPr>
            <w:tcW w:w="6678" w:type="dxa"/>
            <w:shd w:val="clear" w:color="auto" w:fill="auto"/>
            <w:noWrap/>
            <w:vAlign w:val="center"/>
            <w:hideMark/>
          </w:tcPr>
          <w:p w:rsidR="002D5A63" w:rsidRPr="00834708" w:rsidRDefault="004A793F" w:rsidP="004F3F69">
            <w:pPr>
              <w:spacing w:line="240" w:lineRule="auto"/>
              <w:ind w:firstLineChars="100" w:firstLine="180"/>
              <w:jc w:val="left"/>
              <w:rPr>
                <w:rFonts w:ascii="Calibri" w:hAnsi="Calibri"/>
                <w:sz w:val="18"/>
                <w:szCs w:val="18"/>
                <w:lang w:eastAsia="sl-SI"/>
              </w:rPr>
            </w:pPr>
            <w:r w:rsidRPr="00F31068">
              <w:rPr>
                <w:rFonts w:ascii="Calibri" w:hAnsi="Calibri"/>
                <w:sz w:val="18"/>
                <w:szCs w:val="18"/>
              </w:rPr>
              <w:lastRenderedPageBreak/>
              <w:t>RS</w:t>
            </w:r>
            <w:r w:rsidR="002D5A63" w:rsidRPr="00972554">
              <w:rPr>
                <w:rFonts w:ascii="Calibri" w:hAnsi="Calibri"/>
                <w:sz w:val="18"/>
                <w:szCs w:val="18"/>
              </w:rPr>
              <w:t xml:space="preserve"> - PRORAČUN</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264.096.938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7,25</w:t>
            </w:r>
          </w:p>
        </w:tc>
      </w:tr>
      <w:tr w:rsidR="002D5A63" w:rsidRPr="00972554" w:rsidTr="00972554">
        <w:trPr>
          <w:trHeight w:val="300"/>
        </w:trPr>
        <w:tc>
          <w:tcPr>
            <w:tcW w:w="6678" w:type="dxa"/>
            <w:shd w:val="clear" w:color="auto" w:fill="auto"/>
            <w:noWrap/>
            <w:vAlign w:val="center"/>
            <w:hideMark/>
          </w:tcPr>
          <w:p w:rsidR="002D5A63" w:rsidRPr="00871D79" w:rsidRDefault="002D5A63"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GOSPODARSKI RAZVOJ IN TEHNOLOGIJO</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200.420.418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5,50</w:t>
            </w:r>
          </w:p>
        </w:tc>
      </w:tr>
      <w:tr w:rsidR="002D5A63" w:rsidRPr="00972554" w:rsidTr="00972554">
        <w:trPr>
          <w:trHeight w:val="300"/>
        </w:trPr>
        <w:tc>
          <w:tcPr>
            <w:tcW w:w="6678" w:type="dxa"/>
            <w:shd w:val="clear" w:color="auto" w:fill="auto"/>
            <w:noWrap/>
            <w:vAlign w:val="center"/>
            <w:hideMark/>
          </w:tcPr>
          <w:p w:rsidR="002D5A63" w:rsidRPr="00834708" w:rsidRDefault="002D5A63" w:rsidP="004F3F69">
            <w:pPr>
              <w:spacing w:line="240" w:lineRule="auto"/>
              <w:jc w:val="left"/>
              <w:rPr>
                <w:rFonts w:ascii="Calibri" w:hAnsi="Calibri"/>
                <w:b/>
                <w:bCs/>
                <w:sz w:val="18"/>
                <w:szCs w:val="18"/>
                <w:lang w:eastAsia="sl-SI"/>
              </w:rPr>
            </w:pPr>
            <w:r w:rsidRPr="00972554">
              <w:rPr>
                <w:rFonts w:ascii="Calibri" w:hAnsi="Calibri"/>
                <w:sz w:val="18"/>
                <w:szCs w:val="18"/>
              </w:rPr>
              <w:t xml:space="preserve">915-Dolgoročne terjatve iz poslovanja </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b/>
                <w:bCs/>
                <w:sz w:val="18"/>
                <w:szCs w:val="18"/>
                <w:lang w:eastAsia="sl-SI"/>
              </w:rPr>
            </w:pPr>
            <w:r w:rsidRPr="00972554">
              <w:rPr>
                <w:rFonts w:ascii="Calibri" w:hAnsi="Calibri"/>
                <w:sz w:val="18"/>
                <w:szCs w:val="18"/>
              </w:rPr>
              <w:t xml:space="preserve">425.016.727 </w:t>
            </w:r>
          </w:p>
        </w:tc>
        <w:tc>
          <w:tcPr>
            <w:tcW w:w="1276" w:type="dxa"/>
            <w:shd w:val="clear" w:color="auto" w:fill="auto"/>
            <w:noWrap/>
            <w:vAlign w:val="bottom"/>
            <w:hideMark/>
          </w:tcPr>
          <w:p w:rsidR="002D5A63" w:rsidRPr="00871D79" w:rsidRDefault="002D5A63" w:rsidP="00834708">
            <w:pPr>
              <w:spacing w:line="240" w:lineRule="auto"/>
              <w:jc w:val="right"/>
              <w:rPr>
                <w:rFonts w:ascii="Calibri" w:hAnsi="Calibri"/>
                <w:b/>
                <w:bCs/>
                <w:sz w:val="18"/>
                <w:szCs w:val="18"/>
                <w:lang w:eastAsia="sl-SI"/>
              </w:rPr>
            </w:pPr>
          </w:p>
        </w:tc>
      </w:tr>
      <w:tr w:rsidR="002D5A63" w:rsidRPr="00972554" w:rsidTr="00972554">
        <w:trPr>
          <w:trHeight w:val="300"/>
        </w:trPr>
        <w:tc>
          <w:tcPr>
            <w:tcW w:w="6678" w:type="dxa"/>
            <w:shd w:val="clear" w:color="auto" w:fill="auto"/>
            <w:noWrap/>
            <w:vAlign w:val="center"/>
            <w:hideMark/>
          </w:tcPr>
          <w:p w:rsidR="002D5A63" w:rsidRPr="00834708" w:rsidRDefault="004A793F" w:rsidP="004F3F69">
            <w:pPr>
              <w:spacing w:line="240" w:lineRule="auto"/>
              <w:ind w:firstLineChars="100" w:firstLine="180"/>
              <w:jc w:val="left"/>
              <w:rPr>
                <w:rFonts w:ascii="Calibri" w:hAnsi="Calibri"/>
                <w:sz w:val="18"/>
                <w:szCs w:val="18"/>
                <w:lang w:eastAsia="sl-SI"/>
              </w:rPr>
            </w:pPr>
            <w:r w:rsidRPr="00F31068">
              <w:rPr>
                <w:rFonts w:ascii="Calibri" w:hAnsi="Calibri"/>
                <w:sz w:val="18"/>
                <w:szCs w:val="18"/>
              </w:rPr>
              <w:t>RS</w:t>
            </w:r>
            <w:r w:rsidR="002D5A63" w:rsidRPr="00972554">
              <w:rPr>
                <w:rFonts w:ascii="Calibri" w:hAnsi="Calibri"/>
                <w:sz w:val="18"/>
                <w:szCs w:val="18"/>
              </w:rPr>
              <w:t xml:space="preserve"> - PRORAČUN</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203.328.853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47,84</w:t>
            </w:r>
          </w:p>
        </w:tc>
      </w:tr>
      <w:tr w:rsidR="002D5A63" w:rsidRPr="00972554" w:rsidTr="00972554">
        <w:trPr>
          <w:trHeight w:val="300"/>
        </w:trPr>
        <w:tc>
          <w:tcPr>
            <w:tcW w:w="6678" w:type="dxa"/>
            <w:shd w:val="clear" w:color="auto" w:fill="auto"/>
            <w:noWrap/>
            <w:vAlign w:val="center"/>
            <w:hideMark/>
          </w:tcPr>
          <w:p w:rsidR="002D5A63" w:rsidRPr="00834708" w:rsidRDefault="002D5A63"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INFRASTRUKTURO</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129.119.286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30,38</w:t>
            </w:r>
          </w:p>
        </w:tc>
      </w:tr>
      <w:tr w:rsidR="002D5A63" w:rsidRPr="00972554" w:rsidTr="00972554">
        <w:trPr>
          <w:trHeight w:val="300"/>
        </w:trPr>
        <w:tc>
          <w:tcPr>
            <w:tcW w:w="6678" w:type="dxa"/>
            <w:shd w:val="clear" w:color="auto" w:fill="auto"/>
            <w:noWrap/>
            <w:vAlign w:val="center"/>
            <w:hideMark/>
          </w:tcPr>
          <w:p w:rsidR="002D5A63" w:rsidRPr="00834708" w:rsidRDefault="002D5A63"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LJUBLJANA</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61.037.676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14,36</w:t>
            </w:r>
          </w:p>
        </w:tc>
      </w:tr>
      <w:tr w:rsidR="002D5A63" w:rsidRPr="00972554" w:rsidTr="00972554">
        <w:trPr>
          <w:trHeight w:val="300"/>
        </w:trPr>
        <w:tc>
          <w:tcPr>
            <w:tcW w:w="6678" w:type="dxa"/>
            <w:shd w:val="clear" w:color="auto" w:fill="auto"/>
            <w:noWrap/>
            <w:vAlign w:val="center"/>
            <w:hideMark/>
          </w:tcPr>
          <w:p w:rsidR="002D5A63" w:rsidRPr="00834708" w:rsidRDefault="002D5A63" w:rsidP="004F3F69">
            <w:pPr>
              <w:spacing w:line="240" w:lineRule="auto"/>
              <w:jc w:val="left"/>
              <w:rPr>
                <w:rFonts w:ascii="Calibri" w:hAnsi="Calibri"/>
                <w:b/>
                <w:bCs/>
                <w:sz w:val="18"/>
                <w:szCs w:val="18"/>
                <w:lang w:eastAsia="sl-SI"/>
              </w:rPr>
            </w:pPr>
            <w:r w:rsidRPr="00972554">
              <w:rPr>
                <w:rFonts w:ascii="Calibri" w:hAnsi="Calibri"/>
                <w:sz w:val="18"/>
                <w:szCs w:val="18"/>
              </w:rPr>
              <w:t xml:space="preserve">916-Denarna sredstva </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b/>
                <w:bCs/>
                <w:sz w:val="18"/>
                <w:szCs w:val="18"/>
                <w:lang w:eastAsia="sl-SI"/>
              </w:rPr>
            </w:pPr>
            <w:r w:rsidRPr="00972554">
              <w:rPr>
                <w:rFonts w:ascii="Calibri" w:hAnsi="Calibri"/>
                <w:sz w:val="18"/>
                <w:szCs w:val="18"/>
              </w:rPr>
              <w:t xml:space="preserve">3.792.312.159 </w:t>
            </w:r>
          </w:p>
        </w:tc>
        <w:tc>
          <w:tcPr>
            <w:tcW w:w="1276" w:type="dxa"/>
            <w:shd w:val="clear" w:color="auto" w:fill="auto"/>
            <w:noWrap/>
            <w:vAlign w:val="bottom"/>
            <w:hideMark/>
          </w:tcPr>
          <w:p w:rsidR="002D5A63" w:rsidRPr="00871D79" w:rsidRDefault="002D5A63" w:rsidP="00834708">
            <w:pPr>
              <w:spacing w:line="240" w:lineRule="auto"/>
              <w:jc w:val="right"/>
              <w:rPr>
                <w:rFonts w:ascii="Calibri" w:hAnsi="Calibri"/>
                <w:b/>
                <w:bCs/>
                <w:sz w:val="18"/>
                <w:szCs w:val="18"/>
                <w:lang w:eastAsia="sl-SI"/>
              </w:rPr>
            </w:pPr>
          </w:p>
        </w:tc>
      </w:tr>
      <w:tr w:rsidR="002D5A63" w:rsidRPr="00972554" w:rsidTr="00972554">
        <w:trPr>
          <w:trHeight w:val="300"/>
        </w:trPr>
        <w:tc>
          <w:tcPr>
            <w:tcW w:w="6678" w:type="dxa"/>
            <w:shd w:val="clear" w:color="auto" w:fill="auto"/>
            <w:noWrap/>
            <w:vAlign w:val="center"/>
            <w:hideMark/>
          </w:tcPr>
          <w:p w:rsidR="002D5A63" w:rsidRPr="00834708" w:rsidRDefault="002D5A63"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UPRAVLJAVEC SREDSTEV SISTEMA </w:t>
            </w:r>
            <w:r w:rsidR="00A355E3" w:rsidRPr="00F31068">
              <w:rPr>
                <w:rFonts w:ascii="Calibri" w:hAnsi="Calibri"/>
                <w:sz w:val="18"/>
                <w:szCs w:val="18"/>
              </w:rPr>
              <w:t>EZRD</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3.443.672.650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90,81</w:t>
            </w:r>
          </w:p>
        </w:tc>
      </w:tr>
      <w:tr w:rsidR="002D5A63" w:rsidRPr="00972554" w:rsidTr="00972554">
        <w:trPr>
          <w:trHeight w:val="300"/>
        </w:trPr>
        <w:tc>
          <w:tcPr>
            <w:tcW w:w="6678" w:type="dxa"/>
            <w:shd w:val="clear" w:color="auto" w:fill="auto"/>
            <w:noWrap/>
            <w:vAlign w:val="center"/>
            <w:hideMark/>
          </w:tcPr>
          <w:p w:rsidR="002D5A63" w:rsidRPr="00834708" w:rsidRDefault="004A793F" w:rsidP="004F3F69">
            <w:pPr>
              <w:spacing w:line="240" w:lineRule="auto"/>
              <w:ind w:firstLineChars="100" w:firstLine="180"/>
              <w:jc w:val="left"/>
              <w:rPr>
                <w:rFonts w:ascii="Calibri" w:hAnsi="Calibri"/>
                <w:sz w:val="18"/>
                <w:szCs w:val="18"/>
                <w:lang w:eastAsia="sl-SI"/>
              </w:rPr>
            </w:pPr>
            <w:r w:rsidRPr="00F31068">
              <w:rPr>
                <w:rFonts w:ascii="Calibri" w:hAnsi="Calibri"/>
                <w:sz w:val="18"/>
                <w:szCs w:val="18"/>
              </w:rPr>
              <w:t>RS</w:t>
            </w:r>
            <w:r w:rsidR="002D5A63" w:rsidRPr="00972554">
              <w:rPr>
                <w:rFonts w:ascii="Calibri" w:hAnsi="Calibri"/>
                <w:sz w:val="18"/>
                <w:szCs w:val="18"/>
              </w:rPr>
              <w:t xml:space="preserve"> - PRORAČUN</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50.402.731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1,33</w:t>
            </w:r>
          </w:p>
        </w:tc>
      </w:tr>
      <w:tr w:rsidR="002D5A63" w:rsidRPr="00972554" w:rsidTr="00972554">
        <w:trPr>
          <w:trHeight w:val="300"/>
        </w:trPr>
        <w:tc>
          <w:tcPr>
            <w:tcW w:w="6678" w:type="dxa"/>
            <w:shd w:val="clear" w:color="auto" w:fill="auto"/>
            <w:noWrap/>
            <w:vAlign w:val="center"/>
            <w:hideMark/>
          </w:tcPr>
          <w:p w:rsidR="002D5A63" w:rsidRPr="00834708" w:rsidRDefault="002D5A63"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UPRAVLJAVEC SREDSTEV SISTEMA ENOTNEGA ZAKLADNIŠKEGA RAČUNA MESTNE OBČINE LJUBLJANA</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30.925.067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0,82</w:t>
            </w:r>
          </w:p>
        </w:tc>
      </w:tr>
      <w:tr w:rsidR="002D5A63" w:rsidRPr="00972554" w:rsidTr="00972554">
        <w:trPr>
          <w:trHeight w:val="300"/>
        </w:trPr>
        <w:tc>
          <w:tcPr>
            <w:tcW w:w="6678" w:type="dxa"/>
            <w:shd w:val="clear" w:color="auto" w:fill="auto"/>
            <w:noWrap/>
            <w:vAlign w:val="center"/>
            <w:hideMark/>
          </w:tcPr>
          <w:p w:rsidR="002D5A63" w:rsidRPr="00834708" w:rsidRDefault="002D5A63" w:rsidP="004F3F69">
            <w:pPr>
              <w:spacing w:line="240" w:lineRule="auto"/>
              <w:jc w:val="left"/>
              <w:rPr>
                <w:rFonts w:ascii="Calibri" w:hAnsi="Calibri"/>
                <w:b/>
                <w:bCs/>
                <w:sz w:val="18"/>
                <w:szCs w:val="18"/>
                <w:lang w:eastAsia="sl-SI"/>
              </w:rPr>
            </w:pPr>
            <w:r w:rsidRPr="00972554">
              <w:rPr>
                <w:rFonts w:ascii="Calibri" w:hAnsi="Calibri"/>
                <w:sz w:val="18"/>
                <w:szCs w:val="18"/>
              </w:rPr>
              <w:t xml:space="preserve">917-Kratkoročne terjatve </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b/>
                <w:bCs/>
                <w:sz w:val="18"/>
                <w:szCs w:val="18"/>
                <w:lang w:eastAsia="sl-SI"/>
              </w:rPr>
            </w:pPr>
            <w:r w:rsidRPr="00972554">
              <w:rPr>
                <w:rFonts w:ascii="Calibri" w:hAnsi="Calibri"/>
                <w:sz w:val="18"/>
                <w:szCs w:val="18"/>
              </w:rPr>
              <w:t xml:space="preserve">4.754.196.702 </w:t>
            </w:r>
          </w:p>
        </w:tc>
        <w:tc>
          <w:tcPr>
            <w:tcW w:w="1276" w:type="dxa"/>
            <w:shd w:val="clear" w:color="auto" w:fill="auto"/>
            <w:noWrap/>
            <w:vAlign w:val="bottom"/>
            <w:hideMark/>
          </w:tcPr>
          <w:p w:rsidR="002D5A63" w:rsidRPr="00871D79" w:rsidRDefault="002D5A63" w:rsidP="00834708">
            <w:pPr>
              <w:spacing w:line="240" w:lineRule="auto"/>
              <w:jc w:val="right"/>
              <w:rPr>
                <w:rFonts w:ascii="Calibri" w:hAnsi="Calibri"/>
                <w:b/>
                <w:bCs/>
                <w:sz w:val="18"/>
                <w:szCs w:val="18"/>
                <w:lang w:eastAsia="sl-SI"/>
              </w:rPr>
            </w:pPr>
          </w:p>
        </w:tc>
      </w:tr>
      <w:tr w:rsidR="002D5A63" w:rsidRPr="00972554" w:rsidTr="00972554">
        <w:trPr>
          <w:trHeight w:val="300"/>
        </w:trPr>
        <w:tc>
          <w:tcPr>
            <w:tcW w:w="6678" w:type="dxa"/>
            <w:shd w:val="clear" w:color="auto" w:fill="auto"/>
            <w:noWrap/>
            <w:vAlign w:val="center"/>
            <w:hideMark/>
          </w:tcPr>
          <w:p w:rsidR="002D5A63" w:rsidRPr="00834708" w:rsidRDefault="004A793F" w:rsidP="004F3F69">
            <w:pPr>
              <w:spacing w:line="240" w:lineRule="auto"/>
              <w:ind w:firstLineChars="100" w:firstLine="180"/>
              <w:jc w:val="left"/>
              <w:rPr>
                <w:rFonts w:ascii="Calibri" w:hAnsi="Calibri"/>
                <w:sz w:val="18"/>
                <w:szCs w:val="18"/>
                <w:lang w:eastAsia="sl-SI"/>
              </w:rPr>
            </w:pPr>
            <w:r w:rsidRPr="00F31068">
              <w:rPr>
                <w:rFonts w:ascii="Calibri" w:hAnsi="Calibri"/>
                <w:sz w:val="18"/>
                <w:szCs w:val="18"/>
              </w:rPr>
              <w:t>RS</w:t>
            </w:r>
            <w:r w:rsidR="002D5A63" w:rsidRPr="00972554">
              <w:rPr>
                <w:rFonts w:ascii="Calibri" w:hAnsi="Calibri"/>
                <w:sz w:val="18"/>
                <w:szCs w:val="18"/>
              </w:rPr>
              <w:t xml:space="preserve"> - PRORAČUN</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2.393.925.514 </w:t>
            </w:r>
          </w:p>
        </w:tc>
        <w:tc>
          <w:tcPr>
            <w:tcW w:w="1276" w:type="dxa"/>
            <w:shd w:val="clear" w:color="auto" w:fill="auto"/>
            <w:noWrap/>
            <w:vAlign w:val="bottom"/>
            <w:hideMark/>
          </w:tcPr>
          <w:p w:rsidR="002D5A63" w:rsidRPr="00871D79" w:rsidRDefault="002D5A63" w:rsidP="004F3F69">
            <w:pPr>
              <w:spacing w:line="240" w:lineRule="auto"/>
              <w:jc w:val="right"/>
              <w:rPr>
                <w:rFonts w:ascii="Calibri" w:hAnsi="Calibri"/>
                <w:sz w:val="18"/>
                <w:szCs w:val="18"/>
                <w:lang w:eastAsia="sl-SI"/>
              </w:rPr>
            </w:pPr>
            <w:r w:rsidRPr="00972554">
              <w:rPr>
                <w:rFonts w:ascii="Calibri" w:hAnsi="Calibri"/>
                <w:sz w:val="18"/>
                <w:szCs w:val="18"/>
              </w:rPr>
              <w:t>50,35</w:t>
            </w:r>
          </w:p>
        </w:tc>
      </w:tr>
      <w:tr w:rsidR="002D5A63" w:rsidRPr="00972554" w:rsidTr="00972554">
        <w:trPr>
          <w:trHeight w:val="300"/>
        </w:trPr>
        <w:tc>
          <w:tcPr>
            <w:tcW w:w="6678" w:type="dxa"/>
            <w:shd w:val="clear" w:color="auto" w:fill="auto"/>
            <w:noWrap/>
            <w:vAlign w:val="center"/>
            <w:hideMark/>
          </w:tcPr>
          <w:p w:rsidR="002D5A63" w:rsidRPr="00834708" w:rsidRDefault="00A355E3" w:rsidP="004F3F69">
            <w:pPr>
              <w:spacing w:line="240" w:lineRule="auto"/>
              <w:ind w:firstLineChars="100" w:firstLine="180"/>
              <w:jc w:val="left"/>
              <w:rPr>
                <w:rFonts w:ascii="Calibri" w:hAnsi="Calibri"/>
                <w:sz w:val="18"/>
                <w:szCs w:val="18"/>
                <w:lang w:eastAsia="sl-SI"/>
              </w:rPr>
            </w:pPr>
            <w:r w:rsidRPr="00F31068">
              <w:rPr>
                <w:rFonts w:ascii="Calibri" w:hAnsi="Calibri"/>
                <w:sz w:val="18"/>
                <w:szCs w:val="18"/>
              </w:rPr>
              <w:t>ZPIZ</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541.191.678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11,38</w:t>
            </w:r>
          </w:p>
        </w:tc>
      </w:tr>
      <w:tr w:rsidR="002D5A63" w:rsidRPr="00972554" w:rsidTr="00972554">
        <w:trPr>
          <w:trHeight w:val="300"/>
        </w:trPr>
        <w:tc>
          <w:tcPr>
            <w:tcW w:w="6678" w:type="dxa"/>
            <w:shd w:val="clear" w:color="auto" w:fill="auto"/>
            <w:noWrap/>
            <w:vAlign w:val="center"/>
            <w:hideMark/>
          </w:tcPr>
          <w:p w:rsidR="002D5A63" w:rsidRPr="00834708" w:rsidRDefault="002D5A63"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UPRAVLJAVEC SREDSTEV SISTEMA </w:t>
            </w:r>
            <w:r w:rsidR="00A355E3" w:rsidRPr="00F31068">
              <w:rPr>
                <w:rFonts w:ascii="Calibri" w:hAnsi="Calibri"/>
                <w:sz w:val="18"/>
                <w:szCs w:val="18"/>
              </w:rPr>
              <w:t>EZRD</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387.903.158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8,16</w:t>
            </w:r>
          </w:p>
        </w:tc>
      </w:tr>
      <w:tr w:rsidR="002D5A63" w:rsidRPr="00972554" w:rsidTr="00972554">
        <w:trPr>
          <w:trHeight w:val="300"/>
        </w:trPr>
        <w:tc>
          <w:tcPr>
            <w:tcW w:w="6678" w:type="dxa"/>
            <w:shd w:val="clear" w:color="auto" w:fill="92D050"/>
            <w:noWrap/>
            <w:vAlign w:val="center"/>
            <w:hideMark/>
          </w:tcPr>
          <w:p w:rsidR="002D5A63" w:rsidRPr="00834708" w:rsidRDefault="002D5A63" w:rsidP="004F3F69">
            <w:pPr>
              <w:spacing w:line="240" w:lineRule="auto"/>
              <w:jc w:val="left"/>
              <w:rPr>
                <w:rFonts w:ascii="Calibri" w:hAnsi="Calibri"/>
                <w:b/>
                <w:bCs/>
                <w:sz w:val="18"/>
                <w:szCs w:val="18"/>
                <w:lang w:eastAsia="sl-SI"/>
              </w:rPr>
            </w:pPr>
            <w:r w:rsidRPr="00972554">
              <w:rPr>
                <w:rFonts w:ascii="Calibri" w:hAnsi="Calibri"/>
                <w:b/>
                <w:sz w:val="18"/>
                <w:szCs w:val="18"/>
              </w:rPr>
              <w:t xml:space="preserve">918-Skupaj aktiva </w:t>
            </w:r>
          </w:p>
        </w:tc>
        <w:tc>
          <w:tcPr>
            <w:tcW w:w="1288" w:type="dxa"/>
            <w:shd w:val="clear" w:color="auto" w:fill="92D050"/>
            <w:noWrap/>
            <w:vAlign w:val="bottom"/>
            <w:hideMark/>
          </w:tcPr>
          <w:p w:rsidR="002D5A63" w:rsidRPr="00972554" w:rsidRDefault="002D5A63" w:rsidP="004F3F69">
            <w:pPr>
              <w:spacing w:line="240" w:lineRule="auto"/>
              <w:jc w:val="right"/>
              <w:rPr>
                <w:rFonts w:ascii="Calibri" w:hAnsi="Calibri"/>
                <w:b/>
                <w:bCs/>
                <w:i/>
                <w:sz w:val="18"/>
                <w:szCs w:val="18"/>
                <w:lang w:eastAsia="sl-SI"/>
              </w:rPr>
            </w:pPr>
            <w:r w:rsidRPr="00972554">
              <w:rPr>
                <w:rFonts w:ascii="Calibri" w:hAnsi="Calibri"/>
                <w:b/>
                <w:i/>
                <w:sz w:val="18"/>
                <w:szCs w:val="18"/>
              </w:rPr>
              <w:t xml:space="preserve">48.469.514.870 </w:t>
            </w:r>
          </w:p>
        </w:tc>
        <w:tc>
          <w:tcPr>
            <w:tcW w:w="1276" w:type="dxa"/>
            <w:shd w:val="clear" w:color="auto" w:fill="92D050"/>
            <w:noWrap/>
            <w:vAlign w:val="bottom"/>
            <w:hideMark/>
          </w:tcPr>
          <w:p w:rsidR="002D5A63" w:rsidRPr="00834708" w:rsidRDefault="002D5A63" w:rsidP="004F3F69">
            <w:pPr>
              <w:spacing w:line="240" w:lineRule="auto"/>
              <w:jc w:val="right"/>
              <w:rPr>
                <w:rFonts w:ascii="Calibri" w:hAnsi="Calibri"/>
                <w:b/>
                <w:bCs/>
                <w:sz w:val="18"/>
                <w:szCs w:val="18"/>
                <w:lang w:eastAsia="sl-SI"/>
              </w:rPr>
            </w:pPr>
          </w:p>
        </w:tc>
      </w:tr>
      <w:tr w:rsidR="002D5A63" w:rsidRPr="00972554" w:rsidTr="00972554">
        <w:trPr>
          <w:trHeight w:val="300"/>
        </w:trPr>
        <w:tc>
          <w:tcPr>
            <w:tcW w:w="6678" w:type="dxa"/>
            <w:shd w:val="clear" w:color="auto" w:fill="auto"/>
            <w:noWrap/>
            <w:vAlign w:val="center"/>
            <w:hideMark/>
          </w:tcPr>
          <w:p w:rsidR="002D5A63" w:rsidRPr="00834708" w:rsidRDefault="002D5A63"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FINANCE</w:t>
            </w:r>
          </w:p>
        </w:tc>
        <w:tc>
          <w:tcPr>
            <w:tcW w:w="1288" w:type="dxa"/>
            <w:shd w:val="clear" w:color="auto" w:fill="auto"/>
            <w:noWrap/>
            <w:vAlign w:val="bottom"/>
            <w:hideMark/>
          </w:tcPr>
          <w:p w:rsidR="002D5A63" w:rsidRPr="00871D79"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9.929.588.279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20,49</w:t>
            </w:r>
          </w:p>
        </w:tc>
      </w:tr>
      <w:tr w:rsidR="002D5A63" w:rsidRPr="00972554" w:rsidTr="00972554">
        <w:trPr>
          <w:trHeight w:val="300"/>
        </w:trPr>
        <w:tc>
          <w:tcPr>
            <w:tcW w:w="6678" w:type="dxa"/>
            <w:shd w:val="clear" w:color="auto" w:fill="auto"/>
            <w:noWrap/>
            <w:vAlign w:val="center"/>
            <w:hideMark/>
          </w:tcPr>
          <w:p w:rsidR="002D5A63" w:rsidRPr="00834708" w:rsidRDefault="002D5A63"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UPRAVLJAVEC SREDSTEV SISTEMA </w:t>
            </w:r>
            <w:r w:rsidR="00A355E3" w:rsidRPr="00F31068">
              <w:rPr>
                <w:rFonts w:ascii="Calibri" w:hAnsi="Calibri"/>
                <w:sz w:val="18"/>
                <w:szCs w:val="18"/>
              </w:rPr>
              <w:t>EZRD</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6.455.100.492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13,32</w:t>
            </w:r>
          </w:p>
        </w:tc>
      </w:tr>
      <w:tr w:rsidR="002D5A63" w:rsidRPr="00972554" w:rsidTr="00972554">
        <w:trPr>
          <w:trHeight w:val="300"/>
        </w:trPr>
        <w:tc>
          <w:tcPr>
            <w:tcW w:w="6678" w:type="dxa"/>
            <w:shd w:val="clear" w:color="auto" w:fill="auto"/>
            <w:noWrap/>
            <w:vAlign w:val="center"/>
            <w:hideMark/>
          </w:tcPr>
          <w:p w:rsidR="002D5A63" w:rsidRPr="00871D79" w:rsidRDefault="002D5A63"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MINISTRSTVO ZA INFRASTRUKTURO, DIREKCIJA </w:t>
            </w:r>
            <w:r w:rsidR="00A355E3" w:rsidRPr="00F31068">
              <w:rPr>
                <w:rFonts w:ascii="Calibri" w:hAnsi="Calibri"/>
                <w:sz w:val="18"/>
                <w:szCs w:val="18"/>
              </w:rPr>
              <w:t>RS</w:t>
            </w:r>
            <w:r w:rsidRPr="00972554">
              <w:rPr>
                <w:rFonts w:ascii="Calibri" w:hAnsi="Calibri"/>
                <w:sz w:val="18"/>
                <w:szCs w:val="18"/>
              </w:rPr>
              <w:t xml:space="preserve"> ZA INFRASTRUKTURO</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3.419.486.130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7,05</w:t>
            </w:r>
          </w:p>
        </w:tc>
      </w:tr>
      <w:tr w:rsidR="002D5A63" w:rsidRPr="00972554" w:rsidTr="00972554">
        <w:trPr>
          <w:trHeight w:val="300"/>
        </w:trPr>
        <w:tc>
          <w:tcPr>
            <w:tcW w:w="6678" w:type="dxa"/>
            <w:shd w:val="clear" w:color="auto" w:fill="auto"/>
            <w:noWrap/>
            <w:vAlign w:val="center"/>
            <w:hideMark/>
          </w:tcPr>
          <w:p w:rsidR="002D5A63" w:rsidRPr="00834708" w:rsidRDefault="002D5A63" w:rsidP="004F3F69">
            <w:pPr>
              <w:spacing w:line="240" w:lineRule="auto"/>
              <w:jc w:val="left"/>
              <w:rPr>
                <w:rFonts w:ascii="Calibri" w:hAnsi="Calibri"/>
                <w:b/>
                <w:bCs/>
                <w:sz w:val="18"/>
                <w:szCs w:val="18"/>
                <w:lang w:eastAsia="sl-SI"/>
              </w:rPr>
            </w:pPr>
            <w:r w:rsidRPr="00972554">
              <w:rPr>
                <w:rFonts w:ascii="Calibri" w:hAnsi="Calibri"/>
                <w:sz w:val="18"/>
                <w:szCs w:val="18"/>
              </w:rPr>
              <w:t xml:space="preserve">919-Splošni sklad </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b/>
                <w:bCs/>
                <w:sz w:val="18"/>
                <w:szCs w:val="18"/>
                <w:lang w:eastAsia="sl-SI"/>
              </w:rPr>
            </w:pPr>
            <w:r w:rsidRPr="00972554">
              <w:rPr>
                <w:rFonts w:ascii="Calibri" w:hAnsi="Calibri"/>
                <w:sz w:val="18"/>
                <w:szCs w:val="18"/>
              </w:rPr>
              <w:t xml:space="preserve">15.510.139.605 </w:t>
            </w:r>
          </w:p>
        </w:tc>
        <w:tc>
          <w:tcPr>
            <w:tcW w:w="1276" w:type="dxa"/>
            <w:shd w:val="clear" w:color="auto" w:fill="auto"/>
            <w:noWrap/>
            <w:vAlign w:val="bottom"/>
            <w:hideMark/>
          </w:tcPr>
          <w:p w:rsidR="002D5A63" w:rsidRPr="00871D79" w:rsidRDefault="002D5A63" w:rsidP="00834708">
            <w:pPr>
              <w:spacing w:line="240" w:lineRule="auto"/>
              <w:jc w:val="right"/>
              <w:rPr>
                <w:rFonts w:ascii="Calibri" w:hAnsi="Calibri"/>
                <w:b/>
                <w:bCs/>
                <w:sz w:val="18"/>
                <w:szCs w:val="18"/>
                <w:lang w:eastAsia="sl-SI"/>
              </w:rPr>
            </w:pPr>
          </w:p>
        </w:tc>
      </w:tr>
      <w:tr w:rsidR="002D5A63" w:rsidRPr="00972554" w:rsidTr="00972554">
        <w:trPr>
          <w:trHeight w:val="300"/>
        </w:trPr>
        <w:tc>
          <w:tcPr>
            <w:tcW w:w="6678" w:type="dxa"/>
            <w:shd w:val="clear" w:color="auto" w:fill="auto"/>
            <w:noWrap/>
            <w:vAlign w:val="center"/>
            <w:hideMark/>
          </w:tcPr>
          <w:p w:rsidR="002D5A63" w:rsidRPr="00834708" w:rsidRDefault="002D5A63"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FINANCE</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9.848.609.940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63,50</w:t>
            </w:r>
          </w:p>
        </w:tc>
      </w:tr>
      <w:tr w:rsidR="002D5A63" w:rsidRPr="00972554" w:rsidTr="00972554">
        <w:trPr>
          <w:trHeight w:val="300"/>
        </w:trPr>
        <w:tc>
          <w:tcPr>
            <w:tcW w:w="6678" w:type="dxa"/>
            <w:shd w:val="clear" w:color="auto" w:fill="auto"/>
            <w:noWrap/>
            <w:vAlign w:val="center"/>
            <w:hideMark/>
          </w:tcPr>
          <w:p w:rsidR="002D5A63" w:rsidRPr="00871D79" w:rsidRDefault="002D5A63"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UPRAVLJAVEC SREDSTEV SISTEMA </w:t>
            </w:r>
            <w:r w:rsidR="00A355E3" w:rsidRPr="00F31068">
              <w:rPr>
                <w:rFonts w:ascii="Calibri" w:hAnsi="Calibri"/>
                <w:sz w:val="18"/>
                <w:szCs w:val="18"/>
              </w:rPr>
              <w:t>EZRD</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6.455.100.492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41,62</w:t>
            </w:r>
          </w:p>
        </w:tc>
      </w:tr>
      <w:tr w:rsidR="002D5A63" w:rsidRPr="00972554" w:rsidTr="00972554">
        <w:trPr>
          <w:trHeight w:val="300"/>
        </w:trPr>
        <w:tc>
          <w:tcPr>
            <w:tcW w:w="6678" w:type="dxa"/>
            <w:shd w:val="clear" w:color="auto" w:fill="auto"/>
            <w:noWrap/>
            <w:vAlign w:val="center"/>
            <w:hideMark/>
          </w:tcPr>
          <w:p w:rsidR="002D5A63" w:rsidRPr="00871D79" w:rsidRDefault="002D5A63"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MINISTRSTVO ZA INFRASTRUKTURO, DIREKCIJA </w:t>
            </w:r>
            <w:r w:rsidR="00A355E3" w:rsidRPr="00F31068">
              <w:rPr>
                <w:rFonts w:ascii="Calibri" w:hAnsi="Calibri"/>
                <w:sz w:val="18"/>
                <w:szCs w:val="18"/>
              </w:rPr>
              <w:t>RS</w:t>
            </w:r>
            <w:r w:rsidRPr="00972554">
              <w:rPr>
                <w:rFonts w:ascii="Calibri" w:hAnsi="Calibri"/>
                <w:sz w:val="18"/>
                <w:szCs w:val="18"/>
              </w:rPr>
              <w:t xml:space="preserve"> ZA INFRASTRUKTURO</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3.326.389.961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21,45</w:t>
            </w:r>
          </w:p>
        </w:tc>
      </w:tr>
      <w:tr w:rsidR="002D5A63" w:rsidRPr="00972554" w:rsidTr="00972554">
        <w:trPr>
          <w:trHeight w:val="300"/>
        </w:trPr>
        <w:tc>
          <w:tcPr>
            <w:tcW w:w="6678" w:type="dxa"/>
            <w:shd w:val="clear" w:color="auto" w:fill="auto"/>
            <w:noWrap/>
            <w:vAlign w:val="center"/>
            <w:hideMark/>
          </w:tcPr>
          <w:p w:rsidR="002D5A63" w:rsidRPr="00834708" w:rsidRDefault="002D5A63" w:rsidP="004F3F69">
            <w:pPr>
              <w:spacing w:line="240" w:lineRule="auto"/>
              <w:jc w:val="left"/>
              <w:rPr>
                <w:rFonts w:ascii="Calibri" w:hAnsi="Calibri"/>
                <w:b/>
                <w:bCs/>
                <w:sz w:val="18"/>
                <w:szCs w:val="18"/>
                <w:lang w:eastAsia="sl-SI"/>
              </w:rPr>
            </w:pPr>
            <w:r w:rsidRPr="00972554">
              <w:rPr>
                <w:rFonts w:ascii="Calibri" w:hAnsi="Calibri"/>
                <w:sz w:val="18"/>
                <w:szCs w:val="18"/>
              </w:rPr>
              <w:t xml:space="preserve">920-Rezervni sklad </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b/>
                <w:bCs/>
                <w:sz w:val="18"/>
                <w:szCs w:val="18"/>
                <w:lang w:eastAsia="sl-SI"/>
              </w:rPr>
            </w:pPr>
            <w:r w:rsidRPr="00972554">
              <w:rPr>
                <w:rFonts w:ascii="Calibri" w:hAnsi="Calibri"/>
                <w:sz w:val="18"/>
                <w:szCs w:val="18"/>
              </w:rPr>
              <w:t xml:space="preserve">95.512.752 </w:t>
            </w:r>
          </w:p>
        </w:tc>
        <w:tc>
          <w:tcPr>
            <w:tcW w:w="1276" w:type="dxa"/>
            <w:shd w:val="clear" w:color="auto" w:fill="auto"/>
            <w:noWrap/>
            <w:vAlign w:val="bottom"/>
            <w:hideMark/>
          </w:tcPr>
          <w:p w:rsidR="002D5A63" w:rsidRPr="00871D79" w:rsidRDefault="002D5A63" w:rsidP="00834708">
            <w:pPr>
              <w:spacing w:line="240" w:lineRule="auto"/>
              <w:jc w:val="right"/>
              <w:rPr>
                <w:rFonts w:ascii="Calibri" w:hAnsi="Calibri"/>
                <w:b/>
                <w:bCs/>
                <w:sz w:val="18"/>
                <w:szCs w:val="18"/>
                <w:lang w:eastAsia="sl-SI"/>
              </w:rPr>
            </w:pPr>
          </w:p>
        </w:tc>
      </w:tr>
      <w:tr w:rsidR="002D5A63" w:rsidRPr="00972554" w:rsidTr="00972554">
        <w:trPr>
          <w:trHeight w:val="300"/>
        </w:trPr>
        <w:tc>
          <w:tcPr>
            <w:tcW w:w="6678" w:type="dxa"/>
            <w:shd w:val="clear" w:color="auto" w:fill="auto"/>
            <w:noWrap/>
            <w:vAlign w:val="center"/>
            <w:hideMark/>
          </w:tcPr>
          <w:p w:rsidR="002D5A63" w:rsidRPr="00834708" w:rsidRDefault="002D5A63"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FINANCE</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26.436.232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27,68</w:t>
            </w:r>
          </w:p>
        </w:tc>
      </w:tr>
      <w:tr w:rsidR="002D5A63" w:rsidRPr="00972554" w:rsidTr="00972554">
        <w:trPr>
          <w:trHeight w:val="300"/>
        </w:trPr>
        <w:tc>
          <w:tcPr>
            <w:tcW w:w="6678" w:type="dxa"/>
            <w:shd w:val="clear" w:color="auto" w:fill="auto"/>
            <w:noWrap/>
            <w:vAlign w:val="center"/>
            <w:hideMark/>
          </w:tcPr>
          <w:p w:rsidR="002D5A63" w:rsidRPr="00834708" w:rsidRDefault="004A793F" w:rsidP="004F3F69">
            <w:pPr>
              <w:spacing w:line="240" w:lineRule="auto"/>
              <w:ind w:firstLineChars="100" w:firstLine="180"/>
              <w:jc w:val="left"/>
              <w:rPr>
                <w:rFonts w:ascii="Calibri" w:hAnsi="Calibri"/>
                <w:sz w:val="18"/>
                <w:szCs w:val="18"/>
                <w:lang w:eastAsia="sl-SI"/>
              </w:rPr>
            </w:pPr>
            <w:r w:rsidRPr="00F31068">
              <w:rPr>
                <w:rFonts w:ascii="Calibri" w:hAnsi="Calibri"/>
                <w:sz w:val="18"/>
                <w:szCs w:val="18"/>
              </w:rPr>
              <w:t>ZZZS</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17.953.877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18,80</w:t>
            </w:r>
          </w:p>
        </w:tc>
      </w:tr>
      <w:tr w:rsidR="002D5A63" w:rsidRPr="00972554" w:rsidTr="00972554">
        <w:trPr>
          <w:trHeight w:val="300"/>
        </w:trPr>
        <w:tc>
          <w:tcPr>
            <w:tcW w:w="6678" w:type="dxa"/>
            <w:shd w:val="clear" w:color="auto" w:fill="auto"/>
            <w:noWrap/>
            <w:vAlign w:val="center"/>
            <w:hideMark/>
          </w:tcPr>
          <w:p w:rsidR="002D5A63" w:rsidRPr="00871D79" w:rsidRDefault="002D5A63"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JAVNI SKLAD </w:t>
            </w:r>
            <w:r w:rsidR="00A355E3" w:rsidRPr="00F31068">
              <w:rPr>
                <w:rFonts w:ascii="Calibri" w:hAnsi="Calibri"/>
                <w:sz w:val="18"/>
                <w:szCs w:val="18"/>
              </w:rPr>
              <w:t>RS</w:t>
            </w:r>
            <w:r w:rsidRPr="00972554">
              <w:rPr>
                <w:rFonts w:ascii="Calibri" w:hAnsi="Calibri"/>
                <w:sz w:val="18"/>
                <w:szCs w:val="18"/>
              </w:rPr>
              <w:t xml:space="preserve"> ZA REGIONALNI RAZVOJ IN RAZVOJ PODEŽELJA</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14.031.286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14,69</w:t>
            </w:r>
          </w:p>
        </w:tc>
      </w:tr>
      <w:tr w:rsidR="002D5A63" w:rsidRPr="00972554" w:rsidTr="00972554">
        <w:trPr>
          <w:trHeight w:val="300"/>
        </w:trPr>
        <w:tc>
          <w:tcPr>
            <w:tcW w:w="6678" w:type="dxa"/>
            <w:shd w:val="clear" w:color="auto" w:fill="auto"/>
            <w:noWrap/>
            <w:vAlign w:val="center"/>
            <w:hideMark/>
          </w:tcPr>
          <w:p w:rsidR="002D5A63" w:rsidRPr="00834708" w:rsidRDefault="002D5A63" w:rsidP="004F3F69">
            <w:pPr>
              <w:spacing w:line="240" w:lineRule="auto"/>
              <w:jc w:val="left"/>
              <w:rPr>
                <w:rFonts w:ascii="Calibri" w:hAnsi="Calibri"/>
                <w:b/>
                <w:bCs/>
                <w:sz w:val="18"/>
                <w:szCs w:val="18"/>
                <w:lang w:eastAsia="sl-SI"/>
              </w:rPr>
            </w:pPr>
            <w:r w:rsidRPr="00972554">
              <w:rPr>
                <w:rFonts w:ascii="Calibri" w:hAnsi="Calibri"/>
                <w:sz w:val="18"/>
                <w:szCs w:val="18"/>
              </w:rPr>
              <w:t xml:space="preserve">921-Dolgoročno prejeta posojila </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b/>
                <w:bCs/>
                <w:sz w:val="18"/>
                <w:szCs w:val="18"/>
                <w:lang w:eastAsia="sl-SI"/>
              </w:rPr>
            </w:pPr>
            <w:r w:rsidRPr="00972554">
              <w:rPr>
                <w:rFonts w:ascii="Calibri" w:hAnsi="Calibri"/>
                <w:sz w:val="18"/>
                <w:szCs w:val="18"/>
              </w:rPr>
              <w:t xml:space="preserve">29.476.696.012 </w:t>
            </w:r>
          </w:p>
        </w:tc>
        <w:tc>
          <w:tcPr>
            <w:tcW w:w="1276" w:type="dxa"/>
            <w:shd w:val="clear" w:color="auto" w:fill="auto"/>
            <w:noWrap/>
            <w:vAlign w:val="bottom"/>
            <w:hideMark/>
          </w:tcPr>
          <w:p w:rsidR="002D5A63" w:rsidRPr="00871D79" w:rsidRDefault="002D5A63" w:rsidP="00834708">
            <w:pPr>
              <w:spacing w:line="240" w:lineRule="auto"/>
              <w:jc w:val="right"/>
              <w:rPr>
                <w:rFonts w:ascii="Calibri" w:hAnsi="Calibri"/>
                <w:b/>
                <w:bCs/>
                <w:sz w:val="18"/>
                <w:szCs w:val="18"/>
                <w:lang w:eastAsia="sl-SI"/>
              </w:rPr>
            </w:pPr>
          </w:p>
        </w:tc>
      </w:tr>
      <w:tr w:rsidR="002D5A63" w:rsidRPr="00972554" w:rsidTr="00972554">
        <w:trPr>
          <w:trHeight w:val="300"/>
        </w:trPr>
        <w:tc>
          <w:tcPr>
            <w:tcW w:w="6678" w:type="dxa"/>
            <w:shd w:val="clear" w:color="auto" w:fill="auto"/>
            <w:noWrap/>
            <w:vAlign w:val="center"/>
            <w:hideMark/>
          </w:tcPr>
          <w:p w:rsidR="002D5A63" w:rsidRPr="00834708" w:rsidRDefault="004A793F" w:rsidP="004F3F69">
            <w:pPr>
              <w:spacing w:line="240" w:lineRule="auto"/>
              <w:ind w:firstLineChars="100" w:firstLine="180"/>
              <w:jc w:val="left"/>
              <w:rPr>
                <w:rFonts w:ascii="Calibri" w:hAnsi="Calibri"/>
                <w:sz w:val="18"/>
                <w:szCs w:val="18"/>
                <w:lang w:eastAsia="sl-SI"/>
              </w:rPr>
            </w:pPr>
            <w:r w:rsidRPr="00F31068">
              <w:rPr>
                <w:rFonts w:ascii="Calibri" w:hAnsi="Calibri"/>
                <w:sz w:val="18"/>
                <w:szCs w:val="18"/>
              </w:rPr>
              <w:t>RS</w:t>
            </w:r>
            <w:r w:rsidR="002D5A63" w:rsidRPr="00972554">
              <w:rPr>
                <w:rFonts w:ascii="Calibri" w:hAnsi="Calibri"/>
                <w:sz w:val="18"/>
                <w:szCs w:val="18"/>
              </w:rPr>
              <w:t xml:space="preserve"> - PRORAČUN</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28.784.094.446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97,65</w:t>
            </w:r>
          </w:p>
        </w:tc>
      </w:tr>
      <w:tr w:rsidR="002D5A63" w:rsidRPr="00972554" w:rsidTr="00972554">
        <w:trPr>
          <w:trHeight w:val="300"/>
        </w:trPr>
        <w:tc>
          <w:tcPr>
            <w:tcW w:w="6678" w:type="dxa"/>
            <w:shd w:val="clear" w:color="auto" w:fill="auto"/>
            <w:noWrap/>
            <w:vAlign w:val="center"/>
            <w:hideMark/>
          </w:tcPr>
          <w:p w:rsidR="002D5A63" w:rsidRPr="00834708" w:rsidRDefault="002D5A63"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LJUBLJANA</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95.236.133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0,32</w:t>
            </w:r>
          </w:p>
        </w:tc>
      </w:tr>
      <w:tr w:rsidR="002D5A63" w:rsidRPr="00972554" w:rsidTr="00972554">
        <w:trPr>
          <w:trHeight w:val="300"/>
        </w:trPr>
        <w:tc>
          <w:tcPr>
            <w:tcW w:w="6678" w:type="dxa"/>
            <w:shd w:val="clear" w:color="auto" w:fill="auto"/>
            <w:noWrap/>
            <w:vAlign w:val="center"/>
            <w:hideMark/>
          </w:tcPr>
          <w:p w:rsidR="002D5A63" w:rsidRPr="00834708" w:rsidRDefault="002D5A63"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Eko sklad, Slovenski okoljski javni sklad</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51.000.000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0,17</w:t>
            </w:r>
          </w:p>
        </w:tc>
      </w:tr>
      <w:tr w:rsidR="002D5A63" w:rsidRPr="00972554" w:rsidTr="00972554">
        <w:trPr>
          <w:trHeight w:val="300"/>
        </w:trPr>
        <w:tc>
          <w:tcPr>
            <w:tcW w:w="6678" w:type="dxa"/>
            <w:shd w:val="clear" w:color="auto" w:fill="auto"/>
            <w:noWrap/>
            <w:vAlign w:val="center"/>
            <w:hideMark/>
          </w:tcPr>
          <w:p w:rsidR="002D5A63" w:rsidRPr="00871D79" w:rsidRDefault="002D5A63" w:rsidP="004F3F69">
            <w:pPr>
              <w:spacing w:line="240" w:lineRule="auto"/>
              <w:jc w:val="left"/>
              <w:rPr>
                <w:rFonts w:ascii="Calibri" w:hAnsi="Calibri"/>
                <w:b/>
                <w:bCs/>
                <w:sz w:val="18"/>
                <w:szCs w:val="18"/>
                <w:lang w:eastAsia="sl-SI"/>
              </w:rPr>
            </w:pPr>
            <w:r w:rsidRPr="00972554">
              <w:rPr>
                <w:rFonts w:ascii="Calibri" w:hAnsi="Calibri"/>
                <w:sz w:val="18"/>
                <w:szCs w:val="18"/>
              </w:rPr>
              <w:t xml:space="preserve">922-Dolgoročne obveznosti iz poslovanja </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b/>
                <w:bCs/>
                <w:sz w:val="18"/>
                <w:szCs w:val="18"/>
                <w:lang w:eastAsia="sl-SI"/>
              </w:rPr>
            </w:pPr>
            <w:r w:rsidRPr="00972554">
              <w:rPr>
                <w:rFonts w:ascii="Calibri" w:hAnsi="Calibri"/>
                <w:sz w:val="18"/>
                <w:szCs w:val="18"/>
              </w:rPr>
              <w:t xml:space="preserve">322.940.819 </w:t>
            </w:r>
          </w:p>
        </w:tc>
        <w:tc>
          <w:tcPr>
            <w:tcW w:w="1276" w:type="dxa"/>
            <w:shd w:val="clear" w:color="auto" w:fill="auto"/>
            <w:noWrap/>
            <w:vAlign w:val="bottom"/>
            <w:hideMark/>
          </w:tcPr>
          <w:p w:rsidR="002D5A63" w:rsidRPr="00871D79" w:rsidRDefault="002D5A63" w:rsidP="00834708">
            <w:pPr>
              <w:spacing w:line="240" w:lineRule="auto"/>
              <w:jc w:val="right"/>
              <w:rPr>
                <w:rFonts w:ascii="Calibri" w:hAnsi="Calibri"/>
                <w:b/>
                <w:bCs/>
                <w:sz w:val="18"/>
                <w:szCs w:val="18"/>
                <w:lang w:eastAsia="sl-SI"/>
              </w:rPr>
            </w:pPr>
          </w:p>
        </w:tc>
      </w:tr>
      <w:tr w:rsidR="002D5A63" w:rsidRPr="00972554" w:rsidTr="00972554">
        <w:trPr>
          <w:trHeight w:val="300"/>
        </w:trPr>
        <w:tc>
          <w:tcPr>
            <w:tcW w:w="6678" w:type="dxa"/>
            <w:shd w:val="clear" w:color="auto" w:fill="auto"/>
            <w:noWrap/>
            <w:vAlign w:val="center"/>
            <w:hideMark/>
          </w:tcPr>
          <w:p w:rsidR="002D5A63" w:rsidRPr="00871D79" w:rsidRDefault="004A793F" w:rsidP="004F3F69">
            <w:pPr>
              <w:spacing w:line="240" w:lineRule="auto"/>
              <w:ind w:firstLineChars="100" w:firstLine="180"/>
              <w:jc w:val="left"/>
              <w:rPr>
                <w:rFonts w:ascii="Calibri" w:hAnsi="Calibri"/>
                <w:sz w:val="18"/>
                <w:szCs w:val="18"/>
                <w:lang w:eastAsia="sl-SI"/>
              </w:rPr>
            </w:pPr>
            <w:r w:rsidRPr="00F31068">
              <w:rPr>
                <w:rFonts w:ascii="Calibri" w:hAnsi="Calibri"/>
                <w:sz w:val="18"/>
                <w:szCs w:val="18"/>
              </w:rPr>
              <w:t>RS</w:t>
            </w:r>
            <w:r w:rsidR="002D5A63" w:rsidRPr="00972554">
              <w:rPr>
                <w:rFonts w:ascii="Calibri" w:hAnsi="Calibri"/>
                <w:sz w:val="18"/>
                <w:szCs w:val="18"/>
              </w:rPr>
              <w:t xml:space="preserve"> - PRORAČUN</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61.035.672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18,90</w:t>
            </w:r>
          </w:p>
        </w:tc>
      </w:tr>
      <w:tr w:rsidR="002D5A63" w:rsidRPr="00972554" w:rsidTr="00972554">
        <w:trPr>
          <w:trHeight w:val="300"/>
        </w:trPr>
        <w:tc>
          <w:tcPr>
            <w:tcW w:w="6678" w:type="dxa"/>
            <w:shd w:val="clear" w:color="auto" w:fill="auto"/>
            <w:noWrap/>
            <w:vAlign w:val="center"/>
            <w:hideMark/>
          </w:tcPr>
          <w:p w:rsidR="002D5A63" w:rsidRPr="00834708" w:rsidRDefault="002D5A63"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LJUBLJANA</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60.515.037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18,74</w:t>
            </w:r>
          </w:p>
        </w:tc>
      </w:tr>
      <w:tr w:rsidR="002D5A63" w:rsidRPr="00972554" w:rsidTr="00972554">
        <w:trPr>
          <w:trHeight w:val="300"/>
        </w:trPr>
        <w:tc>
          <w:tcPr>
            <w:tcW w:w="6678" w:type="dxa"/>
            <w:shd w:val="clear" w:color="auto" w:fill="auto"/>
            <w:noWrap/>
            <w:vAlign w:val="center"/>
            <w:hideMark/>
          </w:tcPr>
          <w:p w:rsidR="002D5A63" w:rsidRPr="00871D79" w:rsidRDefault="002D5A63"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MINISTRSTVO ZA INFRASTRUKTURO, DIREKCIJA </w:t>
            </w:r>
            <w:r w:rsidR="00A355E3" w:rsidRPr="00F31068">
              <w:rPr>
                <w:rFonts w:ascii="Calibri" w:hAnsi="Calibri"/>
                <w:sz w:val="18"/>
                <w:szCs w:val="18"/>
              </w:rPr>
              <w:t>RS</w:t>
            </w:r>
            <w:r w:rsidRPr="00972554">
              <w:rPr>
                <w:rFonts w:ascii="Calibri" w:hAnsi="Calibri"/>
                <w:sz w:val="18"/>
                <w:szCs w:val="18"/>
              </w:rPr>
              <w:t xml:space="preserve"> ZA INFRASTRUKTURO</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59.936.240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18,56</w:t>
            </w:r>
          </w:p>
        </w:tc>
      </w:tr>
      <w:tr w:rsidR="002D5A63" w:rsidRPr="00972554" w:rsidTr="00972554">
        <w:trPr>
          <w:trHeight w:val="300"/>
        </w:trPr>
        <w:tc>
          <w:tcPr>
            <w:tcW w:w="6678" w:type="dxa"/>
            <w:shd w:val="clear" w:color="auto" w:fill="auto"/>
            <w:noWrap/>
            <w:vAlign w:val="center"/>
            <w:hideMark/>
          </w:tcPr>
          <w:p w:rsidR="002D5A63" w:rsidRPr="00834708" w:rsidRDefault="002D5A63" w:rsidP="004F3F69">
            <w:pPr>
              <w:spacing w:line="240" w:lineRule="auto"/>
              <w:jc w:val="left"/>
              <w:rPr>
                <w:rFonts w:ascii="Calibri" w:hAnsi="Calibri"/>
                <w:b/>
                <w:bCs/>
                <w:sz w:val="18"/>
                <w:szCs w:val="18"/>
                <w:lang w:eastAsia="sl-SI"/>
              </w:rPr>
            </w:pPr>
            <w:r w:rsidRPr="00972554">
              <w:rPr>
                <w:rFonts w:ascii="Calibri" w:hAnsi="Calibri"/>
                <w:sz w:val="18"/>
                <w:szCs w:val="18"/>
              </w:rPr>
              <w:t xml:space="preserve">923-Kratkoročne obveznosti </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b/>
                <w:bCs/>
                <w:sz w:val="18"/>
                <w:szCs w:val="18"/>
                <w:lang w:eastAsia="sl-SI"/>
              </w:rPr>
            </w:pPr>
            <w:r w:rsidRPr="00972554">
              <w:rPr>
                <w:rFonts w:ascii="Calibri" w:hAnsi="Calibri"/>
                <w:sz w:val="18"/>
                <w:szCs w:val="18"/>
              </w:rPr>
              <w:t xml:space="preserve">3.064.225.682 </w:t>
            </w:r>
          </w:p>
        </w:tc>
        <w:tc>
          <w:tcPr>
            <w:tcW w:w="1276" w:type="dxa"/>
            <w:shd w:val="clear" w:color="auto" w:fill="auto"/>
            <w:noWrap/>
            <w:vAlign w:val="bottom"/>
            <w:hideMark/>
          </w:tcPr>
          <w:p w:rsidR="002D5A63" w:rsidRPr="00871D79" w:rsidRDefault="002D5A63" w:rsidP="00834708">
            <w:pPr>
              <w:spacing w:line="240" w:lineRule="auto"/>
              <w:jc w:val="right"/>
              <w:rPr>
                <w:rFonts w:ascii="Calibri" w:hAnsi="Calibri"/>
                <w:b/>
                <w:bCs/>
                <w:sz w:val="18"/>
                <w:szCs w:val="18"/>
                <w:lang w:eastAsia="sl-SI"/>
              </w:rPr>
            </w:pPr>
          </w:p>
        </w:tc>
      </w:tr>
      <w:tr w:rsidR="002D5A63" w:rsidRPr="00972554" w:rsidTr="00972554">
        <w:trPr>
          <w:trHeight w:val="300"/>
        </w:trPr>
        <w:tc>
          <w:tcPr>
            <w:tcW w:w="6678" w:type="dxa"/>
            <w:shd w:val="clear" w:color="auto" w:fill="auto"/>
            <w:noWrap/>
            <w:vAlign w:val="center"/>
            <w:hideMark/>
          </w:tcPr>
          <w:p w:rsidR="002D5A63" w:rsidRPr="00834708" w:rsidRDefault="004A793F" w:rsidP="004F3F69">
            <w:pPr>
              <w:spacing w:line="240" w:lineRule="auto"/>
              <w:ind w:firstLineChars="100" w:firstLine="180"/>
              <w:jc w:val="left"/>
              <w:rPr>
                <w:rFonts w:ascii="Calibri" w:hAnsi="Calibri"/>
                <w:sz w:val="18"/>
                <w:szCs w:val="18"/>
                <w:lang w:eastAsia="sl-SI"/>
              </w:rPr>
            </w:pPr>
            <w:r w:rsidRPr="00F31068">
              <w:rPr>
                <w:rFonts w:ascii="Calibri" w:hAnsi="Calibri"/>
                <w:sz w:val="18"/>
                <w:szCs w:val="18"/>
              </w:rPr>
              <w:t>RS</w:t>
            </w:r>
            <w:r w:rsidR="002D5A63" w:rsidRPr="00972554">
              <w:rPr>
                <w:rFonts w:ascii="Calibri" w:hAnsi="Calibri"/>
                <w:sz w:val="18"/>
                <w:szCs w:val="18"/>
              </w:rPr>
              <w:t xml:space="preserve"> - PRORAČUN</w:t>
            </w:r>
          </w:p>
        </w:tc>
        <w:tc>
          <w:tcPr>
            <w:tcW w:w="1288" w:type="dxa"/>
            <w:shd w:val="clear" w:color="auto" w:fill="auto"/>
            <w:noWrap/>
            <w:vAlign w:val="bottom"/>
            <w:hideMark/>
          </w:tcPr>
          <w:p w:rsidR="002D5A63" w:rsidRPr="00871D79"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1.655.711.052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54,03</w:t>
            </w:r>
          </w:p>
        </w:tc>
      </w:tr>
      <w:tr w:rsidR="002D5A63" w:rsidRPr="00972554" w:rsidTr="00972554">
        <w:trPr>
          <w:trHeight w:val="300"/>
        </w:trPr>
        <w:tc>
          <w:tcPr>
            <w:tcW w:w="6678" w:type="dxa"/>
            <w:shd w:val="clear" w:color="auto" w:fill="auto"/>
            <w:noWrap/>
            <w:vAlign w:val="center"/>
            <w:hideMark/>
          </w:tcPr>
          <w:p w:rsidR="002D5A63" w:rsidRPr="00834708" w:rsidRDefault="004A793F" w:rsidP="004F3F69">
            <w:pPr>
              <w:spacing w:line="240" w:lineRule="auto"/>
              <w:ind w:firstLineChars="100" w:firstLine="180"/>
              <w:jc w:val="left"/>
              <w:rPr>
                <w:rFonts w:ascii="Calibri" w:hAnsi="Calibri"/>
                <w:sz w:val="18"/>
                <w:szCs w:val="18"/>
                <w:lang w:eastAsia="sl-SI"/>
              </w:rPr>
            </w:pPr>
            <w:r w:rsidRPr="00F31068">
              <w:rPr>
                <w:rFonts w:ascii="Calibri" w:hAnsi="Calibri"/>
                <w:sz w:val="18"/>
                <w:szCs w:val="18"/>
              </w:rPr>
              <w:t>ZZZS</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102.052.821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3,33</w:t>
            </w:r>
          </w:p>
        </w:tc>
      </w:tr>
      <w:tr w:rsidR="002D5A63" w:rsidRPr="00972554" w:rsidTr="00972554">
        <w:trPr>
          <w:trHeight w:val="300"/>
        </w:trPr>
        <w:tc>
          <w:tcPr>
            <w:tcW w:w="6678" w:type="dxa"/>
            <w:shd w:val="clear" w:color="auto" w:fill="auto"/>
            <w:noWrap/>
            <w:vAlign w:val="center"/>
            <w:hideMark/>
          </w:tcPr>
          <w:p w:rsidR="002D5A63" w:rsidRPr="00834708" w:rsidRDefault="002D5A63"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UNIVERZITETNI KLINIČNI CENTER LJUBLJANA</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91.219.346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2,98</w:t>
            </w:r>
          </w:p>
        </w:tc>
      </w:tr>
      <w:tr w:rsidR="002D5A63" w:rsidRPr="00972554" w:rsidTr="00972554">
        <w:trPr>
          <w:trHeight w:val="300"/>
        </w:trPr>
        <w:tc>
          <w:tcPr>
            <w:tcW w:w="6678" w:type="dxa"/>
            <w:shd w:val="clear" w:color="auto" w:fill="92D050"/>
            <w:noWrap/>
            <w:vAlign w:val="center"/>
            <w:hideMark/>
          </w:tcPr>
          <w:p w:rsidR="002D5A63" w:rsidRPr="00834708" w:rsidRDefault="002D5A63" w:rsidP="004F3F69">
            <w:pPr>
              <w:spacing w:line="240" w:lineRule="auto"/>
              <w:jc w:val="left"/>
              <w:rPr>
                <w:rFonts w:ascii="Calibri" w:hAnsi="Calibri"/>
                <w:b/>
                <w:bCs/>
                <w:sz w:val="18"/>
                <w:szCs w:val="18"/>
                <w:lang w:eastAsia="sl-SI"/>
              </w:rPr>
            </w:pPr>
            <w:r w:rsidRPr="00972554">
              <w:rPr>
                <w:rFonts w:ascii="Calibri" w:hAnsi="Calibri"/>
                <w:b/>
                <w:sz w:val="18"/>
                <w:szCs w:val="18"/>
              </w:rPr>
              <w:t xml:space="preserve">924-Skupaj pasiva </w:t>
            </w:r>
          </w:p>
        </w:tc>
        <w:tc>
          <w:tcPr>
            <w:tcW w:w="1288" w:type="dxa"/>
            <w:shd w:val="clear" w:color="auto" w:fill="92D050"/>
            <w:noWrap/>
            <w:vAlign w:val="bottom"/>
            <w:hideMark/>
          </w:tcPr>
          <w:p w:rsidR="002D5A63" w:rsidRPr="00972554" w:rsidRDefault="002D5A63" w:rsidP="004F3F69">
            <w:pPr>
              <w:spacing w:line="240" w:lineRule="auto"/>
              <w:jc w:val="right"/>
              <w:rPr>
                <w:rFonts w:ascii="Calibri" w:hAnsi="Calibri"/>
                <w:b/>
                <w:bCs/>
                <w:i/>
                <w:sz w:val="18"/>
                <w:szCs w:val="18"/>
                <w:lang w:eastAsia="sl-SI"/>
              </w:rPr>
            </w:pPr>
            <w:r w:rsidRPr="00972554">
              <w:rPr>
                <w:rFonts w:ascii="Calibri" w:hAnsi="Calibri"/>
                <w:b/>
                <w:i/>
                <w:sz w:val="18"/>
                <w:szCs w:val="18"/>
              </w:rPr>
              <w:t xml:space="preserve">48.469.514.870 </w:t>
            </w:r>
          </w:p>
        </w:tc>
        <w:tc>
          <w:tcPr>
            <w:tcW w:w="1276" w:type="dxa"/>
            <w:shd w:val="clear" w:color="auto" w:fill="92D050"/>
            <w:noWrap/>
            <w:vAlign w:val="bottom"/>
            <w:hideMark/>
          </w:tcPr>
          <w:p w:rsidR="002D5A63" w:rsidRPr="00834708" w:rsidRDefault="002D5A63" w:rsidP="004F3F69">
            <w:pPr>
              <w:spacing w:line="240" w:lineRule="auto"/>
              <w:jc w:val="right"/>
              <w:rPr>
                <w:rFonts w:ascii="Calibri" w:hAnsi="Calibri"/>
                <w:b/>
                <w:bCs/>
                <w:sz w:val="18"/>
                <w:szCs w:val="18"/>
                <w:lang w:eastAsia="sl-SI"/>
              </w:rPr>
            </w:pPr>
          </w:p>
        </w:tc>
      </w:tr>
      <w:tr w:rsidR="002D5A63" w:rsidRPr="00972554" w:rsidTr="00972554">
        <w:trPr>
          <w:trHeight w:val="300"/>
        </w:trPr>
        <w:tc>
          <w:tcPr>
            <w:tcW w:w="6678" w:type="dxa"/>
            <w:shd w:val="clear" w:color="auto" w:fill="auto"/>
            <w:noWrap/>
            <w:vAlign w:val="center"/>
            <w:hideMark/>
          </w:tcPr>
          <w:p w:rsidR="002D5A63" w:rsidRPr="00834708" w:rsidRDefault="002D5A63"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FINANCE</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9.929.588.279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20,49</w:t>
            </w:r>
          </w:p>
        </w:tc>
      </w:tr>
      <w:tr w:rsidR="002D5A63" w:rsidRPr="00972554" w:rsidTr="00972554">
        <w:trPr>
          <w:trHeight w:val="300"/>
        </w:trPr>
        <w:tc>
          <w:tcPr>
            <w:tcW w:w="6678" w:type="dxa"/>
            <w:shd w:val="clear" w:color="auto" w:fill="auto"/>
            <w:noWrap/>
            <w:vAlign w:val="center"/>
            <w:hideMark/>
          </w:tcPr>
          <w:p w:rsidR="002D5A63" w:rsidRPr="00834708" w:rsidRDefault="002D5A63"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UPRAVLJAVEC SREDSTEV SISTEMA </w:t>
            </w:r>
            <w:r w:rsidR="00A355E3" w:rsidRPr="00F31068">
              <w:rPr>
                <w:rFonts w:ascii="Calibri" w:hAnsi="Calibri"/>
                <w:sz w:val="18"/>
                <w:szCs w:val="18"/>
              </w:rPr>
              <w:t>EZRD</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6.455.100.492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13,32</w:t>
            </w:r>
          </w:p>
        </w:tc>
      </w:tr>
      <w:tr w:rsidR="002D5A63" w:rsidRPr="00972554" w:rsidTr="00972554">
        <w:trPr>
          <w:trHeight w:val="300"/>
        </w:trPr>
        <w:tc>
          <w:tcPr>
            <w:tcW w:w="6678" w:type="dxa"/>
            <w:shd w:val="clear" w:color="auto" w:fill="auto"/>
            <w:noWrap/>
            <w:vAlign w:val="center"/>
            <w:hideMark/>
          </w:tcPr>
          <w:p w:rsidR="002D5A63" w:rsidRPr="00871D79" w:rsidRDefault="002D5A63"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lastRenderedPageBreak/>
              <w:t xml:space="preserve">MINISTRSTVO ZA INFRASTRUKTURO, DIREKCIJA </w:t>
            </w:r>
            <w:r w:rsidR="00A355E3" w:rsidRPr="00F31068">
              <w:rPr>
                <w:rFonts w:ascii="Calibri" w:hAnsi="Calibri"/>
                <w:sz w:val="18"/>
                <w:szCs w:val="18"/>
              </w:rPr>
              <w:t>RS</w:t>
            </w:r>
            <w:r w:rsidRPr="00972554">
              <w:rPr>
                <w:rFonts w:ascii="Calibri" w:hAnsi="Calibri"/>
                <w:sz w:val="18"/>
                <w:szCs w:val="18"/>
              </w:rPr>
              <w:t xml:space="preserve"> ZA INFRASTRUKTURO</w:t>
            </w:r>
          </w:p>
        </w:tc>
        <w:tc>
          <w:tcPr>
            <w:tcW w:w="1288"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 xml:space="preserve">3.419.486.130 </w:t>
            </w:r>
          </w:p>
        </w:tc>
        <w:tc>
          <w:tcPr>
            <w:tcW w:w="1276" w:type="dxa"/>
            <w:shd w:val="clear" w:color="auto" w:fill="auto"/>
            <w:noWrap/>
            <w:vAlign w:val="bottom"/>
            <w:hideMark/>
          </w:tcPr>
          <w:p w:rsidR="002D5A63" w:rsidRPr="00834708" w:rsidRDefault="002D5A63" w:rsidP="004F3F69">
            <w:pPr>
              <w:spacing w:line="240" w:lineRule="auto"/>
              <w:jc w:val="right"/>
              <w:rPr>
                <w:rFonts w:ascii="Calibri" w:hAnsi="Calibri"/>
                <w:sz w:val="18"/>
                <w:szCs w:val="18"/>
                <w:lang w:eastAsia="sl-SI"/>
              </w:rPr>
            </w:pPr>
            <w:r w:rsidRPr="00972554">
              <w:rPr>
                <w:rFonts w:ascii="Calibri" w:hAnsi="Calibri"/>
                <w:sz w:val="18"/>
                <w:szCs w:val="18"/>
              </w:rPr>
              <w:t>7,05</w:t>
            </w:r>
          </w:p>
        </w:tc>
      </w:tr>
    </w:tbl>
    <w:p w:rsidR="003424EA" w:rsidRPr="003424EA" w:rsidRDefault="003424EA" w:rsidP="003424EA"/>
    <w:p w:rsidR="00E52C87" w:rsidRDefault="00B40670" w:rsidP="000A057A">
      <w:pPr>
        <w:pStyle w:val="Caption"/>
        <w:rPr>
          <w:b w:val="0"/>
        </w:rPr>
      </w:pPr>
      <w:r w:rsidRPr="007547E8">
        <w:rPr>
          <w:b w:val="0"/>
        </w:rPr>
        <w:t>Strukturo porazdelitve sprememb stanja premoženja države in občin po PU na dan 31.12.201</w:t>
      </w:r>
      <w:r w:rsidR="000C1EC5">
        <w:rPr>
          <w:b w:val="0"/>
        </w:rPr>
        <w:t>8</w:t>
      </w:r>
      <w:r w:rsidRPr="007547E8">
        <w:rPr>
          <w:b w:val="0"/>
        </w:rPr>
        <w:t xml:space="preserve"> glede na dan 31.1</w:t>
      </w:r>
      <w:r w:rsidR="00664984" w:rsidRPr="007547E8">
        <w:rPr>
          <w:b w:val="0"/>
        </w:rPr>
        <w:t>2.201</w:t>
      </w:r>
      <w:r w:rsidR="000C1EC5">
        <w:rPr>
          <w:b w:val="0"/>
        </w:rPr>
        <w:t>7</w:t>
      </w:r>
      <w:r w:rsidR="00664984" w:rsidRPr="007547E8">
        <w:rPr>
          <w:b w:val="0"/>
        </w:rPr>
        <w:t xml:space="preserve"> za posamezne postavke </w:t>
      </w:r>
      <w:r w:rsidRPr="007547E8">
        <w:rPr>
          <w:b w:val="0"/>
        </w:rPr>
        <w:t>za prvih pet PU z največjimi spremembami prikaz</w:t>
      </w:r>
      <w:r w:rsidR="00664984" w:rsidRPr="007547E8">
        <w:rPr>
          <w:b w:val="0"/>
        </w:rPr>
        <w:t>uje</w:t>
      </w:r>
      <w:r w:rsidR="00D01164">
        <w:rPr>
          <w:b w:val="0"/>
        </w:rPr>
        <w:t xml:space="preserve"> Tabela 5.</w:t>
      </w:r>
      <w:r w:rsidRPr="007547E8">
        <w:rPr>
          <w:b w:val="0"/>
        </w:rPr>
        <w:t xml:space="preserve"> </w:t>
      </w:r>
      <w:bookmarkStart w:id="22" w:name="_Ref389553260"/>
      <w:bookmarkStart w:id="23" w:name="_Ref390153039"/>
    </w:p>
    <w:p w:rsidR="00225C8A" w:rsidRPr="00225C8A" w:rsidRDefault="00225C8A" w:rsidP="00EC63A9"/>
    <w:p w:rsidR="00B34CEC" w:rsidRDefault="006D6629" w:rsidP="006D6629">
      <w:pPr>
        <w:pStyle w:val="Caption"/>
      </w:pPr>
      <w:bookmarkStart w:id="24" w:name="_Toc49771324"/>
      <w:r>
        <w:t xml:space="preserve">Tabela </w:t>
      </w:r>
      <w:r>
        <w:fldChar w:fldCharType="begin"/>
      </w:r>
      <w:r>
        <w:instrText xml:space="preserve"> SEQ Tabela \* ARABIC </w:instrText>
      </w:r>
      <w:r>
        <w:fldChar w:fldCharType="separate"/>
      </w:r>
      <w:r w:rsidR="00CE55C4">
        <w:rPr>
          <w:noProof/>
        </w:rPr>
        <w:t>5</w:t>
      </w:r>
      <w:r>
        <w:fldChar w:fldCharType="end"/>
      </w:r>
      <w:bookmarkEnd w:id="22"/>
      <w:bookmarkEnd w:id="23"/>
      <w:r>
        <w:t>: Struktura porazdelitve sprememb stanja premoženja države in občin po PU</w:t>
      </w:r>
      <w:r w:rsidR="00357E16">
        <w:t xml:space="preserve"> (za 5 največjih)</w:t>
      </w:r>
      <w:r>
        <w:t xml:space="preserve"> </w:t>
      </w:r>
      <w:proofErr w:type="gramStart"/>
      <w:r>
        <w:t>na</w:t>
      </w:r>
      <w:proofErr w:type="gramEnd"/>
      <w:r>
        <w:t xml:space="preserve"> dan 31.12.201</w:t>
      </w:r>
      <w:r w:rsidR="004F3F69">
        <w:t>8</w:t>
      </w:r>
      <w:r>
        <w:t xml:space="preserve"> </w:t>
      </w:r>
      <w:r w:rsidR="00357E16">
        <w:t>glede na dan 31.12.201</w:t>
      </w:r>
      <w:r w:rsidR="004F3F69">
        <w:t>7</w:t>
      </w:r>
      <w:bookmarkEnd w:id="24"/>
    </w:p>
    <w:p w:rsidR="00357E16" w:rsidRPr="00357E16" w:rsidRDefault="00357E16" w:rsidP="00357E16"/>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33"/>
        <w:gridCol w:w="1275"/>
        <w:gridCol w:w="1276"/>
      </w:tblGrid>
      <w:tr w:rsidR="00B40670" w:rsidRPr="00972554" w:rsidTr="00B40670">
        <w:trPr>
          <w:trHeight w:val="300"/>
          <w:tblHeader/>
        </w:trPr>
        <w:tc>
          <w:tcPr>
            <w:tcW w:w="6733" w:type="dxa"/>
            <w:shd w:val="pct25" w:color="auto" w:fill="auto"/>
            <w:noWrap/>
            <w:vAlign w:val="bottom"/>
          </w:tcPr>
          <w:p w:rsidR="00B40670" w:rsidRPr="00834708" w:rsidRDefault="00B40670" w:rsidP="00B40670">
            <w:pPr>
              <w:spacing w:line="240" w:lineRule="auto"/>
              <w:rPr>
                <w:rFonts w:ascii="Calibri" w:hAnsi="Calibri"/>
                <w:b/>
                <w:bCs/>
                <w:color w:val="000000"/>
                <w:sz w:val="18"/>
                <w:szCs w:val="18"/>
                <w:lang w:eastAsia="sl-SI"/>
              </w:rPr>
            </w:pPr>
          </w:p>
        </w:tc>
        <w:tc>
          <w:tcPr>
            <w:tcW w:w="2551" w:type="dxa"/>
            <w:gridSpan w:val="2"/>
            <w:shd w:val="pct25" w:color="auto" w:fill="auto"/>
            <w:noWrap/>
            <w:vAlign w:val="bottom"/>
          </w:tcPr>
          <w:p w:rsidR="00B40670" w:rsidRPr="00F83FBB" w:rsidRDefault="00B40670" w:rsidP="00C611DB">
            <w:pPr>
              <w:spacing w:line="240" w:lineRule="auto"/>
              <w:jc w:val="center"/>
              <w:rPr>
                <w:rFonts w:ascii="Calibri" w:hAnsi="Calibri"/>
                <w:b/>
                <w:bCs/>
                <w:sz w:val="18"/>
                <w:szCs w:val="18"/>
                <w:lang w:eastAsia="sl-SI"/>
              </w:rPr>
            </w:pPr>
            <w:r w:rsidRPr="00871D79">
              <w:rPr>
                <w:rFonts w:ascii="Calibri" w:hAnsi="Calibri"/>
                <w:b/>
                <w:bCs/>
                <w:sz w:val="18"/>
                <w:szCs w:val="18"/>
                <w:lang w:eastAsia="sl-SI"/>
              </w:rPr>
              <w:t>Sprememba stanja 201</w:t>
            </w:r>
            <w:r w:rsidR="004F3F69" w:rsidRPr="00871D79">
              <w:rPr>
                <w:rFonts w:ascii="Calibri" w:hAnsi="Calibri"/>
                <w:b/>
                <w:bCs/>
                <w:sz w:val="18"/>
                <w:szCs w:val="18"/>
                <w:lang w:eastAsia="sl-SI"/>
              </w:rPr>
              <w:t>8</w:t>
            </w:r>
            <w:r w:rsidRPr="00871D79">
              <w:rPr>
                <w:rFonts w:ascii="Calibri" w:hAnsi="Calibri"/>
                <w:b/>
                <w:bCs/>
                <w:sz w:val="18"/>
                <w:szCs w:val="18"/>
                <w:lang w:eastAsia="sl-SI"/>
              </w:rPr>
              <w:t>-201</w:t>
            </w:r>
            <w:r w:rsidR="004F3F69" w:rsidRPr="00871D79">
              <w:rPr>
                <w:rFonts w:ascii="Calibri" w:hAnsi="Calibri"/>
                <w:b/>
                <w:bCs/>
                <w:sz w:val="18"/>
                <w:szCs w:val="18"/>
                <w:lang w:eastAsia="sl-SI"/>
              </w:rPr>
              <w:t>7</w:t>
            </w:r>
          </w:p>
        </w:tc>
      </w:tr>
      <w:tr w:rsidR="00B40670" w:rsidRPr="00972554" w:rsidTr="00B40670">
        <w:trPr>
          <w:trHeight w:val="300"/>
          <w:tblHeader/>
        </w:trPr>
        <w:tc>
          <w:tcPr>
            <w:tcW w:w="6733" w:type="dxa"/>
            <w:shd w:val="pct25" w:color="auto" w:fill="auto"/>
            <w:noWrap/>
            <w:vAlign w:val="bottom"/>
          </w:tcPr>
          <w:p w:rsidR="00B40670" w:rsidRPr="00834708" w:rsidRDefault="00B40670" w:rsidP="00B40670">
            <w:pPr>
              <w:spacing w:line="240" w:lineRule="auto"/>
              <w:rPr>
                <w:rFonts w:ascii="Calibri" w:hAnsi="Calibri"/>
                <w:b/>
                <w:bCs/>
                <w:color w:val="000000"/>
                <w:sz w:val="18"/>
                <w:szCs w:val="18"/>
                <w:lang w:eastAsia="sl-SI"/>
              </w:rPr>
            </w:pPr>
            <w:r w:rsidRPr="00834708">
              <w:rPr>
                <w:rFonts w:ascii="Calibri" w:hAnsi="Calibri"/>
                <w:b/>
                <w:bCs/>
                <w:color w:val="000000"/>
                <w:sz w:val="18"/>
                <w:szCs w:val="18"/>
                <w:lang w:eastAsia="sl-SI"/>
              </w:rPr>
              <w:t>Oznaka in naziv AOP</w:t>
            </w:r>
            <w:r w:rsidR="00A41641" w:rsidRPr="00834708">
              <w:rPr>
                <w:rFonts w:ascii="Calibri" w:hAnsi="Calibri"/>
                <w:b/>
                <w:bCs/>
                <w:color w:val="000000"/>
                <w:sz w:val="18"/>
                <w:szCs w:val="18"/>
                <w:lang w:eastAsia="sl-SI"/>
              </w:rPr>
              <w:t>/PU z največjo spremembo</w:t>
            </w:r>
          </w:p>
        </w:tc>
        <w:tc>
          <w:tcPr>
            <w:tcW w:w="1275" w:type="dxa"/>
            <w:shd w:val="pct25" w:color="auto" w:fill="auto"/>
            <w:noWrap/>
            <w:vAlign w:val="bottom"/>
          </w:tcPr>
          <w:p w:rsidR="00B40670" w:rsidRPr="00871D79" w:rsidRDefault="00B40670" w:rsidP="00B40670">
            <w:pPr>
              <w:spacing w:line="240" w:lineRule="auto"/>
              <w:jc w:val="center"/>
              <w:rPr>
                <w:rFonts w:ascii="Calibri" w:hAnsi="Calibri"/>
                <w:b/>
                <w:bCs/>
                <w:color w:val="000000"/>
                <w:sz w:val="18"/>
                <w:szCs w:val="18"/>
                <w:lang w:eastAsia="sl-SI"/>
              </w:rPr>
            </w:pPr>
            <w:r w:rsidRPr="00871D79">
              <w:rPr>
                <w:rFonts w:ascii="Calibri" w:hAnsi="Calibri"/>
                <w:b/>
                <w:bCs/>
                <w:color w:val="000000"/>
                <w:sz w:val="18"/>
                <w:szCs w:val="18"/>
                <w:lang w:eastAsia="sl-SI"/>
              </w:rPr>
              <w:t>(</w:t>
            </w:r>
            <w:r w:rsidR="00FC2036">
              <w:rPr>
                <w:rFonts w:ascii="Calibri" w:hAnsi="Calibri"/>
                <w:b/>
                <w:bCs/>
                <w:color w:val="000000"/>
                <w:sz w:val="18"/>
                <w:szCs w:val="18"/>
                <w:lang w:eastAsia="sl-SI"/>
              </w:rPr>
              <w:t>€</w:t>
            </w:r>
            <w:r w:rsidRPr="00871D79">
              <w:rPr>
                <w:rFonts w:ascii="Calibri" w:hAnsi="Calibri"/>
                <w:b/>
                <w:bCs/>
                <w:color w:val="000000"/>
                <w:sz w:val="18"/>
                <w:szCs w:val="18"/>
                <w:lang w:eastAsia="sl-SI"/>
              </w:rPr>
              <w:t>)</w:t>
            </w:r>
          </w:p>
        </w:tc>
        <w:tc>
          <w:tcPr>
            <w:tcW w:w="1276" w:type="dxa"/>
            <w:shd w:val="pct25" w:color="auto" w:fill="auto"/>
            <w:noWrap/>
            <w:vAlign w:val="bottom"/>
          </w:tcPr>
          <w:p w:rsidR="00B40670" w:rsidRPr="00F83FBB" w:rsidRDefault="00FC2036" w:rsidP="00B40670">
            <w:pPr>
              <w:spacing w:line="240" w:lineRule="auto"/>
              <w:jc w:val="center"/>
              <w:rPr>
                <w:rFonts w:ascii="Calibri" w:hAnsi="Calibri"/>
                <w:b/>
                <w:bCs/>
                <w:sz w:val="18"/>
                <w:szCs w:val="18"/>
                <w:lang w:eastAsia="sl-SI"/>
              </w:rPr>
            </w:pPr>
            <w:r>
              <w:rPr>
                <w:rFonts w:ascii="Calibri" w:hAnsi="Calibri"/>
                <w:b/>
                <w:bCs/>
                <w:sz w:val="18"/>
                <w:szCs w:val="18"/>
                <w:lang w:eastAsia="sl-SI"/>
              </w:rPr>
              <w:t>%</w:t>
            </w:r>
          </w:p>
        </w:tc>
      </w:tr>
      <w:tr w:rsidR="00B40670" w:rsidRPr="00972554" w:rsidTr="00B40670">
        <w:trPr>
          <w:trHeight w:val="300"/>
          <w:tblHeader/>
        </w:trPr>
        <w:tc>
          <w:tcPr>
            <w:tcW w:w="6733" w:type="dxa"/>
            <w:shd w:val="pct25" w:color="auto" w:fill="auto"/>
            <w:noWrap/>
            <w:vAlign w:val="bottom"/>
          </w:tcPr>
          <w:p w:rsidR="00B40670" w:rsidRPr="00834708" w:rsidRDefault="00B40670" w:rsidP="00B40670">
            <w:pPr>
              <w:spacing w:line="240" w:lineRule="auto"/>
              <w:jc w:val="center"/>
              <w:rPr>
                <w:rFonts w:ascii="Calibri" w:hAnsi="Calibri"/>
                <w:b/>
                <w:bCs/>
                <w:color w:val="000000"/>
                <w:sz w:val="18"/>
                <w:szCs w:val="18"/>
                <w:lang w:eastAsia="sl-SI"/>
              </w:rPr>
            </w:pPr>
            <w:r w:rsidRPr="00834708">
              <w:rPr>
                <w:rFonts w:ascii="Calibri" w:hAnsi="Calibri"/>
                <w:b/>
                <w:bCs/>
                <w:color w:val="000000"/>
                <w:sz w:val="18"/>
                <w:szCs w:val="18"/>
                <w:lang w:eastAsia="sl-SI"/>
              </w:rPr>
              <w:t>1</w:t>
            </w:r>
          </w:p>
        </w:tc>
        <w:tc>
          <w:tcPr>
            <w:tcW w:w="1275" w:type="dxa"/>
            <w:shd w:val="pct25" w:color="auto" w:fill="auto"/>
            <w:noWrap/>
            <w:vAlign w:val="bottom"/>
          </w:tcPr>
          <w:p w:rsidR="00B40670" w:rsidRPr="00871D79" w:rsidRDefault="00B40670" w:rsidP="00B40670">
            <w:pPr>
              <w:spacing w:line="240" w:lineRule="auto"/>
              <w:jc w:val="center"/>
              <w:rPr>
                <w:rFonts w:ascii="Calibri" w:hAnsi="Calibri"/>
                <w:b/>
                <w:bCs/>
                <w:color w:val="000000"/>
                <w:sz w:val="18"/>
                <w:szCs w:val="18"/>
                <w:lang w:eastAsia="sl-SI"/>
              </w:rPr>
            </w:pPr>
            <w:r w:rsidRPr="00871D79">
              <w:rPr>
                <w:rFonts w:ascii="Calibri" w:hAnsi="Calibri"/>
                <w:b/>
                <w:bCs/>
                <w:color w:val="000000"/>
                <w:sz w:val="18"/>
                <w:szCs w:val="18"/>
                <w:lang w:eastAsia="sl-SI"/>
              </w:rPr>
              <w:t>2</w:t>
            </w:r>
          </w:p>
        </w:tc>
        <w:tc>
          <w:tcPr>
            <w:tcW w:w="1276" w:type="dxa"/>
            <w:shd w:val="pct25" w:color="auto" w:fill="auto"/>
            <w:noWrap/>
            <w:vAlign w:val="bottom"/>
          </w:tcPr>
          <w:p w:rsidR="00B40670" w:rsidRPr="00F83FBB" w:rsidRDefault="00B40670" w:rsidP="00B40670">
            <w:pPr>
              <w:spacing w:line="240" w:lineRule="auto"/>
              <w:jc w:val="center"/>
              <w:rPr>
                <w:rFonts w:ascii="Calibri" w:hAnsi="Calibri"/>
                <w:b/>
                <w:bCs/>
                <w:sz w:val="18"/>
                <w:szCs w:val="18"/>
                <w:lang w:eastAsia="sl-SI"/>
              </w:rPr>
            </w:pPr>
            <w:r w:rsidRPr="00F83FBB">
              <w:rPr>
                <w:rFonts w:ascii="Calibri" w:hAnsi="Calibri"/>
                <w:b/>
                <w:bCs/>
                <w:sz w:val="18"/>
                <w:szCs w:val="18"/>
                <w:lang w:eastAsia="sl-SI"/>
              </w:rPr>
              <w:t>3</w:t>
            </w:r>
          </w:p>
        </w:tc>
      </w:tr>
      <w:tr w:rsidR="00A4284B" w:rsidRPr="00972554" w:rsidTr="00972554">
        <w:trPr>
          <w:trHeight w:val="300"/>
        </w:trPr>
        <w:tc>
          <w:tcPr>
            <w:tcW w:w="6733" w:type="dxa"/>
            <w:shd w:val="clear" w:color="auto" w:fill="auto"/>
            <w:noWrap/>
            <w:hideMark/>
          </w:tcPr>
          <w:p w:rsidR="00A4284B" w:rsidRPr="00871D79" w:rsidRDefault="00A4284B" w:rsidP="00C611DB">
            <w:pPr>
              <w:spacing w:line="240" w:lineRule="auto"/>
              <w:jc w:val="left"/>
              <w:rPr>
                <w:rFonts w:ascii="Calibri" w:hAnsi="Calibri"/>
                <w:b/>
                <w:bCs/>
                <w:sz w:val="18"/>
                <w:szCs w:val="18"/>
                <w:lang w:eastAsia="sl-SI"/>
              </w:rPr>
            </w:pPr>
            <w:r w:rsidRPr="00972554">
              <w:rPr>
                <w:rFonts w:ascii="Calibri" w:hAnsi="Calibri"/>
                <w:b/>
                <w:sz w:val="18"/>
                <w:szCs w:val="18"/>
              </w:rPr>
              <w:t xml:space="preserve">900-Sedanja vrednost neopredmetenih sredstev in dolgoročnih aktivnih časovnih razmejitev </w:t>
            </w:r>
          </w:p>
        </w:tc>
        <w:tc>
          <w:tcPr>
            <w:tcW w:w="1275" w:type="dxa"/>
            <w:shd w:val="clear" w:color="auto" w:fill="auto"/>
            <w:noWrap/>
            <w:vAlign w:val="bottom"/>
            <w:hideMark/>
          </w:tcPr>
          <w:p w:rsidR="00A4284B" w:rsidRPr="00871D79" w:rsidRDefault="00A4284B" w:rsidP="00834708">
            <w:pPr>
              <w:spacing w:line="240" w:lineRule="auto"/>
              <w:jc w:val="right"/>
              <w:rPr>
                <w:rFonts w:ascii="Calibri" w:hAnsi="Calibri"/>
                <w:b/>
                <w:bCs/>
                <w:sz w:val="18"/>
                <w:szCs w:val="18"/>
                <w:lang w:eastAsia="sl-SI"/>
              </w:rPr>
            </w:pPr>
            <w:r w:rsidRPr="00972554">
              <w:rPr>
                <w:rFonts w:ascii="Calibri" w:hAnsi="Calibri"/>
                <w:b/>
                <w:sz w:val="18"/>
                <w:szCs w:val="18"/>
              </w:rPr>
              <w:t xml:space="preserve">10.060.524 </w:t>
            </w:r>
          </w:p>
        </w:tc>
        <w:tc>
          <w:tcPr>
            <w:tcW w:w="1276" w:type="dxa"/>
            <w:shd w:val="clear" w:color="auto" w:fill="FFFFFF"/>
            <w:noWrap/>
            <w:vAlign w:val="bottom"/>
            <w:hideMark/>
          </w:tcPr>
          <w:p w:rsidR="00A4284B" w:rsidRPr="00F83FBB" w:rsidRDefault="00A4284B" w:rsidP="00871D79">
            <w:pPr>
              <w:spacing w:line="240" w:lineRule="auto"/>
              <w:jc w:val="right"/>
              <w:rPr>
                <w:rFonts w:ascii="Calibri" w:hAnsi="Calibri"/>
                <w:b/>
                <w:bCs/>
                <w:sz w:val="18"/>
                <w:szCs w:val="18"/>
                <w:lang w:eastAsia="sl-SI"/>
              </w:rPr>
            </w:pP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JAVNO UPRAVO</w:t>
            </w:r>
          </w:p>
        </w:tc>
        <w:tc>
          <w:tcPr>
            <w:tcW w:w="1275" w:type="dxa"/>
            <w:shd w:val="clear" w:color="auto" w:fill="auto"/>
            <w:noWrap/>
            <w:vAlign w:val="bottom"/>
            <w:hideMark/>
          </w:tcPr>
          <w:p w:rsidR="00A4284B" w:rsidRPr="00871D79"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11.333.638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112,65</w:t>
            </w:r>
          </w:p>
        </w:tc>
      </w:tr>
      <w:tr w:rsidR="00A4284B" w:rsidRPr="00972554" w:rsidTr="00972554">
        <w:trPr>
          <w:trHeight w:val="300"/>
        </w:trPr>
        <w:tc>
          <w:tcPr>
            <w:tcW w:w="6733" w:type="dxa"/>
            <w:shd w:val="clear" w:color="auto" w:fill="auto"/>
            <w:noWrap/>
            <w:hideMark/>
          </w:tcPr>
          <w:p w:rsidR="00A4284B" w:rsidRPr="00871D79"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MINISTRSTVO ZA FINANCE FINANČNA UPRAVA </w:t>
            </w:r>
            <w:r w:rsidR="006D7310" w:rsidRPr="00F31068">
              <w:rPr>
                <w:rFonts w:ascii="Calibri" w:hAnsi="Calibri"/>
                <w:sz w:val="18"/>
                <w:szCs w:val="18"/>
              </w:rPr>
              <w:t>RS</w:t>
            </w:r>
          </w:p>
        </w:tc>
        <w:tc>
          <w:tcPr>
            <w:tcW w:w="1275" w:type="dxa"/>
            <w:shd w:val="clear" w:color="auto" w:fill="auto"/>
            <w:noWrap/>
            <w:vAlign w:val="bottom"/>
            <w:hideMark/>
          </w:tcPr>
          <w:p w:rsidR="00A4284B" w:rsidRPr="00871D79"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-1.449.493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-14,41</w:t>
            </w:r>
          </w:p>
        </w:tc>
      </w:tr>
      <w:tr w:rsidR="00A4284B" w:rsidRPr="00972554" w:rsidTr="00972554">
        <w:trPr>
          <w:trHeight w:val="300"/>
        </w:trPr>
        <w:tc>
          <w:tcPr>
            <w:tcW w:w="6733" w:type="dxa"/>
            <w:shd w:val="clear" w:color="auto" w:fill="auto"/>
            <w:noWrap/>
            <w:hideMark/>
          </w:tcPr>
          <w:p w:rsidR="00A4284B" w:rsidRPr="00871D79"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Slovenski filmski center, javna agencija </w:t>
            </w:r>
            <w:r w:rsidR="006D7310" w:rsidRPr="00F31068">
              <w:rPr>
                <w:rFonts w:ascii="Calibri" w:hAnsi="Calibri"/>
                <w:sz w:val="18"/>
                <w:szCs w:val="18"/>
              </w:rPr>
              <w:t>RS</w:t>
            </w:r>
          </w:p>
        </w:tc>
        <w:tc>
          <w:tcPr>
            <w:tcW w:w="1275" w:type="dxa"/>
            <w:shd w:val="clear" w:color="auto" w:fill="auto"/>
            <w:noWrap/>
            <w:vAlign w:val="bottom"/>
            <w:hideMark/>
          </w:tcPr>
          <w:p w:rsidR="00A4284B" w:rsidRPr="00871D79"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-1.440.031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-14,31</w:t>
            </w:r>
          </w:p>
        </w:tc>
      </w:tr>
      <w:tr w:rsidR="00A4284B" w:rsidRPr="00972554" w:rsidTr="00972554">
        <w:trPr>
          <w:trHeight w:val="300"/>
        </w:trPr>
        <w:tc>
          <w:tcPr>
            <w:tcW w:w="6733" w:type="dxa"/>
            <w:shd w:val="clear" w:color="auto" w:fill="auto"/>
            <w:noWrap/>
            <w:hideMark/>
          </w:tcPr>
          <w:p w:rsidR="00A4284B" w:rsidRPr="00871D79"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NACIONALNI INŠTITUT ZA JAVNO ZDRAVJE</w:t>
            </w:r>
          </w:p>
        </w:tc>
        <w:tc>
          <w:tcPr>
            <w:tcW w:w="1275" w:type="dxa"/>
            <w:shd w:val="clear" w:color="auto" w:fill="auto"/>
            <w:noWrap/>
            <w:vAlign w:val="bottom"/>
            <w:hideMark/>
          </w:tcPr>
          <w:p w:rsidR="00A4284B" w:rsidRPr="00871D79"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-937.260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-9,32</w:t>
            </w: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MINISTRSTVO ZA OBRAMBO </w:t>
            </w:r>
            <w:r w:rsidR="006D7310" w:rsidRPr="00F31068">
              <w:rPr>
                <w:rFonts w:ascii="Calibri" w:hAnsi="Calibri"/>
                <w:sz w:val="18"/>
                <w:szCs w:val="18"/>
              </w:rPr>
              <w:t>RS</w:t>
            </w:r>
          </w:p>
        </w:tc>
        <w:tc>
          <w:tcPr>
            <w:tcW w:w="1275" w:type="dxa"/>
            <w:shd w:val="clear" w:color="auto" w:fill="auto"/>
            <w:noWrap/>
            <w:vAlign w:val="bottom"/>
            <w:hideMark/>
          </w:tcPr>
          <w:p w:rsidR="00A4284B" w:rsidRPr="00871D79"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906.821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9,01</w:t>
            </w:r>
          </w:p>
        </w:tc>
      </w:tr>
      <w:tr w:rsidR="00A4284B" w:rsidRPr="00972554" w:rsidTr="00972554">
        <w:trPr>
          <w:trHeight w:val="300"/>
        </w:trPr>
        <w:tc>
          <w:tcPr>
            <w:tcW w:w="6733" w:type="dxa"/>
            <w:shd w:val="clear" w:color="auto" w:fill="auto"/>
            <w:noWrap/>
            <w:hideMark/>
          </w:tcPr>
          <w:p w:rsidR="00A4284B" w:rsidRPr="00871D79" w:rsidRDefault="00A4284B" w:rsidP="00C611DB">
            <w:pPr>
              <w:spacing w:line="240" w:lineRule="auto"/>
              <w:jc w:val="left"/>
              <w:rPr>
                <w:rFonts w:ascii="Calibri" w:hAnsi="Calibri"/>
                <w:b/>
                <w:bCs/>
                <w:sz w:val="18"/>
                <w:szCs w:val="18"/>
                <w:lang w:eastAsia="sl-SI"/>
              </w:rPr>
            </w:pPr>
            <w:r w:rsidRPr="00972554">
              <w:rPr>
                <w:rFonts w:ascii="Calibri" w:hAnsi="Calibri"/>
                <w:b/>
                <w:sz w:val="18"/>
                <w:szCs w:val="18"/>
              </w:rPr>
              <w:t xml:space="preserve">901-Nabavna vrednost neopredmetenih sredstev in dolgoročnih aktivnih časovnih razmejitev </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b/>
                <w:bCs/>
                <w:sz w:val="18"/>
                <w:szCs w:val="18"/>
                <w:lang w:eastAsia="sl-SI"/>
              </w:rPr>
            </w:pPr>
            <w:r w:rsidRPr="00972554">
              <w:rPr>
                <w:rFonts w:ascii="Calibri" w:hAnsi="Calibri"/>
                <w:b/>
                <w:sz w:val="18"/>
                <w:szCs w:val="18"/>
              </w:rPr>
              <w:t xml:space="preserve">27.918.110 </w:t>
            </w:r>
          </w:p>
        </w:tc>
        <w:tc>
          <w:tcPr>
            <w:tcW w:w="1276" w:type="dxa"/>
            <w:shd w:val="clear" w:color="auto" w:fill="FFFFFF"/>
            <w:noWrap/>
            <w:vAlign w:val="bottom"/>
            <w:hideMark/>
          </w:tcPr>
          <w:p w:rsidR="00A4284B" w:rsidRPr="00871D79" w:rsidRDefault="00A4284B" w:rsidP="00871D79">
            <w:pPr>
              <w:spacing w:line="240" w:lineRule="auto"/>
              <w:jc w:val="right"/>
              <w:rPr>
                <w:rFonts w:ascii="Calibri" w:hAnsi="Calibri"/>
                <w:b/>
                <w:bCs/>
                <w:sz w:val="18"/>
                <w:szCs w:val="18"/>
                <w:lang w:eastAsia="sl-SI"/>
              </w:rPr>
            </w:pPr>
          </w:p>
        </w:tc>
      </w:tr>
      <w:tr w:rsidR="00A4284B" w:rsidRPr="00972554" w:rsidTr="00972554">
        <w:trPr>
          <w:trHeight w:val="300"/>
        </w:trPr>
        <w:tc>
          <w:tcPr>
            <w:tcW w:w="6733" w:type="dxa"/>
            <w:shd w:val="clear" w:color="auto" w:fill="auto"/>
            <w:noWrap/>
            <w:hideMark/>
          </w:tcPr>
          <w:p w:rsidR="00A4284B" w:rsidRPr="00871D79"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MINISTRSTVO ZA FINANCE FINANČNA UPRAVA </w:t>
            </w:r>
            <w:r w:rsidR="006D7310" w:rsidRPr="00F31068">
              <w:rPr>
                <w:rFonts w:ascii="Calibri" w:hAnsi="Calibri"/>
                <w:sz w:val="18"/>
                <w:szCs w:val="18"/>
              </w:rPr>
              <w:t>RS</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5.710.727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20,46</w:t>
            </w: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JAVNO UPRAVO</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2.951.589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10,57</w:t>
            </w:r>
          </w:p>
        </w:tc>
      </w:tr>
      <w:tr w:rsidR="00A4284B" w:rsidRPr="00972554" w:rsidTr="00972554">
        <w:trPr>
          <w:trHeight w:val="300"/>
        </w:trPr>
        <w:tc>
          <w:tcPr>
            <w:tcW w:w="6733" w:type="dxa"/>
            <w:shd w:val="clear" w:color="auto" w:fill="auto"/>
            <w:noWrap/>
            <w:hideMark/>
          </w:tcPr>
          <w:p w:rsidR="00A4284B" w:rsidRPr="00834708" w:rsidRDefault="006D7310" w:rsidP="00834708">
            <w:pPr>
              <w:spacing w:line="240" w:lineRule="auto"/>
              <w:ind w:firstLineChars="100" w:firstLine="180"/>
              <w:jc w:val="left"/>
              <w:rPr>
                <w:rFonts w:ascii="Calibri" w:hAnsi="Calibri"/>
                <w:sz w:val="18"/>
                <w:szCs w:val="18"/>
                <w:lang w:eastAsia="sl-SI"/>
              </w:rPr>
            </w:pPr>
            <w:r w:rsidRPr="00F31068">
              <w:rPr>
                <w:rFonts w:ascii="Calibri" w:hAnsi="Calibri"/>
                <w:sz w:val="18"/>
                <w:szCs w:val="18"/>
              </w:rPr>
              <w:t>RTV SLOVENIJA</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-2.928.435 </w:t>
            </w:r>
          </w:p>
        </w:tc>
        <w:tc>
          <w:tcPr>
            <w:tcW w:w="1276" w:type="dxa"/>
            <w:shd w:val="clear" w:color="auto" w:fill="FFFFFF"/>
            <w:noWrap/>
            <w:vAlign w:val="bottom"/>
            <w:hideMark/>
          </w:tcPr>
          <w:p w:rsidR="00A4284B" w:rsidRPr="00834708" w:rsidRDefault="00A4284B" w:rsidP="00871D79">
            <w:pPr>
              <w:spacing w:line="240" w:lineRule="auto"/>
              <w:jc w:val="right"/>
              <w:rPr>
                <w:rFonts w:ascii="Calibri" w:hAnsi="Calibri"/>
                <w:sz w:val="18"/>
                <w:szCs w:val="18"/>
                <w:lang w:eastAsia="sl-SI"/>
              </w:rPr>
            </w:pPr>
            <w:r w:rsidRPr="00972554">
              <w:rPr>
                <w:rFonts w:ascii="Calibri" w:hAnsi="Calibri"/>
                <w:sz w:val="18"/>
                <w:szCs w:val="18"/>
              </w:rPr>
              <w:t>-10,49</w:t>
            </w: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MINISTRSTVO ZA OBRAMBO </w:t>
            </w:r>
            <w:r w:rsidR="006D7310" w:rsidRPr="00F31068">
              <w:rPr>
                <w:rFonts w:ascii="Calibri" w:hAnsi="Calibri"/>
                <w:sz w:val="18"/>
                <w:szCs w:val="18"/>
              </w:rPr>
              <w:t>RS</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1.679.620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6,02</w:t>
            </w:r>
          </w:p>
        </w:tc>
      </w:tr>
      <w:tr w:rsidR="00A4284B" w:rsidRPr="00972554" w:rsidTr="00972554">
        <w:trPr>
          <w:trHeight w:val="300"/>
        </w:trPr>
        <w:tc>
          <w:tcPr>
            <w:tcW w:w="6733" w:type="dxa"/>
            <w:shd w:val="clear" w:color="auto" w:fill="auto"/>
            <w:noWrap/>
            <w:hideMark/>
          </w:tcPr>
          <w:p w:rsidR="00A4284B" w:rsidRPr="00871D79"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MINISTRSTVO ZA OKOLJE IN PROSTOR, GEODETSKA UPRAVA </w:t>
            </w:r>
            <w:r w:rsidR="006D7310" w:rsidRPr="00F31068">
              <w:rPr>
                <w:rFonts w:ascii="Calibri" w:hAnsi="Calibri"/>
                <w:sz w:val="18"/>
                <w:szCs w:val="18"/>
              </w:rPr>
              <w:t>RS</w:t>
            </w:r>
          </w:p>
        </w:tc>
        <w:tc>
          <w:tcPr>
            <w:tcW w:w="1275" w:type="dxa"/>
            <w:shd w:val="clear" w:color="auto" w:fill="auto"/>
            <w:noWrap/>
            <w:vAlign w:val="bottom"/>
            <w:hideMark/>
          </w:tcPr>
          <w:p w:rsidR="00A4284B" w:rsidRPr="00871D79"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1.473.766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5,28</w:t>
            </w:r>
          </w:p>
        </w:tc>
      </w:tr>
      <w:tr w:rsidR="00A4284B" w:rsidRPr="00972554" w:rsidTr="00972554">
        <w:trPr>
          <w:trHeight w:val="300"/>
        </w:trPr>
        <w:tc>
          <w:tcPr>
            <w:tcW w:w="6733" w:type="dxa"/>
            <w:shd w:val="clear" w:color="auto" w:fill="auto"/>
            <w:noWrap/>
            <w:hideMark/>
          </w:tcPr>
          <w:p w:rsidR="00A4284B" w:rsidRPr="00871D79" w:rsidRDefault="00A4284B" w:rsidP="00C611DB">
            <w:pPr>
              <w:spacing w:line="240" w:lineRule="auto"/>
              <w:jc w:val="left"/>
              <w:rPr>
                <w:rFonts w:ascii="Calibri" w:hAnsi="Calibri"/>
                <w:b/>
                <w:bCs/>
                <w:sz w:val="18"/>
                <w:szCs w:val="18"/>
                <w:lang w:eastAsia="sl-SI"/>
              </w:rPr>
            </w:pPr>
            <w:r w:rsidRPr="00972554">
              <w:rPr>
                <w:rFonts w:ascii="Calibri" w:hAnsi="Calibri"/>
                <w:b/>
                <w:sz w:val="18"/>
                <w:szCs w:val="18"/>
              </w:rPr>
              <w:t xml:space="preserve">902-Popravki vrednosti neopredmetenih sredstev </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b/>
                <w:bCs/>
                <w:sz w:val="18"/>
                <w:szCs w:val="18"/>
                <w:lang w:eastAsia="sl-SI"/>
              </w:rPr>
            </w:pPr>
            <w:r w:rsidRPr="00972554">
              <w:rPr>
                <w:rFonts w:ascii="Calibri" w:hAnsi="Calibri"/>
                <w:b/>
                <w:sz w:val="18"/>
                <w:szCs w:val="18"/>
              </w:rPr>
              <w:t xml:space="preserve">17.857.586 </w:t>
            </w:r>
          </w:p>
        </w:tc>
        <w:tc>
          <w:tcPr>
            <w:tcW w:w="1276" w:type="dxa"/>
            <w:shd w:val="clear" w:color="auto" w:fill="FFFFFF"/>
            <w:noWrap/>
            <w:vAlign w:val="bottom"/>
            <w:hideMark/>
          </w:tcPr>
          <w:p w:rsidR="00A4284B" w:rsidRPr="00871D79" w:rsidRDefault="00A4284B" w:rsidP="00871D79">
            <w:pPr>
              <w:spacing w:line="240" w:lineRule="auto"/>
              <w:jc w:val="right"/>
              <w:rPr>
                <w:rFonts w:ascii="Calibri" w:hAnsi="Calibri"/>
                <w:b/>
                <w:bCs/>
                <w:sz w:val="18"/>
                <w:szCs w:val="18"/>
                <w:lang w:eastAsia="sl-SI"/>
              </w:rPr>
            </w:pP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JAVNO UPRAVO</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-8.382.049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-46,94</w:t>
            </w: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MINISTRSTVO ZA FINANCE FINANČNA UPRAVA </w:t>
            </w:r>
            <w:r w:rsidR="006D7310" w:rsidRPr="00F31068">
              <w:rPr>
                <w:rFonts w:ascii="Calibri" w:hAnsi="Calibri"/>
                <w:sz w:val="18"/>
                <w:szCs w:val="18"/>
              </w:rPr>
              <w:t>RS</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7.160.220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40,10</w:t>
            </w:r>
          </w:p>
        </w:tc>
      </w:tr>
      <w:tr w:rsidR="00A4284B" w:rsidRPr="00972554" w:rsidTr="00972554">
        <w:trPr>
          <w:trHeight w:val="300"/>
        </w:trPr>
        <w:tc>
          <w:tcPr>
            <w:tcW w:w="6733" w:type="dxa"/>
            <w:shd w:val="clear" w:color="auto" w:fill="auto"/>
            <w:noWrap/>
            <w:hideMark/>
          </w:tcPr>
          <w:p w:rsidR="00A4284B" w:rsidRPr="00834708" w:rsidRDefault="006D7310" w:rsidP="00834708">
            <w:pPr>
              <w:spacing w:line="240" w:lineRule="auto"/>
              <w:ind w:firstLineChars="100" w:firstLine="180"/>
              <w:jc w:val="left"/>
              <w:rPr>
                <w:rFonts w:ascii="Calibri" w:hAnsi="Calibri"/>
                <w:sz w:val="18"/>
                <w:szCs w:val="18"/>
                <w:lang w:eastAsia="sl-SI"/>
              </w:rPr>
            </w:pPr>
            <w:r w:rsidRPr="00F31068">
              <w:rPr>
                <w:rFonts w:ascii="Calibri" w:hAnsi="Calibri"/>
                <w:sz w:val="18"/>
                <w:szCs w:val="18"/>
              </w:rPr>
              <w:t>RTV SLOVENIJA</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-2.942.532 </w:t>
            </w:r>
          </w:p>
        </w:tc>
        <w:tc>
          <w:tcPr>
            <w:tcW w:w="1276" w:type="dxa"/>
            <w:shd w:val="clear" w:color="auto" w:fill="FFFFFF"/>
            <w:noWrap/>
            <w:vAlign w:val="bottom"/>
            <w:hideMark/>
          </w:tcPr>
          <w:p w:rsidR="00A4284B" w:rsidRPr="00834708" w:rsidRDefault="00A4284B" w:rsidP="00871D79">
            <w:pPr>
              <w:spacing w:line="240" w:lineRule="auto"/>
              <w:jc w:val="right"/>
              <w:rPr>
                <w:rFonts w:ascii="Calibri" w:hAnsi="Calibri"/>
                <w:sz w:val="18"/>
                <w:szCs w:val="18"/>
                <w:lang w:eastAsia="sl-SI"/>
              </w:rPr>
            </w:pPr>
            <w:r w:rsidRPr="00972554">
              <w:rPr>
                <w:rFonts w:ascii="Calibri" w:hAnsi="Calibri"/>
                <w:sz w:val="18"/>
                <w:szCs w:val="18"/>
              </w:rPr>
              <w:t>-16,48</w:t>
            </w:r>
          </w:p>
        </w:tc>
      </w:tr>
      <w:tr w:rsidR="00A4284B" w:rsidRPr="00972554" w:rsidTr="00972554">
        <w:trPr>
          <w:trHeight w:val="300"/>
        </w:trPr>
        <w:tc>
          <w:tcPr>
            <w:tcW w:w="6733" w:type="dxa"/>
            <w:shd w:val="clear" w:color="auto" w:fill="auto"/>
            <w:noWrap/>
            <w:hideMark/>
          </w:tcPr>
          <w:p w:rsidR="00A4284B" w:rsidRPr="00834708" w:rsidRDefault="006D7310" w:rsidP="00834708">
            <w:pPr>
              <w:spacing w:line="240" w:lineRule="auto"/>
              <w:ind w:firstLineChars="100" w:firstLine="180"/>
              <w:jc w:val="left"/>
              <w:rPr>
                <w:rFonts w:ascii="Calibri" w:hAnsi="Calibri"/>
                <w:sz w:val="18"/>
                <w:szCs w:val="18"/>
                <w:lang w:eastAsia="sl-SI"/>
              </w:rPr>
            </w:pPr>
            <w:r w:rsidRPr="00F31068">
              <w:rPr>
                <w:rFonts w:ascii="Calibri" w:hAnsi="Calibri"/>
                <w:sz w:val="18"/>
                <w:szCs w:val="18"/>
              </w:rPr>
              <w:t>MINISTRSTVO ZA KMETIJSTVO, GOZDARSTVO IN PREHRANO, AGENCIJA RS ZA KMETIJSKE TRGE IN RAZVOJ PODEŽELJA</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1.927.101 </w:t>
            </w:r>
          </w:p>
        </w:tc>
        <w:tc>
          <w:tcPr>
            <w:tcW w:w="1276" w:type="dxa"/>
            <w:shd w:val="clear" w:color="auto" w:fill="FFFFFF"/>
            <w:noWrap/>
            <w:vAlign w:val="bottom"/>
            <w:hideMark/>
          </w:tcPr>
          <w:p w:rsidR="00A4284B" w:rsidRPr="00834708" w:rsidRDefault="00A4284B" w:rsidP="00871D79">
            <w:pPr>
              <w:spacing w:line="240" w:lineRule="auto"/>
              <w:jc w:val="right"/>
              <w:rPr>
                <w:rFonts w:ascii="Calibri" w:hAnsi="Calibri"/>
                <w:sz w:val="18"/>
                <w:szCs w:val="18"/>
                <w:lang w:eastAsia="sl-SI"/>
              </w:rPr>
            </w:pPr>
            <w:r w:rsidRPr="00972554">
              <w:rPr>
                <w:rFonts w:ascii="Calibri" w:hAnsi="Calibri"/>
                <w:sz w:val="18"/>
                <w:szCs w:val="18"/>
              </w:rPr>
              <w:t>10,79</w:t>
            </w: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NACIONALNI INŠTITUT ZA JAVNO ZDRAVJE</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1.656.248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9,27</w:t>
            </w:r>
          </w:p>
        </w:tc>
      </w:tr>
      <w:tr w:rsidR="00A4284B" w:rsidRPr="00972554" w:rsidTr="00972554">
        <w:trPr>
          <w:trHeight w:val="300"/>
        </w:trPr>
        <w:tc>
          <w:tcPr>
            <w:tcW w:w="6733" w:type="dxa"/>
            <w:shd w:val="clear" w:color="auto" w:fill="auto"/>
            <w:noWrap/>
            <w:hideMark/>
          </w:tcPr>
          <w:p w:rsidR="00A4284B" w:rsidRPr="00834708" w:rsidRDefault="00A4284B" w:rsidP="00C611DB">
            <w:pPr>
              <w:spacing w:line="240" w:lineRule="auto"/>
              <w:jc w:val="left"/>
              <w:rPr>
                <w:rFonts w:ascii="Calibri" w:hAnsi="Calibri"/>
                <w:b/>
                <w:bCs/>
                <w:sz w:val="18"/>
                <w:szCs w:val="18"/>
                <w:lang w:eastAsia="sl-SI"/>
              </w:rPr>
            </w:pPr>
            <w:r w:rsidRPr="00972554">
              <w:rPr>
                <w:rFonts w:ascii="Calibri" w:hAnsi="Calibri"/>
                <w:b/>
                <w:sz w:val="18"/>
                <w:szCs w:val="18"/>
              </w:rPr>
              <w:t xml:space="preserve">903-Sedanja vrednost nepremičnin </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b/>
                <w:bCs/>
                <w:sz w:val="18"/>
                <w:szCs w:val="18"/>
                <w:lang w:eastAsia="sl-SI"/>
              </w:rPr>
            </w:pPr>
            <w:r w:rsidRPr="00972554">
              <w:rPr>
                <w:rFonts w:ascii="Calibri" w:hAnsi="Calibri"/>
                <w:b/>
                <w:sz w:val="18"/>
                <w:szCs w:val="18"/>
              </w:rPr>
              <w:t xml:space="preserve">339.140.467 </w:t>
            </w:r>
          </w:p>
        </w:tc>
        <w:tc>
          <w:tcPr>
            <w:tcW w:w="1276" w:type="dxa"/>
            <w:shd w:val="clear" w:color="auto" w:fill="FFFFFF"/>
            <w:noWrap/>
            <w:vAlign w:val="bottom"/>
            <w:hideMark/>
          </w:tcPr>
          <w:p w:rsidR="00A4284B" w:rsidRPr="00871D79" w:rsidRDefault="00A4284B" w:rsidP="00871D79">
            <w:pPr>
              <w:spacing w:line="240" w:lineRule="auto"/>
              <w:jc w:val="right"/>
              <w:rPr>
                <w:rFonts w:ascii="Calibri" w:hAnsi="Calibri"/>
                <w:b/>
                <w:bCs/>
                <w:sz w:val="18"/>
                <w:szCs w:val="18"/>
                <w:lang w:eastAsia="sl-SI"/>
              </w:rPr>
            </w:pP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KOPER</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482.723.573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142,34</w:t>
            </w:r>
          </w:p>
        </w:tc>
      </w:tr>
      <w:tr w:rsidR="00A4284B" w:rsidRPr="00972554" w:rsidTr="00972554">
        <w:trPr>
          <w:trHeight w:val="300"/>
        </w:trPr>
        <w:tc>
          <w:tcPr>
            <w:tcW w:w="6733" w:type="dxa"/>
            <w:shd w:val="clear" w:color="auto" w:fill="auto"/>
            <w:noWrap/>
            <w:hideMark/>
          </w:tcPr>
          <w:p w:rsidR="00A4284B" w:rsidRPr="00F83FBB"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MINISTRSTVO ZA INFRASTRUKTURO, DIREKCIJA </w:t>
            </w:r>
            <w:r w:rsidR="006D7310" w:rsidRPr="00F31068">
              <w:rPr>
                <w:rFonts w:ascii="Calibri" w:hAnsi="Calibri"/>
                <w:sz w:val="18"/>
                <w:szCs w:val="18"/>
              </w:rPr>
              <w:t>RS</w:t>
            </w:r>
            <w:r w:rsidRPr="00972554">
              <w:rPr>
                <w:rFonts w:ascii="Calibri" w:hAnsi="Calibri"/>
                <w:sz w:val="18"/>
                <w:szCs w:val="18"/>
              </w:rPr>
              <w:t xml:space="preserve"> ZA INFRASTRUKTURO</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-326.567.717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-96,29</w:t>
            </w: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OBČINA IZOLA</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-96.862.050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-28,56</w:t>
            </w: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LJUBLJANA</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58.123.296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17,14</w:t>
            </w:r>
          </w:p>
        </w:tc>
      </w:tr>
      <w:tr w:rsidR="00A4284B" w:rsidRPr="00972554" w:rsidTr="00972554">
        <w:trPr>
          <w:trHeight w:val="300"/>
        </w:trPr>
        <w:tc>
          <w:tcPr>
            <w:tcW w:w="6733" w:type="dxa"/>
            <w:shd w:val="clear" w:color="auto" w:fill="auto"/>
            <w:noWrap/>
            <w:hideMark/>
          </w:tcPr>
          <w:p w:rsidR="00A4284B" w:rsidRPr="00834708" w:rsidRDefault="006D7310" w:rsidP="00834708">
            <w:pPr>
              <w:spacing w:line="240" w:lineRule="auto"/>
              <w:ind w:firstLineChars="100" w:firstLine="180"/>
              <w:jc w:val="left"/>
              <w:rPr>
                <w:rFonts w:ascii="Calibri" w:hAnsi="Calibri"/>
                <w:sz w:val="18"/>
                <w:szCs w:val="18"/>
                <w:lang w:eastAsia="sl-SI"/>
              </w:rPr>
            </w:pPr>
            <w:r w:rsidRPr="00F31068">
              <w:rPr>
                <w:rFonts w:ascii="Calibri" w:hAnsi="Calibri"/>
                <w:sz w:val="18"/>
                <w:szCs w:val="18"/>
              </w:rPr>
              <w:t>KOBILARNA LIPICA</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-16.295.754 </w:t>
            </w:r>
          </w:p>
        </w:tc>
        <w:tc>
          <w:tcPr>
            <w:tcW w:w="1276" w:type="dxa"/>
            <w:shd w:val="clear" w:color="auto" w:fill="FFFFFF"/>
            <w:noWrap/>
            <w:vAlign w:val="bottom"/>
            <w:hideMark/>
          </w:tcPr>
          <w:p w:rsidR="00A4284B" w:rsidRPr="00834708" w:rsidRDefault="00A4284B" w:rsidP="00871D79">
            <w:pPr>
              <w:spacing w:line="240" w:lineRule="auto"/>
              <w:jc w:val="right"/>
              <w:rPr>
                <w:rFonts w:ascii="Calibri" w:hAnsi="Calibri"/>
                <w:sz w:val="18"/>
                <w:szCs w:val="18"/>
                <w:lang w:eastAsia="sl-SI"/>
              </w:rPr>
            </w:pPr>
            <w:r w:rsidRPr="00972554">
              <w:rPr>
                <w:rFonts w:ascii="Calibri" w:hAnsi="Calibri"/>
                <w:sz w:val="18"/>
                <w:szCs w:val="18"/>
              </w:rPr>
              <w:t>-4,81</w:t>
            </w:r>
          </w:p>
        </w:tc>
      </w:tr>
      <w:tr w:rsidR="00A4284B" w:rsidRPr="00972554" w:rsidTr="00972554">
        <w:trPr>
          <w:trHeight w:val="300"/>
        </w:trPr>
        <w:tc>
          <w:tcPr>
            <w:tcW w:w="6733" w:type="dxa"/>
            <w:shd w:val="clear" w:color="auto" w:fill="auto"/>
            <w:noWrap/>
            <w:hideMark/>
          </w:tcPr>
          <w:p w:rsidR="00A4284B" w:rsidRPr="00834708" w:rsidRDefault="00A4284B" w:rsidP="00C611DB">
            <w:pPr>
              <w:spacing w:line="240" w:lineRule="auto"/>
              <w:jc w:val="left"/>
              <w:rPr>
                <w:rFonts w:ascii="Calibri" w:hAnsi="Calibri"/>
                <w:b/>
                <w:bCs/>
                <w:sz w:val="18"/>
                <w:szCs w:val="18"/>
                <w:lang w:eastAsia="sl-SI"/>
              </w:rPr>
            </w:pPr>
            <w:r w:rsidRPr="00972554">
              <w:rPr>
                <w:rFonts w:ascii="Calibri" w:hAnsi="Calibri"/>
                <w:b/>
                <w:sz w:val="18"/>
                <w:szCs w:val="18"/>
              </w:rPr>
              <w:t xml:space="preserve">904-Nabavna vrednost nepremičnin </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b/>
                <w:bCs/>
                <w:sz w:val="18"/>
                <w:szCs w:val="18"/>
                <w:lang w:eastAsia="sl-SI"/>
              </w:rPr>
            </w:pPr>
            <w:r w:rsidRPr="00972554">
              <w:rPr>
                <w:rFonts w:ascii="Calibri" w:hAnsi="Calibri"/>
                <w:b/>
                <w:sz w:val="18"/>
                <w:szCs w:val="18"/>
              </w:rPr>
              <w:t xml:space="preserve">932.739.999 </w:t>
            </w:r>
          </w:p>
        </w:tc>
        <w:tc>
          <w:tcPr>
            <w:tcW w:w="1276" w:type="dxa"/>
            <w:shd w:val="clear" w:color="auto" w:fill="FFFFFF"/>
            <w:noWrap/>
            <w:vAlign w:val="bottom"/>
            <w:hideMark/>
          </w:tcPr>
          <w:p w:rsidR="00A4284B" w:rsidRPr="00871D79" w:rsidRDefault="00A4284B" w:rsidP="00871D79">
            <w:pPr>
              <w:spacing w:line="240" w:lineRule="auto"/>
              <w:jc w:val="right"/>
              <w:rPr>
                <w:rFonts w:ascii="Calibri" w:hAnsi="Calibri"/>
                <w:b/>
                <w:bCs/>
                <w:sz w:val="18"/>
                <w:szCs w:val="18"/>
                <w:lang w:eastAsia="sl-SI"/>
              </w:rPr>
            </w:pPr>
          </w:p>
        </w:tc>
      </w:tr>
      <w:tr w:rsidR="00A4284B" w:rsidRPr="00972554" w:rsidTr="00972554">
        <w:trPr>
          <w:trHeight w:val="300"/>
        </w:trPr>
        <w:tc>
          <w:tcPr>
            <w:tcW w:w="6733" w:type="dxa"/>
            <w:shd w:val="clear" w:color="auto" w:fill="auto"/>
            <w:noWrap/>
            <w:hideMark/>
          </w:tcPr>
          <w:p w:rsidR="00A4284B" w:rsidRPr="00871D79"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KOPER</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487.196.389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52,23</w:t>
            </w:r>
          </w:p>
        </w:tc>
      </w:tr>
      <w:tr w:rsidR="00A4284B" w:rsidRPr="00972554" w:rsidTr="00972554">
        <w:trPr>
          <w:trHeight w:val="300"/>
        </w:trPr>
        <w:tc>
          <w:tcPr>
            <w:tcW w:w="6733" w:type="dxa"/>
            <w:shd w:val="clear" w:color="auto" w:fill="auto"/>
            <w:noWrap/>
            <w:hideMark/>
          </w:tcPr>
          <w:p w:rsidR="00A4284B" w:rsidRPr="00871D79"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MINISTRSTVO ZA INFRASTRUKTURO, DIREKCIJA </w:t>
            </w:r>
            <w:r w:rsidR="006D7310" w:rsidRPr="00F31068">
              <w:rPr>
                <w:rFonts w:ascii="Calibri" w:hAnsi="Calibri"/>
                <w:sz w:val="18"/>
                <w:szCs w:val="18"/>
              </w:rPr>
              <w:t>RS</w:t>
            </w:r>
            <w:r w:rsidRPr="00972554">
              <w:rPr>
                <w:rFonts w:ascii="Calibri" w:hAnsi="Calibri"/>
                <w:sz w:val="18"/>
                <w:szCs w:val="18"/>
              </w:rPr>
              <w:t xml:space="preserve"> ZA INFRASTRUKTURO</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-224.044.383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-24,02</w:t>
            </w: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OBČINA IZOLA</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-96.390.984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-10,33</w:t>
            </w: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LJUBLJANA</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87.022.463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9,33</w:t>
            </w:r>
          </w:p>
        </w:tc>
      </w:tr>
      <w:tr w:rsidR="00A4284B" w:rsidRPr="00972554" w:rsidTr="00972554">
        <w:trPr>
          <w:trHeight w:val="300"/>
        </w:trPr>
        <w:tc>
          <w:tcPr>
            <w:tcW w:w="6733" w:type="dxa"/>
            <w:shd w:val="clear" w:color="auto" w:fill="auto"/>
            <w:noWrap/>
            <w:hideMark/>
          </w:tcPr>
          <w:p w:rsidR="00A4284B" w:rsidRPr="00871D79"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lastRenderedPageBreak/>
              <w:t>MINISTRSTVO ZA GOSPODARSKI RAZVOJ IN TEHNOLOGIJO</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29.703.427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3,18</w:t>
            </w:r>
          </w:p>
        </w:tc>
      </w:tr>
      <w:tr w:rsidR="00A4284B" w:rsidRPr="00972554" w:rsidTr="00972554">
        <w:trPr>
          <w:trHeight w:val="300"/>
        </w:trPr>
        <w:tc>
          <w:tcPr>
            <w:tcW w:w="6733" w:type="dxa"/>
            <w:shd w:val="clear" w:color="auto" w:fill="auto"/>
            <w:noWrap/>
            <w:hideMark/>
          </w:tcPr>
          <w:p w:rsidR="00A4284B" w:rsidRPr="00834708" w:rsidRDefault="00A4284B" w:rsidP="00C611DB">
            <w:pPr>
              <w:spacing w:line="240" w:lineRule="auto"/>
              <w:jc w:val="left"/>
              <w:rPr>
                <w:rFonts w:ascii="Calibri" w:hAnsi="Calibri"/>
                <w:b/>
                <w:bCs/>
                <w:sz w:val="18"/>
                <w:szCs w:val="18"/>
                <w:lang w:eastAsia="sl-SI"/>
              </w:rPr>
            </w:pPr>
            <w:r w:rsidRPr="00972554">
              <w:rPr>
                <w:rFonts w:ascii="Calibri" w:hAnsi="Calibri"/>
                <w:b/>
                <w:sz w:val="18"/>
                <w:szCs w:val="18"/>
              </w:rPr>
              <w:t xml:space="preserve">905-Popravek vrednosti nepremičnin </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b/>
                <w:bCs/>
                <w:sz w:val="18"/>
                <w:szCs w:val="18"/>
                <w:lang w:eastAsia="sl-SI"/>
              </w:rPr>
            </w:pPr>
            <w:r w:rsidRPr="00972554">
              <w:rPr>
                <w:rFonts w:ascii="Calibri" w:hAnsi="Calibri"/>
                <w:b/>
                <w:sz w:val="18"/>
                <w:szCs w:val="18"/>
              </w:rPr>
              <w:t xml:space="preserve">593.599.532 </w:t>
            </w:r>
          </w:p>
        </w:tc>
        <w:tc>
          <w:tcPr>
            <w:tcW w:w="1276" w:type="dxa"/>
            <w:shd w:val="clear" w:color="auto" w:fill="FFFFFF"/>
            <w:noWrap/>
            <w:vAlign w:val="bottom"/>
            <w:hideMark/>
          </w:tcPr>
          <w:p w:rsidR="00A4284B" w:rsidRPr="00871D79" w:rsidRDefault="00A4284B" w:rsidP="00871D79">
            <w:pPr>
              <w:spacing w:line="240" w:lineRule="auto"/>
              <w:jc w:val="right"/>
              <w:rPr>
                <w:rFonts w:ascii="Calibri" w:hAnsi="Calibri"/>
                <w:b/>
                <w:bCs/>
                <w:sz w:val="18"/>
                <w:szCs w:val="18"/>
                <w:lang w:eastAsia="sl-SI"/>
              </w:rPr>
            </w:pPr>
          </w:p>
        </w:tc>
      </w:tr>
      <w:tr w:rsidR="00A4284B" w:rsidRPr="00972554" w:rsidTr="00972554">
        <w:trPr>
          <w:trHeight w:val="300"/>
        </w:trPr>
        <w:tc>
          <w:tcPr>
            <w:tcW w:w="6733" w:type="dxa"/>
            <w:shd w:val="clear" w:color="auto" w:fill="auto"/>
            <w:noWrap/>
            <w:hideMark/>
          </w:tcPr>
          <w:p w:rsidR="00A4284B" w:rsidRPr="00871D79"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MINISTRSTVO ZA INFRASTRUKTURO, DIREKCIJA </w:t>
            </w:r>
            <w:r w:rsidR="006D7310" w:rsidRPr="00F31068">
              <w:rPr>
                <w:rFonts w:ascii="Calibri" w:hAnsi="Calibri"/>
                <w:sz w:val="18"/>
                <w:szCs w:val="18"/>
              </w:rPr>
              <w:t>RS</w:t>
            </w:r>
            <w:r w:rsidRPr="00972554">
              <w:rPr>
                <w:rFonts w:ascii="Calibri" w:hAnsi="Calibri"/>
                <w:sz w:val="18"/>
                <w:szCs w:val="18"/>
              </w:rPr>
              <w:t xml:space="preserve"> ZA INFRASTRUKTURO</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102.523.334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17,27</w:t>
            </w: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LJUBLJANA</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28.899.167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4,87</w:t>
            </w:r>
          </w:p>
        </w:tc>
      </w:tr>
      <w:tr w:rsidR="00A4284B" w:rsidRPr="00972554" w:rsidTr="00972554">
        <w:trPr>
          <w:trHeight w:val="300"/>
        </w:trPr>
        <w:tc>
          <w:tcPr>
            <w:tcW w:w="6733" w:type="dxa"/>
            <w:shd w:val="clear" w:color="auto" w:fill="auto"/>
            <w:noWrap/>
            <w:hideMark/>
          </w:tcPr>
          <w:p w:rsidR="00A4284B" w:rsidRPr="00871D79"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MINISTRSTVO ZA OKOLJE IN PROSTOR DIREKCIJA </w:t>
            </w:r>
            <w:r w:rsidR="006D7310" w:rsidRPr="00F31068">
              <w:rPr>
                <w:rFonts w:ascii="Calibri" w:hAnsi="Calibri"/>
                <w:sz w:val="18"/>
                <w:szCs w:val="18"/>
              </w:rPr>
              <w:t>RS</w:t>
            </w:r>
            <w:r w:rsidRPr="00972554">
              <w:rPr>
                <w:rFonts w:ascii="Calibri" w:hAnsi="Calibri"/>
                <w:sz w:val="18"/>
                <w:szCs w:val="18"/>
              </w:rPr>
              <w:t xml:space="preserve"> ZA VODE</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20.798.453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3,50</w:t>
            </w: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JAVNO UPRAVO</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18.810.628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3,17</w:t>
            </w: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Javni zavod ŠPORT LJUBLJANA</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16.003.453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2,70</w:t>
            </w:r>
          </w:p>
        </w:tc>
      </w:tr>
      <w:tr w:rsidR="00A4284B" w:rsidRPr="00972554" w:rsidTr="00972554">
        <w:trPr>
          <w:trHeight w:val="300"/>
        </w:trPr>
        <w:tc>
          <w:tcPr>
            <w:tcW w:w="6733" w:type="dxa"/>
            <w:shd w:val="clear" w:color="auto" w:fill="auto"/>
            <w:noWrap/>
            <w:hideMark/>
          </w:tcPr>
          <w:p w:rsidR="00A4284B" w:rsidRPr="00871D79" w:rsidRDefault="00A4284B" w:rsidP="00C611DB">
            <w:pPr>
              <w:spacing w:line="240" w:lineRule="auto"/>
              <w:jc w:val="left"/>
              <w:rPr>
                <w:rFonts w:ascii="Calibri" w:hAnsi="Calibri"/>
                <w:b/>
                <w:bCs/>
                <w:sz w:val="18"/>
                <w:szCs w:val="18"/>
                <w:lang w:eastAsia="sl-SI"/>
              </w:rPr>
            </w:pPr>
            <w:r w:rsidRPr="00972554">
              <w:rPr>
                <w:rFonts w:ascii="Calibri" w:hAnsi="Calibri"/>
                <w:b/>
                <w:sz w:val="18"/>
                <w:szCs w:val="18"/>
              </w:rPr>
              <w:t xml:space="preserve">906-Sedanja vrednost opreme in drugih opredmetenih osnovnih sredstev </w:t>
            </w:r>
          </w:p>
        </w:tc>
        <w:tc>
          <w:tcPr>
            <w:tcW w:w="1275" w:type="dxa"/>
            <w:shd w:val="clear" w:color="auto" w:fill="auto"/>
            <w:noWrap/>
            <w:vAlign w:val="bottom"/>
            <w:hideMark/>
          </w:tcPr>
          <w:p w:rsidR="00A4284B" w:rsidRPr="00871D79" w:rsidRDefault="00A4284B" w:rsidP="00834708">
            <w:pPr>
              <w:spacing w:line="240" w:lineRule="auto"/>
              <w:jc w:val="right"/>
              <w:rPr>
                <w:rFonts w:ascii="Calibri" w:hAnsi="Calibri"/>
                <w:b/>
                <w:bCs/>
                <w:sz w:val="18"/>
                <w:szCs w:val="18"/>
                <w:lang w:eastAsia="sl-SI"/>
              </w:rPr>
            </w:pPr>
            <w:r w:rsidRPr="00972554">
              <w:rPr>
                <w:rFonts w:ascii="Calibri" w:hAnsi="Calibri"/>
                <w:b/>
                <w:sz w:val="18"/>
                <w:szCs w:val="18"/>
              </w:rPr>
              <w:t xml:space="preserve">453.690.061 </w:t>
            </w:r>
          </w:p>
        </w:tc>
        <w:tc>
          <w:tcPr>
            <w:tcW w:w="1276" w:type="dxa"/>
            <w:shd w:val="clear" w:color="auto" w:fill="FFFFFF"/>
            <w:noWrap/>
            <w:vAlign w:val="bottom"/>
            <w:hideMark/>
          </w:tcPr>
          <w:p w:rsidR="00A4284B" w:rsidRPr="00F83FBB" w:rsidRDefault="00A4284B" w:rsidP="00871D79">
            <w:pPr>
              <w:spacing w:line="240" w:lineRule="auto"/>
              <w:jc w:val="right"/>
              <w:rPr>
                <w:rFonts w:ascii="Calibri" w:hAnsi="Calibri"/>
                <w:b/>
                <w:bCs/>
                <w:sz w:val="18"/>
                <w:szCs w:val="18"/>
                <w:lang w:eastAsia="sl-SI"/>
              </w:rPr>
            </w:pPr>
          </w:p>
        </w:tc>
      </w:tr>
      <w:tr w:rsidR="00A4284B" w:rsidRPr="00972554" w:rsidTr="00972554">
        <w:trPr>
          <w:trHeight w:val="300"/>
        </w:trPr>
        <w:tc>
          <w:tcPr>
            <w:tcW w:w="6733" w:type="dxa"/>
            <w:shd w:val="clear" w:color="auto" w:fill="auto"/>
            <w:noWrap/>
            <w:hideMark/>
          </w:tcPr>
          <w:p w:rsidR="00A4284B" w:rsidRPr="00F83FBB"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MINISTRSTVO ZA INFRASTRUKTURO, DIREKCIJA </w:t>
            </w:r>
            <w:r w:rsidR="006D7310" w:rsidRPr="00F31068">
              <w:rPr>
                <w:rFonts w:ascii="Calibri" w:hAnsi="Calibri"/>
                <w:sz w:val="18"/>
                <w:szCs w:val="18"/>
              </w:rPr>
              <w:t>RS</w:t>
            </w:r>
            <w:r w:rsidRPr="00972554">
              <w:rPr>
                <w:rFonts w:ascii="Calibri" w:hAnsi="Calibri"/>
                <w:sz w:val="18"/>
                <w:szCs w:val="18"/>
              </w:rPr>
              <w:t xml:space="preserve"> ZA INFRASTRUKTURO</w:t>
            </w:r>
          </w:p>
        </w:tc>
        <w:tc>
          <w:tcPr>
            <w:tcW w:w="1275" w:type="dxa"/>
            <w:shd w:val="clear" w:color="auto" w:fill="auto"/>
            <w:noWrap/>
            <w:vAlign w:val="bottom"/>
            <w:hideMark/>
          </w:tcPr>
          <w:p w:rsidR="00A4284B" w:rsidRPr="00871D79"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516.299.019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113,80</w:t>
            </w:r>
          </w:p>
        </w:tc>
      </w:tr>
      <w:tr w:rsidR="00A4284B" w:rsidRPr="00972554" w:rsidTr="00972554">
        <w:trPr>
          <w:trHeight w:val="300"/>
        </w:trPr>
        <w:tc>
          <w:tcPr>
            <w:tcW w:w="6733" w:type="dxa"/>
            <w:shd w:val="clear" w:color="auto" w:fill="auto"/>
            <w:noWrap/>
            <w:hideMark/>
          </w:tcPr>
          <w:p w:rsidR="00A4284B" w:rsidRPr="00871D79"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LJUBLJANA</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-30.394.064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-6,70</w:t>
            </w:r>
          </w:p>
        </w:tc>
      </w:tr>
      <w:tr w:rsidR="00A4284B" w:rsidRPr="00972554" w:rsidTr="00972554">
        <w:trPr>
          <w:trHeight w:val="300"/>
        </w:trPr>
        <w:tc>
          <w:tcPr>
            <w:tcW w:w="6733" w:type="dxa"/>
            <w:shd w:val="clear" w:color="auto" w:fill="auto"/>
            <w:noWrap/>
            <w:hideMark/>
          </w:tcPr>
          <w:p w:rsidR="00A4284B" w:rsidRPr="00871D79"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MINISTRSTVO ZA OBRAMBO </w:t>
            </w:r>
            <w:r w:rsidR="006D7310" w:rsidRPr="00F31068">
              <w:rPr>
                <w:rFonts w:ascii="Calibri" w:hAnsi="Calibri"/>
                <w:sz w:val="18"/>
                <w:szCs w:val="18"/>
              </w:rPr>
              <w:t>RS</w:t>
            </w:r>
            <w:r w:rsidRPr="00972554">
              <w:rPr>
                <w:rFonts w:ascii="Calibri" w:hAnsi="Calibri"/>
                <w:sz w:val="18"/>
                <w:szCs w:val="18"/>
              </w:rPr>
              <w:t>, GENERALŠTAB SLOVENSKE VOJSKE</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-22.286.648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-4,91</w:t>
            </w: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GIMNAZIJA BREŽICE</w:t>
            </w:r>
          </w:p>
        </w:tc>
        <w:tc>
          <w:tcPr>
            <w:tcW w:w="1275" w:type="dxa"/>
            <w:shd w:val="clear" w:color="auto" w:fill="auto"/>
            <w:noWrap/>
            <w:vAlign w:val="bottom"/>
            <w:hideMark/>
          </w:tcPr>
          <w:p w:rsidR="00A4284B" w:rsidRPr="00871D79"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-5.963.542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-1,31</w:t>
            </w: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UNIVERZITETNI KLINIČNI CENTER LJUBLJANA</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4.511.383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0,99</w:t>
            </w:r>
          </w:p>
        </w:tc>
      </w:tr>
      <w:tr w:rsidR="00A4284B" w:rsidRPr="00972554" w:rsidTr="00972554">
        <w:trPr>
          <w:trHeight w:val="300"/>
        </w:trPr>
        <w:tc>
          <w:tcPr>
            <w:tcW w:w="6733" w:type="dxa"/>
            <w:shd w:val="clear" w:color="auto" w:fill="auto"/>
            <w:noWrap/>
            <w:hideMark/>
          </w:tcPr>
          <w:p w:rsidR="00A4284B" w:rsidRPr="00F83FBB" w:rsidRDefault="00A4284B" w:rsidP="00C611DB">
            <w:pPr>
              <w:spacing w:line="240" w:lineRule="auto"/>
              <w:jc w:val="left"/>
              <w:rPr>
                <w:rFonts w:ascii="Calibri" w:hAnsi="Calibri"/>
                <w:b/>
                <w:bCs/>
                <w:sz w:val="18"/>
                <w:szCs w:val="18"/>
                <w:lang w:eastAsia="sl-SI"/>
              </w:rPr>
            </w:pPr>
            <w:r w:rsidRPr="00972554">
              <w:rPr>
                <w:rFonts w:ascii="Calibri" w:hAnsi="Calibri"/>
                <w:b/>
                <w:sz w:val="18"/>
                <w:szCs w:val="18"/>
              </w:rPr>
              <w:t xml:space="preserve">907-Nabavna vrednost opreme in drugih opredmetenih osnovnih sredstev </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b/>
                <w:bCs/>
                <w:sz w:val="18"/>
                <w:szCs w:val="18"/>
                <w:lang w:eastAsia="sl-SI"/>
              </w:rPr>
            </w:pPr>
            <w:r w:rsidRPr="00972554">
              <w:rPr>
                <w:rFonts w:ascii="Calibri" w:hAnsi="Calibri"/>
                <w:b/>
                <w:sz w:val="18"/>
                <w:szCs w:val="18"/>
              </w:rPr>
              <w:t xml:space="preserve">682.930.536 </w:t>
            </w:r>
          </w:p>
        </w:tc>
        <w:tc>
          <w:tcPr>
            <w:tcW w:w="1276" w:type="dxa"/>
            <w:shd w:val="clear" w:color="auto" w:fill="FFFFFF"/>
            <w:noWrap/>
            <w:vAlign w:val="bottom"/>
            <w:hideMark/>
          </w:tcPr>
          <w:p w:rsidR="00A4284B" w:rsidRPr="00871D79" w:rsidRDefault="00A4284B" w:rsidP="00871D79">
            <w:pPr>
              <w:spacing w:line="240" w:lineRule="auto"/>
              <w:jc w:val="right"/>
              <w:rPr>
                <w:rFonts w:ascii="Calibri" w:hAnsi="Calibri"/>
                <w:b/>
                <w:bCs/>
                <w:sz w:val="18"/>
                <w:szCs w:val="18"/>
                <w:lang w:eastAsia="sl-SI"/>
              </w:rPr>
            </w:pPr>
          </w:p>
        </w:tc>
      </w:tr>
      <w:tr w:rsidR="00A4284B" w:rsidRPr="00972554" w:rsidTr="00972554">
        <w:trPr>
          <w:trHeight w:val="300"/>
        </w:trPr>
        <w:tc>
          <w:tcPr>
            <w:tcW w:w="6733" w:type="dxa"/>
            <w:shd w:val="clear" w:color="auto" w:fill="auto"/>
            <w:noWrap/>
            <w:hideMark/>
          </w:tcPr>
          <w:p w:rsidR="00A4284B" w:rsidRPr="00871D79"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MINISTRSTVO ZA INFRASTRUKTURO, DIREKCIJA </w:t>
            </w:r>
            <w:r w:rsidR="006D7310" w:rsidRPr="00F31068">
              <w:rPr>
                <w:rFonts w:ascii="Calibri" w:hAnsi="Calibri"/>
                <w:sz w:val="18"/>
                <w:szCs w:val="18"/>
              </w:rPr>
              <w:t>RS</w:t>
            </w:r>
            <w:r w:rsidRPr="00972554">
              <w:rPr>
                <w:rFonts w:ascii="Calibri" w:hAnsi="Calibri"/>
                <w:sz w:val="18"/>
                <w:szCs w:val="18"/>
              </w:rPr>
              <w:t xml:space="preserve"> ZA INFRASTRUKTURO</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549.944.090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80,53</w:t>
            </w:r>
          </w:p>
        </w:tc>
      </w:tr>
      <w:tr w:rsidR="00A4284B" w:rsidRPr="00972554" w:rsidTr="00972554">
        <w:trPr>
          <w:trHeight w:val="300"/>
        </w:trPr>
        <w:tc>
          <w:tcPr>
            <w:tcW w:w="6733" w:type="dxa"/>
            <w:shd w:val="clear" w:color="auto" w:fill="auto"/>
            <w:noWrap/>
            <w:hideMark/>
          </w:tcPr>
          <w:p w:rsidR="00A4284B" w:rsidRPr="00871D79"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MINISTRSTVO ZA OBRAMBO </w:t>
            </w:r>
            <w:r w:rsidR="006D7310" w:rsidRPr="00F31068">
              <w:rPr>
                <w:rFonts w:ascii="Calibri" w:hAnsi="Calibri"/>
                <w:sz w:val="18"/>
                <w:szCs w:val="18"/>
              </w:rPr>
              <w:t>RS</w:t>
            </w:r>
            <w:r w:rsidRPr="00972554">
              <w:rPr>
                <w:rFonts w:ascii="Calibri" w:hAnsi="Calibri"/>
                <w:sz w:val="18"/>
                <w:szCs w:val="18"/>
              </w:rPr>
              <w:t>, GENERALŠTAB SLOVENSKE VOJSKE</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35.308.201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5,17</w:t>
            </w: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LJUBLJANA</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-34.022.208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-4,98</w:t>
            </w:r>
          </w:p>
        </w:tc>
      </w:tr>
      <w:tr w:rsidR="00A4284B" w:rsidRPr="00972554" w:rsidTr="00972554">
        <w:trPr>
          <w:trHeight w:val="300"/>
        </w:trPr>
        <w:tc>
          <w:tcPr>
            <w:tcW w:w="6733" w:type="dxa"/>
            <w:shd w:val="clear" w:color="auto" w:fill="auto"/>
            <w:noWrap/>
            <w:hideMark/>
          </w:tcPr>
          <w:p w:rsidR="00A4284B" w:rsidRPr="00871D79"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UNIVERZITETNI KLINIČNI CENTER LJUBLJANA</w:t>
            </w:r>
          </w:p>
        </w:tc>
        <w:tc>
          <w:tcPr>
            <w:tcW w:w="1275" w:type="dxa"/>
            <w:shd w:val="clear" w:color="auto" w:fill="auto"/>
            <w:noWrap/>
            <w:vAlign w:val="bottom"/>
            <w:hideMark/>
          </w:tcPr>
          <w:p w:rsidR="00A4284B" w:rsidRPr="00871D79"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10.966.364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1,61</w:t>
            </w:r>
          </w:p>
        </w:tc>
      </w:tr>
      <w:tr w:rsidR="00A4284B" w:rsidRPr="00972554" w:rsidTr="00972554">
        <w:trPr>
          <w:trHeight w:val="300"/>
        </w:trPr>
        <w:tc>
          <w:tcPr>
            <w:tcW w:w="6733" w:type="dxa"/>
            <w:shd w:val="clear" w:color="auto" w:fill="auto"/>
            <w:noWrap/>
            <w:hideMark/>
          </w:tcPr>
          <w:p w:rsidR="00A4284B" w:rsidRPr="00871D79"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JAVNO UPRAVO</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7.253.038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1,06</w:t>
            </w:r>
          </w:p>
        </w:tc>
      </w:tr>
      <w:tr w:rsidR="00A4284B" w:rsidRPr="00972554" w:rsidTr="00972554">
        <w:trPr>
          <w:trHeight w:val="300"/>
        </w:trPr>
        <w:tc>
          <w:tcPr>
            <w:tcW w:w="6733" w:type="dxa"/>
            <w:shd w:val="clear" w:color="auto" w:fill="auto"/>
            <w:noWrap/>
            <w:hideMark/>
          </w:tcPr>
          <w:p w:rsidR="00A4284B" w:rsidRPr="00871D79" w:rsidRDefault="00A4284B" w:rsidP="00C611DB">
            <w:pPr>
              <w:spacing w:line="240" w:lineRule="auto"/>
              <w:jc w:val="left"/>
              <w:rPr>
                <w:rFonts w:ascii="Calibri" w:hAnsi="Calibri"/>
                <w:b/>
                <w:bCs/>
                <w:sz w:val="18"/>
                <w:szCs w:val="18"/>
                <w:lang w:eastAsia="sl-SI"/>
              </w:rPr>
            </w:pPr>
            <w:r w:rsidRPr="00972554">
              <w:rPr>
                <w:rFonts w:ascii="Calibri" w:hAnsi="Calibri"/>
                <w:b/>
                <w:sz w:val="18"/>
                <w:szCs w:val="18"/>
              </w:rPr>
              <w:t xml:space="preserve">908-Popravek vrednosti opreme in drugih opredmetenih osnovnih sredstev </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b/>
                <w:bCs/>
                <w:sz w:val="18"/>
                <w:szCs w:val="18"/>
                <w:lang w:eastAsia="sl-SI"/>
              </w:rPr>
            </w:pPr>
            <w:r w:rsidRPr="00972554">
              <w:rPr>
                <w:rFonts w:ascii="Calibri" w:hAnsi="Calibri"/>
                <w:b/>
                <w:sz w:val="18"/>
                <w:szCs w:val="18"/>
              </w:rPr>
              <w:t xml:space="preserve">229.240.475 </w:t>
            </w:r>
          </w:p>
        </w:tc>
        <w:tc>
          <w:tcPr>
            <w:tcW w:w="1276" w:type="dxa"/>
            <w:shd w:val="clear" w:color="auto" w:fill="FFFFFF"/>
            <w:noWrap/>
            <w:vAlign w:val="bottom"/>
            <w:hideMark/>
          </w:tcPr>
          <w:p w:rsidR="00A4284B" w:rsidRPr="00871D79" w:rsidRDefault="00A4284B" w:rsidP="00871D79">
            <w:pPr>
              <w:spacing w:line="240" w:lineRule="auto"/>
              <w:jc w:val="right"/>
              <w:rPr>
                <w:rFonts w:ascii="Calibri" w:hAnsi="Calibri"/>
                <w:b/>
                <w:bCs/>
                <w:sz w:val="18"/>
                <w:szCs w:val="18"/>
                <w:lang w:eastAsia="sl-SI"/>
              </w:rPr>
            </w:pPr>
          </w:p>
        </w:tc>
      </w:tr>
      <w:tr w:rsidR="00A4284B" w:rsidRPr="00972554" w:rsidTr="00972554">
        <w:trPr>
          <w:trHeight w:val="300"/>
        </w:trPr>
        <w:tc>
          <w:tcPr>
            <w:tcW w:w="6733" w:type="dxa"/>
            <w:shd w:val="clear" w:color="auto" w:fill="auto"/>
            <w:noWrap/>
            <w:hideMark/>
          </w:tcPr>
          <w:p w:rsidR="00A4284B" w:rsidRPr="00871D79"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MINISTRSTVO ZA OBRAMBO </w:t>
            </w:r>
            <w:r w:rsidR="006D7310" w:rsidRPr="00F31068">
              <w:rPr>
                <w:rFonts w:ascii="Calibri" w:hAnsi="Calibri"/>
                <w:sz w:val="18"/>
                <w:szCs w:val="18"/>
              </w:rPr>
              <w:t>RS</w:t>
            </w:r>
            <w:r w:rsidRPr="00972554">
              <w:rPr>
                <w:rFonts w:ascii="Calibri" w:hAnsi="Calibri"/>
                <w:sz w:val="18"/>
                <w:szCs w:val="18"/>
              </w:rPr>
              <w:t>, GENERALŠTAB SLOVENSKE VOJSKE</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57.594.849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25,12</w:t>
            </w:r>
          </w:p>
        </w:tc>
      </w:tr>
      <w:tr w:rsidR="00A4284B" w:rsidRPr="00972554" w:rsidTr="00972554">
        <w:trPr>
          <w:trHeight w:val="300"/>
        </w:trPr>
        <w:tc>
          <w:tcPr>
            <w:tcW w:w="6733" w:type="dxa"/>
            <w:shd w:val="clear" w:color="auto" w:fill="auto"/>
            <w:noWrap/>
            <w:hideMark/>
          </w:tcPr>
          <w:p w:rsidR="00A4284B" w:rsidRPr="00871D79"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MINISTRSTVO ZA INFRASTRUKTURO, DIREKCIJA </w:t>
            </w:r>
            <w:r w:rsidR="006D7310" w:rsidRPr="00F31068">
              <w:rPr>
                <w:rFonts w:ascii="Calibri" w:hAnsi="Calibri"/>
                <w:sz w:val="18"/>
                <w:szCs w:val="18"/>
              </w:rPr>
              <w:t>RS</w:t>
            </w:r>
            <w:r w:rsidRPr="00972554">
              <w:rPr>
                <w:rFonts w:ascii="Calibri" w:hAnsi="Calibri"/>
                <w:sz w:val="18"/>
                <w:szCs w:val="18"/>
              </w:rPr>
              <w:t xml:space="preserve"> ZA INFRASTRUKTURO</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33.645.071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14,68</w:t>
            </w:r>
          </w:p>
        </w:tc>
      </w:tr>
      <w:tr w:rsidR="00A4284B" w:rsidRPr="00972554" w:rsidTr="00972554">
        <w:trPr>
          <w:trHeight w:val="300"/>
        </w:trPr>
        <w:tc>
          <w:tcPr>
            <w:tcW w:w="6733" w:type="dxa"/>
            <w:shd w:val="clear" w:color="auto" w:fill="auto"/>
            <w:noWrap/>
            <w:hideMark/>
          </w:tcPr>
          <w:p w:rsidR="00A4284B" w:rsidRPr="00871D79"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JAVNO UPRAVO</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8.694.305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3,79</w:t>
            </w: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MINISTRSTVO ZA OBRAMBO </w:t>
            </w:r>
            <w:r w:rsidR="006D7310" w:rsidRPr="00F31068">
              <w:rPr>
                <w:rFonts w:ascii="Calibri" w:hAnsi="Calibri"/>
                <w:sz w:val="18"/>
                <w:szCs w:val="18"/>
              </w:rPr>
              <w:t>RS</w:t>
            </w:r>
          </w:p>
        </w:tc>
        <w:tc>
          <w:tcPr>
            <w:tcW w:w="1275" w:type="dxa"/>
            <w:shd w:val="clear" w:color="auto" w:fill="auto"/>
            <w:noWrap/>
            <w:vAlign w:val="bottom"/>
            <w:hideMark/>
          </w:tcPr>
          <w:p w:rsidR="00A4284B" w:rsidRPr="00871D79"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6.655.651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2,90</w:t>
            </w:r>
          </w:p>
        </w:tc>
      </w:tr>
      <w:tr w:rsidR="00A4284B" w:rsidRPr="00972554" w:rsidTr="00972554">
        <w:trPr>
          <w:trHeight w:val="300"/>
        </w:trPr>
        <w:tc>
          <w:tcPr>
            <w:tcW w:w="6733" w:type="dxa"/>
            <w:shd w:val="clear" w:color="auto" w:fill="auto"/>
            <w:noWrap/>
            <w:hideMark/>
          </w:tcPr>
          <w:p w:rsidR="00A4284B" w:rsidRPr="00871D79"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UNIVERZITETNI KLINIČNI CENTER LJUBLJANA</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6.454.981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2,82</w:t>
            </w:r>
          </w:p>
        </w:tc>
      </w:tr>
      <w:tr w:rsidR="00A4284B" w:rsidRPr="00972554" w:rsidTr="00972554">
        <w:trPr>
          <w:trHeight w:val="300"/>
        </w:trPr>
        <w:tc>
          <w:tcPr>
            <w:tcW w:w="6733" w:type="dxa"/>
            <w:shd w:val="clear" w:color="auto" w:fill="auto"/>
            <w:noWrap/>
            <w:hideMark/>
          </w:tcPr>
          <w:p w:rsidR="00A4284B" w:rsidRPr="00834708" w:rsidRDefault="00A4284B" w:rsidP="00C611DB">
            <w:pPr>
              <w:spacing w:line="240" w:lineRule="auto"/>
              <w:jc w:val="left"/>
              <w:rPr>
                <w:rFonts w:ascii="Calibri" w:hAnsi="Calibri"/>
                <w:b/>
                <w:bCs/>
                <w:sz w:val="18"/>
                <w:szCs w:val="18"/>
                <w:lang w:eastAsia="sl-SI"/>
              </w:rPr>
            </w:pPr>
            <w:r w:rsidRPr="00972554">
              <w:rPr>
                <w:rFonts w:ascii="Calibri" w:hAnsi="Calibri"/>
                <w:b/>
                <w:sz w:val="18"/>
                <w:szCs w:val="18"/>
              </w:rPr>
              <w:t xml:space="preserve">909-Terjatve za sredstva dana v upravljanje </w:t>
            </w:r>
          </w:p>
        </w:tc>
        <w:tc>
          <w:tcPr>
            <w:tcW w:w="1275" w:type="dxa"/>
            <w:shd w:val="clear" w:color="auto" w:fill="auto"/>
            <w:noWrap/>
            <w:vAlign w:val="bottom"/>
            <w:hideMark/>
          </w:tcPr>
          <w:p w:rsidR="00A4284B" w:rsidRPr="00871D79" w:rsidRDefault="00A4284B" w:rsidP="00834708">
            <w:pPr>
              <w:spacing w:line="240" w:lineRule="auto"/>
              <w:jc w:val="right"/>
              <w:rPr>
                <w:rFonts w:ascii="Calibri" w:hAnsi="Calibri"/>
                <w:b/>
                <w:bCs/>
                <w:sz w:val="18"/>
                <w:szCs w:val="18"/>
                <w:lang w:eastAsia="sl-SI"/>
              </w:rPr>
            </w:pPr>
            <w:r w:rsidRPr="00972554">
              <w:rPr>
                <w:rFonts w:ascii="Calibri" w:hAnsi="Calibri"/>
                <w:b/>
                <w:sz w:val="18"/>
                <w:szCs w:val="18"/>
              </w:rPr>
              <w:t xml:space="preserve">-1.692.855 </w:t>
            </w:r>
          </w:p>
        </w:tc>
        <w:tc>
          <w:tcPr>
            <w:tcW w:w="1276" w:type="dxa"/>
            <w:shd w:val="clear" w:color="auto" w:fill="FFFFFF"/>
            <w:noWrap/>
            <w:vAlign w:val="bottom"/>
            <w:hideMark/>
          </w:tcPr>
          <w:p w:rsidR="00A4284B" w:rsidRPr="00F83FBB" w:rsidRDefault="00A4284B" w:rsidP="00871D79">
            <w:pPr>
              <w:spacing w:line="240" w:lineRule="auto"/>
              <w:jc w:val="right"/>
              <w:rPr>
                <w:rFonts w:ascii="Calibri" w:hAnsi="Calibri"/>
                <w:b/>
                <w:bCs/>
                <w:sz w:val="18"/>
                <w:szCs w:val="18"/>
                <w:lang w:eastAsia="sl-SI"/>
              </w:rPr>
            </w:pP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OBČINA METLIKA</w:t>
            </w:r>
          </w:p>
        </w:tc>
        <w:tc>
          <w:tcPr>
            <w:tcW w:w="1275" w:type="dxa"/>
            <w:shd w:val="clear" w:color="auto" w:fill="auto"/>
            <w:noWrap/>
            <w:vAlign w:val="bottom"/>
            <w:hideMark/>
          </w:tcPr>
          <w:p w:rsidR="00A4284B" w:rsidRPr="00871D79"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-682.275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40,30</w:t>
            </w:r>
          </w:p>
        </w:tc>
      </w:tr>
      <w:tr w:rsidR="00A4284B" w:rsidRPr="00972554" w:rsidTr="00972554">
        <w:trPr>
          <w:trHeight w:val="300"/>
        </w:trPr>
        <w:tc>
          <w:tcPr>
            <w:tcW w:w="6733" w:type="dxa"/>
            <w:shd w:val="clear" w:color="auto" w:fill="auto"/>
            <w:noWrap/>
            <w:hideMark/>
          </w:tcPr>
          <w:p w:rsidR="00A4284B" w:rsidRPr="00871D79"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OBČINA ŠENČUR</w:t>
            </w:r>
          </w:p>
        </w:tc>
        <w:tc>
          <w:tcPr>
            <w:tcW w:w="1275" w:type="dxa"/>
            <w:shd w:val="clear" w:color="auto" w:fill="auto"/>
            <w:noWrap/>
            <w:vAlign w:val="bottom"/>
            <w:hideMark/>
          </w:tcPr>
          <w:p w:rsidR="00A4284B" w:rsidRPr="00871D79"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-414.966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24,51</w:t>
            </w: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OBČINA MARKOVCI</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-402.131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23,75</w:t>
            </w: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OBČINA BLED</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-100.341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5,93</w:t>
            </w: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OBČINA LENDAVA - LENDVA KÖZSEG</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77.448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-4,57</w:t>
            </w:r>
          </w:p>
        </w:tc>
      </w:tr>
      <w:tr w:rsidR="00A4284B" w:rsidRPr="00972554" w:rsidTr="00972554">
        <w:trPr>
          <w:trHeight w:val="300"/>
        </w:trPr>
        <w:tc>
          <w:tcPr>
            <w:tcW w:w="6733" w:type="dxa"/>
            <w:shd w:val="clear" w:color="auto" w:fill="auto"/>
            <w:noWrap/>
            <w:hideMark/>
          </w:tcPr>
          <w:p w:rsidR="00A4284B" w:rsidRPr="00871D79" w:rsidRDefault="00A4284B" w:rsidP="00C611DB">
            <w:pPr>
              <w:spacing w:line="240" w:lineRule="auto"/>
              <w:jc w:val="left"/>
              <w:rPr>
                <w:rFonts w:ascii="Calibri" w:hAnsi="Calibri"/>
                <w:b/>
                <w:bCs/>
                <w:sz w:val="18"/>
                <w:szCs w:val="18"/>
                <w:lang w:eastAsia="sl-SI"/>
              </w:rPr>
            </w:pPr>
            <w:r w:rsidRPr="00972554">
              <w:rPr>
                <w:rFonts w:ascii="Calibri" w:hAnsi="Calibri"/>
                <w:b/>
                <w:sz w:val="18"/>
                <w:szCs w:val="18"/>
              </w:rPr>
              <w:t xml:space="preserve">910-Terjatve za sredstva dana v upravljanje drugim v lasti države </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b/>
                <w:bCs/>
                <w:sz w:val="18"/>
                <w:szCs w:val="18"/>
                <w:lang w:eastAsia="sl-SI"/>
              </w:rPr>
            </w:pPr>
            <w:r w:rsidRPr="00972554">
              <w:rPr>
                <w:rFonts w:ascii="Calibri" w:hAnsi="Calibri"/>
                <w:b/>
                <w:sz w:val="18"/>
                <w:szCs w:val="18"/>
              </w:rPr>
              <w:t xml:space="preserve">-1.069.345 </w:t>
            </w:r>
          </w:p>
        </w:tc>
        <w:tc>
          <w:tcPr>
            <w:tcW w:w="1276" w:type="dxa"/>
            <w:shd w:val="clear" w:color="auto" w:fill="FFFFFF"/>
            <w:noWrap/>
            <w:vAlign w:val="bottom"/>
            <w:hideMark/>
          </w:tcPr>
          <w:p w:rsidR="00A4284B" w:rsidRPr="00871D79" w:rsidRDefault="00A4284B" w:rsidP="00871D79">
            <w:pPr>
              <w:spacing w:line="240" w:lineRule="auto"/>
              <w:jc w:val="right"/>
              <w:rPr>
                <w:rFonts w:ascii="Calibri" w:hAnsi="Calibri"/>
                <w:b/>
                <w:bCs/>
                <w:sz w:val="18"/>
                <w:szCs w:val="18"/>
                <w:lang w:eastAsia="sl-SI"/>
              </w:rPr>
            </w:pP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CELJE</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-1.052.440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98,42</w:t>
            </w: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OBČINA DOMŽALE</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-52.261 </w:t>
            </w:r>
          </w:p>
        </w:tc>
        <w:tc>
          <w:tcPr>
            <w:tcW w:w="1276" w:type="dxa"/>
            <w:shd w:val="clear" w:color="auto" w:fill="FFFFFF"/>
            <w:noWrap/>
            <w:vAlign w:val="bottom"/>
            <w:hideMark/>
          </w:tcPr>
          <w:p w:rsidR="00A4284B" w:rsidRPr="00871D79" w:rsidRDefault="00A4284B" w:rsidP="00834708">
            <w:pPr>
              <w:spacing w:line="240" w:lineRule="auto"/>
              <w:jc w:val="right"/>
              <w:rPr>
                <w:rFonts w:ascii="Calibri" w:hAnsi="Calibri"/>
                <w:sz w:val="18"/>
                <w:szCs w:val="18"/>
                <w:lang w:eastAsia="sl-SI"/>
              </w:rPr>
            </w:pPr>
            <w:r w:rsidRPr="00972554">
              <w:rPr>
                <w:rFonts w:ascii="Calibri" w:hAnsi="Calibri"/>
                <w:sz w:val="18"/>
                <w:szCs w:val="18"/>
              </w:rPr>
              <w:t>4,89</w:t>
            </w: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IZOBRAŽEVANJE, ZNANOST IN ŠPORT</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42.469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-3,97</w:t>
            </w: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OBČINA STARŠE</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-7.506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0,70</w:t>
            </w: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OBČINA ŠMARJE PRI JELŠAH</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7.398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-0,69</w:t>
            </w:r>
          </w:p>
        </w:tc>
      </w:tr>
      <w:tr w:rsidR="00A4284B" w:rsidRPr="00972554" w:rsidTr="00972554">
        <w:trPr>
          <w:trHeight w:val="300"/>
        </w:trPr>
        <w:tc>
          <w:tcPr>
            <w:tcW w:w="6733" w:type="dxa"/>
            <w:shd w:val="clear" w:color="auto" w:fill="auto"/>
            <w:noWrap/>
            <w:hideMark/>
          </w:tcPr>
          <w:p w:rsidR="00A4284B" w:rsidRPr="00871D79" w:rsidRDefault="00A4284B" w:rsidP="00C611DB">
            <w:pPr>
              <w:spacing w:line="240" w:lineRule="auto"/>
              <w:jc w:val="left"/>
              <w:rPr>
                <w:rFonts w:ascii="Calibri" w:hAnsi="Calibri"/>
                <w:b/>
                <w:bCs/>
                <w:sz w:val="18"/>
                <w:szCs w:val="18"/>
                <w:lang w:eastAsia="sl-SI"/>
              </w:rPr>
            </w:pPr>
            <w:r w:rsidRPr="00972554">
              <w:rPr>
                <w:rFonts w:ascii="Calibri" w:hAnsi="Calibri"/>
                <w:b/>
                <w:sz w:val="18"/>
                <w:szCs w:val="18"/>
              </w:rPr>
              <w:t xml:space="preserve">911-Terjatve za sredstva dana v upravljanje drugim v lasti občine </w:t>
            </w:r>
          </w:p>
        </w:tc>
        <w:tc>
          <w:tcPr>
            <w:tcW w:w="1275" w:type="dxa"/>
            <w:shd w:val="clear" w:color="auto" w:fill="auto"/>
            <w:noWrap/>
            <w:vAlign w:val="bottom"/>
            <w:hideMark/>
          </w:tcPr>
          <w:p w:rsidR="00A4284B" w:rsidRPr="00871D79" w:rsidRDefault="00A4284B" w:rsidP="00834708">
            <w:pPr>
              <w:spacing w:line="240" w:lineRule="auto"/>
              <w:jc w:val="right"/>
              <w:rPr>
                <w:rFonts w:ascii="Calibri" w:hAnsi="Calibri"/>
                <w:b/>
                <w:bCs/>
                <w:sz w:val="18"/>
                <w:szCs w:val="18"/>
                <w:lang w:eastAsia="sl-SI"/>
              </w:rPr>
            </w:pPr>
            <w:r w:rsidRPr="00972554">
              <w:rPr>
                <w:rFonts w:ascii="Calibri" w:hAnsi="Calibri"/>
                <w:b/>
                <w:sz w:val="18"/>
                <w:szCs w:val="18"/>
              </w:rPr>
              <w:t xml:space="preserve">-623.510 </w:t>
            </w:r>
          </w:p>
        </w:tc>
        <w:tc>
          <w:tcPr>
            <w:tcW w:w="1276" w:type="dxa"/>
            <w:shd w:val="clear" w:color="auto" w:fill="FFFFFF"/>
            <w:noWrap/>
            <w:vAlign w:val="bottom"/>
            <w:hideMark/>
          </w:tcPr>
          <w:p w:rsidR="00A4284B" w:rsidRPr="00F83FBB" w:rsidRDefault="00A4284B" w:rsidP="00871D79">
            <w:pPr>
              <w:spacing w:line="240" w:lineRule="auto"/>
              <w:jc w:val="right"/>
              <w:rPr>
                <w:rFonts w:ascii="Calibri" w:hAnsi="Calibri"/>
                <w:b/>
                <w:bCs/>
                <w:sz w:val="18"/>
                <w:szCs w:val="18"/>
                <w:lang w:eastAsia="sl-SI"/>
              </w:rPr>
            </w:pP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CELJE</w:t>
            </w:r>
          </w:p>
        </w:tc>
        <w:tc>
          <w:tcPr>
            <w:tcW w:w="1275" w:type="dxa"/>
            <w:shd w:val="clear" w:color="auto" w:fill="auto"/>
            <w:noWrap/>
            <w:vAlign w:val="bottom"/>
            <w:hideMark/>
          </w:tcPr>
          <w:p w:rsidR="00A4284B" w:rsidRPr="00871D79"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1.028.795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-165,00</w:t>
            </w: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OBČINA METLIKA</w:t>
            </w:r>
          </w:p>
        </w:tc>
        <w:tc>
          <w:tcPr>
            <w:tcW w:w="1275" w:type="dxa"/>
            <w:shd w:val="clear" w:color="auto" w:fill="auto"/>
            <w:noWrap/>
            <w:vAlign w:val="bottom"/>
            <w:hideMark/>
          </w:tcPr>
          <w:p w:rsidR="00A4284B" w:rsidRPr="00871D79"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-682.275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109,42</w:t>
            </w: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OBČINA ŠENČUR</w:t>
            </w:r>
          </w:p>
        </w:tc>
        <w:tc>
          <w:tcPr>
            <w:tcW w:w="1275" w:type="dxa"/>
            <w:shd w:val="clear" w:color="auto" w:fill="auto"/>
            <w:noWrap/>
            <w:vAlign w:val="bottom"/>
            <w:hideMark/>
          </w:tcPr>
          <w:p w:rsidR="00A4284B" w:rsidRPr="00871D79"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-414.966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66,55</w:t>
            </w: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lastRenderedPageBreak/>
              <w:t>OBČINA MARKOVCI</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-402.131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64,49</w:t>
            </w: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OBČINA BLED</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-100.341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16,09</w:t>
            </w:r>
          </w:p>
        </w:tc>
      </w:tr>
      <w:tr w:rsidR="00A4284B" w:rsidRPr="00972554" w:rsidTr="00972554">
        <w:trPr>
          <w:trHeight w:val="300"/>
        </w:trPr>
        <w:tc>
          <w:tcPr>
            <w:tcW w:w="6733" w:type="dxa"/>
            <w:shd w:val="clear" w:color="auto" w:fill="auto"/>
            <w:noWrap/>
            <w:hideMark/>
          </w:tcPr>
          <w:p w:rsidR="00A4284B" w:rsidRPr="00834708" w:rsidRDefault="00A4284B" w:rsidP="00C611DB">
            <w:pPr>
              <w:spacing w:line="240" w:lineRule="auto"/>
              <w:jc w:val="left"/>
              <w:rPr>
                <w:rFonts w:ascii="Calibri" w:hAnsi="Calibri"/>
                <w:b/>
                <w:bCs/>
                <w:sz w:val="18"/>
                <w:szCs w:val="18"/>
                <w:lang w:eastAsia="sl-SI"/>
              </w:rPr>
            </w:pPr>
            <w:r w:rsidRPr="00972554">
              <w:rPr>
                <w:rFonts w:ascii="Calibri" w:hAnsi="Calibri"/>
                <w:b/>
                <w:sz w:val="18"/>
                <w:szCs w:val="18"/>
              </w:rPr>
              <w:t xml:space="preserve">912-Zaloge </w:t>
            </w:r>
          </w:p>
        </w:tc>
        <w:tc>
          <w:tcPr>
            <w:tcW w:w="1275" w:type="dxa"/>
            <w:shd w:val="clear" w:color="auto" w:fill="auto"/>
            <w:noWrap/>
            <w:vAlign w:val="bottom"/>
            <w:hideMark/>
          </w:tcPr>
          <w:p w:rsidR="00A4284B" w:rsidRPr="00871D79" w:rsidRDefault="00A4284B" w:rsidP="00834708">
            <w:pPr>
              <w:spacing w:line="240" w:lineRule="auto"/>
              <w:jc w:val="right"/>
              <w:rPr>
                <w:rFonts w:ascii="Calibri" w:hAnsi="Calibri"/>
                <w:b/>
                <w:bCs/>
                <w:sz w:val="18"/>
                <w:szCs w:val="18"/>
                <w:lang w:eastAsia="sl-SI"/>
              </w:rPr>
            </w:pPr>
            <w:r w:rsidRPr="00972554">
              <w:rPr>
                <w:rFonts w:ascii="Calibri" w:hAnsi="Calibri"/>
                <w:b/>
                <w:sz w:val="18"/>
                <w:szCs w:val="18"/>
              </w:rPr>
              <w:t xml:space="preserve">6.020.147 </w:t>
            </w:r>
          </w:p>
        </w:tc>
        <w:tc>
          <w:tcPr>
            <w:tcW w:w="1276" w:type="dxa"/>
            <w:shd w:val="clear" w:color="auto" w:fill="FFFFFF"/>
            <w:noWrap/>
            <w:vAlign w:val="bottom"/>
            <w:hideMark/>
          </w:tcPr>
          <w:p w:rsidR="00A4284B" w:rsidRPr="00F83FBB" w:rsidRDefault="00A4284B" w:rsidP="00871D79">
            <w:pPr>
              <w:spacing w:line="240" w:lineRule="auto"/>
              <w:jc w:val="right"/>
              <w:rPr>
                <w:rFonts w:ascii="Calibri" w:hAnsi="Calibri"/>
                <w:b/>
                <w:bCs/>
                <w:sz w:val="18"/>
                <w:szCs w:val="18"/>
                <w:lang w:eastAsia="sl-SI"/>
              </w:rPr>
            </w:pP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STANOVANJSKI SKLAD </w:t>
            </w:r>
            <w:r w:rsidR="006D7310" w:rsidRPr="00F31068">
              <w:rPr>
                <w:rFonts w:ascii="Calibri" w:hAnsi="Calibri"/>
                <w:sz w:val="18"/>
                <w:szCs w:val="18"/>
              </w:rPr>
              <w:t>RS</w:t>
            </w:r>
            <w:r w:rsidRPr="00972554">
              <w:rPr>
                <w:rFonts w:ascii="Calibri" w:hAnsi="Calibri"/>
                <w:sz w:val="18"/>
                <w:szCs w:val="18"/>
              </w:rPr>
              <w:t>, javni sklad</w:t>
            </w:r>
          </w:p>
        </w:tc>
        <w:tc>
          <w:tcPr>
            <w:tcW w:w="1275" w:type="dxa"/>
            <w:shd w:val="clear" w:color="auto" w:fill="auto"/>
            <w:noWrap/>
            <w:vAlign w:val="bottom"/>
            <w:hideMark/>
          </w:tcPr>
          <w:p w:rsidR="00A4284B" w:rsidRPr="00871D79"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-10.789.550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-179,22</w:t>
            </w: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NOTRANJE ZADEVE POLICIJA</w:t>
            </w:r>
          </w:p>
        </w:tc>
        <w:tc>
          <w:tcPr>
            <w:tcW w:w="1275" w:type="dxa"/>
            <w:shd w:val="clear" w:color="auto" w:fill="auto"/>
            <w:noWrap/>
            <w:vAlign w:val="bottom"/>
            <w:hideMark/>
          </w:tcPr>
          <w:p w:rsidR="00A4284B" w:rsidRPr="00871D79"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10.537.610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175,04</w:t>
            </w:r>
          </w:p>
        </w:tc>
      </w:tr>
      <w:tr w:rsidR="00A4284B" w:rsidRPr="00972554" w:rsidTr="00972554">
        <w:trPr>
          <w:trHeight w:val="300"/>
        </w:trPr>
        <w:tc>
          <w:tcPr>
            <w:tcW w:w="6733" w:type="dxa"/>
            <w:shd w:val="clear" w:color="auto" w:fill="auto"/>
            <w:noWrap/>
            <w:hideMark/>
          </w:tcPr>
          <w:p w:rsidR="00A4284B" w:rsidRPr="00871D79"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MINISTRSTVO ZA OBRAMBO </w:t>
            </w:r>
            <w:r w:rsidR="006D7310" w:rsidRPr="00F31068">
              <w:rPr>
                <w:rFonts w:ascii="Calibri" w:hAnsi="Calibri"/>
                <w:sz w:val="18"/>
                <w:szCs w:val="18"/>
              </w:rPr>
              <w:t>RS</w:t>
            </w:r>
            <w:r w:rsidRPr="00972554">
              <w:rPr>
                <w:rFonts w:ascii="Calibri" w:hAnsi="Calibri"/>
                <w:sz w:val="18"/>
                <w:szCs w:val="18"/>
              </w:rPr>
              <w:t>, GENERALŠTAB SLOVENSKE VOJSKE</w:t>
            </w:r>
          </w:p>
        </w:tc>
        <w:tc>
          <w:tcPr>
            <w:tcW w:w="1275" w:type="dxa"/>
            <w:shd w:val="clear" w:color="auto" w:fill="auto"/>
            <w:noWrap/>
            <w:vAlign w:val="bottom"/>
            <w:hideMark/>
          </w:tcPr>
          <w:p w:rsidR="00A4284B" w:rsidRPr="00871D79"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5.401.913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89,73</w:t>
            </w: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OBČINA PIRAN</w:t>
            </w:r>
          </w:p>
        </w:tc>
        <w:tc>
          <w:tcPr>
            <w:tcW w:w="1275" w:type="dxa"/>
            <w:shd w:val="clear" w:color="auto" w:fill="auto"/>
            <w:noWrap/>
            <w:vAlign w:val="bottom"/>
            <w:hideMark/>
          </w:tcPr>
          <w:p w:rsidR="00A4284B" w:rsidRPr="00871D79"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-1.876.470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-31,17</w:t>
            </w:r>
          </w:p>
        </w:tc>
      </w:tr>
      <w:tr w:rsidR="00A4284B" w:rsidRPr="00972554" w:rsidTr="00972554">
        <w:trPr>
          <w:trHeight w:val="300"/>
        </w:trPr>
        <w:tc>
          <w:tcPr>
            <w:tcW w:w="6733" w:type="dxa"/>
            <w:shd w:val="clear" w:color="auto" w:fill="auto"/>
            <w:noWrap/>
            <w:hideMark/>
          </w:tcPr>
          <w:p w:rsidR="00A4284B" w:rsidRPr="00834708" w:rsidRDefault="006D7310" w:rsidP="00834708">
            <w:pPr>
              <w:spacing w:line="240" w:lineRule="auto"/>
              <w:ind w:firstLineChars="100" w:firstLine="180"/>
              <w:jc w:val="left"/>
              <w:rPr>
                <w:rFonts w:ascii="Calibri" w:hAnsi="Calibri"/>
                <w:sz w:val="18"/>
                <w:szCs w:val="18"/>
                <w:lang w:eastAsia="sl-SI"/>
              </w:rPr>
            </w:pPr>
            <w:r w:rsidRPr="00F31068">
              <w:rPr>
                <w:rFonts w:ascii="Calibri" w:hAnsi="Calibri"/>
                <w:sz w:val="18"/>
                <w:szCs w:val="18"/>
              </w:rPr>
              <w:t>RS</w:t>
            </w:r>
            <w:r w:rsidR="00A4284B" w:rsidRPr="00972554">
              <w:rPr>
                <w:rFonts w:ascii="Calibri" w:hAnsi="Calibri"/>
                <w:sz w:val="18"/>
                <w:szCs w:val="18"/>
              </w:rPr>
              <w:t xml:space="preserve"> - PRORAČUN</w:t>
            </w:r>
          </w:p>
        </w:tc>
        <w:tc>
          <w:tcPr>
            <w:tcW w:w="1275" w:type="dxa"/>
            <w:shd w:val="clear" w:color="auto" w:fill="auto"/>
            <w:noWrap/>
            <w:vAlign w:val="bottom"/>
            <w:hideMark/>
          </w:tcPr>
          <w:p w:rsidR="00A4284B" w:rsidRPr="00871D79"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-1.573.021 </w:t>
            </w:r>
          </w:p>
        </w:tc>
        <w:tc>
          <w:tcPr>
            <w:tcW w:w="1276" w:type="dxa"/>
            <w:shd w:val="clear" w:color="auto" w:fill="FFFFFF"/>
            <w:noWrap/>
            <w:vAlign w:val="bottom"/>
            <w:hideMark/>
          </w:tcPr>
          <w:p w:rsidR="00A4284B" w:rsidRPr="00834708" w:rsidRDefault="00A4284B" w:rsidP="00871D79">
            <w:pPr>
              <w:spacing w:line="240" w:lineRule="auto"/>
              <w:jc w:val="right"/>
              <w:rPr>
                <w:rFonts w:ascii="Calibri" w:hAnsi="Calibri"/>
                <w:sz w:val="18"/>
                <w:szCs w:val="18"/>
                <w:lang w:eastAsia="sl-SI"/>
              </w:rPr>
            </w:pPr>
            <w:r w:rsidRPr="00972554">
              <w:rPr>
                <w:rFonts w:ascii="Calibri" w:hAnsi="Calibri"/>
                <w:sz w:val="18"/>
                <w:szCs w:val="18"/>
              </w:rPr>
              <w:t>-26,13</w:t>
            </w:r>
          </w:p>
        </w:tc>
      </w:tr>
      <w:tr w:rsidR="00A4284B" w:rsidRPr="00972554" w:rsidTr="00972554">
        <w:trPr>
          <w:trHeight w:val="300"/>
        </w:trPr>
        <w:tc>
          <w:tcPr>
            <w:tcW w:w="6733" w:type="dxa"/>
            <w:shd w:val="clear" w:color="auto" w:fill="auto"/>
            <w:noWrap/>
            <w:hideMark/>
          </w:tcPr>
          <w:p w:rsidR="00A4284B" w:rsidRPr="00834708" w:rsidRDefault="00A4284B" w:rsidP="00C611DB">
            <w:pPr>
              <w:spacing w:line="240" w:lineRule="auto"/>
              <w:jc w:val="left"/>
              <w:rPr>
                <w:rFonts w:ascii="Calibri" w:hAnsi="Calibri"/>
                <w:b/>
                <w:bCs/>
                <w:sz w:val="18"/>
                <w:szCs w:val="18"/>
                <w:lang w:eastAsia="sl-SI"/>
              </w:rPr>
            </w:pPr>
            <w:r w:rsidRPr="00972554">
              <w:rPr>
                <w:rFonts w:ascii="Calibri" w:hAnsi="Calibri"/>
                <w:b/>
                <w:sz w:val="18"/>
                <w:szCs w:val="18"/>
              </w:rPr>
              <w:t xml:space="preserve">913-Dolgoročne finančne naložbe </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b/>
                <w:bCs/>
                <w:sz w:val="18"/>
                <w:szCs w:val="18"/>
                <w:lang w:eastAsia="sl-SI"/>
              </w:rPr>
            </w:pPr>
            <w:r w:rsidRPr="00972554">
              <w:rPr>
                <w:rFonts w:ascii="Calibri" w:hAnsi="Calibri"/>
                <w:b/>
                <w:sz w:val="18"/>
                <w:szCs w:val="18"/>
              </w:rPr>
              <w:t xml:space="preserve">-847.340.634 </w:t>
            </w:r>
          </w:p>
        </w:tc>
        <w:tc>
          <w:tcPr>
            <w:tcW w:w="1276" w:type="dxa"/>
            <w:shd w:val="clear" w:color="auto" w:fill="FFFFFF"/>
            <w:noWrap/>
            <w:vAlign w:val="bottom"/>
            <w:hideMark/>
          </w:tcPr>
          <w:p w:rsidR="00A4284B" w:rsidRPr="00871D79" w:rsidRDefault="00A4284B" w:rsidP="00871D79">
            <w:pPr>
              <w:spacing w:line="240" w:lineRule="auto"/>
              <w:jc w:val="right"/>
              <w:rPr>
                <w:rFonts w:ascii="Calibri" w:hAnsi="Calibri"/>
                <w:b/>
                <w:bCs/>
                <w:sz w:val="18"/>
                <w:szCs w:val="18"/>
                <w:lang w:eastAsia="sl-SI"/>
              </w:rPr>
            </w:pP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FINANCE</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-908.699.567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107,24</w:t>
            </w: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INFRASTRUKTURO</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65.941.061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-7,78</w:t>
            </w:r>
          </w:p>
        </w:tc>
      </w:tr>
      <w:tr w:rsidR="00A4284B" w:rsidRPr="00972554" w:rsidTr="00972554">
        <w:trPr>
          <w:trHeight w:val="300"/>
        </w:trPr>
        <w:tc>
          <w:tcPr>
            <w:tcW w:w="6733" w:type="dxa"/>
            <w:shd w:val="clear" w:color="auto" w:fill="auto"/>
            <w:noWrap/>
            <w:hideMark/>
          </w:tcPr>
          <w:p w:rsidR="00A4284B" w:rsidRPr="00834708" w:rsidRDefault="00733EAE" w:rsidP="00834708">
            <w:pPr>
              <w:spacing w:line="240" w:lineRule="auto"/>
              <w:ind w:firstLineChars="100" w:firstLine="180"/>
              <w:jc w:val="left"/>
              <w:rPr>
                <w:rFonts w:ascii="Calibri" w:hAnsi="Calibri"/>
                <w:sz w:val="18"/>
                <w:szCs w:val="18"/>
                <w:lang w:eastAsia="sl-SI"/>
              </w:rPr>
            </w:pPr>
            <w:r w:rsidRPr="00F31068">
              <w:rPr>
                <w:rFonts w:ascii="Calibri" w:hAnsi="Calibri"/>
                <w:sz w:val="18"/>
                <w:szCs w:val="18"/>
              </w:rPr>
              <w:t>MINISTRSTVO ZA DELO, DRUŽINO, SOCIALNE ZADEVE IN ENAKE MOŽNOSTI</w:t>
            </w:r>
          </w:p>
        </w:tc>
        <w:tc>
          <w:tcPr>
            <w:tcW w:w="1275" w:type="dxa"/>
            <w:shd w:val="clear" w:color="auto" w:fill="auto"/>
            <w:noWrap/>
            <w:vAlign w:val="bottom"/>
            <w:hideMark/>
          </w:tcPr>
          <w:p w:rsidR="00A4284B" w:rsidRPr="00871D79"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-43.523.656 </w:t>
            </w:r>
          </w:p>
        </w:tc>
        <w:tc>
          <w:tcPr>
            <w:tcW w:w="1276" w:type="dxa"/>
            <w:shd w:val="clear" w:color="auto" w:fill="FFFFFF"/>
            <w:noWrap/>
            <w:vAlign w:val="bottom"/>
            <w:hideMark/>
          </w:tcPr>
          <w:p w:rsidR="00A4284B" w:rsidRPr="00834708" w:rsidRDefault="00A4284B" w:rsidP="00871D79">
            <w:pPr>
              <w:spacing w:line="240" w:lineRule="auto"/>
              <w:jc w:val="right"/>
              <w:rPr>
                <w:rFonts w:ascii="Calibri" w:hAnsi="Calibri"/>
                <w:sz w:val="18"/>
                <w:szCs w:val="18"/>
                <w:lang w:eastAsia="sl-SI"/>
              </w:rPr>
            </w:pPr>
            <w:r w:rsidRPr="00972554">
              <w:rPr>
                <w:rFonts w:ascii="Calibri" w:hAnsi="Calibri"/>
                <w:sz w:val="18"/>
                <w:szCs w:val="18"/>
              </w:rPr>
              <w:t>5,14</w:t>
            </w:r>
          </w:p>
        </w:tc>
      </w:tr>
      <w:tr w:rsidR="00A4284B" w:rsidRPr="00972554" w:rsidTr="00972554">
        <w:trPr>
          <w:trHeight w:val="300"/>
        </w:trPr>
        <w:tc>
          <w:tcPr>
            <w:tcW w:w="6733" w:type="dxa"/>
            <w:shd w:val="clear" w:color="auto" w:fill="auto"/>
            <w:noWrap/>
            <w:hideMark/>
          </w:tcPr>
          <w:p w:rsidR="00A4284B" w:rsidRPr="00871D79"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GOSPODARSKI RAZVOJ IN TEHNOLOGIJO</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29.335.811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-3,46</w:t>
            </w:r>
          </w:p>
        </w:tc>
      </w:tr>
      <w:tr w:rsidR="00A4284B" w:rsidRPr="00972554" w:rsidTr="00972554">
        <w:trPr>
          <w:trHeight w:val="300"/>
        </w:trPr>
        <w:tc>
          <w:tcPr>
            <w:tcW w:w="6733" w:type="dxa"/>
            <w:shd w:val="clear" w:color="auto" w:fill="auto"/>
            <w:noWrap/>
            <w:hideMark/>
          </w:tcPr>
          <w:p w:rsidR="00A4284B" w:rsidRPr="00834708" w:rsidRDefault="006D7310" w:rsidP="00834708">
            <w:pPr>
              <w:spacing w:line="240" w:lineRule="auto"/>
              <w:ind w:firstLineChars="100" w:firstLine="180"/>
              <w:jc w:val="left"/>
              <w:rPr>
                <w:rFonts w:ascii="Calibri" w:hAnsi="Calibri"/>
                <w:sz w:val="18"/>
                <w:szCs w:val="18"/>
                <w:lang w:eastAsia="sl-SI"/>
              </w:rPr>
            </w:pPr>
            <w:r w:rsidRPr="00F31068">
              <w:rPr>
                <w:rFonts w:ascii="Calibri" w:hAnsi="Calibri"/>
                <w:sz w:val="18"/>
                <w:szCs w:val="18"/>
              </w:rPr>
              <w:t>ZPIZ</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11.234.061 </w:t>
            </w:r>
          </w:p>
        </w:tc>
        <w:tc>
          <w:tcPr>
            <w:tcW w:w="1276" w:type="dxa"/>
            <w:shd w:val="clear" w:color="auto" w:fill="FFFFFF"/>
            <w:noWrap/>
            <w:vAlign w:val="bottom"/>
            <w:hideMark/>
          </w:tcPr>
          <w:p w:rsidR="00A4284B" w:rsidRPr="00834708" w:rsidRDefault="00A4284B" w:rsidP="00871D79">
            <w:pPr>
              <w:spacing w:line="240" w:lineRule="auto"/>
              <w:jc w:val="right"/>
              <w:rPr>
                <w:rFonts w:ascii="Calibri" w:hAnsi="Calibri"/>
                <w:sz w:val="18"/>
                <w:szCs w:val="18"/>
                <w:lang w:eastAsia="sl-SI"/>
              </w:rPr>
            </w:pPr>
            <w:r w:rsidRPr="00972554">
              <w:rPr>
                <w:rFonts w:ascii="Calibri" w:hAnsi="Calibri"/>
                <w:sz w:val="18"/>
                <w:szCs w:val="18"/>
              </w:rPr>
              <w:t>-1,33</w:t>
            </w:r>
          </w:p>
        </w:tc>
      </w:tr>
      <w:tr w:rsidR="00A4284B" w:rsidRPr="00972554" w:rsidTr="00972554">
        <w:trPr>
          <w:trHeight w:val="300"/>
        </w:trPr>
        <w:tc>
          <w:tcPr>
            <w:tcW w:w="6733" w:type="dxa"/>
            <w:shd w:val="clear" w:color="auto" w:fill="auto"/>
            <w:noWrap/>
            <w:hideMark/>
          </w:tcPr>
          <w:p w:rsidR="00A4284B" w:rsidRPr="00834708" w:rsidRDefault="00A4284B" w:rsidP="00C611DB">
            <w:pPr>
              <w:spacing w:line="240" w:lineRule="auto"/>
              <w:jc w:val="left"/>
              <w:rPr>
                <w:rFonts w:ascii="Calibri" w:hAnsi="Calibri"/>
                <w:b/>
                <w:bCs/>
                <w:sz w:val="18"/>
                <w:szCs w:val="18"/>
                <w:lang w:eastAsia="sl-SI"/>
              </w:rPr>
            </w:pPr>
            <w:r w:rsidRPr="00972554">
              <w:rPr>
                <w:rFonts w:ascii="Calibri" w:hAnsi="Calibri"/>
                <w:b/>
                <w:sz w:val="18"/>
                <w:szCs w:val="18"/>
              </w:rPr>
              <w:t xml:space="preserve">914-Dolgoročno dana posojila in depoziti </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b/>
                <w:bCs/>
                <w:sz w:val="18"/>
                <w:szCs w:val="18"/>
                <w:lang w:eastAsia="sl-SI"/>
              </w:rPr>
            </w:pPr>
            <w:r w:rsidRPr="00972554">
              <w:rPr>
                <w:rFonts w:ascii="Calibri" w:hAnsi="Calibri"/>
                <w:b/>
                <w:sz w:val="18"/>
                <w:szCs w:val="18"/>
              </w:rPr>
              <w:t xml:space="preserve">326.364.662 </w:t>
            </w:r>
          </w:p>
        </w:tc>
        <w:tc>
          <w:tcPr>
            <w:tcW w:w="1276" w:type="dxa"/>
            <w:shd w:val="clear" w:color="auto" w:fill="FFFFFF"/>
            <w:noWrap/>
            <w:vAlign w:val="bottom"/>
            <w:hideMark/>
          </w:tcPr>
          <w:p w:rsidR="00A4284B" w:rsidRPr="00871D79" w:rsidRDefault="00A4284B" w:rsidP="00871D79">
            <w:pPr>
              <w:spacing w:line="240" w:lineRule="auto"/>
              <w:jc w:val="right"/>
              <w:rPr>
                <w:rFonts w:ascii="Calibri" w:hAnsi="Calibri"/>
                <w:b/>
                <w:bCs/>
                <w:sz w:val="18"/>
                <w:szCs w:val="18"/>
                <w:lang w:eastAsia="sl-SI"/>
              </w:rPr>
            </w:pPr>
          </w:p>
        </w:tc>
      </w:tr>
      <w:tr w:rsidR="00A4284B" w:rsidRPr="00972554" w:rsidTr="00972554">
        <w:trPr>
          <w:trHeight w:val="300"/>
        </w:trPr>
        <w:tc>
          <w:tcPr>
            <w:tcW w:w="6733" w:type="dxa"/>
            <w:shd w:val="clear" w:color="auto" w:fill="auto"/>
            <w:noWrap/>
            <w:hideMark/>
          </w:tcPr>
          <w:p w:rsidR="00A4284B" w:rsidRPr="00871D79"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UPRAVLJAVEC SREDSTEV SISTEMA </w:t>
            </w:r>
            <w:r w:rsidR="006D7310" w:rsidRPr="00F31068">
              <w:rPr>
                <w:rFonts w:ascii="Calibri" w:hAnsi="Calibri"/>
                <w:sz w:val="18"/>
                <w:szCs w:val="18"/>
              </w:rPr>
              <w:t>EZRD</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281.215.048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86,17</w:t>
            </w: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FINANCE</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20.070.411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6,15</w:t>
            </w:r>
          </w:p>
        </w:tc>
      </w:tr>
      <w:tr w:rsidR="00A4284B" w:rsidRPr="00972554" w:rsidTr="00972554">
        <w:trPr>
          <w:trHeight w:val="300"/>
        </w:trPr>
        <w:tc>
          <w:tcPr>
            <w:tcW w:w="6733" w:type="dxa"/>
            <w:shd w:val="clear" w:color="auto" w:fill="auto"/>
            <w:noWrap/>
            <w:hideMark/>
          </w:tcPr>
          <w:p w:rsidR="00A4284B" w:rsidRPr="00834708" w:rsidRDefault="006D7310" w:rsidP="00834708">
            <w:pPr>
              <w:spacing w:line="240" w:lineRule="auto"/>
              <w:ind w:firstLineChars="100" w:firstLine="180"/>
              <w:jc w:val="left"/>
              <w:rPr>
                <w:rFonts w:ascii="Calibri" w:hAnsi="Calibri"/>
                <w:sz w:val="18"/>
                <w:szCs w:val="18"/>
                <w:lang w:eastAsia="sl-SI"/>
              </w:rPr>
            </w:pPr>
            <w:r w:rsidRPr="00F31068">
              <w:rPr>
                <w:rFonts w:ascii="Calibri" w:hAnsi="Calibri"/>
                <w:sz w:val="18"/>
                <w:szCs w:val="18"/>
              </w:rPr>
              <w:t>SKLAD NEK</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14.237.338 </w:t>
            </w:r>
          </w:p>
        </w:tc>
        <w:tc>
          <w:tcPr>
            <w:tcW w:w="1276" w:type="dxa"/>
            <w:shd w:val="clear" w:color="auto" w:fill="FFFFFF"/>
            <w:noWrap/>
            <w:vAlign w:val="bottom"/>
            <w:hideMark/>
          </w:tcPr>
          <w:p w:rsidR="00A4284B" w:rsidRPr="00834708" w:rsidRDefault="00A4284B" w:rsidP="00871D79">
            <w:pPr>
              <w:spacing w:line="240" w:lineRule="auto"/>
              <w:jc w:val="right"/>
              <w:rPr>
                <w:rFonts w:ascii="Calibri" w:hAnsi="Calibri"/>
                <w:sz w:val="18"/>
                <w:szCs w:val="18"/>
                <w:lang w:eastAsia="sl-SI"/>
              </w:rPr>
            </w:pPr>
            <w:r w:rsidRPr="00972554">
              <w:rPr>
                <w:rFonts w:ascii="Calibri" w:hAnsi="Calibri"/>
                <w:sz w:val="18"/>
                <w:szCs w:val="18"/>
              </w:rPr>
              <w:t>4,36</w:t>
            </w:r>
          </w:p>
        </w:tc>
      </w:tr>
      <w:tr w:rsidR="00A4284B" w:rsidRPr="00972554" w:rsidTr="00972554">
        <w:trPr>
          <w:trHeight w:val="300"/>
        </w:trPr>
        <w:tc>
          <w:tcPr>
            <w:tcW w:w="6733" w:type="dxa"/>
            <w:shd w:val="clear" w:color="auto" w:fill="auto"/>
            <w:noWrap/>
            <w:hideMark/>
          </w:tcPr>
          <w:p w:rsidR="00A4284B" w:rsidRPr="00871D79"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JAVNI SKLAD </w:t>
            </w:r>
            <w:r w:rsidR="006D7310" w:rsidRPr="00F31068">
              <w:rPr>
                <w:rFonts w:ascii="Calibri" w:hAnsi="Calibri"/>
                <w:sz w:val="18"/>
                <w:szCs w:val="18"/>
              </w:rPr>
              <w:t>RS</w:t>
            </w:r>
            <w:r w:rsidRPr="00972554">
              <w:rPr>
                <w:rFonts w:ascii="Calibri" w:hAnsi="Calibri"/>
                <w:sz w:val="18"/>
                <w:szCs w:val="18"/>
              </w:rPr>
              <w:t xml:space="preserve"> ZA REGIONALNI RAZVOJ IN RAZVOJ PODEŽELJA</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9.298.402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2,85</w:t>
            </w: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STANOVANJSKI SKLAD </w:t>
            </w:r>
            <w:r w:rsidR="006D7310" w:rsidRPr="00F31068">
              <w:rPr>
                <w:rFonts w:ascii="Calibri" w:hAnsi="Calibri"/>
                <w:sz w:val="18"/>
                <w:szCs w:val="18"/>
              </w:rPr>
              <w:t>RS</w:t>
            </w:r>
            <w:r w:rsidRPr="00972554">
              <w:rPr>
                <w:rFonts w:ascii="Calibri" w:hAnsi="Calibri"/>
                <w:sz w:val="18"/>
                <w:szCs w:val="18"/>
              </w:rPr>
              <w:t>, javni sklad</w:t>
            </w:r>
          </w:p>
        </w:tc>
        <w:tc>
          <w:tcPr>
            <w:tcW w:w="1275" w:type="dxa"/>
            <w:shd w:val="clear" w:color="auto" w:fill="auto"/>
            <w:noWrap/>
            <w:vAlign w:val="bottom"/>
            <w:hideMark/>
          </w:tcPr>
          <w:p w:rsidR="00A4284B" w:rsidRPr="00871D79"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-2.258.849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-0,69</w:t>
            </w:r>
          </w:p>
        </w:tc>
      </w:tr>
      <w:tr w:rsidR="00A4284B" w:rsidRPr="00972554" w:rsidTr="00972554">
        <w:trPr>
          <w:trHeight w:val="300"/>
        </w:trPr>
        <w:tc>
          <w:tcPr>
            <w:tcW w:w="6733" w:type="dxa"/>
            <w:shd w:val="clear" w:color="auto" w:fill="auto"/>
            <w:noWrap/>
            <w:hideMark/>
          </w:tcPr>
          <w:p w:rsidR="00A4284B" w:rsidRPr="00834708" w:rsidRDefault="00A4284B" w:rsidP="00C611DB">
            <w:pPr>
              <w:spacing w:line="240" w:lineRule="auto"/>
              <w:jc w:val="left"/>
              <w:rPr>
                <w:rFonts w:ascii="Calibri" w:hAnsi="Calibri"/>
                <w:b/>
                <w:bCs/>
                <w:sz w:val="18"/>
                <w:szCs w:val="18"/>
                <w:lang w:eastAsia="sl-SI"/>
              </w:rPr>
            </w:pPr>
            <w:r w:rsidRPr="00972554">
              <w:rPr>
                <w:rFonts w:ascii="Calibri" w:hAnsi="Calibri"/>
                <w:b/>
                <w:sz w:val="18"/>
                <w:szCs w:val="18"/>
              </w:rPr>
              <w:t xml:space="preserve">915-Dolgoročne terjatve iz poslovanja </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b/>
                <w:bCs/>
                <w:sz w:val="18"/>
                <w:szCs w:val="18"/>
                <w:lang w:eastAsia="sl-SI"/>
              </w:rPr>
            </w:pPr>
            <w:r w:rsidRPr="00972554">
              <w:rPr>
                <w:rFonts w:ascii="Calibri" w:hAnsi="Calibri"/>
                <w:b/>
                <w:sz w:val="18"/>
                <w:szCs w:val="18"/>
              </w:rPr>
              <w:t xml:space="preserve">-49.895.620 </w:t>
            </w:r>
          </w:p>
        </w:tc>
        <w:tc>
          <w:tcPr>
            <w:tcW w:w="1276" w:type="dxa"/>
            <w:shd w:val="clear" w:color="auto" w:fill="FFFFFF"/>
            <w:noWrap/>
            <w:vAlign w:val="bottom"/>
            <w:hideMark/>
          </w:tcPr>
          <w:p w:rsidR="00A4284B" w:rsidRPr="00871D79" w:rsidRDefault="00A4284B" w:rsidP="00871D79">
            <w:pPr>
              <w:spacing w:line="240" w:lineRule="auto"/>
              <w:jc w:val="right"/>
              <w:rPr>
                <w:rFonts w:ascii="Calibri" w:hAnsi="Calibri"/>
                <w:b/>
                <w:bCs/>
                <w:sz w:val="18"/>
                <w:szCs w:val="18"/>
                <w:lang w:eastAsia="sl-SI"/>
              </w:rPr>
            </w:pP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INFRASTRUKTURO</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-22.700.000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45,49</w:t>
            </w: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LJUBLJANA</w:t>
            </w:r>
          </w:p>
        </w:tc>
        <w:tc>
          <w:tcPr>
            <w:tcW w:w="1275" w:type="dxa"/>
            <w:shd w:val="clear" w:color="auto" w:fill="auto"/>
            <w:noWrap/>
            <w:vAlign w:val="bottom"/>
            <w:hideMark/>
          </w:tcPr>
          <w:p w:rsidR="00A4284B" w:rsidRPr="00F83FBB"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-15.462.008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30,99</w:t>
            </w:r>
          </w:p>
        </w:tc>
      </w:tr>
      <w:tr w:rsidR="00A4284B" w:rsidRPr="00972554" w:rsidTr="00972554">
        <w:trPr>
          <w:trHeight w:val="300"/>
        </w:trPr>
        <w:tc>
          <w:tcPr>
            <w:tcW w:w="6733" w:type="dxa"/>
            <w:shd w:val="clear" w:color="auto" w:fill="auto"/>
            <w:noWrap/>
            <w:hideMark/>
          </w:tcPr>
          <w:p w:rsidR="00A4284B" w:rsidRPr="00834708" w:rsidRDefault="006D7310" w:rsidP="00834708">
            <w:pPr>
              <w:spacing w:line="240" w:lineRule="auto"/>
              <w:ind w:firstLineChars="100" w:firstLine="180"/>
              <w:jc w:val="left"/>
              <w:rPr>
                <w:rFonts w:ascii="Calibri" w:hAnsi="Calibri"/>
                <w:sz w:val="18"/>
                <w:szCs w:val="18"/>
                <w:lang w:eastAsia="sl-SI"/>
              </w:rPr>
            </w:pPr>
            <w:r w:rsidRPr="00F31068">
              <w:rPr>
                <w:rFonts w:ascii="Calibri" w:hAnsi="Calibri"/>
                <w:sz w:val="18"/>
                <w:szCs w:val="18"/>
              </w:rPr>
              <w:t>RS</w:t>
            </w:r>
            <w:r w:rsidR="00A4284B" w:rsidRPr="00972554">
              <w:rPr>
                <w:rFonts w:ascii="Calibri" w:hAnsi="Calibri"/>
                <w:sz w:val="18"/>
                <w:szCs w:val="18"/>
              </w:rPr>
              <w:t xml:space="preserve"> - PRORAČUN</w:t>
            </w:r>
          </w:p>
        </w:tc>
        <w:tc>
          <w:tcPr>
            <w:tcW w:w="1275" w:type="dxa"/>
            <w:shd w:val="clear" w:color="auto" w:fill="auto"/>
            <w:noWrap/>
            <w:vAlign w:val="bottom"/>
            <w:hideMark/>
          </w:tcPr>
          <w:p w:rsidR="00A4284B" w:rsidRPr="00871D79"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-11.835.917 </w:t>
            </w:r>
          </w:p>
        </w:tc>
        <w:tc>
          <w:tcPr>
            <w:tcW w:w="1276" w:type="dxa"/>
            <w:shd w:val="clear" w:color="auto" w:fill="FFFFFF"/>
            <w:noWrap/>
            <w:vAlign w:val="bottom"/>
            <w:hideMark/>
          </w:tcPr>
          <w:p w:rsidR="00A4284B" w:rsidRPr="00834708" w:rsidRDefault="00A4284B" w:rsidP="00871D79">
            <w:pPr>
              <w:spacing w:line="240" w:lineRule="auto"/>
              <w:jc w:val="right"/>
              <w:rPr>
                <w:rFonts w:ascii="Calibri" w:hAnsi="Calibri"/>
                <w:sz w:val="18"/>
                <w:szCs w:val="18"/>
                <w:lang w:eastAsia="sl-SI"/>
              </w:rPr>
            </w:pPr>
            <w:r w:rsidRPr="00972554">
              <w:rPr>
                <w:rFonts w:ascii="Calibri" w:hAnsi="Calibri"/>
                <w:sz w:val="18"/>
                <w:szCs w:val="18"/>
              </w:rPr>
              <w:t>23,72</w:t>
            </w: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FINANCE</w:t>
            </w:r>
          </w:p>
        </w:tc>
        <w:tc>
          <w:tcPr>
            <w:tcW w:w="1275" w:type="dxa"/>
            <w:shd w:val="clear" w:color="auto" w:fill="auto"/>
            <w:noWrap/>
            <w:vAlign w:val="bottom"/>
            <w:hideMark/>
          </w:tcPr>
          <w:p w:rsidR="00A4284B" w:rsidRPr="00871D79"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-1.252.011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2,51</w:t>
            </w: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Univerzitetni rehabilitacijski inštitut </w:t>
            </w:r>
            <w:r w:rsidR="006D7310" w:rsidRPr="00F31068">
              <w:rPr>
                <w:rFonts w:ascii="Calibri" w:hAnsi="Calibri"/>
                <w:sz w:val="18"/>
                <w:szCs w:val="18"/>
              </w:rPr>
              <w:t>RS</w:t>
            </w:r>
            <w:r w:rsidRPr="00972554">
              <w:rPr>
                <w:rFonts w:ascii="Calibri" w:hAnsi="Calibri"/>
                <w:sz w:val="18"/>
                <w:szCs w:val="18"/>
              </w:rPr>
              <w:t xml:space="preserve"> - Soča</w:t>
            </w:r>
          </w:p>
        </w:tc>
        <w:tc>
          <w:tcPr>
            <w:tcW w:w="1275" w:type="dxa"/>
            <w:shd w:val="clear" w:color="auto" w:fill="auto"/>
            <w:noWrap/>
            <w:vAlign w:val="bottom"/>
            <w:hideMark/>
          </w:tcPr>
          <w:p w:rsidR="00A4284B" w:rsidRPr="00871D79"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1.062.656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-2,13</w:t>
            </w:r>
          </w:p>
        </w:tc>
      </w:tr>
      <w:tr w:rsidR="00A4284B" w:rsidRPr="00972554" w:rsidTr="00972554">
        <w:trPr>
          <w:trHeight w:val="300"/>
        </w:trPr>
        <w:tc>
          <w:tcPr>
            <w:tcW w:w="6733" w:type="dxa"/>
            <w:shd w:val="clear" w:color="auto" w:fill="auto"/>
            <w:noWrap/>
            <w:hideMark/>
          </w:tcPr>
          <w:p w:rsidR="00A4284B" w:rsidRPr="00834708" w:rsidRDefault="00A4284B" w:rsidP="00C611DB">
            <w:pPr>
              <w:spacing w:line="240" w:lineRule="auto"/>
              <w:jc w:val="left"/>
              <w:rPr>
                <w:rFonts w:ascii="Calibri" w:hAnsi="Calibri"/>
                <w:b/>
                <w:bCs/>
                <w:sz w:val="18"/>
                <w:szCs w:val="18"/>
                <w:lang w:eastAsia="sl-SI"/>
              </w:rPr>
            </w:pPr>
            <w:r w:rsidRPr="00972554">
              <w:rPr>
                <w:rFonts w:ascii="Calibri" w:hAnsi="Calibri"/>
                <w:b/>
                <w:sz w:val="18"/>
                <w:szCs w:val="18"/>
              </w:rPr>
              <w:t xml:space="preserve">916-Denarna sredstva </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b/>
                <w:bCs/>
                <w:sz w:val="18"/>
                <w:szCs w:val="18"/>
                <w:lang w:eastAsia="sl-SI"/>
              </w:rPr>
            </w:pPr>
            <w:r w:rsidRPr="00972554">
              <w:rPr>
                <w:rFonts w:ascii="Calibri" w:hAnsi="Calibri"/>
                <w:b/>
                <w:sz w:val="18"/>
                <w:szCs w:val="18"/>
              </w:rPr>
              <w:t xml:space="preserve">1.148.625.462 </w:t>
            </w:r>
          </w:p>
        </w:tc>
        <w:tc>
          <w:tcPr>
            <w:tcW w:w="1276" w:type="dxa"/>
            <w:shd w:val="clear" w:color="auto" w:fill="FFFFFF"/>
            <w:noWrap/>
            <w:vAlign w:val="bottom"/>
            <w:hideMark/>
          </w:tcPr>
          <w:p w:rsidR="00A4284B" w:rsidRPr="00871D79" w:rsidRDefault="00A4284B" w:rsidP="00871D79">
            <w:pPr>
              <w:spacing w:line="240" w:lineRule="auto"/>
              <w:jc w:val="right"/>
              <w:rPr>
                <w:rFonts w:ascii="Calibri" w:hAnsi="Calibri"/>
                <w:b/>
                <w:bCs/>
                <w:sz w:val="18"/>
                <w:szCs w:val="18"/>
                <w:lang w:eastAsia="sl-SI"/>
              </w:rPr>
            </w:pP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UPRAVLJAVEC SREDSTEV SISTEMA </w:t>
            </w:r>
            <w:r w:rsidR="006D7310" w:rsidRPr="00F31068">
              <w:rPr>
                <w:rFonts w:ascii="Calibri" w:hAnsi="Calibri"/>
                <w:sz w:val="18"/>
                <w:szCs w:val="18"/>
              </w:rPr>
              <w:t>EZRD</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1.164.871.162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101,41</w:t>
            </w: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FINANCE</w:t>
            </w:r>
          </w:p>
        </w:tc>
        <w:tc>
          <w:tcPr>
            <w:tcW w:w="1275" w:type="dxa"/>
            <w:shd w:val="clear" w:color="auto" w:fill="auto"/>
            <w:noWrap/>
            <w:vAlign w:val="bottom"/>
            <w:hideMark/>
          </w:tcPr>
          <w:p w:rsidR="00A4284B" w:rsidRPr="00871D79"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8.765.221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0,76</w:t>
            </w: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OBČINA HOČE - SLIVNICA</w:t>
            </w:r>
          </w:p>
        </w:tc>
        <w:tc>
          <w:tcPr>
            <w:tcW w:w="1275" w:type="dxa"/>
            <w:shd w:val="clear" w:color="auto" w:fill="auto"/>
            <w:noWrap/>
            <w:vAlign w:val="bottom"/>
            <w:hideMark/>
          </w:tcPr>
          <w:p w:rsidR="00A4284B" w:rsidRPr="00871D79"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-5.450.000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-0,47</w:t>
            </w: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VELENJE</w:t>
            </w:r>
          </w:p>
        </w:tc>
        <w:tc>
          <w:tcPr>
            <w:tcW w:w="1275" w:type="dxa"/>
            <w:shd w:val="clear" w:color="auto" w:fill="auto"/>
            <w:noWrap/>
            <w:vAlign w:val="bottom"/>
            <w:hideMark/>
          </w:tcPr>
          <w:p w:rsidR="00A4284B" w:rsidRPr="00871D79"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-4.589.900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-0,40</w:t>
            </w: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UPRAVLJAVEC SREDSTEV SISTEMA </w:t>
            </w:r>
            <w:r w:rsidR="006D7310" w:rsidRPr="00F31068">
              <w:rPr>
                <w:rFonts w:ascii="Calibri" w:hAnsi="Calibri"/>
                <w:sz w:val="18"/>
                <w:szCs w:val="18"/>
              </w:rPr>
              <w:t>EZR</w:t>
            </w:r>
            <w:r w:rsidRPr="00972554">
              <w:rPr>
                <w:rFonts w:ascii="Calibri" w:hAnsi="Calibri"/>
                <w:sz w:val="18"/>
                <w:szCs w:val="18"/>
              </w:rPr>
              <w:t xml:space="preserve"> OBČINE AJDOVŠČINA</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-4.318.247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-0,38</w:t>
            </w:r>
          </w:p>
        </w:tc>
      </w:tr>
      <w:tr w:rsidR="00A4284B" w:rsidRPr="00972554" w:rsidTr="00972554">
        <w:trPr>
          <w:trHeight w:val="300"/>
        </w:trPr>
        <w:tc>
          <w:tcPr>
            <w:tcW w:w="6733" w:type="dxa"/>
            <w:shd w:val="clear" w:color="auto" w:fill="auto"/>
            <w:noWrap/>
            <w:hideMark/>
          </w:tcPr>
          <w:p w:rsidR="00A4284B" w:rsidRPr="00834708" w:rsidRDefault="00A4284B" w:rsidP="00C611DB">
            <w:pPr>
              <w:spacing w:line="240" w:lineRule="auto"/>
              <w:jc w:val="left"/>
              <w:rPr>
                <w:rFonts w:ascii="Calibri" w:hAnsi="Calibri"/>
                <w:b/>
                <w:bCs/>
                <w:sz w:val="18"/>
                <w:szCs w:val="18"/>
                <w:lang w:eastAsia="sl-SI"/>
              </w:rPr>
            </w:pPr>
            <w:r w:rsidRPr="00972554">
              <w:rPr>
                <w:rFonts w:ascii="Calibri" w:hAnsi="Calibri"/>
                <w:b/>
                <w:sz w:val="18"/>
                <w:szCs w:val="18"/>
              </w:rPr>
              <w:t xml:space="preserve">917-Kratkoročne terjatve </w:t>
            </w:r>
          </w:p>
        </w:tc>
        <w:tc>
          <w:tcPr>
            <w:tcW w:w="1275" w:type="dxa"/>
            <w:shd w:val="clear" w:color="auto" w:fill="auto"/>
            <w:noWrap/>
            <w:vAlign w:val="bottom"/>
            <w:hideMark/>
          </w:tcPr>
          <w:p w:rsidR="00A4284B" w:rsidRPr="00871D79" w:rsidRDefault="00A4284B" w:rsidP="00834708">
            <w:pPr>
              <w:spacing w:line="240" w:lineRule="auto"/>
              <w:jc w:val="right"/>
              <w:rPr>
                <w:rFonts w:ascii="Calibri" w:hAnsi="Calibri"/>
                <w:b/>
                <w:bCs/>
                <w:sz w:val="18"/>
                <w:szCs w:val="18"/>
                <w:lang w:eastAsia="sl-SI"/>
              </w:rPr>
            </w:pPr>
            <w:r w:rsidRPr="00972554">
              <w:rPr>
                <w:rFonts w:ascii="Calibri" w:hAnsi="Calibri"/>
                <w:b/>
                <w:sz w:val="18"/>
                <w:szCs w:val="18"/>
              </w:rPr>
              <w:t xml:space="preserve">117.395.813 </w:t>
            </w:r>
          </w:p>
        </w:tc>
        <w:tc>
          <w:tcPr>
            <w:tcW w:w="1276" w:type="dxa"/>
            <w:shd w:val="clear" w:color="auto" w:fill="FFFFFF"/>
            <w:noWrap/>
            <w:vAlign w:val="bottom"/>
            <w:hideMark/>
          </w:tcPr>
          <w:p w:rsidR="00A4284B" w:rsidRPr="00F83FBB" w:rsidRDefault="00A4284B" w:rsidP="00871D79">
            <w:pPr>
              <w:spacing w:line="240" w:lineRule="auto"/>
              <w:jc w:val="right"/>
              <w:rPr>
                <w:rFonts w:ascii="Calibri" w:hAnsi="Calibri"/>
                <w:b/>
                <w:bCs/>
                <w:sz w:val="18"/>
                <w:szCs w:val="18"/>
                <w:lang w:eastAsia="sl-SI"/>
              </w:rPr>
            </w:pPr>
          </w:p>
        </w:tc>
      </w:tr>
      <w:tr w:rsidR="00A4284B" w:rsidRPr="00972554" w:rsidTr="00972554">
        <w:trPr>
          <w:trHeight w:val="300"/>
        </w:trPr>
        <w:tc>
          <w:tcPr>
            <w:tcW w:w="6733" w:type="dxa"/>
            <w:shd w:val="clear" w:color="auto" w:fill="auto"/>
            <w:noWrap/>
            <w:hideMark/>
          </w:tcPr>
          <w:p w:rsidR="00A4284B" w:rsidRPr="00871D79"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FINANCE</w:t>
            </w:r>
          </w:p>
        </w:tc>
        <w:tc>
          <w:tcPr>
            <w:tcW w:w="1275" w:type="dxa"/>
            <w:shd w:val="clear" w:color="auto" w:fill="auto"/>
            <w:noWrap/>
            <w:vAlign w:val="bottom"/>
            <w:hideMark/>
          </w:tcPr>
          <w:p w:rsidR="00A4284B" w:rsidRPr="00871D79"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146.064.153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124,42</w:t>
            </w: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UPRAVLJAVEC SREDSTEV SISTEMA </w:t>
            </w:r>
            <w:r w:rsidR="006D7310" w:rsidRPr="00F31068">
              <w:rPr>
                <w:rFonts w:ascii="Calibri" w:hAnsi="Calibri"/>
                <w:sz w:val="18"/>
                <w:szCs w:val="18"/>
              </w:rPr>
              <w:t>EZRD</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67.924.017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57,86</w:t>
            </w:r>
          </w:p>
        </w:tc>
      </w:tr>
      <w:tr w:rsidR="00A4284B" w:rsidRPr="00972554" w:rsidTr="00972554">
        <w:trPr>
          <w:trHeight w:val="300"/>
        </w:trPr>
        <w:tc>
          <w:tcPr>
            <w:tcW w:w="6733" w:type="dxa"/>
            <w:shd w:val="clear" w:color="auto" w:fill="auto"/>
            <w:noWrap/>
            <w:hideMark/>
          </w:tcPr>
          <w:p w:rsidR="00A4284B" w:rsidRPr="00834708" w:rsidRDefault="006D7310" w:rsidP="00834708">
            <w:pPr>
              <w:spacing w:line="240" w:lineRule="auto"/>
              <w:ind w:firstLineChars="100" w:firstLine="180"/>
              <w:jc w:val="left"/>
              <w:rPr>
                <w:rFonts w:ascii="Calibri" w:hAnsi="Calibri"/>
                <w:sz w:val="18"/>
                <w:szCs w:val="18"/>
                <w:lang w:eastAsia="sl-SI"/>
              </w:rPr>
            </w:pPr>
            <w:r w:rsidRPr="00F31068">
              <w:rPr>
                <w:rFonts w:ascii="Calibri" w:hAnsi="Calibri"/>
                <w:sz w:val="18"/>
                <w:szCs w:val="18"/>
              </w:rPr>
              <w:t>ZPIZ</w:t>
            </w:r>
          </w:p>
        </w:tc>
        <w:tc>
          <w:tcPr>
            <w:tcW w:w="1275" w:type="dxa"/>
            <w:shd w:val="clear" w:color="auto" w:fill="auto"/>
            <w:noWrap/>
            <w:vAlign w:val="bottom"/>
            <w:hideMark/>
          </w:tcPr>
          <w:p w:rsidR="00A4284B" w:rsidRPr="00871D79"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-35.656.165 </w:t>
            </w:r>
          </w:p>
        </w:tc>
        <w:tc>
          <w:tcPr>
            <w:tcW w:w="1276" w:type="dxa"/>
            <w:shd w:val="clear" w:color="auto" w:fill="FFFFFF"/>
            <w:noWrap/>
            <w:vAlign w:val="bottom"/>
            <w:hideMark/>
          </w:tcPr>
          <w:p w:rsidR="00A4284B" w:rsidRPr="00834708" w:rsidRDefault="00A4284B" w:rsidP="00871D79">
            <w:pPr>
              <w:spacing w:line="240" w:lineRule="auto"/>
              <w:jc w:val="right"/>
              <w:rPr>
                <w:rFonts w:ascii="Calibri" w:hAnsi="Calibri"/>
                <w:sz w:val="18"/>
                <w:szCs w:val="18"/>
                <w:lang w:eastAsia="sl-SI"/>
              </w:rPr>
            </w:pPr>
            <w:r w:rsidRPr="00972554">
              <w:rPr>
                <w:rFonts w:ascii="Calibri" w:hAnsi="Calibri"/>
                <w:sz w:val="18"/>
                <w:szCs w:val="18"/>
              </w:rPr>
              <w:t>-30,37</w:t>
            </w: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LJUBLJANA</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-30.763.841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-26,21</w:t>
            </w:r>
          </w:p>
        </w:tc>
      </w:tr>
      <w:tr w:rsidR="00A4284B" w:rsidRPr="00972554" w:rsidTr="00972554">
        <w:trPr>
          <w:trHeight w:val="300"/>
        </w:trPr>
        <w:tc>
          <w:tcPr>
            <w:tcW w:w="6733" w:type="dxa"/>
            <w:tcBorders>
              <w:bottom w:val="single" w:sz="4" w:space="0" w:color="auto"/>
            </w:tcBorders>
            <w:shd w:val="clear" w:color="auto" w:fill="auto"/>
            <w:noWrap/>
            <w:hideMark/>
          </w:tcPr>
          <w:p w:rsidR="00A4284B" w:rsidRPr="00871D79"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GOSPODARSKI RAZVOJ IN TEHNOLOGIJO</w:t>
            </w:r>
          </w:p>
        </w:tc>
        <w:tc>
          <w:tcPr>
            <w:tcW w:w="1275" w:type="dxa"/>
            <w:tcBorders>
              <w:bottom w:val="single" w:sz="4" w:space="0" w:color="auto"/>
            </w:tcBorders>
            <w:shd w:val="clear" w:color="auto" w:fill="auto"/>
            <w:noWrap/>
            <w:vAlign w:val="bottom"/>
            <w:hideMark/>
          </w:tcPr>
          <w:p w:rsidR="00A4284B" w:rsidRPr="00871D79"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20.984.307 </w:t>
            </w:r>
          </w:p>
        </w:tc>
        <w:tc>
          <w:tcPr>
            <w:tcW w:w="1276" w:type="dxa"/>
            <w:tcBorders>
              <w:bottom w:val="single" w:sz="4" w:space="0" w:color="auto"/>
            </w:tcBorders>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17,87</w:t>
            </w:r>
          </w:p>
        </w:tc>
      </w:tr>
      <w:tr w:rsidR="00A4284B" w:rsidRPr="00972554" w:rsidTr="00972554">
        <w:trPr>
          <w:trHeight w:val="300"/>
        </w:trPr>
        <w:tc>
          <w:tcPr>
            <w:tcW w:w="6733" w:type="dxa"/>
            <w:shd w:val="clear" w:color="auto" w:fill="92D050"/>
            <w:noWrap/>
            <w:hideMark/>
          </w:tcPr>
          <w:p w:rsidR="00A4284B" w:rsidRPr="00834708" w:rsidRDefault="00A4284B" w:rsidP="00C611DB">
            <w:pPr>
              <w:spacing w:line="240" w:lineRule="auto"/>
              <w:jc w:val="left"/>
              <w:rPr>
                <w:rFonts w:ascii="Calibri" w:hAnsi="Calibri"/>
                <w:b/>
                <w:bCs/>
                <w:i/>
                <w:sz w:val="18"/>
                <w:szCs w:val="18"/>
                <w:lang w:eastAsia="sl-SI"/>
              </w:rPr>
            </w:pPr>
            <w:r w:rsidRPr="00972554">
              <w:rPr>
                <w:rFonts w:ascii="Calibri" w:hAnsi="Calibri"/>
                <w:b/>
                <w:sz w:val="18"/>
                <w:szCs w:val="18"/>
              </w:rPr>
              <w:t xml:space="preserve">918-Skupaj aktiva </w:t>
            </w:r>
          </w:p>
        </w:tc>
        <w:tc>
          <w:tcPr>
            <w:tcW w:w="1275" w:type="dxa"/>
            <w:shd w:val="clear" w:color="auto" w:fill="92D050"/>
            <w:noWrap/>
            <w:vAlign w:val="bottom"/>
            <w:hideMark/>
          </w:tcPr>
          <w:p w:rsidR="00A4284B" w:rsidRPr="00834708" w:rsidRDefault="00A4284B" w:rsidP="00834708">
            <w:pPr>
              <w:spacing w:line="240" w:lineRule="auto"/>
              <w:jc w:val="right"/>
              <w:rPr>
                <w:rFonts w:ascii="Calibri" w:hAnsi="Calibri"/>
                <w:b/>
                <w:bCs/>
                <w:i/>
                <w:sz w:val="18"/>
                <w:szCs w:val="18"/>
                <w:lang w:eastAsia="sl-SI"/>
              </w:rPr>
            </w:pPr>
            <w:r w:rsidRPr="00972554">
              <w:rPr>
                <w:rFonts w:ascii="Calibri" w:hAnsi="Calibri"/>
                <w:b/>
                <w:sz w:val="18"/>
                <w:szCs w:val="18"/>
              </w:rPr>
              <w:t xml:space="preserve">1.502.368.027 </w:t>
            </w:r>
          </w:p>
        </w:tc>
        <w:tc>
          <w:tcPr>
            <w:tcW w:w="1276" w:type="dxa"/>
            <w:shd w:val="clear" w:color="auto" w:fill="92D050"/>
            <w:noWrap/>
            <w:vAlign w:val="bottom"/>
            <w:hideMark/>
          </w:tcPr>
          <w:p w:rsidR="00A4284B" w:rsidRPr="00871D79" w:rsidRDefault="00A4284B" w:rsidP="00871D79">
            <w:pPr>
              <w:spacing w:line="240" w:lineRule="auto"/>
              <w:jc w:val="right"/>
              <w:rPr>
                <w:rFonts w:ascii="Calibri" w:hAnsi="Calibri"/>
                <w:b/>
                <w:bCs/>
                <w:i/>
                <w:sz w:val="18"/>
                <w:szCs w:val="18"/>
                <w:lang w:eastAsia="sl-SI"/>
              </w:rPr>
            </w:pP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UPRAVLJAVEC SREDSTEV SISTEMA </w:t>
            </w:r>
            <w:r w:rsidR="006D7310" w:rsidRPr="00F31068">
              <w:rPr>
                <w:rFonts w:ascii="Calibri" w:hAnsi="Calibri"/>
                <w:sz w:val="18"/>
                <w:szCs w:val="18"/>
              </w:rPr>
              <w:t>EZRD</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1.514.010.227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100,77</w:t>
            </w: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FINANCE</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-734.524.391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-48,89</w:t>
            </w: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lastRenderedPageBreak/>
              <w:t>MESTNA OBČINA KOPER</w:t>
            </w:r>
          </w:p>
        </w:tc>
        <w:tc>
          <w:tcPr>
            <w:tcW w:w="1275" w:type="dxa"/>
            <w:shd w:val="clear" w:color="auto" w:fill="auto"/>
            <w:noWrap/>
            <w:vAlign w:val="bottom"/>
            <w:hideMark/>
          </w:tcPr>
          <w:p w:rsidR="00A4284B" w:rsidRPr="00871D79"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474.609.987 </w:t>
            </w:r>
          </w:p>
        </w:tc>
        <w:tc>
          <w:tcPr>
            <w:tcW w:w="1276" w:type="dxa"/>
            <w:shd w:val="clear" w:color="auto" w:fill="FFFFFF"/>
            <w:noWrap/>
            <w:vAlign w:val="bottom"/>
            <w:hideMark/>
          </w:tcPr>
          <w:p w:rsidR="00A4284B" w:rsidRPr="00871D79" w:rsidRDefault="00A4284B" w:rsidP="00834708">
            <w:pPr>
              <w:spacing w:line="240" w:lineRule="auto"/>
              <w:jc w:val="right"/>
              <w:rPr>
                <w:rFonts w:ascii="Calibri" w:hAnsi="Calibri"/>
                <w:sz w:val="18"/>
                <w:szCs w:val="18"/>
                <w:lang w:eastAsia="sl-SI"/>
              </w:rPr>
            </w:pPr>
            <w:r w:rsidRPr="00972554">
              <w:rPr>
                <w:rFonts w:ascii="Calibri" w:hAnsi="Calibri"/>
                <w:sz w:val="18"/>
                <w:szCs w:val="18"/>
              </w:rPr>
              <w:t>31,59</w:t>
            </w:r>
          </w:p>
        </w:tc>
      </w:tr>
      <w:tr w:rsidR="00A4284B" w:rsidRPr="00972554" w:rsidTr="00972554">
        <w:trPr>
          <w:trHeight w:val="300"/>
        </w:trPr>
        <w:tc>
          <w:tcPr>
            <w:tcW w:w="6733" w:type="dxa"/>
            <w:shd w:val="clear" w:color="auto" w:fill="auto"/>
            <w:noWrap/>
            <w:hideMark/>
          </w:tcPr>
          <w:p w:rsidR="00A4284B" w:rsidRPr="00871D79"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MINISTRSTVO ZA INFRASTRUKTURO, DIREKCIJA </w:t>
            </w:r>
            <w:r w:rsidR="006D7310" w:rsidRPr="00F31068">
              <w:rPr>
                <w:rFonts w:ascii="Calibri" w:hAnsi="Calibri"/>
                <w:sz w:val="18"/>
                <w:szCs w:val="18"/>
              </w:rPr>
              <w:t>RS</w:t>
            </w:r>
            <w:r w:rsidRPr="00972554">
              <w:rPr>
                <w:rFonts w:ascii="Calibri" w:hAnsi="Calibri"/>
                <w:sz w:val="18"/>
                <w:szCs w:val="18"/>
              </w:rPr>
              <w:t xml:space="preserve"> ZA INFRASTRUKTURO</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190.222.071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12,66</w:t>
            </w: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OBČINA IZOLA</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-97.051.061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-6,46</w:t>
            </w:r>
          </w:p>
        </w:tc>
      </w:tr>
      <w:tr w:rsidR="00A4284B" w:rsidRPr="00972554" w:rsidTr="00972554">
        <w:trPr>
          <w:trHeight w:val="300"/>
        </w:trPr>
        <w:tc>
          <w:tcPr>
            <w:tcW w:w="6733" w:type="dxa"/>
            <w:shd w:val="clear" w:color="auto" w:fill="auto"/>
            <w:noWrap/>
            <w:hideMark/>
          </w:tcPr>
          <w:p w:rsidR="00A4284B" w:rsidRPr="00871D79" w:rsidRDefault="00A4284B" w:rsidP="00C611DB">
            <w:pPr>
              <w:spacing w:line="240" w:lineRule="auto"/>
              <w:jc w:val="left"/>
              <w:rPr>
                <w:rFonts w:ascii="Calibri" w:hAnsi="Calibri"/>
                <w:b/>
                <w:bCs/>
                <w:sz w:val="18"/>
                <w:szCs w:val="18"/>
                <w:lang w:eastAsia="sl-SI"/>
              </w:rPr>
            </w:pPr>
            <w:r w:rsidRPr="00972554">
              <w:rPr>
                <w:rFonts w:ascii="Calibri" w:hAnsi="Calibri"/>
                <w:b/>
                <w:sz w:val="18"/>
                <w:szCs w:val="18"/>
              </w:rPr>
              <w:t xml:space="preserve">919-Splošni sklad </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b/>
                <w:bCs/>
                <w:sz w:val="18"/>
                <w:szCs w:val="18"/>
                <w:lang w:eastAsia="sl-SI"/>
              </w:rPr>
            </w:pPr>
            <w:r w:rsidRPr="00972554">
              <w:rPr>
                <w:rFonts w:ascii="Calibri" w:hAnsi="Calibri"/>
                <w:b/>
                <w:sz w:val="18"/>
                <w:szCs w:val="18"/>
              </w:rPr>
              <w:t xml:space="preserve">1.071.510.779 </w:t>
            </w:r>
          </w:p>
        </w:tc>
        <w:tc>
          <w:tcPr>
            <w:tcW w:w="1276" w:type="dxa"/>
            <w:shd w:val="clear" w:color="auto" w:fill="FFFFFF"/>
            <w:noWrap/>
            <w:vAlign w:val="bottom"/>
            <w:hideMark/>
          </w:tcPr>
          <w:p w:rsidR="00A4284B" w:rsidRPr="00871D79" w:rsidRDefault="00A4284B" w:rsidP="00871D79">
            <w:pPr>
              <w:spacing w:line="240" w:lineRule="auto"/>
              <w:jc w:val="right"/>
              <w:rPr>
                <w:rFonts w:ascii="Calibri" w:hAnsi="Calibri"/>
                <w:b/>
                <w:bCs/>
                <w:sz w:val="18"/>
                <w:szCs w:val="18"/>
                <w:lang w:eastAsia="sl-SI"/>
              </w:rPr>
            </w:pP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UPRAVLJAVEC SREDSTEV SISTEMA </w:t>
            </w:r>
            <w:r w:rsidR="006D7310" w:rsidRPr="00F31068">
              <w:rPr>
                <w:rFonts w:ascii="Calibri" w:hAnsi="Calibri"/>
                <w:sz w:val="18"/>
                <w:szCs w:val="18"/>
              </w:rPr>
              <w:t>EZRD</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1.514.010.227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141,30</w:t>
            </w: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FINANCE</w:t>
            </w:r>
          </w:p>
        </w:tc>
        <w:tc>
          <w:tcPr>
            <w:tcW w:w="1275" w:type="dxa"/>
            <w:shd w:val="clear" w:color="auto" w:fill="auto"/>
            <w:noWrap/>
            <w:vAlign w:val="bottom"/>
            <w:hideMark/>
          </w:tcPr>
          <w:p w:rsidR="00A4284B" w:rsidRPr="00871D79"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-720.769.102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-67,27</w:t>
            </w: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KOPER</w:t>
            </w:r>
          </w:p>
        </w:tc>
        <w:tc>
          <w:tcPr>
            <w:tcW w:w="1275" w:type="dxa"/>
            <w:shd w:val="clear" w:color="auto" w:fill="auto"/>
            <w:noWrap/>
            <w:vAlign w:val="bottom"/>
            <w:hideMark/>
          </w:tcPr>
          <w:p w:rsidR="00A4284B" w:rsidRPr="00871D79"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475.365.725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44,36</w:t>
            </w:r>
          </w:p>
        </w:tc>
      </w:tr>
      <w:tr w:rsidR="00A4284B" w:rsidRPr="00972554" w:rsidTr="00972554">
        <w:trPr>
          <w:trHeight w:val="300"/>
        </w:trPr>
        <w:tc>
          <w:tcPr>
            <w:tcW w:w="6733" w:type="dxa"/>
            <w:shd w:val="clear" w:color="auto" w:fill="auto"/>
            <w:noWrap/>
            <w:hideMark/>
          </w:tcPr>
          <w:p w:rsidR="00A4284B" w:rsidRPr="00834708" w:rsidRDefault="006D7310" w:rsidP="00834708">
            <w:pPr>
              <w:spacing w:line="240" w:lineRule="auto"/>
              <w:ind w:firstLineChars="100" w:firstLine="180"/>
              <w:jc w:val="left"/>
              <w:rPr>
                <w:rFonts w:ascii="Calibri" w:hAnsi="Calibri"/>
                <w:sz w:val="18"/>
                <w:szCs w:val="18"/>
                <w:lang w:eastAsia="sl-SI"/>
              </w:rPr>
            </w:pPr>
            <w:r w:rsidRPr="00F31068">
              <w:rPr>
                <w:rFonts w:ascii="Calibri" w:hAnsi="Calibri"/>
                <w:sz w:val="18"/>
                <w:szCs w:val="18"/>
              </w:rPr>
              <w:t>RS</w:t>
            </w:r>
            <w:r w:rsidR="00A4284B" w:rsidRPr="00972554">
              <w:rPr>
                <w:rFonts w:ascii="Calibri" w:hAnsi="Calibri"/>
                <w:sz w:val="18"/>
                <w:szCs w:val="18"/>
              </w:rPr>
              <w:t xml:space="preserve"> - PRORAČUN</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-463.351.349 </w:t>
            </w:r>
          </w:p>
        </w:tc>
        <w:tc>
          <w:tcPr>
            <w:tcW w:w="1276" w:type="dxa"/>
            <w:shd w:val="clear" w:color="auto" w:fill="FFFFFF"/>
            <w:noWrap/>
            <w:vAlign w:val="bottom"/>
            <w:hideMark/>
          </w:tcPr>
          <w:p w:rsidR="00A4284B" w:rsidRPr="00834708" w:rsidRDefault="00A4284B" w:rsidP="00871D79">
            <w:pPr>
              <w:spacing w:line="240" w:lineRule="auto"/>
              <w:jc w:val="right"/>
              <w:rPr>
                <w:rFonts w:ascii="Calibri" w:hAnsi="Calibri"/>
                <w:sz w:val="18"/>
                <w:szCs w:val="18"/>
                <w:lang w:eastAsia="sl-SI"/>
              </w:rPr>
            </w:pPr>
            <w:r w:rsidRPr="00972554">
              <w:rPr>
                <w:rFonts w:ascii="Calibri" w:hAnsi="Calibri"/>
                <w:sz w:val="18"/>
                <w:szCs w:val="18"/>
              </w:rPr>
              <w:t>-43,24</w:t>
            </w:r>
          </w:p>
        </w:tc>
      </w:tr>
      <w:tr w:rsidR="00A4284B" w:rsidRPr="00972554" w:rsidTr="00972554">
        <w:trPr>
          <w:trHeight w:val="300"/>
        </w:trPr>
        <w:tc>
          <w:tcPr>
            <w:tcW w:w="6733" w:type="dxa"/>
            <w:shd w:val="clear" w:color="auto" w:fill="auto"/>
            <w:noWrap/>
            <w:hideMark/>
          </w:tcPr>
          <w:p w:rsidR="00A4284B" w:rsidRPr="00F83FBB"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MINISTRSTVO ZA INFRASTRUKTURO, DIREKCIJA </w:t>
            </w:r>
            <w:r w:rsidR="006D7310" w:rsidRPr="00F31068">
              <w:rPr>
                <w:rFonts w:ascii="Calibri" w:hAnsi="Calibri"/>
                <w:sz w:val="18"/>
                <w:szCs w:val="18"/>
              </w:rPr>
              <w:t>RS</w:t>
            </w:r>
            <w:r w:rsidRPr="00972554">
              <w:rPr>
                <w:rFonts w:ascii="Calibri" w:hAnsi="Calibri"/>
                <w:sz w:val="18"/>
                <w:szCs w:val="18"/>
              </w:rPr>
              <w:t xml:space="preserve"> ZA INFRASTRUKTURO</w:t>
            </w:r>
          </w:p>
        </w:tc>
        <w:tc>
          <w:tcPr>
            <w:tcW w:w="1275" w:type="dxa"/>
            <w:shd w:val="clear" w:color="auto" w:fill="auto"/>
            <w:noWrap/>
            <w:vAlign w:val="bottom"/>
            <w:hideMark/>
          </w:tcPr>
          <w:p w:rsidR="00A4284B" w:rsidRPr="00871D79"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274.660.457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25,63</w:t>
            </w:r>
          </w:p>
        </w:tc>
      </w:tr>
      <w:tr w:rsidR="00A4284B" w:rsidRPr="00972554" w:rsidTr="00972554">
        <w:trPr>
          <w:trHeight w:val="300"/>
        </w:trPr>
        <w:tc>
          <w:tcPr>
            <w:tcW w:w="6733" w:type="dxa"/>
            <w:shd w:val="clear" w:color="auto" w:fill="auto"/>
            <w:noWrap/>
            <w:hideMark/>
          </w:tcPr>
          <w:p w:rsidR="00A4284B" w:rsidRPr="00834708" w:rsidRDefault="00A4284B" w:rsidP="0086567B">
            <w:pPr>
              <w:spacing w:line="240" w:lineRule="auto"/>
              <w:jc w:val="left"/>
              <w:rPr>
                <w:rFonts w:ascii="Calibri" w:hAnsi="Calibri"/>
                <w:b/>
                <w:bCs/>
                <w:sz w:val="18"/>
                <w:szCs w:val="18"/>
                <w:lang w:eastAsia="sl-SI"/>
              </w:rPr>
            </w:pPr>
            <w:r w:rsidRPr="00972554">
              <w:rPr>
                <w:rFonts w:ascii="Calibri" w:hAnsi="Calibri"/>
                <w:b/>
                <w:sz w:val="18"/>
                <w:szCs w:val="18"/>
              </w:rPr>
              <w:t xml:space="preserve">920-Rezervni sklad </w:t>
            </w:r>
          </w:p>
        </w:tc>
        <w:tc>
          <w:tcPr>
            <w:tcW w:w="1275" w:type="dxa"/>
            <w:shd w:val="clear" w:color="auto" w:fill="auto"/>
            <w:noWrap/>
            <w:vAlign w:val="bottom"/>
            <w:hideMark/>
          </w:tcPr>
          <w:p w:rsidR="00A4284B" w:rsidRPr="00871D79" w:rsidRDefault="00A4284B" w:rsidP="00834708">
            <w:pPr>
              <w:spacing w:line="240" w:lineRule="auto"/>
              <w:jc w:val="right"/>
              <w:rPr>
                <w:rFonts w:ascii="Calibri" w:hAnsi="Calibri"/>
                <w:b/>
                <w:bCs/>
                <w:sz w:val="18"/>
                <w:szCs w:val="18"/>
                <w:lang w:eastAsia="sl-SI"/>
              </w:rPr>
            </w:pPr>
            <w:r w:rsidRPr="00972554">
              <w:rPr>
                <w:rFonts w:ascii="Calibri" w:hAnsi="Calibri"/>
                <w:b/>
                <w:sz w:val="18"/>
                <w:szCs w:val="18"/>
              </w:rPr>
              <w:t xml:space="preserve">-1.909.043 </w:t>
            </w:r>
          </w:p>
        </w:tc>
        <w:tc>
          <w:tcPr>
            <w:tcW w:w="1276" w:type="dxa"/>
            <w:shd w:val="clear" w:color="auto" w:fill="FFFFFF"/>
            <w:noWrap/>
            <w:vAlign w:val="bottom"/>
            <w:hideMark/>
          </w:tcPr>
          <w:p w:rsidR="00A4284B" w:rsidRPr="00F83FBB" w:rsidRDefault="00A4284B" w:rsidP="00871D79">
            <w:pPr>
              <w:spacing w:line="240" w:lineRule="auto"/>
              <w:jc w:val="right"/>
              <w:rPr>
                <w:rFonts w:ascii="Calibri" w:hAnsi="Calibri"/>
                <w:b/>
                <w:bCs/>
                <w:sz w:val="18"/>
                <w:szCs w:val="18"/>
                <w:lang w:eastAsia="sl-SI"/>
              </w:rPr>
            </w:pP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FINANCE</w:t>
            </w:r>
          </w:p>
        </w:tc>
        <w:tc>
          <w:tcPr>
            <w:tcW w:w="1275" w:type="dxa"/>
            <w:shd w:val="clear" w:color="auto" w:fill="auto"/>
            <w:noWrap/>
            <w:vAlign w:val="bottom"/>
            <w:hideMark/>
          </w:tcPr>
          <w:p w:rsidR="00A4284B" w:rsidRPr="00871D79"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-11.094.777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581,17</w:t>
            </w:r>
          </w:p>
        </w:tc>
      </w:tr>
      <w:tr w:rsidR="00A4284B" w:rsidRPr="00972554" w:rsidTr="00972554">
        <w:trPr>
          <w:trHeight w:val="300"/>
        </w:trPr>
        <w:tc>
          <w:tcPr>
            <w:tcW w:w="6733" w:type="dxa"/>
            <w:shd w:val="clear" w:color="auto" w:fill="auto"/>
            <w:noWrap/>
            <w:hideMark/>
          </w:tcPr>
          <w:p w:rsidR="00A4284B" w:rsidRPr="00834708" w:rsidRDefault="00733EAE" w:rsidP="00834708">
            <w:pPr>
              <w:spacing w:line="240" w:lineRule="auto"/>
              <w:ind w:firstLineChars="100" w:firstLine="180"/>
              <w:jc w:val="left"/>
              <w:rPr>
                <w:rFonts w:ascii="Calibri" w:hAnsi="Calibri"/>
                <w:sz w:val="18"/>
                <w:szCs w:val="18"/>
                <w:lang w:eastAsia="sl-SI"/>
              </w:rPr>
            </w:pPr>
            <w:r w:rsidRPr="00F31068">
              <w:rPr>
                <w:rFonts w:ascii="Calibri" w:hAnsi="Calibri"/>
                <w:sz w:val="18"/>
                <w:szCs w:val="18"/>
              </w:rPr>
              <w:t>ZZZS</w:t>
            </w:r>
          </w:p>
        </w:tc>
        <w:tc>
          <w:tcPr>
            <w:tcW w:w="1275" w:type="dxa"/>
            <w:shd w:val="clear" w:color="auto" w:fill="auto"/>
            <w:noWrap/>
            <w:vAlign w:val="bottom"/>
            <w:hideMark/>
          </w:tcPr>
          <w:p w:rsidR="00A4284B" w:rsidRPr="00871D79"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10.655.106 </w:t>
            </w:r>
          </w:p>
        </w:tc>
        <w:tc>
          <w:tcPr>
            <w:tcW w:w="1276" w:type="dxa"/>
            <w:shd w:val="clear" w:color="auto" w:fill="FFFFFF"/>
            <w:noWrap/>
            <w:vAlign w:val="bottom"/>
            <w:hideMark/>
          </w:tcPr>
          <w:p w:rsidR="00A4284B" w:rsidRPr="00834708" w:rsidRDefault="00A4284B" w:rsidP="00871D79">
            <w:pPr>
              <w:spacing w:line="240" w:lineRule="auto"/>
              <w:jc w:val="right"/>
              <w:rPr>
                <w:rFonts w:ascii="Calibri" w:hAnsi="Calibri"/>
                <w:sz w:val="18"/>
                <w:szCs w:val="18"/>
                <w:lang w:eastAsia="sl-SI"/>
              </w:rPr>
            </w:pPr>
            <w:r w:rsidRPr="00972554">
              <w:rPr>
                <w:rFonts w:ascii="Calibri" w:hAnsi="Calibri"/>
                <w:sz w:val="18"/>
                <w:szCs w:val="18"/>
              </w:rPr>
              <w:t>-558,14</w:t>
            </w: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Eko sklad, Slovenski okoljski javni sklad</w:t>
            </w:r>
          </w:p>
        </w:tc>
        <w:tc>
          <w:tcPr>
            <w:tcW w:w="1275" w:type="dxa"/>
            <w:shd w:val="clear" w:color="auto" w:fill="auto"/>
            <w:noWrap/>
            <w:vAlign w:val="bottom"/>
            <w:hideMark/>
          </w:tcPr>
          <w:p w:rsidR="00A4284B" w:rsidRPr="00871D79"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-2.719.463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142,45</w:t>
            </w: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LJUBLJANA</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622.886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-32,63</w:t>
            </w: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OBČINA SVETI JURIJ OB ŠČAVNICI</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-456.625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23,92</w:t>
            </w:r>
          </w:p>
        </w:tc>
      </w:tr>
      <w:tr w:rsidR="00A4284B" w:rsidRPr="00972554" w:rsidTr="00972554">
        <w:trPr>
          <w:trHeight w:val="300"/>
        </w:trPr>
        <w:tc>
          <w:tcPr>
            <w:tcW w:w="6733" w:type="dxa"/>
            <w:shd w:val="clear" w:color="auto" w:fill="auto"/>
            <w:noWrap/>
            <w:hideMark/>
          </w:tcPr>
          <w:p w:rsidR="00A4284B" w:rsidRPr="00834708" w:rsidRDefault="00A4284B" w:rsidP="0086567B">
            <w:pPr>
              <w:spacing w:line="240" w:lineRule="auto"/>
              <w:jc w:val="left"/>
              <w:rPr>
                <w:rFonts w:ascii="Calibri" w:hAnsi="Calibri"/>
                <w:b/>
                <w:bCs/>
                <w:sz w:val="18"/>
                <w:szCs w:val="18"/>
                <w:lang w:eastAsia="sl-SI"/>
              </w:rPr>
            </w:pPr>
            <w:r w:rsidRPr="00972554">
              <w:rPr>
                <w:rFonts w:ascii="Calibri" w:hAnsi="Calibri"/>
                <w:b/>
                <w:sz w:val="18"/>
                <w:szCs w:val="18"/>
              </w:rPr>
              <w:t xml:space="preserve">921-Dolgoročno prejeta posojila </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b/>
                <w:bCs/>
                <w:sz w:val="18"/>
                <w:szCs w:val="18"/>
                <w:lang w:eastAsia="sl-SI"/>
              </w:rPr>
            </w:pPr>
            <w:r w:rsidRPr="00972554">
              <w:rPr>
                <w:rFonts w:ascii="Calibri" w:hAnsi="Calibri"/>
                <w:b/>
                <w:sz w:val="18"/>
                <w:szCs w:val="18"/>
              </w:rPr>
              <w:t xml:space="preserve">444.267.769 </w:t>
            </w:r>
          </w:p>
        </w:tc>
        <w:tc>
          <w:tcPr>
            <w:tcW w:w="1276" w:type="dxa"/>
            <w:shd w:val="clear" w:color="auto" w:fill="FFFFFF"/>
            <w:noWrap/>
            <w:vAlign w:val="bottom"/>
          </w:tcPr>
          <w:p w:rsidR="00A4284B" w:rsidRPr="00871D79" w:rsidRDefault="00A4284B" w:rsidP="00871D79">
            <w:pPr>
              <w:spacing w:line="240" w:lineRule="auto"/>
              <w:jc w:val="right"/>
              <w:rPr>
                <w:rFonts w:ascii="Calibri" w:hAnsi="Calibri"/>
                <w:b/>
                <w:bCs/>
                <w:sz w:val="18"/>
                <w:szCs w:val="18"/>
                <w:lang w:eastAsia="sl-SI"/>
              </w:rPr>
            </w:pPr>
          </w:p>
        </w:tc>
      </w:tr>
      <w:tr w:rsidR="00A4284B" w:rsidRPr="00972554" w:rsidTr="00972554">
        <w:trPr>
          <w:trHeight w:val="300"/>
        </w:trPr>
        <w:tc>
          <w:tcPr>
            <w:tcW w:w="6733" w:type="dxa"/>
            <w:shd w:val="clear" w:color="auto" w:fill="auto"/>
            <w:noWrap/>
            <w:hideMark/>
          </w:tcPr>
          <w:p w:rsidR="00A4284B" w:rsidRPr="00871D79" w:rsidRDefault="006D7310" w:rsidP="00834708">
            <w:pPr>
              <w:spacing w:line="240" w:lineRule="auto"/>
              <w:ind w:firstLineChars="100" w:firstLine="180"/>
              <w:jc w:val="left"/>
              <w:rPr>
                <w:rFonts w:ascii="Calibri" w:hAnsi="Calibri"/>
                <w:sz w:val="18"/>
                <w:szCs w:val="18"/>
                <w:lang w:eastAsia="sl-SI"/>
              </w:rPr>
            </w:pPr>
            <w:r w:rsidRPr="00F31068">
              <w:rPr>
                <w:rFonts w:ascii="Calibri" w:hAnsi="Calibri"/>
                <w:sz w:val="18"/>
                <w:szCs w:val="18"/>
              </w:rPr>
              <w:t>RS</w:t>
            </w:r>
            <w:r w:rsidR="00A4284B" w:rsidRPr="00972554">
              <w:rPr>
                <w:rFonts w:ascii="Calibri" w:hAnsi="Calibri"/>
                <w:sz w:val="18"/>
                <w:szCs w:val="18"/>
              </w:rPr>
              <w:t xml:space="preserve"> - PRORAČUN</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459.304.035 </w:t>
            </w:r>
          </w:p>
        </w:tc>
        <w:tc>
          <w:tcPr>
            <w:tcW w:w="1276" w:type="dxa"/>
            <w:shd w:val="clear" w:color="auto" w:fill="FFFFFF"/>
            <w:noWrap/>
            <w:vAlign w:val="bottom"/>
          </w:tcPr>
          <w:p w:rsidR="00A4284B" w:rsidRPr="00834708" w:rsidRDefault="00A4284B" w:rsidP="00871D79">
            <w:pPr>
              <w:spacing w:line="240" w:lineRule="auto"/>
              <w:jc w:val="right"/>
              <w:rPr>
                <w:rFonts w:ascii="Calibri" w:hAnsi="Calibri"/>
                <w:sz w:val="18"/>
                <w:szCs w:val="18"/>
                <w:lang w:eastAsia="sl-SI"/>
              </w:rPr>
            </w:pPr>
            <w:r w:rsidRPr="00972554">
              <w:rPr>
                <w:rFonts w:ascii="Calibri" w:hAnsi="Calibri"/>
                <w:sz w:val="18"/>
                <w:szCs w:val="18"/>
              </w:rPr>
              <w:t>103,38</w:t>
            </w: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LJUBLJANA</w:t>
            </w:r>
          </w:p>
        </w:tc>
        <w:tc>
          <w:tcPr>
            <w:tcW w:w="1275" w:type="dxa"/>
            <w:shd w:val="clear" w:color="auto" w:fill="auto"/>
            <w:noWrap/>
            <w:vAlign w:val="bottom"/>
            <w:hideMark/>
          </w:tcPr>
          <w:p w:rsidR="00A4284B" w:rsidRPr="00871D79"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-18.938.388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-4,26</w:t>
            </w: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MARIBOR</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3.668.156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0,83</w:t>
            </w:r>
          </w:p>
        </w:tc>
      </w:tr>
      <w:tr w:rsidR="00A4284B" w:rsidRPr="00972554" w:rsidTr="00972554">
        <w:trPr>
          <w:trHeight w:val="300"/>
        </w:trPr>
        <w:tc>
          <w:tcPr>
            <w:tcW w:w="6733" w:type="dxa"/>
            <w:shd w:val="clear" w:color="auto" w:fill="auto"/>
            <w:noWrap/>
            <w:hideMark/>
          </w:tcPr>
          <w:p w:rsidR="00A4284B" w:rsidRPr="00871D79"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OBČINA LUKOVICA</w:t>
            </w:r>
          </w:p>
        </w:tc>
        <w:tc>
          <w:tcPr>
            <w:tcW w:w="1275" w:type="dxa"/>
            <w:shd w:val="clear" w:color="auto" w:fill="auto"/>
            <w:noWrap/>
            <w:vAlign w:val="bottom"/>
            <w:hideMark/>
          </w:tcPr>
          <w:p w:rsidR="00A4284B" w:rsidRPr="00871D79"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3.500.000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0,79</w:t>
            </w:r>
          </w:p>
        </w:tc>
      </w:tr>
      <w:tr w:rsidR="00A4284B" w:rsidRPr="00972554" w:rsidTr="00972554">
        <w:trPr>
          <w:trHeight w:val="300"/>
        </w:trPr>
        <w:tc>
          <w:tcPr>
            <w:tcW w:w="6733" w:type="dxa"/>
            <w:shd w:val="clear" w:color="auto" w:fill="auto"/>
            <w:noWrap/>
            <w:hideMark/>
          </w:tcPr>
          <w:p w:rsidR="00A4284B" w:rsidRPr="00871D79"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JAVNI SKLAD </w:t>
            </w:r>
            <w:r w:rsidR="006D7310" w:rsidRPr="00F31068">
              <w:rPr>
                <w:rFonts w:ascii="Calibri" w:hAnsi="Calibri"/>
                <w:sz w:val="18"/>
                <w:szCs w:val="18"/>
              </w:rPr>
              <w:t>RS</w:t>
            </w:r>
            <w:r w:rsidRPr="00972554">
              <w:rPr>
                <w:rFonts w:ascii="Calibri" w:hAnsi="Calibri"/>
                <w:sz w:val="18"/>
                <w:szCs w:val="18"/>
              </w:rPr>
              <w:t xml:space="preserve"> ZA REGIONALNI RAZVOJ IN RAZVOJ PODEŽELJA</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-3.177.237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-0,72</w:t>
            </w:r>
          </w:p>
        </w:tc>
      </w:tr>
      <w:tr w:rsidR="00A4284B" w:rsidRPr="00972554" w:rsidTr="00972554">
        <w:trPr>
          <w:trHeight w:val="300"/>
        </w:trPr>
        <w:tc>
          <w:tcPr>
            <w:tcW w:w="6733" w:type="dxa"/>
            <w:shd w:val="clear" w:color="auto" w:fill="auto"/>
            <w:noWrap/>
            <w:hideMark/>
          </w:tcPr>
          <w:p w:rsidR="00A4284B" w:rsidRPr="00871D79" w:rsidRDefault="00A4284B" w:rsidP="0086567B">
            <w:pPr>
              <w:spacing w:line="240" w:lineRule="auto"/>
              <w:jc w:val="left"/>
              <w:rPr>
                <w:rFonts w:ascii="Calibri" w:hAnsi="Calibri"/>
                <w:b/>
                <w:bCs/>
                <w:sz w:val="18"/>
                <w:szCs w:val="18"/>
                <w:lang w:eastAsia="sl-SI"/>
              </w:rPr>
            </w:pPr>
            <w:r w:rsidRPr="00972554">
              <w:rPr>
                <w:rFonts w:ascii="Calibri" w:hAnsi="Calibri"/>
                <w:b/>
                <w:sz w:val="18"/>
                <w:szCs w:val="18"/>
              </w:rPr>
              <w:t xml:space="preserve">922-Dolgoročne obveznosti iz poslovanja </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b/>
                <w:bCs/>
                <w:sz w:val="18"/>
                <w:szCs w:val="18"/>
                <w:lang w:eastAsia="sl-SI"/>
              </w:rPr>
            </w:pPr>
            <w:r w:rsidRPr="00972554">
              <w:rPr>
                <w:rFonts w:ascii="Calibri" w:hAnsi="Calibri"/>
                <w:b/>
                <w:sz w:val="18"/>
                <w:szCs w:val="18"/>
              </w:rPr>
              <w:t xml:space="preserve">-106.240.136 </w:t>
            </w:r>
          </w:p>
        </w:tc>
        <w:tc>
          <w:tcPr>
            <w:tcW w:w="1276" w:type="dxa"/>
            <w:shd w:val="clear" w:color="auto" w:fill="FFFFFF"/>
            <w:noWrap/>
            <w:vAlign w:val="bottom"/>
            <w:hideMark/>
          </w:tcPr>
          <w:p w:rsidR="00A4284B" w:rsidRPr="00871D79" w:rsidRDefault="00A4284B" w:rsidP="00871D79">
            <w:pPr>
              <w:spacing w:line="240" w:lineRule="auto"/>
              <w:jc w:val="right"/>
              <w:rPr>
                <w:rFonts w:ascii="Calibri" w:hAnsi="Calibri"/>
                <w:b/>
                <w:bCs/>
                <w:sz w:val="18"/>
                <w:szCs w:val="18"/>
                <w:lang w:eastAsia="sl-SI"/>
              </w:rPr>
            </w:pPr>
          </w:p>
        </w:tc>
      </w:tr>
      <w:tr w:rsidR="00A4284B" w:rsidRPr="00972554" w:rsidTr="00972554">
        <w:trPr>
          <w:trHeight w:val="300"/>
        </w:trPr>
        <w:tc>
          <w:tcPr>
            <w:tcW w:w="6733" w:type="dxa"/>
            <w:shd w:val="clear" w:color="auto" w:fill="auto"/>
            <w:noWrap/>
            <w:hideMark/>
          </w:tcPr>
          <w:p w:rsidR="00A4284B" w:rsidRPr="00871D79"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MINISTRSTVO ZA INFRASTRUKTURO, DIREKCIJA </w:t>
            </w:r>
            <w:r w:rsidR="006D7310" w:rsidRPr="00F31068">
              <w:rPr>
                <w:rFonts w:ascii="Calibri" w:hAnsi="Calibri"/>
                <w:sz w:val="18"/>
                <w:szCs w:val="18"/>
              </w:rPr>
              <w:t>RS</w:t>
            </w:r>
            <w:r w:rsidRPr="00972554">
              <w:rPr>
                <w:rFonts w:ascii="Calibri" w:hAnsi="Calibri"/>
                <w:sz w:val="18"/>
                <w:szCs w:val="18"/>
              </w:rPr>
              <w:t xml:space="preserve"> ZA INFRASTRUKTURO</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-80.977.063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76,22</w:t>
            </w:r>
          </w:p>
        </w:tc>
      </w:tr>
      <w:tr w:rsidR="00A4284B" w:rsidRPr="00972554" w:rsidTr="00972554">
        <w:trPr>
          <w:trHeight w:val="300"/>
        </w:trPr>
        <w:tc>
          <w:tcPr>
            <w:tcW w:w="6733" w:type="dxa"/>
            <w:shd w:val="clear" w:color="auto" w:fill="auto"/>
            <w:noWrap/>
            <w:hideMark/>
          </w:tcPr>
          <w:p w:rsidR="00A4284B" w:rsidRPr="00F83FBB"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LJUBLJANA</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-11.945.277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11,24</w:t>
            </w:r>
          </w:p>
        </w:tc>
      </w:tr>
      <w:tr w:rsidR="00A4284B" w:rsidRPr="00972554" w:rsidTr="00972554">
        <w:trPr>
          <w:trHeight w:val="300"/>
        </w:trPr>
        <w:tc>
          <w:tcPr>
            <w:tcW w:w="6733" w:type="dxa"/>
            <w:shd w:val="clear" w:color="auto" w:fill="auto"/>
            <w:noWrap/>
            <w:hideMark/>
          </w:tcPr>
          <w:p w:rsidR="00A4284B" w:rsidRPr="00871D79"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JAVNO UPRAVO</w:t>
            </w:r>
          </w:p>
        </w:tc>
        <w:tc>
          <w:tcPr>
            <w:tcW w:w="1275" w:type="dxa"/>
            <w:shd w:val="clear" w:color="auto" w:fill="auto"/>
            <w:noWrap/>
            <w:vAlign w:val="bottom"/>
            <w:hideMark/>
          </w:tcPr>
          <w:p w:rsidR="00A4284B" w:rsidRPr="00871D79"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4.670.701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-4,40</w:t>
            </w: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OBČINA DOL PRI LJUBLJANI</w:t>
            </w:r>
          </w:p>
        </w:tc>
        <w:tc>
          <w:tcPr>
            <w:tcW w:w="1275" w:type="dxa"/>
            <w:shd w:val="clear" w:color="auto" w:fill="auto"/>
            <w:noWrap/>
            <w:vAlign w:val="bottom"/>
            <w:hideMark/>
          </w:tcPr>
          <w:p w:rsidR="00A4284B" w:rsidRPr="00871D79"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-4.613.074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4,34</w:t>
            </w: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INFRASTRUKTURO</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-4.093.442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3,85</w:t>
            </w:r>
          </w:p>
        </w:tc>
      </w:tr>
      <w:tr w:rsidR="00A4284B" w:rsidRPr="00972554" w:rsidTr="00972554">
        <w:trPr>
          <w:trHeight w:val="300"/>
        </w:trPr>
        <w:tc>
          <w:tcPr>
            <w:tcW w:w="6733" w:type="dxa"/>
            <w:shd w:val="clear" w:color="auto" w:fill="auto"/>
            <w:noWrap/>
            <w:hideMark/>
          </w:tcPr>
          <w:p w:rsidR="00A4284B" w:rsidRPr="00834708" w:rsidRDefault="00A4284B" w:rsidP="0086567B">
            <w:pPr>
              <w:spacing w:line="240" w:lineRule="auto"/>
              <w:jc w:val="left"/>
              <w:rPr>
                <w:rFonts w:ascii="Calibri" w:hAnsi="Calibri"/>
                <w:b/>
                <w:bCs/>
                <w:sz w:val="18"/>
                <w:szCs w:val="18"/>
                <w:lang w:eastAsia="sl-SI"/>
              </w:rPr>
            </w:pPr>
            <w:r w:rsidRPr="00972554">
              <w:rPr>
                <w:rFonts w:ascii="Calibri" w:hAnsi="Calibri"/>
                <w:b/>
                <w:sz w:val="18"/>
                <w:szCs w:val="18"/>
              </w:rPr>
              <w:t xml:space="preserve">923-Kratkoročne obveznosti </w:t>
            </w:r>
          </w:p>
        </w:tc>
        <w:tc>
          <w:tcPr>
            <w:tcW w:w="1275" w:type="dxa"/>
            <w:shd w:val="clear" w:color="auto" w:fill="auto"/>
            <w:noWrap/>
            <w:vAlign w:val="bottom"/>
            <w:hideMark/>
          </w:tcPr>
          <w:p w:rsidR="00A4284B" w:rsidRPr="00871D79" w:rsidRDefault="00A4284B" w:rsidP="00834708">
            <w:pPr>
              <w:spacing w:line="240" w:lineRule="auto"/>
              <w:jc w:val="right"/>
              <w:rPr>
                <w:rFonts w:ascii="Calibri" w:hAnsi="Calibri"/>
                <w:b/>
                <w:bCs/>
                <w:sz w:val="18"/>
                <w:szCs w:val="18"/>
                <w:lang w:eastAsia="sl-SI"/>
              </w:rPr>
            </w:pPr>
            <w:r w:rsidRPr="00972554">
              <w:rPr>
                <w:rFonts w:ascii="Calibri" w:hAnsi="Calibri"/>
                <w:b/>
                <w:sz w:val="18"/>
                <w:szCs w:val="18"/>
              </w:rPr>
              <w:t xml:space="preserve">94.738.658 </w:t>
            </w:r>
          </w:p>
        </w:tc>
        <w:tc>
          <w:tcPr>
            <w:tcW w:w="1276" w:type="dxa"/>
            <w:shd w:val="clear" w:color="auto" w:fill="FFFFFF"/>
            <w:noWrap/>
            <w:vAlign w:val="bottom"/>
            <w:hideMark/>
          </w:tcPr>
          <w:p w:rsidR="00A4284B" w:rsidRPr="00F83FBB" w:rsidRDefault="00A4284B" w:rsidP="00871D79">
            <w:pPr>
              <w:spacing w:line="240" w:lineRule="auto"/>
              <w:jc w:val="right"/>
              <w:rPr>
                <w:rFonts w:ascii="Calibri" w:hAnsi="Calibri"/>
                <w:b/>
                <w:bCs/>
                <w:sz w:val="18"/>
                <w:szCs w:val="18"/>
                <w:lang w:eastAsia="sl-SI"/>
              </w:rPr>
            </w:pP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UNIVERZITETNI KLINIČNI CENTER LJUBLJANA</w:t>
            </w:r>
          </w:p>
        </w:tc>
        <w:tc>
          <w:tcPr>
            <w:tcW w:w="1275" w:type="dxa"/>
            <w:shd w:val="clear" w:color="auto" w:fill="auto"/>
            <w:noWrap/>
            <w:vAlign w:val="bottom"/>
            <w:hideMark/>
          </w:tcPr>
          <w:p w:rsidR="00A4284B" w:rsidRPr="00871D79"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26.480.897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27,95</w:t>
            </w:r>
          </w:p>
        </w:tc>
      </w:tr>
      <w:tr w:rsidR="00A4284B" w:rsidRPr="00972554" w:rsidTr="00972554">
        <w:trPr>
          <w:trHeight w:val="300"/>
        </w:trPr>
        <w:tc>
          <w:tcPr>
            <w:tcW w:w="6733" w:type="dxa"/>
            <w:shd w:val="clear" w:color="auto" w:fill="auto"/>
            <w:noWrap/>
            <w:hideMark/>
          </w:tcPr>
          <w:p w:rsidR="00A4284B" w:rsidRPr="00834708" w:rsidRDefault="006D7310" w:rsidP="00834708">
            <w:pPr>
              <w:spacing w:line="240" w:lineRule="auto"/>
              <w:ind w:firstLineChars="100" w:firstLine="180"/>
              <w:jc w:val="left"/>
              <w:rPr>
                <w:rFonts w:ascii="Calibri" w:hAnsi="Calibri"/>
                <w:sz w:val="18"/>
                <w:szCs w:val="18"/>
                <w:lang w:eastAsia="sl-SI"/>
              </w:rPr>
            </w:pPr>
            <w:r w:rsidRPr="00F31068">
              <w:rPr>
                <w:rFonts w:ascii="Calibri" w:hAnsi="Calibri"/>
                <w:sz w:val="18"/>
                <w:szCs w:val="18"/>
              </w:rPr>
              <w:t>RS</w:t>
            </w:r>
            <w:r w:rsidR="00A4284B" w:rsidRPr="00972554">
              <w:rPr>
                <w:rFonts w:ascii="Calibri" w:hAnsi="Calibri"/>
                <w:sz w:val="18"/>
                <w:szCs w:val="18"/>
              </w:rPr>
              <w:t xml:space="preserve"> - PRORAČUN</w:t>
            </w:r>
          </w:p>
        </w:tc>
        <w:tc>
          <w:tcPr>
            <w:tcW w:w="1275" w:type="dxa"/>
            <w:shd w:val="clear" w:color="auto" w:fill="auto"/>
            <w:noWrap/>
            <w:vAlign w:val="bottom"/>
            <w:hideMark/>
          </w:tcPr>
          <w:p w:rsidR="00A4284B" w:rsidRPr="00871D79"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-22.852.149 </w:t>
            </w:r>
          </w:p>
        </w:tc>
        <w:tc>
          <w:tcPr>
            <w:tcW w:w="1276" w:type="dxa"/>
            <w:shd w:val="clear" w:color="auto" w:fill="FFFFFF"/>
            <w:noWrap/>
            <w:vAlign w:val="bottom"/>
            <w:hideMark/>
          </w:tcPr>
          <w:p w:rsidR="00A4284B" w:rsidRPr="00834708" w:rsidRDefault="00A4284B" w:rsidP="00871D79">
            <w:pPr>
              <w:spacing w:line="240" w:lineRule="auto"/>
              <w:jc w:val="right"/>
              <w:rPr>
                <w:rFonts w:ascii="Calibri" w:hAnsi="Calibri"/>
                <w:sz w:val="18"/>
                <w:szCs w:val="18"/>
                <w:lang w:eastAsia="sl-SI"/>
              </w:rPr>
            </w:pPr>
            <w:r w:rsidRPr="00972554">
              <w:rPr>
                <w:rFonts w:ascii="Calibri" w:hAnsi="Calibri"/>
                <w:sz w:val="18"/>
                <w:szCs w:val="18"/>
              </w:rPr>
              <w:t>-24,12</w:t>
            </w:r>
          </w:p>
        </w:tc>
      </w:tr>
      <w:tr w:rsidR="00A4284B" w:rsidRPr="00972554" w:rsidTr="00972554">
        <w:trPr>
          <w:trHeight w:val="300"/>
        </w:trPr>
        <w:tc>
          <w:tcPr>
            <w:tcW w:w="6733" w:type="dxa"/>
            <w:shd w:val="clear" w:color="auto" w:fill="auto"/>
            <w:noWrap/>
            <w:hideMark/>
          </w:tcPr>
          <w:p w:rsidR="00A4284B" w:rsidRPr="00871D79"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MINISTRSTVO ZA OBRAMBO </w:t>
            </w:r>
            <w:r w:rsidR="006D7310" w:rsidRPr="00F31068">
              <w:rPr>
                <w:rFonts w:ascii="Calibri" w:hAnsi="Calibri"/>
                <w:sz w:val="18"/>
                <w:szCs w:val="18"/>
              </w:rPr>
              <w:t>RS</w:t>
            </w:r>
            <w:r w:rsidRPr="00972554">
              <w:rPr>
                <w:rFonts w:ascii="Calibri" w:hAnsi="Calibri"/>
                <w:sz w:val="18"/>
                <w:szCs w:val="18"/>
              </w:rPr>
              <w:t>, GENERALŠTAB SLOVENSKE VOJSKE</w:t>
            </w:r>
          </w:p>
        </w:tc>
        <w:tc>
          <w:tcPr>
            <w:tcW w:w="1275" w:type="dxa"/>
            <w:shd w:val="clear" w:color="auto" w:fill="auto"/>
            <w:noWrap/>
            <w:vAlign w:val="bottom"/>
            <w:hideMark/>
          </w:tcPr>
          <w:p w:rsidR="00A4284B" w:rsidRPr="00871D79"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12.725.708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13,43</w:t>
            </w:r>
          </w:p>
        </w:tc>
      </w:tr>
      <w:tr w:rsidR="00A4284B" w:rsidRPr="00972554" w:rsidTr="00972554">
        <w:trPr>
          <w:trHeight w:val="300"/>
        </w:trPr>
        <w:tc>
          <w:tcPr>
            <w:tcW w:w="6733" w:type="dxa"/>
            <w:shd w:val="clear" w:color="auto" w:fill="auto"/>
            <w:noWrap/>
            <w:hideMark/>
          </w:tcPr>
          <w:p w:rsidR="00A4284B" w:rsidRPr="00871D79" w:rsidRDefault="00733EAE" w:rsidP="00834708">
            <w:pPr>
              <w:spacing w:line="240" w:lineRule="auto"/>
              <w:ind w:firstLineChars="100" w:firstLine="180"/>
              <w:jc w:val="left"/>
              <w:rPr>
                <w:rFonts w:ascii="Calibri" w:hAnsi="Calibri"/>
                <w:sz w:val="18"/>
                <w:szCs w:val="18"/>
                <w:lang w:eastAsia="sl-SI"/>
              </w:rPr>
            </w:pPr>
            <w:r w:rsidRPr="00F31068">
              <w:rPr>
                <w:rFonts w:ascii="Calibri" w:hAnsi="Calibri"/>
                <w:sz w:val="18"/>
                <w:szCs w:val="18"/>
              </w:rPr>
              <w:t>ZZZS</w:t>
            </w:r>
          </w:p>
        </w:tc>
        <w:tc>
          <w:tcPr>
            <w:tcW w:w="1275" w:type="dxa"/>
            <w:shd w:val="clear" w:color="auto" w:fill="auto"/>
            <w:noWrap/>
            <w:vAlign w:val="bottom"/>
            <w:hideMark/>
          </w:tcPr>
          <w:p w:rsidR="00A4284B" w:rsidRPr="00871D79"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11.846.745 </w:t>
            </w:r>
          </w:p>
        </w:tc>
        <w:tc>
          <w:tcPr>
            <w:tcW w:w="1276" w:type="dxa"/>
            <w:shd w:val="clear" w:color="auto" w:fill="FFFFFF"/>
            <w:noWrap/>
            <w:vAlign w:val="bottom"/>
            <w:hideMark/>
          </w:tcPr>
          <w:p w:rsidR="00A4284B" w:rsidRPr="00834708" w:rsidRDefault="00A4284B" w:rsidP="00871D79">
            <w:pPr>
              <w:spacing w:line="240" w:lineRule="auto"/>
              <w:jc w:val="right"/>
              <w:rPr>
                <w:rFonts w:ascii="Calibri" w:hAnsi="Calibri"/>
                <w:sz w:val="18"/>
                <w:szCs w:val="18"/>
                <w:lang w:eastAsia="sl-SI"/>
              </w:rPr>
            </w:pPr>
            <w:r w:rsidRPr="00972554">
              <w:rPr>
                <w:rFonts w:ascii="Calibri" w:hAnsi="Calibri"/>
                <w:sz w:val="18"/>
                <w:szCs w:val="18"/>
              </w:rPr>
              <w:t>12,50</w:t>
            </w:r>
          </w:p>
        </w:tc>
      </w:tr>
      <w:tr w:rsidR="00A4284B" w:rsidRPr="00972554" w:rsidTr="00972554">
        <w:trPr>
          <w:trHeight w:val="300"/>
        </w:trPr>
        <w:tc>
          <w:tcPr>
            <w:tcW w:w="6733" w:type="dxa"/>
            <w:tcBorders>
              <w:bottom w:val="single" w:sz="4" w:space="0" w:color="auto"/>
            </w:tcBorders>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LJUBLJANA</w:t>
            </w:r>
          </w:p>
        </w:tc>
        <w:tc>
          <w:tcPr>
            <w:tcW w:w="1275" w:type="dxa"/>
            <w:tcBorders>
              <w:bottom w:val="single" w:sz="4" w:space="0" w:color="auto"/>
            </w:tcBorders>
            <w:shd w:val="clear" w:color="auto" w:fill="auto"/>
            <w:noWrap/>
            <w:vAlign w:val="bottom"/>
            <w:hideMark/>
          </w:tcPr>
          <w:p w:rsidR="00A4284B" w:rsidRPr="00871D79"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9.004.363 </w:t>
            </w:r>
          </w:p>
        </w:tc>
        <w:tc>
          <w:tcPr>
            <w:tcW w:w="1276" w:type="dxa"/>
            <w:tcBorders>
              <w:bottom w:val="single" w:sz="4" w:space="0" w:color="auto"/>
            </w:tcBorders>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9,50</w:t>
            </w:r>
          </w:p>
        </w:tc>
      </w:tr>
      <w:tr w:rsidR="00A4284B" w:rsidRPr="00972554" w:rsidTr="00972554">
        <w:trPr>
          <w:trHeight w:val="300"/>
        </w:trPr>
        <w:tc>
          <w:tcPr>
            <w:tcW w:w="6733" w:type="dxa"/>
            <w:shd w:val="clear" w:color="auto" w:fill="92D050"/>
            <w:noWrap/>
            <w:hideMark/>
          </w:tcPr>
          <w:p w:rsidR="00A4284B" w:rsidRPr="00834708" w:rsidRDefault="00A4284B" w:rsidP="0086567B">
            <w:pPr>
              <w:spacing w:line="240" w:lineRule="auto"/>
              <w:jc w:val="left"/>
              <w:rPr>
                <w:rFonts w:ascii="Calibri" w:hAnsi="Calibri"/>
                <w:b/>
                <w:bCs/>
                <w:sz w:val="18"/>
                <w:szCs w:val="18"/>
                <w:lang w:eastAsia="sl-SI"/>
              </w:rPr>
            </w:pPr>
            <w:r w:rsidRPr="00972554">
              <w:rPr>
                <w:rFonts w:ascii="Calibri" w:hAnsi="Calibri"/>
                <w:b/>
                <w:sz w:val="18"/>
                <w:szCs w:val="18"/>
              </w:rPr>
              <w:t xml:space="preserve">924-Skupaj pasiva </w:t>
            </w:r>
          </w:p>
        </w:tc>
        <w:tc>
          <w:tcPr>
            <w:tcW w:w="1275" w:type="dxa"/>
            <w:shd w:val="clear" w:color="auto" w:fill="92D050"/>
            <w:noWrap/>
            <w:vAlign w:val="bottom"/>
            <w:hideMark/>
          </w:tcPr>
          <w:p w:rsidR="00A4284B" w:rsidRPr="00834708" w:rsidRDefault="00A4284B" w:rsidP="00834708">
            <w:pPr>
              <w:spacing w:line="240" w:lineRule="auto"/>
              <w:jc w:val="right"/>
              <w:rPr>
                <w:rFonts w:ascii="Calibri" w:hAnsi="Calibri"/>
                <w:b/>
                <w:bCs/>
                <w:sz w:val="18"/>
                <w:szCs w:val="18"/>
                <w:lang w:eastAsia="sl-SI"/>
              </w:rPr>
            </w:pPr>
            <w:r w:rsidRPr="00972554">
              <w:rPr>
                <w:rFonts w:ascii="Calibri" w:hAnsi="Calibri"/>
                <w:b/>
                <w:sz w:val="18"/>
                <w:szCs w:val="18"/>
              </w:rPr>
              <w:t xml:space="preserve">1.502.368.027 </w:t>
            </w:r>
          </w:p>
        </w:tc>
        <w:tc>
          <w:tcPr>
            <w:tcW w:w="1276" w:type="dxa"/>
            <w:shd w:val="clear" w:color="auto" w:fill="92D050"/>
            <w:noWrap/>
            <w:vAlign w:val="bottom"/>
            <w:hideMark/>
          </w:tcPr>
          <w:p w:rsidR="00A4284B" w:rsidRPr="00871D79" w:rsidRDefault="00A4284B" w:rsidP="00871D79">
            <w:pPr>
              <w:spacing w:line="240" w:lineRule="auto"/>
              <w:jc w:val="right"/>
              <w:rPr>
                <w:rFonts w:ascii="Calibri" w:hAnsi="Calibri"/>
                <w:b/>
                <w:bCs/>
                <w:sz w:val="18"/>
                <w:szCs w:val="18"/>
                <w:lang w:eastAsia="sl-SI"/>
              </w:rPr>
            </w:pP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UPRAVLJAVEC SREDSTEV SISTEMA </w:t>
            </w:r>
            <w:r w:rsidR="006D7310" w:rsidRPr="00F31068">
              <w:rPr>
                <w:rFonts w:ascii="Calibri" w:hAnsi="Calibri"/>
                <w:sz w:val="18"/>
                <w:szCs w:val="18"/>
              </w:rPr>
              <w:t>EZRD</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1.514.010.227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100,77</w:t>
            </w: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FINANCE</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-734.524.391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-48,89</w:t>
            </w: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KOPER</w:t>
            </w:r>
          </w:p>
        </w:tc>
        <w:tc>
          <w:tcPr>
            <w:tcW w:w="1275" w:type="dxa"/>
            <w:shd w:val="clear" w:color="auto" w:fill="auto"/>
            <w:noWrap/>
            <w:vAlign w:val="bottom"/>
            <w:hideMark/>
          </w:tcPr>
          <w:p w:rsidR="00A4284B" w:rsidRPr="00871D79"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474.609.987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31,59</w:t>
            </w:r>
          </w:p>
        </w:tc>
      </w:tr>
      <w:tr w:rsidR="00A4284B" w:rsidRPr="00972554" w:rsidTr="00972554">
        <w:trPr>
          <w:trHeight w:val="300"/>
        </w:trPr>
        <w:tc>
          <w:tcPr>
            <w:tcW w:w="6733" w:type="dxa"/>
            <w:shd w:val="clear" w:color="auto" w:fill="auto"/>
            <w:noWrap/>
            <w:hideMark/>
          </w:tcPr>
          <w:p w:rsidR="00A4284B" w:rsidRPr="00871D79"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MINISTRSTVO ZA INFRASTRUKTURO, DIREKCIJA </w:t>
            </w:r>
            <w:r w:rsidR="006D7310" w:rsidRPr="00F31068">
              <w:rPr>
                <w:rFonts w:ascii="Calibri" w:hAnsi="Calibri"/>
                <w:sz w:val="18"/>
                <w:szCs w:val="18"/>
              </w:rPr>
              <w:t>RS</w:t>
            </w:r>
            <w:r w:rsidRPr="00972554">
              <w:rPr>
                <w:rFonts w:ascii="Calibri" w:hAnsi="Calibri"/>
                <w:sz w:val="18"/>
                <w:szCs w:val="18"/>
              </w:rPr>
              <w:t xml:space="preserve"> ZA INFRASTRUKTURO</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190.222.071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12,66</w:t>
            </w:r>
          </w:p>
        </w:tc>
      </w:tr>
      <w:tr w:rsidR="00A4284B" w:rsidRPr="00972554" w:rsidTr="00972554">
        <w:trPr>
          <w:trHeight w:val="300"/>
        </w:trPr>
        <w:tc>
          <w:tcPr>
            <w:tcW w:w="6733" w:type="dxa"/>
            <w:shd w:val="clear" w:color="auto" w:fill="auto"/>
            <w:noWrap/>
            <w:hideMark/>
          </w:tcPr>
          <w:p w:rsidR="00A4284B" w:rsidRPr="00834708" w:rsidRDefault="00A4284B"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OBČINA IZOLA</w:t>
            </w:r>
          </w:p>
        </w:tc>
        <w:tc>
          <w:tcPr>
            <w:tcW w:w="1275" w:type="dxa"/>
            <w:shd w:val="clear" w:color="auto" w:fill="auto"/>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 xml:space="preserve">-97.051.061 </w:t>
            </w:r>
          </w:p>
        </w:tc>
        <w:tc>
          <w:tcPr>
            <w:tcW w:w="1276" w:type="dxa"/>
            <w:shd w:val="clear" w:color="auto" w:fill="FFFFFF"/>
            <w:noWrap/>
            <w:vAlign w:val="bottom"/>
            <w:hideMark/>
          </w:tcPr>
          <w:p w:rsidR="00A4284B" w:rsidRPr="00834708" w:rsidRDefault="00A4284B" w:rsidP="00834708">
            <w:pPr>
              <w:spacing w:line="240" w:lineRule="auto"/>
              <w:jc w:val="right"/>
              <w:rPr>
                <w:rFonts w:ascii="Calibri" w:hAnsi="Calibri"/>
                <w:sz w:val="18"/>
                <w:szCs w:val="18"/>
                <w:lang w:eastAsia="sl-SI"/>
              </w:rPr>
            </w:pPr>
            <w:r w:rsidRPr="00972554">
              <w:rPr>
                <w:rFonts w:ascii="Calibri" w:hAnsi="Calibri"/>
                <w:sz w:val="18"/>
                <w:szCs w:val="18"/>
              </w:rPr>
              <w:t>-6,46</w:t>
            </w:r>
          </w:p>
        </w:tc>
      </w:tr>
    </w:tbl>
    <w:p w:rsidR="001671A0" w:rsidRPr="00B81239" w:rsidRDefault="001671A0" w:rsidP="00CD34E3"/>
    <w:p w:rsidR="000C6AD4" w:rsidRDefault="000C6AD4" w:rsidP="007547E8">
      <w:pPr>
        <w:pStyle w:val="Caption"/>
      </w:pPr>
    </w:p>
    <w:p w:rsidR="000B6906" w:rsidRDefault="000B6906" w:rsidP="007547E8">
      <w:pPr>
        <w:pStyle w:val="Caption"/>
      </w:pPr>
    </w:p>
    <w:p w:rsidR="000C6AD4" w:rsidRDefault="000B6906" w:rsidP="007547E8">
      <w:pPr>
        <w:pStyle w:val="Caption"/>
      </w:pPr>
      <w:bookmarkStart w:id="25" w:name="_Toc49771349"/>
      <w:r>
        <w:lastRenderedPageBreak/>
        <w:t xml:space="preserve">Slika </w:t>
      </w:r>
      <w:r>
        <w:fldChar w:fldCharType="begin"/>
      </w:r>
      <w:r>
        <w:instrText xml:space="preserve"> SEQ Slika \* ARABIC </w:instrText>
      </w:r>
      <w:r>
        <w:fldChar w:fldCharType="separate"/>
      </w:r>
      <w:r>
        <w:rPr>
          <w:noProof/>
        </w:rPr>
        <w:t>4</w:t>
      </w:r>
      <w:r>
        <w:fldChar w:fldCharType="end"/>
      </w:r>
      <w:r>
        <w:t>: Indeks 2018/2017 premoženja in obveznosti države in občin</w:t>
      </w:r>
      <w:bookmarkEnd w:id="25"/>
    </w:p>
    <w:p w:rsidR="000C6AD4" w:rsidRDefault="000C6AD4" w:rsidP="007547E8">
      <w:pPr>
        <w:pStyle w:val="Caption"/>
      </w:pPr>
    </w:p>
    <w:p w:rsidR="007547E8" w:rsidRDefault="00583F4C" w:rsidP="000B6906">
      <w:pPr>
        <w:pStyle w:val="Caption"/>
        <w:spacing w:line="240" w:lineRule="auto"/>
        <w:jc w:val="center"/>
      </w:pPr>
      <w:r>
        <w:rPr>
          <w:noProof/>
          <w:lang w:val="sl-SI" w:eastAsia="sl-SI"/>
        </w:rPr>
        <w:drawing>
          <wp:inline distT="0" distB="0" distL="0" distR="0" wp14:anchorId="0A4EA480" wp14:editId="06096CB0">
            <wp:extent cx="5538470" cy="2971165"/>
            <wp:effectExtent l="0" t="0" r="5080" b="635"/>
            <wp:docPr id="273" name="Picture 273" descr="Indeks 2018/2017" title="Indeks 2018/2017 premoženja in obveznosti države in obč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38470" cy="2971165"/>
                    </a:xfrm>
                    <a:prstGeom prst="rect">
                      <a:avLst/>
                    </a:prstGeom>
                    <a:noFill/>
                  </pic:spPr>
                </pic:pic>
              </a:graphicData>
            </a:graphic>
          </wp:inline>
        </w:drawing>
      </w:r>
    </w:p>
    <w:p w:rsidR="005E0FE6" w:rsidRDefault="005E0FE6" w:rsidP="005E0FE6">
      <w:r>
        <w:rPr>
          <w:b/>
        </w:rPr>
        <w:t>N</w:t>
      </w:r>
      <w:r w:rsidRPr="007E4812">
        <w:rPr>
          <w:b/>
        </w:rPr>
        <w:t>ajvečji porast premoženja države in občin</w:t>
      </w:r>
      <w:r>
        <w:t xml:space="preserve"> zasledimo pri bilančni postavki: </w:t>
      </w:r>
    </w:p>
    <w:p w:rsidR="005E0FE6" w:rsidRPr="00B607FE" w:rsidRDefault="005E0FE6" w:rsidP="00972554">
      <w:pPr>
        <w:numPr>
          <w:ilvl w:val="0"/>
          <w:numId w:val="49"/>
        </w:numPr>
        <w:rPr>
          <w:i/>
        </w:rPr>
      </w:pPr>
      <w:r w:rsidRPr="0034743C">
        <w:rPr>
          <w:b/>
        </w:rPr>
        <w:t>Denarna sredstva</w:t>
      </w:r>
      <w:r w:rsidRPr="00ED1025">
        <w:rPr>
          <w:b/>
        </w:rPr>
        <w:t xml:space="preserve"> (za </w:t>
      </w:r>
      <w:r>
        <w:rPr>
          <w:b/>
        </w:rPr>
        <w:t>43,45</w:t>
      </w:r>
      <w:r w:rsidRPr="00ED1025">
        <w:rPr>
          <w:b/>
        </w:rPr>
        <w:t>%) – največ:</w:t>
      </w:r>
    </w:p>
    <w:p w:rsidR="005E0FE6" w:rsidRDefault="005E0FE6" w:rsidP="00972554">
      <w:pPr>
        <w:numPr>
          <w:ilvl w:val="1"/>
          <w:numId w:val="49"/>
        </w:numPr>
        <w:rPr>
          <w:i/>
        </w:rPr>
      </w:pPr>
      <w:r w:rsidRPr="00B607FE">
        <w:rPr>
          <w:i/>
        </w:rPr>
        <w:t>Upravljavec sredstev sistema EZRD</w:t>
      </w:r>
    </w:p>
    <w:p w:rsidR="005E0FE6" w:rsidRDefault="005E0FE6" w:rsidP="00972554">
      <w:pPr>
        <w:numPr>
          <w:ilvl w:val="1"/>
          <w:numId w:val="49"/>
        </w:numPr>
        <w:rPr>
          <w:i/>
        </w:rPr>
      </w:pPr>
      <w:r>
        <w:rPr>
          <w:i/>
        </w:rPr>
        <w:t>Ministrstvo za finance</w:t>
      </w:r>
    </w:p>
    <w:p w:rsidR="005E0FE6" w:rsidRPr="00B607FE" w:rsidRDefault="005E0FE6" w:rsidP="00972554">
      <w:pPr>
        <w:numPr>
          <w:ilvl w:val="0"/>
          <w:numId w:val="49"/>
        </w:numPr>
        <w:rPr>
          <w:i/>
        </w:rPr>
      </w:pPr>
      <w:r>
        <w:rPr>
          <w:b/>
        </w:rPr>
        <w:t>Sedanja vrednost opreme in drugih opredmetenih osnovnih sredstev</w:t>
      </w:r>
      <w:r w:rsidRPr="0034743C">
        <w:rPr>
          <w:b/>
        </w:rPr>
        <w:t xml:space="preserve"> (za </w:t>
      </w:r>
      <w:r>
        <w:rPr>
          <w:b/>
        </w:rPr>
        <w:t>27,59</w:t>
      </w:r>
      <w:r w:rsidRPr="0034743C">
        <w:rPr>
          <w:b/>
        </w:rPr>
        <w:t>%)</w:t>
      </w:r>
      <w:r>
        <w:rPr>
          <w:i/>
        </w:rPr>
        <w:t xml:space="preserve"> </w:t>
      </w:r>
      <w:r w:rsidRPr="00ED1025">
        <w:rPr>
          <w:b/>
        </w:rPr>
        <w:t>– največ:</w:t>
      </w:r>
    </w:p>
    <w:p w:rsidR="005E0FE6" w:rsidRDefault="005E0FE6" w:rsidP="00972554">
      <w:pPr>
        <w:numPr>
          <w:ilvl w:val="1"/>
          <w:numId w:val="49"/>
        </w:numPr>
        <w:rPr>
          <w:i/>
        </w:rPr>
      </w:pPr>
      <w:r>
        <w:rPr>
          <w:i/>
        </w:rPr>
        <w:t>Ministrstvo za infrastrukturo, D</w:t>
      </w:r>
      <w:r w:rsidRPr="002823FE">
        <w:rPr>
          <w:i/>
        </w:rPr>
        <w:t xml:space="preserve">irekcija </w:t>
      </w:r>
      <w:r>
        <w:rPr>
          <w:i/>
        </w:rPr>
        <w:t>RS</w:t>
      </w:r>
      <w:r w:rsidRPr="002823FE">
        <w:rPr>
          <w:i/>
        </w:rPr>
        <w:t xml:space="preserve"> za infrastrukturo</w:t>
      </w:r>
    </w:p>
    <w:p w:rsidR="005E0FE6" w:rsidRPr="0042621C" w:rsidRDefault="005E0FE6" w:rsidP="00972554">
      <w:pPr>
        <w:numPr>
          <w:ilvl w:val="1"/>
          <w:numId w:val="49"/>
        </w:numPr>
        <w:rPr>
          <w:i/>
        </w:rPr>
      </w:pPr>
      <w:r>
        <w:rPr>
          <w:i/>
        </w:rPr>
        <w:t>Univerzitetni klinični center Ljubljana</w:t>
      </w:r>
    </w:p>
    <w:p w:rsidR="005E0FE6" w:rsidRPr="00ED1025" w:rsidRDefault="005E0FE6" w:rsidP="00972554">
      <w:pPr>
        <w:numPr>
          <w:ilvl w:val="0"/>
          <w:numId w:val="49"/>
        </w:numPr>
        <w:rPr>
          <w:b/>
        </w:rPr>
      </w:pPr>
      <w:r>
        <w:rPr>
          <w:b/>
        </w:rPr>
        <w:t xml:space="preserve">Dolgoročno dana posojila in depoziti </w:t>
      </w:r>
      <w:r w:rsidRPr="00ED1025">
        <w:rPr>
          <w:b/>
        </w:rPr>
        <w:t xml:space="preserve"> (za </w:t>
      </w:r>
      <w:r>
        <w:rPr>
          <w:b/>
        </w:rPr>
        <w:t>9,84</w:t>
      </w:r>
      <w:r w:rsidRPr="00ED1025">
        <w:rPr>
          <w:b/>
        </w:rPr>
        <w:t>%) – največ:</w:t>
      </w:r>
    </w:p>
    <w:p w:rsidR="005E0FE6" w:rsidRDefault="005E0FE6" w:rsidP="00972554">
      <w:pPr>
        <w:numPr>
          <w:ilvl w:val="1"/>
          <w:numId w:val="49"/>
        </w:numPr>
        <w:rPr>
          <w:i/>
        </w:rPr>
      </w:pPr>
      <w:r w:rsidRPr="00B607FE">
        <w:rPr>
          <w:i/>
        </w:rPr>
        <w:t>Upravljavec sredstev sistema EZRD</w:t>
      </w:r>
    </w:p>
    <w:p w:rsidR="005E0FE6" w:rsidRDefault="005E0FE6" w:rsidP="00972554">
      <w:pPr>
        <w:numPr>
          <w:ilvl w:val="1"/>
          <w:numId w:val="49"/>
        </w:numPr>
        <w:rPr>
          <w:i/>
        </w:rPr>
      </w:pPr>
      <w:r>
        <w:rPr>
          <w:i/>
        </w:rPr>
        <w:t>Ministrstvo za finance</w:t>
      </w:r>
    </w:p>
    <w:p w:rsidR="005E0FE6" w:rsidRDefault="005E0FE6" w:rsidP="00972554">
      <w:pPr>
        <w:numPr>
          <w:ilvl w:val="1"/>
          <w:numId w:val="49"/>
        </w:numPr>
        <w:rPr>
          <w:i/>
        </w:rPr>
      </w:pPr>
      <w:r>
        <w:rPr>
          <w:i/>
        </w:rPr>
        <w:t>Sklad NEK</w:t>
      </w:r>
    </w:p>
    <w:p w:rsidR="005E0FE6" w:rsidRPr="00DE3814" w:rsidRDefault="005E0FE6" w:rsidP="00972554">
      <w:pPr>
        <w:numPr>
          <w:ilvl w:val="1"/>
          <w:numId w:val="49"/>
        </w:numPr>
        <w:rPr>
          <w:i/>
        </w:rPr>
      </w:pPr>
      <w:r>
        <w:rPr>
          <w:i/>
        </w:rPr>
        <w:t>Javni sklad RS za regionalni razvoj in razvoj podeželja</w:t>
      </w:r>
    </w:p>
    <w:p w:rsidR="005E0FE6" w:rsidRDefault="005E0FE6" w:rsidP="00972554">
      <w:pPr>
        <w:numPr>
          <w:ilvl w:val="0"/>
          <w:numId w:val="49"/>
        </w:numPr>
        <w:rPr>
          <w:i/>
        </w:rPr>
      </w:pPr>
      <w:r w:rsidRPr="0034743C">
        <w:rPr>
          <w:b/>
        </w:rPr>
        <w:t>Sedanja vrednost neopredmetenih sredstev in dolgoročnih aktivnih časovnih razmejitev</w:t>
      </w:r>
      <w:r w:rsidRPr="003078E7">
        <w:rPr>
          <w:b/>
        </w:rPr>
        <w:t xml:space="preserve"> (za </w:t>
      </w:r>
      <w:r>
        <w:rPr>
          <w:b/>
        </w:rPr>
        <w:t>6,97</w:t>
      </w:r>
      <w:r w:rsidRPr="003078E7">
        <w:rPr>
          <w:b/>
        </w:rPr>
        <w:t>%)</w:t>
      </w:r>
      <w:r>
        <w:rPr>
          <w:i/>
        </w:rPr>
        <w:t xml:space="preserve"> </w:t>
      </w:r>
      <w:r w:rsidRPr="00ED1025">
        <w:rPr>
          <w:b/>
        </w:rPr>
        <w:t>– največ</w:t>
      </w:r>
      <w:r>
        <w:rPr>
          <w:b/>
        </w:rPr>
        <w:t>:</w:t>
      </w:r>
    </w:p>
    <w:p w:rsidR="005E0FE6" w:rsidRPr="003B6EB4" w:rsidRDefault="005E0FE6" w:rsidP="00972554">
      <w:pPr>
        <w:numPr>
          <w:ilvl w:val="1"/>
          <w:numId w:val="49"/>
        </w:numPr>
      </w:pPr>
      <w:r>
        <w:rPr>
          <w:i/>
        </w:rPr>
        <w:t>Ministrstvo za javno upravo</w:t>
      </w:r>
    </w:p>
    <w:p w:rsidR="005E0FE6" w:rsidRPr="0034743C" w:rsidRDefault="005E0FE6" w:rsidP="00972554">
      <w:pPr>
        <w:numPr>
          <w:ilvl w:val="1"/>
          <w:numId w:val="49"/>
        </w:numPr>
      </w:pPr>
      <w:r>
        <w:rPr>
          <w:i/>
        </w:rPr>
        <w:t>Ministrstvo za obrambo</w:t>
      </w:r>
    </w:p>
    <w:p w:rsidR="005E0FE6" w:rsidRDefault="005E0FE6" w:rsidP="005E0FE6">
      <w:pPr>
        <w:rPr>
          <w:b/>
        </w:rPr>
      </w:pPr>
    </w:p>
    <w:p w:rsidR="005E0FE6" w:rsidRDefault="005E0FE6" w:rsidP="005E0FE6">
      <w:r w:rsidRPr="007E4812">
        <w:rPr>
          <w:b/>
        </w:rPr>
        <w:t xml:space="preserve">Največji porast </w:t>
      </w:r>
      <w:r>
        <w:rPr>
          <w:b/>
        </w:rPr>
        <w:t>obveznosti</w:t>
      </w:r>
      <w:r w:rsidRPr="007E4812">
        <w:rPr>
          <w:b/>
        </w:rPr>
        <w:t xml:space="preserve"> države in občin</w:t>
      </w:r>
      <w:r>
        <w:t xml:space="preserve"> zasledimo pri bilančni postavki: </w:t>
      </w:r>
    </w:p>
    <w:p w:rsidR="005E0FE6" w:rsidRPr="00ED1025" w:rsidRDefault="005E0FE6" w:rsidP="00972554">
      <w:pPr>
        <w:numPr>
          <w:ilvl w:val="0"/>
          <w:numId w:val="50"/>
        </w:numPr>
        <w:rPr>
          <w:b/>
        </w:rPr>
      </w:pPr>
      <w:r>
        <w:rPr>
          <w:b/>
        </w:rPr>
        <w:t xml:space="preserve">Kratkoročne obveznosti </w:t>
      </w:r>
      <w:r w:rsidRPr="00ED1025">
        <w:rPr>
          <w:b/>
        </w:rPr>
        <w:t xml:space="preserve">(za </w:t>
      </w:r>
      <w:r>
        <w:rPr>
          <w:b/>
        </w:rPr>
        <w:t>3,19</w:t>
      </w:r>
      <w:r w:rsidRPr="00ED1025">
        <w:rPr>
          <w:b/>
        </w:rPr>
        <w:t>%) – največ:</w:t>
      </w:r>
    </w:p>
    <w:p w:rsidR="005E0FE6" w:rsidRPr="003B6EB4" w:rsidRDefault="005E0FE6" w:rsidP="00972554">
      <w:pPr>
        <w:numPr>
          <w:ilvl w:val="1"/>
          <w:numId w:val="50"/>
        </w:numPr>
      </w:pPr>
      <w:r>
        <w:rPr>
          <w:i/>
        </w:rPr>
        <w:t>Univerzitetni klinični center Ljubljana</w:t>
      </w:r>
    </w:p>
    <w:p w:rsidR="005E0FE6" w:rsidRPr="003B6EB4" w:rsidRDefault="005E0FE6" w:rsidP="00972554">
      <w:pPr>
        <w:numPr>
          <w:ilvl w:val="1"/>
          <w:numId w:val="49"/>
        </w:numPr>
      </w:pPr>
      <w:r>
        <w:rPr>
          <w:i/>
        </w:rPr>
        <w:t>Ministrstvo za obrambo, Generalštab slovenske vojske</w:t>
      </w:r>
    </w:p>
    <w:p w:rsidR="005E0FE6" w:rsidRPr="003B6EB4" w:rsidRDefault="005E0FE6" w:rsidP="00972554">
      <w:pPr>
        <w:numPr>
          <w:ilvl w:val="1"/>
          <w:numId w:val="49"/>
        </w:numPr>
      </w:pPr>
      <w:r>
        <w:rPr>
          <w:i/>
        </w:rPr>
        <w:t>ZZZS</w:t>
      </w:r>
    </w:p>
    <w:p w:rsidR="005E0FE6" w:rsidRPr="0034743C" w:rsidRDefault="005E0FE6" w:rsidP="00972554">
      <w:pPr>
        <w:numPr>
          <w:ilvl w:val="1"/>
          <w:numId w:val="49"/>
        </w:numPr>
      </w:pPr>
      <w:r>
        <w:rPr>
          <w:i/>
        </w:rPr>
        <w:t>Mestna občina Ljubljana</w:t>
      </w:r>
    </w:p>
    <w:p w:rsidR="005E0FE6" w:rsidRDefault="005E0FE6" w:rsidP="005E0FE6"/>
    <w:p w:rsidR="005E0FE6" w:rsidRDefault="005E0FE6" w:rsidP="005E0FE6">
      <w:r>
        <w:rPr>
          <w:b/>
        </w:rPr>
        <w:t>Največji padec</w:t>
      </w:r>
      <w:r w:rsidRPr="007E4812">
        <w:rPr>
          <w:b/>
        </w:rPr>
        <w:t xml:space="preserve"> premoženja države in občin</w:t>
      </w:r>
      <w:r>
        <w:t xml:space="preserve"> zasledimo pri bilančni postavki:</w:t>
      </w:r>
    </w:p>
    <w:p w:rsidR="005E0FE6" w:rsidRPr="00ED1025" w:rsidRDefault="005E0FE6" w:rsidP="00972554">
      <w:pPr>
        <w:numPr>
          <w:ilvl w:val="0"/>
          <w:numId w:val="51"/>
        </w:numPr>
        <w:rPr>
          <w:b/>
        </w:rPr>
      </w:pPr>
      <w:r>
        <w:rPr>
          <w:b/>
        </w:rPr>
        <w:t>Dolgoročne terjatve iz poslovanja</w:t>
      </w:r>
      <w:r w:rsidRPr="00ED1025">
        <w:rPr>
          <w:b/>
        </w:rPr>
        <w:t xml:space="preserve"> (za </w:t>
      </w:r>
      <w:r>
        <w:rPr>
          <w:b/>
        </w:rPr>
        <w:t>10,51</w:t>
      </w:r>
      <w:r w:rsidRPr="00ED1025">
        <w:rPr>
          <w:b/>
        </w:rPr>
        <w:t>%) – največ:</w:t>
      </w:r>
    </w:p>
    <w:p w:rsidR="005E0FE6" w:rsidRPr="003B6EB4" w:rsidRDefault="005E0FE6" w:rsidP="00972554">
      <w:pPr>
        <w:numPr>
          <w:ilvl w:val="1"/>
          <w:numId w:val="51"/>
        </w:numPr>
      </w:pPr>
      <w:r>
        <w:rPr>
          <w:i/>
        </w:rPr>
        <w:t>Ministrstvo za infrastrukturo</w:t>
      </w:r>
    </w:p>
    <w:p w:rsidR="005E0FE6" w:rsidRPr="0034743C" w:rsidRDefault="005E0FE6" w:rsidP="00972554">
      <w:pPr>
        <w:numPr>
          <w:ilvl w:val="1"/>
          <w:numId w:val="51"/>
        </w:numPr>
      </w:pPr>
      <w:r>
        <w:rPr>
          <w:i/>
        </w:rPr>
        <w:t>Mestna občina Ljubljana</w:t>
      </w:r>
    </w:p>
    <w:p w:rsidR="005E0FE6" w:rsidRPr="003B6EB4" w:rsidRDefault="005E0FE6" w:rsidP="00972554">
      <w:pPr>
        <w:numPr>
          <w:ilvl w:val="1"/>
          <w:numId w:val="51"/>
        </w:numPr>
      </w:pPr>
      <w:r>
        <w:rPr>
          <w:i/>
        </w:rPr>
        <w:t>RS-Proračun</w:t>
      </w:r>
    </w:p>
    <w:p w:rsidR="005E0FE6" w:rsidRDefault="005E0FE6" w:rsidP="00972554">
      <w:pPr>
        <w:numPr>
          <w:ilvl w:val="1"/>
          <w:numId w:val="51"/>
        </w:numPr>
      </w:pPr>
      <w:r>
        <w:rPr>
          <w:i/>
        </w:rPr>
        <w:t>Ministrstvo za finance</w:t>
      </w:r>
    </w:p>
    <w:p w:rsidR="005E0FE6" w:rsidRPr="00ED1025" w:rsidRDefault="005E0FE6" w:rsidP="00972554">
      <w:pPr>
        <w:numPr>
          <w:ilvl w:val="0"/>
          <w:numId w:val="51"/>
        </w:numPr>
        <w:rPr>
          <w:b/>
        </w:rPr>
      </w:pPr>
      <w:r>
        <w:rPr>
          <w:b/>
        </w:rPr>
        <w:t>Dolgoročne finančne naložbe</w:t>
      </w:r>
      <w:r w:rsidRPr="00ED1025">
        <w:rPr>
          <w:b/>
        </w:rPr>
        <w:t xml:space="preserve"> (za </w:t>
      </w:r>
      <w:r>
        <w:rPr>
          <w:b/>
        </w:rPr>
        <w:t>6,76</w:t>
      </w:r>
      <w:r w:rsidRPr="00ED1025">
        <w:rPr>
          <w:b/>
        </w:rPr>
        <w:t>%) – največ:</w:t>
      </w:r>
    </w:p>
    <w:p w:rsidR="005E0FE6" w:rsidRDefault="005E0FE6" w:rsidP="00972554">
      <w:pPr>
        <w:numPr>
          <w:ilvl w:val="1"/>
          <w:numId w:val="51"/>
        </w:numPr>
        <w:rPr>
          <w:i/>
        </w:rPr>
      </w:pPr>
      <w:r>
        <w:rPr>
          <w:i/>
        </w:rPr>
        <w:t>Ministrstvo za finance</w:t>
      </w:r>
    </w:p>
    <w:p w:rsidR="005E0FE6" w:rsidRPr="00ED1025" w:rsidRDefault="005E0FE6" w:rsidP="00972554">
      <w:pPr>
        <w:numPr>
          <w:ilvl w:val="0"/>
          <w:numId w:val="51"/>
        </w:numPr>
        <w:rPr>
          <w:b/>
        </w:rPr>
      </w:pPr>
      <w:r>
        <w:rPr>
          <w:b/>
        </w:rPr>
        <w:t xml:space="preserve">Terjatve za sredstva dana v upravljanje </w:t>
      </w:r>
      <w:r w:rsidRPr="00ED1025">
        <w:rPr>
          <w:b/>
        </w:rPr>
        <w:t xml:space="preserve">(za </w:t>
      </w:r>
      <w:r>
        <w:rPr>
          <w:b/>
        </w:rPr>
        <w:t>5,36</w:t>
      </w:r>
      <w:r w:rsidRPr="00ED1025">
        <w:rPr>
          <w:b/>
        </w:rPr>
        <w:t>%) – največ:</w:t>
      </w:r>
    </w:p>
    <w:p w:rsidR="005E0FE6" w:rsidRDefault="005E0FE6" w:rsidP="005E0FE6">
      <w:pPr>
        <w:numPr>
          <w:ilvl w:val="0"/>
          <w:numId w:val="35"/>
        </w:numPr>
        <w:rPr>
          <w:i/>
        </w:rPr>
      </w:pPr>
      <w:r>
        <w:rPr>
          <w:i/>
        </w:rPr>
        <w:lastRenderedPageBreak/>
        <w:t>Občina Metlika</w:t>
      </w:r>
    </w:p>
    <w:p w:rsidR="005E0FE6" w:rsidRPr="00221DE5" w:rsidRDefault="005E0FE6" w:rsidP="005E0FE6">
      <w:pPr>
        <w:numPr>
          <w:ilvl w:val="0"/>
          <w:numId w:val="35"/>
        </w:numPr>
        <w:rPr>
          <w:i/>
        </w:rPr>
      </w:pPr>
      <w:r>
        <w:rPr>
          <w:i/>
        </w:rPr>
        <w:t>Občina Šenčur</w:t>
      </w:r>
    </w:p>
    <w:p w:rsidR="005E0FE6" w:rsidRDefault="005E0FE6" w:rsidP="005E0FE6">
      <w:pPr>
        <w:numPr>
          <w:ilvl w:val="0"/>
          <w:numId w:val="35"/>
        </w:numPr>
        <w:rPr>
          <w:i/>
        </w:rPr>
      </w:pPr>
      <w:r>
        <w:rPr>
          <w:i/>
        </w:rPr>
        <w:t>Občina Markovci</w:t>
      </w:r>
    </w:p>
    <w:p w:rsidR="005E0FE6" w:rsidRDefault="005E0FE6" w:rsidP="005E0FE6">
      <w:pPr>
        <w:numPr>
          <w:ilvl w:val="0"/>
          <w:numId w:val="35"/>
        </w:numPr>
        <w:rPr>
          <w:i/>
        </w:rPr>
      </w:pPr>
      <w:r>
        <w:rPr>
          <w:i/>
        </w:rPr>
        <w:t>Občina Bled</w:t>
      </w:r>
    </w:p>
    <w:p w:rsidR="005E0FE6" w:rsidRDefault="005E0FE6" w:rsidP="005E0FE6"/>
    <w:p w:rsidR="005E0FE6" w:rsidRDefault="005E0FE6" w:rsidP="005E0FE6">
      <w:r>
        <w:rPr>
          <w:b/>
        </w:rPr>
        <w:t>Največji padec</w:t>
      </w:r>
      <w:r w:rsidRPr="007E4812">
        <w:rPr>
          <w:b/>
        </w:rPr>
        <w:t xml:space="preserve"> </w:t>
      </w:r>
      <w:r>
        <w:rPr>
          <w:b/>
        </w:rPr>
        <w:t>obveznosti</w:t>
      </w:r>
      <w:r w:rsidRPr="007E4812">
        <w:rPr>
          <w:b/>
        </w:rPr>
        <w:t xml:space="preserve"> države in občin</w:t>
      </w:r>
      <w:r>
        <w:t xml:space="preserve"> zasledimo pri bilančni postavki: </w:t>
      </w:r>
    </w:p>
    <w:p w:rsidR="005E0FE6" w:rsidRPr="00ED1025" w:rsidRDefault="005E0FE6" w:rsidP="00972554">
      <w:pPr>
        <w:numPr>
          <w:ilvl w:val="0"/>
          <w:numId w:val="52"/>
        </w:numPr>
        <w:rPr>
          <w:b/>
        </w:rPr>
      </w:pPr>
      <w:r>
        <w:rPr>
          <w:b/>
        </w:rPr>
        <w:t>Dolgoročne obveznosti</w:t>
      </w:r>
      <w:r w:rsidRPr="00ED1025">
        <w:rPr>
          <w:b/>
        </w:rPr>
        <w:t xml:space="preserve"> </w:t>
      </w:r>
      <w:r>
        <w:rPr>
          <w:b/>
        </w:rPr>
        <w:t xml:space="preserve">iz poslovanja </w:t>
      </w:r>
      <w:r w:rsidRPr="00ED1025">
        <w:rPr>
          <w:b/>
        </w:rPr>
        <w:t xml:space="preserve">(za </w:t>
      </w:r>
      <w:r>
        <w:rPr>
          <w:b/>
        </w:rPr>
        <w:t>24,75</w:t>
      </w:r>
      <w:r w:rsidRPr="00ED1025">
        <w:rPr>
          <w:b/>
        </w:rPr>
        <w:t>%) – največ:</w:t>
      </w:r>
    </w:p>
    <w:p w:rsidR="005E0FE6" w:rsidRDefault="005E0FE6" w:rsidP="00972554">
      <w:pPr>
        <w:numPr>
          <w:ilvl w:val="1"/>
          <w:numId w:val="52"/>
        </w:numPr>
        <w:rPr>
          <w:i/>
        </w:rPr>
      </w:pPr>
      <w:r>
        <w:rPr>
          <w:i/>
        </w:rPr>
        <w:t>Ministrstvo za infrastrukturo, D</w:t>
      </w:r>
      <w:r w:rsidRPr="002823FE">
        <w:rPr>
          <w:i/>
        </w:rPr>
        <w:t xml:space="preserve">irekcija </w:t>
      </w:r>
      <w:r>
        <w:rPr>
          <w:i/>
        </w:rPr>
        <w:t>RS</w:t>
      </w:r>
      <w:r w:rsidRPr="002823FE">
        <w:rPr>
          <w:i/>
        </w:rPr>
        <w:t xml:space="preserve"> za infrastrukturo</w:t>
      </w:r>
    </w:p>
    <w:p w:rsidR="005E0FE6" w:rsidRDefault="005E0FE6" w:rsidP="005E0FE6">
      <w:pPr>
        <w:numPr>
          <w:ilvl w:val="0"/>
          <w:numId w:val="30"/>
        </w:numPr>
        <w:rPr>
          <w:i/>
        </w:rPr>
      </w:pPr>
      <w:r>
        <w:rPr>
          <w:i/>
        </w:rPr>
        <w:t>Mestna občina Ljubljana</w:t>
      </w:r>
    </w:p>
    <w:p w:rsidR="005E0FE6" w:rsidRDefault="005E0FE6" w:rsidP="005E0FE6">
      <w:pPr>
        <w:numPr>
          <w:ilvl w:val="0"/>
          <w:numId w:val="30"/>
        </w:numPr>
        <w:rPr>
          <w:i/>
        </w:rPr>
      </w:pPr>
      <w:r>
        <w:rPr>
          <w:i/>
        </w:rPr>
        <w:t>Občina Dol pri Ljubljani</w:t>
      </w:r>
    </w:p>
    <w:p w:rsidR="00C66595" w:rsidRPr="00ED1025" w:rsidRDefault="005E0FE6" w:rsidP="000F6B5B">
      <w:pPr>
        <w:numPr>
          <w:ilvl w:val="0"/>
          <w:numId w:val="44"/>
        </w:numPr>
        <w:rPr>
          <w:i/>
        </w:rPr>
      </w:pPr>
      <w:r>
        <w:rPr>
          <w:i/>
        </w:rPr>
        <w:t>Ministrstvo za infrastrukturo</w:t>
      </w:r>
    </w:p>
    <w:p w:rsidR="008373D9" w:rsidRDefault="00007D56" w:rsidP="008373D9">
      <w:pPr>
        <w:pStyle w:val="Heading2"/>
      </w:pPr>
      <w:bookmarkStart w:id="26" w:name="_Toc452387037"/>
      <w:bookmarkStart w:id="27" w:name="_Toc452387038"/>
      <w:bookmarkStart w:id="28" w:name="_Toc49771309"/>
      <w:bookmarkEnd w:id="26"/>
      <w:bookmarkEnd w:id="27"/>
      <w:r>
        <w:t>Časovna primerjava in analiza postavk KPBDO</w:t>
      </w:r>
      <w:bookmarkEnd w:id="28"/>
    </w:p>
    <w:p w:rsidR="00007D56" w:rsidRPr="00AC03D2" w:rsidRDefault="00007D56" w:rsidP="00007D56">
      <w:pPr>
        <w:rPr>
          <w:szCs w:val="22"/>
        </w:rPr>
      </w:pPr>
      <w:r w:rsidRPr="008D0662">
        <w:rPr>
          <w:rFonts w:cs="Arial"/>
          <w:noProof/>
          <w:szCs w:val="22"/>
        </w:rPr>
        <w:t xml:space="preserve">Iz </w:t>
      </w:r>
      <w:r>
        <w:rPr>
          <w:szCs w:val="22"/>
        </w:rPr>
        <w:t>analize</w:t>
      </w:r>
      <w:r w:rsidRPr="008D0662">
        <w:rPr>
          <w:szCs w:val="22"/>
        </w:rPr>
        <w:t xml:space="preserve"> premoženja države in občin, izkazanega </w:t>
      </w:r>
      <w:proofErr w:type="gramStart"/>
      <w:r w:rsidRPr="008D0662">
        <w:rPr>
          <w:szCs w:val="22"/>
        </w:rPr>
        <w:t>na</w:t>
      </w:r>
      <w:proofErr w:type="gramEnd"/>
      <w:r w:rsidRPr="008D0662">
        <w:rPr>
          <w:szCs w:val="22"/>
        </w:rPr>
        <w:t xml:space="preserve"> zadnji dan </w:t>
      </w:r>
      <w:r w:rsidRPr="00AC03D2">
        <w:rPr>
          <w:szCs w:val="22"/>
        </w:rPr>
        <w:t xml:space="preserve">leta v </w:t>
      </w:r>
      <w:r>
        <w:rPr>
          <w:szCs w:val="22"/>
        </w:rPr>
        <w:t>obdobju 20</w:t>
      </w:r>
      <w:r w:rsidR="006A7E7F">
        <w:rPr>
          <w:szCs w:val="22"/>
        </w:rPr>
        <w:t>1</w:t>
      </w:r>
      <w:r w:rsidR="00755DD0">
        <w:rPr>
          <w:szCs w:val="22"/>
        </w:rPr>
        <w:t>2</w:t>
      </w:r>
      <w:r w:rsidRPr="008D0662">
        <w:rPr>
          <w:szCs w:val="22"/>
        </w:rPr>
        <w:t>-201</w:t>
      </w:r>
      <w:r w:rsidR="00755DD0">
        <w:rPr>
          <w:szCs w:val="22"/>
        </w:rPr>
        <w:t>8</w:t>
      </w:r>
      <w:r w:rsidRPr="00AC03D2">
        <w:rPr>
          <w:szCs w:val="22"/>
        </w:rPr>
        <w:t>, je razvidno</w:t>
      </w:r>
      <w:r w:rsidR="005A5AC3">
        <w:rPr>
          <w:szCs w:val="22"/>
        </w:rPr>
        <w:t>, da je znesek</w:t>
      </w:r>
      <w:r w:rsidRPr="00AC03D2">
        <w:rPr>
          <w:szCs w:val="22"/>
        </w:rPr>
        <w:t>:</w:t>
      </w:r>
    </w:p>
    <w:p w:rsidR="00007D56" w:rsidRPr="00AC03D2" w:rsidRDefault="00007D56" w:rsidP="00BC536D">
      <w:pPr>
        <w:numPr>
          <w:ilvl w:val="0"/>
          <w:numId w:val="13"/>
        </w:numPr>
        <w:spacing w:line="240" w:lineRule="auto"/>
        <w:rPr>
          <w:szCs w:val="22"/>
        </w:rPr>
      </w:pPr>
      <w:r w:rsidRPr="00AC03D2">
        <w:rPr>
          <w:szCs w:val="22"/>
        </w:rPr>
        <w:t>skupne bilančne vsote naraščal</w:t>
      </w:r>
      <w:r w:rsidR="004D0593">
        <w:rPr>
          <w:szCs w:val="22"/>
        </w:rPr>
        <w:t xml:space="preserve"> </w:t>
      </w:r>
      <w:r w:rsidR="00724B07">
        <w:rPr>
          <w:szCs w:val="22"/>
        </w:rPr>
        <w:t>(z izjemo leta 2016)</w:t>
      </w:r>
      <w:r w:rsidRPr="00AC03D2">
        <w:rPr>
          <w:szCs w:val="22"/>
        </w:rPr>
        <w:t>;</w:t>
      </w:r>
    </w:p>
    <w:p w:rsidR="00007D56" w:rsidRPr="00AC03D2" w:rsidRDefault="00007D56" w:rsidP="00BC536D">
      <w:pPr>
        <w:numPr>
          <w:ilvl w:val="0"/>
          <w:numId w:val="13"/>
        </w:numPr>
        <w:spacing w:line="240" w:lineRule="auto"/>
        <w:rPr>
          <w:szCs w:val="22"/>
        </w:rPr>
      </w:pPr>
      <w:r w:rsidRPr="00AC03D2">
        <w:rPr>
          <w:szCs w:val="22"/>
        </w:rPr>
        <w:t>sedanje vrednosti nepremičnin naraščal</w:t>
      </w:r>
      <w:r w:rsidRPr="008D0662">
        <w:rPr>
          <w:szCs w:val="22"/>
        </w:rPr>
        <w:t>;</w:t>
      </w:r>
    </w:p>
    <w:p w:rsidR="00007D56" w:rsidRPr="008D0662" w:rsidRDefault="00007D56" w:rsidP="00BC536D">
      <w:pPr>
        <w:numPr>
          <w:ilvl w:val="0"/>
          <w:numId w:val="13"/>
        </w:numPr>
        <w:spacing w:line="240" w:lineRule="auto"/>
        <w:rPr>
          <w:szCs w:val="22"/>
        </w:rPr>
      </w:pPr>
      <w:r w:rsidRPr="00AC03D2">
        <w:rPr>
          <w:szCs w:val="22"/>
        </w:rPr>
        <w:t xml:space="preserve">dolgoročnega dolga </w:t>
      </w:r>
      <w:r>
        <w:rPr>
          <w:szCs w:val="22"/>
        </w:rPr>
        <w:t>naraščal</w:t>
      </w:r>
      <w:r w:rsidRPr="00414FDC">
        <w:rPr>
          <w:szCs w:val="22"/>
        </w:rPr>
        <w:t xml:space="preserve"> </w:t>
      </w:r>
      <w:r>
        <w:rPr>
          <w:szCs w:val="22"/>
        </w:rPr>
        <w:t>(</w:t>
      </w:r>
      <w:r w:rsidR="00755DD0">
        <w:rPr>
          <w:szCs w:val="22"/>
        </w:rPr>
        <w:t>z izjemo leta 2016</w:t>
      </w:r>
      <w:r>
        <w:rPr>
          <w:szCs w:val="22"/>
        </w:rPr>
        <w:t>);</w:t>
      </w:r>
    </w:p>
    <w:p w:rsidR="00007D56" w:rsidRDefault="00007D56" w:rsidP="00BC536D">
      <w:pPr>
        <w:numPr>
          <w:ilvl w:val="0"/>
          <w:numId w:val="13"/>
        </w:numPr>
        <w:spacing w:line="240" w:lineRule="auto"/>
        <w:rPr>
          <w:szCs w:val="22"/>
        </w:rPr>
      </w:pPr>
      <w:r w:rsidRPr="00AC03D2">
        <w:rPr>
          <w:szCs w:val="22"/>
        </w:rPr>
        <w:t xml:space="preserve">dolgoročnih finančnih naložb </w:t>
      </w:r>
      <w:r w:rsidR="00755DD0">
        <w:rPr>
          <w:szCs w:val="22"/>
        </w:rPr>
        <w:t xml:space="preserve">najprej </w:t>
      </w:r>
      <w:r w:rsidRPr="00AC03D2">
        <w:rPr>
          <w:szCs w:val="22"/>
        </w:rPr>
        <w:t>naraščal</w:t>
      </w:r>
      <w:r w:rsidR="00755DD0">
        <w:rPr>
          <w:szCs w:val="22"/>
        </w:rPr>
        <w:t xml:space="preserve"> in nato padal</w:t>
      </w:r>
      <w:r w:rsidRPr="00AC03D2">
        <w:rPr>
          <w:szCs w:val="22"/>
        </w:rPr>
        <w:t xml:space="preserve"> (</w:t>
      </w:r>
      <w:r w:rsidR="00101277">
        <w:rPr>
          <w:szCs w:val="22"/>
        </w:rPr>
        <w:t>v letu 201</w:t>
      </w:r>
      <w:r w:rsidR="00755DD0">
        <w:rPr>
          <w:szCs w:val="22"/>
        </w:rPr>
        <w:t>5</w:t>
      </w:r>
      <w:r w:rsidR="00101277">
        <w:rPr>
          <w:szCs w:val="22"/>
        </w:rPr>
        <w:t xml:space="preserve"> je </w:t>
      </w:r>
      <w:r w:rsidR="00755DD0">
        <w:rPr>
          <w:szCs w:val="22"/>
        </w:rPr>
        <w:t>bil dosežen vrh</w:t>
      </w:r>
      <w:r w:rsidRPr="00AC03D2">
        <w:rPr>
          <w:szCs w:val="22"/>
        </w:rPr>
        <w:t>);</w:t>
      </w:r>
    </w:p>
    <w:p w:rsidR="00007D56" w:rsidRPr="00116FC1" w:rsidRDefault="00007D56" w:rsidP="00BC536D">
      <w:pPr>
        <w:numPr>
          <w:ilvl w:val="0"/>
          <w:numId w:val="13"/>
        </w:numPr>
        <w:spacing w:line="240" w:lineRule="auto"/>
        <w:rPr>
          <w:szCs w:val="22"/>
        </w:rPr>
      </w:pPr>
      <w:r w:rsidRPr="00007D56">
        <w:rPr>
          <w:szCs w:val="22"/>
        </w:rPr>
        <w:t xml:space="preserve">dolgoročno danih posojil in depozitov </w:t>
      </w:r>
      <w:r w:rsidR="00755DD0">
        <w:rPr>
          <w:szCs w:val="22"/>
        </w:rPr>
        <w:t xml:space="preserve">najprej padal in nato </w:t>
      </w:r>
      <w:r w:rsidR="00755DD0" w:rsidRPr="00AC03D2">
        <w:rPr>
          <w:szCs w:val="22"/>
        </w:rPr>
        <w:t>naraščal</w:t>
      </w:r>
      <w:r w:rsidR="00755DD0">
        <w:rPr>
          <w:szCs w:val="22"/>
        </w:rPr>
        <w:t xml:space="preserve"> </w:t>
      </w:r>
      <w:r w:rsidR="00755DD0" w:rsidRPr="00AC03D2">
        <w:rPr>
          <w:szCs w:val="22"/>
        </w:rPr>
        <w:t>(</w:t>
      </w:r>
      <w:r w:rsidR="00755DD0">
        <w:rPr>
          <w:szCs w:val="22"/>
        </w:rPr>
        <w:t>v letu 2018 je bil dosežen vrh</w:t>
      </w:r>
      <w:r w:rsidR="00755DD0" w:rsidRPr="00AC03D2">
        <w:rPr>
          <w:szCs w:val="22"/>
        </w:rPr>
        <w:t>)</w:t>
      </w:r>
    </w:p>
    <w:p w:rsidR="00412299" w:rsidRPr="00007D56" w:rsidRDefault="00412299" w:rsidP="00972554">
      <w:pPr>
        <w:spacing w:line="240" w:lineRule="auto"/>
        <w:rPr>
          <w:szCs w:val="22"/>
        </w:rPr>
      </w:pPr>
    </w:p>
    <w:p w:rsidR="000E3BB9" w:rsidRDefault="00007D56" w:rsidP="0002681D">
      <w:pPr>
        <w:pStyle w:val="Caption"/>
      </w:pPr>
      <w:bookmarkStart w:id="29" w:name="_Toc49771350"/>
      <w:r>
        <w:t xml:space="preserve">Slika </w:t>
      </w:r>
      <w:r>
        <w:fldChar w:fldCharType="begin"/>
      </w:r>
      <w:r>
        <w:instrText xml:space="preserve"> SEQ Slika \* ARABIC </w:instrText>
      </w:r>
      <w:r>
        <w:fldChar w:fldCharType="separate"/>
      </w:r>
      <w:r w:rsidR="00CE55C4">
        <w:rPr>
          <w:noProof/>
        </w:rPr>
        <w:t>5</w:t>
      </w:r>
      <w:r>
        <w:fldChar w:fldCharType="end"/>
      </w:r>
      <w:r>
        <w:t xml:space="preserve">: </w:t>
      </w:r>
      <w:r w:rsidR="00755919">
        <w:t>Gibanje</w:t>
      </w:r>
      <w:r w:rsidRPr="004C0829">
        <w:t xml:space="preserve"> posameznih postavk konsolidirane premoženjske bilance države in občin </w:t>
      </w:r>
      <w:proofErr w:type="gramStart"/>
      <w:r w:rsidRPr="004C0829">
        <w:t>na</w:t>
      </w:r>
      <w:proofErr w:type="gramEnd"/>
      <w:r w:rsidRPr="004C0829">
        <w:t xml:space="preserve"> zadnji dan leta v obdobju 20</w:t>
      </w:r>
      <w:r w:rsidR="006A7E7F">
        <w:t>1</w:t>
      </w:r>
      <w:r w:rsidR="00755DD0">
        <w:t>2</w:t>
      </w:r>
      <w:r w:rsidRPr="004C0829">
        <w:t>-201</w:t>
      </w:r>
      <w:r w:rsidR="00755DD0">
        <w:t>8</w:t>
      </w:r>
      <w:r w:rsidR="00585500">
        <w:t xml:space="preserve"> (v mrd. €)</w:t>
      </w:r>
      <w:bookmarkEnd w:id="29"/>
    </w:p>
    <w:p w:rsidR="00D237B2" w:rsidRPr="00D237B2" w:rsidRDefault="00D237B2" w:rsidP="00D237B2"/>
    <w:p w:rsidR="00781C15" w:rsidRDefault="00DE4D8B" w:rsidP="006034D2">
      <w:pPr>
        <w:spacing w:line="240" w:lineRule="auto"/>
        <w:rPr>
          <w:rFonts w:cs="Arial"/>
          <w:noProof/>
          <w:szCs w:val="22"/>
        </w:rPr>
      </w:pPr>
      <w:r>
        <w:rPr>
          <w:rFonts w:cs="Arial"/>
          <w:noProof/>
          <w:szCs w:val="22"/>
          <w:lang w:val="sl-SI" w:eastAsia="sl-SI"/>
        </w:rPr>
        <w:drawing>
          <wp:inline distT="0" distB="0" distL="0" distR="0" wp14:anchorId="329B5988" wp14:editId="0CC675B9">
            <wp:extent cx="6013093" cy="2633472"/>
            <wp:effectExtent l="0" t="0" r="6985" b="0"/>
            <wp:docPr id="3" name="Picture 3" descr="Gibanje posameznih postavk KPBDO na zadnji dan leta v obdobju 2012-2018" title="Gibanje posameznih postavk konsolidirane premoženjske bilance države in občin na zadnji dan leta v obdobju 2012-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9">
                      <a:extLst>
                        <a:ext uri="{28A0092B-C50C-407E-A947-70E740481C1C}">
                          <a14:useLocalDpi xmlns:a14="http://schemas.microsoft.com/office/drawing/2010/main" val="0"/>
                        </a:ext>
                      </a:extLst>
                    </a:blip>
                    <a:srcRect t="5869" b="6088"/>
                    <a:stretch/>
                  </pic:blipFill>
                  <pic:spPr bwMode="auto">
                    <a:xfrm>
                      <a:off x="0" y="0"/>
                      <a:ext cx="6016852" cy="2635118"/>
                    </a:xfrm>
                    <a:prstGeom prst="rect">
                      <a:avLst/>
                    </a:prstGeom>
                    <a:noFill/>
                    <a:ln>
                      <a:noFill/>
                    </a:ln>
                    <a:extLst>
                      <a:ext uri="{53640926-AAD7-44D8-BBD7-CCE9431645EC}">
                        <a14:shadowObscured xmlns:a14="http://schemas.microsoft.com/office/drawing/2010/main"/>
                      </a:ext>
                    </a:extLst>
                  </pic:spPr>
                </pic:pic>
              </a:graphicData>
            </a:graphic>
          </wp:inline>
        </w:drawing>
      </w:r>
    </w:p>
    <w:p w:rsidR="00755919" w:rsidRDefault="00755919" w:rsidP="005C2018">
      <w:pPr>
        <w:pStyle w:val="Caption"/>
      </w:pPr>
    </w:p>
    <w:p w:rsidR="005C2018" w:rsidRDefault="005C2018" w:rsidP="005C2018">
      <w:pPr>
        <w:pStyle w:val="Caption"/>
      </w:pPr>
      <w:bookmarkStart w:id="30" w:name="_Toc49771325"/>
      <w:r>
        <w:t xml:space="preserve">Tabela </w:t>
      </w:r>
      <w:r>
        <w:fldChar w:fldCharType="begin"/>
      </w:r>
      <w:r>
        <w:instrText xml:space="preserve"> SEQ Tabela \* ARABIC </w:instrText>
      </w:r>
      <w:r>
        <w:fldChar w:fldCharType="separate"/>
      </w:r>
      <w:r>
        <w:rPr>
          <w:noProof/>
        </w:rPr>
        <w:t>6</w:t>
      </w:r>
      <w:r>
        <w:fldChar w:fldCharType="end"/>
      </w:r>
      <w:r>
        <w:t xml:space="preserve">: </w:t>
      </w:r>
      <w:r w:rsidRPr="004C0829">
        <w:t xml:space="preserve">Stanje posameznih postavk konsolidirane premoženjske bilance države in občin </w:t>
      </w:r>
      <w:proofErr w:type="gramStart"/>
      <w:r w:rsidRPr="004C0829">
        <w:t>na</w:t>
      </w:r>
      <w:proofErr w:type="gramEnd"/>
      <w:r w:rsidRPr="004C0829">
        <w:t xml:space="preserve"> zadnji dan leta v obdobju 20</w:t>
      </w:r>
      <w:r>
        <w:t>12</w:t>
      </w:r>
      <w:r w:rsidRPr="004C0829">
        <w:t>-201</w:t>
      </w:r>
      <w:r>
        <w:t>8</w:t>
      </w:r>
      <w:bookmarkEnd w:id="30"/>
    </w:p>
    <w:tbl>
      <w:tblPr>
        <w:tblStyle w:val="TableGrid"/>
        <w:tblW w:w="5000" w:type="pct"/>
        <w:tblLook w:val="04A0" w:firstRow="1" w:lastRow="0" w:firstColumn="1" w:lastColumn="0" w:noHBand="0" w:noVBand="1"/>
        <w:tblCaption w:val="Stanje posameznih postavk konsolidirane premoženjske bilance države in občin na zadnji dan leta v obdobju 2012-2018"/>
        <w:tblDescription w:val="Stanje posameznih postavk KPBDO 2012-2018"/>
      </w:tblPr>
      <w:tblGrid>
        <w:gridCol w:w="1342"/>
        <w:gridCol w:w="1018"/>
        <w:gridCol w:w="1155"/>
        <w:gridCol w:w="1155"/>
        <w:gridCol w:w="1155"/>
        <w:gridCol w:w="1155"/>
        <w:gridCol w:w="1155"/>
        <w:gridCol w:w="1151"/>
      </w:tblGrid>
      <w:tr w:rsidR="005C2018" w:rsidRPr="005C2018" w:rsidTr="006334A1">
        <w:trPr>
          <w:tblHeader/>
        </w:trPr>
        <w:tc>
          <w:tcPr>
            <w:tcW w:w="722" w:type="pct"/>
          </w:tcPr>
          <w:p w:rsidR="005C2018" w:rsidRPr="005C2018" w:rsidRDefault="005C2018" w:rsidP="00C83EE3">
            <w:pPr>
              <w:rPr>
                <w:b/>
                <w:sz w:val="16"/>
                <w:szCs w:val="16"/>
              </w:rPr>
            </w:pPr>
            <w:r w:rsidRPr="005C2018">
              <w:rPr>
                <w:b/>
                <w:sz w:val="16"/>
                <w:szCs w:val="16"/>
              </w:rPr>
              <w:t>Leto</w:t>
            </w:r>
          </w:p>
        </w:tc>
        <w:tc>
          <w:tcPr>
            <w:tcW w:w="548" w:type="pct"/>
          </w:tcPr>
          <w:p w:rsidR="005C2018" w:rsidRPr="005C2018" w:rsidRDefault="005C2018" w:rsidP="00C83EE3">
            <w:pPr>
              <w:rPr>
                <w:b/>
                <w:sz w:val="16"/>
                <w:szCs w:val="16"/>
              </w:rPr>
            </w:pPr>
            <w:r w:rsidRPr="005C2018">
              <w:rPr>
                <w:b/>
                <w:sz w:val="16"/>
                <w:szCs w:val="16"/>
              </w:rPr>
              <w:t>31.12.2012</w:t>
            </w:r>
          </w:p>
        </w:tc>
        <w:tc>
          <w:tcPr>
            <w:tcW w:w="622" w:type="pct"/>
          </w:tcPr>
          <w:p w:rsidR="005C2018" w:rsidRPr="005C2018" w:rsidRDefault="005C2018" w:rsidP="00C83EE3">
            <w:pPr>
              <w:rPr>
                <w:b/>
                <w:sz w:val="16"/>
                <w:szCs w:val="16"/>
              </w:rPr>
            </w:pPr>
            <w:r w:rsidRPr="005C2018">
              <w:rPr>
                <w:b/>
                <w:sz w:val="16"/>
                <w:szCs w:val="16"/>
              </w:rPr>
              <w:t>31.12.2013</w:t>
            </w:r>
          </w:p>
        </w:tc>
        <w:tc>
          <w:tcPr>
            <w:tcW w:w="622" w:type="pct"/>
          </w:tcPr>
          <w:p w:rsidR="005C2018" w:rsidRPr="005C2018" w:rsidRDefault="005C2018" w:rsidP="00C83EE3">
            <w:pPr>
              <w:rPr>
                <w:b/>
                <w:sz w:val="16"/>
                <w:szCs w:val="16"/>
              </w:rPr>
            </w:pPr>
            <w:r w:rsidRPr="005C2018">
              <w:rPr>
                <w:b/>
                <w:sz w:val="16"/>
                <w:szCs w:val="16"/>
              </w:rPr>
              <w:t>31.12.2014</w:t>
            </w:r>
          </w:p>
        </w:tc>
        <w:tc>
          <w:tcPr>
            <w:tcW w:w="622" w:type="pct"/>
          </w:tcPr>
          <w:p w:rsidR="005C2018" w:rsidRPr="005C2018" w:rsidRDefault="005C2018" w:rsidP="00C83EE3">
            <w:pPr>
              <w:rPr>
                <w:b/>
                <w:sz w:val="16"/>
                <w:szCs w:val="16"/>
              </w:rPr>
            </w:pPr>
            <w:r w:rsidRPr="005C2018">
              <w:rPr>
                <w:b/>
                <w:sz w:val="16"/>
                <w:szCs w:val="16"/>
              </w:rPr>
              <w:t>31.12.2015</w:t>
            </w:r>
          </w:p>
        </w:tc>
        <w:tc>
          <w:tcPr>
            <w:tcW w:w="622" w:type="pct"/>
          </w:tcPr>
          <w:p w:rsidR="005C2018" w:rsidRPr="005C2018" w:rsidRDefault="005C2018" w:rsidP="00C83EE3">
            <w:pPr>
              <w:rPr>
                <w:b/>
                <w:sz w:val="16"/>
                <w:szCs w:val="16"/>
              </w:rPr>
            </w:pPr>
            <w:r w:rsidRPr="005C2018">
              <w:rPr>
                <w:b/>
                <w:sz w:val="16"/>
                <w:szCs w:val="16"/>
              </w:rPr>
              <w:t>31.12.2016</w:t>
            </w:r>
          </w:p>
        </w:tc>
        <w:tc>
          <w:tcPr>
            <w:tcW w:w="622" w:type="pct"/>
          </w:tcPr>
          <w:p w:rsidR="005C2018" w:rsidRPr="005C2018" w:rsidRDefault="005C2018" w:rsidP="00C83EE3">
            <w:pPr>
              <w:rPr>
                <w:b/>
                <w:sz w:val="16"/>
                <w:szCs w:val="16"/>
              </w:rPr>
            </w:pPr>
            <w:r w:rsidRPr="005C2018">
              <w:rPr>
                <w:b/>
                <w:sz w:val="16"/>
                <w:szCs w:val="16"/>
              </w:rPr>
              <w:t>31.12.2017</w:t>
            </w:r>
          </w:p>
        </w:tc>
        <w:tc>
          <w:tcPr>
            <w:tcW w:w="621" w:type="pct"/>
          </w:tcPr>
          <w:p w:rsidR="005C2018" w:rsidRPr="005C2018" w:rsidRDefault="005C2018" w:rsidP="00C83EE3">
            <w:pPr>
              <w:rPr>
                <w:b/>
                <w:sz w:val="16"/>
                <w:szCs w:val="16"/>
              </w:rPr>
            </w:pPr>
            <w:r w:rsidRPr="005C2018">
              <w:rPr>
                <w:b/>
                <w:sz w:val="16"/>
                <w:szCs w:val="16"/>
              </w:rPr>
              <w:t>31.12.2018</w:t>
            </w:r>
          </w:p>
        </w:tc>
      </w:tr>
      <w:tr w:rsidR="005C2018" w:rsidRPr="005C2018" w:rsidTr="006334A1">
        <w:trPr>
          <w:tblHeader/>
        </w:trPr>
        <w:tc>
          <w:tcPr>
            <w:tcW w:w="722" w:type="pct"/>
          </w:tcPr>
          <w:p w:rsidR="005C2018" w:rsidRPr="005C2018" w:rsidRDefault="005C2018" w:rsidP="005C2018">
            <w:pPr>
              <w:rPr>
                <w:b/>
                <w:sz w:val="16"/>
                <w:szCs w:val="16"/>
              </w:rPr>
            </w:pPr>
          </w:p>
        </w:tc>
        <w:tc>
          <w:tcPr>
            <w:tcW w:w="548" w:type="pct"/>
          </w:tcPr>
          <w:p w:rsidR="005C2018" w:rsidRPr="005C2018" w:rsidRDefault="005C2018" w:rsidP="005C2018">
            <w:pPr>
              <w:jc w:val="center"/>
              <w:rPr>
                <w:b/>
                <w:sz w:val="16"/>
                <w:szCs w:val="16"/>
              </w:rPr>
            </w:pPr>
            <w:proofErr w:type="gramStart"/>
            <w:r w:rsidRPr="005C2018">
              <w:rPr>
                <w:b/>
                <w:sz w:val="16"/>
                <w:szCs w:val="16"/>
              </w:rPr>
              <w:t>mrd</w:t>
            </w:r>
            <w:proofErr w:type="gramEnd"/>
            <w:r w:rsidRPr="005C2018">
              <w:rPr>
                <w:b/>
                <w:sz w:val="16"/>
                <w:szCs w:val="16"/>
              </w:rPr>
              <w:t>. €</w:t>
            </w:r>
          </w:p>
        </w:tc>
        <w:tc>
          <w:tcPr>
            <w:tcW w:w="622" w:type="pct"/>
          </w:tcPr>
          <w:p w:rsidR="005C2018" w:rsidRPr="005C2018" w:rsidRDefault="005C2018" w:rsidP="005C2018">
            <w:pPr>
              <w:jc w:val="center"/>
              <w:rPr>
                <w:b/>
              </w:rPr>
            </w:pPr>
            <w:proofErr w:type="gramStart"/>
            <w:r w:rsidRPr="005C2018">
              <w:rPr>
                <w:b/>
                <w:sz w:val="16"/>
                <w:szCs w:val="16"/>
              </w:rPr>
              <w:t>mrd</w:t>
            </w:r>
            <w:proofErr w:type="gramEnd"/>
            <w:r w:rsidRPr="005C2018">
              <w:rPr>
                <w:b/>
                <w:sz w:val="16"/>
                <w:szCs w:val="16"/>
              </w:rPr>
              <w:t>. €</w:t>
            </w:r>
          </w:p>
        </w:tc>
        <w:tc>
          <w:tcPr>
            <w:tcW w:w="622" w:type="pct"/>
          </w:tcPr>
          <w:p w:rsidR="005C2018" w:rsidRPr="005C2018" w:rsidRDefault="005C2018" w:rsidP="005C2018">
            <w:pPr>
              <w:jc w:val="center"/>
              <w:rPr>
                <w:b/>
              </w:rPr>
            </w:pPr>
            <w:proofErr w:type="gramStart"/>
            <w:r w:rsidRPr="005C2018">
              <w:rPr>
                <w:b/>
                <w:sz w:val="16"/>
                <w:szCs w:val="16"/>
              </w:rPr>
              <w:t>mrd</w:t>
            </w:r>
            <w:proofErr w:type="gramEnd"/>
            <w:r w:rsidRPr="005C2018">
              <w:rPr>
                <w:b/>
                <w:sz w:val="16"/>
                <w:szCs w:val="16"/>
              </w:rPr>
              <w:t>. €</w:t>
            </w:r>
          </w:p>
        </w:tc>
        <w:tc>
          <w:tcPr>
            <w:tcW w:w="622" w:type="pct"/>
          </w:tcPr>
          <w:p w:rsidR="005C2018" w:rsidRPr="005C2018" w:rsidRDefault="005C2018" w:rsidP="005C2018">
            <w:pPr>
              <w:jc w:val="center"/>
              <w:rPr>
                <w:b/>
              </w:rPr>
            </w:pPr>
            <w:proofErr w:type="gramStart"/>
            <w:r w:rsidRPr="005C2018">
              <w:rPr>
                <w:b/>
                <w:sz w:val="16"/>
                <w:szCs w:val="16"/>
              </w:rPr>
              <w:t>mrd</w:t>
            </w:r>
            <w:proofErr w:type="gramEnd"/>
            <w:r w:rsidRPr="005C2018">
              <w:rPr>
                <w:b/>
                <w:sz w:val="16"/>
                <w:szCs w:val="16"/>
              </w:rPr>
              <w:t>. €</w:t>
            </w:r>
          </w:p>
        </w:tc>
        <w:tc>
          <w:tcPr>
            <w:tcW w:w="622" w:type="pct"/>
          </w:tcPr>
          <w:p w:rsidR="005C2018" w:rsidRPr="005C2018" w:rsidRDefault="005C2018" w:rsidP="005C2018">
            <w:pPr>
              <w:jc w:val="center"/>
              <w:rPr>
                <w:b/>
              </w:rPr>
            </w:pPr>
            <w:proofErr w:type="gramStart"/>
            <w:r w:rsidRPr="005C2018">
              <w:rPr>
                <w:b/>
                <w:sz w:val="16"/>
                <w:szCs w:val="16"/>
              </w:rPr>
              <w:t>mrd</w:t>
            </w:r>
            <w:proofErr w:type="gramEnd"/>
            <w:r w:rsidRPr="005C2018">
              <w:rPr>
                <w:b/>
                <w:sz w:val="16"/>
                <w:szCs w:val="16"/>
              </w:rPr>
              <w:t>. €</w:t>
            </w:r>
          </w:p>
        </w:tc>
        <w:tc>
          <w:tcPr>
            <w:tcW w:w="622" w:type="pct"/>
          </w:tcPr>
          <w:p w:rsidR="005C2018" w:rsidRPr="005C2018" w:rsidRDefault="005C2018" w:rsidP="005C2018">
            <w:pPr>
              <w:jc w:val="center"/>
              <w:rPr>
                <w:b/>
              </w:rPr>
            </w:pPr>
            <w:proofErr w:type="gramStart"/>
            <w:r w:rsidRPr="005C2018">
              <w:rPr>
                <w:b/>
                <w:sz w:val="16"/>
                <w:szCs w:val="16"/>
              </w:rPr>
              <w:t>mrd</w:t>
            </w:r>
            <w:proofErr w:type="gramEnd"/>
            <w:r w:rsidRPr="005C2018">
              <w:rPr>
                <w:b/>
                <w:sz w:val="16"/>
                <w:szCs w:val="16"/>
              </w:rPr>
              <w:t>. €</w:t>
            </w:r>
          </w:p>
        </w:tc>
        <w:tc>
          <w:tcPr>
            <w:tcW w:w="621" w:type="pct"/>
          </w:tcPr>
          <w:p w:rsidR="005C2018" w:rsidRPr="005C2018" w:rsidRDefault="005C2018" w:rsidP="005C2018">
            <w:pPr>
              <w:jc w:val="center"/>
              <w:rPr>
                <w:b/>
              </w:rPr>
            </w:pPr>
            <w:proofErr w:type="gramStart"/>
            <w:r w:rsidRPr="005C2018">
              <w:rPr>
                <w:b/>
                <w:sz w:val="16"/>
                <w:szCs w:val="16"/>
              </w:rPr>
              <w:t>mrd</w:t>
            </w:r>
            <w:proofErr w:type="gramEnd"/>
            <w:r w:rsidRPr="005C2018">
              <w:rPr>
                <w:b/>
                <w:sz w:val="16"/>
                <w:szCs w:val="16"/>
              </w:rPr>
              <w:t>. €</w:t>
            </w:r>
          </w:p>
        </w:tc>
      </w:tr>
      <w:tr w:rsidR="005C2018" w:rsidRPr="005C2018" w:rsidTr="006334A1">
        <w:tc>
          <w:tcPr>
            <w:tcW w:w="722" w:type="pct"/>
            <w:vAlign w:val="bottom"/>
          </w:tcPr>
          <w:p w:rsidR="005C2018" w:rsidRPr="006334A1" w:rsidRDefault="005C2018">
            <w:pPr>
              <w:rPr>
                <w:rFonts w:cs="Arial"/>
                <w:b/>
                <w:bCs/>
                <w:color w:val="000000"/>
                <w:sz w:val="16"/>
                <w:szCs w:val="16"/>
              </w:rPr>
            </w:pPr>
            <w:r w:rsidRPr="006334A1">
              <w:rPr>
                <w:rFonts w:cs="Arial"/>
                <w:b/>
                <w:bCs/>
                <w:color w:val="000000"/>
                <w:sz w:val="16"/>
                <w:szCs w:val="16"/>
              </w:rPr>
              <w:t>Bilančna vsota</w:t>
            </w:r>
          </w:p>
        </w:tc>
        <w:tc>
          <w:tcPr>
            <w:tcW w:w="548" w:type="pct"/>
          </w:tcPr>
          <w:p w:rsidR="005C2018" w:rsidRPr="005C2018" w:rsidRDefault="005C2018" w:rsidP="005C2018">
            <w:pPr>
              <w:jc w:val="center"/>
              <w:rPr>
                <w:sz w:val="16"/>
                <w:szCs w:val="16"/>
              </w:rPr>
            </w:pPr>
            <w:r w:rsidRPr="005C2018">
              <w:rPr>
                <w:sz w:val="16"/>
                <w:szCs w:val="16"/>
              </w:rPr>
              <w:t>37,4</w:t>
            </w:r>
          </w:p>
        </w:tc>
        <w:tc>
          <w:tcPr>
            <w:tcW w:w="622" w:type="pct"/>
          </w:tcPr>
          <w:p w:rsidR="005C2018" w:rsidRPr="005C2018" w:rsidRDefault="005C2018" w:rsidP="005C2018">
            <w:pPr>
              <w:jc w:val="center"/>
              <w:rPr>
                <w:sz w:val="16"/>
                <w:szCs w:val="16"/>
              </w:rPr>
            </w:pPr>
            <w:r w:rsidRPr="005C2018">
              <w:rPr>
                <w:sz w:val="16"/>
                <w:szCs w:val="16"/>
              </w:rPr>
              <w:t>42,3</w:t>
            </w:r>
          </w:p>
        </w:tc>
        <w:tc>
          <w:tcPr>
            <w:tcW w:w="622" w:type="pct"/>
          </w:tcPr>
          <w:p w:rsidR="005C2018" w:rsidRPr="005C2018" w:rsidRDefault="005C2018" w:rsidP="005C2018">
            <w:pPr>
              <w:jc w:val="center"/>
              <w:rPr>
                <w:sz w:val="16"/>
                <w:szCs w:val="16"/>
              </w:rPr>
            </w:pPr>
            <w:r w:rsidRPr="005C2018">
              <w:rPr>
                <w:sz w:val="16"/>
                <w:szCs w:val="16"/>
              </w:rPr>
              <w:t>45,7</w:t>
            </w:r>
          </w:p>
        </w:tc>
        <w:tc>
          <w:tcPr>
            <w:tcW w:w="622" w:type="pct"/>
          </w:tcPr>
          <w:p w:rsidR="005C2018" w:rsidRPr="005C2018" w:rsidRDefault="005C2018" w:rsidP="005C2018">
            <w:pPr>
              <w:jc w:val="center"/>
              <w:rPr>
                <w:sz w:val="16"/>
                <w:szCs w:val="16"/>
              </w:rPr>
            </w:pPr>
            <w:r w:rsidRPr="005C2018">
              <w:rPr>
                <w:sz w:val="16"/>
                <w:szCs w:val="16"/>
              </w:rPr>
              <w:t>48,2</w:t>
            </w:r>
          </w:p>
        </w:tc>
        <w:tc>
          <w:tcPr>
            <w:tcW w:w="622" w:type="pct"/>
          </w:tcPr>
          <w:p w:rsidR="005C2018" w:rsidRPr="005C2018" w:rsidRDefault="005C2018" w:rsidP="005C2018">
            <w:pPr>
              <w:jc w:val="center"/>
              <w:rPr>
                <w:sz w:val="16"/>
                <w:szCs w:val="16"/>
              </w:rPr>
            </w:pPr>
            <w:r w:rsidRPr="005C2018">
              <w:rPr>
                <w:sz w:val="16"/>
                <w:szCs w:val="16"/>
              </w:rPr>
              <w:t>45,8</w:t>
            </w:r>
          </w:p>
        </w:tc>
        <w:tc>
          <w:tcPr>
            <w:tcW w:w="622" w:type="pct"/>
          </w:tcPr>
          <w:p w:rsidR="005C2018" w:rsidRPr="005C2018" w:rsidRDefault="005C2018" w:rsidP="005C2018">
            <w:pPr>
              <w:jc w:val="center"/>
              <w:rPr>
                <w:sz w:val="16"/>
                <w:szCs w:val="16"/>
              </w:rPr>
            </w:pPr>
            <w:r w:rsidRPr="005C2018">
              <w:rPr>
                <w:sz w:val="16"/>
                <w:szCs w:val="16"/>
              </w:rPr>
              <w:t>47,0</w:t>
            </w:r>
          </w:p>
        </w:tc>
        <w:tc>
          <w:tcPr>
            <w:tcW w:w="621" w:type="pct"/>
          </w:tcPr>
          <w:p w:rsidR="005C2018" w:rsidRPr="005C2018" w:rsidRDefault="005C2018" w:rsidP="005C2018">
            <w:pPr>
              <w:jc w:val="center"/>
              <w:rPr>
                <w:sz w:val="16"/>
                <w:szCs w:val="16"/>
              </w:rPr>
            </w:pPr>
            <w:r w:rsidRPr="005C2018">
              <w:rPr>
                <w:sz w:val="16"/>
                <w:szCs w:val="16"/>
              </w:rPr>
              <w:t>48,5</w:t>
            </w:r>
          </w:p>
        </w:tc>
      </w:tr>
      <w:tr w:rsidR="005C2018" w:rsidRPr="005C2018" w:rsidTr="006334A1">
        <w:tc>
          <w:tcPr>
            <w:tcW w:w="722" w:type="pct"/>
            <w:vAlign w:val="bottom"/>
          </w:tcPr>
          <w:p w:rsidR="005C2018" w:rsidRPr="006334A1" w:rsidRDefault="005C2018">
            <w:pPr>
              <w:rPr>
                <w:rFonts w:cs="Arial"/>
                <w:b/>
                <w:bCs/>
                <w:color w:val="000000"/>
                <w:sz w:val="16"/>
                <w:szCs w:val="16"/>
              </w:rPr>
            </w:pPr>
            <w:r w:rsidRPr="006334A1">
              <w:rPr>
                <w:rFonts w:cs="Arial"/>
                <w:b/>
                <w:bCs/>
                <w:color w:val="000000"/>
                <w:sz w:val="16"/>
                <w:szCs w:val="16"/>
              </w:rPr>
              <w:t>Sedanja vrednost nepremičnin</w:t>
            </w:r>
          </w:p>
        </w:tc>
        <w:tc>
          <w:tcPr>
            <w:tcW w:w="548" w:type="pct"/>
          </w:tcPr>
          <w:p w:rsidR="005C2018" w:rsidRPr="005C2018" w:rsidRDefault="005C2018" w:rsidP="005C2018">
            <w:pPr>
              <w:jc w:val="center"/>
              <w:rPr>
                <w:sz w:val="16"/>
                <w:szCs w:val="16"/>
              </w:rPr>
            </w:pPr>
            <w:r w:rsidRPr="005C2018">
              <w:rPr>
                <w:sz w:val="16"/>
                <w:szCs w:val="16"/>
              </w:rPr>
              <w:t>18,2</w:t>
            </w:r>
          </w:p>
        </w:tc>
        <w:tc>
          <w:tcPr>
            <w:tcW w:w="622" w:type="pct"/>
          </w:tcPr>
          <w:p w:rsidR="005C2018" w:rsidRPr="005C2018" w:rsidRDefault="005C2018" w:rsidP="005C2018">
            <w:pPr>
              <w:jc w:val="center"/>
              <w:rPr>
                <w:sz w:val="16"/>
                <w:szCs w:val="16"/>
              </w:rPr>
            </w:pPr>
            <w:r w:rsidRPr="005C2018">
              <w:rPr>
                <w:sz w:val="16"/>
                <w:szCs w:val="16"/>
              </w:rPr>
              <w:t>19,0</w:t>
            </w:r>
          </w:p>
        </w:tc>
        <w:tc>
          <w:tcPr>
            <w:tcW w:w="622" w:type="pct"/>
          </w:tcPr>
          <w:p w:rsidR="005C2018" w:rsidRPr="005C2018" w:rsidRDefault="005C2018" w:rsidP="005C2018">
            <w:pPr>
              <w:jc w:val="center"/>
              <w:rPr>
                <w:sz w:val="16"/>
                <w:szCs w:val="16"/>
              </w:rPr>
            </w:pPr>
            <w:r w:rsidRPr="005C2018">
              <w:rPr>
                <w:sz w:val="16"/>
                <w:szCs w:val="16"/>
              </w:rPr>
              <w:t>19,9</w:t>
            </w:r>
          </w:p>
        </w:tc>
        <w:tc>
          <w:tcPr>
            <w:tcW w:w="622" w:type="pct"/>
          </w:tcPr>
          <w:p w:rsidR="005C2018" w:rsidRPr="005C2018" w:rsidRDefault="005C2018" w:rsidP="005C2018">
            <w:pPr>
              <w:jc w:val="center"/>
              <w:rPr>
                <w:sz w:val="16"/>
                <w:szCs w:val="16"/>
              </w:rPr>
            </w:pPr>
            <w:r w:rsidRPr="005C2018">
              <w:rPr>
                <w:sz w:val="16"/>
                <w:szCs w:val="16"/>
              </w:rPr>
              <w:t>20,7</w:t>
            </w:r>
          </w:p>
        </w:tc>
        <w:tc>
          <w:tcPr>
            <w:tcW w:w="622" w:type="pct"/>
          </w:tcPr>
          <w:p w:rsidR="005C2018" w:rsidRPr="005C2018" w:rsidRDefault="005C2018" w:rsidP="005C2018">
            <w:pPr>
              <w:jc w:val="center"/>
              <w:rPr>
                <w:sz w:val="16"/>
                <w:szCs w:val="16"/>
              </w:rPr>
            </w:pPr>
            <w:r w:rsidRPr="005C2018">
              <w:rPr>
                <w:sz w:val="16"/>
                <w:szCs w:val="16"/>
              </w:rPr>
              <w:t>20,8</w:t>
            </w:r>
          </w:p>
        </w:tc>
        <w:tc>
          <w:tcPr>
            <w:tcW w:w="622" w:type="pct"/>
          </w:tcPr>
          <w:p w:rsidR="005C2018" w:rsidRPr="005C2018" w:rsidRDefault="005C2018" w:rsidP="005C2018">
            <w:pPr>
              <w:jc w:val="center"/>
              <w:rPr>
                <w:sz w:val="16"/>
                <w:szCs w:val="16"/>
              </w:rPr>
            </w:pPr>
            <w:r w:rsidRPr="005C2018">
              <w:rPr>
                <w:sz w:val="16"/>
                <w:szCs w:val="16"/>
              </w:rPr>
              <w:t>21,1</w:t>
            </w:r>
          </w:p>
        </w:tc>
        <w:tc>
          <w:tcPr>
            <w:tcW w:w="621" w:type="pct"/>
          </w:tcPr>
          <w:p w:rsidR="005C2018" w:rsidRPr="005C2018" w:rsidRDefault="005C2018" w:rsidP="005C2018">
            <w:pPr>
              <w:jc w:val="center"/>
              <w:rPr>
                <w:sz w:val="16"/>
                <w:szCs w:val="16"/>
              </w:rPr>
            </w:pPr>
            <w:r w:rsidRPr="005C2018">
              <w:rPr>
                <w:sz w:val="16"/>
                <w:szCs w:val="16"/>
              </w:rPr>
              <w:t>21,5</w:t>
            </w:r>
          </w:p>
        </w:tc>
      </w:tr>
      <w:tr w:rsidR="005C2018" w:rsidRPr="005C2018" w:rsidTr="006334A1">
        <w:tc>
          <w:tcPr>
            <w:tcW w:w="722" w:type="pct"/>
            <w:vAlign w:val="bottom"/>
          </w:tcPr>
          <w:p w:rsidR="005C2018" w:rsidRPr="006334A1" w:rsidRDefault="005C2018">
            <w:pPr>
              <w:rPr>
                <w:rFonts w:cs="Arial"/>
                <w:b/>
                <w:bCs/>
                <w:color w:val="000000"/>
                <w:sz w:val="16"/>
                <w:szCs w:val="16"/>
              </w:rPr>
            </w:pPr>
            <w:r w:rsidRPr="006334A1">
              <w:rPr>
                <w:rFonts w:cs="Arial"/>
                <w:b/>
                <w:bCs/>
                <w:color w:val="000000"/>
                <w:sz w:val="16"/>
                <w:szCs w:val="16"/>
              </w:rPr>
              <w:t>Dolgoročni dolg</w:t>
            </w:r>
          </w:p>
        </w:tc>
        <w:tc>
          <w:tcPr>
            <w:tcW w:w="548" w:type="pct"/>
          </w:tcPr>
          <w:p w:rsidR="005C2018" w:rsidRPr="005C2018" w:rsidRDefault="005C2018" w:rsidP="005C2018">
            <w:pPr>
              <w:jc w:val="center"/>
              <w:rPr>
                <w:sz w:val="16"/>
                <w:szCs w:val="16"/>
              </w:rPr>
            </w:pPr>
            <w:r w:rsidRPr="005C2018">
              <w:rPr>
                <w:sz w:val="16"/>
                <w:szCs w:val="16"/>
              </w:rPr>
              <w:t>16,8</w:t>
            </w:r>
          </w:p>
        </w:tc>
        <w:tc>
          <w:tcPr>
            <w:tcW w:w="622" w:type="pct"/>
          </w:tcPr>
          <w:p w:rsidR="005C2018" w:rsidRPr="005C2018" w:rsidRDefault="005C2018" w:rsidP="005C2018">
            <w:pPr>
              <w:jc w:val="center"/>
              <w:rPr>
                <w:sz w:val="16"/>
                <w:szCs w:val="16"/>
              </w:rPr>
            </w:pPr>
            <w:r w:rsidRPr="005C2018">
              <w:rPr>
                <w:sz w:val="16"/>
                <w:szCs w:val="16"/>
              </w:rPr>
              <w:t>22,1</w:t>
            </w:r>
          </w:p>
        </w:tc>
        <w:tc>
          <w:tcPr>
            <w:tcW w:w="622" w:type="pct"/>
          </w:tcPr>
          <w:p w:rsidR="005C2018" w:rsidRPr="005C2018" w:rsidRDefault="005C2018" w:rsidP="005C2018">
            <w:pPr>
              <w:jc w:val="center"/>
              <w:rPr>
                <w:sz w:val="16"/>
                <w:szCs w:val="16"/>
              </w:rPr>
            </w:pPr>
            <w:r w:rsidRPr="005C2018">
              <w:rPr>
                <w:sz w:val="16"/>
                <w:szCs w:val="16"/>
              </w:rPr>
              <w:t>25,8</w:t>
            </w:r>
          </w:p>
        </w:tc>
        <w:tc>
          <w:tcPr>
            <w:tcW w:w="622" w:type="pct"/>
          </w:tcPr>
          <w:p w:rsidR="005C2018" w:rsidRPr="005C2018" w:rsidRDefault="005C2018" w:rsidP="005C2018">
            <w:pPr>
              <w:jc w:val="center"/>
              <w:rPr>
                <w:sz w:val="16"/>
                <w:szCs w:val="16"/>
              </w:rPr>
            </w:pPr>
            <w:r w:rsidRPr="005C2018">
              <w:rPr>
                <w:sz w:val="16"/>
                <w:szCs w:val="16"/>
              </w:rPr>
              <w:t>27,6</w:t>
            </w:r>
          </w:p>
        </w:tc>
        <w:tc>
          <w:tcPr>
            <w:tcW w:w="622" w:type="pct"/>
          </w:tcPr>
          <w:p w:rsidR="005C2018" w:rsidRPr="005C2018" w:rsidRDefault="005C2018" w:rsidP="005C2018">
            <w:pPr>
              <w:jc w:val="center"/>
              <w:rPr>
                <w:sz w:val="16"/>
                <w:szCs w:val="16"/>
              </w:rPr>
            </w:pPr>
            <w:r w:rsidRPr="005C2018">
              <w:rPr>
                <w:sz w:val="16"/>
                <w:szCs w:val="16"/>
              </w:rPr>
              <w:t>27,5</w:t>
            </w:r>
          </w:p>
        </w:tc>
        <w:tc>
          <w:tcPr>
            <w:tcW w:w="622" w:type="pct"/>
          </w:tcPr>
          <w:p w:rsidR="005C2018" w:rsidRPr="005C2018" w:rsidRDefault="005C2018" w:rsidP="005C2018">
            <w:pPr>
              <w:jc w:val="center"/>
              <w:rPr>
                <w:sz w:val="16"/>
                <w:szCs w:val="16"/>
              </w:rPr>
            </w:pPr>
            <w:r w:rsidRPr="005C2018">
              <w:rPr>
                <w:sz w:val="16"/>
                <w:szCs w:val="16"/>
              </w:rPr>
              <w:t>29,0</w:t>
            </w:r>
          </w:p>
        </w:tc>
        <w:tc>
          <w:tcPr>
            <w:tcW w:w="621" w:type="pct"/>
          </w:tcPr>
          <w:p w:rsidR="005C2018" w:rsidRPr="005C2018" w:rsidRDefault="005C2018" w:rsidP="005C2018">
            <w:pPr>
              <w:jc w:val="center"/>
              <w:rPr>
                <w:sz w:val="16"/>
                <w:szCs w:val="16"/>
              </w:rPr>
            </w:pPr>
            <w:r w:rsidRPr="005C2018">
              <w:rPr>
                <w:sz w:val="16"/>
                <w:szCs w:val="16"/>
              </w:rPr>
              <w:t>29,5</w:t>
            </w:r>
          </w:p>
        </w:tc>
      </w:tr>
      <w:tr w:rsidR="005C2018" w:rsidRPr="005C2018" w:rsidTr="006334A1">
        <w:tc>
          <w:tcPr>
            <w:tcW w:w="722" w:type="pct"/>
            <w:vAlign w:val="bottom"/>
          </w:tcPr>
          <w:p w:rsidR="005C2018" w:rsidRPr="006334A1" w:rsidRDefault="005C2018">
            <w:pPr>
              <w:rPr>
                <w:rFonts w:cs="Arial"/>
                <w:b/>
                <w:bCs/>
                <w:color w:val="000000"/>
                <w:sz w:val="16"/>
                <w:szCs w:val="16"/>
              </w:rPr>
            </w:pPr>
            <w:r w:rsidRPr="006334A1">
              <w:rPr>
                <w:rFonts w:cs="Arial"/>
                <w:b/>
                <w:bCs/>
                <w:color w:val="000000"/>
                <w:sz w:val="16"/>
                <w:szCs w:val="16"/>
              </w:rPr>
              <w:lastRenderedPageBreak/>
              <w:t>Dolgoročne finančne naložbe</w:t>
            </w:r>
          </w:p>
        </w:tc>
        <w:tc>
          <w:tcPr>
            <w:tcW w:w="548" w:type="pct"/>
          </w:tcPr>
          <w:p w:rsidR="005C2018" w:rsidRPr="005C2018" w:rsidRDefault="005C2018" w:rsidP="005C2018">
            <w:pPr>
              <w:jc w:val="center"/>
              <w:rPr>
                <w:sz w:val="16"/>
                <w:szCs w:val="16"/>
              </w:rPr>
            </w:pPr>
            <w:r w:rsidRPr="005C2018">
              <w:rPr>
                <w:sz w:val="16"/>
                <w:szCs w:val="16"/>
              </w:rPr>
              <w:t>9,1</w:t>
            </w:r>
          </w:p>
        </w:tc>
        <w:tc>
          <w:tcPr>
            <w:tcW w:w="622" w:type="pct"/>
          </w:tcPr>
          <w:p w:rsidR="005C2018" w:rsidRPr="005C2018" w:rsidRDefault="005C2018" w:rsidP="005C2018">
            <w:pPr>
              <w:jc w:val="center"/>
              <w:rPr>
                <w:sz w:val="16"/>
                <w:szCs w:val="16"/>
              </w:rPr>
            </w:pPr>
            <w:r w:rsidRPr="005C2018">
              <w:rPr>
                <w:sz w:val="16"/>
                <w:szCs w:val="16"/>
              </w:rPr>
              <w:t>12,9</w:t>
            </w:r>
          </w:p>
        </w:tc>
        <w:tc>
          <w:tcPr>
            <w:tcW w:w="622" w:type="pct"/>
          </w:tcPr>
          <w:p w:rsidR="005C2018" w:rsidRPr="005C2018" w:rsidRDefault="005C2018" w:rsidP="005C2018">
            <w:pPr>
              <w:jc w:val="center"/>
              <w:rPr>
                <w:sz w:val="16"/>
                <w:szCs w:val="16"/>
              </w:rPr>
            </w:pPr>
            <w:r w:rsidRPr="005C2018">
              <w:rPr>
                <w:sz w:val="16"/>
                <w:szCs w:val="16"/>
              </w:rPr>
              <w:t>12,4</w:t>
            </w:r>
          </w:p>
        </w:tc>
        <w:tc>
          <w:tcPr>
            <w:tcW w:w="622" w:type="pct"/>
          </w:tcPr>
          <w:p w:rsidR="005C2018" w:rsidRPr="005C2018" w:rsidRDefault="005C2018" w:rsidP="005C2018">
            <w:pPr>
              <w:jc w:val="center"/>
              <w:rPr>
                <w:sz w:val="16"/>
                <w:szCs w:val="16"/>
              </w:rPr>
            </w:pPr>
            <w:r w:rsidRPr="005C2018">
              <w:rPr>
                <w:sz w:val="16"/>
                <w:szCs w:val="16"/>
              </w:rPr>
              <w:t>12,8</w:t>
            </w:r>
          </w:p>
        </w:tc>
        <w:tc>
          <w:tcPr>
            <w:tcW w:w="622" w:type="pct"/>
          </w:tcPr>
          <w:p w:rsidR="005C2018" w:rsidRPr="005C2018" w:rsidRDefault="005C2018" w:rsidP="005C2018">
            <w:pPr>
              <w:jc w:val="center"/>
              <w:rPr>
                <w:sz w:val="16"/>
                <w:szCs w:val="16"/>
              </w:rPr>
            </w:pPr>
            <w:r w:rsidRPr="005C2018">
              <w:rPr>
                <w:sz w:val="16"/>
                <w:szCs w:val="16"/>
              </w:rPr>
              <w:t>12,0</w:t>
            </w:r>
          </w:p>
        </w:tc>
        <w:tc>
          <w:tcPr>
            <w:tcW w:w="622" w:type="pct"/>
          </w:tcPr>
          <w:p w:rsidR="005C2018" w:rsidRPr="005C2018" w:rsidRDefault="005C2018" w:rsidP="005C2018">
            <w:pPr>
              <w:jc w:val="center"/>
              <w:rPr>
                <w:sz w:val="16"/>
                <w:szCs w:val="16"/>
              </w:rPr>
            </w:pPr>
            <w:r w:rsidRPr="005C2018">
              <w:rPr>
                <w:sz w:val="16"/>
                <w:szCs w:val="16"/>
              </w:rPr>
              <w:t>12,5</w:t>
            </w:r>
          </w:p>
        </w:tc>
        <w:tc>
          <w:tcPr>
            <w:tcW w:w="621" w:type="pct"/>
          </w:tcPr>
          <w:p w:rsidR="005C2018" w:rsidRPr="005C2018" w:rsidRDefault="005C2018" w:rsidP="005C2018">
            <w:pPr>
              <w:jc w:val="center"/>
              <w:rPr>
                <w:sz w:val="16"/>
                <w:szCs w:val="16"/>
              </w:rPr>
            </w:pPr>
            <w:r w:rsidRPr="005C2018">
              <w:rPr>
                <w:sz w:val="16"/>
                <w:szCs w:val="16"/>
              </w:rPr>
              <w:t>11,7</w:t>
            </w:r>
          </w:p>
        </w:tc>
      </w:tr>
      <w:tr w:rsidR="005C2018" w:rsidRPr="005C2018" w:rsidTr="006334A1">
        <w:tc>
          <w:tcPr>
            <w:tcW w:w="722" w:type="pct"/>
            <w:vAlign w:val="bottom"/>
          </w:tcPr>
          <w:p w:rsidR="005C2018" w:rsidRPr="006334A1" w:rsidRDefault="005C2018">
            <w:pPr>
              <w:rPr>
                <w:rFonts w:cs="Arial"/>
                <w:b/>
                <w:bCs/>
                <w:color w:val="000000"/>
                <w:sz w:val="16"/>
                <w:szCs w:val="16"/>
              </w:rPr>
            </w:pPr>
            <w:r w:rsidRPr="006334A1">
              <w:rPr>
                <w:rFonts w:cs="Arial"/>
                <w:b/>
                <w:bCs/>
                <w:color w:val="000000"/>
                <w:sz w:val="16"/>
                <w:szCs w:val="16"/>
              </w:rPr>
              <w:t>Dolgoročno dana posojila in depoziti</w:t>
            </w:r>
          </w:p>
        </w:tc>
        <w:tc>
          <w:tcPr>
            <w:tcW w:w="548" w:type="pct"/>
          </w:tcPr>
          <w:p w:rsidR="005C2018" w:rsidRPr="005C2018" w:rsidRDefault="005C2018" w:rsidP="005C2018">
            <w:pPr>
              <w:jc w:val="center"/>
              <w:rPr>
                <w:sz w:val="16"/>
                <w:szCs w:val="16"/>
              </w:rPr>
            </w:pPr>
            <w:r w:rsidRPr="005C2018">
              <w:rPr>
                <w:sz w:val="16"/>
                <w:szCs w:val="16"/>
              </w:rPr>
              <w:t>2,4</w:t>
            </w:r>
          </w:p>
        </w:tc>
        <w:tc>
          <w:tcPr>
            <w:tcW w:w="622" w:type="pct"/>
          </w:tcPr>
          <w:p w:rsidR="005C2018" w:rsidRPr="005C2018" w:rsidRDefault="005C2018" w:rsidP="005C2018">
            <w:pPr>
              <w:jc w:val="center"/>
              <w:rPr>
                <w:sz w:val="16"/>
                <w:szCs w:val="16"/>
              </w:rPr>
            </w:pPr>
            <w:r w:rsidRPr="005C2018">
              <w:rPr>
                <w:sz w:val="16"/>
                <w:szCs w:val="16"/>
              </w:rPr>
              <w:t>1,3</w:t>
            </w:r>
          </w:p>
        </w:tc>
        <w:tc>
          <w:tcPr>
            <w:tcW w:w="622" w:type="pct"/>
          </w:tcPr>
          <w:p w:rsidR="005C2018" w:rsidRPr="005C2018" w:rsidRDefault="005C2018" w:rsidP="005C2018">
            <w:pPr>
              <w:jc w:val="center"/>
              <w:rPr>
                <w:sz w:val="16"/>
                <w:szCs w:val="16"/>
              </w:rPr>
            </w:pPr>
            <w:r w:rsidRPr="005C2018">
              <w:rPr>
                <w:sz w:val="16"/>
                <w:szCs w:val="16"/>
              </w:rPr>
              <w:t>1,1</w:t>
            </w:r>
          </w:p>
        </w:tc>
        <w:tc>
          <w:tcPr>
            <w:tcW w:w="622" w:type="pct"/>
          </w:tcPr>
          <w:p w:rsidR="005C2018" w:rsidRPr="005C2018" w:rsidRDefault="005C2018" w:rsidP="005C2018">
            <w:pPr>
              <w:jc w:val="center"/>
              <w:rPr>
                <w:sz w:val="16"/>
                <w:szCs w:val="16"/>
              </w:rPr>
            </w:pPr>
            <w:r w:rsidRPr="005C2018">
              <w:rPr>
                <w:sz w:val="16"/>
                <w:szCs w:val="16"/>
              </w:rPr>
              <w:t>2,0</w:t>
            </w:r>
          </w:p>
        </w:tc>
        <w:tc>
          <w:tcPr>
            <w:tcW w:w="622" w:type="pct"/>
          </w:tcPr>
          <w:p w:rsidR="005C2018" w:rsidRPr="005C2018" w:rsidRDefault="005C2018" w:rsidP="005C2018">
            <w:pPr>
              <w:jc w:val="center"/>
              <w:rPr>
                <w:sz w:val="16"/>
                <w:szCs w:val="16"/>
              </w:rPr>
            </w:pPr>
            <w:r w:rsidRPr="005C2018">
              <w:rPr>
                <w:sz w:val="16"/>
                <w:szCs w:val="16"/>
              </w:rPr>
              <w:t>2,5</w:t>
            </w:r>
          </w:p>
        </w:tc>
        <w:tc>
          <w:tcPr>
            <w:tcW w:w="622" w:type="pct"/>
          </w:tcPr>
          <w:p w:rsidR="005C2018" w:rsidRPr="005C2018" w:rsidRDefault="005C2018" w:rsidP="005C2018">
            <w:pPr>
              <w:jc w:val="center"/>
              <w:rPr>
                <w:sz w:val="16"/>
                <w:szCs w:val="16"/>
              </w:rPr>
            </w:pPr>
            <w:r w:rsidRPr="005C2018">
              <w:rPr>
                <w:sz w:val="16"/>
                <w:szCs w:val="16"/>
              </w:rPr>
              <w:t>3,3</w:t>
            </w:r>
          </w:p>
        </w:tc>
        <w:tc>
          <w:tcPr>
            <w:tcW w:w="621" w:type="pct"/>
          </w:tcPr>
          <w:p w:rsidR="005C2018" w:rsidRPr="005C2018" w:rsidRDefault="005C2018" w:rsidP="005C2018">
            <w:pPr>
              <w:jc w:val="center"/>
              <w:rPr>
                <w:sz w:val="16"/>
                <w:szCs w:val="16"/>
              </w:rPr>
            </w:pPr>
            <w:r w:rsidRPr="005C2018">
              <w:rPr>
                <w:sz w:val="16"/>
                <w:szCs w:val="16"/>
              </w:rPr>
              <w:t>3,6</w:t>
            </w:r>
          </w:p>
        </w:tc>
      </w:tr>
    </w:tbl>
    <w:p w:rsidR="00D83E62" w:rsidRDefault="00D83E62" w:rsidP="001671A0">
      <w:pPr>
        <w:rPr>
          <w:rFonts w:cs="Arial"/>
          <w:noProof/>
          <w:szCs w:val="22"/>
        </w:rPr>
      </w:pPr>
    </w:p>
    <w:p w:rsidR="001671A0" w:rsidRPr="00157F41" w:rsidRDefault="005D32EA" w:rsidP="001671A0">
      <w:pPr>
        <w:rPr>
          <w:rFonts w:cs="Arial"/>
          <w:noProof/>
          <w:szCs w:val="22"/>
        </w:rPr>
      </w:pPr>
      <w:r>
        <w:rPr>
          <w:rFonts w:cs="Arial"/>
          <w:noProof/>
          <w:szCs w:val="22"/>
        </w:rPr>
        <w:t>I</w:t>
      </w:r>
      <w:r w:rsidR="001671A0" w:rsidRPr="00414FDC">
        <w:rPr>
          <w:rFonts w:cs="Arial"/>
          <w:noProof/>
          <w:szCs w:val="22"/>
        </w:rPr>
        <w:t xml:space="preserve">z </w:t>
      </w:r>
      <w:r w:rsidR="001671A0">
        <w:rPr>
          <w:szCs w:val="22"/>
        </w:rPr>
        <w:t>analize</w:t>
      </w:r>
      <w:r w:rsidR="001671A0" w:rsidRPr="00414FDC">
        <w:rPr>
          <w:szCs w:val="22"/>
        </w:rPr>
        <w:t xml:space="preserve"> premoženja države in občin</w:t>
      </w:r>
      <w:r w:rsidR="001671A0">
        <w:rPr>
          <w:szCs w:val="22"/>
        </w:rPr>
        <w:t xml:space="preserve">, </w:t>
      </w:r>
      <w:r w:rsidR="001671A0" w:rsidRPr="00414FDC">
        <w:rPr>
          <w:szCs w:val="22"/>
        </w:rPr>
        <w:t xml:space="preserve">izkazanega </w:t>
      </w:r>
      <w:proofErr w:type="gramStart"/>
      <w:r w:rsidR="001671A0" w:rsidRPr="00414FDC">
        <w:rPr>
          <w:szCs w:val="22"/>
        </w:rPr>
        <w:t>na</w:t>
      </w:r>
      <w:proofErr w:type="gramEnd"/>
      <w:r w:rsidR="001671A0" w:rsidRPr="00414FDC">
        <w:rPr>
          <w:szCs w:val="22"/>
        </w:rPr>
        <w:t xml:space="preserve"> zadnji dan leta v </w:t>
      </w:r>
      <w:r w:rsidR="001671A0">
        <w:rPr>
          <w:szCs w:val="22"/>
        </w:rPr>
        <w:t>obdobju</w:t>
      </w:r>
      <w:r w:rsidR="001671A0" w:rsidRPr="00414FDC">
        <w:rPr>
          <w:szCs w:val="22"/>
        </w:rPr>
        <w:t xml:space="preserve"> </w:t>
      </w:r>
      <w:r w:rsidR="001671A0">
        <w:rPr>
          <w:szCs w:val="22"/>
        </w:rPr>
        <w:t>20</w:t>
      </w:r>
      <w:r w:rsidR="006A7E7F">
        <w:rPr>
          <w:szCs w:val="22"/>
        </w:rPr>
        <w:t>1</w:t>
      </w:r>
      <w:r w:rsidR="008D41D9">
        <w:rPr>
          <w:szCs w:val="22"/>
        </w:rPr>
        <w:t>2</w:t>
      </w:r>
      <w:r w:rsidR="001671A0">
        <w:rPr>
          <w:szCs w:val="22"/>
        </w:rPr>
        <w:t>-</w:t>
      </w:r>
      <w:r w:rsidR="008D41D9">
        <w:rPr>
          <w:szCs w:val="22"/>
        </w:rPr>
        <w:t xml:space="preserve">2018 </w:t>
      </w:r>
      <w:r w:rsidR="001671A0">
        <w:rPr>
          <w:szCs w:val="22"/>
        </w:rPr>
        <w:t>glede na bruto domači proizvod</w:t>
      </w:r>
      <w:r w:rsidR="001671A0" w:rsidRPr="00414FDC">
        <w:rPr>
          <w:szCs w:val="22"/>
        </w:rPr>
        <w:t xml:space="preserve">, </w:t>
      </w:r>
      <w:r w:rsidR="001671A0">
        <w:rPr>
          <w:szCs w:val="22"/>
        </w:rPr>
        <w:t>je razvidno, da je delež</w:t>
      </w:r>
      <w:r w:rsidR="001671A0" w:rsidRPr="00414FDC">
        <w:rPr>
          <w:szCs w:val="22"/>
        </w:rPr>
        <w:t>:</w:t>
      </w:r>
    </w:p>
    <w:p w:rsidR="001671A0" w:rsidRPr="00414FDC" w:rsidRDefault="001671A0" w:rsidP="00BC536D">
      <w:pPr>
        <w:numPr>
          <w:ilvl w:val="0"/>
          <w:numId w:val="14"/>
        </w:numPr>
        <w:spacing w:line="240" w:lineRule="auto"/>
        <w:rPr>
          <w:szCs w:val="22"/>
        </w:rPr>
      </w:pPr>
      <w:r w:rsidRPr="00414FDC">
        <w:rPr>
          <w:szCs w:val="22"/>
        </w:rPr>
        <w:t>sedanje vrednosti nepremičnin</w:t>
      </w:r>
      <w:r>
        <w:rPr>
          <w:szCs w:val="22"/>
        </w:rPr>
        <w:t xml:space="preserve"> v bruto domačem proizvodu </w:t>
      </w:r>
      <w:r w:rsidRPr="00414FDC">
        <w:rPr>
          <w:szCs w:val="22"/>
        </w:rPr>
        <w:t>naraščal</w:t>
      </w:r>
      <w:r w:rsidR="004A7F75">
        <w:rPr>
          <w:szCs w:val="22"/>
        </w:rPr>
        <w:t xml:space="preserve"> </w:t>
      </w:r>
      <w:r w:rsidR="00026B77">
        <w:rPr>
          <w:szCs w:val="22"/>
        </w:rPr>
        <w:t xml:space="preserve">do leta </w:t>
      </w:r>
      <w:r w:rsidR="004A7F75">
        <w:rPr>
          <w:szCs w:val="22"/>
        </w:rPr>
        <w:t>2016</w:t>
      </w:r>
      <w:r w:rsidR="00026B77">
        <w:rPr>
          <w:szCs w:val="22"/>
        </w:rPr>
        <w:t>, od tedaj delež pada</w:t>
      </w:r>
      <w:r>
        <w:rPr>
          <w:szCs w:val="22"/>
        </w:rPr>
        <w:t>;</w:t>
      </w:r>
    </w:p>
    <w:p w:rsidR="001671A0" w:rsidRDefault="001671A0" w:rsidP="00BC536D">
      <w:pPr>
        <w:numPr>
          <w:ilvl w:val="0"/>
          <w:numId w:val="14"/>
        </w:numPr>
        <w:spacing w:line="240" w:lineRule="auto"/>
        <w:rPr>
          <w:szCs w:val="22"/>
        </w:rPr>
      </w:pPr>
      <w:r w:rsidRPr="00414FDC">
        <w:rPr>
          <w:szCs w:val="22"/>
        </w:rPr>
        <w:t>dolgoročnega dolga</w:t>
      </w:r>
      <w:r>
        <w:rPr>
          <w:szCs w:val="22"/>
        </w:rPr>
        <w:t xml:space="preserve"> v bruto domačem proizvodu izrazito </w:t>
      </w:r>
      <w:r w:rsidRPr="00414FDC">
        <w:rPr>
          <w:szCs w:val="22"/>
        </w:rPr>
        <w:t>naraščal</w:t>
      </w:r>
      <w:r w:rsidR="004A7F75">
        <w:rPr>
          <w:szCs w:val="22"/>
        </w:rPr>
        <w:t xml:space="preserve"> </w:t>
      </w:r>
      <w:r w:rsidR="00026B77">
        <w:rPr>
          <w:szCs w:val="22"/>
        </w:rPr>
        <w:t xml:space="preserve">do leta </w:t>
      </w:r>
      <w:r w:rsidR="004A7F75">
        <w:rPr>
          <w:szCs w:val="22"/>
        </w:rPr>
        <w:t>2016</w:t>
      </w:r>
      <w:r w:rsidR="00026B77">
        <w:rPr>
          <w:szCs w:val="22"/>
        </w:rPr>
        <w:t>, od tedaj delež pada</w:t>
      </w:r>
      <w:r>
        <w:rPr>
          <w:szCs w:val="22"/>
        </w:rPr>
        <w:t xml:space="preserve">; </w:t>
      </w:r>
    </w:p>
    <w:p w:rsidR="00782DC7" w:rsidRDefault="001671A0" w:rsidP="00782DC7">
      <w:pPr>
        <w:numPr>
          <w:ilvl w:val="0"/>
          <w:numId w:val="14"/>
        </w:numPr>
        <w:spacing w:line="240" w:lineRule="auto"/>
        <w:rPr>
          <w:szCs w:val="22"/>
        </w:rPr>
      </w:pPr>
      <w:proofErr w:type="gramStart"/>
      <w:r w:rsidRPr="0002681D">
        <w:rPr>
          <w:szCs w:val="22"/>
        </w:rPr>
        <w:t>dolgoročnih</w:t>
      </w:r>
      <w:proofErr w:type="gramEnd"/>
      <w:r w:rsidRPr="0002681D">
        <w:rPr>
          <w:szCs w:val="22"/>
        </w:rPr>
        <w:t xml:space="preserve"> finančnih naložb v bruto domačem proizvodu</w:t>
      </w:r>
      <w:r w:rsidR="00C51623">
        <w:rPr>
          <w:szCs w:val="22"/>
        </w:rPr>
        <w:t xml:space="preserve"> padal (z izjemo leta 2013)</w:t>
      </w:r>
      <w:r w:rsidRPr="0002681D">
        <w:rPr>
          <w:szCs w:val="22"/>
        </w:rPr>
        <w:t>.</w:t>
      </w:r>
    </w:p>
    <w:p w:rsidR="00C83EE3" w:rsidRDefault="00C83EE3" w:rsidP="00C83EE3">
      <w:pPr>
        <w:spacing w:line="240" w:lineRule="auto"/>
        <w:jc w:val="left"/>
        <w:rPr>
          <w:szCs w:val="22"/>
        </w:rPr>
      </w:pPr>
    </w:p>
    <w:p w:rsidR="001671A0" w:rsidRPr="00C83EE3" w:rsidRDefault="001671A0" w:rsidP="00C83EE3">
      <w:pPr>
        <w:pStyle w:val="Caption"/>
      </w:pPr>
      <w:bookmarkStart w:id="31" w:name="_Toc49771351"/>
      <w:r>
        <w:t xml:space="preserve">Slika </w:t>
      </w:r>
      <w:r>
        <w:fldChar w:fldCharType="begin"/>
      </w:r>
      <w:r>
        <w:instrText xml:space="preserve"> SEQ Slika \* ARABIC </w:instrText>
      </w:r>
      <w:r>
        <w:fldChar w:fldCharType="separate"/>
      </w:r>
      <w:r w:rsidR="00CE55C4">
        <w:t>6</w:t>
      </w:r>
      <w:r>
        <w:fldChar w:fldCharType="end"/>
      </w:r>
      <w:r>
        <w:t xml:space="preserve">: </w:t>
      </w:r>
      <w:r w:rsidR="00C83EE3">
        <w:t>Gibanje d</w:t>
      </w:r>
      <w:r w:rsidRPr="004C0829">
        <w:t>elež</w:t>
      </w:r>
      <w:r w:rsidR="00C83EE3">
        <w:t>a</w:t>
      </w:r>
      <w:r w:rsidR="00D83E62">
        <w:t xml:space="preserve"> (v %)</w:t>
      </w:r>
      <w:r w:rsidRPr="004C0829">
        <w:t xml:space="preserve"> sedanje vrednosti nepremičnin, dolgoročnega dolga in dolgoročnih finančnih naložb v bruto </w:t>
      </w:r>
      <w:proofErr w:type="gramStart"/>
      <w:r w:rsidRPr="004C0829">
        <w:t>domačem  proizvodu</w:t>
      </w:r>
      <w:proofErr w:type="gramEnd"/>
      <w:r w:rsidR="00362C5B">
        <w:t xml:space="preserve"> </w:t>
      </w:r>
      <w:r w:rsidRPr="004C0829">
        <w:t>v obdobju 20</w:t>
      </w:r>
      <w:r w:rsidR="006A7E7F">
        <w:t>1</w:t>
      </w:r>
      <w:r w:rsidR="009C4E7D">
        <w:t>2</w:t>
      </w:r>
      <w:r w:rsidRPr="004C0829">
        <w:t>-201</w:t>
      </w:r>
      <w:r w:rsidR="009C4E7D">
        <w:t>8</w:t>
      </w:r>
      <w:r w:rsidRPr="004C0829">
        <w:t xml:space="preserve"> (podatki o bruto domačem proizvodu za izračun so pridobljeni na Statističnem uradu RS, www.surs.si)</w:t>
      </w:r>
      <w:bookmarkEnd w:id="31"/>
    </w:p>
    <w:p w:rsidR="001671A0" w:rsidRDefault="00D83E62" w:rsidP="0077166E">
      <w:pPr>
        <w:spacing w:line="240" w:lineRule="auto"/>
        <w:rPr>
          <w:rFonts w:cs="Arial"/>
          <w:noProof/>
          <w:szCs w:val="22"/>
        </w:rPr>
      </w:pPr>
      <w:r>
        <w:rPr>
          <w:rFonts w:cs="Arial"/>
          <w:noProof/>
          <w:szCs w:val="22"/>
          <w:lang w:val="sl-SI" w:eastAsia="sl-SI"/>
        </w:rPr>
        <w:drawing>
          <wp:inline distT="0" distB="0" distL="0" distR="0" wp14:anchorId="59DEEC0B" wp14:editId="5812358A">
            <wp:extent cx="5549735" cy="1865376"/>
            <wp:effectExtent l="0" t="0" r="0" b="1905"/>
            <wp:docPr id="4" name="Picture 4" descr="Gibanje deleža (v %) SVN, DD in DFN v BDP 2012-2018" title="Gibanje deleža (v %) sedanje vrednosti nepremičnin, dolgoročnega dolga in dolgoročnih finančnih naložb v bruto domačem  proizvodu v obdobju 2012-2018 (podatki o bruto domačem proizvodu za izračun so pridobljeni na Statističnem uradu RS, www.surs.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0">
                      <a:extLst>
                        <a:ext uri="{28A0092B-C50C-407E-A947-70E740481C1C}">
                          <a14:useLocalDpi xmlns:a14="http://schemas.microsoft.com/office/drawing/2010/main" val="0"/>
                        </a:ext>
                      </a:extLst>
                    </a:blip>
                    <a:srcRect b="23880"/>
                    <a:stretch/>
                  </pic:blipFill>
                  <pic:spPr bwMode="auto">
                    <a:xfrm>
                      <a:off x="0" y="0"/>
                      <a:ext cx="5550154" cy="1865517"/>
                    </a:xfrm>
                    <a:prstGeom prst="rect">
                      <a:avLst/>
                    </a:prstGeom>
                    <a:noFill/>
                    <a:ln>
                      <a:noFill/>
                    </a:ln>
                    <a:extLst>
                      <a:ext uri="{53640926-AAD7-44D8-BBD7-CCE9431645EC}">
                        <a14:shadowObscured xmlns:a14="http://schemas.microsoft.com/office/drawing/2010/main"/>
                      </a:ext>
                    </a:extLst>
                  </pic:spPr>
                </pic:pic>
              </a:graphicData>
            </a:graphic>
          </wp:inline>
        </w:drawing>
      </w:r>
    </w:p>
    <w:p w:rsidR="00C83EE3" w:rsidRDefault="00C83EE3" w:rsidP="0077166E">
      <w:pPr>
        <w:spacing w:line="240" w:lineRule="auto"/>
        <w:rPr>
          <w:rFonts w:cs="Arial"/>
          <w:noProof/>
          <w:szCs w:val="22"/>
        </w:rPr>
      </w:pPr>
    </w:p>
    <w:p w:rsidR="00C83EE3" w:rsidRDefault="00C83EE3" w:rsidP="00C83EE3">
      <w:pPr>
        <w:pStyle w:val="Caption"/>
      </w:pPr>
      <w:bookmarkStart w:id="32" w:name="_Toc49771326"/>
      <w:r>
        <w:t xml:space="preserve">Tabela </w:t>
      </w:r>
      <w:r>
        <w:fldChar w:fldCharType="begin"/>
      </w:r>
      <w:r>
        <w:instrText xml:space="preserve"> SEQ Tabela \* ARABIC </w:instrText>
      </w:r>
      <w:r>
        <w:fldChar w:fldCharType="separate"/>
      </w:r>
      <w:r>
        <w:rPr>
          <w:noProof/>
        </w:rPr>
        <w:t>7</w:t>
      </w:r>
      <w:r>
        <w:fldChar w:fldCharType="end"/>
      </w:r>
      <w:r>
        <w:t xml:space="preserve">: </w:t>
      </w:r>
      <w:r w:rsidRPr="004C0829">
        <w:t>Delež</w:t>
      </w:r>
      <w:r w:rsidR="00D83E62">
        <w:t xml:space="preserve"> (v %)</w:t>
      </w:r>
      <w:r w:rsidRPr="004C0829">
        <w:t xml:space="preserve"> sedanje vrednosti nepremičnin, dolgoročnega dolga in dolgoročnih finančnih naložb v bruto </w:t>
      </w:r>
      <w:proofErr w:type="gramStart"/>
      <w:r w:rsidRPr="004C0829">
        <w:t>domačem  proizvodu</w:t>
      </w:r>
      <w:proofErr w:type="gramEnd"/>
      <w:r>
        <w:t xml:space="preserve"> </w:t>
      </w:r>
      <w:r w:rsidRPr="004C0829">
        <w:t>v obdobju 20</w:t>
      </w:r>
      <w:r>
        <w:t>12</w:t>
      </w:r>
      <w:r w:rsidRPr="004C0829">
        <w:t>-201</w:t>
      </w:r>
      <w:r>
        <w:t>8</w:t>
      </w:r>
      <w:r w:rsidRPr="004C0829">
        <w:t xml:space="preserve"> (podatki o bruto domačem proizvodu za izračun so pridobljeni na Statističnem uradu RS, www.surs.si)</w:t>
      </w:r>
      <w:bookmarkEnd w:id="32"/>
    </w:p>
    <w:tbl>
      <w:tblPr>
        <w:tblStyle w:val="TableGrid"/>
        <w:tblW w:w="0" w:type="auto"/>
        <w:tblLook w:val="04A0" w:firstRow="1" w:lastRow="0" w:firstColumn="1" w:lastColumn="0" w:noHBand="0" w:noVBand="1"/>
        <w:tblCaption w:val="Delež sedanje vrednosti nepremičnin, dolgoročnega dolga in dolgoročnih finančnih naložb v bruto domačem  proizvodu v obdobju 2012-2018 (podatki o bruto domačem proizvodu za izračun so pridobljeni na Statističnem uradu RS, www.surs.si)"/>
        <w:tblDescription w:val="Delež SVN, DD in DFNb vBDP 2012-2018"/>
      </w:tblPr>
      <w:tblGrid>
        <w:gridCol w:w="1917"/>
        <w:gridCol w:w="1052"/>
        <w:gridCol w:w="1052"/>
        <w:gridCol w:w="1053"/>
        <w:gridCol w:w="1053"/>
        <w:gridCol w:w="1053"/>
        <w:gridCol w:w="1053"/>
        <w:gridCol w:w="1053"/>
      </w:tblGrid>
      <w:tr w:rsidR="00C83EE3" w:rsidRPr="00C83EE3" w:rsidTr="00D237B2">
        <w:trPr>
          <w:tblHeader/>
        </w:trPr>
        <w:tc>
          <w:tcPr>
            <w:tcW w:w="1917" w:type="dxa"/>
          </w:tcPr>
          <w:p w:rsidR="00C83EE3" w:rsidRPr="00C83EE3" w:rsidRDefault="00C83EE3" w:rsidP="00C83EE3">
            <w:pPr>
              <w:rPr>
                <w:b/>
                <w:sz w:val="16"/>
                <w:szCs w:val="16"/>
              </w:rPr>
            </w:pPr>
            <w:r w:rsidRPr="00C83EE3">
              <w:rPr>
                <w:b/>
                <w:sz w:val="16"/>
                <w:szCs w:val="16"/>
              </w:rPr>
              <w:t>Leto</w:t>
            </w:r>
          </w:p>
        </w:tc>
        <w:tc>
          <w:tcPr>
            <w:tcW w:w="1052" w:type="dxa"/>
          </w:tcPr>
          <w:p w:rsidR="00C83EE3" w:rsidRPr="00C83EE3" w:rsidRDefault="00C83EE3" w:rsidP="00C83EE3">
            <w:pPr>
              <w:rPr>
                <w:b/>
                <w:sz w:val="16"/>
                <w:szCs w:val="16"/>
              </w:rPr>
            </w:pPr>
            <w:r w:rsidRPr="00C83EE3">
              <w:rPr>
                <w:b/>
                <w:sz w:val="16"/>
                <w:szCs w:val="16"/>
              </w:rPr>
              <w:t>31.12.2012</w:t>
            </w:r>
          </w:p>
        </w:tc>
        <w:tc>
          <w:tcPr>
            <w:tcW w:w="1052" w:type="dxa"/>
          </w:tcPr>
          <w:p w:rsidR="00C83EE3" w:rsidRPr="00C83EE3" w:rsidRDefault="00C83EE3" w:rsidP="00C83EE3">
            <w:pPr>
              <w:rPr>
                <w:b/>
                <w:sz w:val="16"/>
                <w:szCs w:val="16"/>
              </w:rPr>
            </w:pPr>
            <w:r w:rsidRPr="00C83EE3">
              <w:rPr>
                <w:b/>
                <w:sz w:val="16"/>
                <w:szCs w:val="16"/>
              </w:rPr>
              <w:t>31.12.2013</w:t>
            </w:r>
          </w:p>
        </w:tc>
        <w:tc>
          <w:tcPr>
            <w:tcW w:w="1053" w:type="dxa"/>
          </w:tcPr>
          <w:p w:rsidR="00C83EE3" w:rsidRPr="00C83EE3" w:rsidRDefault="00C83EE3" w:rsidP="00C83EE3">
            <w:pPr>
              <w:rPr>
                <w:b/>
                <w:sz w:val="16"/>
                <w:szCs w:val="16"/>
              </w:rPr>
            </w:pPr>
            <w:r w:rsidRPr="00C83EE3">
              <w:rPr>
                <w:b/>
                <w:sz w:val="16"/>
                <w:szCs w:val="16"/>
              </w:rPr>
              <w:t>31.12.2014</w:t>
            </w:r>
          </w:p>
        </w:tc>
        <w:tc>
          <w:tcPr>
            <w:tcW w:w="1053" w:type="dxa"/>
          </w:tcPr>
          <w:p w:rsidR="00C83EE3" w:rsidRPr="00C83EE3" w:rsidRDefault="00C83EE3" w:rsidP="00C83EE3">
            <w:pPr>
              <w:rPr>
                <w:b/>
                <w:sz w:val="16"/>
                <w:szCs w:val="16"/>
              </w:rPr>
            </w:pPr>
            <w:r w:rsidRPr="00C83EE3">
              <w:rPr>
                <w:b/>
                <w:sz w:val="16"/>
                <w:szCs w:val="16"/>
              </w:rPr>
              <w:t>31.12.2015</w:t>
            </w:r>
          </w:p>
        </w:tc>
        <w:tc>
          <w:tcPr>
            <w:tcW w:w="1053" w:type="dxa"/>
          </w:tcPr>
          <w:p w:rsidR="00C83EE3" w:rsidRPr="00C83EE3" w:rsidRDefault="00C83EE3" w:rsidP="00C83EE3">
            <w:pPr>
              <w:rPr>
                <w:b/>
                <w:sz w:val="16"/>
                <w:szCs w:val="16"/>
              </w:rPr>
            </w:pPr>
            <w:r w:rsidRPr="00C83EE3">
              <w:rPr>
                <w:b/>
                <w:sz w:val="16"/>
                <w:szCs w:val="16"/>
              </w:rPr>
              <w:t>31.12.2016</w:t>
            </w:r>
          </w:p>
        </w:tc>
        <w:tc>
          <w:tcPr>
            <w:tcW w:w="1053" w:type="dxa"/>
          </w:tcPr>
          <w:p w:rsidR="00C83EE3" w:rsidRPr="00C83EE3" w:rsidRDefault="00C83EE3" w:rsidP="00C83EE3">
            <w:pPr>
              <w:rPr>
                <w:b/>
                <w:sz w:val="16"/>
                <w:szCs w:val="16"/>
              </w:rPr>
            </w:pPr>
            <w:r w:rsidRPr="00C83EE3">
              <w:rPr>
                <w:b/>
                <w:sz w:val="16"/>
                <w:szCs w:val="16"/>
              </w:rPr>
              <w:t>31.12.2017</w:t>
            </w:r>
          </w:p>
        </w:tc>
        <w:tc>
          <w:tcPr>
            <w:tcW w:w="1053" w:type="dxa"/>
          </w:tcPr>
          <w:p w:rsidR="00C83EE3" w:rsidRPr="00C83EE3" w:rsidRDefault="00C83EE3" w:rsidP="00C83EE3">
            <w:pPr>
              <w:rPr>
                <w:b/>
                <w:sz w:val="16"/>
                <w:szCs w:val="16"/>
              </w:rPr>
            </w:pPr>
            <w:r w:rsidRPr="00C83EE3">
              <w:rPr>
                <w:b/>
                <w:sz w:val="16"/>
                <w:szCs w:val="16"/>
              </w:rPr>
              <w:t>31.12.2018</w:t>
            </w:r>
          </w:p>
        </w:tc>
      </w:tr>
      <w:tr w:rsidR="00C83EE3" w:rsidRPr="00C83EE3" w:rsidTr="00C83EE3">
        <w:tc>
          <w:tcPr>
            <w:tcW w:w="1917" w:type="dxa"/>
          </w:tcPr>
          <w:p w:rsidR="00C83EE3" w:rsidRPr="00C83EE3" w:rsidRDefault="00C83EE3" w:rsidP="00E372A2">
            <w:pPr>
              <w:rPr>
                <w:rFonts w:cs="Arial"/>
                <w:noProof/>
                <w:sz w:val="16"/>
                <w:szCs w:val="16"/>
              </w:rPr>
            </w:pPr>
          </w:p>
        </w:tc>
        <w:tc>
          <w:tcPr>
            <w:tcW w:w="1052" w:type="dxa"/>
          </w:tcPr>
          <w:p w:rsidR="00C83EE3" w:rsidRPr="00C83EE3" w:rsidRDefault="00C83EE3" w:rsidP="00D237B2">
            <w:pPr>
              <w:jc w:val="center"/>
              <w:rPr>
                <w:rFonts w:cs="Arial"/>
                <w:noProof/>
                <w:sz w:val="16"/>
                <w:szCs w:val="16"/>
              </w:rPr>
            </w:pPr>
            <w:r w:rsidRPr="00C83EE3">
              <w:rPr>
                <w:rFonts w:cs="Arial"/>
                <w:noProof/>
                <w:sz w:val="16"/>
                <w:szCs w:val="16"/>
              </w:rPr>
              <w:t>%</w:t>
            </w:r>
          </w:p>
        </w:tc>
        <w:tc>
          <w:tcPr>
            <w:tcW w:w="1052" w:type="dxa"/>
          </w:tcPr>
          <w:p w:rsidR="00C83EE3" w:rsidRPr="00C83EE3" w:rsidRDefault="00C83EE3" w:rsidP="00D237B2">
            <w:pPr>
              <w:jc w:val="center"/>
              <w:rPr>
                <w:rFonts w:cs="Arial"/>
                <w:noProof/>
                <w:sz w:val="16"/>
                <w:szCs w:val="16"/>
              </w:rPr>
            </w:pPr>
            <w:r w:rsidRPr="00C83EE3">
              <w:rPr>
                <w:rFonts w:cs="Arial"/>
                <w:noProof/>
                <w:sz w:val="16"/>
                <w:szCs w:val="16"/>
              </w:rPr>
              <w:t>%</w:t>
            </w:r>
          </w:p>
        </w:tc>
        <w:tc>
          <w:tcPr>
            <w:tcW w:w="1053" w:type="dxa"/>
          </w:tcPr>
          <w:p w:rsidR="00C83EE3" w:rsidRPr="00C83EE3" w:rsidRDefault="00C83EE3" w:rsidP="00D237B2">
            <w:pPr>
              <w:jc w:val="center"/>
              <w:rPr>
                <w:rFonts w:cs="Arial"/>
                <w:noProof/>
                <w:sz w:val="16"/>
                <w:szCs w:val="16"/>
              </w:rPr>
            </w:pPr>
            <w:r w:rsidRPr="00C83EE3">
              <w:rPr>
                <w:rFonts w:cs="Arial"/>
                <w:noProof/>
                <w:sz w:val="16"/>
                <w:szCs w:val="16"/>
              </w:rPr>
              <w:t>%</w:t>
            </w:r>
          </w:p>
        </w:tc>
        <w:tc>
          <w:tcPr>
            <w:tcW w:w="1053" w:type="dxa"/>
          </w:tcPr>
          <w:p w:rsidR="00C83EE3" w:rsidRPr="00C83EE3" w:rsidRDefault="00C83EE3" w:rsidP="00D237B2">
            <w:pPr>
              <w:jc w:val="center"/>
              <w:rPr>
                <w:rFonts w:cs="Arial"/>
                <w:noProof/>
                <w:sz w:val="16"/>
                <w:szCs w:val="16"/>
              </w:rPr>
            </w:pPr>
            <w:r w:rsidRPr="00C83EE3">
              <w:rPr>
                <w:rFonts w:cs="Arial"/>
                <w:noProof/>
                <w:sz w:val="16"/>
                <w:szCs w:val="16"/>
              </w:rPr>
              <w:t>%</w:t>
            </w:r>
          </w:p>
        </w:tc>
        <w:tc>
          <w:tcPr>
            <w:tcW w:w="1053" w:type="dxa"/>
          </w:tcPr>
          <w:p w:rsidR="00C83EE3" w:rsidRPr="00C83EE3" w:rsidRDefault="00C83EE3" w:rsidP="00D237B2">
            <w:pPr>
              <w:jc w:val="center"/>
              <w:rPr>
                <w:rFonts w:cs="Arial"/>
                <w:noProof/>
                <w:sz w:val="16"/>
                <w:szCs w:val="16"/>
              </w:rPr>
            </w:pPr>
            <w:r w:rsidRPr="00C83EE3">
              <w:rPr>
                <w:rFonts w:cs="Arial"/>
                <w:noProof/>
                <w:sz w:val="16"/>
                <w:szCs w:val="16"/>
              </w:rPr>
              <w:t>%</w:t>
            </w:r>
          </w:p>
        </w:tc>
        <w:tc>
          <w:tcPr>
            <w:tcW w:w="1053" w:type="dxa"/>
          </w:tcPr>
          <w:p w:rsidR="00C83EE3" w:rsidRPr="00C83EE3" w:rsidRDefault="00C83EE3" w:rsidP="00D237B2">
            <w:pPr>
              <w:jc w:val="center"/>
              <w:rPr>
                <w:rFonts w:cs="Arial"/>
                <w:noProof/>
                <w:sz w:val="16"/>
                <w:szCs w:val="16"/>
              </w:rPr>
            </w:pPr>
            <w:r w:rsidRPr="00C83EE3">
              <w:rPr>
                <w:rFonts w:cs="Arial"/>
                <w:noProof/>
                <w:sz w:val="16"/>
                <w:szCs w:val="16"/>
              </w:rPr>
              <w:t>%</w:t>
            </w:r>
          </w:p>
        </w:tc>
        <w:tc>
          <w:tcPr>
            <w:tcW w:w="1053" w:type="dxa"/>
          </w:tcPr>
          <w:p w:rsidR="00C83EE3" w:rsidRPr="00C83EE3" w:rsidRDefault="00C83EE3" w:rsidP="00D237B2">
            <w:pPr>
              <w:jc w:val="center"/>
              <w:rPr>
                <w:rFonts w:cs="Arial"/>
                <w:noProof/>
                <w:sz w:val="16"/>
                <w:szCs w:val="16"/>
              </w:rPr>
            </w:pPr>
            <w:r w:rsidRPr="00C83EE3">
              <w:rPr>
                <w:rFonts w:cs="Arial"/>
                <w:noProof/>
                <w:sz w:val="16"/>
                <w:szCs w:val="16"/>
              </w:rPr>
              <w:t>%</w:t>
            </w:r>
          </w:p>
        </w:tc>
      </w:tr>
      <w:tr w:rsidR="00D237B2" w:rsidRPr="00C83EE3" w:rsidTr="00AE00DC">
        <w:tc>
          <w:tcPr>
            <w:tcW w:w="1917" w:type="dxa"/>
          </w:tcPr>
          <w:p w:rsidR="00D237B2" w:rsidRPr="00D237B2" w:rsidRDefault="00D237B2" w:rsidP="00E372A2">
            <w:pPr>
              <w:rPr>
                <w:rFonts w:cs="Arial"/>
                <w:b/>
                <w:noProof/>
                <w:sz w:val="16"/>
                <w:szCs w:val="16"/>
              </w:rPr>
            </w:pPr>
            <w:r w:rsidRPr="00D237B2">
              <w:rPr>
                <w:rFonts w:cs="Arial"/>
                <w:b/>
                <w:noProof/>
                <w:sz w:val="16"/>
                <w:szCs w:val="16"/>
              </w:rPr>
              <w:t>Nepremičnine/BDP</w:t>
            </w:r>
          </w:p>
        </w:tc>
        <w:tc>
          <w:tcPr>
            <w:tcW w:w="1052" w:type="dxa"/>
            <w:vAlign w:val="bottom"/>
          </w:tcPr>
          <w:p w:rsidR="00D237B2" w:rsidRPr="00D237B2" w:rsidRDefault="00D237B2" w:rsidP="00D237B2">
            <w:pPr>
              <w:jc w:val="center"/>
              <w:rPr>
                <w:sz w:val="16"/>
                <w:szCs w:val="16"/>
              </w:rPr>
            </w:pPr>
            <w:r w:rsidRPr="00D237B2">
              <w:rPr>
                <w:sz w:val="16"/>
                <w:szCs w:val="16"/>
              </w:rPr>
              <w:t>50,48</w:t>
            </w:r>
          </w:p>
        </w:tc>
        <w:tc>
          <w:tcPr>
            <w:tcW w:w="1052" w:type="dxa"/>
            <w:vAlign w:val="bottom"/>
          </w:tcPr>
          <w:p w:rsidR="00D237B2" w:rsidRPr="00D237B2" w:rsidRDefault="00D237B2" w:rsidP="00D237B2">
            <w:pPr>
              <w:jc w:val="center"/>
              <w:rPr>
                <w:sz w:val="16"/>
                <w:szCs w:val="16"/>
              </w:rPr>
            </w:pPr>
            <w:r w:rsidRPr="00D237B2">
              <w:rPr>
                <w:sz w:val="16"/>
                <w:szCs w:val="16"/>
              </w:rPr>
              <w:t>52,44</w:t>
            </w:r>
          </w:p>
        </w:tc>
        <w:tc>
          <w:tcPr>
            <w:tcW w:w="1053" w:type="dxa"/>
            <w:vAlign w:val="bottom"/>
          </w:tcPr>
          <w:p w:rsidR="00D237B2" w:rsidRPr="00D237B2" w:rsidRDefault="00D237B2" w:rsidP="00D237B2">
            <w:pPr>
              <w:jc w:val="center"/>
              <w:rPr>
                <w:sz w:val="16"/>
                <w:szCs w:val="16"/>
              </w:rPr>
            </w:pPr>
            <w:r w:rsidRPr="00D237B2">
              <w:rPr>
                <w:sz w:val="16"/>
                <w:szCs w:val="16"/>
              </w:rPr>
              <w:t>52,82</w:t>
            </w:r>
          </w:p>
        </w:tc>
        <w:tc>
          <w:tcPr>
            <w:tcW w:w="1053" w:type="dxa"/>
            <w:vAlign w:val="bottom"/>
          </w:tcPr>
          <w:p w:rsidR="00D237B2" w:rsidRPr="00D237B2" w:rsidRDefault="00D237B2" w:rsidP="00D237B2">
            <w:pPr>
              <w:jc w:val="center"/>
              <w:rPr>
                <w:sz w:val="16"/>
                <w:szCs w:val="16"/>
              </w:rPr>
            </w:pPr>
            <w:r w:rsidRPr="00D237B2">
              <w:rPr>
                <w:sz w:val="16"/>
                <w:szCs w:val="16"/>
              </w:rPr>
              <w:t>53,32</w:t>
            </w:r>
          </w:p>
        </w:tc>
        <w:tc>
          <w:tcPr>
            <w:tcW w:w="1053" w:type="dxa"/>
            <w:vAlign w:val="bottom"/>
          </w:tcPr>
          <w:p w:rsidR="00D237B2" w:rsidRPr="00D237B2" w:rsidRDefault="00D237B2" w:rsidP="00D237B2">
            <w:pPr>
              <w:jc w:val="center"/>
              <w:rPr>
                <w:sz w:val="16"/>
                <w:szCs w:val="16"/>
              </w:rPr>
            </w:pPr>
            <w:r w:rsidRPr="00D237B2">
              <w:rPr>
                <w:sz w:val="16"/>
                <w:szCs w:val="16"/>
              </w:rPr>
              <w:t>51,49</w:t>
            </w:r>
          </w:p>
        </w:tc>
        <w:tc>
          <w:tcPr>
            <w:tcW w:w="1053" w:type="dxa"/>
            <w:vAlign w:val="bottom"/>
          </w:tcPr>
          <w:p w:rsidR="00D237B2" w:rsidRPr="00D237B2" w:rsidRDefault="00D237B2" w:rsidP="00D237B2">
            <w:pPr>
              <w:jc w:val="center"/>
              <w:rPr>
                <w:sz w:val="16"/>
                <w:szCs w:val="16"/>
              </w:rPr>
            </w:pPr>
            <w:r w:rsidRPr="00D237B2">
              <w:rPr>
                <w:sz w:val="16"/>
                <w:szCs w:val="16"/>
              </w:rPr>
              <w:t>49,18</w:t>
            </w:r>
          </w:p>
        </w:tc>
        <w:tc>
          <w:tcPr>
            <w:tcW w:w="1053" w:type="dxa"/>
            <w:vAlign w:val="bottom"/>
          </w:tcPr>
          <w:p w:rsidR="00D237B2" w:rsidRPr="00D237B2" w:rsidRDefault="00D237B2" w:rsidP="00D237B2">
            <w:pPr>
              <w:jc w:val="center"/>
              <w:rPr>
                <w:sz w:val="16"/>
                <w:szCs w:val="16"/>
              </w:rPr>
            </w:pPr>
            <w:r w:rsidRPr="00D237B2">
              <w:rPr>
                <w:sz w:val="16"/>
                <w:szCs w:val="16"/>
              </w:rPr>
              <w:t>46,77</w:t>
            </w:r>
          </w:p>
        </w:tc>
      </w:tr>
      <w:tr w:rsidR="00D237B2" w:rsidRPr="00C83EE3" w:rsidTr="00596582">
        <w:tc>
          <w:tcPr>
            <w:tcW w:w="1917" w:type="dxa"/>
          </w:tcPr>
          <w:p w:rsidR="00D237B2" w:rsidRPr="00D237B2" w:rsidRDefault="00D237B2">
            <w:pPr>
              <w:rPr>
                <w:b/>
                <w:sz w:val="16"/>
                <w:szCs w:val="16"/>
              </w:rPr>
            </w:pPr>
            <w:r w:rsidRPr="00D237B2">
              <w:rPr>
                <w:rFonts w:cs="Arial"/>
                <w:b/>
                <w:noProof/>
                <w:sz w:val="16"/>
                <w:szCs w:val="16"/>
              </w:rPr>
              <w:t>Dolgoročni dolg/BDP</w:t>
            </w:r>
          </w:p>
        </w:tc>
        <w:tc>
          <w:tcPr>
            <w:tcW w:w="1052" w:type="dxa"/>
            <w:vAlign w:val="bottom"/>
          </w:tcPr>
          <w:p w:rsidR="00D237B2" w:rsidRPr="00D237B2" w:rsidRDefault="00D237B2" w:rsidP="00D237B2">
            <w:pPr>
              <w:jc w:val="center"/>
              <w:rPr>
                <w:sz w:val="16"/>
                <w:szCs w:val="16"/>
              </w:rPr>
            </w:pPr>
            <w:r w:rsidRPr="00D237B2">
              <w:rPr>
                <w:sz w:val="16"/>
                <w:szCs w:val="16"/>
              </w:rPr>
              <w:t>46,57</w:t>
            </w:r>
          </w:p>
        </w:tc>
        <w:tc>
          <w:tcPr>
            <w:tcW w:w="1052" w:type="dxa"/>
            <w:vAlign w:val="bottom"/>
          </w:tcPr>
          <w:p w:rsidR="00D237B2" w:rsidRPr="00D237B2" w:rsidRDefault="00D237B2" w:rsidP="00D237B2">
            <w:pPr>
              <w:jc w:val="center"/>
              <w:rPr>
                <w:sz w:val="16"/>
                <w:szCs w:val="16"/>
              </w:rPr>
            </w:pPr>
            <w:r w:rsidRPr="00D237B2">
              <w:rPr>
                <w:sz w:val="16"/>
                <w:szCs w:val="16"/>
              </w:rPr>
              <w:t>60,94</w:t>
            </w:r>
          </w:p>
        </w:tc>
        <w:tc>
          <w:tcPr>
            <w:tcW w:w="1053" w:type="dxa"/>
            <w:vAlign w:val="bottom"/>
          </w:tcPr>
          <w:p w:rsidR="00D237B2" w:rsidRPr="00D237B2" w:rsidRDefault="00D237B2" w:rsidP="00D237B2">
            <w:pPr>
              <w:jc w:val="center"/>
              <w:rPr>
                <w:sz w:val="16"/>
                <w:szCs w:val="16"/>
              </w:rPr>
            </w:pPr>
            <w:r w:rsidRPr="00D237B2">
              <w:rPr>
                <w:sz w:val="16"/>
                <w:szCs w:val="16"/>
              </w:rPr>
              <w:t>68,75</w:t>
            </w:r>
          </w:p>
        </w:tc>
        <w:tc>
          <w:tcPr>
            <w:tcW w:w="1053" w:type="dxa"/>
            <w:vAlign w:val="bottom"/>
          </w:tcPr>
          <w:p w:rsidR="00D237B2" w:rsidRPr="00D237B2" w:rsidRDefault="00D237B2" w:rsidP="00D237B2">
            <w:pPr>
              <w:jc w:val="center"/>
              <w:rPr>
                <w:sz w:val="16"/>
                <w:szCs w:val="16"/>
              </w:rPr>
            </w:pPr>
            <w:r w:rsidRPr="00D237B2">
              <w:rPr>
                <w:sz w:val="16"/>
                <w:szCs w:val="16"/>
              </w:rPr>
              <w:t>71,09</w:t>
            </w:r>
          </w:p>
        </w:tc>
        <w:tc>
          <w:tcPr>
            <w:tcW w:w="1053" w:type="dxa"/>
            <w:vAlign w:val="bottom"/>
          </w:tcPr>
          <w:p w:rsidR="00D237B2" w:rsidRPr="00D237B2" w:rsidRDefault="00D237B2" w:rsidP="00D237B2">
            <w:pPr>
              <w:jc w:val="center"/>
              <w:rPr>
                <w:sz w:val="16"/>
                <w:szCs w:val="16"/>
              </w:rPr>
            </w:pPr>
            <w:r w:rsidRPr="00D237B2">
              <w:rPr>
                <w:sz w:val="16"/>
                <w:szCs w:val="16"/>
              </w:rPr>
              <w:t>68,22</w:t>
            </w:r>
          </w:p>
        </w:tc>
        <w:tc>
          <w:tcPr>
            <w:tcW w:w="1053" w:type="dxa"/>
            <w:vAlign w:val="bottom"/>
          </w:tcPr>
          <w:p w:rsidR="00D237B2" w:rsidRPr="00D237B2" w:rsidRDefault="00D237B2" w:rsidP="00D237B2">
            <w:pPr>
              <w:jc w:val="center"/>
              <w:rPr>
                <w:sz w:val="16"/>
                <w:szCs w:val="16"/>
              </w:rPr>
            </w:pPr>
            <w:r w:rsidRPr="00D237B2">
              <w:rPr>
                <w:sz w:val="16"/>
                <w:szCs w:val="16"/>
              </w:rPr>
              <w:t>67,52</w:t>
            </w:r>
          </w:p>
        </w:tc>
        <w:tc>
          <w:tcPr>
            <w:tcW w:w="1053" w:type="dxa"/>
            <w:vAlign w:val="bottom"/>
          </w:tcPr>
          <w:p w:rsidR="00D237B2" w:rsidRPr="00D237B2" w:rsidRDefault="00D237B2" w:rsidP="00D237B2">
            <w:pPr>
              <w:jc w:val="center"/>
              <w:rPr>
                <w:sz w:val="16"/>
                <w:szCs w:val="16"/>
              </w:rPr>
            </w:pPr>
            <w:r w:rsidRPr="00D237B2">
              <w:rPr>
                <w:sz w:val="16"/>
                <w:szCs w:val="16"/>
              </w:rPr>
              <w:t>64,15</w:t>
            </w:r>
          </w:p>
        </w:tc>
      </w:tr>
      <w:tr w:rsidR="00D237B2" w:rsidRPr="00C83EE3" w:rsidTr="00BB195F">
        <w:tc>
          <w:tcPr>
            <w:tcW w:w="1917" w:type="dxa"/>
          </w:tcPr>
          <w:p w:rsidR="00D237B2" w:rsidRPr="00D237B2" w:rsidRDefault="00D237B2">
            <w:pPr>
              <w:rPr>
                <w:b/>
                <w:sz w:val="16"/>
                <w:szCs w:val="16"/>
              </w:rPr>
            </w:pPr>
            <w:r w:rsidRPr="00D237B2">
              <w:rPr>
                <w:rFonts w:cs="Arial"/>
                <w:b/>
                <w:noProof/>
                <w:sz w:val="16"/>
                <w:szCs w:val="16"/>
              </w:rPr>
              <w:t>Dolgoročne finančne naložbe/BDP</w:t>
            </w:r>
          </w:p>
        </w:tc>
        <w:tc>
          <w:tcPr>
            <w:tcW w:w="1052" w:type="dxa"/>
            <w:vAlign w:val="bottom"/>
          </w:tcPr>
          <w:p w:rsidR="00D237B2" w:rsidRPr="00D237B2" w:rsidRDefault="00D237B2" w:rsidP="00D237B2">
            <w:pPr>
              <w:jc w:val="center"/>
              <w:rPr>
                <w:sz w:val="16"/>
                <w:szCs w:val="16"/>
              </w:rPr>
            </w:pPr>
            <w:r w:rsidRPr="00D237B2">
              <w:rPr>
                <w:sz w:val="16"/>
                <w:szCs w:val="16"/>
              </w:rPr>
              <w:t>25,18</w:t>
            </w:r>
          </w:p>
        </w:tc>
        <w:tc>
          <w:tcPr>
            <w:tcW w:w="1052" w:type="dxa"/>
            <w:vAlign w:val="bottom"/>
          </w:tcPr>
          <w:p w:rsidR="00D237B2" w:rsidRPr="00D237B2" w:rsidRDefault="00D237B2" w:rsidP="00D237B2">
            <w:pPr>
              <w:jc w:val="center"/>
              <w:rPr>
                <w:sz w:val="16"/>
                <w:szCs w:val="16"/>
              </w:rPr>
            </w:pPr>
            <w:r w:rsidRPr="00D237B2">
              <w:rPr>
                <w:sz w:val="16"/>
                <w:szCs w:val="16"/>
              </w:rPr>
              <w:t>35,64</w:t>
            </w:r>
          </w:p>
        </w:tc>
        <w:tc>
          <w:tcPr>
            <w:tcW w:w="1053" w:type="dxa"/>
            <w:vAlign w:val="bottom"/>
          </w:tcPr>
          <w:p w:rsidR="00D237B2" w:rsidRPr="00D237B2" w:rsidRDefault="00D237B2" w:rsidP="00D237B2">
            <w:pPr>
              <w:jc w:val="center"/>
              <w:rPr>
                <w:sz w:val="16"/>
                <w:szCs w:val="16"/>
              </w:rPr>
            </w:pPr>
            <w:r w:rsidRPr="00D237B2">
              <w:rPr>
                <w:sz w:val="16"/>
                <w:szCs w:val="16"/>
              </w:rPr>
              <w:t>32,95</w:t>
            </w:r>
          </w:p>
        </w:tc>
        <w:tc>
          <w:tcPr>
            <w:tcW w:w="1053" w:type="dxa"/>
            <w:vAlign w:val="bottom"/>
          </w:tcPr>
          <w:p w:rsidR="00D237B2" w:rsidRPr="00D237B2" w:rsidRDefault="00D237B2" w:rsidP="00D237B2">
            <w:pPr>
              <w:jc w:val="center"/>
              <w:rPr>
                <w:sz w:val="16"/>
                <w:szCs w:val="16"/>
              </w:rPr>
            </w:pPr>
            <w:r w:rsidRPr="00D237B2">
              <w:rPr>
                <w:sz w:val="16"/>
                <w:szCs w:val="16"/>
              </w:rPr>
              <w:t>32,88</w:t>
            </w:r>
          </w:p>
        </w:tc>
        <w:tc>
          <w:tcPr>
            <w:tcW w:w="1053" w:type="dxa"/>
            <w:vAlign w:val="bottom"/>
          </w:tcPr>
          <w:p w:rsidR="00D237B2" w:rsidRPr="00D237B2" w:rsidRDefault="00D237B2" w:rsidP="00D237B2">
            <w:pPr>
              <w:jc w:val="center"/>
              <w:rPr>
                <w:sz w:val="16"/>
                <w:szCs w:val="16"/>
              </w:rPr>
            </w:pPr>
            <w:r w:rsidRPr="00D237B2">
              <w:rPr>
                <w:sz w:val="16"/>
                <w:szCs w:val="16"/>
              </w:rPr>
              <w:t>29,8</w:t>
            </w:r>
          </w:p>
        </w:tc>
        <w:tc>
          <w:tcPr>
            <w:tcW w:w="1053" w:type="dxa"/>
            <w:vAlign w:val="bottom"/>
          </w:tcPr>
          <w:p w:rsidR="00D237B2" w:rsidRPr="00D237B2" w:rsidRDefault="00D237B2" w:rsidP="00D237B2">
            <w:pPr>
              <w:jc w:val="center"/>
              <w:rPr>
                <w:sz w:val="16"/>
                <w:szCs w:val="16"/>
              </w:rPr>
            </w:pPr>
            <w:r w:rsidRPr="00D237B2">
              <w:rPr>
                <w:sz w:val="16"/>
                <w:szCs w:val="16"/>
              </w:rPr>
              <w:t>29,17</w:t>
            </w:r>
          </w:p>
        </w:tc>
        <w:tc>
          <w:tcPr>
            <w:tcW w:w="1053" w:type="dxa"/>
            <w:vAlign w:val="bottom"/>
          </w:tcPr>
          <w:p w:rsidR="00D237B2" w:rsidRPr="00D237B2" w:rsidRDefault="00D237B2" w:rsidP="00D237B2">
            <w:pPr>
              <w:jc w:val="center"/>
              <w:rPr>
                <w:sz w:val="16"/>
                <w:szCs w:val="16"/>
              </w:rPr>
            </w:pPr>
            <w:r w:rsidRPr="00D237B2">
              <w:rPr>
                <w:sz w:val="16"/>
                <w:szCs w:val="16"/>
              </w:rPr>
              <w:t>25,45</w:t>
            </w:r>
          </w:p>
        </w:tc>
      </w:tr>
    </w:tbl>
    <w:p w:rsidR="005D32EA" w:rsidRDefault="005D32EA" w:rsidP="00E372A2">
      <w:pPr>
        <w:rPr>
          <w:rFonts w:cs="Arial"/>
          <w:noProof/>
          <w:szCs w:val="22"/>
        </w:rPr>
      </w:pPr>
    </w:p>
    <w:p w:rsidR="00E372A2" w:rsidRPr="00AC03D2" w:rsidRDefault="00E372A2" w:rsidP="00E372A2">
      <w:pPr>
        <w:rPr>
          <w:rFonts w:cs="Arial"/>
          <w:noProof/>
          <w:szCs w:val="22"/>
        </w:rPr>
      </w:pPr>
      <w:r w:rsidRPr="00414FDC">
        <w:rPr>
          <w:rFonts w:cs="Arial"/>
          <w:noProof/>
          <w:szCs w:val="22"/>
        </w:rPr>
        <w:t xml:space="preserve">Iz </w:t>
      </w:r>
      <w:r>
        <w:rPr>
          <w:szCs w:val="22"/>
        </w:rPr>
        <w:t>analize</w:t>
      </w:r>
      <w:r w:rsidRPr="00414FDC">
        <w:rPr>
          <w:szCs w:val="22"/>
        </w:rPr>
        <w:t xml:space="preserve"> premoženja države in občin, izkazanega </w:t>
      </w:r>
      <w:proofErr w:type="gramStart"/>
      <w:r w:rsidRPr="00414FDC">
        <w:rPr>
          <w:szCs w:val="22"/>
        </w:rPr>
        <w:t>na</w:t>
      </w:r>
      <w:proofErr w:type="gramEnd"/>
      <w:r w:rsidRPr="00414FDC">
        <w:rPr>
          <w:szCs w:val="22"/>
        </w:rPr>
        <w:t xml:space="preserve"> zadnji dan leta v </w:t>
      </w:r>
      <w:r>
        <w:rPr>
          <w:szCs w:val="22"/>
        </w:rPr>
        <w:t>obdobju</w:t>
      </w:r>
      <w:r w:rsidRPr="00414FDC">
        <w:rPr>
          <w:szCs w:val="22"/>
        </w:rPr>
        <w:t xml:space="preserve"> </w:t>
      </w:r>
      <w:r>
        <w:rPr>
          <w:szCs w:val="22"/>
        </w:rPr>
        <w:t>20</w:t>
      </w:r>
      <w:r w:rsidR="006A7E7F">
        <w:rPr>
          <w:szCs w:val="22"/>
        </w:rPr>
        <w:t>1</w:t>
      </w:r>
      <w:r w:rsidR="001E3293">
        <w:rPr>
          <w:szCs w:val="22"/>
        </w:rPr>
        <w:t>2</w:t>
      </w:r>
      <w:r>
        <w:rPr>
          <w:szCs w:val="22"/>
        </w:rPr>
        <w:t>-201</w:t>
      </w:r>
      <w:r w:rsidR="001E3293">
        <w:rPr>
          <w:szCs w:val="22"/>
        </w:rPr>
        <w:t>8</w:t>
      </w:r>
      <w:r>
        <w:rPr>
          <w:szCs w:val="22"/>
        </w:rPr>
        <w:t xml:space="preserve"> glede na število prebivalcev, je razvidno</w:t>
      </w:r>
      <w:r w:rsidR="005A5AC3">
        <w:rPr>
          <w:szCs w:val="22"/>
        </w:rPr>
        <w:t>, da je znesek</w:t>
      </w:r>
      <w:r w:rsidRPr="00414FDC">
        <w:rPr>
          <w:szCs w:val="22"/>
        </w:rPr>
        <w:t>:</w:t>
      </w:r>
    </w:p>
    <w:p w:rsidR="00E372A2" w:rsidRPr="008D0662" w:rsidRDefault="00E372A2" w:rsidP="00BC536D">
      <w:pPr>
        <w:numPr>
          <w:ilvl w:val="0"/>
          <w:numId w:val="15"/>
        </w:numPr>
        <w:spacing w:line="240" w:lineRule="auto"/>
        <w:rPr>
          <w:szCs w:val="22"/>
        </w:rPr>
      </w:pPr>
      <w:r w:rsidRPr="00414FDC">
        <w:rPr>
          <w:szCs w:val="22"/>
        </w:rPr>
        <w:t xml:space="preserve">sedanje vrednosti nepremičnin </w:t>
      </w:r>
      <w:r>
        <w:rPr>
          <w:szCs w:val="22"/>
        </w:rPr>
        <w:t xml:space="preserve">na prebivalca </w:t>
      </w:r>
      <w:r w:rsidRPr="00414FDC">
        <w:rPr>
          <w:szCs w:val="22"/>
        </w:rPr>
        <w:t>naraščal</w:t>
      </w:r>
      <w:r w:rsidR="00AE05F6">
        <w:rPr>
          <w:szCs w:val="22"/>
        </w:rPr>
        <w:t>;</w:t>
      </w:r>
    </w:p>
    <w:p w:rsidR="00E372A2" w:rsidRDefault="00E372A2" w:rsidP="00BC536D">
      <w:pPr>
        <w:numPr>
          <w:ilvl w:val="0"/>
          <w:numId w:val="15"/>
        </w:numPr>
        <w:spacing w:line="240" w:lineRule="auto"/>
        <w:rPr>
          <w:szCs w:val="22"/>
        </w:rPr>
      </w:pPr>
      <w:r w:rsidRPr="00414FDC">
        <w:rPr>
          <w:szCs w:val="22"/>
        </w:rPr>
        <w:t xml:space="preserve">dolgoročnega dolga </w:t>
      </w:r>
      <w:r>
        <w:rPr>
          <w:szCs w:val="22"/>
        </w:rPr>
        <w:t xml:space="preserve">na prebivalca </w:t>
      </w:r>
      <w:r w:rsidR="000A4A7C">
        <w:rPr>
          <w:szCs w:val="22"/>
        </w:rPr>
        <w:t>naraščal</w:t>
      </w:r>
      <w:r w:rsidR="00AE05F6">
        <w:rPr>
          <w:szCs w:val="22"/>
        </w:rPr>
        <w:t>;</w:t>
      </w:r>
      <w:r w:rsidR="00D26991" w:rsidRPr="00D26991">
        <w:t xml:space="preserve"> </w:t>
      </w:r>
    </w:p>
    <w:p w:rsidR="00007D56" w:rsidRPr="00D237B2" w:rsidRDefault="00E372A2" w:rsidP="00BC536D">
      <w:pPr>
        <w:numPr>
          <w:ilvl w:val="0"/>
          <w:numId w:val="15"/>
        </w:numPr>
        <w:spacing w:line="240" w:lineRule="auto"/>
        <w:rPr>
          <w:szCs w:val="22"/>
        </w:rPr>
      </w:pPr>
      <w:proofErr w:type="gramStart"/>
      <w:r w:rsidRPr="00E372A2">
        <w:rPr>
          <w:szCs w:val="22"/>
        </w:rPr>
        <w:t>dolgoročnih</w:t>
      </w:r>
      <w:proofErr w:type="gramEnd"/>
      <w:r w:rsidRPr="00E372A2">
        <w:rPr>
          <w:szCs w:val="22"/>
        </w:rPr>
        <w:t xml:space="preserve"> finančnih naložb na prebivalca </w:t>
      </w:r>
      <w:r w:rsidR="001E3293">
        <w:rPr>
          <w:szCs w:val="22"/>
        </w:rPr>
        <w:t>nihal</w:t>
      </w:r>
      <w:r w:rsidRPr="00E372A2">
        <w:rPr>
          <w:szCs w:val="22"/>
        </w:rPr>
        <w:t>.</w:t>
      </w:r>
      <w:r w:rsidR="000A4A7C" w:rsidRPr="000A4A7C">
        <w:t xml:space="preserve"> </w:t>
      </w:r>
    </w:p>
    <w:p w:rsidR="00D237B2" w:rsidRDefault="00D237B2" w:rsidP="00D237B2">
      <w:pPr>
        <w:spacing w:line="240" w:lineRule="auto"/>
      </w:pPr>
    </w:p>
    <w:p w:rsidR="00D237B2" w:rsidRDefault="00D237B2">
      <w:pPr>
        <w:spacing w:line="240" w:lineRule="auto"/>
        <w:jc w:val="left"/>
      </w:pPr>
      <w:r>
        <w:br w:type="page"/>
      </w:r>
    </w:p>
    <w:p w:rsidR="00007D56" w:rsidRPr="00CD34E3" w:rsidRDefault="001671A0" w:rsidP="00007D56">
      <w:pPr>
        <w:rPr>
          <w:b/>
        </w:rPr>
      </w:pPr>
      <w:bookmarkStart w:id="33" w:name="_Toc49771352"/>
      <w:r w:rsidRPr="00CD34E3">
        <w:rPr>
          <w:b/>
        </w:rPr>
        <w:lastRenderedPageBreak/>
        <w:t xml:space="preserve">Slika </w:t>
      </w:r>
      <w:r w:rsidRPr="00CD34E3">
        <w:rPr>
          <w:b/>
        </w:rPr>
        <w:fldChar w:fldCharType="begin"/>
      </w:r>
      <w:r w:rsidRPr="00CD34E3">
        <w:rPr>
          <w:b/>
        </w:rPr>
        <w:instrText xml:space="preserve"> SEQ Slika \* ARABIC </w:instrText>
      </w:r>
      <w:r w:rsidRPr="00CD34E3">
        <w:rPr>
          <w:b/>
        </w:rPr>
        <w:fldChar w:fldCharType="separate"/>
      </w:r>
      <w:r w:rsidR="00CE55C4">
        <w:rPr>
          <w:b/>
          <w:noProof/>
        </w:rPr>
        <w:t>7</w:t>
      </w:r>
      <w:r w:rsidRPr="00CD34E3">
        <w:rPr>
          <w:b/>
        </w:rPr>
        <w:fldChar w:fldCharType="end"/>
      </w:r>
      <w:r w:rsidRPr="00CD34E3">
        <w:rPr>
          <w:b/>
        </w:rPr>
        <w:t xml:space="preserve">: </w:t>
      </w:r>
      <w:r w:rsidR="009E1CCA">
        <w:rPr>
          <w:b/>
        </w:rPr>
        <w:t>Gibanje sedanje</w:t>
      </w:r>
      <w:r w:rsidRPr="00CD34E3">
        <w:rPr>
          <w:b/>
        </w:rPr>
        <w:t xml:space="preserve"> vrednost</w:t>
      </w:r>
      <w:r w:rsidR="009E1CCA">
        <w:rPr>
          <w:b/>
        </w:rPr>
        <w:t>i nepremičnin, dolgoročnega</w:t>
      </w:r>
      <w:r w:rsidRPr="00CD34E3">
        <w:rPr>
          <w:b/>
        </w:rPr>
        <w:t xml:space="preserve"> dolg</w:t>
      </w:r>
      <w:r w:rsidR="009E1CCA">
        <w:rPr>
          <w:b/>
        </w:rPr>
        <w:t>a in dolgoročnih finančnih naložb</w:t>
      </w:r>
      <w:r w:rsidRPr="00CD34E3">
        <w:rPr>
          <w:b/>
        </w:rPr>
        <w:t xml:space="preserve"> </w:t>
      </w:r>
      <w:proofErr w:type="gramStart"/>
      <w:r w:rsidRPr="00CD34E3">
        <w:rPr>
          <w:b/>
        </w:rPr>
        <w:t>na</w:t>
      </w:r>
      <w:proofErr w:type="gramEnd"/>
      <w:r w:rsidRPr="00CD34E3">
        <w:rPr>
          <w:b/>
        </w:rPr>
        <w:t xml:space="preserve"> prebivalca na zadnji dan leta</w:t>
      </w:r>
      <w:r w:rsidR="009E1CCA">
        <w:rPr>
          <w:b/>
        </w:rPr>
        <w:t xml:space="preserve"> (v €)</w:t>
      </w:r>
      <w:r w:rsidRPr="00CD34E3">
        <w:rPr>
          <w:b/>
        </w:rPr>
        <w:t xml:space="preserve"> v obdobju 20</w:t>
      </w:r>
      <w:r w:rsidR="006A7E7F">
        <w:rPr>
          <w:b/>
        </w:rPr>
        <w:t>1</w:t>
      </w:r>
      <w:r w:rsidR="001E3293">
        <w:rPr>
          <w:b/>
        </w:rPr>
        <w:t>2</w:t>
      </w:r>
      <w:r w:rsidRPr="00CD34E3">
        <w:rPr>
          <w:b/>
        </w:rPr>
        <w:t>-201</w:t>
      </w:r>
      <w:r w:rsidR="001E3293">
        <w:rPr>
          <w:b/>
        </w:rPr>
        <w:t>8</w:t>
      </w:r>
      <w:r w:rsidRPr="00CD34E3">
        <w:rPr>
          <w:b/>
        </w:rPr>
        <w:t xml:space="preserve"> (podatki o številu prebivalcev za izračun so pridobljeni na Statističnem uradu RS, </w:t>
      </w:r>
      <w:hyperlink r:id="rId21" w:tooltip="SURS" w:history="1">
        <w:r w:rsidRPr="00CD34E3">
          <w:rPr>
            <w:rStyle w:val="Hyperlink"/>
            <w:b/>
          </w:rPr>
          <w:t>www.surs.si</w:t>
        </w:r>
      </w:hyperlink>
      <w:r w:rsidRPr="00CD34E3">
        <w:rPr>
          <w:b/>
        </w:rPr>
        <w:t>)</w:t>
      </w:r>
      <w:bookmarkEnd w:id="33"/>
    </w:p>
    <w:p w:rsidR="00CF3312" w:rsidRDefault="00CF3312" w:rsidP="000F6B5B">
      <w:pPr>
        <w:pStyle w:val="Caption"/>
      </w:pPr>
    </w:p>
    <w:p w:rsidR="00782DC7" w:rsidRDefault="0077166E" w:rsidP="00782DC7">
      <w:pPr>
        <w:spacing w:line="240" w:lineRule="auto"/>
      </w:pPr>
      <w:r>
        <w:rPr>
          <w:noProof/>
          <w:lang w:val="sl-SI" w:eastAsia="sl-SI"/>
        </w:rPr>
        <w:drawing>
          <wp:inline distT="0" distB="0" distL="0" distR="0" wp14:anchorId="06FB3099" wp14:editId="6D84084A">
            <wp:extent cx="6108192" cy="2062886"/>
            <wp:effectExtent l="0" t="0" r="6985" b="0"/>
            <wp:docPr id="270" name="Picture 270" descr="SV nepremičnin, DD in DFN na prebivalca na zadnji dan leta v obdobju 2012-2018" title="Sedanja vrednost nepremičnin, dolgoročni dolg in dolgoročne finančne naložbe na prebivalca na zadnji dan leta v obdobju 2012-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b="16058"/>
                    <a:stretch/>
                  </pic:blipFill>
                  <pic:spPr bwMode="auto">
                    <a:xfrm>
                      <a:off x="0" y="0"/>
                      <a:ext cx="6108065" cy="2062843"/>
                    </a:xfrm>
                    <a:prstGeom prst="rect">
                      <a:avLst/>
                    </a:prstGeom>
                    <a:noFill/>
                    <a:ln>
                      <a:noFill/>
                    </a:ln>
                    <a:extLst>
                      <a:ext uri="{53640926-AAD7-44D8-BBD7-CCE9431645EC}">
                        <a14:shadowObscured xmlns:a14="http://schemas.microsoft.com/office/drawing/2010/main"/>
                      </a:ext>
                    </a:extLst>
                  </pic:spPr>
                </pic:pic>
              </a:graphicData>
            </a:graphic>
          </wp:inline>
        </w:drawing>
      </w:r>
      <w:bookmarkStart w:id="34" w:name="_Toc452387040"/>
      <w:bookmarkStart w:id="35" w:name="_Toc452387041"/>
      <w:bookmarkStart w:id="36" w:name="_Toc452387042"/>
      <w:bookmarkStart w:id="37" w:name="_Toc452387043"/>
      <w:bookmarkStart w:id="38" w:name="_Toc452387044"/>
      <w:bookmarkStart w:id="39" w:name="_Toc452387045"/>
      <w:bookmarkStart w:id="40" w:name="_Toc452387046"/>
      <w:bookmarkStart w:id="41" w:name="_Toc452387047"/>
      <w:bookmarkStart w:id="42" w:name="_Toc452387048"/>
      <w:bookmarkStart w:id="43" w:name="_Toc452387049"/>
      <w:bookmarkStart w:id="44" w:name="_Toc452387050"/>
      <w:bookmarkStart w:id="45" w:name="_Toc452387051"/>
      <w:bookmarkStart w:id="46" w:name="_Toc452387052"/>
      <w:bookmarkStart w:id="47" w:name="_Toc452387053"/>
      <w:bookmarkStart w:id="48" w:name="_Toc452387054"/>
      <w:bookmarkStart w:id="49" w:name="_Toc452387055"/>
      <w:bookmarkStart w:id="50" w:name="_Toc452387056"/>
      <w:bookmarkStart w:id="51" w:name="_Toc452387057"/>
      <w:bookmarkStart w:id="52" w:name="_Toc452387058"/>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9E1CCA" w:rsidRDefault="009E1CCA">
      <w:pPr>
        <w:spacing w:line="240" w:lineRule="auto"/>
        <w:jc w:val="left"/>
      </w:pPr>
    </w:p>
    <w:p w:rsidR="009E1CCA" w:rsidRPr="00CD34E3" w:rsidRDefault="009E1CCA" w:rsidP="009E1CCA">
      <w:pPr>
        <w:rPr>
          <w:b/>
        </w:rPr>
      </w:pPr>
      <w:bookmarkStart w:id="53" w:name="_Toc49771327"/>
      <w:r w:rsidRPr="009E1CCA">
        <w:rPr>
          <w:b/>
          <w:bCs/>
          <w:szCs w:val="20"/>
        </w:rPr>
        <w:t xml:space="preserve">Tabela </w:t>
      </w:r>
      <w:r w:rsidRPr="009E1CCA">
        <w:rPr>
          <w:b/>
          <w:bCs/>
          <w:szCs w:val="20"/>
        </w:rPr>
        <w:fldChar w:fldCharType="begin"/>
      </w:r>
      <w:r w:rsidRPr="009E1CCA">
        <w:rPr>
          <w:b/>
          <w:bCs/>
          <w:szCs w:val="20"/>
        </w:rPr>
        <w:instrText xml:space="preserve"> SEQ Tabela \* ARABIC </w:instrText>
      </w:r>
      <w:r w:rsidRPr="009E1CCA">
        <w:rPr>
          <w:b/>
          <w:bCs/>
          <w:szCs w:val="20"/>
        </w:rPr>
        <w:fldChar w:fldCharType="separate"/>
      </w:r>
      <w:r>
        <w:rPr>
          <w:b/>
          <w:bCs/>
          <w:noProof/>
          <w:szCs w:val="20"/>
        </w:rPr>
        <w:t>8</w:t>
      </w:r>
      <w:r w:rsidRPr="009E1CCA">
        <w:rPr>
          <w:b/>
          <w:bCs/>
          <w:szCs w:val="20"/>
        </w:rPr>
        <w:fldChar w:fldCharType="end"/>
      </w:r>
      <w:r w:rsidRPr="009E1CCA">
        <w:rPr>
          <w:b/>
          <w:bCs/>
          <w:szCs w:val="20"/>
        </w:rPr>
        <w:t xml:space="preserve">: </w:t>
      </w:r>
      <w:r>
        <w:rPr>
          <w:b/>
        </w:rPr>
        <w:t>Sedanja</w:t>
      </w:r>
      <w:r w:rsidRPr="00CD34E3">
        <w:rPr>
          <w:b/>
        </w:rPr>
        <w:t xml:space="preserve"> vrednost</w:t>
      </w:r>
      <w:r>
        <w:rPr>
          <w:b/>
        </w:rPr>
        <w:t xml:space="preserve"> nepremičnin, dolgoročn</w:t>
      </w:r>
      <w:r w:rsidR="005C1DCE">
        <w:rPr>
          <w:b/>
        </w:rPr>
        <w:t>i</w:t>
      </w:r>
      <w:r w:rsidRPr="00CD34E3">
        <w:rPr>
          <w:b/>
        </w:rPr>
        <w:t xml:space="preserve"> dolg</w:t>
      </w:r>
      <w:r>
        <w:rPr>
          <w:b/>
        </w:rPr>
        <w:t xml:space="preserve"> in dolgoročn</w:t>
      </w:r>
      <w:r w:rsidR="005C1DCE">
        <w:rPr>
          <w:b/>
        </w:rPr>
        <w:t>e</w:t>
      </w:r>
      <w:r>
        <w:rPr>
          <w:b/>
        </w:rPr>
        <w:t xml:space="preserve"> finančn</w:t>
      </w:r>
      <w:r w:rsidR="005C1DCE">
        <w:rPr>
          <w:b/>
        </w:rPr>
        <w:t>e</w:t>
      </w:r>
      <w:r>
        <w:rPr>
          <w:b/>
        </w:rPr>
        <w:t xml:space="preserve"> naložb</w:t>
      </w:r>
      <w:r w:rsidR="005C1DCE">
        <w:rPr>
          <w:b/>
        </w:rPr>
        <w:t>e</w:t>
      </w:r>
      <w:r w:rsidRPr="00CD34E3">
        <w:rPr>
          <w:b/>
        </w:rPr>
        <w:t xml:space="preserve"> </w:t>
      </w:r>
      <w:proofErr w:type="gramStart"/>
      <w:r w:rsidRPr="00CD34E3">
        <w:rPr>
          <w:b/>
        </w:rPr>
        <w:t>na</w:t>
      </w:r>
      <w:proofErr w:type="gramEnd"/>
      <w:r w:rsidRPr="00CD34E3">
        <w:rPr>
          <w:b/>
        </w:rPr>
        <w:t xml:space="preserve"> prebivalca na zadnji dan leta</w:t>
      </w:r>
      <w:r>
        <w:rPr>
          <w:b/>
        </w:rPr>
        <w:t xml:space="preserve"> (v €)</w:t>
      </w:r>
      <w:r w:rsidRPr="00CD34E3">
        <w:rPr>
          <w:b/>
        </w:rPr>
        <w:t xml:space="preserve"> v obdobju 20</w:t>
      </w:r>
      <w:r>
        <w:rPr>
          <w:b/>
        </w:rPr>
        <w:t>12</w:t>
      </w:r>
      <w:r w:rsidRPr="00CD34E3">
        <w:rPr>
          <w:b/>
        </w:rPr>
        <w:t>-201</w:t>
      </w:r>
      <w:r>
        <w:rPr>
          <w:b/>
        </w:rPr>
        <w:t>8</w:t>
      </w:r>
      <w:r w:rsidRPr="00CD34E3">
        <w:rPr>
          <w:b/>
        </w:rPr>
        <w:t xml:space="preserve"> (podatki o številu prebivalcev za izračun so pridobljeni na Statističnem uradu RS, </w:t>
      </w:r>
      <w:hyperlink r:id="rId23" w:tooltip="SURS" w:history="1">
        <w:r w:rsidRPr="00CD34E3">
          <w:rPr>
            <w:rStyle w:val="Hyperlink"/>
            <w:b/>
          </w:rPr>
          <w:t>www.surs.si</w:t>
        </w:r>
      </w:hyperlink>
      <w:r w:rsidRPr="00CD34E3">
        <w:rPr>
          <w:b/>
        </w:rPr>
        <w:t>)</w:t>
      </w:r>
      <w:bookmarkEnd w:id="53"/>
    </w:p>
    <w:p w:rsidR="009E1CCA" w:rsidRDefault="009E1CCA">
      <w:pPr>
        <w:spacing w:line="240" w:lineRule="auto"/>
        <w:jc w:val="left"/>
        <w:rPr>
          <w:b/>
          <w:bCs/>
          <w:szCs w:val="20"/>
        </w:rPr>
      </w:pPr>
    </w:p>
    <w:tbl>
      <w:tblPr>
        <w:tblStyle w:val="TableGrid"/>
        <w:tblW w:w="0" w:type="auto"/>
        <w:tblLook w:val="04A0" w:firstRow="1" w:lastRow="0" w:firstColumn="1" w:lastColumn="0" w:noHBand="0" w:noVBand="1"/>
        <w:tblCaption w:val="Delež sedanje vrednosti nepremičnin, dolgoročnega dolga in dolgoročnih finančnih naložb v bruto domačem  proizvodu v obdobju 2012-2018 (podatki o številu prebivalcev za izračun so pridobljeni na Statističnem uradu RS, www.surs.si)"/>
        <w:tblDescription w:val="Delež SVN, DD in DFN na prebivalca 2012-2018"/>
      </w:tblPr>
      <w:tblGrid>
        <w:gridCol w:w="1657"/>
        <w:gridCol w:w="1017"/>
        <w:gridCol w:w="1102"/>
        <w:gridCol w:w="1102"/>
        <w:gridCol w:w="1102"/>
        <w:gridCol w:w="1102"/>
        <w:gridCol w:w="1102"/>
        <w:gridCol w:w="1102"/>
      </w:tblGrid>
      <w:tr w:rsidR="009E1CCA" w:rsidRPr="00C83EE3" w:rsidTr="009E1CCA">
        <w:trPr>
          <w:tblHeader/>
        </w:trPr>
        <w:tc>
          <w:tcPr>
            <w:tcW w:w="1550" w:type="dxa"/>
          </w:tcPr>
          <w:p w:rsidR="009E1CCA" w:rsidRPr="00C83EE3" w:rsidRDefault="009E1CCA" w:rsidP="00420CF8">
            <w:pPr>
              <w:rPr>
                <w:b/>
                <w:sz w:val="16"/>
                <w:szCs w:val="16"/>
              </w:rPr>
            </w:pPr>
            <w:r w:rsidRPr="00C83EE3">
              <w:rPr>
                <w:b/>
                <w:sz w:val="16"/>
                <w:szCs w:val="16"/>
              </w:rPr>
              <w:t>Leto</w:t>
            </w:r>
          </w:p>
        </w:tc>
        <w:tc>
          <w:tcPr>
            <w:tcW w:w="1010" w:type="dxa"/>
          </w:tcPr>
          <w:p w:rsidR="009E1CCA" w:rsidRPr="00C83EE3" w:rsidRDefault="009E1CCA" w:rsidP="00420CF8">
            <w:pPr>
              <w:rPr>
                <w:b/>
                <w:sz w:val="16"/>
                <w:szCs w:val="16"/>
              </w:rPr>
            </w:pPr>
            <w:r w:rsidRPr="00C83EE3">
              <w:rPr>
                <w:b/>
                <w:sz w:val="16"/>
                <w:szCs w:val="16"/>
              </w:rPr>
              <w:t>31.12.2012</w:t>
            </w:r>
          </w:p>
        </w:tc>
        <w:tc>
          <w:tcPr>
            <w:tcW w:w="1121" w:type="dxa"/>
          </w:tcPr>
          <w:p w:rsidR="009E1CCA" w:rsidRPr="00C83EE3" w:rsidRDefault="009E1CCA" w:rsidP="00420CF8">
            <w:pPr>
              <w:rPr>
                <w:b/>
                <w:sz w:val="16"/>
                <w:szCs w:val="16"/>
              </w:rPr>
            </w:pPr>
            <w:r w:rsidRPr="00C83EE3">
              <w:rPr>
                <w:b/>
                <w:sz w:val="16"/>
                <w:szCs w:val="16"/>
              </w:rPr>
              <w:t>31.12.2013</w:t>
            </w:r>
          </w:p>
        </w:tc>
        <w:tc>
          <w:tcPr>
            <w:tcW w:w="1121" w:type="dxa"/>
          </w:tcPr>
          <w:p w:rsidR="009E1CCA" w:rsidRPr="00C83EE3" w:rsidRDefault="009E1CCA" w:rsidP="00420CF8">
            <w:pPr>
              <w:rPr>
                <w:b/>
                <w:sz w:val="16"/>
                <w:szCs w:val="16"/>
              </w:rPr>
            </w:pPr>
            <w:r w:rsidRPr="00C83EE3">
              <w:rPr>
                <w:b/>
                <w:sz w:val="16"/>
                <w:szCs w:val="16"/>
              </w:rPr>
              <w:t>31.12.2014</w:t>
            </w:r>
          </w:p>
        </w:tc>
        <w:tc>
          <w:tcPr>
            <w:tcW w:w="1121" w:type="dxa"/>
          </w:tcPr>
          <w:p w:rsidR="009E1CCA" w:rsidRPr="00C83EE3" w:rsidRDefault="009E1CCA" w:rsidP="00420CF8">
            <w:pPr>
              <w:rPr>
                <w:b/>
                <w:sz w:val="16"/>
                <w:szCs w:val="16"/>
              </w:rPr>
            </w:pPr>
            <w:r w:rsidRPr="00C83EE3">
              <w:rPr>
                <w:b/>
                <w:sz w:val="16"/>
                <w:szCs w:val="16"/>
              </w:rPr>
              <w:t>31.12.2015</w:t>
            </w:r>
          </w:p>
        </w:tc>
        <w:tc>
          <w:tcPr>
            <w:tcW w:w="1121" w:type="dxa"/>
          </w:tcPr>
          <w:p w:rsidR="009E1CCA" w:rsidRPr="00C83EE3" w:rsidRDefault="009E1CCA" w:rsidP="00420CF8">
            <w:pPr>
              <w:rPr>
                <w:b/>
                <w:sz w:val="16"/>
                <w:szCs w:val="16"/>
              </w:rPr>
            </w:pPr>
            <w:r w:rsidRPr="00C83EE3">
              <w:rPr>
                <w:b/>
                <w:sz w:val="16"/>
                <w:szCs w:val="16"/>
              </w:rPr>
              <w:t>31.12.2016</w:t>
            </w:r>
          </w:p>
        </w:tc>
        <w:tc>
          <w:tcPr>
            <w:tcW w:w="1121" w:type="dxa"/>
          </w:tcPr>
          <w:p w:rsidR="009E1CCA" w:rsidRPr="00C83EE3" w:rsidRDefault="009E1CCA" w:rsidP="00420CF8">
            <w:pPr>
              <w:rPr>
                <w:b/>
                <w:sz w:val="16"/>
                <w:szCs w:val="16"/>
              </w:rPr>
            </w:pPr>
            <w:r w:rsidRPr="00C83EE3">
              <w:rPr>
                <w:b/>
                <w:sz w:val="16"/>
                <w:szCs w:val="16"/>
              </w:rPr>
              <w:t>31.12.2017</w:t>
            </w:r>
          </w:p>
        </w:tc>
        <w:tc>
          <w:tcPr>
            <w:tcW w:w="1121" w:type="dxa"/>
          </w:tcPr>
          <w:p w:rsidR="009E1CCA" w:rsidRPr="00C83EE3" w:rsidRDefault="009E1CCA" w:rsidP="00420CF8">
            <w:pPr>
              <w:rPr>
                <w:b/>
                <w:sz w:val="16"/>
                <w:szCs w:val="16"/>
              </w:rPr>
            </w:pPr>
            <w:r w:rsidRPr="00C83EE3">
              <w:rPr>
                <w:b/>
                <w:sz w:val="16"/>
                <w:szCs w:val="16"/>
              </w:rPr>
              <w:t>31.12.2018</w:t>
            </w:r>
          </w:p>
        </w:tc>
      </w:tr>
      <w:tr w:rsidR="009E1CCA" w:rsidRPr="00C83EE3" w:rsidTr="009E1CCA">
        <w:tc>
          <w:tcPr>
            <w:tcW w:w="1550" w:type="dxa"/>
          </w:tcPr>
          <w:p w:rsidR="009E1CCA" w:rsidRPr="00C83EE3" w:rsidRDefault="009E1CCA" w:rsidP="00420CF8">
            <w:pPr>
              <w:rPr>
                <w:rFonts w:cs="Arial"/>
                <w:noProof/>
                <w:sz w:val="16"/>
                <w:szCs w:val="16"/>
              </w:rPr>
            </w:pPr>
          </w:p>
        </w:tc>
        <w:tc>
          <w:tcPr>
            <w:tcW w:w="1010" w:type="dxa"/>
          </w:tcPr>
          <w:p w:rsidR="009E1CCA" w:rsidRPr="00C83EE3" w:rsidRDefault="009E1CCA" w:rsidP="005C1DCE">
            <w:pPr>
              <w:jc w:val="center"/>
              <w:rPr>
                <w:rFonts w:cs="Arial"/>
                <w:noProof/>
                <w:sz w:val="16"/>
                <w:szCs w:val="16"/>
              </w:rPr>
            </w:pPr>
            <w:r>
              <w:rPr>
                <w:rFonts w:cs="Arial"/>
                <w:noProof/>
                <w:sz w:val="16"/>
                <w:szCs w:val="16"/>
              </w:rPr>
              <w:t>€</w:t>
            </w:r>
          </w:p>
        </w:tc>
        <w:tc>
          <w:tcPr>
            <w:tcW w:w="1121" w:type="dxa"/>
          </w:tcPr>
          <w:p w:rsidR="009E1CCA" w:rsidRDefault="009E1CCA" w:rsidP="005C1DCE">
            <w:pPr>
              <w:jc w:val="center"/>
            </w:pPr>
            <w:r w:rsidRPr="00361D3A">
              <w:rPr>
                <w:rFonts w:cs="Arial"/>
                <w:noProof/>
                <w:sz w:val="16"/>
                <w:szCs w:val="16"/>
              </w:rPr>
              <w:t>€</w:t>
            </w:r>
          </w:p>
        </w:tc>
        <w:tc>
          <w:tcPr>
            <w:tcW w:w="1121" w:type="dxa"/>
          </w:tcPr>
          <w:p w:rsidR="009E1CCA" w:rsidRDefault="009E1CCA" w:rsidP="005C1DCE">
            <w:pPr>
              <w:jc w:val="center"/>
            </w:pPr>
            <w:r w:rsidRPr="00361D3A">
              <w:rPr>
                <w:rFonts w:cs="Arial"/>
                <w:noProof/>
                <w:sz w:val="16"/>
                <w:szCs w:val="16"/>
              </w:rPr>
              <w:t>€</w:t>
            </w:r>
          </w:p>
        </w:tc>
        <w:tc>
          <w:tcPr>
            <w:tcW w:w="1121" w:type="dxa"/>
          </w:tcPr>
          <w:p w:rsidR="009E1CCA" w:rsidRDefault="009E1CCA" w:rsidP="005C1DCE">
            <w:pPr>
              <w:jc w:val="center"/>
            </w:pPr>
            <w:r w:rsidRPr="00361D3A">
              <w:rPr>
                <w:rFonts w:cs="Arial"/>
                <w:noProof/>
                <w:sz w:val="16"/>
                <w:szCs w:val="16"/>
              </w:rPr>
              <w:t>€</w:t>
            </w:r>
          </w:p>
        </w:tc>
        <w:tc>
          <w:tcPr>
            <w:tcW w:w="1121" w:type="dxa"/>
          </w:tcPr>
          <w:p w:rsidR="009E1CCA" w:rsidRDefault="009E1CCA" w:rsidP="005C1DCE">
            <w:pPr>
              <w:jc w:val="center"/>
            </w:pPr>
            <w:r w:rsidRPr="00361D3A">
              <w:rPr>
                <w:rFonts w:cs="Arial"/>
                <w:noProof/>
                <w:sz w:val="16"/>
                <w:szCs w:val="16"/>
              </w:rPr>
              <w:t>€</w:t>
            </w:r>
          </w:p>
        </w:tc>
        <w:tc>
          <w:tcPr>
            <w:tcW w:w="1121" w:type="dxa"/>
          </w:tcPr>
          <w:p w:rsidR="009E1CCA" w:rsidRDefault="009E1CCA" w:rsidP="005C1DCE">
            <w:pPr>
              <w:jc w:val="center"/>
            </w:pPr>
            <w:r w:rsidRPr="00361D3A">
              <w:rPr>
                <w:rFonts w:cs="Arial"/>
                <w:noProof/>
                <w:sz w:val="16"/>
                <w:szCs w:val="16"/>
              </w:rPr>
              <w:t>€</w:t>
            </w:r>
          </w:p>
        </w:tc>
        <w:tc>
          <w:tcPr>
            <w:tcW w:w="1121" w:type="dxa"/>
          </w:tcPr>
          <w:p w:rsidR="009E1CCA" w:rsidRDefault="009E1CCA" w:rsidP="005C1DCE">
            <w:pPr>
              <w:jc w:val="center"/>
            </w:pPr>
            <w:r w:rsidRPr="00361D3A">
              <w:rPr>
                <w:rFonts w:cs="Arial"/>
                <w:noProof/>
                <w:sz w:val="16"/>
                <w:szCs w:val="16"/>
              </w:rPr>
              <w:t>€</w:t>
            </w:r>
          </w:p>
        </w:tc>
      </w:tr>
      <w:tr w:rsidR="009E1CCA" w:rsidRPr="00C83EE3" w:rsidTr="009E1CCA">
        <w:tc>
          <w:tcPr>
            <w:tcW w:w="1550" w:type="dxa"/>
          </w:tcPr>
          <w:p w:rsidR="009E1CCA" w:rsidRPr="00D237B2" w:rsidRDefault="009E1CCA" w:rsidP="00420CF8">
            <w:pPr>
              <w:rPr>
                <w:rFonts w:cs="Arial"/>
                <w:b/>
                <w:noProof/>
                <w:sz w:val="16"/>
                <w:szCs w:val="16"/>
              </w:rPr>
            </w:pPr>
            <w:r w:rsidRPr="00D237B2">
              <w:rPr>
                <w:rFonts w:cs="Arial"/>
                <w:b/>
                <w:noProof/>
                <w:sz w:val="16"/>
                <w:szCs w:val="16"/>
              </w:rPr>
              <w:t>Nepremičnine/BDP</w:t>
            </w:r>
          </w:p>
        </w:tc>
        <w:tc>
          <w:tcPr>
            <w:tcW w:w="1010" w:type="dxa"/>
            <w:vAlign w:val="bottom"/>
          </w:tcPr>
          <w:p w:rsidR="009E1CCA" w:rsidRPr="009E1CCA" w:rsidRDefault="009E1CCA">
            <w:pPr>
              <w:jc w:val="right"/>
              <w:rPr>
                <w:rFonts w:cs="Arial"/>
                <w:color w:val="000000"/>
                <w:sz w:val="16"/>
                <w:szCs w:val="16"/>
              </w:rPr>
            </w:pPr>
            <w:r w:rsidRPr="009E1CCA">
              <w:rPr>
                <w:rFonts w:cs="Arial"/>
                <w:color w:val="000000"/>
                <w:sz w:val="16"/>
                <w:szCs w:val="16"/>
              </w:rPr>
              <w:t>8.845,82</w:t>
            </w:r>
          </w:p>
        </w:tc>
        <w:tc>
          <w:tcPr>
            <w:tcW w:w="1121" w:type="dxa"/>
            <w:vAlign w:val="bottom"/>
          </w:tcPr>
          <w:p w:rsidR="009E1CCA" w:rsidRPr="009E1CCA" w:rsidRDefault="009E1CCA">
            <w:pPr>
              <w:jc w:val="right"/>
              <w:rPr>
                <w:rFonts w:cs="Arial"/>
                <w:color w:val="000000"/>
                <w:sz w:val="16"/>
                <w:szCs w:val="16"/>
              </w:rPr>
            </w:pPr>
            <w:r w:rsidRPr="009E1CCA">
              <w:rPr>
                <w:rFonts w:cs="Arial"/>
                <w:color w:val="000000"/>
                <w:sz w:val="16"/>
                <w:szCs w:val="16"/>
              </w:rPr>
              <w:t>9.219,53</w:t>
            </w:r>
          </w:p>
        </w:tc>
        <w:tc>
          <w:tcPr>
            <w:tcW w:w="1121" w:type="dxa"/>
            <w:vAlign w:val="bottom"/>
          </w:tcPr>
          <w:p w:rsidR="009E1CCA" w:rsidRPr="009E1CCA" w:rsidRDefault="009E1CCA">
            <w:pPr>
              <w:jc w:val="right"/>
              <w:rPr>
                <w:rFonts w:cs="Arial"/>
                <w:color w:val="000000"/>
                <w:sz w:val="16"/>
                <w:szCs w:val="16"/>
              </w:rPr>
            </w:pPr>
            <w:r w:rsidRPr="009E1CCA">
              <w:rPr>
                <w:rFonts w:cs="Arial"/>
                <w:color w:val="000000"/>
                <w:sz w:val="16"/>
                <w:szCs w:val="16"/>
              </w:rPr>
              <w:t>9.629,08</w:t>
            </w:r>
          </w:p>
        </w:tc>
        <w:tc>
          <w:tcPr>
            <w:tcW w:w="1121" w:type="dxa"/>
            <w:vAlign w:val="bottom"/>
          </w:tcPr>
          <w:p w:rsidR="009E1CCA" w:rsidRPr="009E1CCA" w:rsidRDefault="009E1CCA">
            <w:pPr>
              <w:jc w:val="right"/>
              <w:rPr>
                <w:rFonts w:cs="Arial"/>
                <w:color w:val="000000"/>
                <w:sz w:val="16"/>
                <w:szCs w:val="16"/>
              </w:rPr>
            </w:pPr>
            <w:r w:rsidRPr="009E1CCA">
              <w:rPr>
                <w:rFonts w:cs="Arial"/>
                <w:color w:val="000000"/>
                <w:sz w:val="16"/>
                <w:szCs w:val="16"/>
              </w:rPr>
              <w:t>10.039,52</w:t>
            </w:r>
          </w:p>
        </w:tc>
        <w:tc>
          <w:tcPr>
            <w:tcW w:w="1121" w:type="dxa"/>
            <w:vAlign w:val="bottom"/>
          </w:tcPr>
          <w:p w:rsidR="009E1CCA" w:rsidRPr="009E1CCA" w:rsidRDefault="009E1CCA">
            <w:pPr>
              <w:jc w:val="right"/>
              <w:rPr>
                <w:rFonts w:cs="Arial"/>
                <w:color w:val="000000"/>
                <w:sz w:val="16"/>
                <w:szCs w:val="16"/>
              </w:rPr>
            </w:pPr>
            <w:r w:rsidRPr="009E1CCA">
              <w:rPr>
                <w:rFonts w:cs="Arial"/>
                <w:color w:val="000000"/>
                <w:sz w:val="16"/>
                <w:szCs w:val="16"/>
              </w:rPr>
              <w:t>10.058,13</w:t>
            </w:r>
          </w:p>
        </w:tc>
        <w:tc>
          <w:tcPr>
            <w:tcW w:w="1121" w:type="dxa"/>
            <w:vAlign w:val="bottom"/>
          </w:tcPr>
          <w:p w:rsidR="009E1CCA" w:rsidRPr="009E1CCA" w:rsidRDefault="009E1CCA">
            <w:pPr>
              <w:jc w:val="right"/>
              <w:rPr>
                <w:rFonts w:cs="Arial"/>
                <w:color w:val="000000"/>
                <w:sz w:val="16"/>
                <w:szCs w:val="16"/>
              </w:rPr>
            </w:pPr>
            <w:r w:rsidRPr="009E1CCA">
              <w:rPr>
                <w:rFonts w:cs="Arial"/>
                <w:color w:val="000000"/>
                <w:sz w:val="16"/>
                <w:szCs w:val="16"/>
              </w:rPr>
              <w:t>10.232,19</w:t>
            </w:r>
          </w:p>
        </w:tc>
        <w:tc>
          <w:tcPr>
            <w:tcW w:w="1121" w:type="dxa"/>
            <w:vAlign w:val="bottom"/>
          </w:tcPr>
          <w:p w:rsidR="009E1CCA" w:rsidRPr="009E1CCA" w:rsidRDefault="009E1CCA">
            <w:pPr>
              <w:jc w:val="right"/>
              <w:rPr>
                <w:rFonts w:cs="Arial"/>
                <w:color w:val="000000"/>
                <w:sz w:val="16"/>
                <w:szCs w:val="16"/>
              </w:rPr>
            </w:pPr>
            <w:r w:rsidRPr="009E1CCA">
              <w:rPr>
                <w:rFonts w:cs="Arial"/>
                <w:color w:val="000000"/>
                <w:sz w:val="16"/>
                <w:szCs w:val="16"/>
              </w:rPr>
              <w:t>10.326,19</w:t>
            </w:r>
          </w:p>
        </w:tc>
      </w:tr>
      <w:tr w:rsidR="009E1CCA" w:rsidRPr="00C83EE3" w:rsidTr="009E1CCA">
        <w:tc>
          <w:tcPr>
            <w:tcW w:w="1550" w:type="dxa"/>
          </w:tcPr>
          <w:p w:rsidR="009E1CCA" w:rsidRPr="00D237B2" w:rsidRDefault="009E1CCA" w:rsidP="00420CF8">
            <w:pPr>
              <w:rPr>
                <w:b/>
                <w:sz w:val="16"/>
                <w:szCs w:val="16"/>
              </w:rPr>
            </w:pPr>
            <w:r w:rsidRPr="00D237B2">
              <w:rPr>
                <w:rFonts w:cs="Arial"/>
                <w:b/>
                <w:noProof/>
                <w:sz w:val="16"/>
                <w:szCs w:val="16"/>
              </w:rPr>
              <w:t>Dolgoročni dolg/BDP</w:t>
            </w:r>
          </w:p>
        </w:tc>
        <w:tc>
          <w:tcPr>
            <w:tcW w:w="1010" w:type="dxa"/>
            <w:vAlign w:val="bottom"/>
          </w:tcPr>
          <w:p w:rsidR="009E1CCA" w:rsidRPr="009E1CCA" w:rsidRDefault="009E1CCA">
            <w:pPr>
              <w:jc w:val="right"/>
              <w:rPr>
                <w:rFonts w:cs="Arial"/>
                <w:color w:val="000000"/>
                <w:sz w:val="16"/>
                <w:szCs w:val="16"/>
              </w:rPr>
            </w:pPr>
            <w:r w:rsidRPr="009E1CCA">
              <w:rPr>
                <w:rFonts w:cs="Arial"/>
                <w:color w:val="000000"/>
                <w:sz w:val="16"/>
                <w:szCs w:val="16"/>
              </w:rPr>
              <w:t>8.160,65</w:t>
            </w:r>
          </w:p>
        </w:tc>
        <w:tc>
          <w:tcPr>
            <w:tcW w:w="1121" w:type="dxa"/>
            <w:vAlign w:val="bottom"/>
          </w:tcPr>
          <w:p w:rsidR="009E1CCA" w:rsidRPr="009E1CCA" w:rsidRDefault="009E1CCA">
            <w:pPr>
              <w:jc w:val="right"/>
              <w:rPr>
                <w:rFonts w:cs="Arial"/>
                <w:color w:val="000000"/>
                <w:sz w:val="16"/>
                <w:szCs w:val="16"/>
              </w:rPr>
            </w:pPr>
            <w:r w:rsidRPr="009E1CCA">
              <w:rPr>
                <w:rFonts w:cs="Arial"/>
                <w:color w:val="000000"/>
                <w:sz w:val="16"/>
                <w:szCs w:val="16"/>
              </w:rPr>
              <w:t>10.714,79</w:t>
            </w:r>
          </w:p>
        </w:tc>
        <w:tc>
          <w:tcPr>
            <w:tcW w:w="1121" w:type="dxa"/>
            <w:vAlign w:val="bottom"/>
          </w:tcPr>
          <w:p w:rsidR="009E1CCA" w:rsidRPr="009E1CCA" w:rsidRDefault="009E1CCA">
            <w:pPr>
              <w:jc w:val="right"/>
              <w:rPr>
                <w:rFonts w:cs="Arial"/>
                <w:color w:val="000000"/>
                <w:sz w:val="16"/>
                <w:szCs w:val="16"/>
              </w:rPr>
            </w:pPr>
            <w:r w:rsidRPr="009E1CCA">
              <w:rPr>
                <w:rFonts w:cs="Arial"/>
                <w:color w:val="000000"/>
                <w:sz w:val="16"/>
                <w:szCs w:val="16"/>
              </w:rPr>
              <w:t>12.532,10</w:t>
            </w:r>
          </w:p>
        </w:tc>
        <w:tc>
          <w:tcPr>
            <w:tcW w:w="1121" w:type="dxa"/>
            <w:vAlign w:val="bottom"/>
          </w:tcPr>
          <w:p w:rsidR="009E1CCA" w:rsidRPr="009E1CCA" w:rsidRDefault="009E1CCA">
            <w:pPr>
              <w:jc w:val="right"/>
              <w:rPr>
                <w:rFonts w:cs="Arial"/>
                <w:color w:val="000000"/>
                <w:sz w:val="16"/>
                <w:szCs w:val="16"/>
              </w:rPr>
            </w:pPr>
            <w:r w:rsidRPr="009E1CCA">
              <w:rPr>
                <w:rFonts w:cs="Arial"/>
                <w:color w:val="000000"/>
                <w:sz w:val="16"/>
                <w:szCs w:val="16"/>
              </w:rPr>
              <w:t>13.384,07</w:t>
            </w:r>
          </w:p>
        </w:tc>
        <w:tc>
          <w:tcPr>
            <w:tcW w:w="1121" w:type="dxa"/>
            <w:vAlign w:val="bottom"/>
          </w:tcPr>
          <w:p w:rsidR="009E1CCA" w:rsidRPr="009E1CCA" w:rsidRDefault="009E1CCA">
            <w:pPr>
              <w:jc w:val="right"/>
              <w:rPr>
                <w:rFonts w:cs="Arial"/>
                <w:color w:val="000000"/>
                <w:sz w:val="16"/>
                <w:szCs w:val="16"/>
              </w:rPr>
            </w:pPr>
            <w:r w:rsidRPr="009E1CCA">
              <w:rPr>
                <w:rFonts w:cs="Arial"/>
                <w:color w:val="000000"/>
                <w:sz w:val="16"/>
                <w:szCs w:val="16"/>
              </w:rPr>
              <w:t>13.326,37</w:t>
            </w:r>
          </w:p>
        </w:tc>
        <w:tc>
          <w:tcPr>
            <w:tcW w:w="1121" w:type="dxa"/>
            <w:vAlign w:val="bottom"/>
          </w:tcPr>
          <w:p w:rsidR="009E1CCA" w:rsidRPr="009E1CCA" w:rsidRDefault="009E1CCA">
            <w:pPr>
              <w:jc w:val="right"/>
              <w:rPr>
                <w:rFonts w:cs="Arial"/>
                <w:color w:val="000000"/>
                <w:sz w:val="16"/>
                <w:szCs w:val="16"/>
              </w:rPr>
            </w:pPr>
            <w:r w:rsidRPr="009E1CCA">
              <w:rPr>
                <w:rFonts w:cs="Arial"/>
                <w:color w:val="000000"/>
                <w:sz w:val="16"/>
                <w:szCs w:val="16"/>
              </w:rPr>
              <w:t>14.046,50</w:t>
            </w:r>
          </w:p>
        </w:tc>
        <w:tc>
          <w:tcPr>
            <w:tcW w:w="1121" w:type="dxa"/>
            <w:vAlign w:val="bottom"/>
          </w:tcPr>
          <w:p w:rsidR="009E1CCA" w:rsidRPr="009E1CCA" w:rsidRDefault="009E1CCA">
            <w:pPr>
              <w:jc w:val="right"/>
              <w:rPr>
                <w:rFonts w:cs="Arial"/>
                <w:color w:val="000000"/>
                <w:sz w:val="16"/>
                <w:szCs w:val="16"/>
              </w:rPr>
            </w:pPr>
            <w:r w:rsidRPr="009E1CCA">
              <w:rPr>
                <w:rFonts w:cs="Arial"/>
                <w:color w:val="000000"/>
                <w:sz w:val="16"/>
                <w:szCs w:val="16"/>
              </w:rPr>
              <w:t>14.165,30</w:t>
            </w:r>
          </w:p>
        </w:tc>
      </w:tr>
      <w:tr w:rsidR="009E1CCA" w:rsidRPr="00C83EE3" w:rsidTr="009E1CCA">
        <w:tc>
          <w:tcPr>
            <w:tcW w:w="1550" w:type="dxa"/>
          </w:tcPr>
          <w:p w:rsidR="009E1CCA" w:rsidRPr="00D237B2" w:rsidRDefault="009E1CCA" w:rsidP="00420CF8">
            <w:pPr>
              <w:rPr>
                <w:b/>
                <w:sz w:val="16"/>
                <w:szCs w:val="16"/>
              </w:rPr>
            </w:pPr>
            <w:r w:rsidRPr="00D237B2">
              <w:rPr>
                <w:rFonts w:cs="Arial"/>
                <w:b/>
                <w:noProof/>
                <w:sz w:val="16"/>
                <w:szCs w:val="16"/>
              </w:rPr>
              <w:t>Dolgoročne finančne naložbe/BDP</w:t>
            </w:r>
          </w:p>
        </w:tc>
        <w:tc>
          <w:tcPr>
            <w:tcW w:w="1010" w:type="dxa"/>
            <w:vAlign w:val="bottom"/>
          </w:tcPr>
          <w:p w:rsidR="009E1CCA" w:rsidRPr="009E1CCA" w:rsidRDefault="009E1CCA">
            <w:pPr>
              <w:jc w:val="right"/>
              <w:rPr>
                <w:rFonts w:cs="Arial"/>
                <w:color w:val="000000"/>
                <w:sz w:val="16"/>
                <w:szCs w:val="16"/>
              </w:rPr>
            </w:pPr>
            <w:r w:rsidRPr="009E1CCA">
              <w:rPr>
                <w:rFonts w:cs="Arial"/>
                <w:color w:val="000000"/>
                <w:sz w:val="16"/>
                <w:szCs w:val="16"/>
              </w:rPr>
              <w:t>4.412,71</w:t>
            </w:r>
          </w:p>
        </w:tc>
        <w:tc>
          <w:tcPr>
            <w:tcW w:w="1121" w:type="dxa"/>
            <w:vAlign w:val="bottom"/>
          </w:tcPr>
          <w:p w:rsidR="009E1CCA" w:rsidRPr="009E1CCA" w:rsidRDefault="009E1CCA">
            <w:pPr>
              <w:jc w:val="right"/>
              <w:rPr>
                <w:rFonts w:cs="Arial"/>
                <w:color w:val="000000"/>
                <w:sz w:val="16"/>
                <w:szCs w:val="16"/>
              </w:rPr>
            </w:pPr>
            <w:r w:rsidRPr="009E1CCA">
              <w:rPr>
                <w:rFonts w:cs="Arial"/>
                <w:color w:val="000000"/>
                <w:sz w:val="16"/>
                <w:szCs w:val="16"/>
              </w:rPr>
              <w:t>6.265,61</w:t>
            </w:r>
          </w:p>
        </w:tc>
        <w:tc>
          <w:tcPr>
            <w:tcW w:w="1121" w:type="dxa"/>
            <w:vAlign w:val="bottom"/>
          </w:tcPr>
          <w:p w:rsidR="009E1CCA" w:rsidRPr="009E1CCA" w:rsidRDefault="009E1CCA">
            <w:pPr>
              <w:jc w:val="right"/>
              <w:rPr>
                <w:rFonts w:cs="Arial"/>
                <w:color w:val="000000"/>
                <w:sz w:val="16"/>
                <w:szCs w:val="16"/>
              </w:rPr>
            </w:pPr>
            <w:r w:rsidRPr="009E1CCA">
              <w:rPr>
                <w:rFonts w:cs="Arial"/>
                <w:color w:val="000000"/>
                <w:sz w:val="16"/>
                <w:szCs w:val="16"/>
              </w:rPr>
              <w:t>6.006,74</w:t>
            </w:r>
          </w:p>
        </w:tc>
        <w:tc>
          <w:tcPr>
            <w:tcW w:w="1121" w:type="dxa"/>
            <w:vAlign w:val="bottom"/>
          </w:tcPr>
          <w:p w:rsidR="009E1CCA" w:rsidRPr="009E1CCA" w:rsidRDefault="009E1CCA">
            <w:pPr>
              <w:jc w:val="right"/>
              <w:rPr>
                <w:rFonts w:cs="Arial"/>
                <w:color w:val="000000"/>
                <w:sz w:val="16"/>
                <w:szCs w:val="16"/>
              </w:rPr>
            </w:pPr>
            <w:r w:rsidRPr="009E1CCA">
              <w:rPr>
                <w:rFonts w:cs="Arial"/>
                <w:color w:val="000000"/>
                <w:sz w:val="16"/>
                <w:szCs w:val="16"/>
              </w:rPr>
              <w:t>6.190,83</w:t>
            </w:r>
          </w:p>
        </w:tc>
        <w:tc>
          <w:tcPr>
            <w:tcW w:w="1121" w:type="dxa"/>
            <w:vAlign w:val="bottom"/>
          </w:tcPr>
          <w:p w:rsidR="009E1CCA" w:rsidRPr="009E1CCA" w:rsidRDefault="009E1CCA">
            <w:pPr>
              <w:jc w:val="right"/>
              <w:rPr>
                <w:rFonts w:cs="Arial"/>
                <w:color w:val="000000"/>
                <w:sz w:val="16"/>
                <w:szCs w:val="16"/>
              </w:rPr>
            </w:pPr>
            <w:r w:rsidRPr="009E1CCA">
              <w:rPr>
                <w:rFonts w:cs="Arial"/>
                <w:color w:val="000000"/>
                <w:sz w:val="16"/>
                <w:szCs w:val="16"/>
              </w:rPr>
              <w:t>5.822,23</w:t>
            </w:r>
          </w:p>
        </w:tc>
        <w:tc>
          <w:tcPr>
            <w:tcW w:w="1121" w:type="dxa"/>
            <w:vAlign w:val="bottom"/>
          </w:tcPr>
          <w:p w:rsidR="009E1CCA" w:rsidRPr="009E1CCA" w:rsidRDefault="009E1CCA">
            <w:pPr>
              <w:jc w:val="right"/>
              <w:rPr>
                <w:rFonts w:cs="Arial"/>
                <w:color w:val="000000"/>
                <w:sz w:val="16"/>
                <w:szCs w:val="16"/>
              </w:rPr>
            </w:pPr>
            <w:r w:rsidRPr="009E1CCA">
              <w:rPr>
                <w:rFonts w:cs="Arial"/>
                <w:color w:val="000000"/>
                <w:sz w:val="16"/>
                <w:szCs w:val="16"/>
              </w:rPr>
              <w:t>6.068,18</w:t>
            </w:r>
          </w:p>
        </w:tc>
        <w:tc>
          <w:tcPr>
            <w:tcW w:w="1121" w:type="dxa"/>
            <w:vAlign w:val="bottom"/>
          </w:tcPr>
          <w:p w:rsidR="009E1CCA" w:rsidRPr="009E1CCA" w:rsidRDefault="009E1CCA">
            <w:pPr>
              <w:jc w:val="right"/>
              <w:rPr>
                <w:rFonts w:cs="Arial"/>
                <w:color w:val="000000"/>
                <w:sz w:val="16"/>
                <w:szCs w:val="16"/>
              </w:rPr>
            </w:pPr>
            <w:r w:rsidRPr="009E1CCA">
              <w:rPr>
                <w:rFonts w:cs="Arial"/>
                <w:color w:val="000000"/>
                <w:sz w:val="16"/>
                <w:szCs w:val="16"/>
              </w:rPr>
              <w:t>5.620,07</w:t>
            </w:r>
          </w:p>
        </w:tc>
      </w:tr>
    </w:tbl>
    <w:p w:rsidR="00782DC7" w:rsidRDefault="00782DC7">
      <w:pPr>
        <w:spacing w:line="240" w:lineRule="auto"/>
        <w:jc w:val="left"/>
      </w:pPr>
      <w:r>
        <w:br w:type="page"/>
      </w:r>
    </w:p>
    <w:p w:rsidR="007F2C22" w:rsidRDefault="007F2C22" w:rsidP="008F0A8D">
      <w:pPr>
        <w:pStyle w:val="Heading1"/>
      </w:pPr>
      <w:bookmarkStart w:id="54" w:name="_Toc49771310"/>
      <w:r>
        <w:lastRenderedPageBreak/>
        <w:t>PREMOŽENJSKA BILANCA DRŽAVE</w:t>
      </w:r>
      <w:bookmarkEnd w:id="54"/>
    </w:p>
    <w:p w:rsidR="007F2C22" w:rsidRDefault="007F2C22" w:rsidP="007F2C22">
      <w:pPr>
        <w:pStyle w:val="Heading2"/>
        <w:spacing w:line="360" w:lineRule="auto"/>
      </w:pPr>
      <w:bookmarkStart w:id="55" w:name="_Toc49771311"/>
      <w:r>
        <w:t>Obseg konsolidacije</w:t>
      </w:r>
      <w:bookmarkEnd w:id="55"/>
    </w:p>
    <w:p w:rsidR="00E372A2" w:rsidRDefault="007F2C22" w:rsidP="007F2C22">
      <w:proofErr w:type="gramStart"/>
      <w:r>
        <w:t xml:space="preserve">V konsolidacijo premoženjske bilance države je bilo vključenih </w:t>
      </w:r>
      <w:r w:rsidR="00C90F3A">
        <w:t>5</w:t>
      </w:r>
      <w:r w:rsidR="00BE6414">
        <w:t>34</w:t>
      </w:r>
      <w:r w:rsidR="00C90F3A">
        <w:t xml:space="preserve"> </w:t>
      </w:r>
      <w:r>
        <w:t>PU državnega</w:t>
      </w:r>
      <w:r w:rsidR="005A5AC3">
        <w:t xml:space="preserve"> proračuna</w:t>
      </w:r>
      <w:r>
        <w:t xml:space="preserve"> (glej podpoglavje </w:t>
      </w:r>
      <w:r>
        <w:fldChar w:fldCharType="begin"/>
      </w:r>
      <w:r>
        <w:instrText xml:space="preserve"> REF _Ref389037018 \w \h </w:instrText>
      </w:r>
      <w:r>
        <w:fldChar w:fldCharType="separate"/>
      </w:r>
      <w:r w:rsidR="00CE55C4">
        <w:t>2.1</w:t>
      </w:r>
      <w:r>
        <w:fldChar w:fldCharType="end"/>
      </w:r>
      <w:r>
        <w:t>).</w:t>
      </w:r>
      <w:proofErr w:type="gramEnd"/>
      <w:r>
        <w:t xml:space="preserve"> </w:t>
      </w:r>
    </w:p>
    <w:p w:rsidR="00007D56" w:rsidRDefault="00007D56" w:rsidP="00007D56"/>
    <w:p w:rsidR="00706BBB" w:rsidRDefault="00706BBB" w:rsidP="00706BBB">
      <w:pPr>
        <w:pStyle w:val="Heading2"/>
      </w:pPr>
      <w:bookmarkStart w:id="56" w:name="_Toc49771312"/>
      <w:r>
        <w:t>Rezultat konsolidacije</w:t>
      </w:r>
      <w:bookmarkEnd w:id="56"/>
    </w:p>
    <w:p w:rsidR="00706BBB" w:rsidRPr="00D37616" w:rsidRDefault="00706BBB" w:rsidP="00706BBB">
      <w:pPr>
        <w:pStyle w:val="Caption"/>
        <w:rPr>
          <w:b w:val="0"/>
          <w:bCs w:val="0"/>
          <w:szCs w:val="24"/>
        </w:rPr>
      </w:pPr>
      <w:r w:rsidRPr="00D37616">
        <w:rPr>
          <w:bCs w:val="0"/>
          <w:szCs w:val="24"/>
        </w:rPr>
        <w:t xml:space="preserve">Bilančna </w:t>
      </w:r>
      <w:r>
        <w:rPr>
          <w:bCs w:val="0"/>
          <w:szCs w:val="24"/>
        </w:rPr>
        <w:t>vsota premoženja države</w:t>
      </w:r>
      <w:r w:rsidRPr="00D37616">
        <w:rPr>
          <w:bCs w:val="0"/>
          <w:szCs w:val="24"/>
        </w:rPr>
        <w:t xml:space="preserve"> na dan 31.12.</w:t>
      </w:r>
      <w:r w:rsidR="00B81239" w:rsidRPr="00D37616">
        <w:rPr>
          <w:bCs w:val="0"/>
          <w:szCs w:val="24"/>
        </w:rPr>
        <w:t>201</w:t>
      </w:r>
      <w:r w:rsidR="00834708">
        <w:rPr>
          <w:bCs w:val="0"/>
          <w:szCs w:val="24"/>
        </w:rPr>
        <w:t>8</w:t>
      </w:r>
      <w:r w:rsidR="00B81239" w:rsidRPr="00D37616">
        <w:rPr>
          <w:bCs w:val="0"/>
          <w:szCs w:val="24"/>
        </w:rPr>
        <w:t xml:space="preserve"> </w:t>
      </w:r>
      <w:r w:rsidRPr="00D37616">
        <w:rPr>
          <w:bCs w:val="0"/>
          <w:szCs w:val="24"/>
        </w:rPr>
        <w:t xml:space="preserve">znaša </w:t>
      </w:r>
      <w:r w:rsidR="00E94802">
        <w:rPr>
          <w:bCs w:val="0"/>
          <w:szCs w:val="24"/>
        </w:rPr>
        <w:t>3</w:t>
      </w:r>
      <w:r w:rsidR="00834708">
        <w:rPr>
          <w:bCs w:val="0"/>
          <w:szCs w:val="24"/>
        </w:rPr>
        <w:t>3</w:t>
      </w:r>
      <w:proofErr w:type="gramStart"/>
      <w:r w:rsidR="00E94802">
        <w:rPr>
          <w:bCs w:val="0"/>
          <w:szCs w:val="24"/>
        </w:rPr>
        <w:t>,</w:t>
      </w:r>
      <w:r w:rsidR="00834708">
        <w:rPr>
          <w:bCs w:val="0"/>
          <w:szCs w:val="24"/>
        </w:rPr>
        <w:t>7</w:t>
      </w:r>
      <w:proofErr w:type="gramEnd"/>
      <w:r w:rsidRPr="00100D6D">
        <w:rPr>
          <w:bCs w:val="0"/>
          <w:szCs w:val="24"/>
        </w:rPr>
        <w:t xml:space="preserve"> mrd.</w:t>
      </w:r>
      <w:r w:rsidR="00FB55F7">
        <w:rPr>
          <w:bCs w:val="0"/>
          <w:szCs w:val="24"/>
        </w:rPr>
        <w:t xml:space="preserve"> </w:t>
      </w:r>
      <w:r w:rsidR="00211B4C">
        <w:rPr>
          <w:bCs w:val="0"/>
          <w:szCs w:val="24"/>
        </w:rPr>
        <w:t>€</w:t>
      </w:r>
      <w:r w:rsidR="00493ED9">
        <w:rPr>
          <w:b w:val="0"/>
          <w:bCs w:val="0"/>
          <w:szCs w:val="24"/>
        </w:rPr>
        <w:t xml:space="preserve"> </w:t>
      </w:r>
      <w:r w:rsidRPr="00100D6D">
        <w:rPr>
          <w:b w:val="0"/>
          <w:bCs w:val="0"/>
          <w:szCs w:val="24"/>
        </w:rPr>
        <w:t>in se je glede na stanje, izkazano na dan 31.12.201</w:t>
      </w:r>
      <w:r w:rsidR="00834708">
        <w:rPr>
          <w:b w:val="0"/>
          <w:bCs w:val="0"/>
          <w:szCs w:val="24"/>
        </w:rPr>
        <w:t>7</w:t>
      </w:r>
      <w:r w:rsidRPr="00100D6D">
        <w:rPr>
          <w:b w:val="0"/>
          <w:bCs w:val="0"/>
          <w:szCs w:val="24"/>
        </w:rPr>
        <w:t xml:space="preserve">, </w:t>
      </w:r>
      <w:r w:rsidRPr="00100D6D">
        <w:rPr>
          <w:bCs w:val="0"/>
          <w:szCs w:val="24"/>
        </w:rPr>
        <w:t>v letu 201</w:t>
      </w:r>
      <w:r w:rsidR="00834708">
        <w:rPr>
          <w:bCs w:val="0"/>
          <w:szCs w:val="24"/>
        </w:rPr>
        <w:t>8</w:t>
      </w:r>
      <w:r w:rsidRPr="00100D6D">
        <w:rPr>
          <w:bCs w:val="0"/>
          <w:szCs w:val="24"/>
        </w:rPr>
        <w:t xml:space="preserve"> </w:t>
      </w:r>
      <w:r w:rsidR="00142866">
        <w:rPr>
          <w:bCs w:val="0"/>
          <w:szCs w:val="24"/>
        </w:rPr>
        <w:t>povečala</w:t>
      </w:r>
      <w:r w:rsidR="00142866" w:rsidRPr="00100D6D">
        <w:rPr>
          <w:bCs w:val="0"/>
          <w:szCs w:val="24"/>
        </w:rPr>
        <w:t xml:space="preserve"> </w:t>
      </w:r>
      <w:r w:rsidRPr="00100D6D">
        <w:rPr>
          <w:bCs w:val="0"/>
          <w:szCs w:val="24"/>
        </w:rPr>
        <w:t xml:space="preserve">za </w:t>
      </w:r>
      <w:r w:rsidR="00834708">
        <w:rPr>
          <w:bCs w:val="0"/>
          <w:szCs w:val="24"/>
        </w:rPr>
        <w:t>2,92</w:t>
      </w:r>
      <w:r w:rsidRPr="00100D6D">
        <w:rPr>
          <w:bCs w:val="0"/>
          <w:szCs w:val="24"/>
        </w:rPr>
        <w:t xml:space="preserve"> </w:t>
      </w:r>
      <w:r w:rsidR="00F578DE">
        <w:rPr>
          <w:bCs w:val="0"/>
          <w:szCs w:val="24"/>
        </w:rPr>
        <w:t>%</w:t>
      </w:r>
      <w:r w:rsidRPr="00100D6D">
        <w:rPr>
          <w:bCs w:val="0"/>
          <w:szCs w:val="24"/>
        </w:rPr>
        <w:t xml:space="preserve"> oziroma </w:t>
      </w:r>
      <w:r w:rsidR="00834708">
        <w:rPr>
          <w:bCs w:val="0"/>
          <w:szCs w:val="24"/>
        </w:rPr>
        <w:t>956,7</w:t>
      </w:r>
      <w:r w:rsidR="00E3711D" w:rsidRPr="00100D6D">
        <w:rPr>
          <w:bCs w:val="0"/>
          <w:szCs w:val="24"/>
        </w:rPr>
        <w:t xml:space="preserve"> </w:t>
      </w:r>
      <w:r w:rsidR="00E94802">
        <w:rPr>
          <w:bCs w:val="0"/>
          <w:szCs w:val="24"/>
        </w:rPr>
        <w:t>mio</w:t>
      </w:r>
      <w:r w:rsidRPr="00100D6D">
        <w:rPr>
          <w:bCs w:val="0"/>
          <w:szCs w:val="24"/>
        </w:rPr>
        <w:t xml:space="preserve">. </w:t>
      </w:r>
      <w:r w:rsidR="00F578DE">
        <w:rPr>
          <w:bCs w:val="0"/>
          <w:szCs w:val="24"/>
        </w:rPr>
        <w:t>€</w:t>
      </w:r>
      <w:r w:rsidR="00493ED9">
        <w:rPr>
          <w:bCs w:val="0"/>
          <w:szCs w:val="24"/>
        </w:rPr>
        <w:t>.</w:t>
      </w:r>
    </w:p>
    <w:p w:rsidR="00706BBB" w:rsidRDefault="00706BBB" w:rsidP="00706BBB">
      <w:pPr>
        <w:pStyle w:val="Caption"/>
      </w:pPr>
    </w:p>
    <w:p w:rsidR="00706BBB" w:rsidRDefault="00706BBB" w:rsidP="00A17429">
      <w:pPr>
        <w:pStyle w:val="Caption"/>
      </w:pPr>
      <w:bookmarkStart w:id="57" w:name="_Toc49771328"/>
      <w:r>
        <w:t xml:space="preserve">Tabela </w:t>
      </w:r>
      <w:r>
        <w:fldChar w:fldCharType="begin"/>
      </w:r>
      <w:r>
        <w:instrText xml:space="preserve"> SEQ Tabela \* ARABIC </w:instrText>
      </w:r>
      <w:r>
        <w:fldChar w:fldCharType="separate"/>
      </w:r>
      <w:r w:rsidR="00CE55C4">
        <w:rPr>
          <w:noProof/>
        </w:rPr>
        <w:t>6</w:t>
      </w:r>
      <w:r>
        <w:fldChar w:fldCharType="end"/>
      </w:r>
      <w:r>
        <w:t xml:space="preserve">: Stanje premoženja države </w:t>
      </w:r>
      <w:proofErr w:type="gramStart"/>
      <w:r>
        <w:t>na</w:t>
      </w:r>
      <w:proofErr w:type="gramEnd"/>
      <w:r>
        <w:t xml:space="preserve"> dan 31.12.201</w:t>
      </w:r>
      <w:r w:rsidR="00871D79">
        <w:t>8</w:t>
      </w:r>
      <w:r>
        <w:t xml:space="preserve"> in na dan 31.12.201</w:t>
      </w:r>
      <w:r w:rsidR="00871D79">
        <w:t>7</w:t>
      </w:r>
      <w:r w:rsidR="00A17429">
        <w:t xml:space="preserve"> skupaj s spremembo</w:t>
      </w:r>
      <w:bookmarkEnd w:id="57"/>
    </w:p>
    <w:tbl>
      <w:tblPr>
        <w:tblpPr w:leftFromText="141" w:rightFromText="141" w:vertAnchor="text" w:horzAnchor="margin" w:tblpXSpec="center" w:tblpY="154"/>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1519"/>
        <w:gridCol w:w="1517"/>
        <w:gridCol w:w="1146"/>
        <w:gridCol w:w="2055"/>
      </w:tblGrid>
      <w:tr w:rsidR="001C0751" w:rsidRPr="004D7A53" w:rsidTr="00002C2A">
        <w:trPr>
          <w:cantSplit/>
          <w:trHeight w:val="300"/>
          <w:tblHeader/>
        </w:trPr>
        <w:tc>
          <w:tcPr>
            <w:tcW w:w="3189" w:type="dxa"/>
            <w:shd w:val="pct25" w:color="auto" w:fill="auto"/>
            <w:noWrap/>
            <w:vAlign w:val="bottom"/>
          </w:tcPr>
          <w:p w:rsidR="001C0751" w:rsidRPr="00631979" w:rsidRDefault="001C0751" w:rsidP="001C0751">
            <w:pPr>
              <w:spacing w:line="240" w:lineRule="auto"/>
              <w:jc w:val="left"/>
              <w:rPr>
                <w:rFonts w:ascii="Calibri" w:hAnsi="Calibri"/>
                <w:b/>
                <w:color w:val="000000"/>
                <w:sz w:val="18"/>
                <w:szCs w:val="18"/>
                <w:lang w:val="sl-SI" w:eastAsia="sl-SI"/>
              </w:rPr>
            </w:pPr>
          </w:p>
        </w:tc>
        <w:tc>
          <w:tcPr>
            <w:tcW w:w="1519" w:type="dxa"/>
            <w:shd w:val="pct25" w:color="auto" w:fill="auto"/>
            <w:vAlign w:val="bottom"/>
          </w:tcPr>
          <w:p w:rsidR="001C0751" w:rsidRPr="00631979" w:rsidRDefault="001C0751" w:rsidP="00871D79">
            <w:pPr>
              <w:spacing w:line="240" w:lineRule="auto"/>
              <w:jc w:val="center"/>
              <w:rPr>
                <w:rFonts w:ascii="Calibri" w:hAnsi="Calibri"/>
                <w:b/>
                <w:color w:val="000000"/>
                <w:sz w:val="18"/>
                <w:szCs w:val="18"/>
                <w:lang w:val="sl-SI" w:eastAsia="sl-SI"/>
              </w:rPr>
            </w:pPr>
            <w:r w:rsidRPr="00631979">
              <w:rPr>
                <w:rFonts w:ascii="Calibri" w:hAnsi="Calibri"/>
                <w:b/>
                <w:color w:val="000000"/>
                <w:sz w:val="18"/>
                <w:szCs w:val="18"/>
                <w:lang w:val="sl-SI" w:eastAsia="sl-SI"/>
              </w:rPr>
              <w:t>Stanje 31.12.201</w:t>
            </w:r>
            <w:r w:rsidR="00871D79">
              <w:rPr>
                <w:rFonts w:ascii="Calibri" w:hAnsi="Calibri"/>
                <w:b/>
                <w:color w:val="000000"/>
                <w:sz w:val="18"/>
                <w:szCs w:val="18"/>
                <w:lang w:val="sl-SI" w:eastAsia="sl-SI"/>
              </w:rPr>
              <w:t>8</w:t>
            </w:r>
          </w:p>
        </w:tc>
        <w:tc>
          <w:tcPr>
            <w:tcW w:w="1517" w:type="dxa"/>
            <w:shd w:val="pct25" w:color="auto" w:fill="auto"/>
            <w:noWrap/>
            <w:vAlign w:val="bottom"/>
          </w:tcPr>
          <w:p w:rsidR="001C0751" w:rsidRPr="00631979" w:rsidRDefault="001C0751" w:rsidP="00871D79">
            <w:pPr>
              <w:spacing w:line="240" w:lineRule="auto"/>
              <w:jc w:val="center"/>
              <w:rPr>
                <w:rFonts w:ascii="Calibri" w:hAnsi="Calibri"/>
                <w:b/>
                <w:color w:val="000000"/>
                <w:sz w:val="18"/>
                <w:szCs w:val="18"/>
                <w:lang w:val="sl-SI" w:eastAsia="sl-SI"/>
              </w:rPr>
            </w:pPr>
            <w:r w:rsidRPr="00631979">
              <w:rPr>
                <w:rFonts w:ascii="Calibri" w:hAnsi="Calibri"/>
                <w:b/>
                <w:color w:val="000000"/>
                <w:sz w:val="18"/>
                <w:szCs w:val="18"/>
                <w:lang w:val="sl-SI" w:eastAsia="sl-SI"/>
              </w:rPr>
              <w:t>Stanje 31.12.201</w:t>
            </w:r>
            <w:r w:rsidR="00871D79">
              <w:rPr>
                <w:rFonts w:ascii="Calibri" w:hAnsi="Calibri"/>
                <w:b/>
                <w:color w:val="000000"/>
                <w:sz w:val="18"/>
                <w:szCs w:val="18"/>
                <w:lang w:val="sl-SI" w:eastAsia="sl-SI"/>
              </w:rPr>
              <w:t>7</w:t>
            </w:r>
          </w:p>
        </w:tc>
        <w:tc>
          <w:tcPr>
            <w:tcW w:w="1146" w:type="dxa"/>
            <w:shd w:val="pct25" w:color="auto" w:fill="auto"/>
            <w:noWrap/>
            <w:vAlign w:val="bottom"/>
          </w:tcPr>
          <w:p w:rsidR="001C0751" w:rsidRPr="00631979" w:rsidRDefault="001C0751" w:rsidP="001C0751">
            <w:pPr>
              <w:spacing w:line="240" w:lineRule="auto"/>
              <w:jc w:val="center"/>
              <w:rPr>
                <w:rFonts w:ascii="Calibri" w:hAnsi="Calibri"/>
                <w:b/>
                <w:color w:val="000000"/>
                <w:sz w:val="18"/>
                <w:szCs w:val="18"/>
                <w:lang w:val="sl-SI" w:eastAsia="sl-SI"/>
              </w:rPr>
            </w:pPr>
            <w:r w:rsidRPr="00631979">
              <w:rPr>
                <w:rFonts w:ascii="Calibri" w:hAnsi="Calibri"/>
                <w:b/>
                <w:color w:val="000000"/>
                <w:sz w:val="18"/>
                <w:szCs w:val="18"/>
                <w:lang w:val="sl-SI" w:eastAsia="sl-SI"/>
              </w:rPr>
              <w:t>Indeks</w:t>
            </w:r>
          </w:p>
        </w:tc>
        <w:tc>
          <w:tcPr>
            <w:tcW w:w="2055" w:type="dxa"/>
            <w:shd w:val="pct25" w:color="auto" w:fill="auto"/>
            <w:noWrap/>
            <w:vAlign w:val="bottom"/>
          </w:tcPr>
          <w:p w:rsidR="001C0751" w:rsidRPr="00631979" w:rsidRDefault="001C0751" w:rsidP="00871D79">
            <w:pPr>
              <w:spacing w:line="240" w:lineRule="auto"/>
              <w:jc w:val="center"/>
              <w:rPr>
                <w:rFonts w:ascii="Calibri" w:hAnsi="Calibri"/>
                <w:b/>
                <w:color w:val="000000"/>
                <w:sz w:val="18"/>
                <w:szCs w:val="18"/>
                <w:lang w:val="sl-SI" w:eastAsia="sl-SI"/>
              </w:rPr>
            </w:pPr>
            <w:r w:rsidRPr="00631979">
              <w:rPr>
                <w:rFonts w:ascii="Calibri" w:hAnsi="Calibri"/>
                <w:b/>
                <w:color w:val="000000"/>
                <w:sz w:val="18"/>
                <w:szCs w:val="18"/>
                <w:lang w:val="sl-SI" w:eastAsia="sl-SI"/>
              </w:rPr>
              <w:t>Sprememba 201</w:t>
            </w:r>
            <w:r w:rsidR="00871D79">
              <w:rPr>
                <w:rFonts w:ascii="Calibri" w:hAnsi="Calibri"/>
                <w:b/>
                <w:color w:val="000000"/>
                <w:sz w:val="18"/>
                <w:szCs w:val="18"/>
                <w:lang w:val="sl-SI" w:eastAsia="sl-SI"/>
              </w:rPr>
              <w:t>8</w:t>
            </w:r>
            <w:r w:rsidRPr="00631979">
              <w:rPr>
                <w:rFonts w:ascii="Calibri" w:hAnsi="Calibri"/>
                <w:b/>
                <w:color w:val="000000"/>
                <w:sz w:val="18"/>
                <w:szCs w:val="18"/>
                <w:lang w:val="sl-SI" w:eastAsia="sl-SI"/>
              </w:rPr>
              <w:t>-201</w:t>
            </w:r>
            <w:r w:rsidR="00871D79">
              <w:rPr>
                <w:rFonts w:ascii="Calibri" w:hAnsi="Calibri"/>
                <w:b/>
                <w:color w:val="000000"/>
                <w:sz w:val="18"/>
                <w:szCs w:val="18"/>
                <w:lang w:val="sl-SI" w:eastAsia="sl-SI"/>
              </w:rPr>
              <w:t>7</w:t>
            </w:r>
          </w:p>
        </w:tc>
      </w:tr>
      <w:tr w:rsidR="001C0751" w:rsidRPr="004D7A53" w:rsidTr="00002C2A">
        <w:trPr>
          <w:trHeight w:val="300"/>
          <w:tblHeader/>
        </w:trPr>
        <w:tc>
          <w:tcPr>
            <w:tcW w:w="3189" w:type="dxa"/>
            <w:shd w:val="pct25" w:color="auto" w:fill="auto"/>
            <w:noWrap/>
            <w:vAlign w:val="bottom"/>
          </w:tcPr>
          <w:p w:rsidR="001C0751" w:rsidRPr="00631979" w:rsidRDefault="001C0751" w:rsidP="001C0751">
            <w:pPr>
              <w:spacing w:line="240" w:lineRule="auto"/>
              <w:jc w:val="left"/>
              <w:rPr>
                <w:rFonts w:ascii="Calibri" w:hAnsi="Calibri"/>
                <w:b/>
                <w:color w:val="000000"/>
                <w:sz w:val="18"/>
                <w:szCs w:val="18"/>
                <w:lang w:val="sl-SI" w:eastAsia="sl-SI"/>
              </w:rPr>
            </w:pPr>
            <w:r w:rsidRPr="00631979">
              <w:rPr>
                <w:rFonts w:ascii="Calibri" w:hAnsi="Calibri"/>
                <w:b/>
                <w:color w:val="000000"/>
                <w:sz w:val="18"/>
                <w:szCs w:val="18"/>
                <w:lang w:val="sl-SI" w:eastAsia="sl-SI"/>
              </w:rPr>
              <w:t>Oznaka in naziv AOP</w:t>
            </w:r>
          </w:p>
        </w:tc>
        <w:tc>
          <w:tcPr>
            <w:tcW w:w="1519" w:type="dxa"/>
            <w:shd w:val="pct25" w:color="auto" w:fill="auto"/>
            <w:vAlign w:val="bottom"/>
          </w:tcPr>
          <w:p w:rsidR="001C0751" w:rsidRPr="00631979" w:rsidRDefault="001C0751" w:rsidP="001C0751">
            <w:pPr>
              <w:spacing w:line="240" w:lineRule="auto"/>
              <w:jc w:val="center"/>
              <w:rPr>
                <w:rFonts w:ascii="Calibri" w:hAnsi="Calibri"/>
                <w:b/>
                <w:color w:val="000000"/>
                <w:sz w:val="18"/>
                <w:szCs w:val="18"/>
                <w:lang w:val="sl-SI" w:eastAsia="sl-SI"/>
              </w:rPr>
            </w:pPr>
            <w:r w:rsidRPr="00631979">
              <w:rPr>
                <w:rFonts w:ascii="Calibri" w:hAnsi="Calibri"/>
                <w:b/>
                <w:color w:val="000000"/>
                <w:sz w:val="18"/>
                <w:szCs w:val="18"/>
                <w:lang w:val="sl-SI" w:eastAsia="sl-SI"/>
              </w:rPr>
              <w:t>(</w:t>
            </w:r>
            <w:r w:rsidR="00674927">
              <w:rPr>
                <w:rFonts w:ascii="Calibri" w:hAnsi="Calibri"/>
                <w:b/>
                <w:color w:val="000000"/>
                <w:sz w:val="18"/>
                <w:szCs w:val="18"/>
                <w:lang w:val="sl-SI" w:eastAsia="sl-SI"/>
              </w:rPr>
              <w:t>€</w:t>
            </w:r>
            <w:r w:rsidRPr="00631979">
              <w:rPr>
                <w:rFonts w:ascii="Calibri" w:hAnsi="Calibri"/>
                <w:b/>
                <w:color w:val="000000"/>
                <w:sz w:val="18"/>
                <w:szCs w:val="18"/>
                <w:lang w:val="sl-SI" w:eastAsia="sl-SI"/>
              </w:rPr>
              <w:t>)</w:t>
            </w:r>
          </w:p>
        </w:tc>
        <w:tc>
          <w:tcPr>
            <w:tcW w:w="1517" w:type="dxa"/>
            <w:shd w:val="pct25" w:color="auto" w:fill="auto"/>
            <w:noWrap/>
            <w:vAlign w:val="bottom"/>
          </w:tcPr>
          <w:p w:rsidR="001C0751" w:rsidRPr="00631979" w:rsidRDefault="001C0751" w:rsidP="001C0751">
            <w:pPr>
              <w:spacing w:line="240" w:lineRule="auto"/>
              <w:jc w:val="center"/>
              <w:rPr>
                <w:rFonts w:ascii="Calibri" w:hAnsi="Calibri"/>
                <w:b/>
                <w:color w:val="000000"/>
                <w:sz w:val="18"/>
                <w:szCs w:val="18"/>
                <w:lang w:val="sl-SI" w:eastAsia="sl-SI"/>
              </w:rPr>
            </w:pPr>
            <w:r w:rsidRPr="00631979">
              <w:rPr>
                <w:rFonts w:ascii="Calibri" w:hAnsi="Calibri"/>
                <w:b/>
                <w:color w:val="000000"/>
                <w:sz w:val="18"/>
                <w:szCs w:val="18"/>
                <w:lang w:val="sl-SI" w:eastAsia="sl-SI"/>
              </w:rPr>
              <w:t>(</w:t>
            </w:r>
            <w:r w:rsidR="00674927">
              <w:rPr>
                <w:rFonts w:ascii="Calibri" w:hAnsi="Calibri"/>
                <w:b/>
                <w:color w:val="000000"/>
                <w:sz w:val="18"/>
                <w:szCs w:val="18"/>
                <w:lang w:val="sl-SI" w:eastAsia="sl-SI"/>
              </w:rPr>
              <w:t>€</w:t>
            </w:r>
            <w:r w:rsidRPr="00631979">
              <w:rPr>
                <w:rFonts w:ascii="Calibri" w:hAnsi="Calibri"/>
                <w:b/>
                <w:color w:val="000000"/>
                <w:sz w:val="18"/>
                <w:szCs w:val="18"/>
                <w:lang w:val="sl-SI" w:eastAsia="sl-SI"/>
              </w:rPr>
              <w:t>)</w:t>
            </w:r>
          </w:p>
        </w:tc>
        <w:tc>
          <w:tcPr>
            <w:tcW w:w="1146" w:type="dxa"/>
            <w:shd w:val="pct25" w:color="auto" w:fill="auto"/>
            <w:noWrap/>
            <w:vAlign w:val="bottom"/>
          </w:tcPr>
          <w:p w:rsidR="001C0751" w:rsidRPr="00631979" w:rsidRDefault="004E1681" w:rsidP="001C0751">
            <w:pPr>
              <w:spacing w:line="240" w:lineRule="auto"/>
              <w:jc w:val="center"/>
              <w:rPr>
                <w:rFonts w:ascii="Calibri" w:hAnsi="Calibri"/>
                <w:b/>
                <w:color w:val="000000"/>
                <w:sz w:val="18"/>
                <w:szCs w:val="18"/>
                <w:lang w:val="sl-SI" w:eastAsia="sl-SI"/>
              </w:rPr>
            </w:pPr>
            <w:r>
              <w:rPr>
                <w:rFonts w:ascii="Calibri" w:hAnsi="Calibri"/>
                <w:b/>
                <w:color w:val="000000"/>
                <w:sz w:val="18"/>
                <w:szCs w:val="18"/>
                <w:lang w:val="sl-SI" w:eastAsia="sl-SI"/>
              </w:rPr>
              <w:t>%</w:t>
            </w:r>
          </w:p>
        </w:tc>
        <w:tc>
          <w:tcPr>
            <w:tcW w:w="2055" w:type="dxa"/>
            <w:shd w:val="pct25" w:color="auto" w:fill="auto"/>
            <w:noWrap/>
            <w:vAlign w:val="bottom"/>
          </w:tcPr>
          <w:p w:rsidR="001C0751" w:rsidRPr="00631979" w:rsidRDefault="001C0751" w:rsidP="001C0751">
            <w:pPr>
              <w:spacing w:line="240" w:lineRule="auto"/>
              <w:jc w:val="center"/>
              <w:rPr>
                <w:rFonts w:ascii="Calibri" w:hAnsi="Calibri"/>
                <w:b/>
                <w:color w:val="000000"/>
                <w:sz w:val="18"/>
                <w:szCs w:val="18"/>
                <w:lang w:val="sl-SI" w:eastAsia="sl-SI"/>
              </w:rPr>
            </w:pPr>
            <w:r>
              <w:rPr>
                <w:rFonts w:ascii="Calibri" w:hAnsi="Calibri"/>
                <w:b/>
                <w:color w:val="000000"/>
                <w:sz w:val="18"/>
                <w:szCs w:val="18"/>
                <w:lang w:val="sl-SI" w:eastAsia="sl-SI"/>
              </w:rPr>
              <w:t>(</w:t>
            </w:r>
            <w:r w:rsidR="00674927">
              <w:rPr>
                <w:rFonts w:ascii="Calibri" w:hAnsi="Calibri"/>
                <w:b/>
                <w:color w:val="000000"/>
                <w:sz w:val="18"/>
                <w:szCs w:val="18"/>
                <w:lang w:val="sl-SI" w:eastAsia="sl-SI"/>
              </w:rPr>
              <w:t>€</w:t>
            </w:r>
            <w:r>
              <w:rPr>
                <w:rFonts w:ascii="Calibri" w:hAnsi="Calibri"/>
                <w:b/>
                <w:color w:val="000000"/>
                <w:sz w:val="18"/>
                <w:szCs w:val="18"/>
                <w:lang w:val="sl-SI" w:eastAsia="sl-SI"/>
              </w:rPr>
              <w:t>)</w:t>
            </w:r>
          </w:p>
        </w:tc>
      </w:tr>
      <w:tr w:rsidR="001C0751" w:rsidRPr="004D7A53" w:rsidTr="00002C2A">
        <w:trPr>
          <w:trHeight w:val="300"/>
          <w:tblHeader/>
        </w:trPr>
        <w:tc>
          <w:tcPr>
            <w:tcW w:w="3189" w:type="dxa"/>
            <w:shd w:val="pct25" w:color="auto" w:fill="auto"/>
            <w:noWrap/>
            <w:vAlign w:val="bottom"/>
          </w:tcPr>
          <w:p w:rsidR="001C0751" w:rsidRPr="00631979" w:rsidRDefault="001C0751" w:rsidP="001C0751">
            <w:pPr>
              <w:spacing w:line="240" w:lineRule="auto"/>
              <w:jc w:val="center"/>
              <w:rPr>
                <w:rFonts w:ascii="Calibri" w:hAnsi="Calibri"/>
                <w:b/>
                <w:color w:val="000000"/>
                <w:sz w:val="18"/>
                <w:szCs w:val="18"/>
                <w:lang w:val="sl-SI" w:eastAsia="sl-SI"/>
              </w:rPr>
            </w:pPr>
            <w:r w:rsidRPr="00631979">
              <w:rPr>
                <w:rFonts w:ascii="Calibri" w:hAnsi="Calibri"/>
                <w:b/>
                <w:color w:val="000000"/>
                <w:sz w:val="18"/>
                <w:szCs w:val="18"/>
                <w:lang w:val="sl-SI" w:eastAsia="sl-SI"/>
              </w:rPr>
              <w:t>1</w:t>
            </w:r>
          </w:p>
        </w:tc>
        <w:tc>
          <w:tcPr>
            <w:tcW w:w="1519" w:type="dxa"/>
            <w:shd w:val="pct25" w:color="auto" w:fill="auto"/>
            <w:vAlign w:val="bottom"/>
          </w:tcPr>
          <w:p w:rsidR="001C0751" w:rsidRPr="00631979" w:rsidRDefault="001C0751" w:rsidP="001C0751">
            <w:pPr>
              <w:spacing w:line="240" w:lineRule="auto"/>
              <w:jc w:val="center"/>
              <w:rPr>
                <w:rFonts w:ascii="Calibri" w:hAnsi="Calibri"/>
                <w:b/>
                <w:color w:val="000000"/>
                <w:sz w:val="18"/>
                <w:szCs w:val="18"/>
                <w:lang w:val="sl-SI" w:eastAsia="sl-SI"/>
              </w:rPr>
            </w:pPr>
            <w:r w:rsidRPr="00631979">
              <w:rPr>
                <w:rFonts w:ascii="Calibri" w:hAnsi="Calibri"/>
                <w:b/>
                <w:color w:val="000000"/>
                <w:sz w:val="18"/>
                <w:szCs w:val="18"/>
                <w:lang w:val="sl-SI" w:eastAsia="sl-SI"/>
              </w:rPr>
              <w:t>2</w:t>
            </w:r>
          </w:p>
        </w:tc>
        <w:tc>
          <w:tcPr>
            <w:tcW w:w="1517" w:type="dxa"/>
            <w:shd w:val="pct25" w:color="auto" w:fill="auto"/>
            <w:noWrap/>
            <w:vAlign w:val="bottom"/>
          </w:tcPr>
          <w:p w:rsidR="001C0751" w:rsidRPr="00631979" w:rsidRDefault="0089044F" w:rsidP="001C0751">
            <w:pPr>
              <w:spacing w:line="240" w:lineRule="auto"/>
              <w:jc w:val="center"/>
              <w:rPr>
                <w:rFonts w:ascii="Calibri" w:hAnsi="Calibri"/>
                <w:b/>
                <w:color w:val="000000"/>
                <w:sz w:val="18"/>
                <w:szCs w:val="18"/>
                <w:lang w:val="sl-SI" w:eastAsia="sl-SI"/>
              </w:rPr>
            </w:pPr>
            <w:r>
              <w:rPr>
                <w:rFonts w:ascii="Calibri" w:hAnsi="Calibri"/>
                <w:b/>
                <w:color w:val="000000"/>
                <w:sz w:val="18"/>
                <w:szCs w:val="18"/>
                <w:lang w:val="sl-SI" w:eastAsia="sl-SI"/>
              </w:rPr>
              <w:t>3</w:t>
            </w:r>
          </w:p>
        </w:tc>
        <w:tc>
          <w:tcPr>
            <w:tcW w:w="1146" w:type="dxa"/>
            <w:shd w:val="pct25" w:color="auto" w:fill="auto"/>
            <w:noWrap/>
            <w:vAlign w:val="bottom"/>
          </w:tcPr>
          <w:p w:rsidR="001C0751" w:rsidRPr="00631979" w:rsidRDefault="001C0751" w:rsidP="001C0751">
            <w:pPr>
              <w:spacing w:line="240" w:lineRule="auto"/>
              <w:jc w:val="center"/>
              <w:rPr>
                <w:rFonts w:ascii="Calibri" w:hAnsi="Calibri"/>
                <w:b/>
                <w:color w:val="000000"/>
                <w:sz w:val="18"/>
                <w:szCs w:val="18"/>
                <w:lang w:val="sl-SI" w:eastAsia="sl-SI"/>
              </w:rPr>
            </w:pPr>
            <w:r>
              <w:rPr>
                <w:rFonts w:ascii="Calibri" w:hAnsi="Calibri"/>
                <w:b/>
                <w:color w:val="000000"/>
                <w:sz w:val="18"/>
                <w:szCs w:val="18"/>
                <w:lang w:val="sl-SI" w:eastAsia="sl-SI"/>
              </w:rPr>
              <w:t>4=2/3</w:t>
            </w:r>
            <w:r w:rsidRPr="00631979">
              <w:rPr>
                <w:rFonts w:ascii="Calibri" w:hAnsi="Calibri"/>
                <w:b/>
                <w:color w:val="000000"/>
                <w:sz w:val="18"/>
                <w:szCs w:val="18"/>
                <w:lang w:val="sl-SI" w:eastAsia="sl-SI"/>
              </w:rPr>
              <w:t>100</w:t>
            </w:r>
          </w:p>
        </w:tc>
        <w:tc>
          <w:tcPr>
            <w:tcW w:w="2055" w:type="dxa"/>
            <w:shd w:val="pct25" w:color="auto" w:fill="auto"/>
            <w:noWrap/>
            <w:vAlign w:val="bottom"/>
          </w:tcPr>
          <w:p w:rsidR="001C0751" w:rsidRPr="00631979" w:rsidRDefault="001C0751" w:rsidP="001C0751">
            <w:pPr>
              <w:spacing w:line="240" w:lineRule="auto"/>
              <w:jc w:val="center"/>
              <w:rPr>
                <w:rFonts w:ascii="Calibri" w:hAnsi="Calibri"/>
                <w:b/>
                <w:color w:val="000000"/>
                <w:sz w:val="18"/>
                <w:szCs w:val="18"/>
                <w:lang w:val="sl-SI" w:eastAsia="sl-SI"/>
              </w:rPr>
            </w:pPr>
            <w:r>
              <w:rPr>
                <w:rFonts w:ascii="Calibri" w:hAnsi="Calibri"/>
                <w:b/>
                <w:color w:val="000000"/>
                <w:sz w:val="18"/>
                <w:szCs w:val="18"/>
                <w:lang w:val="sl-SI" w:eastAsia="sl-SI"/>
              </w:rPr>
              <w:t>5=2-3</w:t>
            </w:r>
          </w:p>
        </w:tc>
      </w:tr>
      <w:tr w:rsidR="00F420CB" w:rsidRPr="004D7A53" w:rsidTr="00972554">
        <w:trPr>
          <w:trHeight w:val="300"/>
        </w:trPr>
        <w:tc>
          <w:tcPr>
            <w:tcW w:w="3189" w:type="dxa"/>
            <w:shd w:val="clear" w:color="auto" w:fill="auto"/>
            <w:noWrap/>
          </w:tcPr>
          <w:p w:rsidR="00F420CB" w:rsidRPr="0085365C" w:rsidRDefault="00F420CB" w:rsidP="00871D79">
            <w:pPr>
              <w:jc w:val="left"/>
              <w:rPr>
                <w:rFonts w:ascii="Calibri" w:hAnsi="Calibri"/>
                <w:sz w:val="18"/>
                <w:szCs w:val="18"/>
              </w:rPr>
            </w:pPr>
            <w:r w:rsidRPr="0085365C">
              <w:rPr>
                <w:rFonts w:ascii="Calibri" w:hAnsi="Calibri"/>
                <w:sz w:val="18"/>
                <w:szCs w:val="18"/>
              </w:rPr>
              <w:t>700-Sedanja vrednost neopredmetenih sredstev in dolgoročnih aktivnih časovnih razmejitev</w:t>
            </w:r>
          </w:p>
        </w:tc>
        <w:tc>
          <w:tcPr>
            <w:tcW w:w="1519" w:type="dxa"/>
            <w:vAlign w:val="bottom"/>
          </w:tcPr>
          <w:p w:rsidR="00F420CB" w:rsidRPr="00382B0F" w:rsidRDefault="00F420CB" w:rsidP="00F83FBB">
            <w:pPr>
              <w:jc w:val="right"/>
              <w:rPr>
                <w:rFonts w:ascii="Calibri" w:hAnsi="Calibri"/>
                <w:sz w:val="18"/>
                <w:szCs w:val="18"/>
              </w:rPr>
            </w:pPr>
            <w:r w:rsidRPr="00972554">
              <w:rPr>
                <w:rFonts w:ascii="Calibri" w:hAnsi="Calibri"/>
                <w:sz w:val="18"/>
                <w:szCs w:val="18"/>
              </w:rPr>
              <w:t xml:space="preserve">125.442.145 </w:t>
            </w:r>
          </w:p>
        </w:tc>
        <w:tc>
          <w:tcPr>
            <w:tcW w:w="1517" w:type="dxa"/>
            <w:shd w:val="clear" w:color="auto" w:fill="auto"/>
            <w:noWrap/>
            <w:vAlign w:val="bottom"/>
          </w:tcPr>
          <w:p w:rsidR="00F420CB" w:rsidRPr="0085365C" w:rsidRDefault="00F420CB" w:rsidP="00871D79">
            <w:pPr>
              <w:jc w:val="right"/>
              <w:rPr>
                <w:rFonts w:ascii="Calibri" w:hAnsi="Calibri"/>
                <w:sz w:val="18"/>
                <w:szCs w:val="18"/>
              </w:rPr>
            </w:pPr>
            <w:r w:rsidRPr="000F6B5B">
              <w:rPr>
                <w:rFonts w:ascii="Calibri" w:hAnsi="Calibri" w:cs="Calibri"/>
                <w:color w:val="000000"/>
                <w:sz w:val="18"/>
                <w:szCs w:val="18"/>
                <w:lang w:val="sl-SI" w:eastAsia="sl-SI"/>
              </w:rPr>
              <w:t xml:space="preserve">115.979.022 </w:t>
            </w:r>
          </w:p>
        </w:tc>
        <w:tc>
          <w:tcPr>
            <w:tcW w:w="1146" w:type="dxa"/>
            <w:shd w:val="clear" w:color="auto" w:fill="auto"/>
            <w:noWrap/>
            <w:vAlign w:val="bottom"/>
          </w:tcPr>
          <w:p w:rsidR="00F420CB" w:rsidRPr="00382B0F" w:rsidRDefault="00F420CB" w:rsidP="00F83FBB">
            <w:pPr>
              <w:jc w:val="right"/>
              <w:rPr>
                <w:rFonts w:ascii="Calibri" w:hAnsi="Calibri"/>
                <w:sz w:val="18"/>
                <w:szCs w:val="18"/>
              </w:rPr>
            </w:pPr>
            <w:r w:rsidRPr="00972554">
              <w:rPr>
                <w:rFonts w:ascii="Calibri" w:hAnsi="Calibri"/>
                <w:sz w:val="18"/>
                <w:szCs w:val="18"/>
              </w:rPr>
              <w:t>108,16</w:t>
            </w:r>
          </w:p>
        </w:tc>
        <w:tc>
          <w:tcPr>
            <w:tcW w:w="2055" w:type="dxa"/>
            <w:shd w:val="clear" w:color="auto" w:fill="auto"/>
            <w:noWrap/>
            <w:vAlign w:val="bottom"/>
          </w:tcPr>
          <w:p w:rsidR="00F420CB" w:rsidRPr="00382B0F" w:rsidRDefault="00F420CB" w:rsidP="00382B0F">
            <w:pPr>
              <w:jc w:val="right"/>
              <w:rPr>
                <w:rFonts w:ascii="Calibri" w:hAnsi="Calibri"/>
                <w:sz w:val="18"/>
                <w:szCs w:val="18"/>
              </w:rPr>
            </w:pPr>
            <w:r w:rsidRPr="00972554">
              <w:rPr>
                <w:rFonts w:ascii="Calibri" w:hAnsi="Calibri"/>
                <w:sz w:val="18"/>
                <w:szCs w:val="18"/>
              </w:rPr>
              <w:t xml:space="preserve">9.463.123 </w:t>
            </w:r>
          </w:p>
        </w:tc>
      </w:tr>
      <w:tr w:rsidR="00F420CB" w:rsidRPr="004D7A53" w:rsidTr="00972554">
        <w:trPr>
          <w:trHeight w:val="300"/>
        </w:trPr>
        <w:tc>
          <w:tcPr>
            <w:tcW w:w="3189" w:type="dxa"/>
            <w:shd w:val="clear" w:color="auto" w:fill="auto"/>
            <w:noWrap/>
          </w:tcPr>
          <w:p w:rsidR="00F420CB" w:rsidRPr="0085365C" w:rsidRDefault="00F420CB" w:rsidP="00871D79">
            <w:pPr>
              <w:jc w:val="left"/>
              <w:rPr>
                <w:rFonts w:ascii="Calibri" w:hAnsi="Calibri"/>
                <w:sz w:val="18"/>
                <w:szCs w:val="18"/>
              </w:rPr>
            </w:pPr>
            <w:r w:rsidRPr="0085365C">
              <w:rPr>
                <w:rFonts w:ascii="Calibri" w:hAnsi="Calibri"/>
                <w:sz w:val="18"/>
                <w:szCs w:val="18"/>
              </w:rPr>
              <w:t>701-Nabavna vrednost neopredmetenih sredstev in dolgoročnih aktivnih časovnih razmejitev</w:t>
            </w:r>
          </w:p>
        </w:tc>
        <w:tc>
          <w:tcPr>
            <w:tcW w:w="1519" w:type="dxa"/>
            <w:vAlign w:val="bottom"/>
          </w:tcPr>
          <w:p w:rsidR="00F420CB" w:rsidRPr="00382B0F" w:rsidRDefault="00F420CB" w:rsidP="00F83FBB">
            <w:pPr>
              <w:jc w:val="right"/>
              <w:rPr>
                <w:rFonts w:ascii="Calibri" w:hAnsi="Calibri"/>
                <w:sz w:val="18"/>
                <w:szCs w:val="18"/>
              </w:rPr>
            </w:pPr>
            <w:r w:rsidRPr="00972554">
              <w:rPr>
                <w:rFonts w:ascii="Calibri" w:hAnsi="Calibri"/>
                <w:sz w:val="18"/>
                <w:szCs w:val="18"/>
              </w:rPr>
              <w:t xml:space="preserve">637.112.551 </w:t>
            </w:r>
          </w:p>
        </w:tc>
        <w:tc>
          <w:tcPr>
            <w:tcW w:w="1517" w:type="dxa"/>
            <w:shd w:val="clear" w:color="auto" w:fill="auto"/>
            <w:noWrap/>
            <w:vAlign w:val="bottom"/>
          </w:tcPr>
          <w:p w:rsidR="00F420CB" w:rsidRPr="0085365C" w:rsidRDefault="00F420CB" w:rsidP="00871D79">
            <w:pPr>
              <w:jc w:val="right"/>
              <w:rPr>
                <w:rFonts w:ascii="Calibri" w:hAnsi="Calibri"/>
                <w:sz w:val="18"/>
                <w:szCs w:val="18"/>
              </w:rPr>
            </w:pPr>
            <w:r w:rsidRPr="000F6B5B">
              <w:rPr>
                <w:rFonts w:ascii="Calibri" w:hAnsi="Calibri" w:cs="Calibri"/>
                <w:color w:val="000000"/>
                <w:sz w:val="18"/>
                <w:szCs w:val="18"/>
                <w:lang w:val="sl-SI" w:eastAsia="sl-SI"/>
              </w:rPr>
              <w:t xml:space="preserve">613.391.106 </w:t>
            </w:r>
          </w:p>
        </w:tc>
        <w:tc>
          <w:tcPr>
            <w:tcW w:w="1146" w:type="dxa"/>
            <w:shd w:val="clear" w:color="auto" w:fill="auto"/>
            <w:noWrap/>
            <w:vAlign w:val="bottom"/>
          </w:tcPr>
          <w:p w:rsidR="00F420CB" w:rsidRPr="00382B0F" w:rsidRDefault="00F420CB" w:rsidP="00F83FBB">
            <w:pPr>
              <w:jc w:val="right"/>
              <w:rPr>
                <w:rFonts w:ascii="Calibri" w:hAnsi="Calibri"/>
                <w:sz w:val="18"/>
                <w:szCs w:val="18"/>
              </w:rPr>
            </w:pPr>
            <w:r w:rsidRPr="00972554">
              <w:rPr>
                <w:rFonts w:ascii="Calibri" w:hAnsi="Calibri"/>
                <w:sz w:val="18"/>
                <w:szCs w:val="18"/>
              </w:rPr>
              <w:t>103,87</w:t>
            </w:r>
          </w:p>
        </w:tc>
        <w:tc>
          <w:tcPr>
            <w:tcW w:w="2055" w:type="dxa"/>
            <w:shd w:val="clear" w:color="auto" w:fill="auto"/>
            <w:noWrap/>
            <w:vAlign w:val="bottom"/>
          </w:tcPr>
          <w:p w:rsidR="00F420CB" w:rsidRPr="00382B0F" w:rsidRDefault="00F420CB" w:rsidP="00382B0F">
            <w:pPr>
              <w:jc w:val="right"/>
              <w:rPr>
                <w:rFonts w:ascii="Calibri" w:hAnsi="Calibri"/>
                <w:sz w:val="18"/>
                <w:szCs w:val="18"/>
              </w:rPr>
            </w:pPr>
            <w:r w:rsidRPr="00972554">
              <w:rPr>
                <w:rFonts w:ascii="Calibri" w:hAnsi="Calibri"/>
                <w:sz w:val="18"/>
                <w:szCs w:val="18"/>
              </w:rPr>
              <w:t xml:space="preserve">23.721.445 </w:t>
            </w:r>
          </w:p>
        </w:tc>
      </w:tr>
      <w:tr w:rsidR="00F420CB" w:rsidRPr="004D7A53" w:rsidTr="00972554">
        <w:trPr>
          <w:trHeight w:val="300"/>
        </w:trPr>
        <w:tc>
          <w:tcPr>
            <w:tcW w:w="3189" w:type="dxa"/>
            <w:shd w:val="clear" w:color="auto" w:fill="auto"/>
            <w:noWrap/>
          </w:tcPr>
          <w:p w:rsidR="00F420CB" w:rsidRPr="0085365C" w:rsidRDefault="00F420CB" w:rsidP="00871D79">
            <w:pPr>
              <w:jc w:val="left"/>
              <w:rPr>
                <w:rFonts w:ascii="Calibri" w:hAnsi="Calibri"/>
                <w:sz w:val="18"/>
                <w:szCs w:val="18"/>
              </w:rPr>
            </w:pPr>
            <w:r w:rsidRPr="0085365C">
              <w:rPr>
                <w:rFonts w:ascii="Calibri" w:hAnsi="Calibri"/>
                <w:sz w:val="18"/>
                <w:szCs w:val="18"/>
              </w:rPr>
              <w:t>702-Popravki vrednosti neopredmetenih sredstev</w:t>
            </w:r>
          </w:p>
        </w:tc>
        <w:tc>
          <w:tcPr>
            <w:tcW w:w="1519" w:type="dxa"/>
            <w:vAlign w:val="bottom"/>
          </w:tcPr>
          <w:p w:rsidR="00F420CB" w:rsidRPr="00382B0F" w:rsidRDefault="00F420CB" w:rsidP="00F83FBB">
            <w:pPr>
              <w:jc w:val="right"/>
              <w:rPr>
                <w:rFonts w:ascii="Calibri" w:hAnsi="Calibri"/>
                <w:sz w:val="18"/>
                <w:szCs w:val="18"/>
              </w:rPr>
            </w:pPr>
            <w:r w:rsidRPr="00972554">
              <w:rPr>
                <w:rFonts w:ascii="Calibri" w:hAnsi="Calibri"/>
                <w:sz w:val="18"/>
                <w:szCs w:val="18"/>
              </w:rPr>
              <w:t xml:space="preserve">511.670.406 </w:t>
            </w:r>
          </w:p>
        </w:tc>
        <w:tc>
          <w:tcPr>
            <w:tcW w:w="1517" w:type="dxa"/>
            <w:shd w:val="clear" w:color="auto" w:fill="auto"/>
            <w:noWrap/>
            <w:vAlign w:val="bottom"/>
          </w:tcPr>
          <w:p w:rsidR="00F420CB" w:rsidRPr="0085365C" w:rsidRDefault="00F420CB" w:rsidP="00871D79">
            <w:pPr>
              <w:jc w:val="right"/>
              <w:rPr>
                <w:rFonts w:ascii="Calibri" w:hAnsi="Calibri"/>
                <w:sz w:val="18"/>
                <w:szCs w:val="18"/>
              </w:rPr>
            </w:pPr>
            <w:r w:rsidRPr="000F6B5B">
              <w:rPr>
                <w:rFonts w:ascii="Calibri" w:hAnsi="Calibri" w:cs="Calibri"/>
                <w:color w:val="000000"/>
                <w:sz w:val="18"/>
                <w:szCs w:val="18"/>
                <w:lang w:val="sl-SI" w:eastAsia="sl-SI"/>
              </w:rPr>
              <w:t xml:space="preserve">497.412.084 </w:t>
            </w:r>
          </w:p>
        </w:tc>
        <w:tc>
          <w:tcPr>
            <w:tcW w:w="1146" w:type="dxa"/>
            <w:shd w:val="clear" w:color="auto" w:fill="auto"/>
            <w:noWrap/>
            <w:vAlign w:val="bottom"/>
          </w:tcPr>
          <w:p w:rsidR="00F420CB" w:rsidRPr="00382B0F" w:rsidRDefault="00F420CB" w:rsidP="00F83FBB">
            <w:pPr>
              <w:jc w:val="right"/>
              <w:rPr>
                <w:rFonts w:ascii="Calibri" w:hAnsi="Calibri"/>
                <w:sz w:val="18"/>
                <w:szCs w:val="18"/>
              </w:rPr>
            </w:pPr>
            <w:r w:rsidRPr="00972554">
              <w:rPr>
                <w:rFonts w:ascii="Calibri" w:hAnsi="Calibri"/>
                <w:sz w:val="18"/>
                <w:szCs w:val="18"/>
              </w:rPr>
              <w:t>102,87</w:t>
            </w:r>
          </w:p>
        </w:tc>
        <w:tc>
          <w:tcPr>
            <w:tcW w:w="2055" w:type="dxa"/>
            <w:shd w:val="clear" w:color="auto" w:fill="auto"/>
            <w:noWrap/>
            <w:vAlign w:val="bottom"/>
          </w:tcPr>
          <w:p w:rsidR="00F420CB" w:rsidRPr="00382B0F" w:rsidRDefault="00F420CB" w:rsidP="00382B0F">
            <w:pPr>
              <w:jc w:val="right"/>
              <w:rPr>
                <w:rFonts w:ascii="Calibri" w:hAnsi="Calibri"/>
                <w:sz w:val="18"/>
                <w:szCs w:val="18"/>
              </w:rPr>
            </w:pPr>
            <w:r w:rsidRPr="00972554">
              <w:rPr>
                <w:rFonts w:ascii="Calibri" w:hAnsi="Calibri"/>
                <w:sz w:val="18"/>
                <w:szCs w:val="18"/>
              </w:rPr>
              <w:t xml:space="preserve">14.258.322 </w:t>
            </w:r>
          </w:p>
        </w:tc>
      </w:tr>
      <w:tr w:rsidR="00F420CB" w:rsidRPr="004D7A53" w:rsidTr="00972554">
        <w:trPr>
          <w:trHeight w:val="300"/>
        </w:trPr>
        <w:tc>
          <w:tcPr>
            <w:tcW w:w="3189" w:type="dxa"/>
            <w:shd w:val="clear" w:color="auto" w:fill="auto"/>
            <w:noWrap/>
            <w:vAlign w:val="center"/>
          </w:tcPr>
          <w:p w:rsidR="00F420CB" w:rsidRPr="0085365C" w:rsidRDefault="00F420CB" w:rsidP="00871D79">
            <w:pPr>
              <w:jc w:val="left"/>
              <w:rPr>
                <w:rFonts w:ascii="Calibri" w:hAnsi="Calibri"/>
                <w:sz w:val="18"/>
                <w:szCs w:val="18"/>
              </w:rPr>
            </w:pPr>
            <w:r w:rsidRPr="0085365C">
              <w:rPr>
                <w:rFonts w:ascii="Calibri" w:hAnsi="Calibri"/>
                <w:sz w:val="18"/>
                <w:szCs w:val="18"/>
              </w:rPr>
              <w:t>703-Sedanja vrednost nepremičnin</w:t>
            </w:r>
          </w:p>
        </w:tc>
        <w:tc>
          <w:tcPr>
            <w:tcW w:w="1519" w:type="dxa"/>
            <w:vAlign w:val="bottom"/>
          </w:tcPr>
          <w:p w:rsidR="00F420CB" w:rsidRPr="00382B0F" w:rsidRDefault="00F420CB" w:rsidP="00F83FBB">
            <w:pPr>
              <w:jc w:val="right"/>
              <w:rPr>
                <w:rFonts w:ascii="Calibri" w:hAnsi="Calibri"/>
                <w:sz w:val="18"/>
                <w:szCs w:val="18"/>
              </w:rPr>
            </w:pPr>
            <w:r w:rsidRPr="00972554">
              <w:rPr>
                <w:rFonts w:ascii="Calibri" w:hAnsi="Calibri"/>
                <w:sz w:val="18"/>
                <w:szCs w:val="18"/>
              </w:rPr>
              <w:t xml:space="preserve">8.715.643.840 </w:t>
            </w:r>
          </w:p>
        </w:tc>
        <w:tc>
          <w:tcPr>
            <w:tcW w:w="1517" w:type="dxa"/>
            <w:shd w:val="clear" w:color="auto" w:fill="auto"/>
            <w:noWrap/>
            <w:vAlign w:val="bottom"/>
          </w:tcPr>
          <w:p w:rsidR="00F420CB" w:rsidRPr="0085365C" w:rsidRDefault="00F420CB" w:rsidP="00871D79">
            <w:pPr>
              <w:jc w:val="right"/>
              <w:rPr>
                <w:rFonts w:ascii="Calibri" w:hAnsi="Calibri"/>
                <w:sz w:val="18"/>
                <w:szCs w:val="18"/>
              </w:rPr>
            </w:pPr>
            <w:r w:rsidRPr="000F6B5B">
              <w:rPr>
                <w:rFonts w:ascii="Calibri" w:hAnsi="Calibri" w:cs="Calibri"/>
                <w:color w:val="000000"/>
                <w:sz w:val="18"/>
                <w:szCs w:val="18"/>
                <w:lang w:val="sl-SI" w:eastAsia="sl-SI"/>
              </w:rPr>
              <w:t xml:space="preserve">9.064.576.149 </w:t>
            </w:r>
          </w:p>
        </w:tc>
        <w:tc>
          <w:tcPr>
            <w:tcW w:w="1146" w:type="dxa"/>
            <w:shd w:val="clear" w:color="auto" w:fill="auto"/>
            <w:noWrap/>
            <w:vAlign w:val="bottom"/>
          </w:tcPr>
          <w:p w:rsidR="00F420CB" w:rsidRPr="00382B0F" w:rsidRDefault="00F420CB" w:rsidP="00F83FBB">
            <w:pPr>
              <w:jc w:val="right"/>
              <w:rPr>
                <w:rFonts w:ascii="Calibri" w:hAnsi="Calibri"/>
                <w:sz w:val="18"/>
                <w:szCs w:val="18"/>
              </w:rPr>
            </w:pPr>
            <w:r w:rsidRPr="00972554">
              <w:rPr>
                <w:rFonts w:ascii="Calibri" w:hAnsi="Calibri"/>
                <w:sz w:val="18"/>
                <w:szCs w:val="18"/>
              </w:rPr>
              <w:t>96,15</w:t>
            </w:r>
          </w:p>
        </w:tc>
        <w:tc>
          <w:tcPr>
            <w:tcW w:w="2055" w:type="dxa"/>
            <w:shd w:val="clear" w:color="auto" w:fill="auto"/>
            <w:noWrap/>
            <w:vAlign w:val="bottom"/>
          </w:tcPr>
          <w:p w:rsidR="00F420CB" w:rsidRPr="00382B0F" w:rsidRDefault="00F420CB" w:rsidP="00382B0F">
            <w:pPr>
              <w:jc w:val="right"/>
              <w:rPr>
                <w:rFonts w:ascii="Calibri" w:hAnsi="Calibri"/>
                <w:sz w:val="18"/>
                <w:szCs w:val="18"/>
              </w:rPr>
            </w:pPr>
            <w:r w:rsidRPr="00972554">
              <w:rPr>
                <w:rFonts w:ascii="Calibri" w:hAnsi="Calibri"/>
                <w:sz w:val="18"/>
                <w:szCs w:val="18"/>
              </w:rPr>
              <w:t xml:space="preserve">-348.932.309 </w:t>
            </w:r>
          </w:p>
        </w:tc>
      </w:tr>
      <w:tr w:rsidR="00F420CB" w:rsidRPr="004D7A53" w:rsidTr="00972554">
        <w:trPr>
          <w:trHeight w:val="300"/>
        </w:trPr>
        <w:tc>
          <w:tcPr>
            <w:tcW w:w="3189" w:type="dxa"/>
            <w:shd w:val="clear" w:color="auto" w:fill="auto"/>
            <w:noWrap/>
          </w:tcPr>
          <w:p w:rsidR="00F420CB" w:rsidRPr="0085365C" w:rsidRDefault="00F420CB" w:rsidP="00871D79">
            <w:pPr>
              <w:jc w:val="left"/>
              <w:rPr>
                <w:rFonts w:ascii="Calibri" w:hAnsi="Calibri"/>
                <w:sz w:val="18"/>
                <w:szCs w:val="18"/>
              </w:rPr>
            </w:pPr>
            <w:r w:rsidRPr="0085365C">
              <w:rPr>
                <w:rFonts w:ascii="Calibri" w:hAnsi="Calibri"/>
                <w:sz w:val="18"/>
                <w:szCs w:val="18"/>
              </w:rPr>
              <w:t>704-Nabavna vrednost nepremičnin</w:t>
            </w:r>
          </w:p>
        </w:tc>
        <w:tc>
          <w:tcPr>
            <w:tcW w:w="1519" w:type="dxa"/>
            <w:vAlign w:val="bottom"/>
          </w:tcPr>
          <w:p w:rsidR="00F420CB" w:rsidRPr="00382B0F" w:rsidRDefault="00F420CB" w:rsidP="00F83FBB">
            <w:pPr>
              <w:jc w:val="right"/>
              <w:rPr>
                <w:rFonts w:ascii="Calibri" w:hAnsi="Calibri"/>
                <w:sz w:val="18"/>
                <w:szCs w:val="18"/>
              </w:rPr>
            </w:pPr>
            <w:r w:rsidRPr="00972554">
              <w:rPr>
                <w:rFonts w:ascii="Calibri" w:hAnsi="Calibri"/>
                <w:sz w:val="18"/>
                <w:szCs w:val="18"/>
              </w:rPr>
              <w:t xml:space="preserve">14.427.362.712 </w:t>
            </w:r>
          </w:p>
        </w:tc>
        <w:tc>
          <w:tcPr>
            <w:tcW w:w="1517" w:type="dxa"/>
            <w:shd w:val="clear" w:color="auto" w:fill="auto"/>
            <w:noWrap/>
            <w:vAlign w:val="bottom"/>
          </w:tcPr>
          <w:p w:rsidR="00F420CB" w:rsidRPr="0085365C" w:rsidRDefault="00F420CB" w:rsidP="00871D79">
            <w:pPr>
              <w:jc w:val="right"/>
              <w:rPr>
                <w:rFonts w:ascii="Calibri" w:hAnsi="Calibri"/>
                <w:sz w:val="18"/>
                <w:szCs w:val="18"/>
              </w:rPr>
            </w:pPr>
            <w:r w:rsidRPr="000F6B5B">
              <w:rPr>
                <w:rFonts w:ascii="Calibri" w:hAnsi="Calibri" w:cs="Calibri"/>
                <w:color w:val="000000"/>
                <w:sz w:val="18"/>
                <w:szCs w:val="18"/>
                <w:lang w:val="sl-SI" w:eastAsia="sl-SI"/>
              </w:rPr>
              <w:t xml:space="preserve">14.508.493.256 </w:t>
            </w:r>
          </w:p>
        </w:tc>
        <w:tc>
          <w:tcPr>
            <w:tcW w:w="1146" w:type="dxa"/>
            <w:shd w:val="clear" w:color="auto" w:fill="auto"/>
            <w:noWrap/>
            <w:vAlign w:val="bottom"/>
          </w:tcPr>
          <w:p w:rsidR="00F420CB" w:rsidRPr="00382B0F" w:rsidRDefault="00F420CB" w:rsidP="00F83FBB">
            <w:pPr>
              <w:jc w:val="right"/>
              <w:rPr>
                <w:rFonts w:ascii="Calibri" w:hAnsi="Calibri"/>
                <w:sz w:val="18"/>
                <w:szCs w:val="18"/>
              </w:rPr>
            </w:pPr>
            <w:r w:rsidRPr="00972554">
              <w:rPr>
                <w:rFonts w:ascii="Calibri" w:hAnsi="Calibri"/>
                <w:sz w:val="18"/>
                <w:szCs w:val="18"/>
              </w:rPr>
              <w:t>99,44</w:t>
            </w:r>
          </w:p>
        </w:tc>
        <w:tc>
          <w:tcPr>
            <w:tcW w:w="2055" w:type="dxa"/>
            <w:shd w:val="clear" w:color="auto" w:fill="auto"/>
            <w:noWrap/>
            <w:vAlign w:val="bottom"/>
          </w:tcPr>
          <w:p w:rsidR="00F420CB" w:rsidRPr="00382B0F" w:rsidRDefault="00F420CB" w:rsidP="00382B0F">
            <w:pPr>
              <w:jc w:val="right"/>
              <w:rPr>
                <w:rFonts w:ascii="Calibri" w:hAnsi="Calibri"/>
                <w:sz w:val="18"/>
                <w:szCs w:val="18"/>
              </w:rPr>
            </w:pPr>
            <w:r w:rsidRPr="00972554">
              <w:rPr>
                <w:rFonts w:ascii="Calibri" w:hAnsi="Calibri"/>
                <w:sz w:val="18"/>
                <w:szCs w:val="18"/>
              </w:rPr>
              <w:t xml:space="preserve">-81.130.544 </w:t>
            </w:r>
          </w:p>
        </w:tc>
      </w:tr>
      <w:tr w:rsidR="00F420CB" w:rsidRPr="004D7A53" w:rsidTr="00972554">
        <w:trPr>
          <w:trHeight w:val="300"/>
        </w:trPr>
        <w:tc>
          <w:tcPr>
            <w:tcW w:w="3189" w:type="dxa"/>
            <w:shd w:val="clear" w:color="auto" w:fill="auto"/>
            <w:noWrap/>
          </w:tcPr>
          <w:p w:rsidR="00F420CB" w:rsidRPr="0085365C" w:rsidRDefault="00F420CB" w:rsidP="00871D79">
            <w:pPr>
              <w:jc w:val="left"/>
              <w:rPr>
                <w:rFonts w:ascii="Calibri" w:hAnsi="Calibri"/>
                <w:sz w:val="18"/>
                <w:szCs w:val="18"/>
              </w:rPr>
            </w:pPr>
            <w:r w:rsidRPr="0085365C">
              <w:rPr>
                <w:rFonts w:ascii="Calibri" w:hAnsi="Calibri"/>
                <w:sz w:val="18"/>
                <w:szCs w:val="18"/>
              </w:rPr>
              <w:t>705-Popravek vrednosti nepremičnin</w:t>
            </w:r>
          </w:p>
        </w:tc>
        <w:tc>
          <w:tcPr>
            <w:tcW w:w="1519" w:type="dxa"/>
            <w:vAlign w:val="bottom"/>
          </w:tcPr>
          <w:p w:rsidR="00F420CB" w:rsidRPr="00382B0F" w:rsidRDefault="00F420CB" w:rsidP="00F83FBB">
            <w:pPr>
              <w:jc w:val="right"/>
              <w:rPr>
                <w:rFonts w:ascii="Calibri" w:hAnsi="Calibri"/>
                <w:sz w:val="18"/>
                <w:szCs w:val="18"/>
              </w:rPr>
            </w:pPr>
            <w:r w:rsidRPr="00972554">
              <w:rPr>
                <w:rFonts w:ascii="Calibri" w:hAnsi="Calibri"/>
                <w:sz w:val="18"/>
                <w:szCs w:val="18"/>
              </w:rPr>
              <w:t xml:space="preserve">5.711.718.872 </w:t>
            </w:r>
          </w:p>
        </w:tc>
        <w:tc>
          <w:tcPr>
            <w:tcW w:w="1517" w:type="dxa"/>
            <w:shd w:val="clear" w:color="auto" w:fill="auto"/>
            <w:noWrap/>
            <w:vAlign w:val="bottom"/>
          </w:tcPr>
          <w:p w:rsidR="00F420CB" w:rsidRPr="0085365C" w:rsidRDefault="00F420CB" w:rsidP="00871D79">
            <w:pPr>
              <w:jc w:val="right"/>
              <w:rPr>
                <w:rFonts w:ascii="Calibri" w:hAnsi="Calibri"/>
                <w:sz w:val="18"/>
                <w:szCs w:val="18"/>
              </w:rPr>
            </w:pPr>
            <w:r w:rsidRPr="000F6B5B">
              <w:rPr>
                <w:rFonts w:ascii="Calibri" w:hAnsi="Calibri" w:cs="Calibri"/>
                <w:color w:val="000000"/>
                <w:sz w:val="18"/>
                <w:szCs w:val="18"/>
                <w:lang w:val="sl-SI" w:eastAsia="sl-SI"/>
              </w:rPr>
              <w:t xml:space="preserve">5.443.917.107 </w:t>
            </w:r>
          </w:p>
        </w:tc>
        <w:tc>
          <w:tcPr>
            <w:tcW w:w="1146" w:type="dxa"/>
            <w:shd w:val="clear" w:color="auto" w:fill="auto"/>
            <w:noWrap/>
            <w:vAlign w:val="bottom"/>
          </w:tcPr>
          <w:p w:rsidR="00F420CB" w:rsidRPr="00382B0F" w:rsidRDefault="00F420CB" w:rsidP="00F83FBB">
            <w:pPr>
              <w:jc w:val="right"/>
              <w:rPr>
                <w:rFonts w:ascii="Calibri" w:hAnsi="Calibri"/>
                <w:sz w:val="18"/>
                <w:szCs w:val="18"/>
              </w:rPr>
            </w:pPr>
            <w:r w:rsidRPr="00972554">
              <w:rPr>
                <w:rFonts w:ascii="Calibri" w:hAnsi="Calibri"/>
                <w:sz w:val="18"/>
                <w:szCs w:val="18"/>
              </w:rPr>
              <w:t>104,92</w:t>
            </w:r>
          </w:p>
        </w:tc>
        <w:tc>
          <w:tcPr>
            <w:tcW w:w="2055" w:type="dxa"/>
            <w:shd w:val="clear" w:color="auto" w:fill="auto"/>
            <w:noWrap/>
            <w:vAlign w:val="bottom"/>
          </w:tcPr>
          <w:p w:rsidR="00F420CB" w:rsidRPr="00382B0F" w:rsidRDefault="00F420CB" w:rsidP="00382B0F">
            <w:pPr>
              <w:jc w:val="right"/>
              <w:rPr>
                <w:rFonts w:ascii="Calibri" w:hAnsi="Calibri"/>
                <w:sz w:val="18"/>
                <w:szCs w:val="18"/>
              </w:rPr>
            </w:pPr>
            <w:r w:rsidRPr="00972554">
              <w:rPr>
                <w:rFonts w:ascii="Calibri" w:hAnsi="Calibri"/>
                <w:sz w:val="18"/>
                <w:szCs w:val="18"/>
              </w:rPr>
              <w:t xml:space="preserve">267.801.765 </w:t>
            </w:r>
          </w:p>
        </w:tc>
      </w:tr>
      <w:tr w:rsidR="00F420CB" w:rsidRPr="004D7A53" w:rsidTr="00972554">
        <w:trPr>
          <w:trHeight w:val="300"/>
        </w:trPr>
        <w:tc>
          <w:tcPr>
            <w:tcW w:w="3189" w:type="dxa"/>
            <w:shd w:val="clear" w:color="auto" w:fill="auto"/>
            <w:noWrap/>
          </w:tcPr>
          <w:p w:rsidR="00F420CB" w:rsidRPr="0085365C" w:rsidRDefault="00F420CB" w:rsidP="00871D79">
            <w:pPr>
              <w:jc w:val="left"/>
              <w:rPr>
                <w:rFonts w:ascii="Calibri" w:hAnsi="Calibri"/>
                <w:sz w:val="18"/>
                <w:szCs w:val="18"/>
              </w:rPr>
            </w:pPr>
            <w:r w:rsidRPr="0085365C">
              <w:rPr>
                <w:rFonts w:ascii="Calibri" w:hAnsi="Calibri"/>
                <w:sz w:val="18"/>
                <w:szCs w:val="18"/>
              </w:rPr>
              <w:t>706-Sedanja vrednost opreme in drugih opredmetenih osnovnih sredstev</w:t>
            </w:r>
          </w:p>
        </w:tc>
        <w:tc>
          <w:tcPr>
            <w:tcW w:w="1519" w:type="dxa"/>
            <w:vAlign w:val="bottom"/>
          </w:tcPr>
          <w:p w:rsidR="00F420CB" w:rsidRPr="00382B0F" w:rsidRDefault="00F420CB" w:rsidP="00F83FBB">
            <w:pPr>
              <w:jc w:val="right"/>
              <w:rPr>
                <w:rFonts w:ascii="Calibri" w:hAnsi="Calibri"/>
                <w:sz w:val="18"/>
                <w:szCs w:val="18"/>
              </w:rPr>
            </w:pPr>
            <w:r w:rsidRPr="00972554">
              <w:rPr>
                <w:rFonts w:ascii="Calibri" w:hAnsi="Calibri"/>
                <w:sz w:val="18"/>
                <w:szCs w:val="18"/>
              </w:rPr>
              <w:t xml:space="preserve">1.568.351.954 </w:t>
            </w:r>
          </w:p>
        </w:tc>
        <w:tc>
          <w:tcPr>
            <w:tcW w:w="1517" w:type="dxa"/>
            <w:shd w:val="clear" w:color="auto" w:fill="auto"/>
            <w:noWrap/>
            <w:vAlign w:val="bottom"/>
          </w:tcPr>
          <w:p w:rsidR="00F420CB" w:rsidRPr="0085365C" w:rsidRDefault="00F420CB" w:rsidP="00871D79">
            <w:pPr>
              <w:jc w:val="right"/>
              <w:rPr>
                <w:rFonts w:ascii="Calibri" w:hAnsi="Calibri"/>
                <w:sz w:val="18"/>
                <w:szCs w:val="18"/>
              </w:rPr>
            </w:pPr>
            <w:r w:rsidRPr="000F6B5B">
              <w:rPr>
                <w:rFonts w:ascii="Calibri" w:hAnsi="Calibri" w:cs="Calibri"/>
                <w:color w:val="000000"/>
                <w:sz w:val="18"/>
                <w:szCs w:val="18"/>
                <w:lang w:val="sl-SI" w:eastAsia="sl-SI"/>
              </w:rPr>
              <w:t xml:space="preserve">1.080.412.057 </w:t>
            </w:r>
          </w:p>
        </w:tc>
        <w:tc>
          <w:tcPr>
            <w:tcW w:w="1146" w:type="dxa"/>
            <w:shd w:val="clear" w:color="auto" w:fill="auto"/>
            <w:noWrap/>
            <w:vAlign w:val="bottom"/>
          </w:tcPr>
          <w:p w:rsidR="00F420CB" w:rsidRPr="00382B0F" w:rsidRDefault="00F420CB" w:rsidP="00F83FBB">
            <w:pPr>
              <w:jc w:val="right"/>
              <w:rPr>
                <w:rFonts w:ascii="Calibri" w:hAnsi="Calibri"/>
                <w:sz w:val="18"/>
                <w:szCs w:val="18"/>
              </w:rPr>
            </w:pPr>
            <w:r w:rsidRPr="00972554">
              <w:rPr>
                <w:rFonts w:ascii="Calibri" w:hAnsi="Calibri"/>
                <w:sz w:val="18"/>
                <w:szCs w:val="18"/>
              </w:rPr>
              <w:t>145,16</w:t>
            </w:r>
          </w:p>
        </w:tc>
        <w:tc>
          <w:tcPr>
            <w:tcW w:w="2055" w:type="dxa"/>
            <w:shd w:val="clear" w:color="auto" w:fill="auto"/>
            <w:noWrap/>
            <w:vAlign w:val="bottom"/>
          </w:tcPr>
          <w:p w:rsidR="00F420CB" w:rsidRPr="00382B0F" w:rsidRDefault="00F420CB" w:rsidP="00382B0F">
            <w:pPr>
              <w:jc w:val="right"/>
              <w:rPr>
                <w:rFonts w:ascii="Calibri" w:hAnsi="Calibri"/>
                <w:sz w:val="18"/>
                <w:szCs w:val="18"/>
              </w:rPr>
            </w:pPr>
            <w:r w:rsidRPr="00972554">
              <w:rPr>
                <w:rFonts w:ascii="Calibri" w:hAnsi="Calibri"/>
                <w:sz w:val="18"/>
                <w:szCs w:val="18"/>
              </w:rPr>
              <w:t xml:space="preserve">487.939.897 </w:t>
            </w:r>
          </w:p>
        </w:tc>
      </w:tr>
      <w:tr w:rsidR="00F420CB" w:rsidRPr="004D7A53" w:rsidTr="00972554">
        <w:trPr>
          <w:trHeight w:val="300"/>
        </w:trPr>
        <w:tc>
          <w:tcPr>
            <w:tcW w:w="3189" w:type="dxa"/>
            <w:shd w:val="clear" w:color="auto" w:fill="auto"/>
            <w:noWrap/>
          </w:tcPr>
          <w:p w:rsidR="00F420CB" w:rsidRPr="0085365C" w:rsidRDefault="00F420CB" w:rsidP="00871D79">
            <w:pPr>
              <w:jc w:val="left"/>
              <w:rPr>
                <w:rFonts w:ascii="Calibri" w:hAnsi="Calibri"/>
                <w:sz w:val="18"/>
                <w:szCs w:val="18"/>
              </w:rPr>
            </w:pPr>
            <w:r w:rsidRPr="0085365C">
              <w:rPr>
                <w:rFonts w:ascii="Calibri" w:hAnsi="Calibri"/>
                <w:sz w:val="18"/>
                <w:szCs w:val="18"/>
              </w:rPr>
              <w:t>707-Nabavna vrednost opreme in drugih opredmetenih osnovnih sredstev</w:t>
            </w:r>
          </w:p>
        </w:tc>
        <w:tc>
          <w:tcPr>
            <w:tcW w:w="1519" w:type="dxa"/>
            <w:vAlign w:val="bottom"/>
          </w:tcPr>
          <w:p w:rsidR="00F420CB" w:rsidRPr="00382B0F" w:rsidRDefault="00F420CB" w:rsidP="00F83FBB">
            <w:pPr>
              <w:jc w:val="right"/>
              <w:rPr>
                <w:rFonts w:ascii="Calibri" w:hAnsi="Calibri"/>
                <w:sz w:val="18"/>
                <w:szCs w:val="18"/>
              </w:rPr>
            </w:pPr>
            <w:r w:rsidRPr="00972554">
              <w:rPr>
                <w:rFonts w:ascii="Calibri" w:hAnsi="Calibri"/>
                <w:sz w:val="18"/>
                <w:szCs w:val="18"/>
              </w:rPr>
              <w:t xml:space="preserve">5.216.735.695 </w:t>
            </w:r>
          </w:p>
        </w:tc>
        <w:tc>
          <w:tcPr>
            <w:tcW w:w="1517" w:type="dxa"/>
            <w:shd w:val="clear" w:color="auto" w:fill="auto"/>
            <w:noWrap/>
            <w:vAlign w:val="bottom"/>
          </w:tcPr>
          <w:p w:rsidR="00F420CB" w:rsidRPr="0085365C" w:rsidRDefault="00F420CB" w:rsidP="00871D79">
            <w:pPr>
              <w:jc w:val="right"/>
              <w:rPr>
                <w:rFonts w:ascii="Calibri" w:hAnsi="Calibri"/>
                <w:sz w:val="18"/>
                <w:szCs w:val="18"/>
              </w:rPr>
            </w:pPr>
            <w:r w:rsidRPr="000F6B5B">
              <w:rPr>
                <w:rFonts w:ascii="Calibri" w:hAnsi="Calibri" w:cs="Calibri"/>
                <w:color w:val="000000"/>
                <w:sz w:val="18"/>
                <w:szCs w:val="18"/>
                <w:lang w:val="sl-SI" w:eastAsia="sl-SI"/>
              </w:rPr>
              <w:t xml:space="preserve">4.580.926.343 </w:t>
            </w:r>
          </w:p>
        </w:tc>
        <w:tc>
          <w:tcPr>
            <w:tcW w:w="1146" w:type="dxa"/>
            <w:shd w:val="clear" w:color="auto" w:fill="auto"/>
            <w:noWrap/>
            <w:vAlign w:val="bottom"/>
          </w:tcPr>
          <w:p w:rsidR="00F420CB" w:rsidRPr="00382B0F" w:rsidRDefault="00F420CB" w:rsidP="00F83FBB">
            <w:pPr>
              <w:jc w:val="right"/>
              <w:rPr>
                <w:rFonts w:ascii="Calibri" w:hAnsi="Calibri"/>
                <w:sz w:val="18"/>
                <w:szCs w:val="18"/>
              </w:rPr>
            </w:pPr>
            <w:r w:rsidRPr="00972554">
              <w:rPr>
                <w:rFonts w:ascii="Calibri" w:hAnsi="Calibri"/>
                <w:sz w:val="18"/>
                <w:szCs w:val="18"/>
              </w:rPr>
              <w:t>113,88</w:t>
            </w:r>
          </w:p>
        </w:tc>
        <w:tc>
          <w:tcPr>
            <w:tcW w:w="2055" w:type="dxa"/>
            <w:shd w:val="clear" w:color="auto" w:fill="auto"/>
            <w:noWrap/>
            <w:vAlign w:val="bottom"/>
          </w:tcPr>
          <w:p w:rsidR="00F420CB" w:rsidRPr="00382B0F" w:rsidRDefault="00F420CB" w:rsidP="00382B0F">
            <w:pPr>
              <w:jc w:val="right"/>
              <w:rPr>
                <w:rFonts w:ascii="Calibri" w:hAnsi="Calibri"/>
                <w:sz w:val="18"/>
                <w:szCs w:val="18"/>
              </w:rPr>
            </w:pPr>
            <w:r w:rsidRPr="00972554">
              <w:rPr>
                <w:rFonts w:ascii="Calibri" w:hAnsi="Calibri"/>
                <w:sz w:val="18"/>
                <w:szCs w:val="18"/>
              </w:rPr>
              <w:t xml:space="preserve">635.809.352 </w:t>
            </w:r>
          </w:p>
        </w:tc>
      </w:tr>
      <w:tr w:rsidR="00F420CB" w:rsidRPr="004D7A53" w:rsidTr="00972554">
        <w:trPr>
          <w:trHeight w:val="300"/>
        </w:trPr>
        <w:tc>
          <w:tcPr>
            <w:tcW w:w="3189" w:type="dxa"/>
            <w:shd w:val="clear" w:color="auto" w:fill="auto"/>
            <w:noWrap/>
          </w:tcPr>
          <w:p w:rsidR="00F420CB" w:rsidRPr="0085365C" w:rsidRDefault="00F420CB" w:rsidP="00871D79">
            <w:pPr>
              <w:jc w:val="left"/>
              <w:rPr>
                <w:rFonts w:ascii="Calibri" w:hAnsi="Calibri"/>
                <w:sz w:val="18"/>
                <w:szCs w:val="18"/>
              </w:rPr>
            </w:pPr>
            <w:r w:rsidRPr="0085365C">
              <w:rPr>
                <w:rFonts w:ascii="Calibri" w:hAnsi="Calibri"/>
                <w:sz w:val="18"/>
                <w:szCs w:val="18"/>
              </w:rPr>
              <w:t>708-Popravek vrednosti opreme in drugih opredmetenih osnovnih sredstev</w:t>
            </w:r>
          </w:p>
        </w:tc>
        <w:tc>
          <w:tcPr>
            <w:tcW w:w="1519" w:type="dxa"/>
            <w:vAlign w:val="bottom"/>
          </w:tcPr>
          <w:p w:rsidR="00F420CB" w:rsidRPr="00382B0F" w:rsidRDefault="00F420CB" w:rsidP="00F83FBB">
            <w:pPr>
              <w:jc w:val="right"/>
              <w:rPr>
                <w:rFonts w:ascii="Calibri" w:hAnsi="Calibri"/>
                <w:sz w:val="18"/>
                <w:szCs w:val="18"/>
              </w:rPr>
            </w:pPr>
            <w:r w:rsidRPr="00972554">
              <w:rPr>
                <w:rFonts w:ascii="Calibri" w:hAnsi="Calibri"/>
                <w:sz w:val="18"/>
                <w:szCs w:val="18"/>
              </w:rPr>
              <w:t xml:space="preserve">3.648.383.741 </w:t>
            </w:r>
          </w:p>
        </w:tc>
        <w:tc>
          <w:tcPr>
            <w:tcW w:w="1517" w:type="dxa"/>
            <w:shd w:val="clear" w:color="auto" w:fill="auto"/>
            <w:noWrap/>
            <w:vAlign w:val="bottom"/>
          </w:tcPr>
          <w:p w:rsidR="00F420CB" w:rsidRPr="0085365C" w:rsidRDefault="00F420CB" w:rsidP="00871D79">
            <w:pPr>
              <w:jc w:val="right"/>
              <w:rPr>
                <w:rFonts w:ascii="Calibri" w:hAnsi="Calibri"/>
                <w:sz w:val="18"/>
                <w:szCs w:val="18"/>
              </w:rPr>
            </w:pPr>
            <w:r w:rsidRPr="000F6B5B">
              <w:rPr>
                <w:rFonts w:ascii="Calibri" w:hAnsi="Calibri" w:cs="Calibri"/>
                <w:color w:val="000000"/>
                <w:sz w:val="18"/>
                <w:szCs w:val="18"/>
                <w:lang w:val="sl-SI" w:eastAsia="sl-SI"/>
              </w:rPr>
              <w:t xml:space="preserve">3.500.514.286 </w:t>
            </w:r>
          </w:p>
        </w:tc>
        <w:tc>
          <w:tcPr>
            <w:tcW w:w="1146" w:type="dxa"/>
            <w:shd w:val="clear" w:color="auto" w:fill="auto"/>
            <w:noWrap/>
            <w:vAlign w:val="bottom"/>
          </w:tcPr>
          <w:p w:rsidR="00F420CB" w:rsidRPr="00382B0F" w:rsidRDefault="00F420CB" w:rsidP="00F83FBB">
            <w:pPr>
              <w:jc w:val="right"/>
              <w:rPr>
                <w:rFonts w:ascii="Calibri" w:hAnsi="Calibri"/>
                <w:sz w:val="18"/>
                <w:szCs w:val="18"/>
              </w:rPr>
            </w:pPr>
            <w:r w:rsidRPr="00972554">
              <w:rPr>
                <w:rFonts w:ascii="Calibri" w:hAnsi="Calibri"/>
                <w:sz w:val="18"/>
                <w:szCs w:val="18"/>
              </w:rPr>
              <w:t>104,22</w:t>
            </w:r>
          </w:p>
        </w:tc>
        <w:tc>
          <w:tcPr>
            <w:tcW w:w="2055" w:type="dxa"/>
            <w:shd w:val="clear" w:color="auto" w:fill="auto"/>
            <w:noWrap/>
            <w:vAlign w:val="bottom"/>
          </w:tcPr>
          <w:p w:rsidR="00F420CB" w:rsidRPr="00382B0F" w:rsidRDefault="00F420CB" w:rsidP="00382B0F">
            <w:pPr>
              <w:jc w:val="right"/>
              <w:rPr>
                <w:rFonts w:ascii="Calibri" w:hAnsi="Calibri"/>
                <w:sz w:val="18"/>
                <w:szCs w:val="18"/>
              </w:rPr>
            </w:pPr>
            <w:r w:rsidRPr="00972554">
              <w:rPr>
                <w:rFonts w:ascii="Calibri" w:hAnsi="Calibri"/>
                <w:sz w:val="18"/>
                <w:szCs w:val="18"/>
              </w:rPr>
              <w:t xml:space="preserve">147.869.455 </w:t>
            </w:r>
          </w:p>
        </w:tc>
      </w:tr>
      <w:tr w:rsidR="00F420CB" w:rsidRPr="004D7A53" w:rsidTr="00972554">
        <w:trPr>
          <w:trHeight w:val="300"/>
        </w:trPr>
        <w:tc>
          <w:tcPr>
            <w:tcW w:w="3189" w:type="dxa"/>
            <w:shd w:val="clear" w:color="auto" w:fill="auto"/>
            <w:noWrap/>
          </w:tcPr>
          <w:p w:rsidR="00F420CB" w:rsidRPr="0085365C" w:rsidRDefault="00F420CB" w:rsidP="00871D79">
            <w:pPr>
              <w:jc w:val="left"/>
              <w:rPr>
                <w:rFonts w:ascii="Calibri" w:hAnsi="Calibri"/>
                <w:sz w:val="18"/>
                <w:szCs w:val="18"/>
              </w:rPr>
            </w:pPr>
            <w:r w:rsidRPr="0085365C">
              <w:rPr>
                <w:rFonts w:ascii="Calibri" w:hAnsi="Calibri"/>
                <w:sz w:val="18"/>
                <w:szCs w:val="18"/>
              </w:rPr>
              <w:t>709-Terjatve za sredstva dana v upravljanje</w:t>
            </w:r>
          </w:p>
        </w:tc>
        <w:tc>
          <w:tcPr>
            <w:tcW w:w="1519" w:type="dxa"/>
            <w:vAlign w:val="bottom"/>
          </w:tcPr>
          <w:p w:rsidR="00F420CB" w:rsidRPr="00382B0F" w:rsidRDefault="00F420CB" w:rsidP="00F83FBB">
            <w:pPr>
              <w:jc w:val="right"/>
              <w:rPr>
                <w:rFonts w:ascii="Calibri" w:hAnsi="Calibri"/>
                <w:sz w:val="18"/>
                <w:szCs w:val="18"/>
              </w:rPr>
            </w:pPr>
            <w:r w:rsidRPr="00972554">
              <w:rPr>
                <w:rFonts w:ascii="Calibri" w:hAnsi="Calibri"/>
                <w:sz w:val="18"/>
                <w:szCs w:val="18"/>
              </w:rPr>
              <w:t xml:space="preserve">689.130 </w:t>
            </w:r>
          </w:p>
        </w:tc>
        <w:tc>
          <w:tcPr>
            <w:tcW w:w="1517" w:type="dxa"/>
            <w:shd w:val="clear" w:color="auto" w:fill="auto"/>
            <w:noWrap/>
            <w:vAlign w:val="bottom"/>
          </w:tcPr>
          <w:p w:rsidR="00F420CB" w:rsidRPr="0085365C" w:rsidRDefault="00F420CB" w:rsidP="00871D79">
            <w:pPr>
              <w:jc w:val="right"/>
              <w:rPr>
                <w:rFonts w:ascii="Calibri" w:hAnsi="Calibri"/>
                <w:sz w:val="18"/>
                <w:szCs w:val="18"/>
              </w:rPr>
            </w:pPr>
            <w:r w:rsidRPr="000F6B5B">
              <w:rPr>
                <w:rFonts w:ascii="Calibri" w:hAnsi="Calibri" w:cs="Calibri"/>
                <w:color w:val="000000"/>
                <w:sz w:val="18"/>
                <w:szCs w:val="18"/>
                <w:lang w:val="sl-SI" w:eastAsia="sl-SI"/>
              </w:rPr>
              <w:t xml:space="preserve">646.661 </w:t>
            </w:r>
          </w:p>
        </w:tc>
        <w:tc>
          <w:tcPr>
            <w:tcW w:w="1146" w:type="dxa"/>
            <w:shd w:val="clear" w:color="auto" w:fill="auto"/>
            <w:noWrap/>
            <w:vAlign w:val="bottom"/>
          </w:tcPr>
          <w:p w:rsidR="00F420CB" w:rsidRPr="00382B0F" w:rsidRDefault="00F420CB" w:rsidP="00F83FBB">
            <w:pPr>
              <w:jc w:val="right"/>
              <w:rPr>
                <w:rFonts w:ascii="Calibri" w:hAnsi="Calibri"/>
                <w:sz w:val="18"/>
                <w:szCs w:val="18"/>
              </w:rPr>
            </w:pPr>
            <w:r w:rsidRPr="00972554">
              <w:rPr>
                <w:rFonts w:ascii="Calibri" w:hAnsi="Calibri"/>
                <w:sz w:val="18"/>
                <w:szCs w:val="18"/>
              </w:rPr>
              <w:t>106,57</w:t>
            </w:r>
          </w:p>
        </w:tc>
        <w:tc>
          <w:tcPr>
            <w:tcW w:w="2055" w:type="dxa"/>
            <w:shd w:val="clear" w:color="auto" w:fill="auto"/>
            <w:noWrap/>
            <w:vAlign w:val="bottom"/>
          </w:tcPr>
          <w:p w:rsidR="00F420CB" w:rsidRPr="00382B0F" w:rsidRDefault="00F420CB" w:rsidP="00382B0F">
            <w:pPr>
              <w:jc w:val="right"/>
              <w:rPr>
                <w:rFonts w:ascii="Calibri" w:hAnsi="Calibri"/>
                <w:sz w:val="18"/>
                <w:szCs w:val="18"/>
              </w:rPr>
            </w:pPr>
            <w:r w:rsidRPr="00972554">
              <w:rPr>
                <w:rFonts w:ascii="Calibri" w:hAnsi="Calibri"/>
                <w:sz w:val="18"/>
                <w:szCs w:val="18"/>
              </w:rPr>
              <w:t xml:space="preserve">42.469 </w:t>
            </w:r>
          </w:p>
        </w:tc>
      </w:tr>
      <w:tr w:rsidR="00F420CB" w:rsidRPr="004D7A53" w:rsidTr="00972554">
        <w:trPr>
          <w:trHeight w:val="300"/>
        </w:trPr>
        <w:tc>
          <w:tcPr>
            <w:tcW w:w="3189" w:type="dxa"/>
            <w:shd w:val="clear" w:color="auto" w:fill="auto"/>
            <w:noWrap/>
          </w:tcPr>
          <w:p w:rsidR="00F420CB" w:rsidRPr="0085365C" w:rsidRDefault="00F420CB" w:rsidP="00871D79">
            <w:pPr>
              <w:jc w:val="left"/>
              <w:rPr>
                <w:rFonts w:ascii="Calibri" w:hAnsi="Calibri"/>
                <w:sz w:val="18"/>
                <w:szCs w:val="18"/>
              </w:rPr>
            </w:pPr>
            <w:r w:rsidRPr="0085365C">
              <w:rPr>
                <w:rFonts w:ascii="Calibri" w:hAnsi="Calibri"/>
                <w:sz w:val="18"/>
                <w:szCs w:val="18"/>
              </w:rPr>
              <w:t>710-Terjatve za sredstva dana v upravljanje drugim v lasti države</w:t>
            </w:r>
          </w:p>
        </w:tc>
        <w:tc>
          <w:tcPr>
            <w:tcW w:w="1519" w:type="dxa"/>
            <w:vAlign w:val="bottom"/>
          </w:tcPr>
          <w:p w:rsidR="00F420CB" w:rsidRPr="00382B0F" w:rsidRDefault="00F420CB" w:rsidP="00F83FBB">
            <w:pPr>
              <w:jc w:val="right"/>
              <w:rPr>
                <w:rFonts w:ascii="Calibri" w:hAnsi="Calibri"/>
                <w:sz w:val="18"/>
                <w:szCs w:val="18"/>
              </w:rPr>
            </w:pPr>
            <w:r w:rsidRPr="00972554">
              <w:rPr>
                <w:rFonts w:ascii="Calibri" w:hAnsi="Calibri"/>
                <w:sz w:val="18"/>
                <w:szCs w:val="18"/>
              </w:rPr>
              <w:t xml:space="preserve">689.130 </w:t>
            </w:r>
          </w:p>
        </w:tc>
        <w:tc>
          <w:tcPr>
            <w:tcW w:w="1517" w:type="dxa"/>
            <w:shd w:val="clear" w:color="auto" w:fill="auto"/>
            <w:noWrap/>
            <w:vAlign w:val="bottom"/>
          </w:tcPr>
          <w:p w:rsidR="00F420CB" w:rsidRPr="0085365C" w:rsidRDefault="00F420CB" w:rsidP="00871D79">
            <w:pPr>
              <w:jc w:val="right"/>
              <w:rPr>
                <w:rFonts w:ascii="Calibri" w:hAnsi="Calibri"/>
                <w:sz w:val="18"/>
                <w:szCs w:val="18"/>
              </w:rPr>
            </w:pPr>
            <w:r w:rsidRPr="000F6B5B">
              <w:rPr>
                <w:rFonts w:ascii="Calibri" w:hAnsi="Calibri" w:cs="Calibri"/>
                <w:color w:val="000000"/>
                <w:sz w:val="18"/>
                <w:szCs w:val="18"/>
                <w:lang w:val="sl-SI" w:eastAsia="sl-SI"/>
              </w:rPr>
              <w:t xml:space="preserve">646.661 </w:t>
            </w:r>
          </w:p>
        </w:tc>
        <w:tc>
          <w:tcPr>
            <w:tcW w:w="1146" w:type="dxa"/>
            <w:shd w:val="clear" w:color="auto" w:fill="auto"/>
            <w:noWrap/>
            <w:vAlign w:val="bottom"/>
          </w:tcPr>
          <w:p w:rsidR="00F420CB" w:rsidRPr="00382B0F" w:rsidRDefault="00F420CB" w:rsidP="00F83FBB">
            <w:pPr>
              <w:jc w:val="right"/>
              <w:rPr>
                <w:rFonts w:ascii="Calibri" w:hAnsi="Calibri"/>
                <w:sz w:val="18"/>
                <w:szCs w:val="18"/>
              </w:rPr>
            </w:pPr>
            <w:r w:rsidRPr="00972554">
              <w:rPr>
                <w:rFonts w:ascii="Calibri" w:hAnsi="Calibri"/>
                <w:sz w:val="18"/>
                <w:szCs w:val="18"/>
              </w:rPr>
              <w:t>106,57</w:t>
            </w:r>
          </w:p>
        </w:tc>
        <w:tc>
          <w:tcPr>
            <w:tcW w:w="2055" w:type="dxa"/>
            <w:shd w:val="clear" w:color="auto" w:fill="auto"/>
            <w:noWrap/>
            <w:vAlign w:val="bottom"/>
          </w:tcPr>
          <w:p w:rsidR="00F420CB" w:rsidRPr="00382B0F" w:rsidRDefault="00F420CB" w:rsidP="00382B0F">
            <w:pPr>
              <w:jc w:val="right"/>
              <w:rPr>
                <w:rFonts w:ascii="Calibri" w:hAnsi="Calibri"/>
                <w:sz w:val="18"/>
                <w:szCs w:val="18"/>
              </w:rPr>
            </w:pPr>
            <w:r w:rsidRPr="00972554">
              <w:rPr>
                <w:rFonts w:ascii="Calibri" w:hAnsi="Calibri"/>
                <w:sz w:val="18"/>
                <w:szCs w:val="18"/>
              </w:rPr>
              <w:t xml:space="preserve">42.469 </w:t>
            </w:r>
          </w:p>
        </w:tc>
      </w:tr>
      <w:tr w:rsidR="00F420CB" w:rsidRPr="004D7A53" w:rsidTr="00972554">
        <w:trPr>
          <w:trHeight w:val="300"/>
        </w:trPr>
        <w:tc>
          <w:tcPr>
            <w:tcW w:w="3189" w:type="dxa"/>
            <w:shd w:val="clear" w:color="auto" w:fill="auto"/>
            <w:noWrap/>
          </w:tcPr>
          <w:p w:rsidR="00F420CB" w:rsidRPr="0085365C" w:rsidRDefault="00F420CB" w:rsidP="00871D79">
            <w:pPr>
              <w:jc w:val="left"/>
              <w:rPr>
                <w:rFonts w:ascii="Calibri" w:hAnsi="Calibri"/>
                <w:sz w:val="18"/>
                <w:szCs w:val="18"/>
              </w:rPr>
            </w:pPr>
            <w:r w:rsidRPr="0085365C">
              <w:rPr>
                <w:rFonts w:ascii="Calibri" w:hAnsi="Calibri"/>
                <w:sz w:val="18"/>
                <w:szCs w:val="18"/>
              </w:rPr>
              <w:t>711-Terjatve za sredstva dana v upravljanje drugim v lasti občine</w:t>
            </w:r>
          </w:p>
        </w:tc>
        <w:tc>
          <w:tcPr>
            <w:tcW w:w="1519" w:type="dxa"/>
            <w:vAlign w:val="bottom"/>
          </w:tcPr>
          <w:p w:rsidR="00F420CB" w:rsidRPr="00382B0F" w:rsidRDefault="00F420CB" w:rsidP="00F83FBB">
            <w:pPr>
              <w:jc w:val="right"/>
              <w:rPr>
                <w:rFonts w:ascii="Calibri" w:hAnsi="Calibri"/>
                <w:sz w:val="18"/>
                <w:szCs w:val="18"/>
              </w:rPr>
            </w:pPr>
            <w:r w:rsidRPr="00972554">
              <w:rPr>
                <w:rFonts w:ascii="Calibri" w:hAnsi="Calibri"/>
                <w:sz w:val="18"/>
                <w:szCs w:val="18"/>
              </w:rPr>
              <w:t xml:space="preserve">0 </w:t>
            </w:r>
          </w:p>
        </w:tc>
        <w:tc>
          <w:tcPr>
            <w:tcW w:w="1517" w:type="dxa"/>
            <w:shd w:val="clear" w:color="auto" w:fill="auto"/>
            <w:noWrap/>
            <w:vAlign w:val="bottom"/>
          </w:tcPr>
          <w:p w:rsidR="00F420CB" w:rsidRPr="0085365C" w:rsidRDefault="00F420CB" w:rsidP="00871D79">
            <w:pPr>
              <w:jc w:val="right"/>
              <w:rPr>
                <w:rFonts w:ascii="Calibri" w:hAnsi="Calibri"/>
                <w:sz w:val="18"/>
                <w:szCs w:val="18"/>
              </w:rPr>
            </w:pPr>
            <w:r w:rsidRPr="000F6B5B">
              <w:rPr>
                <w:rFonts w:ascii="Calibri" w:hAnsi="Calibri" w:cs="Calibri"/>
                <w:color w:val="000000"/>
                <w:sz w:val="18"/>
                <w:szCs w:val="18"/>
                <w:lang w:val="sl-SI" w:eastAsia="sl-SI"/>
              </w:rPr>
              <w:t xml:space="preserve">0 </w:t>
            </w:r>
          </w:p>
        </w:tc>
        <w:tc>
          <w:tcPr>
            <w:tcW w:w="1146" w:type="dxa"/>
            <w:shd w:val="clear" w:color="auto" w:fill="auto"/>
            <w:noWrap/>
            <w:vAlign w:val="bottom"/>
          </w:tcPr>
          <w:p w:rsidR="00F420CB" w:rsidRPr="00382B0F" w:rsidRDefault="00F420CB" w:rsidP="00972554">
            <w:pPr>
              <w:jc w:val="center"/>
              <w:rPr>
                <w:rFonts w:ascii="Calibri" w:hAnsi="Calibri"/>
                <w:sz w:val="18"/>
                <w:szCs w:val="18"/>
              </w:rPr>
            </w:pPr>
            <w:r w:rsidRPr="002B775E">
              <w:rPr>
                <w:rFonts w:ascii="Calibri" w:hAnsi="Calibri" w:cs="Calibri"/>
                <w:color w:val="000000"/>
                <w:sz w:val="18"/>
                <w:szCs w:val="18"/>
                <w:lang w:val="sl-SI" w:eastAsia="sl-SI"/>
              </w:rPr>
              <w:t>/</w:t>
            </w:r>
          </w:p>
        </w:tc>
        <w:tc>
          <w:tcPr>
            <w:tcW w:w="2055" w:type="dxa"/>
            <w:shd w:val="clear" w:color="auto" w:fill="auto"/>
            <w:noWrap/>
            <w:vAlign w:val="bottom"/>
          </w:tcPr>
          <w:p w:rsidR="00F420CB" w:rsidRPr="00382B0F" w:rsidRDefault="00F420CB" w:rsidP="00F83FBB">
            <w:pPr>
              <w:jc w:val="right"/>
              <w:rPr>
                <w:rFonts w:ascii="Calibri" w:hAnsi="Calibri"/>
                <w:sz w:val="18"/>
                <w:szCs w:val="18"/>
              </w:rPr>
            </w:pPr>
            <w:r w:rsidRPr="00972554">
              <w:rPr>
                <w:rFonts w:ascii="Calibri" w:hAnsi="Calibri"/>
                <w:sz w:val="18"/>
                <w:szCs w:val="18"/>
              </w:rPr>
              <w:t xml:space="preserve">0 </w:t>
            </w:r>
          </w:p>
        </w:tc>
      </w:tr>
      <w:tr w:rsidR="00F420CB" w:rsidRPr="004D7A53" w:rsidTr="00972554">
        <w:trPr>
          <w:trHeight w:val="300"/>
        </w:trPr>
        <w:tc>
          <w:tcPr>
            <w:tcW w:w="3189" w:type="dxa"/>
            <w:shd w:val="clear" w:color="auto" w:fill="auto"/>
            <w:noWrap/>
          </w:tcPr>
          <w:p w:rsidR="00F420CB" w:rsidRPr="0085365C" w:rsidRDefault="00F420CB" w:rsidP="00871D79">
            <w:pPr>
              <w:jc w:val="left"/>
              <w:rPr>
                <w:rFonts w:ascii="Calibri" w:hAnsi="Calibri"/>
                <w:sz w:val="18"/>
                <w:szCs w:val="18"/>
              </w:rPr>
            </w:pPr>
            <w:r w:rsidRPr="0085365C">
              <w:rPr>
                <w:rFonts w:ascii="Calibri" w:hAnsi="Calibri"/>
                <w:sz w:val="18"/>
                <w:szCs w:val="18"/>
              </w:rPr>
              <w:t>712-Zaloge</w:t>
            </w:r>
          </w:p>
        </w:tc>
        <w:tc>
          <w:tcPr>
            <w:tcW w:w="1519" w:type="dxa"/>
            <w:vAlign w:val="bottom"/>
          </w:tcPr>
          <w:p w:rsidR="00F420CB" w:rsidRPr="00382B0F" w:rsidRDefault="00F420CB" w:rsidP="00F83FBB">
            <w:pPr>
              <w:jc w:val="right"/>
              <w:rPr>
                <w:rFonts w:ascii="Calibri" w:hAnsi="Calibri"/>
                <w:sz w:val="18"/>
                <w:szCs w:val="18"/>
              </w:rPr>
            </w:pPr>
            <w:r w:rsidRPr="00972554">
              <w:rPr>
                <w:rFonts w:ascii="Calibri" w:hAnsi="Calibri"/>
                <w:sz w:val="18"/>
                <w:szCs w:val="18"/>
              </w:rPr>
              <w:t xml:space="preserve">333.686.828 </w:t>
            </w:r>
          </w:p>
        </w:tc>
        <w:tc>
          <w:tcPr>
            <w:tcW w:w="1517" w:type="dxa"/>
            <w:shd w:val="clear" w:color="auto" w:fill="auto"/>
            <w:noWrap/>
            <w:vAlign w:val="bottom"/>
          </w:tcPr>
          <w:p w:rsidR="00F420CB" w:rsidRPr="0085365C" w:rsidRDefault="00F420CB" w:rsidP="00871D79">
            <w:pPr>
              <w:jc w:val="right"/>
              <w:rPr>
                <w:rFonts w:ascii="Calibri" w:hAnsi="Calibri"/>
                <w:sz w:val="18"/>
                <w:szCs w:val="18"/>
              </w:rPr>
            </w:pPr>
            <w:r w:rsidRPr="000F6B5B">
              <w:rPr>
                <w:rFonts w:ascii="Calibri" w:hAnsi="Calibri" w:cs="Calibri"/>
                <w:color w:val="000000"/>
                <w:sz w:val="18"/>
                <w:szCs w:val="18"/>
                <w:lang w:val="sl-SI" w:eastAsia="sl-SI"/>
              </w:rPr>
              <w:t xml:space="preserve">328.703.038 </w:t>
            </w:r>
          </w:p>
        </w:tc>
        <w:tc>
          <w:tcPr>
            <w:tcW w:w="1146" w:type="dxa"/>
            <w:shd w:val="clear" w:color="auto" w:fill="auto"/>
            <w:noWrap/>
            <w:vAlign w:val="bottom"/>
          </w:tcPr>
          <w:p w:rsidR="00F420CB" w:rsidRPr="00382B0F" w:rsidRDefault="00F420CB" w:rsidP="00F83FBB">
            <w:pPr>
              <w:jc w:val="right"/>
              <w:rPr>
                <w:rFonts w:ascii="Calibri" w:hAnsi="Calibri"/>
                <w:sz w:val="18"/>
                <w:szCs w:val="18"/>
              </w:rPr>
            </w:pPr>
            <w:r w:rsidRPr="00972554">
              <w:rPr>
                <w:rFonts w:ascii="Calibri" w:hAnsi="Calibri"/>
                <w:sz w:val="18"/>
                <w:szCs w:val="18"/>
              </w:rPr>
              <w:t>101,52</w:t>
            </w:r>
          </w:p>
        </w:tc>
        <w:tc>
          <w:tcPr>
            <w:tcW w:w="2055" w:type="dxa"/>
            <w:shd w:val="clear" w:color="auto" w:fill="auto"/>
            <w:noWrap/>
            <w:vAlign w:val="bottom"/>
          </w:tcPr>
          <w:p w:rsidR="00F420CB" w:rsidRPr="00382B0F" w:rsidRDefault="00F420CB" w:rsidP="00382B0F">
            <w:pPr>
              <w:jc w:val="right"/>
              <w:rPr>
                <w:rFonts w:ascii="Calibri" w:hAnsi="Calibri"/>
                <w:sz w:val="18"/>
                <w:szCs w:val="18"/>
              </w:rPr>
            </w:pPr>
            <w:r w:rsidRPr="00972554">
              <w:rPr>
                <w:rFonts w:ascii="Calibri" w:hAnsi="Calibri"/>
                <w:sz w:val="18"/>
                <w:szCs w:val="18"/>
              </w:rPr>
              <w:t xml:space="preserve">4.983.790 </w:t>
            </w:r>
          </w:p>
        </w:tc>
      </w:tr>
      <w:tr w:rsidR="00F420CB" w:rsidRPr="004D7A53" w:rsidTr="00972554">
        <w:trPr>
          <w:trHeight w:val="300"/>
        </w:trPr>
        <w:tc>
          <w:tcPr>
            <w:tcW w:w="3189" w:type="dxa"/>
            <w:shd w:val="clear" w:color="auto" w:fill="auto"/>
            <w:noWrap/>
          </w:tcPr>
          <w:p w:rsidR="00F420CB" w:rsidRPr="0085365C" w:rsidRDefault="00F420CB" w:rsidP="00871D79">
            <w:pPr>
              <w:jc w:val="left"/>
              <w:rPr>
                <w:rFonts w:ascii="Calibri" w:hAnsi="Calibri"/>
                <w:sz w:val="18"/>
                <w:szCs w:val="18"/>
              </w:rPr>
            </w:pPr>
            <w:r w:rsidRPr="0085365C">
              <w:rPr>
                <w:rFonts w:ascii="Calibri" w:hAnsi="Calibri"/>
                <w:sz w:val="18"/>
                <w:szCs w:val="18"/>
              </w:rPr>
              <w:t>713-Dolgoročne finančne naložbe</w:t>
            </w:r>
          </w:p>
        </w:tc>
        <w:tc>
          <w:tcPr>
            <w:tcW w:w="1519" w:type="dxa"/>
            <w:vAlign w:val="bottom"/>
          </w:tcPr>
          <w:p w:rsidR="00F420CB" w:rsidRPr="00382B0F" w:rsidRDefault="00F420CB" w:rsidP="00F83FBB">
            <w:pPr>
              <w:jc w:val="right"/>
              <w:rPr>
                <w:rFonts w:ascii="Calibri" w:hAnsi="Calibri"/>
                <w:sz w:val="18"/>
                <w:szCs w:val="18"/>
              </w:rPr>
            </w:pPr>
            <w:r w:rsidRPr="00972554">
              <w:rPr>
                <w:rFonts w:ascii="Calibri" w:hAnsi="Calibri"/>
                <w:sz w:val="18"/>
                <w:szCs w:val="18"/>
              </w:rPr>
              <w:t xml:space="preserve">11.115.453.873 </w:t>
            </w:r>
          </w:p>
        </w:tc>
        <w:tc>
          <w:tcPr>
            <w:tcW w:w="1517" w:type="dxa"/>
            <w:shd w:val="clear" w:color="auto" w:fill="auto"/>
            <w:noWrap/>
            <w:vAlign w:val="bottom"/>
          </w:tcPr>
          <w:p w:rsidR="00F420CB" w:rsidRPr="0085365C" w:rsidRDefault="00F420CB" w:rsidP="00871D79">
            <w:pPr>
              <w:jc w:val="right"/>
              <w:rPr>
                <w:rFonts w:ascii="Calibri" w:hAnsi="Calibri"/>
                <w:sz w:val="18"/>
                <w:szCs w:val="18"/>
              </w:rPr>
            </w:pPr>
            <w:r w:rsidRPr="000F6B5B">
              <w:rPr>
                <w:rFonts w:ascii="Calibri" w:hAnsi="Calibri" w:cs="Calibri"/>
                <w:color w:val="000000"/>
                <w:sz w:val="18"/>
                <w:szCs w:val="18"/>
                <w:lang w:val="sl-SI" w:eastAsia="sl-SI"/>
              </w:rPr>
              <w:t xml:space="preserve">11.965.140.380 </w:t>
            </w:r>
          </w:p>
        </w:tc>
        <w:tc>
          <w:tcPr>
            <w:tcW w:w="1146" w:type="dxa"/>
            <w:shd w:val="clear" w:color="auto" w:fill="auto"/>
            <w:noWrap/>
            <w:vAlign w:val="bottom"/>
          </w:tcPr>
          <w:p w:rsidR="00F420CB" w:rsidRPr="00382B0F" w:rsidRDefault="00F420CB" w:rsidP="00F83FBB">
            <w:pPr>
              <w:jc w:val="right"/>
              <w:rPr>
                <w:rFonts w:ascii="Calibri" w:hAnsi="Calibri"/>
                <w:sz w:val="18"/>
                <w:szCs w:val="18"/>
              </w:rPr>
            </w:pPr>
            <w:r w:rsidRPr="00972554">
              <w:rPr>
                <w:rFonts w:ascii="Calibri" w:hAnsi="Calibri"/>
                <w:sz w:val="18"/>
                <w:szCs w:val="18"/>
              </w:rPr>
              <w:t>92,90</w:t>
            </w:r>
          </w:p>
        </w:tc>
        <w:tc>
          <w:tcPr>
            <w:tcW w:w="2055" w:type="dxa"/>
            <w:shd w:val="clear" w:color="auto" w:fill="auto"/>
            <w:noWrap/>
            <w:vAlign w:val="bottom"/>
          </w:tcPr>
          <w:p w:rsidR="00F420CB" w:rsidRPr="00382B0F" w:rsidRDefault="00F420CB" w:rsidP="00382B0F">
            <w:pPr>
              <w:jc w:val="right"/>
              <w:rPr>
                <w:rFonts w:ascii="Calibri" w:hAnsi="Calibri"/>
                <w:sz w:val="18"/>
                <w:szCs w:val="18"/>
              </w:rPr>
            </w:pPr>
            <w:r w:rsidRPr="00972554">
              <w:rPr>
                <w:rFonts w:ascii="Calibri" w:hAnsi="Calibri"/>
                <w:sz w:val="18"/>
                <w:szCs w:val="18"/>
              </w:rPr>
              <w:t xml:space="preserve">-849.686.507 </w:t>
            </w:r>
          </w:p>
        </w:tc>
      </w:tr>
      <w:tr w:rsidR="00F420CB" w:rsidRPr="004D7A53" w:rsidTr="00972554">
        <w:trPr>
          <w:trHeight w:val="300"/>
        </w:trPr>
        <w:tc>
          <w:tcPr>
            <w:tcW w:w="3189" w:type="dxa"/>
            <w:shd w:val="clear" w:color="auto" w:fill="auto"/>
            <w:noWrap/>
          </w:tcPr>
          <w:p w:rsidR="00F420CB" w:rsidRPr="0085365C" w:rsidRDefault="00F420CB" w:rsidP="00871D79">
            <w:pPr>
              <w:jc w:val="left"/>
              <w:rPr>
                <w:rFonts w:ascii="Calibri" w:hAnsi="Calibri"/>
                <w:sz w:val="18"/>
                <w:szCs w:val="18"/>
              </w:rPr>
            </w:pPr>
            <w:r w:rsidRPr="0085365C">
              <w:rPr>
                <w:rFonts w:ascii="Calibri" w:hAnsi="Calibri"/>
                <w:sz w:val="18"/>
                <w:szCs w:val="18"/>
              </w:rPr>
              <w:t>714-Dolgoročno dana posojila in depoziti</w:t>
            </w:r>
          </w:p>
        </w:tc>
        <w:tc>
          <w:tcPr>
            <w:tcW w:w="1519" w:type="dxa"/>
            <w:vAlign w:val="bottom"/>
          </w:tcPr>
          <w:p w:rsidR="00F420CB" w:rsidRPr="00382B0F" w:rsidRDefault="00F420CB" w:rsidP="00F83FBB">
            <w:pPr>
              <w:jc w:val="right"/>
              <w:rPr>
                <w:rFonts w:ascii="Calibri" w:hAnsi="Calibri"/>
                <w:sz w:val="18"/>
                <w:szCs w:val="18"/>
              </w:rPr>
            </w:pPr>
            <w:r w:rsidRPr="00972554">
              <w:rPr>
                <w:rFonts w:ascii="Calibri" w:hAnsi="Calibri"/>
                <w:sz w:val="18"/>
                <w:szCs w:val="18"/>
              </w:rPr>
              <w:t xml:space="preserve">3.631.987.965 </w:t>
            </w:r>
          </w:p>
        </w:tc>
        <w:tc>
          <w:tcPr>
            <w:tcW w:w="1517" w:type="dxa"/>
            <w:shd w:val="clear" w:color="auto" w:fill="auto"/>
            <w:noWrap/>
            <w:vAlign w:val="bottom"/>
          </w:tcPr>
          <w:p w:rsidR="00F420CB" w:rsidRPr="0085365C" w:rsidRDefault="00F420CB" w:rsidP="00871D79">
            <w:pPr>
              <w:jc w:val="right"/>
              <w:rPr>
                <w:rFonts w:ascii="Calibri" w:hAnsi="Calibri"/>
                <w:sz w:val="18"/>
                <w:szCs w:val="18"/>
              </w:rPr>
            </w:pPr>
            <w:r w:rsidRPr="000F6B5B">
              <w:rPr>
                <w:rFonts w:ascii="Calibri" w:hAnsi="Calibri" w:cs="Calibri"/>
                <w:color w:val="000000"/>
                <w:sz w:val="18"/>
                <w:szCs w:val="18"/>
                <w:lang w:val="sl-SI" w:eastAsia="sl-SI"/>
              </w:rPr>
              <w:t xml:space="preserve">3.305.214.570 </w:t>
            </w:r>
          </w:p>
        </w:tc>
        <w:tc>
          <w:tcPr>
            <w:tcW w:w="1146" w:type="dxa"/>
            <w:shd w:val="clear" w:color="auto" w:fill="auto"/>
            <w:noWrap/>
            <w:vAlign w:val="bottom"/>
          </w:tcPr>
          <w:p w:rsidR="00F420CB" w:rsidRPr="00382B0F" w:rsidRDefault="00F420CB" w:rsidP="00F83FBB">
            <w:pPr>
              <w:jc w:val="right"/>
              <w:rPr>
                <w:rFonts w:ascii="Calibri" w:hAnsi="Calibri"/>
                <w:sz w:val="18"/>
                <w:szCs w:val="18"/>
              </w:rPr>
            </w:pPr>
            <w:r w:rsidRPr="00972554">
              <w:rPr>
                <w:rFonts w:ascii="Calibri" w:hAnsi="Calibri"/>
                <w:sz w:val="18"/>
                <w:szCs w:val="18"/>
              </w:rPr>
              <w:t>109,89</w:t>
            </w:r>
          </w:p>
        </w:tc>
        <w:tc>
          <w:tcPr>
            <w:tcW w:w="2055" w:type="dxa"/>
            <w:shd w:val="clear" w:color="auto" w:fill="auto"/>
            <w:noWrap/>
            <w:vAlign w:val="bottom"/>
          </w:tcPr>
          <w:p w:rsidR="00F420CB" w:rsidRPr="00382B0F" w:rsidRDefault="00F420CB" w:rsidP="00382B0F">
            <w:pPr>
              <w:jc w:val="right"/>
              <w:rPr>
                <w:rFonts w:ascii="Calibri" w:hAnsi="Calibri"/>
                <w:sz w:val="18"/>
                <w:szCs w:val="18"/>
              </w:rPr>
            </w:pPr>
            <w:r w:rsidRPr="00972554">
              <w:rPr>
                <w:rFonts w:ascii="Calibri" w:hAnsi="Calibri"/>
                <w:sz w:val="18"/>
                <w:szCs w:val="18"/>
              </w:rPr>
              <w:t xml:space="preserve">326.773.395 </w:t>
            </w:r>
          </w:p>
        </w:tc>
      </w:tr>
      <w:tr w:rsidR="00F420CB" w:rsidRPr="004D7A53" w:rsidTr="00972554">
        <w:trPr>
          <w:trHeight w:val="300"/>
        </w:trPr>
        <w:tc>
          <w:tcPr>
            <w:tcW w:w="3189" w:type="dxa"/>
            <w:shd w:val="clear" w:color="auto" w:fill="auto"/>
            <w:noWrap/>
          </w:tcPr>
          <w:p w:rsidR="00F420CB" w:rsidRPr="0085365C" w:rsidRDefault="00F420CB" w:rsidP="00871D79">
            <w:pPr>
              <w:jc w:val="left"/>
              <w:rPr>
                <w:rFonts w:ascii="Calibri" w:hAnsi="Calibri"/>
                <w:sz w:val="18"/>
                <w:szCs w:val="18"/>
              </w:rPr>
            </w:pPr>
            <w:r w:rsidRPr="0085365C">
              <w:rPr>
                <w:rFonts w:ascii="Calibri" w:hAnsi="Calibri"/>
                <w:sz w:val="18"/>
                <w:szCs w:val="18"/>
              </w:rPr>
              <w:t>715-Dolgoročne terjatve iz poslovanja</w:t>
            </w:r>
          </w:p>
        </w:tc>
        <w:tc>
          <w:tcPr>
            <w:tcW w:w="1519" w:type="dxa"/>
            <w:vAlign w:val="bottom"/>
          </w:tcPr>
          <w:p w:rsidR="00F420CB" w:rsidRPr="00412299" w:rsidRDefault="00F420CB" w:rsidP="00F83FBB">
            <w:pPr>
              <w:jc w:val="right"/>
              <w:rPr>
                <w:rFonts w:ascii="Calibri" w:hAnsi="Calibri"/>
                <w:sz w:val="18"/>
                <w:szCs w:val="18"/>
              </w:rPr>
            </w:pPr>
            <w:r w:rsidRPr="00972554">
              <w:rPr>
                <w:rFonts w:ascii="Calibri" w:hAnsi="Calibri"/>
                <w:sz w:val="18"/>
                <w:szCs w:val="18"/>
              </w:rPr>
              <w:t xml:space="preserve">347.547.254 </w:t>
            </w:r>
          </w:p>
        </w:tc>
        <w:tc>
          <w:tcPr>
            <w:tcW w:w="1517" w:type="dxa"/>
            <w:shd w:val="clear" w:color="auto" w:fill="auto"/>
            <w:noWrap/>
            <w:vAlign w:val="bottom"/>
          </w:tcPr>
          <w:p w:rsidR="00F420CB" w:rsidRPr="0085365C" w:rsidRDefault="00F420CB" w:rsidP="00871D79">
            <w:pPr>
              <w:jc w:val="right"/>
              <w:rPr>
                <w:rFonts w:ascii="Calibri" w:hAnsi="Calibri"/>
                <w:sz w:val="18"/>
                <w:szCs w:val="18"/>
              </w:rPr>
            </w:pPr>
            <w:r w:rsidRPr="000F6B5B">
              <w:rPr>
                <w:rFonts w:ascii="Calibri" w:hAnsi="Calibri" w:cs="Calibri"/>
                <w:color w:val="000000"/>
                <w:sz w:val="18"/>
                <w:szCs w:val="18"/>
                <w:lang w:val="sl-SI" w:eastAsia="sl-SI"/>
              </w:rPr>
              <w:t xml:space="preserve">381.057.363 </w:t>
            </w:r>
          </w:p>
        </w:tc>
        <w:tc>
          <w:tcPr>
            <w:tcW w:w="1146" w:type="dxa"/>
            <w:shd w:val="clear" w:color="auto" w:fill="auto"/>
            <w:noWrap/>
            <w:vAlign w:val="bottom"/>
          </w:tcPr>
          <w:p w:rsidR="00F420CB" w:rsidRPr="00412299" w:rsidRDefault="00F420CB" w:rsidP="00F83FBB">
            <w:pPr>
              <w:jc w:val="right"/>
              <w:rPr>
                <w:rFonts w:ascii="Calibri" w:hAnsi="Calibri"/>
                <w:sz w:val="18"/>
                <w:szCs w:val="18"/>
              </w:rPr>
            </w:pPr>
            <w:r w:rsidRPr="00972554">
              <w:rPr>
                <w:rFonts w:ascii="Calibri" w:hAnsi="Calibri"/>
                <w:sz w:val="18"/>
                <w:szCs w:val="18"/>
              </w:rPr>
              <w:t>91,21</w:t>
            </w:r>
          </w:p>
        </w:tc>
        <w:tc>
          <w:tcPr>
            <w:tcW w:w="2055" w:type="dxa"/>
            <w:shd w:val="clear" w:color="auto" w:fill="auto"/>
            <w:noWrap/>
            <w:vAlign w:val="bottom"/>
          </w:tcPr>
          <w:p w:rsidR="00F420CB" w:rsidRPr="00116FC1" w:rsidRDefault="00F420CB" w:rsidP="00382B0F">
            <w:pPr>
              <w:jc w:val="right"/>
              <w:rPr>
                <w:rFonts w:ascii="Calibri" w:hAnsi="Calibri"/>
                <w:sz w:val="18"/>
                <w:szCs w:val="18"/>
              </w:rPr>
            </w:pPr>
            <w:r w:rsidRPr="00972554">
              <w:rPr>
                <w:rFonts w:ascii="Calibri" w:hAnsi="Calibri"/>
                <w:sz w:val="18"/>
                <w:szCs w:val="18"/>
              </w:rPr>
              <w:t xml:space="preserve">-33.510.109 </w:t>
            </w:r>
          </w:p>
        </w:tc>
      </w:tr>
      <w:tr w:rsidR="00F420CB" w:rsidRPr="004D7A53" w:rsidTr="00972554">
        <w:trPr>
          <w:trHeight w:val="300"/>
        </w:trPr>
        <w:tc>
          <w:tcPr>
            <w:tcW w:w="3189" w:type="dxa"/>
            <w:shd w:val="clear" w:color="auto" w:fill="auto"/>
            <w:noWrap/>
          </w:tcPr>
          <w:p w:rsidR="00F420CB" w:rsidRPr="0085365C" w:rsidRDefault="00F420CB" w:rsidP="00871D79">
            <w:pPr>
              <w:jc w:val="left"/>
              <w:rPr>
                <w:rFonts w:ascii="Calibri" w:hAnsi="Calibri"/>
                <w:sz w:val="18"/>
                <w:szCs w:val="18"/>
              </w:rPr>
            </w:pPr>
            <w:r w:rsidRPr="0085365C">
              <w:rPr>
                <w:rFonts w:ascii="Calibri" w:hAnsi="Calibri"/>
                <w:sz w:val="18"/>
                <w:szCs w:val="18"/>
              </w:rPr>
              <w:t>716-Denarna sredstva</w:t>
            </w:r>
          </w:p>
        </w:tc>
        <w:tc>
          <w:tcPr>
            <w:tcW w:w="1519" w:type="dxa"/>
            <w:vAlign w:val="bottom"/>
          </w:tcPr>
          <w:p w:rsidR="00F420CB" w:rsidRPr="00412299" w:rsidRDefault="00F420CB" w:rsidP="00F83FBB">
            <w:pPr>
              <w:jc w:val="right"/>
              <w:rPr>
                <w:rFonts w:ascii="Calibri" w:hAnsi="Calibri"/>
                <w:sz w:val="18"/>
                <w:szCs w:val="18"/>
              </w:rPr>
            </w:pPr>
            <w:r w:rsidRPr="00972554">
              <w:rPr>
                <w:rFonts w:ascii="Calibri" w:hAnsi="Calibri"/>
                <w:sz w:val="18"/>
                <w:szCs w:val="18"/>
              </w:rPr>
              <w:t xml:space="preserve">3.508.598.012 </w:t>
            </w:r>
          </w:p>
        </w:tc>
        <w:tc>
          <w:tcPr>
            <w:tcW w:w="1517" w:type="dxa"/>
            <w:shd w:val="clear" w:color="auto" w:fill="auto"/>
            <w:noWrap/>
            <w:vAlign w:val="bottom"/>
          </w:tcPr>
          <w:p w:rsidR="00F420CB" w:rsidRPr="0085365C" w:rsidRDefault="00F420CB" w:rsidP="00871D79">
            <w:pPr>
              <w:jc w:val="right"/>
              <w:rPr>
                <w:rFonts w:ascii="Calibri" w:hAnsi="Calibri"/>
                <w:sz w:val="18"/>
                <w:szCs w:val="18"/>
              </w:rPr>
            </w:pPr>
            <w:r w:rsidRPr="000F6B5B">
              <w:rPr>
                <w:rFonts w:ascii="Calibri" w:hAnsi="Calibri" w:cs="Calibri"/>
                <w:color w:val="000000"/>
                <w:sz w:val="18"/>
                <w:szCs w:val="18"/>
                <w:lang w:val="sl-SI" w:eastAsia="sl-SI"/>
              </w:rPr>
              <w:t xml:space="preserve">2.332.555.438 </w:t>
            </w:r>
          </w:p>
        </w:tc>
        <w:tc>
          <w:tcPr>
            <w:tcW w:w="1146" w:type="dxa"/>
            <w:shd w:val="clear" w:color="auto" w:fill="auto"/>
            <w:noWrap/>
            <w:vAlign w:val="bottom"/>
          </w:tcPr>
          <w:p w:rsidR="00F420CB" w:rsidRPr="00412299" w:rsidRDefault="00F420CB" w:rsidP="00F83FBB">
            <w:pPr>
              <w:jc w:val="right"/>
              <w:rPr>
                <w:rFonts w:ascii="Calibri" w:hAnsi="Calibri"/>
                <w:sz w:val="18"/>
                <w:szCs w:val="18"/>
              </w:rPr>
            </w:pPr>
            <w:r w:rsidRPr="00972554">
              <w:rPr>
                <w:rFonts w:ascii="Calibri" w:hAnsi="Calibri"/>
                <w:sz w:val="18"/>
                <w:szCs w:val="18"/>
              </w:rPr>
              <w:t>150,42</w:t>
            </w:r>
          </w:p>
        </w:tc>
        <w:tc>
          <w:tcPr>
            <w:tcW w:w="2055" w:type="dxa"/>
            <w:shd w:val="clear" w:color="auto" w:fill="auto"/>
            <w:noWrap/>
            <w:vAlign w:val="bottom"/>
          </w:tcPr>
          <w:p w:rsidR="00F420CB" w:rsidRPr="00412299" w:rsidRDefault="00F420CB" w:rsidP="00382B0F">
            <w:pPr>
              <w:jc w:val="right"/>
              <w:rPr>
                <w:rFonts w:ascii="Calibri" w:hAnsi="Calibri"/>
                <w:sz w:val="18"/>
                <w:szCs w:val="18"/>
              </w:rPr>
            </w:pPr>
            <w:r w:rsidRPr="00972554">
              <w:rPr>
                <w:rFonts w:ascii="Calibri" w:hAnsi="Calibri"/>
                <w:sz w:val="18"/>
                <w:szCs w:val="18"/>
              </w:rPr>
              <w:t xml:space="preserve">1.176.042.574 </w:t>
            </w:r>
          </w:p>
        </w:tc>
      </w:tr>
      <w:tr w:rsidR="00F420CB" w:rsidRPr="004D7A53" w:rsidTr="00972554">
        <w:trPr>
          <w:trHeight w:val="300"/>
        </w:trPr>
        <w:tc>
          <w:tcPr>
            <w:tcW w:w="3189" w:type="dxa"/>
            <w:shd w:val="clear" w:color="auto" w:fill="auto"/>
            <w:noWrap/>
          </w:tcPr>
          <w:p w:rsidR="00F420CB" w:rsidRPr="0085365C" w:rsidRDefault="00F420CB" w:rsidP="00871D79">
            <w:pPr>
              <w:jc w:val="left"/>
              <w:rPr>
                <w:rFonts w:ascii="Calibri" w:hAnsi="Calibri"/>
                <w:sz w:val="18"/>
                <w:szCs w:val="18"/>
              </w:rPr>
            </w:pPr>
            <w:r w:rsidRPr="0085365C">
              <w:rPr>
                <w:rFonts w:ascii="Calibri" w:hAnsi="Calibri"/>
                <w:sz w:val="18"/>
                <w:szCs w:val="18"/>
              </w:rPr>
              <w:t>717-Kratkoročne terjatve</w:t>
            </w:r>
          </w:p>
        </w:tc>
        <w:tc>
          <w:tcPr>
            <w:tcW w:w="1519" w:type="dxa"/>
            <w:vAlign w:val="bottom"/>
          </w:tcPr>
          <w:p w:rsidR="00F420CB" w:rsidRPr="00412299" w:rsidRDefault="00F420CB" w:rsidP="00F83FBB">
            <w:pPr>
              <w:jc w:val="right"/>
              <w:rPr>
                <w:rFonts w:ascii="Calibri" w:hAnsi="Calibri"/>
                <w:sz w:val="18"/>
                <w:szCs w:val="18"/>
              </w:rPr>
            </w:pPr>
            <w:r w:rsidRPr="00972554">
              <w:rPr>
                <w:rFonts w:ascii="Calibri" w:hAnsi="Calibri"/>
                <w:sz w:val="18"/>
                <w:szCs w:val="18"/>
              </w:rPr>
              <w:t xml:space="preserve">4.221.708.734 </w:t>
            </w:r>
          </w:p>
        </w:tc>
        <w:tc>
          <w:tcPr>
            <w:tcW w:w="1517" w:type="dxa"/>
            <w:shd w:val="clear" w:color="auto" w:fill="auto"/>
            <w:noWrap/>
            <w:vAlign w:val="bottom"/>
          </w:tcPr>
          <w:p w:rsidR="00F420CB" w:rsidRPr="0085365C" w:rsidRDefault="00F420CB" w:rsidP="00871D79">
            <w:pPr>
              <w:jc w:val="right"/>
              <w:rPr>
                <w:rFonts w:ascii="Calibri" w:hAnsi="Calibri"/>
                <w:sz w:val="18"/>
                <w:szCs w:val="18"/>
              </w:rPr>
            </w:pPr>
            <w:r w:rsidRPr="000F6B5B">
              <w:rPr>
                <w:rFonts w:ascii="Calibri" w:hAnsi="Calibri" w:cs="Calibri"/>
                <w:color w:val="000000"/>
                <w:sz w:val="18"/>
                <w:szCs w:val="18"/>
                <w:lang w:val="sl-SI" w:eastAsia="sl-SI"/>
              </w:rPr>
              <w:t xml:space="preserve">4.053.520.851 </w:t>
            </w:r>
          </w:p>
        </w:tc>
        <w:tc>
          <w:tcPr>
            <w:tcW w:w="1146" w:type="dxa"/>
            <w:shd w:val="clear" w:color="auto" w:fill="auto"/>
            <w:noWrap/>
            <w:vAlign w:val="bottom"/>
          </w:tcPr>
          <w:p w:rsidR="00F420CB" w:rsidRPr="00412299" w:rsidRDefault="00F420CB" w:rsidP="00F83FBB">
            <w:pPr>
              <w:jc w:val="right"/>
              <w:rPr>
                <w:rFonts w:ascii="Calibri" w:hAnsi="Calibri"/>
                <w:sz w:val="18"/>
                <w:szCs w:val="18"/>
              </w:rPr>
            </w:pPr>
            <w:r w:rsidRPr="00972554">
              <w:rPr>
                <w:rFonts w:ascii="Calibri" w:hAnsi="Calibri"/>
                <w:sz w:val="18"/>
                <w:szCs w:val="18"/>
              </w:rPr>
              <w:t>104,15</w:t>
            </w:r>
          </w:p>
        </w:tc>
        <w:tc>
          <w:tcPr>
            <w:tcW w:w="2055" w:type="dxa"/>
            <w:shd w:val="clear" w:color="auto" w:fill="auto"/>
            <w:noWrap/>
            <w:vAlign w:val="bottom"/>
          </w:tcPr>
          <w:p w:rsidR="00F420CB" w:rsidRPr="00412299" w:rsidRDefault="00F420CB" w:rsidP="00382B0F">
            <w:pPr>
              <w:jc w:val="right"/>
              <w:rPr>
                <w:rFonts w:ascii="Calibri" w:hAnsi="Calibri"/>
                <w:sz w:val="18"/>
                <w:szCs w:val="18"/>
              </w:rPr>
            </w:pPr>
            <w:r w:rsidRPr="00972554">
              <w:rPr>
                <w:rFonts w:ascii="Calibri" w:hAnsi="Calibri"/>
                <w:sz w:val="18"/>
                <w:szCs w:val="18"/>
              </w:rPr>
              <w:t xml:space="preserve">168.187.883 </w:t>
            </w:r>
          </w:p>
        </w:tc>
      </w:tr>
      <w:tr w:rsidR="00F420CB" w:rsidRPr="004D7A53" w:rsidTr="00972554">
        <w:trPr>
          <w:trHeight w:val="300"/>
        </w:trPr>
        <w:tc>
          <w:tcPr>
            <w:tcW w:w="3189" w:type="dxa"/>
            <w:tcBorders>
              <w:bottom w:val="single" w:sz="4" w:space="0" w:color="auto"/>
            </w:tcBorders>
            <w:shd w:val="clear" w:color="auto" w:fill="auto"/>
            <w:noWrap/>
          </w:tcPr>
          <w:p w:rsidR="00F420CB" w:rsidRPr="0085365C" w:rsidRDefault="00F420CB" w:rsidP="00871D79">
            <w:pPr>
              <w:jc w:val="left"/>
              <w:rPr>
                <w:rFonts w:ascii="Calibri" w:hAnsi="Calibri"/>
                <w:sz w:val="18"/>
                <w:szCs w:val="18"/>
              </w:rPr>
            </w:pPr>
            <w:r w:rsidRPr="0085365C">
              <w:rPr>
                <w:rFonts w:ascii="Calibri" w:hAnsi="Calibri"/>
                <w:sz w:val="18"/>
                <w:szCs w:val="18"/>
              </w:rPr>
              <w:t>718-Druge terjatve</w:t>
            </w:r>
          </w:p>
        </w:tc>
        <w:tc>
          <w:tcPr>
            <w:tcW w:w="1519" w:type="dxa"/>
            <w:tcBorders>
              <w:bottom w:val="single" w:sz="4" w:space="0" w:color="auto"/>
            </w:tcBorders>
            <w:vAlign w:val="bottom"/>
          </w:tcPr>
          <w:p w:rsidR="00F420CB" w:rsidRPr="00412299" w:rsidRDefault="00F420CB" w:rsidP="00F83FBB">
            <w:pPr>
              <w:jc w:val="right"/>
              <w:rPr>
                <w:rFonts w:ascii="Calibri" w:hAnsi="Calibri"/>
                <w:sz w:val="18"/>
                <w:szCs w:val="18"/>
              </w:rPr>
            </w:pPr>
            <w:r w:rsidRPr="00972554">
              <w:rPr>
                <w:rFonts w:ascii="Calibri" w:hAnsi="Calibri"/>
                <w:sz w:val="18"/>
                <w:szCs w:val="18"/>
              </w:rPr>
              <w:t xml:space="preserve">183.315.443 </w:t>
            </w:r>
          </w:p>
        </w:tc>
        <w:tc>
          <w:tcPr>
            <w:tcW w:w="1517" w:type="dxa"/>
            <w:tcBorders>
              <w:bottom w:val="single" w:sz="4" w:space="0" w:color="auto"/>
            </w:tcBorders>
            <w:shd w:val="clear" w:color="auto" w:fill="auto"/>
            <w:noWrap/>
            <w:vAlign w:val="bottom"/>
          </w:tcPr>
          <w:p w:rsidR="00F420CB" w:rsidRPr="0085365C" w:rsidRDefault="00F420CB" w:rsidP="00871D79">
            <w:pPr>
              <w:jc w:val="right"/>
              <w:rPr>
                <w:rFonts w:ascii="Calibri" w:hAnsi="Calibri"/>
                <w:sz w:val="18"/>
                <w:szCs w:val="18"/>
              </w:rPr>
            </w:pPr>
            <w:r w:rsidRPr="000F6B5B">
              <w:rPr>
                <w:rFonts w:ascii="Calibri" w:hAnsi="Calibri" w:cs="Calibri"/>
                <w:color w:val="000000"/>
                <w:sz w:val="18"/>
                <w:szCs w:val="18"/>
                <w:lang w:val="sl-SI" w:eastAsia="sl-SI"/>
              </w:rPr>
              <w:t xml:space="preserve">167.871.573 </w:t>
            </w:r>
          </w:p>
        </w:tc>
        <w:tc>
          <w:tcPr>
            <w:tcW w:w="1146" w:type="dxa"/>
            <w:tcBorders>
              <w:bottom w:val="single" w:sz="4" w:space="0" w:color="auto"/>
            </w:tcBorders>
            <w:shd w:val="clear" w:color="auto" w:fill="auto"/>
            <w:noWrap/>
            <w:vAlign w:val="bottom"/>
          </w:tcPr>
          <w:p w:rsidR="00F420CB" w:rsidRPr="00412299" w:rsidRDefault="00F420CB" w:rsidP="00F83FBB">
            <w:pPr>
              <w:jc w:val="right"/>
              <w:rPr>
                <w:rFonts w:ascii="Calibri" w:hAnsi="Calibri"/>
                <w:sz w:val="18"/>
                <w:szCs w:val="18"/>
              </w:rPr>
            </w:pPr>
            <w:r w:rsidRPr="00972554">
              <w:rPr>
                <w:rFonts w:ascii="Calibri" w:hAnsi="Calibri"/>
                <w:sz w:val="18"/>
                <w:szCs w:val="18"/>
              </w:rPr>
              <w:t>109,20</w:t>
            </w:r>
          </w:p>
        </w:tc>
        <w:tc>
          <w:tcPr>
            <w:tcW w:w="2055" w:type="dxa"/>
            <w:tcBorders>
              <w:bottom w:val="single" w:sz="4" w:space="0" w:color="auto"/>
            </w:tcBorders>
            <w:shd w:val="clear" w:color="auto" w:fill="auto"/>
            <w:noWrap/>
            <w:vAlign w:val="bottom"/>
          </w:tcPr>
          <w:p w:rsidR="00F420CB" w:rsidRPr="00412299" w:rsidRDefault="00F420CB" w:rsidP="00382B0F">
            <w:pPr>
              <w:jc w:val="right"/>
              <w:rPr>
                <w:rFonts w:ascii="Calibri" w:hAnsi="Calibri"/>
                <w:sz w:val="18"/>
                <w:szCs w:val="18"/>
              </w:rPr>
            </w:pPr>
            <w:r w:rsidRPr="00972554">
              <w:rPr>
                <w:rFonts w:ascii="Calibri" w:hAnsi="Calibri"/>
                <w:sz w:val="18"/>
                <w:szCs w:val="18"/>
              </w:rPr>
              <w:t xml:space="preserve">15.443.870 </w:t>
            </w:r>
          </w:p>
        </w:tc>
      </w:tr>
      <w:tr w:rsidR="00F420CB" w:rsidRPr="004D7A53" w:rsidTr="00972554">
        <w:trPr>
          <w:trHeight w:val="300"/>
        </w:trPr>
        <w:tc>
          <w:tcPr>
            <w:tcW w:w="3189" w:type="dxa"/>
            <w:shd w:val="clear" w:color="auto" w:fill="92D050"/>
            <w:noWrap/>
          </w:tcPr>
          <w:p w:rsidR="00F420CB" w:rsidRPr="0085365C" w:rsidRDefault="00F420CB" w:rsidP="00871D79">
            <w:pPr>
              <w:jc w:val="left"/>
              <w:rPr>
                <w:rFonts w:ascii="Calibri" w:hAnsi="Calibri"/>
                <w:b/>
                <w:i/>
                <w:sz w:val="18"/>
                <w:szCs w:val="18"/>
              </w:rPr>
            </w:pPr>
            <w:r w:rsidRPr="0085365C">
              <w:rPr>
                <w:rFonts w:ascii="Calibri" w:hAnsi="Calibri"/>
                <w:b/>
                <w:i/>
                <w:sz w:val="18"/>
                <w:szCs w:val="18"/>
              </w:rPr>
              <w:t>719-Skupaj aktiva</w:t>
            </w:r>
          </w:p>
        </w:tc>
        <w:tc>
          <w:tcPr>
            <w:tcW w:w="1519" w:type="dxa"/>
            <w:shd w:val="clear" w:color="auto" w:fill="92D050"/>
            <w:vAlign w:val="bottom"/>
          </w:tcPr>
          <w:p w:rsidR="00F420CB" w:rsidRPr="00412299" w:rsidRDefault="00F420CB" w:rsidP="00F83FBB">
            <w:pPr>
              <w:jc w:val="right"/>
              <w:rPr>
                <w:rFonts w:ascii="Calibri" w:hAnsi="Calibri"/>
                <w:b/>
                <w:i/>
                <w:sz w:val="18"/>
                <w:szCs w:val="18"/>
              </w:rPr>
            </w:pPr>
            <w:r w:rsidRPr="00972554">
              <w:rPr>
                <w:rFonts w:ascii="Calibri" w:hAnsi="Calibri"/>
                <w:b/>
                <w:i/>
                <w:sz w:val="18"/>
                <w:szCs w:val="18"/>
              </w:rPr>
              <w:t xml:space="preserve">33.752.425.178 </w:t>
            </w:r>
          </w:p>
        </w:tc>
        <w:tc>
          <w:tcPr>
            <w:tcW w:w="1517" w:type="dxa"/>
            <w:shd w:val="clear" w:color="auto" w:fill="92D050"/>
            <w:noWrap/>
            <w:vAlign w:val="bottom"/>
          </w:tcPr>
          <w:p w:rsidR="00F420CB" w:rsidRPr="0085365C" w:rsidRDefault="00F420CB" w:rsidP="00871D79">
            <w:pPr>
              <w:jc w:val="right"/>
              <w:rPr>
                <w:rFonts w:ascii="Calibri" w:hAnsi="Calibri"/>
                <w:b/>
                <w:i/>
                <w:sz w:val="18"/>
                <w:szCs w:val="18"/>
              </w:rPr>
            </w:pPr>
            <w:r w:rsidRPr="000F6B5B">
              <w:rPr>
                <w:rFonts w:ascii="Calibri" w:hAnsi="Calibri"/>
                <w:b/>
                <w:i/>
                <w:sz w:val="18"/>
                <w:szCs w:val="18"/>
              </w:rPr>
              <w:t xml:space="preserve">32.795.677.102 </w:t>
            </w:r>
          </w:p>
        </w:tc>
        <w:tc>
          <w:tcPr>
            <w:tcW w:w="1146" w:type="dxa"/>
            <w:shd w:val="clear" w:color="auto" w:fill="92D050"/>
            <w:noWrap/>
            <w:vAlign w:val="bottom"/>
          </w:tcPr>
          <w:p w:rsidR="00F420CB" w:rsidRPr="00412299" w:rsidRDefault="00F420CB" w:rsidP="00F83FBB">
            <w:pPr>
              <w:jc w:val="right"/>
              <w:rPr>
                <w:rFonts w:ascii="Calibri" w:hAnsi="Calibri"/>
                <w:b/>
                <w:i/>
                <w:sz w:val="18"/>
                <w:szCs w:val="18"/>
              </w:rPr>
            </w:pPr>
            <w:r w:rsidRPr="00972554">
              <w:rPr>
                <w:rFonts w:ascii="Calibri" w:hAnsi="Calibri"/>
                <w:b/>
                <w:i/>
                <w:sz w:val="18"/>
                <w:szCs w:val="18"/>
              </w:rPr>
              <w:t>102,92</w:t>
            </w:r>
          </w:p>
        </w:tc>
        <w:tc>
          <w:tcPr>
            <w:tcW w:w="2055" w:type="dxa"/>
            <w:shd w:val="clear" w:color="auto" w:fill="92D050"/>
            <w:noWrap/>
            <w:vAlign w:val="bottom"/>
          </w:tcPr>
          <w:p w:rsidR="00F420CB" w:rsidRPr="00412299" w:rsidRDefault="00F420CB" w:rsidP="00382B0F">
            <w:pPr>
              <w:jc w:val="right"/>
              <w:rPr>
                <w:rFonts w:ascii="Calibri" w:hAnsi="Calibri"/>
                <w:b/>
                <w:i/>
                <w:sz w:val="18"/>
                <w:szCs w:val="18"/>
              </w:rPr>
            </w:pPr>
            <w:r w:rsidRPr="00972554">
              <w:rPr>
                <w:rFonts w:ascii="Calibri" w:hAnsi="Calibri"/>
                <w:b/>
                <w:i/>
                <w:sz w:val="18"/>
                <w:szCs w:val="18"/>
              </w:rPr>
              <w:t xml:space="preserve">956.748.076 </w:t>
            </w:r>
          </w:p>
        </w:tc>
      </w:tr>
      <w:tr w:rsidR="00F420CB" w:rsidRPr="004D7A53" w:rsidTr="00972554">
        <w:trPr>
          <w:trHeight w:val="300"/>
        </w:trPr>
        <w:tc>
          <w:tcPr>
            <w:tcW w:w="3189" w:type="dxa"/>
            <w:shd w:val="clear" w:color="auto" w:fill="auto"/>
            <w:noWrap/>
          </w:tcPr>
          <w:p w:rsidR="00F420CB" w:rsidRPr="0085365C" w:rsidRDefault="00F420CB" w:rsidP="00871D79">
            <w:pPr>
              <w:jc w:val="left"/>
              <w:rPr>
                <w:rFonts w:ascii="Calibri" w:hAnsi="Calibri"/>
                <w:sz w:val="18"/>
                <w:szCs w:val="18"/>
              </w:rPr>
            </w:pPr>
            <w:r w:rsidRPr="0085365C">
              <w:rPr>
                <w:rFonts w:ascii="Calibri" w:hAnsi="Calibri"/>
                <w:sz w:val="18"/>
                <w:szCs w:val="18"/>
              </w:rPr>
              <w:lastRenderedPageBreak/>
              <w:t>720-Splošni sklad</w:t>
            </w:r>
          </w:p>
        </w:tc>
        <w:tc>
          <w:tcPr>
            <w:tcW w:w="1519" w:type="dxa"/>
            <w:vAlign w:val="bottom"/>
          </w:tcPr>
          <w:p w:rsidR="00F420CB" w:rsidRPr="00116FC1" w:rsidRDefault="00F420CB" w:rsidP="00F83FBB">
            <w:pPr>
              <w:jc w:val="right"/>
              <w:rPr>
                <w:rFonts w:ascii="Calibri" w:hAnsi="Calibri"/>
                <w:sz w:val="18"/>
                <w:szCs w:val="18"/>
              </w:rPr>
            </w:pPr>
            <w:r w:rsidRPr="00972554">
              <w:rPr>
                <w:rFonts w:ascii="Calibri" w:hAnsi="Calibri"/>
                <w:sz w:val="18"/>
                <w:szCs w:val="18"/>
              </w:rPr>
              <w:t xml:space="preserve">1.770.516.293 </w:t>
            </w:r>
          </w:p>
        </w:tc>
        <w:tc>
          <w:tcPr>
            <w:tcW w:w="1517" w:type="dxa"/>
            <w:shd w:val="clear" w:color="auto" w:fill="auto"/>
            <w:noWrap/>
            <w:vAlign w:val="bottom"/>
          </w:tcPr>
          <w:p w:rsidR="00F420CB" w:rsidRPr="0085365C" w:rsidRDefault="00F420CB" w:rsidP="00871D79">
            <w:pPr>
              <w:jc w:val="right"/>
              <w:rPr>
                <w:rFonts w:ascii="Calibri" w:hAnsi="Calibri"/>
                <w:sz w:val="18"/>
                <w:szCs w:val="18"/>
              </w:rPr>
            </w:pPr>
            <w:r w:rsidRPr="000F6B5B">
              <w:rPr>
                <w:rFonts w:ascii="Calibri" w:hAnsi="Calibri" w:cs="Calibri"/>
                <w:color w:val="000000"/>
                <w:sz w:val="18"/>
                <w:szCs w:val="18"/>
                <w:lang w:val="sl-SI" w:eastAsia="sl-SI"/>
              </w:rPr>
              <w:t xml:space="preserve">1.257.761.017 </w:t>
            </w:r>
          </w:p>
        </w:tc>
        <w:tc>
          <w:tcPr>
            <w:tcW w:w="1146" w:type="dxa"/>
            <w:shd w:val="clear" w:color="auto" w:fill="auto"/>
            <w:noWrap/>
            <w:vAlign w:val="bottom"/>
          </w:tcPr>
          <w:p w:rsidR="00F420CB" w:rsidRPr="00412299" w:rsidRDefault="00F420CB" w:rsidP="00F83FBB">
            <w:pPr>
              <w:jc w:val="right"/>
              <w:rPr>
                <w:rFonts w:ascii="Calibri" w:hAnsi="Calibri"/>
                <w:sz w:val="18"/>
                <w:szCs w:val="18"/>
              </w:rPr>
            </w:pPr>
            <w:r w:rsidRPr="00972554">
              <w:rPr>
                <w:rFonts w:ascii="Calibri" w:hAnsi="Calibri"/>
                <w:sz w:val="18"/>
                <w:szCs w:val="18"/>
              </w:rPr>
              <w:t>140,77</w:t>
            </w:r>
          </w:p>
        </w:tc>
        <w:tc>
          <w:tcPr>
            <w:tcW w:w="2055" w:type="dxa"/>
            <w:shd w:val="clear" w:color="auto" w:fill="auto"/>
            <w:noWrap/>
            <w:vAlign w:val="bottom"/>
          </w:tcPr>
          <w:p w:rsidR="00F420CB" w:rsidRPr="00412299" w:rsidRDefault="00F420CB" w:rsidP="00382B0F">
            <w:pPr>
              <w:jc w:val="right"/>
              <w:rPr>
                <w:rFonts w:ascii="Calibri" w:hAnsi="Calibri"/>
                <w:sz w:val="18"/>
                <w:szCs w:val="18"/>
              </w:rPr>
            </w:pPr>
            <w:r w:rsidRPr="00972554">
              <w:rPr>
                <w:rFonts w:ascii="Calibri" w:hAnsi="Calibri"/>
                <w:sz w:val="18"/>
                <w:szCs w:val="18"/>
              </w:rPr>
              <w:t xml:space="preserve">512.755.276 </w:t>
            </w:r>
          </w:p>
        </w:tc>
      </w:tr>
      <w:tr w:rsidR="00F420CB" w:rsidRPr="004D7A53" w:rsidTr="00972554">
        <w:trPr>
          <w:trHeight w:val="300"/>
        </w:trPr>
        <w:tc>
          <w:tcPr>
            <w:tcW w:w="3189" w:type="dxa"/>
            <w:shd w:val="clear" w:color="auto" w:fill="auto"/>
            <w:noWrap/>
          </w:tcPr>
          <w:p w:rsidR="00F420CB" w:rsidRPr="0085365C" w:rsidRDefault="00F420CB" w:rsidP="00871D79">
            <w:pPr>
              <w:jc w:val="left"/>
              <w:rPr>
                <w:rFonts w:ascii="Calibri" w:hAnsi="Calibri"/>
                <w:sz w:val="18"/>
                <w:szCs w:val="18"/>
              </w:rPr>
            </w:pPr>
            <w:r w:rsidRPr="0085365C">
              <w:rPr>
                <w:rFonts w:ascii="Calibri" w:hAnsi="Calibri"/>
                <w:sz w:val="18"/>
                <w:szCs w:val="18"/>
              </w:rPr>
              <w:t>721-Rezervni sklad</w:t>
            </w:r>
          </w:p>
        </w:tc>
        <w:tc>
          <w:tcPr>
            <w:tcW w:w="1519" w:type="dxa"/>
            <w:vAlign w:val="bottom"/>
          </w:tcPr>
          <w:p w:rsidR="00F420CB" w:rsidRPr="00412299" w:rsidRDefault="00F420CB" w:rsidP="00F83FBB">
            <w:pPr>
              <w:jc w:val="right"/>
              <w:rPr>
                <w:rFonts w:ascii="Calibri" w:hAnsi="Calibri"/>
                <w:sz w:val="18"/>
                <w:szCs w:val="18"/>
              </w:rPr>
            </w:pPr>
            <w:r w:rsidRPr="00972554">
              <w:rPr>
                <w:rFonts w:ascii="Calibri" w:hAnsi="Calibri"/>
                <w:sz w:val="18"/>
                <w:szCs w:val="18"/>
              </w:rPr>
              <w:t xml:space="preserve">78.563.693 </w:t>
            </w:r>
          </w:p>
        </w:tc>
        <w:tc>
          <w:tcPr>
            <w:tcW w:w="1517" w:type="dxa"/>
            <w:shd w:val="clear" w:color="auto" w:fill="auto"/>
            <w:noWrap/>
            <w:vAlign w:val="bottom"/>
          </w:tcPr>
          <w:p w:rsidR="00F420CB" w:rsidRPr="0085365C" w:rsidRDefault="00F420CB" w:rsidP="00871D79">
            <w:pPr>
              <w:jc w:val="right"/>
              <w:rPr>
                <w:rFonts w:ascii="Calibri" w:hAnsi="Calibri"/>
                <w:sz w:val="18"/>
                <w:szCs w:val="18"/>
              </w:rPr>
            </w:pPr>
            <w:r w:rsidRPr="000F6B5B">
              <w:rPr>
                <w:rFonts w:ascii="Calibri" w:hAnsi="Calibri" w:cs="Calibri"/>
                <w:color w:val="000000"/>
                <w:sz w:val="18"/>
                <w:szCs w:val="18"/>
                <w:lang w:val="sl-SI" w:eastAsia="sl-SI"/>
              </w:rPr>
              <w:t xml:space="preserve">81.315.754 </w:t>
            </w:r>
          </w:p>
        </w:tc>
        <w:tc>
          <w:tcPr>
            <w:tcW w:w="1146" w:type="dxa"/>
            <w:shd w:val="clear" w:color="auto" w:fill="auto"/>
            <w:noWrap/>
            <w:vAlign w:val="bottom"/>
          </w:tcPr>
          <w:p w:rsidR="00F420CB" w:rsidRPr="00412299" w:rsidRDefault="00F420CB" w:rsidP="00F83FBB">
            <w:pPr>
              <w:jc w:val="right"/>
              <w:rPr>
                <w:rFonts w:ascii="Calibri" w:hAnsi="Calibri"/>
                <w:sz w:val="18"/>
                <w:szCs w:val="18"/>
              </w:rPr>
            </w:pPr>
            <w:r w:rsidRPr="00972554">
              <w:rPr>
                <w:rFonts w:ascii="Calibri" w:hAnsi="Calibri"/>
                <w:sz w:val="18"/>
                <w:szCs w:val="18"/>
              </w:rPr>
              <w:t>96,62</w:t>
            </w:r>
          </w:p>
        </w:tc>
        <w:tc>
          <w:tcPr>
            <w:tcW w:w="2055" w:type="dxa"/>
            <w:shd w:val="clear" w:color="auto" w:fill="auto"/>
            <w:noWrap/>
            <w:vAlign w:val="bottom"/>
          </w:tcPr>
          <w:p w:rsidR="00F420CB" w:rsidRPr="00412299" w:rsidRDefault="00F420CB" w:rsidP="00382B0F">
            <w:pPr>
              <w:jc w:val="right"/>
              <w:rPr>
                <w:rFonts w:ascii="Calibri" w:hAnsi="Calibri"/>
                <w:sz w:val="18"/>
                <w:szCs w:val="18"/>
              </w:rPr>
            </w:pPr>
            <w:r w:rsidRPr="00972554">
              <w:rPr>
                <w:rFonts w:ascii="Calibri" w:hAnsi="Calibri"/>
                <w:sz w:val="18"/>
                <w:szCs w:val="18"/>
              </w:rPr>
              <w:t xml:space="preserve">-2.752.061 </w:t>
            </w:r>
          </w:p>
        </w:tc>
      </w:tr>
      <w:tr w:rsidR="00F420CB" w:rsidRPr="004D7A53" w:rsidTr="00972554">
        <w:trPr>
          <w:trHeight w:val="300"/>
        </w:trPr>
        <w:tc>
          <w:tcPr>
            <w:tcW w:w="3189" w:type="dxa"/>
            <w:shd w:val="clear" w:color="auto" w:fill="auto"/>
            <w:noWrap/>
          </w:tcPr>
          <w:p w:rsidR="00F420CB" w:rsidRPr="0085365C" w:rsidRDefault="00F420CB" w:rsidP="00871D79">
            <w:pPr>
              <w:jc w:val="left"/>
              <w:rPr>
                <w:rFonts w:ascii="Calibri" w:hAnsi="Calibri"/>
                <w:sz w:val="18"/>
                <w:szCs w:val="18"/>
              </w:rPr>
            </w:pPr>
            <w:r w:rsidRPr="0085365C">
              <w:rPr>
                <w:rFonts w:ascii="Calibri" w:hAnsi="Calibri"/>
                <w:sz w:val="18"/>
                <w:szCs w:val="18"/>
              </w:rPr>
              <w:t>722-Dolgoročno prejeta posojila</w:t>
            </w:r>
          </w:p>
        </w:tc>
        <w:tc>
          <w:tcPr>
            <w:tcW w:w="1519" w:type="dxa"/>
            <w:vAlign w:val="bottom"/>
          </w:tcPr>
          <w:p w:rsidR="00F420CB" w:rsidRPr="00412299" w:rsidRDefault="00F420CB" w:rsidP="00F83FBB">
            <w:pPr>
              <w:jc w:val="right"/>
              <w:rPr>
                <w:rFonts w:ascii="Calibri" w:hAnsi="Calibri"/>
                <w:sz w:val="18"/>
                <w:szCs w:val="18"/>
              </w:rPr>
            </w:pPr>
            <w:r w:rsidRPr="00972554">
              <w:rPr>
                <w:rFonts w:ascii="Calibri" w:hAnsi="Calibri"/>
                <w:sz w:val="18"/>
                <w:szCs w:val="18"/>
              </w:rPr>
              <w:t xml:space="preserve">28.888.957.679 </w:t>
            </w:r>
          </w:p>
        </w:tc>
        <w:tc>
          <w:tcPr>
            <w:tcW w:w="1517" w:type="dxa"/>
            <w:shd w:val="clear" w:color="auto" w:fill="auto"/>
            <w:noWrap/>
            <w:vAlign w:val="bottom"/>
          </w:tcPr>
          <w:p w:rsidR="00F420CB" w:rsidRPr="0085365C" w:rsidRDefault="00F420CB" w:rsidP="00871D79">
            <w:pPr>
              <w:jc w:val="right"/>
              <w:rPr>
                <w:rFonts w:ascii="Calibri" w:hAnsi="Calibri"/>
                <w:sz w:val="18"/>
                <w:szCs w:val="18"/>
              </w:rPr>
            </w:pPr>
            <w:r w:rsidRPr="000F6B5B">
              <w:rPr>
                <w:rFonts w:ascii="Calibri" w:hAnsi="Calibri" w:cs="Calibri"/>
                <w:color w:val="000000"/>
                <w:sz w:val="18"/>
                <w:szCs w:val="18"/>
                <w:lang w:val="sl-SI" w:eastAsia="sl-SI"/>
              </w:rPr>
              <w:t xml:space="preserve">28.439.321.633 </w:t>
            </w:r>
          </w:p>
        </w:tc>
        <w:tc>
          <w:tcPr>
            <w:tcW w:w="1146" w:type="dxa"/>
            <w:shd w:val="clear" w:color="auto" w:fill="auto"/>
            <w:noWrap/>
            <w:vAlign w:val="bottom"/>
          </w:tcPr>
          <w:p w:rsidR="00F420CB" w:rsidRPr="00412299" w:rsidRDefault="00F420CB" w:rsidP="00F83FBB">
            <w:pPr>
              <w:jc w:val="right"/>
              <w:rPr>
                <w:rFonts w:ascii="Calibri" w:hAnsi="Calibri"/>
                <w:sz w:val="18"/>
                <w:szCs w:val="18"/>
              </w:rPr>
            </w:pPr>
            <w:r w:rsidRPr="00972554">
              <w:rPr>
                <w:rFonts w:ascii="Calibri" w:hAnsi="Calibri"/>
                <w:sz w:val="18"/>
                <w:szCs w:val="18"/>
              </w:rPr>
              <w:t>101,58</w:t>
            </w:r>
          </w:p>
        </w:tc>
        <w:tc>
          <w:tcPr>
            <w:tcW w:w="2055" w:type="dxa"/>
            <w:shd w:val="clear" w:color="auto" w:fill="auto"/>
            <w:noWrap/>
            <w:vAlign w:val="bottom"/>
          </w:tcPr>
          <w:p w:rsidR="00F420CB" w:rsidRPr="00412299" w:rsidRDefault="00F420CB" w:rsidP="00382B0F">
            <w:pPr>
              <w:jc w:val="right"/>
              <w:rPr>
                <w:rFonts w:ascii="Calibri" w:hAnsi="Calibri"/>
                <w:sz w:val="18"/>
                <w:szCs w:val="18"/>
              </w:rPr>
            </w:pPr>
            <w:r w:rsidRPr="00972554">
              <w:rPr>
                <w:rFonts w:ascii="Calibri" w:hAnsi="Calibri"/>
                <w:sz w:val="18"/>
                <w:szCs w:val="18"/>
              </w:rPr>
              <w:t xml:space="preserve">449.636.046 </w:t>
            </w:r>
          </w:p>
        </w:tc>
      </w:tr>
      <w:tr w:rsidR="00F420CB" w:rsidRPr="004D7A53" w:rsidTr="00972554">
        <w:trPr>
          <w:trHeight w:val="300"/>
        </w:trPr>
        <w:tc>
          <w:tcPr>
            <w:tcW w:w="3189" w:type="dxa"/>
            <w:shd w:val="clear" w:color="auto" w:fill="auto"/>
            <w:noWrap/>
          </w:tcPr>
          <w:p w:rsidR="00F420CB" w:rsidRPr="0085365C" w:rsidRDefault="00F420CB" w:rsidP="00871D79">
            <w:pPr>
              <w:jc w:val="left"/>
              <w:rPr>
                <w:rFonts w:ascii="Calibri" w:hAnsi="Calibri"/>
                <w:sz w:val="18"/>
                <w:szCs w:val="18"/>
              </w:rPr>
            </w:pPr>
            <w:r w:rsidRPr="0085365C">
              <w:rPr>
                <w:rFonts w:ascii="Calibri" w:hAnsi="Calibri"/>
                <w:sz w:val="18"/>
                <w:szCs w:val="18"/>
              </w:rPr>
              <w:t>723-Dolgoročne obveznosti iz poslovanja</w:t>
            </w:r>
          </w:p>
        </w:tc>
        <w:tc>
          <w:tcPr>
            <w:tcW w:w="1519" w:type="dxa"/>
            <w:vAlign w:val="bottom"/>
          </w:tcPr>
          <w:p w:rsidR="00F420CB" w:rsidRPr="00412299" w:rsidRDefault="00F420CB" w:rsidP="00F83FBB">
            <w:pPr>
              <w:jc w:val="right"/>
              <w:rPr>
                <w:rFonts w:ascii="Calibri" w:hAnsi="Calibri"/>
                <w:sz w:val="18"/>
                <w:szCs w:val="18"/>
              </w:rPr>
            </w:pPr>
            <w:r w:rsidRPr="00972554">
              <w:rPr>
                <w:rFonts w:ascii="Calibri" w:hAnsi="Calibri"/>
                <w:sz w:val="18"/>
                <w:szCs w:val="18"/>
              </w:rPr>
              <w:t xml:space="preserve">227.004.141 </w:t>
            </w:r>
          </w:p>
        </w:tc>
        <w:tc>
          <w:tcPr>
            <w:tcW w:w="1517" w:type="dxa"/>
            <w:shd w:val="clear" w:color="auto" w:fill="auto"/>
            <w:noWrap/>
            <w:vAlign w:val="bottom"/>
          </w:tcPr>
          <w:p w:rsidR="00F420CB" w:rsidRPr="0085365C" w:rsidRDefault="00F420CB" w:rsidP="00871D79">
            <w:pPr>
              <w:jc w:val="right"/>
              <w:rPr>
                <w:rFonts w:ascii="Calibri" w:hAnsi="Calibri"/>
                <w:sz w:val="18"/>
                <w:szCs w:val="18"/>
              </w:rPr>
            </w:pPr>
            <w:r w:rsidRPr="000F6B5B">
              <w:rPr>
                <w:rFonts w:ascii="Calibri" w:hAnsi="Calibri" w:cs="Calibri"/>
                <w:color w:val="000000"/>
                <w:sz w:val="18"/>
                <w:szCs w:val="18"/>
                <w:lang w:val="sl-SI" w:eastAsia="sl-SI"/>
              </w:rPr>
              <w:t xml:space="preserve">312.580.555 </w:t>
            </w:r>
          </w:p>
        </w:tc>
        <w:tc>
          <w:tcPr>
            <w:tcW w:w="1146" w:type="dxa"/>
            <w:shd w:val="clear" w:color="auto" w:fill="auto"/>
            <w:noWrap/>
            <w:vAlign w:val="bottom"/>
          </w:tcPr>
          <w:p w:rsidR="00F420CB" w:rsidRPr="00412299" w:rsidRDefault="00F420CB" w:rsidP="00F83FBB">
            <w:pPr>
              <w:jc w:val="right"/>
              <w:rPr>
                <w:rFonts w:ascii="Calibri" w:hAnsi="Calibri"/>
                <w:sz w:val="18"/>
                <w:szCs w:val="18"/>
              </w:rPr>
            </w:pPr>
            <w:r w:rsidRPr="00972554">
              <w:rPr>
                <w:rFonts w:ascii="Calibri" w:hAnsi="Calibri"/>
                <w:sz w:val="18"/>
                <w:szCs w:val="18"/>
              </w:rPr>
              <w:t>72,62</w:t>
            </w:r>
          </w:p>
        </w:tc>
        <w:tc>
          <w:tcPr>
            <w:tcW w:w="2055" w:type="dxa"/>
            <w:shd w:val="clear" w:color="auto" w:fill="auto"/>
            <w:noWrap/>
            <w:vAlign w:val="bottom"/>
          </w:tcPr>
          <w:p w:rsidR="00F420CB" w:rsidRPr="00116FC1" w:rsidRDefault="00F420CB" w:rsidP="00382B0F">
            <w:pPr>
              <w:jc w:val="right"/>
              <w:rPr>
                <w:rFonts w:ascii="Calibri" w:hAnsi="Calibri"/>
                <w:sz w:val="18"/>
                <w:szCs w:val="18"/>
              </w:rPr>
            </w:pPr>
            <w:r w:rsidRPr="00972554">
              <w:rPr>
                <w:rFonts w:ascii="Calibri" w:hAnsi="Calibri"/>
                <w:sz w:val="18"/>
                <w:szCs w:val="18"/>
              </w:rPr>
              <w:t xml:space="preserve">-85.576.414 </w:t>
            </w:r>
          </w:p>
        </w:tc>
      </w:tr>
      <w:tr w:rsidR="00F420CB" w:rsidRPr="004D7A53" w:rsidTr="00972554">
        <w:trPr>
          <w:trHeight w:val="300"/>
        </w:trPr>
        <w:tc>
          <w:tcPr>
            <w:tcW w:w="3189" w:type="dxa"/>
            <w:shd w:val="clear" w:color="auto" w:fill="auto"/>
            <w:noWrap/>
          </w:tcPr>
          <w:p w:rsidR="00F420CB" w:rsidRPr="0085365C" w:rsidRDefault="00F420CB" w:rsidP="00871D79">
            <w:pPr>
              <w:jc w:val="left"/>
              <w:rPr>
                <w:rFonts w:ascii="Calibri" w:hAnsi="Calibri"/>
                <w:sz w:val="18"/>
                <w:szCs w:val="18"/>
              </w:rPr>
            </w:pPr>
            <w:r w:rsidRPr="0085365C">
              <w:rPr>
                <w:rFonts w:ascii="Calibri" w:hAnsi="Calibri"/>
                <w:sz w:val="18"/>
                <w:szCs w:val="18"/>
              </w:rPr>
              <w:t>724-Kratkoročne obveznosti</w:t>
            </w:r>
          </w:p>
        </w:tc>
        <w:tc>
          <w:tcPr>
            <w:tcW w:w="1519" w:type="dxa"/>
            <w:vAlign w:val="bottom"/>
          </w:tcPr>
          <w:p w:rsidR="00F420CB" w:rsidRPr="00412299" w:rsidRDefault="00F420CB" w:rsidP="00F83FBB">
            <w:pPr>
              <w:jc w:val="right"/>
              <w:rPr>
                <w:rFonts w:ascii="Calibri" w:hAnsi="Calibri"/>
                <w:sz w:val="18"/>
                <w:szCs w:val="18"/>
              </w:rPr>
            </w:pPr>
            <w:r w:rsidRPr="00972554">
              <w:rPr>
                <w:rFonts w:ascii="Calibri" w:hAnsi="Calibri"/>
                <w:sz w:val="18"/>
                <w:szCs w:val="18"/>
              </w:rPr>
              <w:t xml:space="preserve">2.623.624.250 </w:t>
            </w:r>
          </w:p>
        </w:tc>
        <w:tc>
          <w:tcPr>
            <w:tcW w:w="1517" w:type="dxa"/>
            <w:shd w:val="clear" w:color="auto" w:fill="auto"/>
            <w:noWrap/>
            <w:vAlign w:val="bottom"/>
          </w:tcPr>
          <w:p w:rsidR="00F420CB" w:rsidRPr="0085365C" w:rsidRDefault="00F420CB" w:rsidP="00871D79">
            <w:pPr>
              <w:jc w:val="right"/>
              <w:rPr>
                <w:rFonts w:ascii="Calibri" w:hAnsi="Calibri"/>
                <w:sz w:val="18"/>
                <w:szCs w:val="18"/>
              </w:rPr>
            </w:pPr>
            <w:r w:rsidRPr="000F6B5B">
              <w:rPr>
                <w:rFonts w:ascii="Calibri" w:hAnsi="Calibri" w:cs="Calibri"/>
                <w:color w:val="000000"/>
                <w:sz w:val="18"/>
                <w:szCs w:val="18"/>
                <w:lang w:val="sl-SI" w:eastAsia="sl-SI"/>
              </w:rPr>
              <w:t xml:space="preserve">2.569.983.339 </w:t>
            </w:r>
          </w:p>
        </w:tc>
        <w:tc>
          <w:tcPr>
            <w:tcW w:w="1146" w:type="dxa"/>
            <w:shd w:val="clear" w:color="auto" w:fill="auto"/>
            <w:noWrap/>
            <w:vAlign w:val="bottom"/>
          </w:tcPr>
          <w:p w:rsidR="00F420CB" w:rsidRPr="00412299" w:rsidRDefault="00F420CB" w:rsidP="00F83FBB">
            <w:pPr>
              <w:jc w:val="right"/>
              <w:rPr>
                <w:rFonts w:ascii="Calibri" w:hAnsi="Calibri"/>
                <w:sz w:val="18"/>
                <w:szCs w:val="18"/>
              </w:rPr>
            </w:pPr>
            <w:r w:rsidRPr="00972554">
              <w:rPr>
                <w:rFonts w:ascii="Calibri" w:hAnsi="Calibri"/>
                <w:sz w:val="18"/>
                <w:szCs w:val="18"/>
              </w:rPr>
              <w:t>102,09</w:t>
            </w:r>
          </w:p>
        </w:tc>
        <w:tc>
          <w:tcPr>
            <w:tcW w:w="2055" w:type="dxa"/>
            <w:shd w:val="clear" w:color="auto" w:fill="auto"/>
            <w:noWrap/>
            <w:vAlign w:val="bottom"/>
          </w:tcPr>
          <w:p w:rsidR="00F420CB" w:rsidRPr="00412299" w:rsidRDefault="00F420CB" w:rsidP="00382B0F">
            <w:pPr>
              <w:jc w:val="right"/>
              <w:rPr>
                <w:rFonts w:ascii="Calibri" w:hAnsi="Calibri"/>
                <w:sz w:val="18"/>
                <w:szCs w:val="18"/>
              </w:rPr>
            </w:pPr>
            <w:r w:rsidRPr="00972554">
              <w:rPr>
                <w:rFonts w:ascii="Calibri" w:hAnsi="Calibri"/>
                <w:sz w:val="18"/>
                <w:szCs w:val="18"/>
              </w:rPr>
              <w:t xml:space="preserve">53.640.911 </w:t>
            </w:r>
          </w:p>
        </w:tc>
      </w:tr>
      <w:tr w:rsidR="00F420CB" w:rsidRPr="004D7A53" w:rsidTr="00972554">
        <w:trPr>
          <w:trHeight w:val="300"/>
        </w:trPr>
        <w:tc>
          <w:tcPr>
            <w:tcW w:w="3189" w:type="dxa"/>
            <w:tcBorders>
              <w:bottom w:val="single" w:sz="4" w:space="0" w:color="auto"/>
            </w:tcBorders>
            <w:shd w:val="clear" w:color="auto" w:fill="auto"/>
            <w:noWrap/>
          </w:tcPr>
          <w:p w:rsidR="00F420CB" w:rsidRPr="0085365C" w:rsidRDefault="00F420CB" w:rsidP="00871D79">
            <w:pPr>
              <w:jc w:val="left"/>
              <w:rPr>
                <w:rFonts w:ascii="Calibri" w:hAnsi="Calibri"/>
                <w:sz w:val="18"/>
                <w:szCs w:val="18"/>
              </w:rPr>
            </w:pPr>
            <w:r w:rsidRPr="0085365C">
              <w:rPr>
                <w:rFonts w:ascii="Calibri" w:hAnsi="Calibri"/>
                <w:sz w:val="18"/>
                <w:szCs w:val="18"/>
              </w:rPr>
              <w:t>725-Druge obveznosti</w:t>
            </w:r>
          </w:p>
        </w:tc>
        <w:tc>
          <w:tcPr>
            <w:tcW w:w="1519" w:type="dxa"/>
            <w:tcBorders>
              <w:bottom w:val="single" w:sz="4" w:space="0" w:color="auto"/>
            </w:tcBorders>
            <w:vAlign w:val="bottom"/>
          </w:tcPr>
          <w:p w:rsidR="00F420CB" w:rsidRPr="00412299" w:rsidRDefault="00F420CB" w:rsidP="00F83FBB">
            <w:pPr>
              <w:jc w:val="right"/>
              <w:rPr>
                <w:rFonts w:ascii="Calibri" w:hAnsi="Calibri"/>
                <w:sz w:val="18"/>
                <w:szCs w:val="18"/>
              </w:rPr>
            </w:pPr>
            <w:r w:rsidRPr="00972554">
              <w:rPr>
                <w:rFonts w:ascii="Calibri" w:hAnsi="Calibri"/>
                <w:sz w:val="18"/>
                <w:szCs w:val="18"/>
              </w:rPr>
              <w:t xml:space="preserve">163.759.122 </w:t>
            </w:r>
          </w:p>
        </w:tc>
        <w:tc>
          <w:tcPr>
            <w:tcW w:w="1517" w:type="dxa"/>
            <w:tcBorders>
              <w:bottom w:val="single" w:sz="4" w:space="0" w:color="auto"/>
            </w:tcBorders>
            <w:shd w:val="clear" w:color="auto" w:fill="auto"/>
            <w:noWrap/>
            <w:vAlign w:val="bottom"/>
          </w:tcPr>
          <w:p w:rsidR="00F420CB" w:rsidRPr="0085365C" w:rsidRDefault="00F420CB" w:rsidP="00871D79">
            <w:pPr>
              <w:jc w:val="right"/>
              <w:rPr>
                <w:rFonts w:ascii="Calibri" w:hAnsi="Calibri"/>
                <w:sz w:val="18"/>
                <w:szCs w:val="18"/>
              </w:rPr>
            </w:pPr>
            <w:r w:rsidRPr="000F6B5B">
              <w:rPr>
                <w:rFonts w:ascii="Calibri" w:hAnsi="Calibri" w:cs="Calibri"/>
                <w:color w:val="000000"/>
                <w:sz w:val="18"/>
                <w:szCs w:val="18"/>
                <w:lang w:val="sl-SI" w:eastAsia="sl-SI"/>
              </w:rPr>
              <w:t xml:space="preserve">134.714.804 </w:t>
            </w:r>
          </w:p>
        </w:tc>
        <w:tc>
          <w:tcPr>
            <w:tcW w:w="1146" w:type="dxa"/>
            <w:tcBorders>
              <w:bottom w:val="single" w:sz="4" w:space="0" w:color="auto"/>
            </w:tcBorders>
            <w:shd w:val="clear" w:color="auto" w:fill="auto"/>
            <w:noWrap/>
            <w:vAlign w:val="bottom"/>
          </w:tcPr>
          <w:p w:rsidR="00F420CB" w:rsidRPr="00412299" w:rsidRDefault="00F420CB" w:rsidP="00F83FBB">
            <w:pPr>
              <w:jc w:val="right"/>
              <w:rPr>
                <w:rFonts w:ascii="Calibri" w:hAnsi="Calibri"/>
                <w:sz w:val="18"/>
                <w:szCs w:val="18"/>
              </w:rPr>
            </w:pPr>
            <w:r w:rsidRPr="00972554">
              <w:rPr>
                <w:rFonts w:ascii="Calibri" w:hAnsi="Calibri"/>
                <w:sz w:val="18"/>
                <w:szCs w:val="18"/>
              </w:rPr>
              <w:t>121,56</w:t>
            </w:r>
          </w:p>
        </w:tc>
        <w:tc>
          <w:tcPr>
            <w:tcW w:w="2055" w:type="dxa"/>
            <w:tcBorders>
              <w:bottom w:val="single" w:sz="4" w:space="0" w:color="auto"/>
            </w:tcBorders>
            <w:shd w:val="clear" w:color="auto" w:fill="auto"/>
            <w:noWrap/>
            <w:vAlign w:val="bottom"/>
          </w:tcPr>
          <w:p w:rsidR="00F420CB" w:rsidRPr="00412299" w:rsidRDefault="00F420CB" w:rsidP="00382B0F">
            <w:pPr>
              <w:jc w:val="right"/>
              <w:rPr>
                <w:rFonts w:ascii="Calibri" w:hAnsi="Calibri"/>
                <w:sz w:val="18"/>
                <w:szCs w:val="18"/>
              </w:rPr>
            </w:pPr>
            <w:r w:rsidRPr="00972554">
              <w:rPr>
                <w:rFonts w:ascii="Calibri" w:hAnsi="Calibri"/>
                <w:sz w:val="18"/>
                <w:szCs w:val="18"/>
              </w:rPr>
              <w:t xml:space="preserve">29.044.318 </w:t>
            </w:r>
          </w:p>
        </w:tc>
      </w:tr>
      <w:tr w:rsidR="00F420CB" w:rsidRPr="004D7A53" w:rsidTr="00972554">
        <w:trPr>
          <w:trHeight w:val="300"/>
        </w:trPr>
        <w:tc>
          <w:tcPr>
            <w:tcW w:w="3189" w:type="dxa"/>
            <w:shd w:val="clear" w:color="auto" w:fill="92D050"/>
            <w:noWrap/>
          </w:tcPr>
          <w:p w:rsidR="00F420CB" w:rsidRPr="0085365C" w:rsidRDefault="00F420CB" w:rsidP="00871D79">
            <w:pPr>
              <w:jc w:val="left"/>
              <w:rPr>
                <w:rFonts w:ascii="Calibri" w:hAnsi="Calibri"/>
                <w:b/>
                <w:i/>
                <w:sz w:val="18"/>
                <w:szCs w:val="18"/>
              </w:rPr>
            </w:pPr>
            <w:r w:rsidRPr="0085365C">
              <w:rPr>
                <w:rFonts w:ascii="Calibri" w:hAnsi="Calibri"/>
                <w:b/>
                <w:i/>
                <w:sz w:val="18"/>
                <w:szCs w:val="18"/>
              </w:rPr>
              <w:t>726-Skupaj pasiva</w:t>
            </w:r>
          </w:p>
        </w:tc>
        <w:tc>
          <w:tcPr>
            <w:tcW w:w="1519" w:type="dxa"/>
            <w:shd w:val="clear" w:color="auto" w:fill="92D050"/>
            <w:vAlign w:val="bottom"/>
          </w:tcPr>
          <w:p w:rsidR="00F420CB" w:rsidRPr="00412299" w:rsidRDefault="00F420CB" w:rsidP="00F83FBB">
            <w:pPr>
              <w:jc w:val="right"/>
              <w:rPr>
                <w:rFonts w:ascii="Calibri" w:hAnsi="Calibri"/>
                <w:b/>
                <w:i/>
                <w:sz w:val="18"/>
                <w:szCs w:val="18"/>
              </w:rPr>
            </w:pPr>
            <w:r w:rsidRPr="00972554">
              <w:rPr>
                <w:rFonts w:ascii="Calibri" w:hAnsi="Calibri"/>
                <w:b/>
                <w:i/>
                <w:sz w:val="18"/>
                <w:szCs w:val="18"/>
              </w:rPr>
              <w:t xml:space="preserve">33.752.425.178 </w:t>
            </w:r>
          </w:p>
        </w:tc>
        <w:tc>
          <w:tcPr>
            <w:tcW w:w="1517" w:type="dxa"/>
            <w:shd w:val="clear" w:color="auto" w:fill="92D050"/>
            <w:noWrap/>
            <w:vAlign w:val="bottom"/>
          </w:tcPr>
          <w:p w:rsidR="00F420CB" w:rsidRPr="0085365C" w:rsidRDefault="00F420CB" w:rsidP="00871D79">
            <w:pPr>
              <w:jc w:val="right"/>
              <w:rPr>
                <w:rFonts w:ascii="Calibri" w:hAnsi="Calibri"/>
                <w:b/>
                <w:i/>
                <w:sz w:val="18"/>
                <w:szCs w:val="18"/>
              </w:rPr>
            </w:pPr>
            <w:r w:rsidRPr="000F6B5B">
              <w:rPr>
                <w:rFonts w:ascii="Calibri" w:hAnsi="Calibri"/>
                <w:b/>
                <w:i/>
                <w:sz w:val="18"/>
                <w:szCs w:val="18"/>
              </w:rPr>
              <w:t xml:space="preserve">32.795.677.102 </w:t>
            </w:r>
          </w:p>
        </w:tc>
        <w:tc>
          <w:tcPr>
            <w:tcW w:w="1146" w:type="dxa"/>
            <w:shd w:val="clear" w:color="auto" w:fill="92D050"/>
            <w:noWrap/>
            <w:vAlign w:val="bottom"/>
          </w:tcPr>
          <w:p w:rsidR="00F420CB" w:rsidRPr="00412299" w:rsidRDefault="00F420CB" w:rsidP="00F83FBB">
            <w:pPr>
              <w:jc w:val="right"/>
              <w:rPr>
                <w:rFonts w:ascii="Calibri" w:hAnsi="Calibri"/>
                <w:b/>
                <w:i/>
                <w:sz w:val="18"/>
                <w:szCs w:val="18"/>
              </w:rPr>
            </w:pPr>
            <w:r w:rsidRPr="00972554">
              <w:rPr>
                <w:rFonts w:ascii="Calibri" w:hAnsi="Calibri"/>
                <w:b/>
                <w:i/>
                <w:sz w:val="18"/>
                <w:szCs w:val="18"/>
              </w:rPr>
              <w:t>102,92</w:t>
            </w:r>
          </w:p>
        </w:tc>
        <w:tc>
          <w:tcPr>
            <w:tcW w:w="2055" w:type="dxa"/>
            <w:shd w:val="clear" w:color="auto" w:fill="92D050"/>
            <w:noWrap/>
            <w:vAlign w:val="bottom"/>
          </w:tcPr>
          <w:p w:rsidR="00F420CB" w:rsidRPr="00412299" w:rsidRDefault="00F420CB" w:rsidP="00382B0F">
            <w:pPr>
              <w:jc w:val="right"/>
              <w:rPr>
                <w:rFonts w:ascii="Calibri" w:hAnsi="Calibri"/>
                <w:b/>
                <w:i/>
                <w:sz w:val="18"/>
                <w:szCs w:val="18"/>
              </w:rPr>
            </w:pPr>
            <w:r w:rsidRPr="00972554">
              <w:rPr>
                <w:rFonts w:ascii="Calibri" w:hAnsi="Calibri"/>
                <w:b/>
                <w:i/>
                <w:sz w:val="18"/>
                <w:szCs w:val="18"/>
              </w:rPr>
              <w:t xml:space="preserve">956.748.076 </w:t>
            </w:r>
          </w:p>
        </w:tc>
      </w:tr>
    </w:tbl>
    <w:p w:rsidR="00C371D5" w:rsidRDefault="00C371D5" w:rsidP="00007D56"/>
    <w:p w:rsidR="00C371D5" w:rsidRDefault="00C371D5" w:rsidP="00007D56">
      <w:r w:rsidRPr="005860EA">
        <w:rPr>
          <w:b/>
        </w:rPr>
        <w:t xml:space="preserve">Med aktivnimi </w:t>
      </w:r>
      <w:proofErr w:type="gramStart"/>
      <w:r w:rsidRPr="005860EA">
        <w:rPr>
          <w:b/>
        </w:rPr>
        <w:t xml:space="preserve">postavkami </w:t>
      </w:r>
      <w:r w:rsidR="00870D78" w:rsidRPr="005860EA">
        <w:rPr>
          <w:b/>
        </w:rPr>
        <w:t xml:space="preserve"> </w:t>
      </w:r>
      <w:r w:rsidRPr="005860EA">
        <w:rPr>
          <w:b/>
        </w:rPr>
        <w:t>premoženjske</w:t>
      </w:r>
      <w:proofErr w:type="gramEnd"/>
      <w:r w:rsidRPr="005860EA">
        <w:rPr>
          <w:b/>
        </w:rPr>
        <w:t xml:space="preserve"> bilance države imajo največji delež v premoženju dolgoročne finančne naložbe (</w:t>
      </w:r>
      <w:r w:rsidR="000633CD">
        <w:rPr>
          <w:b/>
        </w:rPr>
        <w:t>3</w:t>
      </w:r>
      <w:r w:rsidR="00400E05">
        <w:rPr>
          <w:b/>
        </w:rPr>
        <w:t>3</w:t>
      </w:r>
      <w:r w:rsidR="00674927">
        <w:rPr>
          <w:b/>
        </w:rPr>
        <w:t>%</w:t>
      </w:r>
      <w:r w:rsidRPr="005860EA">
        <w:rPr>
          <w:b/>
        </w:rPr>
        <w:t>), sledijo nepremičnine (</w:t>
      </w:r>
      <w:r w:rsidR="000633CD">
        <w:rPr>
          <w:b/>
        </w:rPr>
        <w:t>2</w:t>
      </w:r>
      <w:r w:rsidR="00400E05">
        <w:rPr>
          <w:b/>
        </w:rPr>
        <w:t>6</w:t>
      </w:r>
      <w:r w:rsidR="00674927">
        <w:rPr>
          <w:b/>
        </w:rPr>
        <w:t>%</w:t>
      </w:r>
      <w:r w:rsidRPr="005860EA">
        <w:rPr>
          <w:b/>
        </w:rPr>
        <w:t>).</w:t>
      </w:r>
      <w:r>
        <w:t xml:space="preserve"> </w:t>
      </w:r>
      <w:proofErr w:type="gramStart"/>
      <w:r>
        <w:t xml:space="preserve">Podroben prikaz posameznih deležev prikazuje </w:t>
      </w:r>
      <w:r>
        <w:fldChar w:fldCharType="begin"/>
      </w:r>
      <w:r>
        <w:instrText xml:space="preserve"> REF _Ref389054274 \h </w:instrText>
      </w:r>
      <w:r>
        <w:fldChar w:fldCharType="separate"/>
      </w:r>
      <w:r w:rsidR="00CE55C4">
        <w:t xml:space="preserve">Slika </w:t>
      </w:r>
      <w:r w:rsidR="00CE55C4">
        <w:rPr>
          <w:noProof/>
        </w:rPr>
        <w:t>8</w:t>
      </w:r>
      <w:r>
        <w:fldChar w:fldCharType="end"/>
      </w:r>
      <w:r>
        <w:t>.</w:t>
      </w:r>
      <w:proofErr w:type="gramEnd"/>
    </w:p>
    <w:p w:rsidR="00C371D5" w:rsidRDefault="00C371D5" w:rsidP="00007D56"/>
    <w:p w:rsidR="00E22F9C" w:rsidRDefault="00E22F9C" w:rsidP="00E22F9C">
      <w:pPr>
        <w:pStyle w:val="Caption"/>
      </w:pPr>
      <w:bookmarkStart w:id="58" w:name="_Ref389054274"/>
      <w:bookmarkStart w:id="59" w:name="_Toc49771353"/>
      <w:r>
        <w:t xml:space="preserve">Slika </w:t>
      </w:r>
      <w:r>
        <w:fldChar w:fldCharType="begin"/>
      </w:r>
      <w:r>
        <w:instrText xml:space="preserve"> SEQ Slika \* ARABIC </w:instrText>
      </w:r>
      <w:r>
        <w:fldChar w:fldCharType="separate"/>
      </w:r>
      <w:r w:rsidR="00CE55C4">
        <w:rPr>
          <w:noProof/>
        </w:rPr>
        <w:t>8</w:t>
      </w:r>
      <w:r>
        <w:fldChar w:fldCharType="end"/>
      </w:r>
      <w:bookmarkEnd w:id="58"/>
      <w:r>
        <w:t xml:space="preserve">: Delež </w:t>
      </w:r>
      <w:r w:rsidR="00DD36C2">
        <w:t xml:space="preserve">aktivnih </w:t>
      </w:r>
      <w:r>
        <w:t xml:space="preserve">postavk premoženjske bilance države v bilančni vsoti </w:t>
      </w:r>
      <w:proofErr w:type="gramStart"/>
      <w:r>
        <w:t>na</w:t>
      </w:r>
      <w:proofErr w:type="gramEnd"/>
      <w:r>
        <w:t xml:space="preserve"> dan 31.12.201</w:t>
      </w:r>
      <w:r w:rsidR="00400E05">
        <w:t>8</w:t>
      </w:r>
      <w:bookmarkEnd w:id="59"/>
    </w:p>
    <w:p w:rsidR="00157F41" w:rsidRDefault="00583F4C" w:rsidP="008F0A8D">
      <w:pPr>
        <w:spacing w:line="240" w:lineRule="auto"/>
        <w:jc w:val="center"/>
      </w:pPr>
      <w:r>
        <w:rPr>
          <w:noProof/>
          <w:lang w:val="sl-SI" w:eastAsia="sl-SI"/>
        </w:rPr>
        <w:drawing>
          <wp:inline distT="0" distB="0" distL="0" distR="0" wp14:anchorId="4217E444" wp14:editId="299CEECE">
            <wp:extent cx="4363085" cy="3006090"/>
            <wp:effectExtent l="0" t="0" r="0" b="3810"/>
            <wp:docPr id="274" name="Picture 274" descr="Delež aktivnih postavk PBD 2018" title="Delež aktivnih postavk premoženjske bilance države v bilančni vsoti na dan 31.12.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63085" cy="3006090"/>
                    </a:xfrm>
                    <a:prstGeom prst="rect">
                      <a:avLst/>
                    </a:prstGeom>
                    <a:noFill/>
                  </pic:spPr>
                </pic:pic>
              </a:graphicData>
            </a:graphic>
          </wp:inline>
        </w:drawing>
      </w:r>
    </w:p>
    <w:p w:rsidR="00401743" w:rsidRDefault="00400E05" w:rsidP="00401743">
      <w:proofErr w:type="gramStart"/>
      <w:r>
        <w:rPr>
          <w:b/>
        </w:rPr>
        <w:t>M</w:t>
      </w:r>
      <w:r w:rsidR="00052194" w:rsidRPr="005860EA">
        <w:rPr>
          <w:b/>
        </w:rPr>
        <w:t>ed pasivnimi postavkami premoženjske bilance države imajo največji delež med obveznostmi dolgoročno prejeta posojila (</w:t>
      </w:r>
      <w:r w:rsidR="00F95483">
        <w:rPr>
          <w:b/>
        </w:rPr>
        <w:t>8</w:t>
      </w:r>
      <w:r w:rsidR="00097AFE">
        <w:rPr>
          <w:b/>
        </w:rPr>
        <w:t>6</w:t>
      </w:r>
      <w:r w:rsidR="00D7125C">
        <w:rPr>
          <w:b/>
        </w:rPr>
        <w:t>%</w:t>
      </w:r>
      <w:r w:rsidR="00052194" w:rsidRPr="005860EA">
        <w:rPr>
          <w:b/>
        </w:rPr>
        <w:t>).</w:t>
      </w:r>
      <w:proofErr w:type="gramEnd"/>
      <w:r w:rsidR="00052194">
        <w:t xml:space="preserve"> </w:t>
      </w:r>
      <w:proofErr w:type="gramStart"/>
      <w:r w:rsidR="00052194" w:rsidRPr="00C53682">
        <w:t>Podroben prikaz posameznih deležev prikazuje</w:t>
      </w:r>
      <w:bookmarkStart w:id="60" w:name="_Ref389206387"/>
      <w:r w:rsidR="00C50B40">
        <w:t xml:space="preserve"> </w:t>
      </w:r>
      <w:r w:rsidR="00C50B40">
        <w:fldChar w:fldCharType="begin"/>
      </w:r>
      <w:r w:rsidR="00C50B40">
        <w:instrText xml:space="preserve"> REF _Ref389470972 \h </w:instrText>
      </w:r>
      <w:r w:rsidR="00C50B40">
        <w:fldChar w:fldCharType="separate"/>
      </w:r>
      <w:r w:rsidR="00CE55C4">
        <w:t xml:space="preserve">Slika </w:t>
      </w:r>
      <w:r w:rsidR="00CE55C4">
        <w:rPr>
          <w:noProof/>
        </w:rPr>
        <w:t>9</w:t>
      </w:r>
      <w:r w:rsidR="00C50B40">
        <w:fldChar w:fldCharType="end"/>
      </w:r>
      <w:r w:rsidR="00C50B40">
        <w:t>.</w:t>
      </w:r>
      <w:bookmarkStart w:id="61" w:name="_Ref389470972"/>
      <w:proofErr w:type="gramEnd"/>
    </w:p>
    <w:p w:rsidR="00401743" w:rsidRDefault="00401743">
      <w:pPr>
        <w:spacing w:line="240" w:lineRule="auto"/>
        <w:jc w:val="left"/>
      </w:pPr>
      <w:r>
        <w:br w:type="page"/>
      </w:r>
    </w:p>
    <w:p w:rsidR="00C53682" w:rsidRPr="00401743" w:rsidRDefault="00C50B40" w:rsidP="00401743">
      <w:pPr>
        <w:rPr>
          <w:b/>
          <w:bCs/>
          <w:szCs w:val="20"/>
        </w:rPr>
      </w:pPr>
      <w:bookmarkStart w:id="62" w:name="_Toc49771354"/>
      <w:r w:rsidRPr="00401743">
        <w:rPr>
          <w:b/>
          <w:bCs/>
          <w:szCs w:val="20"/>
        </w:rPr>
        <w:lastRenderedPageBreak/>
        <w:t xml:space="preserve">Slika </w:t>
      </w:r>
      <w:r w:rsidRPr="00401743">
        <w:rPr>
          <w:b/>
          <w:bCs/>
          <w:szCs w:val="20"/>
        </w:rPr>
        <w:fldChar w:fldCharType="begin"/>
      </w:r>
      <w:r w:rsidRPr="00401743">
        <w:rPr>
          <w:b/>
          <w:bCs/>
          <w:szCs w:val="20"/>
        </w:rPr>
        <w:instrText xml:space="preserve"> SEQ Slika \* ARABIC </w:instrText>
      </w:r>
      <w:r w:rsidRPr="00401743">
        <w:rPr>
          <w:b/>
          <w:bCs/>
          <w:szCs w:val="20"/>
        </w:rPr>
        <w:fldChar w:fldCharType="separate"/>
      </w:r>
      <w:r w:rsidR="00CE55C4" w:rsidRPr="00401743">
        <w:rPr>
          <w:b/>
          <w:bCs/>
          <w:szCs w:val="20"/>
        </w:rPr>
        <w:t>9</w:t>
      </w:r>
      <w:r w:rsidRPr="00401743">
        <w:rPr>
          <w:b/>
          <w:bCs/>
          <w:szCs w:val="20"/>
        </w:rPr>
        <w:fldChar w:fldCharType="end"/>
      </w:r>
      <w:bookmarkEnd w:id="61"/>
      <w:r w:rsidRPr="00401743">
        <w:rPr>
          <w:b/>
          <w:bCs/>
          <w:szCs w:val="20"/>
        </w:rPr>
        <w:t>:</w:t>
      </w:r>
      <w:r w:rsidR="00255720" w:rsidRPr="00401743">
        <w:rPr>
          <w:b/>
          <w:bCs/>
          <w:szCs w:val="20"/>
        </w:rPr>
        <w:t xml:space="preserve"> Delež pasivnih postavk premoženjske bilance države v bilančni vsoti </w:t>
      </w:r>
      <w:proofErr w:type="gramStart"/>
      <w:r w:rsidR="00255720" w:rsidRPr="00401743">
        <w:rPr>
          <w:b/>
          <w:bCs/>
          <w:szCs w:val="20"/>
        </w:rPr>
        <w:t>na</w:t>
      </w:r>
      <w:proofErr w:type="gramEnd"/>
      <w:r w:rsidR="00255720" w:rsidRPr="00401743">
        <w:rPr>
          <w:b/>
          <w:bCs/>
          <w:szCs w:val="20"/>
        </w:rPr>
        <w:t xml:space="preserve"> dan 31.12.201</w:t>
      </w:r>
      <w:bookmarkEnd w:id="60"/>
      <w:r w:rsidR="00097AFE" w:rsidRPr="00401743">
        <w:rPr>
          <w:b/>
          <w:bCs/>
          <w:szCs w:val="20"/>
        </w:rPr>
        <w:t>8</w:t>
      </w:r>
      <w:bookmarkEnd w:id="62"/>
    </w:p>
    <w:p w:rsidR="00C50B40" w:rsidRDefault="00BA6A7A" w:rsidP="00BA6A7A">
      <w:pPr>
        <w:spacing w:line="240" w:lineRule="auto"/>
        <w:jc w:val="center"/>
      </w:pPr>
      <w:r>
        <w:rPr>
          <w:noProof/>
          <w:lang w:val="sl-SI" w:eastAsia="sl-SI"/>
        </w:rPr>
        <w:drawing>
          <wp:inline distT="0" distB="0" distL="0" distR="0" wp14:anchorId="0482101C" wp14:editId="0CB0A94A">
            <wp:extent cx="3058160" cy="2246630"/>
            <wp:effectExtent l="0" t="0" r="8890" b="1270"/>
            <wp:docPr id="276" name="Picture 276" descr="Delež pasivnih postavk PBD 2018" title="Delež pasivnih postavk premoženjske bilance države v bilančni vsoti na dan 31.12.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58160" cy="2246630"/>
                    </a:xfrm>
                    <a:prstGeom prst="rect">
                      <a:avLst/>
                    </a:prstGeom>
                    <a:noFill/>
                  </pic:spPr>
                </pic:pic>
              </a:graphicData>
            </a:graphic>
          </wp:inline>
        </w:drawing>
      </w:r>
    </w:p>
    <w:p w:rsidR="00C50B40" w:rsidRDefault="00C50B40" w:rsidP="00C50B40"/>
    <w:p w:rsidR="00604BB7" w:rsidRPr="00604BB7" w:rsidRDefault="00097AFE" w:rsidP="00604BB7">
      <w:r>
        <w:t>P</w:t>
      </w:r>
      <w:r w:rsidR="00F918A3">
        <w:t>orazde</w:t>
      </w:r>
      <w:r w:rsidR="0042664D">
        <w:t>litev premoženja države med NPU in PPU državnega proračuna</w:t>
      </w:r>
      <w:r w:rsidR="00F918A3">
        <w:t xml:space="preserve"> </w:t>
      </w:r>
      <w:proofErr w:type="gramStart"/>
      <w:r w:rsidR="00F918A3">
        <w:t>na</w:t>
      </w:r>
      <w:proofErr w:type="gramEnd"/>
      <w:r w:rsidR="00F918A3">
        <w:t xml:space="preserve"> dan 31.12.201</w:t>
      </w:r>
      <w:r w:rsidR="00F60C53">
        <w:t>8</w:t>
      </w:r>
      <w:r w:rsidR="00F918A3">
        <w:t xml:space="preserve"> prikazuje</w:t>
      </w:r>
      <w:r w:rsidR="00604BB7">
        <w:t xml:space="preserve"> </w:t>
      </w:r>
      <w:bookmarkStart w:id="63" w:name="_Ref389469387"/>
      <w:r w:rsidR="00604BB7">
        <w:t>Tabela 7.</w:t>
      </w:r>
    </w:p>
    <w:p w:rsidR="00583460" w:rsidRDefault="00583460" w:rsidP="00F918A3">
      <w:pPr>
        <w:pStyle w:val="Caption"/>
      </w:pPr>
      <w:bookmarkStart w:id="64" w:name="_Ref391641320"/>
    </w:p>
    <w:p w:rsidR="00F918A3" w:rsidRDefault="00F918A3" w:rsidP="00F918A3">
      <w:pPr>
        <w:pStyle w:val="Caption"/>
      </w:pPr>
      <w:bookmarkStart w:id="65" w:name="_Toc49771329"/>
      <w:r>
        <w:t xml:space="preserve">Tabela </w:t>
      </w:r>
      <w:r>
        <w:fldChar w:fldCharType="begin"/>
      </w:r>
      <w:r>
        <w:instrText xml:space="preserve"> SEQ Tabela \* ARABIC </w:instrText>
      </w:r>
      <w:r>
        <w:fldChar w:fldCharType="separate"/>
      </w:r>
      <w:r w:rsidR="00CE55C4">
        <w:rPr>
          <w:noProof/>
        </w:rPr>
        <w:t>7</w:t>
      </w:r>
      <w:r>
        <w:fldChar w:fldCharType="end"/>
      </w:r>
      <w:bookmarkEnd w:id="63"/>
      <w:bookmarkEnd w:id="64"/>
      <w:r>
        <w:t>: Porazde</w:t>
      </w:r>
      <w:r w:rsidR="0042664D">
        <w:t>litev premoženja države med NPU</w:t>
      </w:r>
      <w:r>
        <w:t xml:space="preserve"> in PP</w:t>
      </w:r>
      <w:r w:rsidR="0042664D">
        <w:t>U državnega proraču</w:t>
      </w:r>
      <w:r w:rsidR="00C95B45">
        <w:t>n</w:t>
      </w:r>
      <w:r w:rsidR="0042664D">
        <w:t>a</w:t>
      </w:r>
      <w:r>
        <w:t xml:space="preserve"> </w:t>
      </w:r>
      <w:proofErr w:type="gramStart"/>
      <w:r>
        <w:t>na</w:t>
      </w:r>
      <w:proofErr w:type="gramEnd"/>
      <w:r>
        <w:t xml:space="preserve"> dan 31.12.201</w:t>
      </w:r>
      <w:r w:rsidR="00F60C53">
        <w:t>8</w:t>
      </w:r>
      <w:bookmarkEnd w:id="65"/>
    </w:p>
    <w:p w:rsidR="0059603D" w:rsidRDefault="0059603D" w:rsidP="00007D56"/>
    <w:tbl>
      <w:tblPr>
        <w:tblW w:w="85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94"/>
        <w:gridCol w:w="1418"/>
        <w:gridCol w:w="708"/>
      </w:tblGrid>
      <w:tr w:rsidR="006377A8" w:rsidRPr="007C4768" w:rsidTr="00F918A3">
        <w:trPr>
          <w:trHeight w:val="300"/>
          <w:tblHeader/>
        </w:trPr>
        <w:tc>
          <w:tcPr>
            <w:tcW w:w="6394" w:type="dxa"/>
            <w:shd w:val="pct25" w:color="auto" w:fill="auto"/>
            <w:noWrap/>
            <w:vAlign w:val="bottom"/>
          </w:tcPr>
          <w:p w:rsidR="006377A8" w:rsidRPr="00A72BED" w:rsidRDefault="006377A8" w:rsidP="006377A8">
            <w:pPr>
              <w:jc w:val="left"/>
              <w:rPr>
                <w:rFonts w:ascii="Calibri" w:hAnsi="Calibri"/>
                <w:b/>
                <w:sz w:val="18"/>
                <w:szCs w:val="18"/>
              </w:rPr>
            </w:pPr>
          </w:p>
        </w:tc>
        <w:tc>
          <w:tcPr>
            <w:tcW w:w="2126" w:type="dxa"/>
            <w:gridSpan w:val="2"/>
            <w:shd w:val="pct25" w:color="auto" w:fill="auto"/>
            <w:noWrap/>
            <w:vAlign w:val="bottom"/>
          </w:tcPr>
          <w:p w:rsidR="006377A8" w:rsidRPr="00A72BED" w:rsidRDefault="006377A8" w:rsidP="00F83FBB">
            <w:pPr>
              <w:jc w:val="center"/>
              <w:rPr>
                <w:rFonts w:ascii="Calibri" w:hAnsi="Calibri"/>
                <w:b/>
                <w:sz w:val="18"/>
                <w:szCs w:val="18"/>
              </w:rPr>
            </w:pPr>
            <w:r w:rsidRPr="00A72BED">
              <w:rPr>
                <w:rFonts w:ascii="Calibri" w:hAnsi="Calibri"/>
                <w:b/>
                <w:sz w:val="18"/>
                <w:szCs w:val="18"/>
              </w:rPr>
              <w:t>Stanje na dan 31.12.201</w:t>
            </w:r>
            <w:r w:rsidR="00F60C53">
              <w:rPr>
                <w:rFonts w:ascii="Calibri" w:hAnsi="Calibri"/>
                <w:b/>
                <w:sz w:val="18"/>
                <w:szCs w:val="18"/>
              </w:rPr>
              <w:t>8</w:t>
            </w:r>
          </w:p>
        </w:tc>
      </w:tr>
      <w:tr w:rsidR="006377A8" w:rsidRPr="007C4768" w:rsidTr="00F918A3">
        <w:trPr>
          <w:trHeight w:val="300"/>
          <w:tblHeader/>
        </w:trPr>
        <w:tc>
          <w:tcPr>
            <w:tcW w:w="6394" w:type="dxa"/>
            <w:shd w:val="pct25" w:color="auto" w:fill="auto"/>
            <w:noWrap/>
            <w:vAlign w:val="bottom"/>
          </w:tcPr>
          <w:p w:rsidR="006377A8" w:rsidRPr="00A72BED" w:rsidRDefault="006377A8" w:rsidP="006377A8">
            <w:pPr>
              <w:jc w:val="center"/>
              <w:rPr>
                <w:rFonts w:ascii="Calibri" w:hAnsi="Calibri"/>
                <w:b/>
                <w:sz w:val="18"/>
                <w:szCs w:val="18"/>
              </w:rPr>
            </w:pPr>
            <w:r w:rsidRPr="00A72BED">
              <w:rPr>
                <w:rFonts w:ascii="Calibri" w:hAnsi="Calibri"/>
                <w:b/>
                <w:sz w:val="18"/>
                <w:szCs w:val="18"/>
              </w:rPr>
              <w:t>Oznaka in naziv AOP</w:t>
            </w:r>
          </w:p>
        </w:tc>
        <w:tc>
          <w:tcPr>
            <w:tcW w:w="1418" w:type="dxa"/>
            <w:shd w:val="pct25" w:color="auto" w:fill="auto"/>
            <w:noWrap/>
            <w:vAlign w:val="bottom"/>
          </w:tcPr>
          <w:p w:rsidR="006377A8" w:rsidRPr="00A72BED" w:rsidRDefault="006377A8" w:rsidP="006377A8">
            <w:pPr>
              <w:jc w:val="center"/>
              <w:rPr>
                <w:rFonts w:ascii="Calibri" w:hAnsi="Calibri"/>
                <w:b/>
                <w:sz w:val="18"/>
                <w:szCs w:val="18"/>
              </w:rPr>
            </w:pPr>
            <w:r w:rsidRPr="00A72BED">
              <w:rPr>
                <w:rFonts w:ascii="Calibri" w:hAnsi="Calibri"/>
                <w:b/>
                <w:sz w:val="18"/>
                <w:szCs w:val="18"/>
              </w:rPr>
              <w:t>(</w:t>
            </w:r>
            <w:r w:rsidR="00DC1799">
              <w:rPr>
                <w:rFonts w:ascii="Calibri" w:hAnsi="Calibri"/>
                <w:b/>
                <w:sz w:val="18"/>
                <w:szCs w:val="18"/>
              </w:rPr>
              <w:t>€</w:t>
            </w:r>
            <w:r w:rsidRPr="00A72BED">
              <w:rPr>
                <w:rFonts w:ascii="Calibri" w:hAnsi="Calibri"/>
                <w:b/>
                <w:sz w:val="18"/>
                <w:szCs w:val="18"/>
              </w:rPr>
              <w:t>)</w:t>
            </w:r>
          </w:p>
        </w:tc>
        <w:tc>
          <w:tcPr>
            <w:tcW w:w="708" w:type="dxa"/>
            <w:shd w:val="pct25" w:color="auto" w:fill="auto"/>
          </w:tcPr>
          <w:p w:rsidR="006377A8" w:rsidRPr="00A72BED" w:rsidRDefault="00DC1799" w:rsidP="006377A8">
            <w:pPr>
              <w:jc w:val="center"/>
              <w:rPr>
                <w:rFonts w:ascii="Calibri" w:hAnsi="Calibri"/>
                <w:b/>
                <w:sz w:val="18"/>
                <w:szCs w:val="18"/>
              </w:rPr>
            </w:pPr>
            <w:r>
              <w:rPr>
                <w:rFonts w:ascii="Calibri" w:hAnsi="Calibri"/>
                <w:b/>
                <w:sz w:val="18"/>
                <w:szCs w:val="18"/>
              </w:rPr>
              <w:t>%</w:t>
            </w:r>
          </w:p>
        </w:tc>
      </w:tr>
      <w:tr w:rsidR="006377A8" w:rsidRPr="007C4768" w:rsidTr="00F918A3">
        <w:trPr>
          <w:trHeight w:val="300"/>
          <w:tblHeader/>
        </w:trPr>
        <w:tc>
          <w:tcPr>
            <w:tcW w:w="6394" w:type="dxa"/>
            <w:shd w:val="pct25" w:color="auto" w:fill="auto"/>
            <w:noWrap/>
            <w:vAlign w:val="bottom"/>
          </w:tcPr>
          <w:p w:rsidR="006377A8" w:rsidRPr="00A72BED" w:rsidRDefault="006377A8" w:rsidP="006377A8">
            <w:pPr>
              <w:jc w:val="center"/>
              <w:rPr>
                <w:rFonts w:ascii="Calibri" w:hAnsi="Calibri"/>
                <w:b/>
                <w:sz w:val="18"/>
                <w:szCs w:val="18"/>
              </w:rPr>
            </w:pPr>
            <w:r w:rsidRPr="00A72BED">
              <w:rPr>
                <w:rFonts w:ascii="Calibri" w:hAnsi="Calibri"/>
                <w:b/>
                <w:sz w:val="18"/>
                <w:szCs w:val="18"/>
              </w:rPr>
              <w:t>1</w:t>
            </w:r>
          </w:p>
        </w:tc>
        <w:tc>
          <w:tcPr>
            <w:tcW w:w="1418" w:type="dxa"/>
            <w:shd w:val="pct25" w:color="auto" w:fill="auto"/>
            <w:noWrap/>
            <w:vAlign w:val="bottom"/>
          </w:tcPr>
          <w:p w:rsidR="006377A8" w:rsidRPr="00A72BED" w:rsidRDefault="006377A8" w:rsidP="006377A8">
            <w:pPr>
              <w:jc w:val="center"/>
              <w:rPr>
                <w:rFonts w:ascii="Calibri" w:hAnsi="Calibri"/>
                <w:b/>
                <w:sz w:val="18"/>
                <w:szCs w:val="18"/>
              </w:rPr>
            </w:pPr>
            <w:r w:rsidRPr="00A72BED">
              <w:rPr>
                <w:rFonts w:ascii="Calibri" w:hAnsi="Calibri"/>
                <w:b/>
                <w:sz w:val="18"/>
                <w:szCs w:val="18"/>
              </w:rPr>
              <w:t>2</w:t>
            </w:r>
          </w:p>
        </w:tc>
        <w:tc>
          <w:tcPr>
            <w:tcW w:w="708" w:type="dxa"/>
            <w:shd w:val="pct25" w:color="auto" w:fill="auto"/>
          </w:tcPr>
          <w:p w:rsidR="006377A8" w:rsidRPr="00A72BED" w:rsidRDefault="006377A8" w:rsidP="006377A8">
            <w:pPr>
              <w:jc w:val="center"/>
              <w:rPr>
                <w:rFonts w:ascii="Calibri" w:hAnsi="Calibri"/>
                <w:b/>
                <w:sz w:val="18"/>
                <w:szCs w:val="18"/>
              </w:rPr>
            </w:pPr>
            <w:r w:rsidRPr="00A72BED">
              <w:rPr>
                <w:rFonts w:ascii="Calibri" w:hAnsi="Calibri"/>
                <w:b/>
                <w:sz w:val="18"/>
                <w:szCs w:val="18"/>
              </w:rPr>
              <w:t>3</w:t>
            </w:r>
          </w:p>
        </w:tc>
      </w:tr>
      <w:tr w:rsidR="00CD5081" w:rsidRPr="007C4768" w:rsidTr="00972554">
        <w:trPr>
          <w:trHeight w:val="300"/>
        </w:trPr>
        <w:tc>
          <w:tcPr>
            <w:tcW w:w="6394" w:type="dxa"/>
            <w:shd w:val="clear" w:color="auto" w:fill="auto"/>
            <w:noWrap/>
            <w:hideMark/>
          </w:tcPr>
          <w:p w:rsidR="00CD5081" w:rsidRPr="003648AC" w:rsidRDefault="00CD5081" w:rsidP="006377A8">
            <w:pPr>
              <w:jc w:val="left"/>
              <w:rPr>
                <w:rFonts w:ascii="Calibri" w:hAnsi="Calibri"/>
                <w:b/>
                <w:sz w:val="18"/>
                <w:szCs w:val="18"/>
              </w:rPr>
            </w:pPr>
            <w:r w:rsidRPr="000F6B5B">
              <w:rPr>
                <w:rFonts w:ascii="Calibri" w:hAnsi="Calibri" w:cs="Calibri"/>
                <w:b/>
                <w:bCs/>
                <w:sz w:val="18"/>
                <w:szCs w:val="18"/>
                <w:lang w:val="sl-SI" w:eastAsia="sl-SI"/>
              </w:rPr>
              <w:t>700-Sedanja vrednost neopredmetenih sredstev in dolgoročnih aktivnih časovnih razmejitev</w:t>
            </w:r>
          </w:p>
        </w:tc>
        <w:tc>
          <w:tcPr>
            <w:tcW w:w="1418" w:type="dxa"/>
            <w:shd w:val="clear" w:color="auto" w:fill="auto"/>
            <w:noWrap/>
            <w:vAlign w:val="bottom"/>
            <w:hideMark/>
          </w:tcPr>
          <w:p w:rsidR="00CD5081" w:rsidRPr="00972554" w:rsidRDefault="00CD5081" w:rsidP="00F83FBB">
            <w:pPr>
              <w:jc w:val="right"/>
              <w:rPr>
                <w:rFonts w:ascii="Calibri" w:hAnsi="Calibri"/>
                <w:b/>
                <w:sz w:val="18"/>
                <w:szCs w:val="18"/>
              </w:rPr>
            </w:pPr>
            <w:r w:rsidRPr="00972554">
              <w:rPr>
                <w:rFonts w:ascii="Calibri" w:hAnsi="Calibri"/>
                <w:b/>
                <w:sz w:val="18"/>
                <w:szCs w:val="18"/>
              </w:rPr>
              <w:t xml:space="preserve">125.442.145 </w:t>
            </w:r>
          </w:p>
        </w:tc>
        <w:tc>
          <w:tcPr>
            <w:tcW w:w="708" w:type="dxa"/>
            <w:vAlign w:val="bottom"/>
          </w:tcPr>
          <w:p w:rsidR="00CD5081" w:rsidRPr="00382B0F" w:rsidRDefault="00CD5081" w:rsidP="00382B0F">
            <w:pPr>
              <w:autoSpaceDE w:val="0"/>
              <w:autoSpaceDN w:val="0"/>
              <w:adjustRightInd w:val="0"/>
              <w:spacing w:line="240" w:lineRule="auto"/>
              <w:jc w:val="right"/>
              <w:rPr>
                <w:rFonts w:ascii="Calibri" w:hAnsi="Calibri" w:cs="Calibri"/>
                <w:sz w:val="18"/>
                <w:szCs w:val="18"/>
                <w:lang w:val="sl-SI" w:eastAsia="sl-SI"/>
              </w:rPr>
            </w:pPr>
          </w:p>
        </w:tc>
      </w:tr>
      <w:tr w:rsidR="00CD5081" w:rsidRPr="007C4768" w:rsidTr="00972554">
        <w:trPr>
          <w:trHeight w:val="300"/>
        </w:trPr>
        <w:tc>
          <w:tcPr>
            <w:tcW w:w="6394" w:type="dxa"/>
            <w:shd w:val="clear" w:color="auto" w:fill="auto"/>
            <w:noWrap/>
            <w:hideMark/>
          </w:tcPr>
          <w:p w:rsidR="00CD5081" w:rsidRPr="002C026D" w:rsidRDefault="00CD5081" w:rsidP="006377A8">
            <w:pPr>
              <w:jc w:val="left"/>
              <w:rPr>
                <w:rFonts w:ascii="Calibri" w:hAnsi="Calibri"/>
                <w:sz w:val="18"/>
                <w:szCs w:val="18"/>
              </w:rPr>
            </w:pPr>
            <w:r w:rsidRPr="00E6614F">
              <w:rPr>
                <w:rFonts w:ascii="Calibri" w:hAnsi="Calibri" w:cs="Calibri"/>
                <w:sz w:val="18"/>
                <w:szCs w:val="18"/>
                <w:lang w:val="sl-SI" w:eastAsia="sl-SI"/>
              </w:rPr>
              <w:t>NPU</w:t>
            </w:r>
          </w:p>
        </w:tc>
        <w:tc>
          <w:tcPr>
            <w:tcW w:w="1418" w:type="dxa"/>
            <w:shd w:val="clear" w:color="auto" w:fill="auto"/>
            <w:noWrap/>
            <w:vAlign w:val="bottom"/>
            <w:hideMark/>
          </w:tcPr>
          <w:p w:rsidR="00CD5081" w:rsidRPr="00412299" w:rsidRDefault="00CD5081" w:rsidP="00F83FBB">
            <w:pPr>
              <w:jc w:val="right"/>
              <w:rPr>
                <w:rFonts w:ascii="Calibri" w:hAnsi="Calibri"/>
                <w:sz w:val="18"/>
                <w:szCs w:val="18"/>
              </w:rPr>
            </w:pPr>
            <w:r w:rsidRPr="00972554">
              <w:rPr>
                <w:rFonts w:ascii="Calibri" w:hAnsi="Calibri"/>
                <w:sz w:val="18"/>
                <w:szCs w:val="18"/>
              </w:rPr>
              <w:t xml:space="preserve">90.346.013 </w:t>
            </w:r>
          </w:p>
        </w:tc>
        <w:tc>
          <w:tcPr>
            <w:tcW w:w="708" w:type="dxa"/>
            <w:vAlign w:val="bottom"/>
          </w:tcPr>
          <w:p w:rsidR="00CD5081" w:rsidRPr="00412299" w:rsidRDefault="00CD5081" w:rsidP="00382B0F">
            <w:pPr>
              <w:autoSpaceDE w:val="0"/>
              <w:autoSpaceDN w:val="0"/>
              <w:adjustRightInd w:val="0"/>
              <w:spacing w:line="240" w:lineRule="auto"/>
              <w:jc w:val="right"/>
              <w:rPr>
                <w:rFonts w:ascii="Calibri" w:hAnsi="Calibri" w:cs="Calibri"/>
                <w:sz w:val="18"/>
                <w:szCs w:val="18"/>
                <w:lang w:val="sl-SI" w:eastAsia="sl-SI"/>
              </w:rPr>
            </w:pPr>
            <w:r w:rsidRPr="00972554">
              <w:rPr>
                <w:rFonts w:ascii="Calibri" w:hAnsi="Calibri"/>
                <w:sz w:val="18"/>
                <w:szCs w:val="18"/>
              </w:rPr>
              <w:t>72,02</w:t>
            </w:r>
          </w:p>
        </w:tc>
      </w:tr>
      <w:tr w:rsidR="00CD5081" w:rsidRPr="007C4768" w:rsidTr="00972554">
        <w:trPr>
          <w:trHeight w:val="300"/>
        </w:trPr>
        <w:tc>
          <w:tcPr>
            <w:tcW w:w="6394" w:type="dxa"/>
            <w:shd w:val="clear" w:color="auto" w:fill="auto"/>
            <w:noWrap/>
            <w:hideMark/>
          </w:tcPr>
          <w:p w:rsidR="00CD5081" w:rsidRPr="002C026D" w:rsidRDefault="00CD5081" w:rsidP="006377A8">
            <w:pPr>
              <w:jc w:val="left"/>
              <w:rPr>
                <w:rFonts w:ascii="Calibri" w:hAnsi="Calibri"/>
                <w:sz w:val="18"/>
                <w:szCs w:val="18"/>
              </w:rPr>
            </w:pPr>
            <w:r w:rsidRPr="00E6614F">
              <w:rPr>
                <w:rFonts w:ascii="Calibri" w:hAnsi="Calibri" w:cs="Calibri"/>
                <w:sz w:val="18"/>
                <w:szCs w:val="18"/>
                <w:lang w:val="sl-SI" w:eastAsia="sl-SI"/>
              </w:rPr>
              <w:t>PPU</w:t>
            </w:r>
          </w:p>
        </w:tc>
        <w:tc>
          <w:tcPr>
            <w:tcW w:w="1418" w:type="dxa"/>
            <w:shd w:val="clear" w:color="auto" w:fill="auto"/>
            <w:noWrap/>
            <w:vAlign w:val="bottom"/>
            <w:hideMark/>
          </w:tcPr>
          <w:p w:rsidR="00CD5081" w:rsidRPr="00116FC1" w:rsidRDefault="00CD5081" w:rsidP="00F83FBB">
            <w:pPr>
              <w:jc w:val="right"/>
              <w:rPr>
                <w:rFonts w:ascii="Calibri" w:hAnsi="Calibri"/>
                <w:sz w:val="18"/>
                <w:szCs w:val="18"/>
              </w:rPr>
            </w:pPr>
            <w:r w:rsidRPr="00972554">
              <w:rPr>
                <w:rFonts w:ascii="Calibri" w:hAnsi="Calibri"/>
                <w:sz w:val="18"/>
                <w:szCs w:val="18"/>
              </w:rPr>
              <w:t xml:space="preserve">35.096.132 </w:t>
            </w:r>
          </w:p>
        </w:tc>
        <w:tc>
          <w:tcPr>
            <w:tcW w:w="708" w:type="dxa"/>
            <w:vAlign w:val="bottom"/>
          </w:tcPr>
          <w:p w:rsidR="00CD5081" w:rsidRPr="00412299" w:rsidRDefault="00CD5081" w:rsidP="00382B0F">
            <w:pPr>
              <w:autoSpaceDE w:val="0"/>
              <w:autoSpaceDN w:val="0"/>
              <w:adjustRightInd w:val="0"/>
              <w:spacing w:line="240" w:lineRule="auto"/>
              <w:jc w:val="right"/>
              <w:rPr>
                <w:rFonts w:ascii="Calibri" w:hAnsi="Calibri" w:cs="Calibri"/>
                <w:sz w:val="18"/>
                <w:szCs w:val="18"/>
                <w:lang w:val="sl-SI" w:eastAsia="sl-SI"/>
              </w:rPr>
            </w:pPr>
            <w:r w:rsidRPr="00972554">
              <w:rPr>
                <w:rFonts w:ascii="Calibri" w:hAnsi="Calibri"/>
                <w:sz w:val="18"/>
                <w:szCs w:val="18"/>
              </w:rPr>
              <w:t>27,98</w:t>
            </w:r>
          </w:p>
        </w:tc>
      </w:tr>
      <w:tr w:rsidR="00CD5081" w:rsidRPr="007C4768" w:rsidTr="00972554">
        <w:trPr>
          <w:trHeight w:val="300"/>
        </w:trPr>
        <w:tc>
          <w:tcPr>
            <w:tcW w:w="6394" w:type="dxa"/>
            <w:shd w:val="clear" w:color="auto" w:fill="auto"/>
            <w:noWrap/>
            <w:hideMark/>
          </w:tcPr>
          <w:p w:rsidR="00CD5081" w:rsidRPr="003648AC" w:rsidRDefault="00CD5081" w:rsidP="006377A8">
            <w:pPr>
              <w:jc w:val="left"/>
              <w:rPr>
                <w:rFonts w:ascii="Calibri" w:hAnsi="Calibri"/>
                <w:b/>
                <w:sz w:val="18"/>
                <w:szCs w:val="18"/>
              </w:rPr>
            </w:pPr>
            <w:r w:rsidRPr="000F6B5B">
              <w:rPr>
                <w:rFonts w:ascii="Calibri" w:hAnsi="Calibri" w:cs="Calibri"/>
                <w:b/>
                <w:bCs/>
                <w:sz w:val="18"/>
                <w:szCs w:val="18"/>
                <w:lang w:val="sl-SI" w:eastAsia="sl-SI"/>
              </w:rPr>
              <w:t>701-Nabavna vrednost neopredmetenih sredstev in dolgoročnih aktivnih časovnih razmejitev</w:t>
            </w:r>
          </w:p>
        </w:tc>
        <w:tc>
          <w:tcPr>
            <w:tcW w:w="1418" w:type="dxa"/>
            <w:shd w:val="clear" w:color="auto" w:fill="auto"/>
            <w:noWrap/>
            <w:vAlign w:val="bottom"/>
            <w:hideMark/>
          </w:tcPr>
          <w:p w:rsidR="00CD5081" w:rsidRPr="00972554" w:rsidRDefault="00CD5081" w:rsidP="00F83FBB">
            <w:pPr>
              <w:jc w:val="right"/>
              <w:rPr>
                <w:rFonts w:ascii="Calibri" w:hAnsi="Calibri"/>
                <w:b/>
                <w:sz w:val="18"/>
                <w:szCs w:val="18"/>
              </w:rPr>
            </w:pPr>
            <w:r w:rsidRPr="00972554">
              <w:rPr>
                <w:rFonts w:ascii="Calibri" w:hAnsi="Calibri"/>
                <w:b/>
                <w:sz w:val="18"/>
                <w:szCs w:val="18"/>
              </w:rPr>
              <w:t xml:space="preserve">637.112.551 </w:t>
            </w:r>
          </w:p>
        </w:tc>
        <w:tc>
          <w:tcPr>
            <w:tcW w:w="708" w:type="dxa"/>
            <w:vAlign w:val="bottom"/>
          </w:tcPr>
          <w:p w:rsidR="00CD5081" w:rsidRPr="00382B0F" w:rsidRDefault="00CD5081" w:rsidP="00382B0F">
            <w:pPr>
              <w:autoSpaceDE w:val="0"/>
              <w:autoSpaceDN w:val="0"/>
              <w:adjustRightInd w:val="0"/>
              <w:spacing w:line="240" w:lineRule="auto"/>
              <w:jc w:val="right"/>
              <w:rPr>
                <w:rFonts w:ascii="Calibri" w:hAnsi="Calibri" w:cs="Calibri"/>
                <w:b/>
                <w:bCs/>
                <w:sz w:val="18"/>
                <w:szCs w:val="18"/>
                <w:lang w:val="sl-SI" w:eastAsia="sl-SI"/>
              </w:rPr>
            </w:pPr>
          </w:p>
        </w:tc>
      </w:tr>
      <w:tr w:rsidR="00CD5081" w:rsidRPr="007C4768" w:rsidTr="00972554">
        <w:trPr>
          <w:trHeight w:val="300"/>
        </w:trPr>
        <w:tc>
          <w:tcPr>
            <w:tcW w:w="6394" w:type="dxa"/>
            <w:shd w:val="clear" w:color="auto" w:fill="auto"/>
            <w:noWrap/>
            <w:hideMark/>
          </w:tcPr>
          <w:p w:rsidR="00CD5081" w:rsidRPr="002C026D" w:rsidRDefault="00CD5081" w:rsidP="006377A8">
            <w:pPr>
              <w:jc w:val="left"/>
              <w:rPr>
                <w:rFonts w:ascii="Calibri" w:hAnsi="Calibri"/>
                <w:sz w:val="18"/>
                <w:szCs w:val="18"/>
              </w:rPr>
            </w:pPr>
            <w:r w:rsidRPr="00E6614F">
              <w:rPr>
                <w:rFonts w:ascii="Calibri" w:hAnsi="Calibri" w:cs="Calibri"/>
                <w:sz w:val="18"/>
                <w:szCs w:val="18"/>
                <w:lang w:val="sl-SI" w:eastAsia="sl-SI"/>
              </w:rPr>
              <w:t>NPU</w:t>
            </w:r>
          </w:p>
        </w:tc>
        <w:tc>
          <w:tcPr>
            <w:tcW w:w="1418" w:type="dxa"/>
            <w:shd w:val="clear" w:color="auto" w:fill="auto"/>
            <w:noWrap/>
            <w:vAlign w:val="bottom"/>
            <w:hideMark/>
          </w:tcPr>
          <w:p w:rsidR="00CD5081" w:rsidRPr="00412299" w:rsidRDefault="00CD5081" w:rsidP="00F83FBB">
            <w:pPr>
              <w:jc w:val="right"/>
              <w:rPr>
                <w:rFonts w:ascii="Calibri" w:hAnsi="Calibri"/>
                <w:sz w:val="18"/>
                <w:szCs w:val="18"/>
              </w:rPr>
            </w:pPr>
            <w:r w:rsidRPr="00972554">
              <w:rPr>
                <w:rFonts w:ascii="Calibri" w:hAnsi="Calibri"/>
                <w:sz w:val="18"/>
                <w:szCs w:val="18"/>
              </w:rPr>
              <w:t xml:space="preserve">456.191.653 </w:t>
            </w:r>
          </w:p>
        </w:tc>
        <w:tc>
          <w:tcPr>
            <w:tcW w:w="708" w:type="dxa"/>
            <w:vAlign w:val="bottom"/>
          </w:tcPr>
          <w:p w:rsidR="00CD5081" w:rsidRPr="00412299" w:rsidRDefault="00CD5081" w:rsidP="00382B0F">
            <w:pPr>
              <w:autoSpaceDE w:val="0"/>
              <w:autoSpaceDN w:val="0"/>
              <w:adjustRightInd w:val="0"/>
              <w:spacing w:line="240" w:lineRule="auto"/>
              <w:jc w:val="right"/>
              <w:rPr>
                <w:rFonts w:ascii="Calibri" w:hAnsi="Calibri" w:cs="Calibri"/>
                <w:sz w:val="18"/>
                <w:szCs w:val="18"/>
                <w:lang w:val="sl-SI" w:eastAsia="sl-SI"/>
              </w:rPr>
            </w:pPr>
            <w:r w:rsidRPr="00972554">
              <w:rPr>
                <w:rFonts w:ascii="Calibri" w:hAnsi="Calibri"/>
                <w:sz w:val="18"/>
                <w:szCs w:val="18"/>
              </w:rPr>
              <w:t>71,60</w:t>
            </w:r>
          </w:p>
        </w:tc>
      </w:tr>
      <w:tr w:rsidR="00CD5081" w:rsidRPr="007C4768" w:rsidTr="00972554">
        <w:trPr>
          <w:trHeight w:val="300"/>
        </w:trPr>
        <w:tc>
          <w:tcPr>
            <w:tcW w:w="6394" w:type="dxa"/>
            <w:shd w:val="clear" w:color="auto" w:fill="auto"/>
            <w:noWrap/>
            <w:hideMark/>
          </w:tcPr>
          <w:p w:rsidR="00CD5081" w:rsidRPr="002C026D" w:rsidRDefault="00CD5081" w:rsidP="006377A8">
            <w:pPr>
              <w:jc w:val="left"/>
              <w:rPr>
                <w:rFonts w:ascii="Calibri" w:hAnsi="Calibri"/>
                <w:sz w:val="18"/>
                <w:szCs w:val="18"/>
              </w:rPr>
            </w:pPr>
            <w:r w:rsidRPr="00E6614F">
              <w:rPr>
                <w:rFonts w:ascii="Calibri" w:hAnsi="Calibri" w:cs="Calibri"/>
                <w:sz w:val="18"/>
                <w:szCs w:val="18"/>
                <w:lang w:val="sl-SI" w:eastAsia="sl-SI"/>
              </w:rPr>
              <w:t>PPU</w:t>
            </w:r>
          </w:p>
        </w:tc>
        <w:tc>
          <w:tcPr>
            <w:tcW w:w="1418" w:type="dxa"/>
            <w:shd w:val="clear" w:color="auto" w:fill="auto"/>
            <w:noWrap/>
            <w:vAlign w:val="bottom"/>
            <w:hideMark/>
          </w:tcPr>
          <w:p w:rsidR="00CD5081" w:rsidRPr="00412299" w:rsidRDefault="00CD5081" w:rsidP="00F83FBB">
            <w:pPr>
              <w:jc w:val="right"/>
              <w:rPr>
                <w:rFonts w:ascii="Calibri" w:hAnsi="Calibri"/>
                <w:sz w:val="18"/>
                <w:szCs w:val="18"/>
              </w:rPr>
            </w:pPr>
            <w:r w:rsidRPr="00972554">
              <w:rPr>
                <w:rFonts w:ascii="Calibri" w:hAnsi="Calibri"/>
                <w:sz w:val="18"/>
                <w:szCs w:val="18"/>
              </w:rPr>
              <w:t xml:space="preserve">180.920.898 </w:t>
            </w:r>
          </w:p>
        </w:tc>
        <w:tc>
          <w:tcPr>
            <w:tcW w:w="708" w:type="dxa"/>
            <w:vAlign w:val="bottom"/>
          </w:tcPr>
          <w:p w:rsidR="00CD5081" w:rsidRPr="00412299" w:rsidRDefault="00CD5081" w:rsidP="00382B0F">
            <w:pPr>
              <w:autoSpaceDE w:val="0"/>
              <w:autoSpaceDN w:val="0"/>
              <w:adjustRightInd w:val="0"/>
              <w:spacing w:line="240" w:lineRule="auto"/>
              <w:jc w:val="right"/>
              <w:rPr>
                <w:rFonts w:ascii="Calibri" w:hAnsi="Calibri" w:cs="Calibri"/>
                <w:sz w:val="18"/>
                <w:szCs w:val="18"/>
                <w:lang w:val="sl-SI" w:eastAsia="sl-SI"/>
              </w:rPr>
            </w:pPr>
            <w:r w:rsidRPr="00972554">
              <w:rPr>
                <w:rFonts w:ascii="Calibri" w:hAnsi="Calibri"/>
                <w:sz w:val="18"/>
                <w:szCs w:val="18"/>
              </w:rPr>
              <w:t>28,40</w:t>
            </w:r>
          </w:p>
        </w:tc>
      </w:tr>
      <w:tr w:rsidR="00CD5081" w:rsidRPr="007C4768" w:rsidTr="00972554">
        <w:trPr>
          <w:trHeight w:val="300"/>
        </w:trPr>
        <w:tc>
          <w:tcPr>
            <w:tcW w:w="6394" w:type="dxa"/>
            <w:shd w:val="clear" w:color="auto" w:fill="auto"/>
            <w:noWrap/>
            <w:hideMark/>
          </w:tcPr>
          <w:p w:rsidR="00CD5081" w:rsidRPr="003648AC" w:rsidRDefault="00CD5081" w:rsidP="006377A8">
            <w:pPr>
              <w:jc w:val="left"/>
              <w:rPr>
                <w:rFonts w:ascii="Calibri" w:hAnsi="Calibri"/>
                <w:b/>
                <w:sz w:val="18"/>
                <w:szCs w:val="18"/>
              </w:rPr>
            </w:pPr>
            <w:r w:rsidRPr="000F6B5B">
              <w:rPr>
                <w:rFonts w:ascii="Calibri" w:hAnsi="Calibri" w:cs="Calibri"/>
                <w:b/>
                <w:bCs/>
                <w:sz w:val="18"/>
                <w:szCs w:val="18"/>
                <w:lang w:val="sl-SI" w:eastAsia="sl-SI"/>
              </w:rPr>
              <w:t>702-Popravki vrednosti neopredmetenih sredstev</w:t>
            </w:r>
          </w:p>
        </w:tc>
        <w:tc>
          <w:tcPr>
            <w:tcW w:w="1418" w:type="dxa"/>
            <w:shd w:val="clear" w:color="auto" w:fill="auto"/>
            <w:noWrap/>
            <w:vAlign w:val="bottom"/>
            <w:hideMark/>
          </w:tcPr>
          <w:p w:rsidR="00CD5081" w:rsidRPr="00972554" w:rsidRDefault="00CD5081" w:rsidP="00F83FBB">
            <w:pPr>
              <w:jc w:val="right"/>
              <w:rPr>
                <w:rFonts w:ascii="Calibri" w:hAnsi="Calibri"/>
                <w:b/>
                <w:sz w:val="18"/>
                <w:szCs w:val="18"/>
              </w:rPr>
            </w:pPr>
            <w:r w:rsidRPr="00972554">
              <w:rPr>
                <w:rFonts w:ascii="Calibri" w:hAnsi="Calibri"/>
                <w:b/>
                <w:sz w:val="18"/>
                <w:szCs w:val="18"/>
              </w:rPr>
              <w:t xml:space="preserve">511.670.406 </w:t>
            </w:r>
          </w:p>
        </w:tc>
        <w:tc>
          <w:tcPr>
            <w:tcW w:w="708" w:type="dxa"/>
            <w:vAlign w:val="bottom"/>
          </w:tcPr>
          <w:p w:rsidR="00CD5081" w:rsidRPr="00382B0F" w:rsidRDefault="00CD5081" w:rsidP="00382B0F">
            <w:pPr>
              <w:autoSpaceDE w:val="0"/>
              <w:autoSpaceDN w:val="0"/>
              <w:adjustRightInd w:val="0"/>
              <w:spacing w:line="240" w:lineRule="auto"/>
              <w:jc w:val="right"/>
              <w:rPr>
                <w:rFonts w:ascii="Calibri" w:hAnsi="Calibri" w:cs="Calibri"/>
                <w:b/>
                <w:bCs/>
                <w:sz w:val="18"/>
                <w:szCs w:val="18"/>
                <w:lang w:val="sl-SI" w:eastAsia="sl-SI"/>
              </w:rPr>
            </w:pPr>
          </w:p>
        </w:tc>
      </w:tr>
      <w:tr w:rsidR="00CD5081" w:rsidRPr="007C4768" w:rsidTr="00972554">
        <w:trPr>
          <w:trHeight w:val="300"/>
        </w:trPr>
        <w:tc>
          <w:tcPr>
            <w:tcW w:w="6394" w:type="dxa"/>
            <w:shd w:val="clear" w:color="auto" w:fill="auto"/>
            <w:noWrap/>
            <w:hideMark/>
          </w:tcPr>
          <w:p w:rsidR="00CD5081" w:rsidRPr="002C026D" w:rsidRDefault="00CD5081" w:rsidP="006377A8">
            <w:pPr>
              <w:jc w:val="left"/>
              <w:rPr>
                <w:rFonts w:ascii="Calibri" w:hAnsi="Calibri"/>
                <w:b/>
                <w:sz w:val="18"/>
                <w:szCs w:val="18"/>
              </w:rPr>
            </w:pPr>
            <w:r w:rsidRPr="00E6614F">
              <w:rPr>
                <w:rFonts w:ascii="Calibri" w:hAnsi="Calibri" w:cs="Calibri"/>
                <w:sz w:val="18"/>
                <w:szCs w:val="18"/>
                <w:lang w:val="sl-SI" w:eastAsia="sl-SI"/>
              </w:rPr>
              <w:t>NPU</w:t>
            </w:r>
          </w:p>
        </w:tc>
        <w:tc>
          <w:tcPr>
            <w:tcW w:w="1418" w:type="dxa"/>
            <w:shd w:val="clear" w:color="auto" w:fill="auto"/>
            <w:noWrap/>
            <w:vAlign w:val="bottom"/>
            <w:hideMark/>
          </w:tcPr>
          <w:p w:rsidR="00CD5081" w:rsidRPr="00412299" w:rsidRDefault="00CD5081" w:rsidP="00F83FBB">
            <w:pPr>
              <w:jc w:val="right"/>
              <w:rPr>
                <w:rFonts w:ascii="Calibri" w:hAnsi="Calibri"/>
                <w:sz w:val="18"/>
                <w:szCs w:val="18"/>
              </w:rPr>
            </w:pPr>
            <w:r w:rsidRPr="00972554">
              <w:rPr>
                <w:rFonts w:ascii="Calibri" w:hAnsi="Calibri"/>
                <w:sz w:val="18"/>
                <w:szCs w:val="18"/>
              </w:rPr>
              <w:t xml:space="preserve">365.845.640 </w:t>
            </w:r>
          </w:p>
        </w:tc>
        <w:tc>
          <w:tcPr>
            <w:tcW w:w="708" w:type="dxa"/>
            <w:vAlign w:val="bottom"/>
          </w:tcPr>
          <w:p w:rsidR="00CD5081" w:rsidRPr="00412299" w:rsidRDefault="00CD5081" w:rsidP="00382B0F">
            <w:pPr>
              <w:autoSpaceDE w:val="0"/>
              <w:autoSpaceDN w:val="0"/>
              <w:adjustRightInd w:val="0"/>
              <w:spacing w:line="240" w:lineRule="auto"/>
              <w:jc w:val="right"/>
              <w:rPr>
                <w:rFonts w:ascii="Calibri" w:hAnsi="Calibri" w:cs="Calibri"/>
                <w:sz w:val="18"/>
                <w:szCs w:val="18"/>
                <w:lang w:val="sl-SI" w:eastAsia="sl-SI"/>
              </w:rPr>
            </w:pPr>
            <w:r w:rsidRPr="00972554">
              <w:rPr>
                <w:rFonts w:ascii="Calibri" w:hAnsi="Calibri"/>
                <w:sz w:val="18"/>
                <w:szCs w:val="18"/>
              </w:rPr>
              <w:t>71,50</w:t>
            </w:r>
          </w:p>
        </w:tc>
      </w:tr>
      <w:tr w:rsidR="00CD5081" w:rsidRPr="007C4768" w:rsidTr="00972554">
        <w:trPr>
          <w:trHeight w:val="300"/>
        </w:trPr>
        <w:tc>
          <w:tcPr>
            <w:tcW w:w="6394" w:type="dxa"/>
            <w:shd w:val="clear" w:color="auto" w:fill="auto"/>
            <w:noWrap/>
            <w:hideMark/>
          </w:tcPr>
          <w:p w:rsidR="00CD5081" w:rsidRPr="002C026D" w:rsidRDefault="00CD5081" w:rsidP="006377A8">
            <w:pPr>
              <w:jc w:val="left"/>
              <w:rPr>
                <w:rFonts w:ascii="Calibri" w:hAnsi="Calibri"/>
                <w:sz w:val="18"/>
                <w:szCs w:val="18"/>
              </w:rPr>
            </w:pPr>
            <w:r w:rsidRPr="00E6614F">
              <w:rPr>
                <w:rFonts w:ascii="Calibri" w:hAnsi="Calibri" w:cs="Calibri"/>
                <w:sz w:val="18"/>
                <w:szCs w:val="18"/>
                <w:lang w:val="sl-SI" w:eastAsia="sl-SI"/>
              </w:rPr>
              <w:t>PPU</w:t>
            </w:r>
          </w:p>
        </w:tc>
        <w:tc>
          <w:tcPr>
            <w:tcW w:w="1418" w:type="dxa"/>
            <w:shd w:val="clear" w:color="auto" w:fill="auto"/>
            <w:noWrap/>
            <w:vAlign w:val="bottom"/>
            <w:hideMark/>
          </w:tcPr>
          <w:p w:rsidR="00CD5081" w:rsidRPr="00412299" w:rsidRDefault="00CD5081" w:rsidP="00F83FBB">
            <w:pPr>
              <w:jc w:val="right"/>
              <w:rPr>
                <w:rFonts w:ascii="Calibri" w:hAnsi="Calibri"/>
                <w:sz w:val="18"/>
                <w:szCs w:val="18"/>
              </w:rPr>
            </w:pPr>
            <w:r w:rsidRPr="00972554">
              <w:rPr>
                <w:rFonts w:ascii="Calibri" w:hAnsi="Calibri"/>
                <w:sz w:val="18"/>
                <w:szCs w:val="18"/>
              </w:rPr>
              <w:t xml:space="preserve">145.824.766 </w:t>
            </w:r>
          </w:p>
        </w:tc>
        <w:tc>
          <w:tcPr>
            <w:tcW w:w="708" w:type="dxa"/>
            <w:vAlign w:val="bottom"/>
          </w:tcPr>
          <w:p w:rsidR="00CD5081" w:rsidRPr="00412299" w:rsidRDefault="00CD5081" w:rsidP="00382B0F">
            <w:pPr>
              <w:autoSpaceDE w:val="0"/>
              <w:autoSpaceDN w:val="0"/>
              <w:adjustRightInd w:val="0"/>
              <w:spacing w:line="240" w:lineRule="auto"/>
              <w:jc w:val="right"/>
              <w:rPr>
                <w:rFonts w:ascii="Calibri" w:hAnsi="Calibri" w:cs="Calibri"/>
                <w:sz w:val="18"/>
                <w:szCs w:val="18"/>
                <w:lang w:val="sl-SI" w:eastAsia="sl-SI"/>
              </w:rPr>
            </w:pPr>
            <w:r w:rsidRPr="00972554">
              <w:rPr>
                <w:rFonts w:ascii="Calibri" w:hAnsi="Calibri"/>
                <w:sz w:val="18"/>
                <w:szCs w:val="18"/>
              </w:rPr>
              <w:t>28,50</w:t>
            </w:r>
          </w:p>
        </w:tc>
      </w:tr>
      <w:tr w:rsidR="00CD5081" w:rsidRPr="007C4768" w:rsidTr="00972554">
        <w:trPr>
          <w:trHeight w:val="300"/>
        </w:trPr>
        <w:tc>
          <w:tcPr>
            <w:tcW w:w="6394" w:type="dxa"/>
            <w:shd w:val="clear" w:color="auto" w:fill="auto"/>
            <w:noWrap/>
            <w:hideMark/>
          </w:tcPr>
          <w:p w:rsidR="00CD5081" w:rsidRPr="002C026D" w:rsidRDefault="00CD5081" w:rsidP="006377A8">
            <w:pPr>
              <w:jc w:val="left"/>
              <w:rPr>
                <w:rFonts w:ascii="Calibri" w:hAnsi="Calibri"/>
                <w:b/>
                <w:sz w:val="18"/>
                <w:szCs w:val="18"/>
              </w:rPr>
            </w:pPr>
            <w:r w:rsidRPr="000F6B5B">
              <w:rPr>
                <w:rFonts w:ascii="Calibri" w:hAnsi="Calibri" w:cs="Calibri"/>
                <w:b/>
                <w:bCs/>
                <w:sz w:val="18"/>
                <w:szCs w:val="18"/>
                <w:lang w:val="sl-SI" w:eastAsia="sl-SI"/>
              </w:rPr>
              <w:t>703-Sedanja vrednost nepremičnin</w:t>
            </w:r>
          </w:p>
        </w:tc>
        <w:tc>
          <w:tcPr>
            <w:tcW w:w="1418" w:type="dxa"/>
            <w:shd w:val="clear" w:color="auto" w:fill="auto"/>
            <w:noWrap/>
            <w:vAlign w:val="bottom"/>
            <w:hideMark/>
          </w:tcPr>
          <w:p w:rsidR="00CD5081" w:rsidRPr="00972554" w:rsidRDefault="00CD5081" w:rsidP="00F83FBB">
            <w:pPr>
              <w:jc w:val="right"/>
              <w:rPr>
                <w:rFonts w:ascii="Calibri" w:hAnsi="Calibri"/>
                <w:b/>
                <w:sz w:val="18"/>
                <w:szCs w:val="18"/>
              </w:rPr>
            </w:pPr>
            <w:r w:rsidRPr="00972554">
              <w:rPr>
                <w:rFonts w:ascii="Calibri" w:hAnsi="Calibri"/>
                <w:b/>
                <w:sz w:val="18"/>
                <w:szCs w:val="18"/>
              </w:rPr>
              <w:t xml:space="preserve">8.715.643.840 </w:t>
            </w:r>
          </w:p>
        </w:tc>
        <w:tc>
          <w:tcPr>
            <w:tcW w:w="708" w:type="dxa"/>
            <w:vAlign w:val="bottom"/>
          </w:tcPr>
          <w:p w:rsidR="00CD5081" w:rsidRPr="00382B0F" w:rsidRDefault="00CD5081" w:rsidP="00382B0F">
            <w:pPr>
              <w:autoSpaceDE w:val="0"/>
              <w:autoSpaceDN w:val="0"/>
              <w:adjustRightInd w:val="0"/>
              <w:spacing w:line="240" w:lineRule="auto"/>
              <w:jc w:val="right"/>
              <w:rPr>
                <w:rFonts w:ascii="Calibri" w:hAnsi="Calibri" w:cs="Calibri"/>
                <w:b/>
                <w:bCs/>
                <w:sz w:val="18"/>
                <w:szCs w:val="18"/>
                <w:lang w:val="sl-SI" w:eastAsia="sl-SI"/>
              </w:rPr>
            </w:pPr>
          </w:p>
        </w:tc>
      </w:tr>
      <w:tr w:rsidR="00CD5081" w:rsidRPr="007C4768" w:rsidTr="00972554">
        <w:trPr>
          <w:trHeight w:val="300"/>
        </w:trPr>
        <w:tc>
          <w:tcPr>
            <w:tcW w:w="6394" w:type="dxa"/>
            <w:shd w:val="clear" w:color="auto" w:fill="auto"/>
            <w:noWrap/>
            <w:hideMark/>
          </w:tcPr>
          <w:p w:rsidR="00CD5081" w:rsidRPr="002C026D" w:rsidRDefault="00CD5081" w:rsidP="006377A8">
            <w:pPr>
              <w:jc w:val="left"/>
              <w:rPr>
                <w:rFonts w:ascii="Calibri" w:hAnsi="Calibri"/>
                <w:sz w:val="18"/>
                <w:szCs w:val="18"/>
              </w:rPr>
            </w:pPr>
            <w:r w:rsidRPr="00E6614F">
              <w:rPr>
                <w:rFonts w:ascii="Calibri" w:hAnsi="Calibri" w:cs="Calibri"/>
                <w:sz w:val="18"/>
                <w:szCs w:val="18"/>
                <w:lang w:val="sl-SI" w:eastAsia="sl-SI"/>
              </w:rPr>
              <w:t>NPU</w:t>
            </w:r>
          </w:p>
        </w:tc>
        <w:tc>
          <w:tcPr>
            <w:tcW w:w="1418" w:type="dxa"/>
            <w:shd w:val="clear" w:color="auto" w:fill="auto"/>
            <w:noWrap/>
            <w:vAlign w:val="bottom"/>
            <w:hideMark/>
          </w:tcPr>
          <w:p w:rsidR="00CD5081" w:rsidRPr="00412299" w:rsidRDefault="00CD5081" w:rsidP="00F83FBB">
            <w:pPr>
              <w:jc w:val="right"/>
              <w:rPr>
                <w:rFonts w:ascii="Calibri" w:hAnsi="Calibri"/>
                <w:sz w:val="18"/>
                <w:szCs w:val="18"/>
              </w:rPr>
            </w:pPr>
            <w:r w:rsidRPr="00972554">
              <w:rPr>
                <w:rFonts w:ascii="Calibri" w:hAnsi="Calibri"/>
                <w:sz w:val="18"/>
                <w:szCs w:val="18"/>
              </w:rPr>
              <w:t xml:space="preserve">5.891.000.451 </w:t>
            </w:r>
          </w:p>
        </w:tc>
        <w:tc>
          <w:tcPr>
            <w:tcW w:w="708" w:type="dxa"/>
            <w:vAlign w:val="bottom"/>
          </w:tcPr>
          <w:p w:rsidR="00CD5081" w:rsidRPr="00412299" w:rsidRDefault="00CD5081" w:rsidP="00382B0F">
            <w:pPr>
              <w:autoSpaceDE w:val="0"/>
              <w:autoSpaceDN w:val="0"/>
              <w:adjustRightInd w:val="0"/>
              <w:spacing w:line="240" w:lineRule="auto"/>
              <w:jc w:val="right"/>
              <w:rPr>
                <w:rFonts w:ascii="Calibri" w:hAnsi="Calibri" w:cs="Calibri"/>
                <w:sz w:val="18"/>
                <w:szCs w:val="18"/>
                <w:lang w:val="sl-SI" w:eastAsia="sl-SI"/>
              </w:rPr>
            </w:pPr>
            <w:r w:rsidRPr="00972554">
              <w:rPr>
                <w:rFonts w:ascii="Calibri" w:hAnsi="Calibri"/>
                <w:sz w:val="18"/>
                <w:szCs w:val="18"/>
              </w:rPr>
              <w:t>67,59</w:t>
            </w:r>
          </w:p>
        </w:tc>
      </w:tr>
      <w:tr w:rsidR="00CD5081" w:rsidRPr="007C4768" w:rsidTr="00972554">
        <w:trPr>
          <w:trHeight w:val="300"/>
        </w:trPr>
        <w:tc>
          <w:tcPr>
            <w:tcW w:w="6394" w:type="dxa"/>
            <w:shd w:val="clear" w:color="auto" w:fill="auto"/>
            <w:noWrap/>
            <w:hideMark/>
          </w:tcPr>
          <w:p w:rsidR="00CD5081" w:rsidRPr="002C026D" w:rsidRDefault="00CD5081" w:rsidP="006377A8">
            <w:pPr>
              <w:jc w:val="left"/>
              <w:rPr>
                <w:rFonts w:ascii="Calibri" w:hAnsi="Calibri"/>
                <w:sz w:val="18"/>
                <w:szCs w:val="18"/>
              </w:rPr>
            </w:pPr>
            <w:r w:rsidRPr="00E6614F">
              <w:rPr>
                <w:rFonts w:ascii="Calibri" w:hAnsi="Calibri" w:cs="Calibri"/>
                <w:sz w:val="18"/>
                <w:szCs w:val="18"/>
                <w:lang w:val="sl-SI" w:eastAsia="sl-SI"/>
              </w:rPr>
              <w:t>PPU</w:t>
            </w:r>
          </w:p>
        </w:tc>
        <w:tc>
          <w:tcPr>
            <w:tcW w:w="1418" w:type="dxa"/>
            <w:shd w:val="clear" w:color="auto" w:fill="auto"/>
            <w:noWrap/>
            <w:vAlign w:val="bottom"/>
            <w:hideMark/>
          </w:tcPr>
          <w:p w:rsidR="00CD5081" w:rsidRPr="00412299" w:rsidRDefault="00CD5081" w:rsidP="00F83FBB">
            <w:pPr>
              <w:jc w:val="right"/>
              <w:rPr>
                <w:rFonts w:ascii="Calibri" w:hAnsi="Calibri"/>
                <w:sz w:val="18"/>
                <w:szCs w:val="18"/>
              </w:rPr>
            </w:pPr>
            <w:r w:rsidRPr="00972554">
              <w:rPr>
                <w:rFonts w:ascii="Calibri" w:hAnsi="Calibri"/>
                <w:sz w:val="18"/>
                <w:szCs w:val="18"/>
              </w:rPr>
              <w:t xml:space="preserve">2.824.643.389 </w:t>
            </w:r>
          </w:p>
        </w:tc>
        <w:tc>
          <w:tcPr>
            <w:tcW w:w="708" w:type="dxa"/>
            <w:vAlign w:val="bottom"/>
          </w:tcPr>
          <w:p w:rsidR="00CD5081" w:rsidRPr="00412299" w:rsidRDefault="00CD5081" w:rsidP="00382B0F">
            <w:pPr>
              <w:autoSpaceDE w:val="0"/>
              <w:autoSpaceDN w:val="0"/>
              <w:adjustRightInd w:val="0"/>
              <w:spacing w:line="240" w:lineRule="auto"/>
              <w:jc w:val="right"/>
              <w:rPr>
                <w:rFonts w:ascii="Calibri" w:hAnsi="Calibri" w:cs="Calibri"/>
                <w:sz w:val="18"/>
                <w:szCs w:val="18"/>
                <w:lang w:val="sl-SI" w:eastAsia="sl-SI"/>
              </w:rPr>
            </w:pPr>
            <w:r w:rsidRPr="00972554">
              <w:rPr>
                <w:rFonts w:ascii="Calibri" w:hAnsi="Calibri"/>
                <w:sz w:val="18"/>
                <w:szCs w:val="18"/>
              </w:rPr>
              <w:t>32,41</w:t>
            </w:r>
          </w:p>
        </w:tc>
      </w:tr>
      <w:tr w:rsidR="00CD5081" w:rsidRPr="007C4768" w:rsidTr="00972554">
        <w:trPr>
          <w:trHeight w:val="300"/>
        </w:trPr>
        <w:tc>
          <w:tcPr>
            <w:tcW w:w="6394" w:type="dxa"/>
            <w:shd w:val="clear" w:color="auto" w:fill="auto"/>
            <w:noWrap/>
            <w:hideMark/>
          </w:tcPr>
          <w:p w:rsidR="00CD5081" w:rsidRPr="002C026D" w:rsidRDefault="00CD5081" w:rsidP="006377A8">
            <w:pPr>
              <w:jc w:val="left"/>
              <w:rPr>
                <w:rFonts w:ascii="Calibri" w:hAnsi="Calibri"/>
                <w:b/>
                <w:sz w:val="18"/>
                <w:szCs w:val="18"/>
              </w:rPr>
            </w:pPr>
            <w:r w:rsidRPr="000F6B5B">
              <w:rPr>
                <w:rFonts w:ascii="Calibri" w:hAnsi="Calibri" w:cs="Calibri"/>
                <w:b/>
                <w:bCs/>
                <w:sz w:val="18"/>
                <w:szCs w:val="18"/>
                <w:lang w:val="sl-SI" w:eastAsia="sl-SI"/>
              </w:rPr>
              <w:t>704-Nabavna vrednost nepremičnin</w:t>
            </w:r>
          </w:p>
        </w:tc>
        <w:tc>
          <w:tcPr>
            <w:tcW w:w="1418" w:type="dxa"/>
            <w:shd w:val="clear" w:color="auto" w:fill="auto"/>
            <w:noWrap/>
            <w:vAlign w:val="bottom"/>
            <w:hideMark/>
          </w:tcPr>
          <w:p w:rsidR="00CD5081" w:rsidRPr="00972554" w:rsidRDefault="00CD5081" w:rsidP="00F83FBB">
            <w:pPr>
              <w:jc w:val="right"/>
              <w:rPr>
                <w:rFonts w:ascii="Calibri" w:hAnsi="Calibri"/>
                <w:b/>
                <w:sz w:val="18"/>
                <w:szCs w:val="18"/>
              </w:rPr>
            </w:pPr>
            <w:r w:rsidRPr="00972554">
              <w:rPr>
                <w:rFonts w:ascii="Calibri" w:hAnsi="Calibri"/>
                <w:b/>
                <w:sz w:val="18"/>
                <w:szCs w:val="18"/>
              </w:rPr>
              <w:t xml:space="preserve">14.427.362.712 </w:t>
            </w:r>
          </w:p>
        </w:tc>
        <w:tc>
          <w:tcPr>
            <w:tcW w:w="708" w:type="dxa"/>
            <w:vAlign w:val="bottom"/>
          </w:tcPr>
          <w:p w:rsidR="00CD5081" w:rsidRPr="00382B0F" w:rsidRDefault="00CD5081" w:rsidP="00382B0F">
            <w:pPr>
              <w:autoSpaceDE w:val="0"/>
              <w:autoSpaceDN w:val="0"/>
              <w:adjustRightInd w:val="0"/>
              <w:spacing w:line="240" w:lineRule="auto"/>
              <w:jc w:val="right"/>
              <w:rPr>
                <w:rFonts w:ascii="Calibri" w:hAnsi="Calibri" w:cs="Calibri"/>
                <w:b/>
                <w:bCs/>
                <w:sz w:val="18"/>
                <w:szCs w:val="18"/>
                <w:lang w:val="sl-SI" w:eastAsia="sl-SI"/>
              </w:rPr>
            </w:pPr>
          </w:p>
        </w:tc>
      </w:tr>
      <w:tr w:rsidR="00CD5081" w:rsidRPr="007C4768" w:rsidTr="00972554">
        <w:trPr>
          <w:trHeight w:val="300"/>
        </w:trPr>
        <w:tc>
          <w:tcPr>
            <w:tcW w:w="6394" w:type="dxa"/>
            <w:shd w:val="clear" w:color="auto" w:fill="auto"/>
            <w:noWrap/>
            <w:hideMark/>
          </w:tcPr>
          <w:p w:rsidR="00CD5081" w:rsidRPr="002C026D" w:rsidRDefault="00CD5081" w:rsidP="006377A8">
            <w:pPr>
              <w:jc w:val="left"/>
              <w:rPr>
                <w:rFonts w:ascii="Calibri" w:hAnsi="Calibri"/>
                <w:sz w:val="18"/>
                <w:szCs w:val="18"/>
              </w:rPr>
            </w:pPr>
            <w:r w:rsidRPr="00E6614F">
              <w:rPr>
                <w:rFonts w:ascii="Calibri" w:hAnsi="Calibri" w:cs="Calibri"/>
                <w:sz w:val="18"/>
                <w:szCs w:val="18"/>
                <w:lang w:val="sl-SI" w:eastAsia="sl-SI"/>
              </w:rPr>
              <w:t>NPU</w:t>
            </w:r>
          </w:p>
        </w:tc>
        <w:tc>
          <w:tcPr>
            <w:tcW w:w="1418" w:type="dxa"/>
            <w:shd w:val="clear" w:color="auto" w:fill="auto"/>
            <w:noWrap/>
            <w:vAlign w:val="bottom"/>
            <w:hideMark/>
          </w:tcPr>
          <w:p w:rsidR="00CD5081" w:rsidRPr="00412299" w:rsidRDefault="00CD5081" w:rsidP="00F83FBB">
            <w:pPr>
              <w:jc w:val="right"/>
              <w:rPr>
                <w:rFonts w:ascii="Calibri" w:hAnsi="Calibri"/>
                <w:sz w:val="18"/>
                <w:szCs w:val="18"/>
              </w:rPr>
            </w:pPr>
            <w:r w:rsidRPr="00972554">
              <w:rPr>
                <w:rFonts w:ascii="Calibri" w:hAnsi="Calibri"/>
                <w:sz w:val="18"/>
                <w:szCs w:val="18"/>
              </w:rPr>
              <w:t xml:space="preserve">10.072.911.756 </w:t>
            </w:r>
          </w:p>
        </w:tc>
        <w:tc>
          <w:tcPr>
            <w:tcW w:w="708" w:type="dxa"/>
            <w:vAlign w:val="bottom"/>
          </w:tcPr>
          <w:p w:rsidR="00CD5081" w:rsidRPr="00412299" w:rsidRDefault="00CD5081" w:rsidP="00382B0F">
            <w:pPr>
              <w:autoSpaceDE w:val="0"/>
              <w:autoSpaceDN w:val="0"/>
              <w:adjustRightInd w:val="0"/>
              <w:spacing w:line="240" w:lineRule="auto"/>
              <w:jc w:val="right"/>
              <w:rPr>
                <w:rFonts w:ascii="Calibri" w:hAnsi="Calibri" w:cs="Calibri"/>
                <w:sz w:val="18"/>
                <w:szCs w:val="18"/>
                <w:lang w:val="sl-SI" w:eastAsia="sl-SI"/>
              </w:rPr>
            </w:pPr>
            <w:r w:rsidRPr="00972554">
              <w:rPr>
                <w:rFonts w:ascii="Calibri" w:hAnsi="Calibri"/>
                <w:sz w:val="18"/>
                <w:szCs w:val="18"/>
              </w:rPr>
              <w:t>69,82</w:t>
            </w:r>
          </w:p>
        </w:tc>
      </w:tr>
      <w:tr w:rsidR="00CD5081" w:rsidRPr="007C4768" w:rsidTr="00972554">
        <w:trPr>
          <w:trHeight w:val="300"/>
        </w:trPr>
        <w:tc>
          <w:tcPr>
            <w:tcW w:w="6394" w:type="dxa"/>
            <w:shd w:val="clear" w:color="auto" w:fill="auto"/>
            <w:noWrap/>
            <w:hideMark/>
          </w:tcPr>
          <w:p w:rsidR="00CD5081" w:rsidRPr="002C026D" w:rsidRDefault="00CD5081" w:rsidP="006377A8">
            <w:pPr>
              <w:jc w:val="left"/>
              <w:rPr>
                <w:rFonts w:ascii="Calibri" w:hAnsi="Calibri"/>
                <w:sz w:val="18"/>
                <w:szCs w:val="18"/>
              </w:rPr>
            </w:pPr>
            <w:r w:rsidRPr="00E6614F">
              <w:rPr>
                <w:rFonts w:ascii="Calibri" w:hAnsi="Calibri" w:cs="Calibri"/>
                <w:sz w:val="18"/>
                <w:szCs w:val="18"/>
                <w:lang w:val="sl-SI" w:eastAsia="sl-SI"/>
              </w:rPr>
              <w:t>PPU</w:t>
            </w:r>
          </w:p>
        </w:tc>
        <w:tc>
          <w:tcPr>
            <w:tcW w:w="1418" w:type="dxa"/>
            <w:shd w:val="clear" w:color="auto" w:fill="auto"/>
            <w:noWrap/>
            <w:vAlign w:val="bottom"/>
            <w:hideMark/>
          </w:tcPr>
          <w:p w:rsidR="00CD5081" w:rsidRPr="00412299" w:rsidRDefault="00CD5081" w:rsidP="00F83FBB">
            <w:pPr>
              <w:jc w:val="right"/>
              <w:rPr>
                <w:rFonts w:ascii="Calibri" w:hAnsi="Calibri"/>
                <w:sz w:val="18"/>
                <w:szCs w:val="18"/>
              </w:rPr>
            </w:pPr>
            <w:r w:rsidRPr="00972554">
              <w:rPr>
                <w:rFonts w:ascii="Calibri" w:hAnsi="Calibri"/>
                <w:sz w:val="18"/>
                <w:szCs w:val="18"/>
              </w:rPr>
              <w:t xml:space="preserve">4.354.450.956 </w:t>
            </w:r>
          </w:p>
        </w:tc>
        <w:tc>
          <w:tcPr>
            <w:tcW w:w="708" w:type="dxa"/>
            <w:vAlign w:val="bottom"/>
          </w:tcPr>
          <w:p w:rsidR="00CD5081" w:rsidRPr="00412299" w:rsidRDefault="00CD5081" w:rsidP="00382B0F">
            <w:pPr>
              <w:autoSpaceDE w:val="0"/>
              <w:autoSpaceDN w:val="0"/>
              <w:adjustRightInd w:val="0"/>
              <w:spacing w:line="240" w:lineRule="auto"/>
              <w:jc w:val="right"/>
              <w:rPr>
                <w:rFonts w:ascii="Calibri" w:hAnsi="Calibri" w:cs="Calibri"/>
                <w:sz w:val="18"/>
                <w:szCs w:val="18"/>
                <w:lang w:val="sl-SI" w:eastAsia="sl-SI"/>
              </w:rPr>
            </w:pPr>
            <w:r w:rsidRPr="00972554">
              <w:rPr>
                <w:rFonts w:ascii="Calibri" w:hAnsi="Calibri"/>
                <w:sz w:val="18"/>
                <w:szCs w:val="18"/>
              </w:rPr>
              <w:t>30,18</w:t>
            </w:r>
          </w:p>
        </w:tc>
      </w:tr>
      <w:tr w:rsidR="00CD5081" w:rsidRPr="007C4768" w:rsidTr="00972554">
        <w:trPr>
          <w:trHeight w:val="300"/>
        </w:trPr>
        <w:tc>
          <w:tcPr>
            <w:tcW w:w="6394" w:type="dxa"/>
            <w:shd w:val="clear" w:color="auto" w:fill="auto"/>
            <w:noWrap/>
            <w:hideMark/>
          </w:tcPr>
          <w:p w:rsidR="00CD5081" w:rsidRPr="002C026D" w:rsidRDefault="00CD5081" w:rsidP="006377A8">
            <w:pPr>
              <w:jc w:val="left"/>
              <w:rPr>
                <w:rFonts w:ascii="Calibri" w:hAnsi="Calibri"/>
                <w:b/>
                <w:sz w:val="18"/>
                <w:szCs w:val="18"/>
              </w:rPr>
            </w:pPr>
            <w:r w:rsidRPr="000F6B5B">
              <w:rPr>
                <w:rFonts w:ascii="Calibri" w:hAnsi="Calibri" w:cs="Calibri"/>
                <w:b/>
                <w:bCs/>
                <w:sz w:val="18"/>
                <w:szCs w:val="18"/>
                <w:lang w:val="sl-SI" w:eastAsia="sl-SI"/>
              </w:rPr>
              <w:t>705-Popravek vrednosti nepremičnin</w:t>
            </w:r>
          </w:p>
        </w:tc>
        <w:tc>
          <w:tcPr>
            <w:tcW w:w="1418" w:type="dxa"/>
            <w:shd w:val="clear" w:color="auto" w:fill="auto"/>
            <w:noWrap/>
            <w:vAlign w:val="bottom"/>
            <w:hideMark/>
          </w:tcPr>
          <w:p w:rsidR="00CD5081" w:rsidRPr="00972554" w:rsidRDefault="00CD5081" w:rsidP="00F83FBB">
            <w:pPr>
              <w:jc w:val="right"/>
              <w:rPr>
                <w:rFonts w:ascii="Calibri" w:hAnsi="Calibri"/>
                <w:b/>
                <w:sz w:val="18"/>
                <w:szCs w:val="18"/>
              </w:rPr>
            </w:pPr>
            <w:r w:rsidRPr="00972554">
              <w:rPr>
                <w:rFonts w:ascii="Calibri" w:hAnsi="Calibri"/>
                <w:b/>
                <w:sz w:val="18"/>
                <w:szCs w:val="18"/>
              </w:rPr>
              <w:t xml:space="preserve">5.711.718.872 </w:t>
            </w:r>
          </w:p>
        </w:tc>
        <w:tc>
          <w:tcPr>
            <w:tcW w:w="708" w:type="dxa"/>
            <w:vAlign w:val="bottom"/>
          </w:tcPr>
          <w:p w:rsidR="00CD5081" w:rsidRPr="00382B0F" w:rsidRDefault="00CD5081" w:rsidP="00382B0F">
            <w:pPr>
              <w:autoSpaceDE w:val="0"/>
              <w:autoSpaceDN w:val="0"/>
              <w:adjustRightInd w:val="0"/>
              <w:spacing w:line="240" w:lineRule="auto"/>
              <w:jc w:val="right"/>
              <w:rPr>
                <w:rFonts w:ascii="Calibri" w:hAnsi="Calibri" w:cs="Calibri"/>
                <w:b/>
                <w:bCs/>
                <w:sz w:val="18"/>
                <w:szCs w:val="18"/>
                <w:lang w:val="sl-SI" w:eastAsia="sl-SI"/>
              </w:rPr>
            </w:pPr>
          </w:p>
        </w:tc>
      </w:tr>
      <w:tr w:rsidR="00CD5081" w:rsidRPr="007C4768" w:rsidTr="00972554">
        <w:trPr>
          <w:trHeight w:val="300"/>
        </w:trPr>
        <w:tc>
          <w:tcPr>
            <w:tcW w:w="6394" w:type="dxa"/>
            <w:shd w:val="clear" w:color="auto" w:fill="auto"/>
            <w:noWrap/>
            <w:hideMark/>
          </w:tcPr>
          <w:p w:rsidR="00CD5081" w:rsidRPr="002C026D" w:rsidRDefault="00CD5081" w:rsidP="006377A8">
            <w:pPr>
              <w:jc w:val="left"/>
              <w:rPr>
                <w:rFonts w:ascii="Calibri" w:hAnsi="Calibri"/>
                <w:sz w:val="18"/>
                <w:szCs w:val="18"/>
              </w:rPr>
            </w:pPr>
            <w:r w:rsidRPr="00E6614F">
              <w:rPr>
                <w:rFonts w:ascii="Calibri" w:hAnsi="Calibri" w:cs="Calibri"/>
                <w:sz w:val="18"/>
                <w:szCs w:val="18"/>
                <w:lang w:val="sl-SI" w:eastAsia="sl-SI"/>
              </w:rPr>
              <w:t>NPU</w:t>
            </w:r>
          </w:p>
        </w:tc>
        <w:tc>
          <w:tcPr>
            <w:tcW w:w="1418" w:type="dxa"/>
            <w:shd w:val="clear" w:color="auto" w:fill="auto"/>
            <w:noWrap/>
            <w:vAlign w:val="bottom"/>
            <w:hideMark/>
          </w:tcPr>
          <w:p w:rsidR="00CD5081" w:rsidRPr="00116FC1" w:rsidRDefault="00CD5081" w:rsidP="00F83FBB">
            <w:pPr>
              <w:jc w:val="right"/>
              <w:rPr>
                <w:rFonts w:ascii="Calibri" w:hAnsi="Calibri"/>
                <w:sz w:val="18"/>
                <w:szCs w:val="18"/>
              </w:rPr>
            </w:pPr>
            <w:r w:rsidRPr="00972554">
              <w:rPr>
                <w:rFonts w:ascii="Calibri" w:hAnsi="Calibri"/>
                <w:sz w:val="18"/>
                <w:szCs w:val="18"/>
              </w:rPr>
              <w:t xml:space="preserve">4.181.911.305 </w:t>
            </w:r>
          </w:p>
        </w:tc>
        <w:tc>
          <w:tcPr>
            <w:tcW w:w="708" w:type="dxa"/>
            <w:vAlign w:val="bottom"/>
          </w:tcPr>
          <w:p w:rsidR="00CD5081" w:rsidRPr="00412299" w:rsidRDefault="00CD5081" w:rsidP="00382B0F">
            <w:pPr>
              <w:autoSpaceDE w:val="0"/>
              <w:autoSpaceDN w:val="0"/>
              <w:adjustRightInd w:val="0"/>
              <w:spacing w:line="240" w:lineRule="auto"/>
              <w:jc w:val="right"/>
              <w:rPr>
                <w:rFonts w:ascii="Calibri" w:hAnsi="Calibri" w:cs="Calibri"/>
                <w:sz w:val="18"/>
                <w:szCs w:val="18"/>
                <w:lang w:val="sl-SI" w:eastAsia="sl-SI"/>
              </w:rPr>
            </w:pPr>
            <w:r w:rsidRPr="00972554">
              <w:rPr>
                <w:rFonts w:ascii="Calibri" w:hAnsi="Calibri"/>
                <w:sz w:val="18"/>
                <w:szCs w:val="18"/>
              </w:rPr>
              <w:t>73,22</w:t>
            </w:r>
          </w:p>
        </w:tc>
      </w:tr>
      <w:tr w:rsidR="00CD5081" w:rsidRPr="007C4768" w:rsidTr="00972554">
        <w:trPr>
          <w:trHeight w:val="300"/>
        </w:trPr>
        <w:tc>
          <w:tcPr>
            <w:tcW w:w="6394" w:type="dxa"/>
            <w:shd w:val="clear" w:color="auto" w:fill="auto"/>
            <w:noWrap/>
            <w:hideMark/>
          </w:tcPr>
          <w:p w:rsidR="00CD5081" w:rsidRPr="002C026D" w:rsidRDefault="00CD5081" w:rsidP="006377A8">
            <w:pPr>
              <w:jc w:val="left"/>
              <w:rPr>
                <w:rFonts w:ascii="Calibri" w:hAnsi="Calibri"/>
                <w:sz w:val="18"/>
                <w:szCs w:val="18"/>
              </w:rPr>
            </w:pPr>
            <w:r w:rsidRPr="00E6614F">
              <w:rPr>
                <w:rFonts w:ascii="Calibri" w:hAnsi="Calibri" w:cs="Calibri"/>
                <w:sz w:val="18"/>
                <w:szCs w:val="18"/>
                <w:lang w:val="sl-SI" w:eastAsia="sl-SI"/>
              </w:rPr>
              <w:t>PPU</w:t>
            </w:r>
          </w:p>
        </w:tc>
        <w:tc>
          <w:tcPr>
            <w:tcW w:w="1418" w:type="dxa"/>
            <w:shd w:val="clear" w:color="auto" w:fill="auto"/>
            <w:noWrap/>
            <w:vAlign w:val="bottom"/>
            <w:hideMark/>
          </w:tcPr>
          <w:p w:rsidR="00CD5081" w:rsidRPr="00412299" w:rsidRDefault="00CD5081" w:rsidP="00F83FBB">
            <w:pPr>
              <w:jc w:val="right"/>
              <w:rPr>
                <w:rFonts w:ascii="Calibri" w:hAnsi="Calibri"/>
                <w:sz w:val="18"/>
                <w:szCs w:val="18"/>
              </w:rPr>
            </w:pPr>
            <w:r w:rsidRPr="00972554">
              <w:rPr>
                <w:rFonts w:ascii="Calibri" w:hAnsi="Calibri"/>
                <w:sz w:val="18"/>
                <w:szCs w:val="18"/>
              </w:rPr>
              <w:t xml:space="preserve">1.529.807.567 </w:t>
            </w:r>
          </w:p>
        </w:tc>
        <w:tc>
          <w:tcPr>
            <w:tcW w:w="708" w:type="dxa"/>
            <w:vAlign w:val="bottom"/>
          </w:tcPr>
          <w:p w:rsidR="00CD5081" w:rsidRPr="00412299" w:rsidRDefault="00CD5081" w:rsidP="00382B0F">
            <w:pPr>
              <w:autoSpaceDE w:val="0"/>
              <w:autoSpaceDN w:val="0"/>
              <w:adjustRightInd w:val="0"/>
              <w:spacing w:line="240" w:lineRule="auto"/>
              <w:jc w:val="right"/>
              <w:rPr>
                <w:rFonts w:ascii="Calibri" w:hAnsi="Calibri" w:cs="Calibri"/>
                <w:sz w:val="18"/>
                <w:szCs w:val="18"/>
                <w:lang w:val="sl-SI" w:eastAsia="sl-SI"/>
              </w:rPr>
            </w:pPr>
            <w:r w:rsidRPr="00972554">
              <w:rPr>
                <w:rFonts w:ascii="Calibri" w:hAnsi="Calibri"/>
                <w:sz w:val="18"/>
                <w:szCs w:val="18"/>
              </w:rPr>
              <w:t>26,78</w:t>
            </w:r>
          </w:p>
        </w:tc>
      </w:tr>
      <w:tr w:rsidR="00CD5081" w:rsidRPr="007C4768" w:rsidTr="00972554">
        <w:trPr>
          <w:trHeight w:val="300"/>
        </w:trPr>
        <w:tc>
          <w:tcPr>
            <w:tcW w:w="6394" w:type="dxa"/>
            <w:shd w:val="clear" w:color="auto" w:fill="auto"/>
            <w:noWrap/>
            <w:hideMark/>
          </w:tcPr>
          <w:p w:rsidR="00CD5081" w:rsidRPr="00F454FD" w:rsidRDefault="00CD5081" w:rsidP="006377A8">
            <w:pPr>
              <w:jc w:val="left"/>
              <w:rPr>
                <w:rFonts w:ascii="Calibri" w:hAnsi="Calibri"/>
                <w:b/>
                <w:sz w:val="18"/>
                <w:szCs w:val="18"/>
              </w:rPr>
            </w:pPr>
            <w:r w:rsidRPr="000F6B5B">
              <w:rPr>
                <w:rFonts w:ascii="Calibri" w:hAnsi="Calibri" w:cs="Calibri"/>
                <w:b/>
                <w:bCs/>
                <w:sz w:val="18"/>
                <w:szCs w:val="18"/>
                <w:lang w:val="sl-SI" w:eastAsia="sl-SI"/>
              </w:rPr>
              <w:t>706-Sedanja vrednost opreme in drugih opredmetenih osnovnih sredstev</w:t>
            </w:r>
          </w:p>
        </w:tc>
        <w:tc>
          <w:tcPr>
            <w:tcW w:w="1418" w:type="dxa"/>
            <w:shd w:val="clear" w:color="auto" w:fill="auto"/>
            <w:noWrap/>
            <w:vAlign w:val="bottom"/>
            <w:hideMark/>
          </w:tcPr>
          <w:p w:rsidR="00CD5081" w:rsidRPr="00972554" w:rsidRDefault="00CD5081" w:rsidP="00F83FBB">
            <w:pPr>
              <w:jc w:val="right"/>
              <w:rPr>
                <w:rFonts w:ascii="Calibri" w:hAnsi="Calibri"/>
                <w:b/>
                <w:sz w:val="18"/>
                <w:szCs w:val="18"/>
              </w:rPr>
            </w:pPr>
            <w:r w:rsidRPr="00972554">
              <w:rPr>
                <w:rFonts w:ascii="Calibri" w:hAnsi="Calibri"/>
                <w:b/>
                <w:sz w:val="18"/>
                <w:szCs w:val="18"/>
              </w:rPr>
              <w:t xml:space="preserve">1.568.351.954 </w:t>
            </w:r>
          </w:p>
        </w:tc>
        <w:tc>
          <w:tcPr>
            <w:tcW w:w="708" w:type="dxa"/>
            <w:vAlign w:val="bottom"/>
          </w:tcPr>
          <w:p w:rsidR="00CD5081" w:rsidRPr="00382B0F" w:rsidRDefault="00CD5081" w:rsidP="00382B0F">
            <w:pPr>
              <w:autoSpaceDE w:val="0"/>
              <w:autoSpaceDN w:val="0"/>
              <w:adjustRightInd w:val="0"/>
              <w:spacing w:line="240" w:lineRule="auto"/>
              <w:jc w:val="right"/>
              <w:rPr>
                <w:rFonts w:ascii="Calibri" w:hAnsi="Calibri" w:cs="Calibri"/>
                <w:b/>
                <w:bCs/>
                <w:sz w:val="18"/>
                <w:szCs w:val="18"/>
                <w:lang w:val="sl-SI" w:eastAsia="sl-SI"/>
              </w:rPr>
            </w:pPr>
          </w:p>
        </w:tc>
      </w:tr>
      <w:tr w:rsidR="00CD5081" w:rsidRPr="007C4768" w:rsidTr="00972554">
        <w:trPr>
          <w:trHeight w:val="300"/>
        </w:trPr>
        <w:tc>
          <w:tcPr>
            <w:tcW w:w="6394" w:type="dxa"/>
            <w:shd w:val="clear" w:color="auto" w:fill="auto"/>
            <w:noWrap/>
            <w:hideMark/>
          </w:tcPr>
          <w:p w:rsidR="00CD5081" w:rsidRPr="002C026D" w:rsidRDefault="00CD5081" w:rsidP="006377A8">
            <w:pPr>
              <w:jc w:val="left"/>
              <w:rPr>
                <w:rFonts w:ascii="Calibri" w:hAnsi="Calibri"/>
                <w:sz w:val="18"/>
                <w:szCs w:val="18"/>
              </w:rPr>
            </w:pPr>
            <w:r w:rsidRPr="00E6614F">
              <w:rPr>
                <w:rFonts w:ascii="Calibri" w:hAnsi="Calibri" w:cs="Calibri"/>
                <w:sz w:val="18"/>
                <w:szCs w:val="18"/>
                <w:lang w:val="sl-SI" w:eastAsia="sl-SI"/>
              </w:rPr>
              <w:t>NPU</w:t>
            </w:r>
          </w:p>
        </w:tc>
        <w:tc>
          <w:tcPr>
            <w:tcW w:w="1418" w:type="dxa"/>
            <w:shd w:val="clear" w:color="auto" w:fill="auto"/>
            <w:noWrap/>
            <w:vAlign w:val="bottom"/>
            <w:hideMark/>
          </w:tcPr>
          <w:p w:rsidR="00CD5081" w:rsidRPr="00412299" w:rsidRDefault="00CD5081" w:rsidP="00F83FBB">
            <w:pPr>
              <w:jc w:val="right"/>
              <w:rPr>
                <w:rFonts w:ascii="Calibri" w:hAnsi="Calibri"/>
                <w:sz w:val="18"/>
                <w:szCs w:val="18"/>
              </w:rPr>
            </w:pPr>
            <w:r w:rsidRPr="00972554">
              <w:rPr>
                <w:rFonts w:ascii="Calibri" w:hAnsi="Calibri"/>
                <w:sz w:val="18"/>
                <w:szCs w:val="18"/>
              </w:rPr>
              <w:t xml:space="preserve">1.142.062.392 </w:t>
            </w:r>
          </w:p>
        </w:tc>
        <w:tc>
          <w:tcPr>
            <w:tcW w:w="708" w:type="dxa"/>
            <w:vAlign w:val="bottom"/>
          </w:tcPr>
          <w:p w:rsidR="00CD5081" w:rsidRPr="00412299" w:rsidRDefault="00CD5081" w:rsidP="00382B0F">
            <w:pPr>
              <w:autoSpaceDE w:val="0"/>
              <w:autoSpaceDN w:val="0"/>
              <w:adjustRightInd w:val="0"/>
              <w:spacing w:line="240" w:lineRule="auto"/>
              <w:jc w:val="right"/>
              <w:rPr>
                <w:rFonts w:ascii="Calibri" w:hAnsi="Calibri" w:cs="Calibri"/>
                <w:sz w:val="18"/>
                <w:szCs w:val="18"/>
                <w:lang w:val="sl-SI" w:eastAsia="sl-SI"/>
              </w:rPr>
            </w:pPr>
            <w:r w:rsidRPr="00972554">
              <w:rPr>
                <w:rFonts w:ascii="Calibri" w:hAnsi="Calibri"/>
                <w:sz w:val="18"/>
                <w:szCs w:val="18"/>
              </w:rPr>
              <w:t>72,82</w:t>
            </w:r>
          </w:p>
        </w:tc>
      </w:tr>
      <w:tr w:rsidR="00CD5081" w:rsidRPr="007C4768" w:rsidTr="00972554">
        <w:trPr>
          <w:trHeight w:val="300"/>
        </w:trPr>
        <w:tc>
          <w:tcPr>
            <w:tcW w:w="6394" w:type="dxa"/>
            <w:shd w:val="clear" w:color="auto" w:fill="auto"/>
            <w:noWrap/>
            <w:hideMark/>
          </w:tcPr>
          <w:p w:rsidR="00CD5081" w:rsidRPr="002C026D" w:rsidRDefault="00CD5081" w:rsidP="006377A8">
            <w:pPr>
              <w:jc w:val="left"/>
              <w:rPr>
                <w:rFonts w:ascii="Calibri" w:hAnsi="Calibri"/>
                <w:sz w:val="18"/>
                <w:szCs w:val="18"/>
              </w:rPr>
            </w:pPr>
            <w:r w:rsidRPr="00E6614F">
              <w:rPr>
                <w:rFonts w:ascii="Calibri" w:hAnsi="Calibri" w:cs="Calibri"/>
                <w:sz w:val="18"/>
                <w:szCs w:val="18"/>
                <w:lang w:val="sl-SI" w:eastAsia="sl-SI"/>
              </w:rPr>
              <w:t>PPU</w:t>
            </w:r>
          </w:p>
        </w:tc>
        <w:tc>
          <w:tcPr>
            <w:tcW w:w="1418" w:type="dxa"/>
            <w:shd w:val="clear" w:color="auto" w:fill="auto"/>
            <w:noWrap/>
            <w:vAlign w:val="bottom"/>
            <w:hideMark/>
          </w:tcPr>
          <w:p w:rsidR="00CD5081" w:rsidRPr="00412299" w:rsidRDefault="00CD5081" w:rsidP="00F83FBB">
            <w:pPr>
              <w:jc w:val="right"/>
              <w:rPr>
                <w:rFonts w:ascii="Calibri" w:hAnsi="Calibri"/>
                <w:sz w:val="18"/>
                <w:szCs w:val="18"/>
              </w:rPr>
            </w:pPr>
            <w:r w:rsidRPr="00972554">
              <w:rPr>
                <w:rFonts w:ascii="Calibri" w:hAnsi="Calibri"/>
                <w:sz w:val="18"/>
                <w:szCs w:val="18"/>
              </w:rPr>
              <w:t xml:space="preserve">426.289.562 </w:t>
            </w:r>
          </w:p>
        </w:tc>
        <w:tc>
          <w:tcPr>
            <w:tcW w:w="708" w:type="dxa"/>
            <w:vAlign w:val="bottom"/>
          </w:tcPr>
          <w:p w:rsidR="00CD5081" w:rsidRPr="00412299" w:rsidRDefault="00CD5081" w:rsidP="00382B0F">
            <w:pPr>
              <w:autoSpaceDE w:val="0"/>
              <w:autoSpaceDN w:val="0"/>
              <w:adjustRightInd w:val="0"/>
              <w:spacing w:line="240" w:lineRule="auto"/>
              <w:jc w:val="right"/>
              <w:rPr>
                <w:rFonts w:ascii="Calibri" w:hAnsi="Calibri" w:cs="Calibri"/>
                <w:sz w:val="18"/>
                <w:szCs w:val="18"/>
                <w:lang w:val="sl-SI" w:eastAsia="sl-SI"/>
              </w:rPr>
            </w:pPr>
            <w:r w:rsidRPr="00972554">
              <w:rPr>
                <w:rFonts w:ascii="Calibri" w:hAnsi="Calibri"/>
                <w:sz w:val="18"/>
                <w:szCs w:val="18"/>
              </w:rPr>
              <w:t>27,18</w:t>
            </w:r>
          </w:p>
        </w:tc>
      </w:tr>
      <w:tr w:rsidR="00CD5081" w:rsidRPr="007C4768" w:rsidTr="00972554">
        <w:trPr>
          <w:trHeight w:val="300"/>
        </w:trPr>
        <w:tc>
          <w:tcPr>
            <w:tcW w:w="6394" w:type="dxa"/>
            <w:shd w:val="clear" w:color="auto" w:fill="auto"/>
            <w:noWrap/>
            <w:hideMark/>
          </w:tcPr>
          <w:p w:rsidR="00CD5081" w:rsidRPr="00F454FD" w:rsidRDefault="00CD5081" w:rsidP="006377A8">
            <w:pPr>
              <w:jc w:val="left"/>
              <w:rPr>
                <w:rFonts w:ascii="Calibri" w:hAnsi="Calibri"/>
                <w:b/>
                <w:sz w:val="18"/>
                <w:szCs w:val="18"/>
              </w:rPr>
            </w:pPr>
            <w:r w:rsidRPr="000F6B5B">
              <w:rPr>
                <w:rFonts w:ascii="Calibri" w:hAnsi="Calibri" w:cs="Calibri"/>
                <w:b/>
                <w:bCs/>
                <w:sz w:val="18"/>
                <w:szCs w:val="18"/>
                <w:lang w:val="sl-SI" w:eastAsia="sl-SI"/>
              </w:rPr>
              <w:t>707-Nabavna vrednost opreme in drugih opredmetenih osnovnih sredstev</w:t>
            </w:r>
          </w:p>
        </w:tc>
        <w:tc>
          <w:tcPr>
            <w:tcW w:w="1418" w:type="dxa"/>
            <w:shd w:val="clear" w:color="auto" w:fill="auto"/>
            <w:noWrap/>
            <w:vAlign w:val="bottom"/>
            <w:hideMark/>
          </w:tcPr>
          <w:p w:rsidR="00CD5081" w:rsidRPr="00972554" w:rsidRDefault="00CD5081" w:rsidP="00F83FBB">
            <w:pPr>
              <w:jc w:val="right"/>
              <w:rPr>
                <w:rFonts w:ascii="Calibri" w:hAnsi="Calibri"/>
                <w:b/>
                <w:sz w:val="18"/>
                <w:szCs w:val="18"/>
              </w:rPr>
            </w:pPr>
            <w:r w:rsidRPr="00972554">
              <w:rPr>
                <w:rFonts w:ascii="Calibri" w:hAnsi="Calibri"/>
                <w:b/>
                <w:sz w:val="18"/>
                <w:szCs w:val="18"/>
              </w:rPr>
              <w:t xml:space="preserve">5.216.735.695 </w:t>
            </w:r>
          </w:p>
        </w:tc>
        <w:tc>
          <w:tcPr>
            <w:tcW w:w="708" w:type="dxa"/>
            <w:vAlign w:val="bottom"/>
          </w:tcPr>
          <w:p w:rsidR="00CD5081" w:rsidRPr="00382B0F" w:rsidRDefault="00CD5081" w:rsidP="00382B0F">
            <w:pPr>
              <w:autoSpaceDE w:val="0"/>
              <w:autoSpaceDN w:val="0"/>
              <w:adjustRightInd w:val="0"/>
              <w:spacing w:line="240" w:lineRule="auto"/>
              <w:jc w:val="right"/>
              <w:rPr>
                <w:rFonts w:ascii="Calibri" w:hAnsi="Calibri" w:cs="Calibri"/>
                <w:b/>
                <w:bCs/>
                <w:sz w:val="18"/>
                <w:szCs w:val="18"/>
                <w:lang w:val="sl-SI" w:eastAsia="sl-SI"/>
              </w:rPr>
            </w:pPr>
          </w:p>
        </w:tc>
      </w:tr>
      <w:tr w:rsidR="00CD5081" w:rsidRPr="007C4768" w:rsidTr="00972554">
        <w:trPr>
          <w:trHeight w:val="300"/>
        </w:trPr>
        <w:tc>
          <w:tcPr>
            <w:tcW w:w="6394" w:type="dxa"/>
            <w:shd w:val="clear" w:color="auto" w:fill="auto"/>
            <w:noWrap/>
            <w:hideMark/>
          </w:tcPr>
          <w:p w:rsidR="00CD5081" w:rsidRPr="002C026D" w:rsidRDefault="00CD5081" w:rsidP="006377A8">
            <w:pPr>
              <w:jc w:val="left"/>
              <w:rPr>
                <w:rFonts w:ascii="Calibri" w:hAnsi="Calibri"/>
                <w:sz w:val="18"/>
                <w:szCs w:val="18"/>
              </w:rPr>
            </w:pPr>
            <w:r w:rsidRPr="00E6614F">
              <w:rPr>
                <w:rFonts w:ascii="Calibri" w:hAnsi="Calibri" w:cs="Calibri"/>
                <w:sz w:val="18"/>
                <w:szCs w:val="18"/>
                <w:lang w:val="sl-SI" w:eastAsia="sl-SI"/>
              </w:rPr>
              <w:lastRenderedPageBreak/>
              <w:t>NPU</w:t>
            </w:r>
          </w:p>
        </w:tc>
        <w:tc>
          <w:tcPr>
            <w:tcW w:w="1418" w:type="dxa"/>
            <w:shd w:val="clear" w:color="auto" w:fill="auto"/>
            <w:noWrap/>
            <w:vAlign w:val="bottom"/>
            <w:hideMark/>
          </w:tcPr>
          <w:p w:rsidR="00CD5081" w:rsidRPr="00412299" w:rsidRDefault="00CD5081" w:rsidP="00F83FBB">
            <w:pPr>
              <w:jc w:val="right"/>
              <w:rPr>
                <w:rFonts w:ascii="Calibri" w:hAnsi="Calibri"/>
                <w:sz w:val="18"/>
                <w:szCs w:val="18"/>
              </w:rPr>
            </w:pPr>
            <w:r w:rsidRPr="00972554">
              <w:rPr>
                <w:rFonts w:ascii="Calibri" w:hAnsi="Calibri"/>
                <w:sz w:val="18"/>
                <w:szCs w:val="18"/>
              </w:rPr>
              <w:t xml:space="preserve">2.885.345.665 </w:t>
            </w:r>
          </w:p>
        </w:tc>
        <w:tc>
          <w:tcPr>
            <w:tcW w:w="708" w:type="dxa"/>
            <w:vAlign w:val="bottom"/>
          </w:tcPr>
          <w:p w:rsidR="00CD5081" w:rsidRPr="00412299" w:rsidRDefault="00CD5081" w:rsidP="00382B0F">
            <w:pPr>
              <w:autoSpaceDE w:val="0"/>
              <w:autoSpaceDN w:val="0"/>
              <w:adjustRightInd w:val="0"/>
              <w:spacing w:line="240" w:lineRule="auto"/>
              <w:jc w:val="right"/>
              <w:rPr>
                <w:rFonts w:ascii="Calibri" w:hAnsi="Calibri" w:cs="Calibri"/>
                <w:sz w:val="18"/>
                <w:szCs w:val="18"/>
                <w:lang w:val="sl-SI" w:eastAsia="sl-SI"/>
              </w:rPr>
            </w:pPr>
            <w:r w:rsidRPr="00972554">
              <w:rPr>
                <w:rFonts w:ascii="Calibri" w:hAnsi="Calibri"/>
                <w:sz w:val="18"/>
                <w:szCs w:val="18"/>
              </w:rPr>
              <w:t>55,31</w:t>
            </w:r>
          </w:p>
        </w:tc>
      </w:tr>
      <w:tr w:rsidR="00CD5081" w:rsidRPr="007C4768" w:rsidTr="00972554">
        <w:trPr>
          <w:trHeight w:val="300"/>
        </w:trPr>
        <w:tc>
          <w:tcPr>
            <w:tcW w:w="6394" w:type="dxa"/>
            <w:shd w:val="clear" w:color="auto" w:fill="auto"/>
            <w:noWrap/>
            <w:hideMark/>
          </w:tcPr>
          <w:p w:rsidR="00CD5081" w:rsidRPr="002C026D" w:rsidRDefault="00CD5081" w:rsidP="006377A8">
            <w:pPr>
              <w:jc w:val="left"/>
              <w:rPr>
                <w:rFonts w:ascii="Calibri" w:hAnsi="Calibri"/>
                <w:sz w:val="18"/>
                <w:szCs w:val="18"/>
              </w:rPr>
            </w:pPr>
            <w:r w:rsidRPr="00E6614F">
              <w:rPr>
                <w:rFonts w:ascii="Calibri" w:hAnsi="Calibri" w:cs="Calibri"/>
                <w:sz w:val="18"/>
                <w:szCs w:val="18"/>
                <w:lang w:val="sl-SI" w:eastAsia="sl-SI"/>
              </w:rPr>
              <w:t>PPU</w:t>
            </w:r>
          </w:p>
        </w:tc>
        <w:tc>
          <w:tcPr>
            <w:tcW w:w="1418" w:type="dxa"/>
            <w:shd w:val="clear" w:color="auto" w:fill="auto"/>
            <w:noWrap/>
            <w:vAlign w:val="bottom"/>
            <w:hideMark/>
          </w:tcPr>
          <w:p w:rsidR="00CD5081" w:rsidRPr="00412299" w:rsidRDefault="00CD5081" w:rsidP="00F83FBB">
            <w:pPr>
              <w:jc w:val="right"/>
              <w:rPr>
                <w:rFonts w:ascii="Calibri" w:hAnsi="Calibri"/>
                <w:sz w:val="18"/>
                <w:szCs w:val="18"/>
              </w:rPr>
            </w:pPr>
            <w:r w:rsidRPr="00972554">
              <w:rPr>
                <w:rFonts w:ascii="Calibri" w:hAnsi="Calibri"/>
                <w:sz w:val="18"/>
                <w:szCs w:val="18"/>
              </w:rPr>
              <w:t xml:space="preserve">2.331.390.030 </w:t>
            </w:r>
          </w:p>
        </w:tc>
        <w:tc>
          <w:tcPr>
            <w:tcW w:w="708" w:type="dxa"/>
            <w:vAlign w:val="bottom"/>
          </w:tcPr>
          <w:p w:rsidR="00CD5081" w:rsidRPr="00412299" w:rsidRDefault="00CD5081" w:rsidP="00382B0F">
            <w:pPr>
              <w:autoSpaceDE w:val="0"/>
              <w:autoSpaceDN w:val="0"/>
              <w:adjustRightInd w:val="0"/>
              <w:spacing w:line="240" w:lineRule="auto"/>
              <w:jc w:val="right"/>
              <w:rPr>
                <w:rFonts w:ascii="Calibri" w:hAnsi="Calibri" w:cs="Calibri"/>
                <w:sz w:val="18"/>
                <w:szCs w:val="18"/>
                <w:lang w:val="sl-SI" w:eastAsia="sl-SI"/>
              </w:rPr>
            </w:pPr>
            <w:r w:rsidRPr="00972554">
              <w:rPr>
                <w:rFonts w:ascii="Calibri" w:hAnsi="Calibri"/>
                <w:sz w:val="18"/>
                <w:szCs w:val="18"/>
              </w:rPr>
              <w:t>44,69</w:t>
            </w:r>
          </w:p>
        </w:tc>
      </w:tr>
      <w:tr w:rsidR="00CD5081" w:rsidRPr="007C4768" w:rsidTr="00972554">
        <w:trPr>
          <w:trHeight w:val="300"/>
        </w:trPr>
        <w:tc>
          <w:tcPr>
            <w:tcW w:w="6394" w:type="dxa"/>
            <w:shd w:val="clear" w:color="auto" w:fill="auto"/>
            <w:noWrap/>
            <w:hideMark/>
          </w:tcPr>
          <w:p w:rsidR="00CD5081" w:rsidRPr="003648AC" w:rsidRDefault="00CD5081" w:rsidP="006377A8">
            <w:pPr>
              <w:jc w:val="left"/>
              <w:rPr>
                <w:rFonts w:ascii="Calibri" w:hAnsi="Calibri"/>
                <w:b/>
                <w:sz w:val="18"/>
                <w:szCs w:val="18"/>
              </w:rPr>
            </w:pPr>
            <w:r w:rsidRPr="000F6B5B">
              <w:rPr>
                <w:rFonts w:ascii="Calibri" w:hAnsi="Calibri" w:cs="Calibri"/>
                <w:b/>
                <w:bCs/>
                <w:sz w:val="18"/>
                <w:szCs w:val="18"/>
                <w:lang w:val="sl-SI" w:eastAsia="sl-SI"/>
              </w:rPr>
              <w:t>708-Popravek vrednosti opreme in drugih opredmetenih osnovnih sredstev</w:t>
            </w:r>
          </w:p>
        </w:tc>
        <w:tc>
          <w:tcPr>
            <w:tcW w:w="1418" w:type="dxa"/>
            <w:shd w:val="clear" w:color="auto" w:fill="auto"/>
            <w:noWrap/>
            <w:vAlign w:val="bottom"/>
            <w:hideMark/>
          </w:tcPr>
          <w:p w:rsidR="00CD5081" w:rsidRPr="00972554" w:rsidRDefault="00CD5081" w:rsidP="00F83FBB">
            <w:pPr>
              <w:jc w:val="right"/>
              <w:rPr>
                <w:rFonts w:ascii="Calibri" w:hAnsi="Calibri"/>
                <w:b/>
                <w:sz w:val="18"/>
                <w:szCs w:val="18"/>
              </w:rPr>
            </w:pPr>
            <w:r w:rsidRPr="00972554">
              <w:rPr>
                <w:rFonts w:ascii="Calibri" w:hAnsi="Calibri"/>
                <w:b/>
                <w:sz w:val="18"/>
                <w:szCs w:val="18"/>
              </w:rPr>
              <w:t xml:space="preserve">3.648.383.741 </w:t>
            </w:r>
          </w:p>
        </w:tc>
        <w:tc>
          <w:tcPr>
            <w:tcW w:w="708" w:type="dxa"/>
            <w:vAlign w:val="bottom"/>
          </w:tcPr>
          <w:p w:rsidR="00CD5081" w:rsidRPr="00382B0F" w:rsidRDefault="00CD5081" w:rsidP="00382B0F">
            <w:pPr>
              <w:autoSpaceDE w:val="0"/>
              <w:autoSpaceDN w:val="0"/>
              <w:adjustRightInd w:val="0"/>
              <w:spacing w:line="240" w:lineRule="auto"/>
              <w:jc w:val="right"/>
              <w:rPr>
                <w:rFonts w:ascii="Calibri" w:hAnsi="Calibri" w:cs="Calibri"/>
                <w:b/>
                <w:bCs/>
                <w:sz w:val="18"/>
                <w:szCs w:val="18"/>
                <w:lang w:val="sl-SI" w:eastAsia="sl-SI"/>
              </w:rPr>
            </w:pPr>
          </w:p>
        </w:tc>
      </w:tr>
      <w:tr w:rsidR="00CD5081" w:rsidRPr="007C4768" w:rsidTr="00972554">
        <w:trPr>
          <w:trHeight w:val="300"/>
        </w:trPr>
        <w:tc>
          <w:tcPr>
            <w:tcW w:w="6394" w:type="dxa"/>
            <w:shd w:val="clear" w:color="auto" w:fill="auto"/>
            <w:noWrap/>
            <w:hideMark/>
          </w:tcPr>
          <w:p w:rsidR="00CD5081" w:rsidRPr="002C026D" w:rsidRDefault="00CD5081" w:rsidP="006377A8">
            <w:pPr>
              <w:jc w:val="left"/>
              <w:rPr>
                <w:rFonts w:ascii="Calibri" w:hAnsi="Calibri"/>
                <w:sz w:val="18"/>
                <w:szCs w:val="18"/>
              </w:rPr>
            </w:pPr>
            <w:r w:rsidRPr="00E6614F">
              <w:rPr>
                <w:rFonts w:ascii="Calibri" w:hAnsi="Calibri" w:cs="Calibri"/>
                <w:sz w:val="18"/>
                <w:szCs w:val="18"/>
                <w:lang w:val="sl-SI" w:eastAsia="sl-SI"/>
              </w:rPr>
              <w:t>NPU</w:t>
            </w:r>
          </w:p>
        </w:tc>
        <w:tc>
          <w:tcPr>
            <w:tcW w:w="1418" w:type="dxa"/>
            <w:shd w:val="clear" w:color="auto" w:fill="auto"/>
            <w:noWrap/>
            <w:vAlign w:val="bottom"/>
            <w:hideMark/>
          </w:tcPr>
          <w:p w:rsidR="00CD5081" w:rsidRPr="00412299" w:rsidRDefault="00CD5081" w:rsidP="00F83FBB">
            <w:pPr>
              <w:jc w:val="right"/>
              <w:rPr>
                <w:rFonts w:ascii="Calibri" w:hAnsi="Calibri"/>
                <w:sz w:val="18"/>
                <w:szCs w:val="18"/>
              </w:rPr>
            </w:pPr>
            <w:r w:rsidRPr="00972554">
              <w:rPr>
                <w:rFonts w:ascii="Calibri" w:hAnsi="Calibri"/>
                <w:sz w:val="18"/>
                <w:szCs w:val="18"/>
              </w:rPr>
              <w:t xml:space="preserve">1.743.283.273 </w:t>
            </w:r>
          </w:p>
        </w:tc>
        <w:tc>
          <w:tcPr>
            <w:tcW w:w="708" w:type="dxa"/>
            <w:vAlign w:val="bottom"/>
          </w:tcPr>
          <w:p w:rsidR="00CD5081" w:rsidRPr="00412299" w:rsidRDefault="00CD5081" w:rsidP="00382B0F">
            <w:pPr>
              <w:autoSpaceDE w:val="0"/>
              <w:autoSpaceDN w:val="0"/>
              <w:adjustRightInd w:val="0"/>
              <w:spacing w:line="240" w:lineRule="auto"/>
              <w:jc w:val="right"/>
              <w:rPr>
                <w:rFonts w:ascii="Calibri" w:hAnsi="Calibri" w:cs="Calibri"/>
                <w:sz w:val="18"/>
                <w:szCs w:val="18"/>
                <w:lang w:val="sl-SI" w:eastAsia="sl-SI"/>
              </w:rPr>
            </w:pPr>
            <w:r w:rsidRPr="00972554">
              <w:rPr>
                <w:rFonts w:ascii="Calibri" w:hAnsi="Calibri"/>
                <w:sz w:val="18"/>
                <w:szCs w:val="18"/>
              </w:rPr>
              <w:t>47,78</w:t>
            </w:r>
          </w:p>
        </w:tc>
      </w:tr>
      <w:tr w:rsidR="00CD5081" w:rsidRPr="007C4768" w:rsidTr="00972554">
        <w:trPr>
          <w:trHeight w:val="300"/>
        </w:trPr>
        <w:tc>
          <w:tcPr>
            <w:tcW w:w="6394" w:type="dxa"/>
            <w:shd w:val="clear" w:color="auto" w:fill="auto"/>
            <w:noWrap/>
            <w:hideMark/>
          </w:tcPr>
          <w:p w:rsidR="00CD5081" w:rsidRPr="002C026D" w:rsidRDefault="00CD5081" w:rsidP="006377A8">
            <w:pPr>
              <w:jc w:val="left"/>
              <w:rPr>
                <w:rFonts w:ascii="Calibri" w:hAnsi="Calibri"/>
                <w:sz w:val="18"/>
                <w:szCs w:val="18"/>
              </w:rPr>
            </w:pPr>
            <w:r w:rsidRPr="00E6614F">
              <w:rPr>
                <w:rFonts w:ascii="Calibri" w:hAnsi="Calibri" w:cs="Calibri"/>
                <w:sz w:val="18"/>
                <w:szCs w:val="18"/>
                <w:lang w:val="sl-SI" w:eastAsia="sl-SI"/>
              </w:rPr>
              <w:t>PPU</w:t>
            </w:r>
          </w:p>
        </w:tc>
        <w:tc>
          <w:tcPr>
            <w:tcW w:w="1418" w:type="dxa"/>
            <w:shd w:val="clear" w:color="auto" w:fill="auto"/>
            <w:noWrap/>
            <w:vAlign w:val="bottom"/>
            <w:hideMark/>
          </w:tcPr>
          <w:p w:rsidR="00CD5081" w:rsidRPr="00412299" w:rsidRDefault="00CD5081" w:rsidP="00F83FBB">
            <w:pPr>
              <w:jc w:val="right"/>
              <w:rPr>
                <w:rFonts w:ascii="Calibri" w:hAnsi="Calibri"/>
                <w:sz w:val="18"/>
                <w:szCs w:val="18"/>
              </w:rPr>
            </w:pPr>
            <w:r w:rsidRPr="00972554">
              <w:rPr>
                <w:rFonts w:ascii="Calibri" w:hAnsi="Calibri"/>
                <w:sz w:val="18"/>
                <w:szCs w:val="18"/>
              </w:rPr>
              <w:t xml:space="preserve">1.905.100.468 </w:t>
            </w:r>
          </w:p>
        </w:tc>
        <w:tc>
          <w:tcPr>
            <w:tcW w:w="708" w:type="dxa"/>
            <w:vAlign w:val="bottom"/>
          </w:tcPr>
          <w:p w:rsidR="00CD5081" w:rsidRPr="00412299" w:rsidRDefault="00CD5081" w:rsidP="00382B0F">
            <w:pPr>
              <w:autoSpaceDE w:val="0"/>
              <w:autoSpaceDN w:val="0"/>
              <w:adjustRightInd w:val="0"/>
              <w:spacing w:line="240" w:lineRule="auto"/>
              <w:jc w:val="right"/>
              <w:rPr>
                <w:rFonts w:ascii="Calibri" w:hAnsi="Calibri" w:cs="Calibri"/>
                <w:sz w:val="18"/>
                <w:szCs w:val="18"/>
                <w:lang w:val="sl-SI" w:eastAsia="sl-SI"/>
              </w:rPr>
            </w:pPr>
            <w:r w:rsidRPr="00972554">
              <w:rPr>
                <w:rFonts w:ascii="Calibri" w:hAnsi="Calibri"/>
                <w:sz w:val="18"/>
                <w:szCs w:val="18"/>
              </w:rPr>
              <w:t>52,22</w:t>
            </w:r>
          </w:p>
        </w:tc>
      </w:tr>
      <w:tr w:rsidR="00CD5081" w:rsidRPr="007C4768" w:rsidTr="00972554">
        <w:trPr>
          <w:trHeight w:val="300"/>
        </w:trPr>
        <w:tc>
          <w:tcPr>
            <w:tcW w:w="6394" w:type="dxa"/>
            <w:shd w:val="clear" w:color="auto" w:fill="auto"/>
            <w:noWrap/>
            <w:hideMark/>
          </w:tcPr>
          <w:p w:rsidR="00CD5081" w:rsidRPr="003648AC" w:rsidRDefault="00CD5081" w:rsidP="006377A8">
            <w:pPr>
              <w:jc w:val="left"/>
              <w:rPr>
                <w:rFonts w:ascii="Calibri" w:hAnsi="Calibri"/>
                <w:b/>
                <w:sz w:val="18"/>
                <w:szCs w:val="18"/>
              </w:rPr>
            </w:pPr>
            <w:r w:rsidRPr="000F6B5B">
              <w:rPr>
                <w:rFonts w:ascii="Calibri" w:hAnsi="Calibri" w:cs="Calibri"/>
                <w:b/>
                <w:bCs/>
                <w:sz w:val="18"/>
                <w:szCs w:val="18"/>
                <w:lang w:val="sl-SI" w:eastAsia="sl-SI"/>
              </w:rPr>
              <w:t>709-Terjatve za sredstva dana v upravljanje</w:t>
            </w:r>
          </w:p>
        </w:tc>
        <w:tc>
          <w:tcPr>
            <w:tcW w:w="1418" w:type="dxa"/>
            <w:shd w:val="clear" w:color="auto" w:fill="auto"/>
            <w:noWrap/>
            <w:vAlign w:val="bottom"/>
            <w:hideMark/>
          </w:tcPr>
          <w:p w:rsidR="00CD5081" w:rsidRPr="00972554" w:rsidRDefault="00CD5081" w:rsidP="00F83FBB">
            <w:pPr>
              <w:jc w:val="right"/>
              <w:rPr>
                <w:rFonts w:ascii="Calibri" w:hAnsi="Calibri"/>
                <w:b/>
                <w:sz w:val="18"/>
                <w:szCs w:val="18"/>
              </w:rPr>
            </w:pPr>
            <w:r w:rsidRPr="00972554">
              <w:rPr>
                <w:rFonts w:ascii="Calibri" w:hAnsi="Calibri"/>
                <w:b/>
                <w:sz w:val="18"/>
                <w:szCs w:val="18"/>
              </w:rPr>
              <w:t xml:space="preserve">689.130 </w:t>
            </w:r>
          </w:p>
        </w:tc>
        <w:tc>
          <w:tcPr>
            <w:tcW w:w="708" w:type="dxa"/>
            <w:vAlign w:val="bottom"/>
          </w:tcPr>
          <w:p w:rsidR="00CD5081" w:rsidRPr="00382B0F" w:rsidRDefault="00CD5081" w:rsidP="00382B0F">
            <w:pPr>
              <w:autoSpaceDE w:val="0"/>
              <w:autoSpaceDN w:val="0"/>
              <w:adjustRightInd w:val="0"/>
              <w:spacing w:line="240" w:lineRule="auto"/>
              <w:jc w:val="right"/>
              <w:rPr>
                <w:rFonts w:ascii="Calibri" w:hAnsi="Calibri" w:cs="Calibri"/>
                <w:b/>
                <w:bCs/>
                <w:sz w:val="18"/>
                <w:szCs w:val="18"/>
                <w:lang w:val="sl-SI" w:eastAsia="sl-SI"/>
              </w:rPr>
            </w:pPr>
          </w:p>
        </w:tc>
      </w:tr>
      <w:tr w:rsidR="00CD5081" w:rsidRPr="007C4768" w:rsidTr="00972554">
        <w:trPr>
          <w:trHeight w:val="300"/>
        </w:trPr>
        <w:tc>
          <w:tcPr>
            <w:tcW w:w="6394" w:type="dxa"/>
            <w:shd w:val="clear" w:color="auto" w:fill="auto"/>
            <w:noWrap/>
            <w:hideMark/>
          </w:tcPr>
          <w:p w:rsidR="00CD5081" w:rsidRPr="002C026D" w:rsidRDefault="00CD5081" w:rsidP="006377A8">
            <w:pPr>
              <w:jc w:val="left"/>
              <w:rPr>
                <w:rFonts w:ascii="Calibri" w:hAnsi="Calibri"/>
                <w:sz w:val="18"/>
                <w:szCs w:val="18"/>
              </w:rPr>
            </w:pPr>
            <w:r w:rsidRPr="00E6614F">
              <w:rPr>
                <w:rFonts w:ascii="Calibri" w:hAnsi="Calibri" w:cs="Calibri"/>
                <w:sz w:val="18"/>
                <w:szCs w:val="18"/>
                <w:lang w:val="sl-SI" w:eastAsia="sl-SI"/>
              </w:rPr>
              <w:t>NPU</w:t>
            </w:r>
          </w:p>
        </w:tc>
        <w:tc>
          <w:tcPr>
            <w:tcW w:w="1418" w:type="dxa"/>
            <w:shd w:val="clear" w:color="auto" w:fill="auto"/>
            <w:noWrap/>
            <w:vAlign w:val="bottom"/>
            <w:hideMark/>
          </w:tcPr>
          <w:p w:rsidR="00CD5081" w:rsidRPr="00412299" w:rsidRDefault="00CD5081" w:rsidP="00F83FBB">
            <w:pPr>
              <w:jc w:val="right"/>
              <w:rPr>
                <w:rFonts w:ascii="Calibri" w:hAnsi="Calibri"/>
                <w:sz w:val="18"/>
                <w:szCs w:val="18"/>
              </w:rPr>
            </w:pPr>
            <w:r w:rsidRPr="00972554">
              <w:rPr>
                <w:rFonts w:ascii="Calibri" w:hAnsi="Calibri"/>
                <w:sz w:val="18"/>
                <w:szCs w:val="18"/>
              </w:rPr>
              <w:t xml:space="preserve">689.130 </w:t>
            </w:r>
          </w:p>
        </w:tc>
        <w:tc>
          <w:tcPr>
            <w:tcW w:w="708" w:type="dxa"/>
            <w:vAlign w:val="bottom"/>
          </w:tcPr>
          <w:p w:rsidR="00CD5081" w:rsidRPr="00412299" w:rsidRDefault="00CD5081" w:rsidP="00382B0F">
            <w:pPr>
              <w:autoSpaceDE w:val="0"/>
              <w:autoSpaceDN w:val="0"/>
              <w:adjustRightInd w:val="0"/>
              <w:spacing w:line="240" w:lineRule="auto"/>
              <w:jc w:val="right"/>
              <w:rPr>
                <w:rFonts w:ascii="Calibri" w:hAnsi="Calibri" w:cs="Calibri"/>
                <w:sz w:val="18"/>
                <w:szCs w:val="18"/>
                <w:lang w:val="sl-SI" w:eastAsia="sl-SI"/>
              </w:rPr>
            </w:pPr>
            <w:r w:rsidRPr="00972554">
              <w:rPr>
                <w:rFonts w:ascii="Calibri" w:hAnsi="Calibri"/>
                <w:sz w:val="18"/>
                <w:szCs w:val="18"/>
              </w:rPr>
              <w:t>100,00</w:t>
            </w:r>
          </w:p>
        </w:tc>
      </w:tr>
      <w:tr w:rsidR="00CD5081" w:rsidRPr="007C4768" w:rsidTr="00972554">
        <w:trPr>
          <w:trHeight w:val="300"/>
        </w:trPr>
        <w:tc>
          <w:tcPr>
            <w:tcW w:w="6394" w:type="dxa"/>
            <w:shd w:val="clear" w:color="auto" w:fill="auto"/>
            <w:noWrap/>
            <w:hideMark/>
          </w:tcPr>
          <w:p w:rsidR="00CD5081" w:rsidRPr="003648AC" w:rsidRDefault="00CD5081" w:rsidP="006377A8">
            <w:pPr>
              <w:jc w:val="left"/>
              <w:rPr>
                <w:rFonts w:ascii="Calibri" w:hAnsi="Calibri"/>
                <w:b/>
                <w:sz w:val="18"/>
                <w:szCs w:val="18"/>
              </w:rPr>
            </w:pPr>
            <w:r w:rsidRPr="000F6B5B">
              <w:rPr>
                <w:rFonts w:ascii="Calibri" w:hAnsi="Calibri" w:cs="Calibri"/>
                <w:b/>
                <w:bCs/>
                <w:sz w:val="18"/>
                <w:szCs w:val="18"/>
                <w:lang w:val="sl-SI" w:eastAsia="sl-SI"/>
              </w:rPr>
              <w:t>710-Terjatve za sredstva dana v upravljanje drugim v lasti države</w:t>
            </w:r>
          </w:p>
        </w:tc>
        <w:tc>
          <w:tcPr>
            <w:tcW w:w="1418" w:type="dxa"/>
            <w:shd w:val="clear" w:color="auto" w:fill="auto"/>
            <w:noWrap/>
            <w:vAlign w:val="bottom"/>
            <w:hideMark/>
          </w:tcPr>
          <w:p w:rsidR="00CD5081" w:rsidRPr="00972554" w:rsidRDefault="00CD5081" w:rsidP="00F83FBB">
            <w:pPr>
              <w:jc w:val="right"/>
              <w:rPr>
                <w:rFonts w:ascii="Calibri" w:hAnsi="Calibri"/>
                <w:b/>
                <w:sz w:val="18"/>
                <w:szCs w:val="18"/>
              </w:rPr>
            </w:pPr>
            <w:r w:rsidRPr="00972554">
              <w:rPr>
                <w:rFonts w:ascii="Calibri" w:hAnsi="Calibri"/>
                <w:b/>
                <w:sz w:val="18"/>
                <w:szCs w:val="18"/>
              </w:rPr>
              <w:t xml:space="preserve">689.130 </w:t>
            </w:r>
          </w:p>
        </w:tc>
        <w:tc>
          <w:tcPr>
            <w:tcW w:w="708" w:type="dxa"/>
            <w:vAlign w:val="bottom"/>
          </w:tcPr>
          <w:p w:rsidR="00CD5081" w:rsidRPr="00382B0F" w:rsidRDefault="00CD5081" w:rsidP="00382B0F">
            <w:pPr>
              <w:autoSpaceDE w:val="0"/>
              <w:autoSpaceDN w:val="0"/>
              <w:adjustRightInd w:val="0"/>
              <w:spacing w:line="240" w:lineRule="auto"/>
              <w:jc w:val="right"/>
              <w:rPr>
                <w:rFonts w:ascii="Calibri" w:hAnsi="Calibri" w:cs="Calibri"/>
                <w:b/>
                <w:bCs/>
                <w:sz w:val="18"/>
                <w:szCs w:val="18"/>
                <w:lang w:val="sl-SI" w:eastAsia="sl-SI"/>
              </w:rPr>
            </w:pPr>
          </w:p>
        </w:tc>
      </w:tr>
      <w:tr w:rsidR="00CD5081" w:rsidRPr="007C4768" w:rsidTr="00972554">
        <w:trPr>
          <w:trHeight w:val="300"/>
        </w:trPr>
        <w:tc>
          <w:tcPr>
            <w:tcW w:w="6394" w:type="dxa"/>
            <w:shd w:val="clear" w:color="auto" w:fill="auto"/>
            <w:noWrap/>
            <w:hideMark/>
          </w:tcPr>
          <w:p w:rsidR="00CD5081" w:rsidRPr="002C026D" w:rsidRDefault="00CD5081" w:rsidP="006377A8">
            <w:pPr>
              <w:jc w:val="left"/>
              <w:rPr>
                <w:rFonts w:ascii="Calibri" w:hAnsi="Calibri"/>
                <w:sz w:val="18"/>
                <w:szCs w:val="18"/>
              </w:rPr>
            </w:pPr>
            <w:r w:rsidRPr="00E6614F">
              <w:rPr>
                <w:rFonts w:ascii="Calibri" w:hAnsi="Calibri" w:cs="Calibri"/>
                <w:sz w:val="18"/>
                <w:szCs w:val="18"/>
                <w:lang w:val="sl-SI" w:eastAsia="sl-SI"/>
              </w:rPr>
              <w:t>NPU</w:t>
            </w:r>
          </w:p>
        </w:tc>
        <w:tc>
          <w:tcPr>
            <w:tcW w:w="1418" w:type="dxa"/>
            <w:shd w:val="clear" w:color="auto" w:fill="auto"/>
            <w:noWrap/>
            <w:vAlign w:val="bottom"/>
            <w:hideMark/>
          </w:tcPr>
          <w:p w:rsidR="00CD5081" w:rsidRPr="00412299" w:rsidRDefault="00CD5081" w:rsidP="00F83FBB">
            <w:pPr>
              <w:jc w:val="right"/>
              <w:rPr>
                <w:rFonts w:ascii="Calibri" w:hAnsi="Calibri"/>
                <w:sz w:val="18"/>
                <w:szCs w:val="18"/>
              </w:rPr>
            </w:pPr>
            <w:r w:rsidRPr="00972554">
              <w:rPr>
                <w:rFonts w:ascii="Calibri" w:hAnsi="Calibri"/>
                <w:sz w:val="18"/>
                <w:szCs w:val="18"/>
              </w:rPr>
              <w:t xml:space="preserve">689.130 </w:t>
            </w:r>
          </w:p>
        </w:tc>
        <w:tc>
          <w:tcPr>
            <w:tcW w:w="708" w:type="dxa"/>
            <w:vAlign w:val="bottom"/>
          </w:tcPr>
          <w:p w:rsidR="00CD5081" w:rsidRPr="00412299" w:rsidRDefault="00CD5081" w:rsidP="00382B0F">
            <w:pPr>
              <w:autoSpaceDE w:val="0"/>
              <w:autoSpaceDN w:val="0"/>
              <w:adjustRightInd w:val="0"/>
              <w:spacing w:line="240" w:lineRule="auto"/>
              <w:jc w:val="right"/>
              <w:rPr>
                <w:rFonts w:ascii="Calibri" w:hAnsi="Calibri" w:cs="Calibri"/>
                <w:sz w:val="18"/>
                <w:szCs w:val="18"/>
                <w:lang w:val="sl-SI" w:eastAsia="sl-SI"/>
              </w:rPr>
            </w:pPr>
            <w:r w:rsidRPr="00972554">
              <w:rPr>
                <w:rFonts w:ascii="Calibri" w:hAnsi="Calibri"/>
                <w:sz w:val="18"/>
                <w:szCs w:val="18"/>
              </w:rPr>
              <w:t>100,00</w:t>
            </w:r>
          </w:p>
        </w:tc>
      </w:tr>
      <w:tr w:rsidR="00CD5081" w:rsidRPr="007C4768" w:rsidTr="00972554">
        <w:trPr>
          <w:trHeight w:val="300"/>
        </w:trPr>
        <w:tc>
          <w:tcPr>
            <w:tcW w:w="6394" w:type="dxa"/>
            <w:shd w:val="clear" w:color="auto" w:fill="auto"/>
            <w:noWrap/>
            <w:hideMark/>
          </w:tcPr>
          <w:p w:rsidR="00CD5081" w:rsidRPr="003648AC" w:rsidRDefault="00CD5081" w:rsidP="006377A8">
            <w:pPr>
              <w:jc w:val="left"/>
              <w:rPr>
                <w:rFonts w:ascii="Calibri" w:hAnsi="Calibri"/>
                <w:b/>
                <w:sz w:val="18"/>
                <w:szCs w:val="18"/>
              </w:rPr>
            </w:pPr>
            <w:r w:rsidRPr="000F6B5B">
              <w:rPr>
                <w:rFonts w:ascii="Calibri" w:hAnsi="Calibri" w:cs="Calibri"/>
                <w:b/>
                <w:bCs/>
                <w:sz w:val="18"/>
                <w:szCs w:val="18"/>
                <w:lang w:val="sl-SI" w:eastAsia="sl-SI"/>
              </w:rPr>
              <w:t>711-Terjatve za sredstva dana v upravljanje drugim v lasti občine</w:t>
            </w:r>
          </w:p>
        </w:tc>
        <w:tc>
          <w:tcPr>
            <w:tcW w:w="1418" w:type="dxa"/>
            <w:shd w:val="clear" w:color="auto" w:fill="auto"/>
            <w:noWrap/>
            <w:vAlign w:val="bottom"/>
            <w:hideMark/>
          </w:tcPr>
          <w:p w:rsidR="00CD5081" w:rsidRPr="00972554" w:rsidRDefault="00CD5081" w:rsidP="00F83FBB">
            <w:pPr>
              <w:jc w:val="right"/>
              <w:rPr>
                <w:rFonts w:ascii="Calibri" w:hAnsi="Calibri"/>
                <w:b/>
                <w:sz w:val="18"/>
                <w:szCs w:val="18"/>
              </w:rPr>
            </w:pPr>
            <w:r w:rsidRPr="00972554">
              <w:rPr>
                <w:rFonts w:ascii="Calibri" w:hAnsi="Calibri"/>
                <w:b/>
                <w:sz w:val="18"/>
                <w:szCs w:val="18"/>
              </w:rPr>
              <w:t xml:space="preserve">0 </w:t>
            </w:r>
          </w:p>
        </w:tc>
        <w:tc>
          <w:tcPr>
            <w:tcW w:w="708" w:type="dxa"/>
            <w:vAlign w:val="bottom"/>
          </w:tcPr>
          <w:p w:rsidR="00CD5081" w:rsidRPr="00382B0F" w:rsidRDefault="00CD5081" w:rsidP="00382B0F">
            <w:pPr>
              <w:autoSpaceDE w:val="0"/>
              <w:autoSpaceDN w:val="0"/>
              <w:adjustRightInd w:val="0"/>
              <w:spacing w:line="240" w:lineRule="auto"/>
              <w:jc w:val="right"/>
              <w:rPr>
                <w:rFonts w:ascii="Calibri" w:hAnsi="Calibri" w:cs="Calibri"/>
                <w:b/>
                <w:bCs/>
                <w:sz w:val="18"/>
                <w:szCs w:val="18"/>
                <w:lang w:val="sl-SI" w:eastAsia="sl-SI"/>
              </w:rPr>
            </w:pPr>
          </w:p>
        </w:tc>
      </w:tr>
      <w:tr w:rsidR="00CD5081" w:rsidRPr="007C4768" w:rsidTr="00972554">
        <w:trPr>
          <w:trHeight w:val="300"/>
        </w:trPr>
        <w:tc>
          <w:tcPr>
            <w:tcW w:w="6394" w:type="dxa"/>
            <w:shd w:val="clear" w:color="auto" w:fill="auto"/>
            <w:noWrap/>
            <w:hideMark/>
          </w:tcPr>
          <w:p w:rsidR="00CD5081" w:rsidRPr="002C026D" w:rsidRDefault="00CD5081" w:rsidP="006377A8">
            <w:pPr>
              <w:jc w:val="left"/>
              <w:rPr>
                <w:rFonts w:ascii="Calibri" w:hAnsi="Calibri"/>
                <w:sz w:val="18"/>
                <w:szCs w:val="18"/>
              </w:rPr>
            </w:pPr>
            <w:r w:rsidRPr="00E6614F">
              <w:rPr>
                <w:rFonts w:ascii="Calibri" w:hAnsi="Calibri" w:cs="Calibri"/>
                <w:sz w:val="18"/>
                <w:szCs w:val="18"/>
                <w:lang w:val="sl-SI" w:eastAsia="sl-SI"/>
              </w:rPr>
              <w:t>NPU</w:t>
            </w:r>
          </w:p>
        </w:tc>
        <w:tc>
          <w:tcPr>
            <w:tcW w:w="1418" w:type="dxa"/>
            <w:shd w:val="clear" w:color="auto" w:fill="auto"/>
            <w:noWrap/>
            <w:vAlign w:val="bottom"/>
            <w:hideMark/>
          </w:tcPr>
          <w:p w:rsidR="00CD5081" w:rsidRPr="00412299" w:rsidRDefault="00CD5081" w:rsidP="00F83FBB">
            <w:pPr>
              <w:jc w:val="right"/>
              <w:rPr>
                <w:rFonts w:ascii="Calibri" w:hAnsi="Calibri"/>
                <w:sz w:val="18"/>
                <w:szCs w:val="18"/>
              </w:rPr>
            </w:pPr>
            <w:r w:rsidRPr="00972554">
              <w:rPr>
                <w:rFonts w:ascii="Calibri" w:hAnsi="Calibri"/>
                <w:sz w:val="18"/>
                <w:szCs w:val="18"/>
              </w:rPr>
              <w:t xml:space="preserve">0 </w:t>
            </w:r>
          </w:p>
        </w:tc>
        <w:tc>
          <w:tcPr>
            <w:tcW w:w="708" w:type="dxa"/>
            <w:vAlign w:val="bottom"/>
          </w:tcPr>
          <w:p w:rsidR="00CD5081" w:rsidRPr="00116FC1" w:rsidRDefault="00CD5081" w:rsidP="00382B0F">
            <w:pPr>
              <w:autoSpaceDE w:val="0"/>
              <w:autoSpaceDN w:val="0"/>
              <w:adjustRightInd w:val="0"/>
              <w:spacing w:line="240" w:lineRule="auto"/>
              <w:jc w:val="right"/>
              <w:rPr>
                <w:rFonts w:ascii="Calibri" w:hAnsi="Calibri" w:cs="Calibri"/>
                <w:sz w:val="18"/>
                <w:szCs w:val="18"/>
                <w:lang w:val="sl-SI" w:eastAsia="sl-SI"/>
              </w:rPr>
            </w:pPr>
          </w:p>
        </w:tc>
      </w:tr>
      <w:tr w:rsidR="00CD5081" w:rsidRPr="007C4768" w:rsidTr="00972554">
        <w:trPr>
          <w:trHeight w:val="300"/>
        </w:trPr>
        <w:tc>
          <w:tcPr>
            <w:tcW w:w="6394" w:type="dxa"/>
            <w:shd w:val="clear" w:color="auto" w:fill="auto"/>
            <w:noWrap/>
            <w:hideMark/>
          </w:tcPr>
          <w:p w:rsidR="00CD5081" w:rsidRPr="002C026D" w:rsidRDefault="00CD5081" w:rsidP="006377A8">
            <w:pPr>
              <w:jc w:val="left"/>
              <w:rPr>
                <w:rFonts w:ascii="Calibri" w:hAnsi="Calibri"/>
                <w:b/>
                <w:sz w:val="18"/>
                <w:szCs w:val="18"/>
              </w:rPr>
            </w:pPr>
            <w:r w:rsidRPr="000F6B5B">
              <w:rPr>
                <w:rFonts w:ascii="Calibri" w:hAnsi="Calibri" w:cs="Calibri"/>
                <w:b/>
                <w:bCs/>
                <w:sz w:val="18"/>
                <w:szCs w:val="18"/>
                <w:lang w:val="sl-SI" w:eastAsia="sl-SI"/>
              </w:rPr>
              <w:t>712-Zaloge</w:t>
            </w:r>
          </w:p>
        </w:tc>
        <w:tc>
          <w:tcPr>
            <w:tcW w:w="1418" w:type="dxa"/>
            <w:shd w:val="clear" w:color="auto" w:fill="auto"/>
            <w:noWrap/>
            <w:vAlign w:val="bottom"/>
            <w:hideMark/>
          </w:tcPr>
          <w:p w:rsidR="00CD5081" w:rsidRPr="00972554" w:rsidRDefault="00CD5081" w:rsidP="00F83FBB">
            <w:pPr>
              <w:jc w:val="right"/>
              <w:rPr>
                <w:rFonts w:ascii="Calibri" w:hAnsi="Calibri"/>
                <w:b/>
                <w:sz w:val="18"/>
                <w:szCs w:val="18"/>
              </w:rPr>
            </w:pPr>
            <w:r w:rsidRPr="00972554">
              <w:rPr>
                <w:rFonts w:ascii="Calibri" w:hAnsi="Calibri"/>
                <w:b/>
                <w:sz w:val="18"/>
                <w:szCs w:val="18"/>
              </w:rPr>
              <w:t xml:space="preserve">333.686.828 </w:t>
            </w:r>
          </w:p>
        </w:tc>
        <w:tc>
          <w:tcPr>
            <w:tcW w:w="708" w:type="dxa"/>
            <w:vAlign w:val="bottom"/>
          </w:tcPr>
          <w:p w:rsidR="00CD5081" w:rsidRPr="00382B0F" w:rsidRDefault="00CD5081" w:rsidP="00382B0F">
            <w:pPr>
              <w:autoSpaceDE w:val="0"/>
              <w:autoSpaceDN w:val="0"/>
              <w:adjustRightInd w:val="0"/>
              <w:spacing w:line="240" w:lineRule="auto"/>
              <w:jc w:val="right"/>
              <w:rPr>
                <w:rFonts w:ascii="Calibri" w:hAnsi="Calibri" w:cs="Calibri"/>
                <w:b/>
                <w:bCs/>
                <w:sz w:val="18"/>
                <w:szCs w:val="18"/>
                <w:lang w:val="sl-SI" w:eastAsia="sl-SI"/>
              </w:rPr>
            </w:pPr>
          </w:p>
        </w:tc>
      </w:tr>
      <w:tr w:rsidR="00CD5081" w:rsidRPr="007C4768" w:rsidTr="00972554">
        <w:trPr>
          <w:trHeight w:val="300"/>
        </w:trPr>
        <w:tc>
          <w:tcPr>
            <w:tcW w:w="6394" w:type="dxa"/>
            <w:shd w:val="clear" w:color="auto" w:fill="auto"/>
            <w:noWrap/>
            <w:hideMark/>
          </w:tcPr>
          <w:p w:rsidR="00CD5081" w:rsidRPr="002C026D" w:rsidRDefault="00CD5081" w:rsidP="006377A8">
            <w:pPr>
              <w:jc w:val="left"/>
              <w:rPr>
                <w:rFonts w:ascii="Calibri" w:hAnsi="Calibri"/>
                <w:sz w:val="18"/>
                <w:szCs w:val="18"/>
              </w:rPr>
            </w:pPr>
            <w:r w:rsidRPr="00E6614F">
              <w:rPr>
                <w:rFonts w:ascii="Calibri" w:hAnsi="Calibri" w:cs="Calibri"/>
                <w:sz w:val="18"/>
                <w:szCs w:val="18"/>
                <w:lang w:val="sl-SI" w:eastAsia="sl-SI"/>
              </w:rPr>
              <w:t>NPU</w:t>
            </w:r>
          </w:p>
        </w:tc>
        <w:tc>
          <w:tcPr>
            <w:tcW w:w="1418" w:type="dxa"/>
            <w:shd w:val="clear" w:color="auto" w:fill="auto"/>
            <w:noWrap/>
            <w:vAlign w:val="bottom"/>
            <w:hideMark/>
          </w:tcPr>
          <w:p w:rsidR="00CD5081" w:rsidRPr="00412299" w:rsidRDefault="00CD5081" w:rsidP="00F83FBB">
            <w:pPr>
              <w:jc w:val="right"/>
              <w:rPr>
                <w:rFonts w:ascii="Calibri" w:hAnsi="Calibri"/>
                <w:sz w:val="18"/>
                <w:szCs w:val="18"/>
              </w:rPr>
            </w:pPr>
            <w:r w:rsidRPr="00972554">
              <w:rPr>
                <w:rFonts w:ascii="Calibri" w:hAnsi="Calibri"/>
                <w:sz w:val="18"/>
                <w:szCs w:val="18"/>
              </w:rPr>
              <w:t xml:space="preserve">267.008.499 </w:t>
            </w:r>
          </w:p>
        </w:tc>
        <w:tc>
          <w:tcPr>
            <w:tcW w:w="708" w:type="dxa"/>
            <w:vAlign w:val="bottom"/>
          </w:tcPr>
          <w:p w:rsidR="00CD5081" w:rsidRPr="00412299" w:rsidRDefault="00CD5081" w:rsidP="00382B0F">
            <w:pPr>
              <w:autoSpaceDE w:val="0"/>
              <w:autoSpaceDN w:val="0"/>
              <w:adjustRightInd w:val="0"/>
              <w:spacing w:line="240" w:lineRule="auto"/>
              <w:jc w:val="right"/>
              <w:rPr>
                <w:rFonts w:ascii="Calibri" w:hAnsi="Calibri" w:cs="Calibri"/>
                <w:sz w:val="18"/>
                <w:szCs w:val="18"/>
                <w:lang w:val="sl-SI" w:eastAsia="sl-SI"/>
              </w:rPr>
            </w:pPr>
            <w:r w:rsidRPr="00972554">
              <w:rPr>
                <w:rFonts w:ascii="Calibri" w:hAnsi="Calibri"/>
                <w:sz w:val="18"/>
                <w:szCs w:val="18"/>
              </w:rPr>
              <w:t>80,02</w:t>
            </w:r>
          </w:p>
        </w:tc>
      </w:tr>
      <w:tr w:rsidR="00CD5081" w:rsidRPr="007C4768" w:rsidTr="00972554">
        <w:trPr>
          <w:trHeight w:val="300"/>
        </w:trPr>
        <w:tc>
          <w:tcPr>
            <w:tcW w:w="6394" w:type="dxa"/>
            <w:shd w:val="clear" w:color="auto" w:fill="auto"/>
            <w:noWrap/>
            <w:hideMark/>
          </w:tcPr>
          <w:p w:rsidR="00CD5081" w:rsidRPr="002C026D" w:rsidRDefault="00CD5081" w:rsidP="006377A8">
            <w:pPr>
              <w:jc w:val="left"/>
              <w:rPr>
                <w:rFonts w:ascii="Calibri" w:hAnsi="Calibri"/>
                <w:sz w:val="18"/>
                <w:szCs w:val="18"/>
              </w:rPr>
            </w:pPr>
            <w:r w:rsidRPr="00E6614F">
              <w:rPr>
                <w:rFonts w:ascii="Calibri" w:hAnsi="Calibri" w:cs="Calibri"/>
                <w:sz w:val="18"/>
                <w:szCs w:val="18"/>
                <w:lang w:val="sl-SI" w:eastAsia="sl-SI"/>
              </w:rPr>
              <w:t>PPU</w:t>
            </w:r>
          </w:p>
        </w:tc>
        <w:tc>
          <w:tcPr>
            <w:tcW w:w="1418" w:type="dxa"/>
            <w:shd w:val="clear" w:color="auto" w:fill="auto"/>
            <w:noWrap/>
            <w:vAlign w:val="bottom"/>
            <w:hideMark/>
          </w:tcPr>
          <w:p w:rsidR="00CD5081" w:rsidRPr="00412299" w:rsidRDefault="00CD5081" w:rsidP="00F83FBB">
            <w:pPr>
              <w:jc w:val="right"/>
              <w:rPr>
                <w:rFonts w:ascii="Calibri" w:hAnsi="Calibri"/>
                <w:sz w:val="18"/>
                <w:szCs w:val="18"/>
              </w:rPr>
            </w:pPr>
            <w:r w:rsidRPr="00972554">
              <w:rPr>
                <w:rFonts w:ascii="Calibri" w:hAnsi="Calibri"/>
                <w:sz w:val="18"/>
                <w:szCs w:val="18"/>
              </w:rPr>
              <w:t xml:space="preserve">66.678.329 </w:t>
            </w:r>
          </w:p>
        </w:tc>
        <w:tc>
          <w:tcPr>
            <w:tcW w:w="708" w:type="dxa"/>
            <w:vAlign w:val="bottom"/>
          </w:tcPr>
          <w:p w:rsidR="00CD5081" w:rsidRPr="00412299" w:rsidRDefault="00CD5081" w:rsidP="00382B0F">
            <w:pPr>
              <w:autoSpaceDE w:val="0"/>
              <w:autoSpaceDN w:val="0"/>
              <w:adjustRightInd w:val="0"/>
              <w:spacing w:line="240" w:lineRule="auto"/>
              <w:jc w:val="right"/>
              <w:rPr>
                <w:rFonts w:ascii="Calibri" w:hAnsi="Calibri" w:cs="Calibri"/>
                <w:sz w:val="18"/>
                <w:szCs w:val="18"/>
                <w:lang w:val="sl-SI" w:eastAsia="sl-SI"/>
              </w:rPr>
            </w:pPr>
            <w:r w:rsidRPr="00972554">
              <w:rPr>
                <w:rFonts w:ascii="Calibri" w:hAnsi="Calibri"/>
                <w:sz w:val="18"/>
                <w:szCs w:val="18"/>
              </w:rPr>
              <w:t>19,98</w:t>
            </w:r>
          </w:p>
        </w:tc>
      </w:tr>
      <w:tr w:rsidR="00CD5081" w:rsidRPr="007C4768" w:rsidTr="00972554">
        <w:trPr>
          <w:trHeight w:val="300"/>
        </w:trPr>
        <w:tc>
          <w:tcPr>
            <w:tcW w:w="6394" w:type="dxa"/>
            <w:shd w:val="clear" w:color="auto" w:fill="auto"/>
            <w:noWrap/>
            <w:hideMark/>
          </w:tcPr>
          <w:p w:rsidR="00CD5081" w:rsidRPr="002C026D" w:rsidRDefault="00CD5081" w:rsidP="006377A8">
            <w:pPr>
              <w:jc w:val="left"/>
              <w:rPr>
                <w:rFonts w:ascii="Calibri" w:hAnsi="Calibri"/>
                <w:b/>
                <w:sz w:val="18"/>
                <w:szCs w:val="18"/>
              </w:rPr>
            </w:pPr>
            <w:r w:rsidRPr="000F6B5B">
              <w:rPr>
                <w:rFonts w:ascii="Calibri" w:hAnsi="Calibri" w:cs="Calibri"/>
                <w:b/>
                <w:bCs/>
                <w:sz w:val="18"/>
                <w:szCs w:val="18"/>
                <w:lang w:val="sl-SI" w:eastAsia="sl-SI"/>
              </w:rPr>
              <w:t>713-Dolgoročne finančne naložbe</w:t>
            </w:r>
          </w:p>
        </w:tc>
        <w:tc>
          <w:tcPr>
            <w:tcW w:w="1418" w:type="dxa"/>
            <w:shd w:val="clear" w:color="auto" w:fill="auto"/>
            <w:noWrap/>
            <w:vAlign w:val="bottom"/>
            <w:hideMark/>
          </w:tcPr>
          <w:p w:rsidR="00CD5081" w:rsidRPr="00972554" w:rsidRDefault="00CD5081" w:rsidP="00F83FBB">
            <w:pPr>
              <w:jc w:val="right"/>
              <w:rPr>
                <w:rFonts w:ascii="Calibri" w:hAnsi="Calibri"/>
                <w:b/>
                <w:sz w:val="18"/>
                <w:szCs w:val="18"/>
              </w:rPr>
            </w:pPr>
            <w:r w:rsidRPr="00972554">
              <w:rPr>
                <w:rFonts w:ascii="Calibri" w:hAnsi="Calibri"/>
                <w:b/>
                <w:sz w:val="18"/>
                <w:szCs w:val="18"/>
              </w:rPr>
              <w:t xml:space="preserve">11.115.453.873 </w:t>
            </w:r>
          </w:p>
        </w:tc>
        <w:tc>
          <w:tcPr>
            <w:tcW w:w="708" w:type="dxa"/>
            <w:vAlign w:val="bottom"/>
          </w:tcPr>
          <w:p w:rsidR="00CD5081" w:rsidRPr="00382B0F" w:rsidRDefault="00CD5081" w:rsidP="00382B0F">
            <w:pPr>
              <w:autoSpaceDE w:val="0"/>
              <w:autoSpaceDN w:val="0"/>
              <w:adjustRightInd w:val="0"/>
              <w:spacing w:line="240" w:lineRule="auto"/>
              <w:jc w:val="right"/>
              <w:rPr>
                <w:rFonts w:ascii="Calibri" w:hAnsi="Calibri" w:cs="Calibri"/>
                <w:b/>
                <w:bCs/>
                <w:sz w:val="18"/>
                <w:szCs w:val="18"/>
                <w:lang w:val="sl-SI" w:eastAsia="sl-SI"/>
              </w:rPr>
            </w:pPr>
          </w:p>
        </w:tc>
      </w:tr>
      <w:tr w:rsidR="00CD5081" w:rsidRPr="007C4768" w:rsidTr="00972554">
        <w:trPr>
          <w:trHeight w:val="300"/>
        </w:trPr>
        <w:tc>
          <w:tcPr>
            <w:tcW w:w="6394" w:type="dxa"/>
            <w:shd w:val="clear" w:color="auto" w:fill="auto"/>
            <w:noWrap/>
            <w:hideMark/>
          </w:tcPr>
          <w:p w:rsidR="00CD5081" w:rsidRPr="002C026D" w:rsidRDefault="00CD5081" w:rsidP="006377A8">
            <w:pPr>
              <w:jc w:val="left"/>
              <w:rPr>
                <w:rFonts w:ascii="Calibri" w:hAnsi="Calibri"/>
                <w:sz w:val="18"/>
                <w:szCs w:val="18"/>
              </w:rPr>
            </w:pPr>
            <w:r w:rsidRPr="00E6614F">
              <w:rPr>
                <w:rFonts w:ascii="Calibri" w:hAnsi="Calibri" w:cs="Calibri"/>
                <w:sz w:val="18"/>
                <w:szCs w:val="18"/>
                <w:lang w:val="sl-SI" w:eastAsia="sl-SI"/>
              </w:rPr>
              <w:t>NPU</w:t>
            </w:r>
          </w:p>
        </w:tc>
        <w:tc>
          <w:tcPr>
            <w:tcW w:w="1418" w:type="dxa"/>
            <w:shd w:val="clear" w:color="auto" w:fill="auto"/>
            <w:noWrap/>
            <w:vAlign w:val="bottom"/>
            <w:hideMark/>
          </w:tcPr>
          <w:p w:rsidR="00CD5081" w:rsidRPr="00412299" w:rsidRDefault="00CD5081" w:rsidP="00F83FBB">
            <w:pPr>
              <w:jc w:val="right"/>
              <w:rPr>
                <w:rFonts w:ascii="Calibri" w:hAnsi="Calibri"/>
                <w:sz w:val="18"/>
                <w:szCs w:val="18"/>
              </w:rPr>
            </w:pPr>
            <w:r w:rsidRPr="00972554">
              <w:rPr>
                <w:rFonts w:ascii="Calibri" w:hAnsi="Calibri"/>
                <w:sz w:val="18"/>
                <w:szCs w:val="18"/>
              </w:rPr>
              <w:t xml:space="preserve">10.900.853.583 </w:t>
            </w:r>
          </w:p>
        </w:tc>
        <w:tc>
          <w:tcPr>
            <w:tcW w:w="708" w:type="dxa"/>
            <w:vAlign w:val="bottom"/>
          </w:tcPr>
          <w:p w:rsidR="00CD5081" w:rsidRPr="00412299" w:rsidRDefault="00CD5081" w:rsidP="00382B0F">
            <w:pPr>
              <w:autoSpaceDE w:val="0"/>
              <w:autoSpaceDN w:val="0"/>
              <w:adjustRightInd w:val="0"/>
              <w:spacing w:line="240" w:lineRule="auto"/>
              <w:jc w:val="right"/>
              <w:rPr>
                <w:rFonts w:ascii="Calibri" w:hAnsi="Calibri" w:cs="Calibri"/>
                <w:sz w:val="18"/>
                <w:szCs w:val="18"/>
                <w:lang w:val="sl-SI" w:eastAsia="sl-SI"/>
              </w:rPr>
            </w:pPr>
            <w:r w:rsidRPr="00972554">
              <w:rPr>
                <w:rFonts w:ascii="Calibri" w:hAnsi="Calibri"/>
                <w:sz w:val="18"/>
                <w:szCs w:val="18"/>
              </w:rPr>
              <w:t>98,07</w:t>
            </w:r>
          </w:p>
        </w:tc>
      </w:tr>
      <w:tr w:rsidR="00CD5081" w:rsidRPr="007C4768" w:rsidTr="00972554">
        <w:trPr>
          <w:trHeight w:val="300"/>
        </w:trPr>
        <w:tc>
          <w:tcPr>
            <w:tcW w:w="6394" w:type="dxa"/>
            <w:shd w:val="clear" w:color="auto" w:fill="auto"/>
            <w:noWrap/>
            <w:hideMark/>
          </w:tcPr>
          <w:p w:rsidR="00CD5081" w:rsidRPr="002C026D" w:rsidRDefault="00CD5081" w:rsidP="00F00FEE">
            <w:pPr>
              <w:jc w:val="left"/>
              <w:rPr>
                <w:rFonts w:ascii="Calibri" w:hAnsi="Calibri"/>
                <w:sz w:val="18"/>
                <w:szCs w:val="18"/>
              </w:rPr>
            </w:pPr>
            <w:r w:rsidRPr="00E6614F">
              <w:rPr>
                <w:rFonts w:ascii="Calibri" w:hAnsi="Calibri" w:cs="Calibri"/>
                <w:sz w:val="18"/>
                <w:szCs w:val="18"/>
                <w:lang w:val="sl-SI" w:eastAsia="sl-SI"/>
              </w:rPr>
              <w:t>PPU</w:t>
            </w:r>
          </w:p>
        </w:tc>
        <w:tc>
          <w:tcPr>
            <w:tcW w:w="1418" w:type="dxa"/>
            <w:shd w:val="clear" w:color="auto" w:fill="auto"/>
            <w:noWrap/>
            <w:vAlign w:val="bottom"/>
            <w:hideMark/>
          </w:tcPr>
          <w:p w:rsidR="00CD5081" w:rsidRPr="00412299" w:rsidRDefault="00CD5081" w:rsidP="00F83FBB">
            <w:pPr>
              <w:jc w:val="right"/>
              <w:rPr>
                <w:rFonts w:ascii="Calibri" w:hAnsi="Calibri"/>
                <w:sz w:val="18"/>
                <w:szCs w:val="18"/>
              </w:rPr>
            </w:pPr>
            <w:r w:rsidRPr="00972554">
              <w:rPr>
                <w:rFonts w:ascii="Calibri" w:hAnsi="Calibri"/>
                <w:sz w:val="18"/>
                <w:szCs w:val="18"/>
              </w:rPr>
              <w:t xml:space="preserve">214.600.290 </w:t>
            </w:r>
          </w:p>
        </w:tc>
        <w:tc>
          <w:tcPr>
            <w:tcW w:w="708" w:type="dxa"/>
            <w:vAlign w:val="bottom"/>
          </w:tcPr>
          <w:p w:rsidR="00CD5081" w:rsidRPr="00412299" w:rsidRDefault="00CD5081" w:rsidP="00382B0F">
            <w:pPr>
              <w:autoSpaceDE w:val="0"/>
              <w:autoSpaceDN w:val="0"/>
              <w:adjustRightInd w:val="0"/>
              <w:spacing w:line="240" w:lineRule="auto"/>
              <w:jc w:val="right"/>
              <w:rPr>
                <w:rFonts w:ascii="Calibri" w:hAnsi="Calibri" w:cs="Calibri"/>
                <w:sz w:val="18"/>
                <w:szCs w:val="18"/>
                <w:lang w:val="sl-SI" w:eastAsia="sl-SI"/>
              </w:rPr>
            </w:pPr>
            <w:r w:rsidRPr="00972554">
              <w:rPr>
                <w:rFonts w:ascii="Calibri" w:hAnsi="Calibri"/>
                <w:sz w:val="18"/>
                <w:szCs w:val="18"/>
              </w:rPr>
              <w:t>1,93</w:t>
            </w:r>
          </w:p>
        </w:tc>
      </w:tr>
      <w:tr w:rsidR="00CD5081" w:rsidRPr="007C4768" w:rsidTr="00972554">
        <w:trPr>
          <w:trHeight w:val="300"/>
        </w:trPr>
        <w:tc>
          <w:tcPr>
            <w:tcW w:w="6394" w:type="dxa"/>
            <w:shd w:val="clear" w:color="auto" w:fill="auto"/>
            <w:noWrap/>
            <w:hideMark/>
          </w:tcPr>
          <w:p w:rsidR="00CD5081" w:rsidRPr="002C026D" w:rsidRDefault="00CD5081" w:rsidP="006377A8">
            <w:pPr>
              <w:jc w:val="left"/>
              <w:rPr>
                <w:rFonts w:ascii="Calibri" w:hAnsi="Calibri"/>
                <w:b/>
                <w:sz w:val="18"/>
                <w:szCs w:val="18"/>
              </w:rPr>
            </w:pPr>
            <w:r w:rsidRPr="000F6B5B">
              <w:rPr>
                <w:rFonts w:ascii="Calibri" w:hAnsi="Calibri" w:cs="Calibri"/>
                <w:b/>
                <w:bCs/>
                <w:sz w:val="18"/>
                <w:szCs w:val="18"/>
                <w:lang w:val="sl-SI" w:eastAsia="sl-SI"/>
              </w:rPr>
              <w:t>714-Dolgoročno dana posojila in depoziti</w:t>
            </w:r>
          </w:p>
        </w:tc>
        <w:tc>
          <w:tcPr>
            <w:tcW w:w="1418" w:type="dxa"/>
            <w:shd w:val="clear" w:color="auto" w:fill="auto"/>
            <w:noWrap/>
            <w:vAlign w:val="bottom"/>
            <w:hideMark/>
          </w:tcPr>
          <w:p w:rsidR="00CD5081" w:rsidRPr="00972554" w:rsidRDefault="00CD5081" w:rsidP="00F83FBB">
            <w:pPr>
              <w:jc w:val="right"/>
              <w:rPr>
                <w:rFonts w:ascii="Calibri" w:hAnsi="Calibri"/>
                <w:b/>
                <w:sz w:val="18"/>
                <w:szCs w:val="18"/>
              </w:rPr>
            </w:pPr>
            <w:r w:rsidRPr="00972554">
              <w:rPr>
                <w:rFonts w:ascii="Calibri" w:hAnsi="Calibri"/>
                <w:b/>
                <w:sz w:val="18"/>
                <w:szCs w:val="18"/>
              </w:rPr>
              <w:t xml:space="preserve">3.631.987.965 </w:t>
            </w:r>
          </w:p>
        </w:tc>
        <w:tc>
          <w:tcPr>
            <w:tcW w:w="708" w:type="dxa"/>
            <w:vAlign w:val="bottom"/>
          </w:tcPr>
          <w:p w:rsidR="00CD5081" w:rsidRPr="00382B0F" w:rsidRDefault="00CD5081" w:rsidP="00382B0F">
            <w:pPr>
              <w:autoSpaceDE w:val="0"/>
              <w:autoSpaceDN w:val="0"/>
              <w:adjustRightInd w:val="0"/>
              <w:spacing w:line="240" w:lineRule="auto"/>
              <w:jc w:val="right"/>
              <w:rPr>
                <w:rFonts w:ascii="Calibri" w:hAnsi="Calibri" w:cs="Calibri"/>
                <w:b/>
                <w:bCs/>
                <w:sz w:val="18"/>
                <w:szCs w:val="18"/>
                <w:lang w:val="sl-SI" w:eastAsia="sl-SI"/>
              </w:rPr>
            </w:pPr>
          </w:p>
        </w:tc>
      </w:tr>
      <w:tr w:rsidR="00CD5081" w:rsidRPr="007C4768" w:rsidTr="00972554">
        <w:trPr>
          <w:trHeight w:val="300"/>
        </w:trPr>
        <w:tc>
          <w:tcPr>
            <w:tcW w:w="6394" w:type="dxa"/>
            <w:shd w:val="clear" w:color="auto" w:fill="auto"/>
            <w:noWrap/>
            <w:hideMark/>
          </w:tcPr>
          <w:p w:rsidR="00CD5081" w:rsidRPr="002C026D" w:rsidRDefault="00CD5081" w:rsidP="006377A8">
            <w:pPr>
              <w:jc w:val="left"/>
              <w:rPr>
                <w:rFonts w:ascii="Calibri" w:hAnsi="Calibri"/>
                <w:sz w:val="18"/>
                <w:szCs w:val="18"/>
              </w:rPr>
            </w:pPr>
            <w:r w:rsidRPr="00E6614F">
              <w:rPr>
                <w:rFonts w:ascii="Calibri" w:hAnsi="Calibri" w:cs="Calibri"/>
                <w:sz w:val="18"/>
                <w:szCs w:val="18"/>
                <w:lang w:val="sl-SI" w:eastAsia="sl-SI"/>
              </w:rPr>
              <w:t>NPU</w:t>
            </w:r>
          </w:p>
        </w:tc>
        <w:tc>
          <w:tcPr>
            <w:tcW w:w="1418" w:type="dxa"/>
            <w:shd w:val="clear" w:color="auto" w:fill="auto"/>
            <w:noWrap/>
            <w:vAlign w:val="bottom"/>
            <w:hideMark/>
          </w:tcPr>
          <w:p w:rsidR="00CD5081" w:rsidRPr="00412299" w:rsidRDefault="00CD5081" w:rsidP="00F83FBB">
            <w:pPr>
              <w:jc w:val="right"/>
              <w:rPr>
                <w:rFonts w:ascii="Calibri" w:hAnsi="Calibri"/>
                <w:sz w:val="18"/>
                <w:szCs w:val="18"/>
              </w:rPr>
            </w:pPr>
            <w:r w:rsidRPr="00972554">
              <w:rPr>
                <w:rFonts w:ascii="Calibri" w:hAnsi="Calibri"/>
                <w:sz w:val="18"/>
                <w:szCs w:val="18"/>
              </w:rPr>
              <w:t xml:space="preserve">3.235.669.255 </w:t>
            </w:r>
          </w:p>
        </w:tc>
        <w:tc>
          <w:tcPr>
            <w:tcW w:w="708" w:type="dxa"/>
            <w:vAlign w:val="bottom"/>
          </w:tcPr>
          <w:p w:rsidR="00CD5081" w:rsidRPr="00412299" w:rsidRDefault="00CD5081" w:rsidP="00382B0F">
            <w:pPr>
              <w:autoSpaceDE w:val="0"/>
              <w:autoSpaceDN w:val="0"/>
              <w:adjustRightInd w:val="0"/>
              <w:spacing w:line="240" w:lineRule="auto"/>
              <w:jc w:val="right"/>
              <w:rPr>
                <w:rFonts w:ascii="Calibri" w:hAnsi="Calibri" w:cs="Calibri"/>
                <w:sz w:val="18"/>
                <w:szCs w:val="18"/>
                <w:lang w:val="sl-SI" w:eastAsia="sl-SI"/>
              </w:rPr>
            </w:pPr>
            <w:r w:rsidRPr="00972554">
              <w:rPr>
                <w:rFonts w:ascii="Calibri" w:hAnsi="Calibri"/>
                <w:sz w:val="18"/>
                <w:szCs w:val="18"/>
              </w:rPr>
              <w:t>89,09</w:t>
            </w:r>
          </w:p>
        </w:tc>
      </w:tr>
      <w:tr w:rsidR="00CD5081" w:rsidRPr="007C4768" w:rsidTr="00972554">
        <w:trPr>
          <w:trHeight w:val="300"/>
        </w:trPr>
        <w:tc>
          <w:tcPr>
            <w:tcW w:w="6394" w:type="dxa"/>
            <w:shd w:val="clear" w:color="auto" w:fill="auto"/>
            <w:noWrap/>
            <w:hideMark/>
          </w:tcPr>
          <w:p w:rsidR="00CD5081" w:rsidRPr="002C026D" w:rsidRDefault="00CD5081" w:rsidP="006377A8">
            <w:pPr>
              <w:jc w:val="left"/>
              <w:rPr>
                <w:rFonts w:ascii="Calibri" w:hAnsi="Calibri"/>
                <w:sz w:val="18"/>
                <w:szCs w:val="18"/>
              </w:rPr>
            </w:pPr>
            <w:r w:rsidRPr="00E6614F">
              <w:rPr>
                <w:rFonts w:ascii="Calibri" w:hAnsi="Calibri" w:cs="Calibri"/>
                <w:sz w:val="18"/>
                <w:szCs w:val="18"/>
                <w:lang w:val="sl-SI" w:eastAsia="sl-SI"/>
              </w:rPr>
              <w:t>PPU</w:t>
            </w:r>
          </w:p>
        </w:tc>
        <w:tc>
          <w:tcPr>
            <w:tcW w:w="1418" w:type="dxa"/>
            <w:shd w:val="clear" w:color="auto" w:fill="auto"/>
            <w:noWrap/>
            <w:vAlign w:val="bottom"/>
            <w:hideMark/>
          </w:tcPr>
          <w:p w:rsidR="00CD5081" w:rsidRPr="00412299" w:rsidRDefault="00CD5081" w:rsidP="00F83FBB">
            <w:pPr>
              <w:jc w:val="right"/>
              <w:rPr>
                <w:rFonts w:ascii="Calibri" w:hAnsi="Calibri"/>
                <w:sz w:val="18"/>
                <w:szCs w:val="18"/>
              </w:rPr>
            </w:pPr>
            <w:r w:rsidRPr="00972554">
              <w:rPr>
                <w:rFonts w:ascii="Calibri" w:hAnsi="Calibri"/>
                <w:sz w:val="18"/>
                <w:szCs w:val="18"/>
              </w:rPr>
              <w:t xml:space="preserve">396.318.710 </w:t>
            </w:r>
          </w:p>
        </w:tc>
        <w:tc>
          <w:tcPr>
            <w:tcW w:w="708" w:type="dxa"/>
            <w:vAlign w:val="bottom"/>
          </w:tcPr>
          <w:p w:rsidR="00CD5081" w:rsidRPr="00412299" w:rsidRDefault="00CD5081" w:rsidP="00382B0F">
            <w:pPr>
              <w:autoSpaceDE w:val="0"/>
              <w:autoSpaceDN w:val="0"/>
              <w:adjustRightInd w:val="0"/>
              <w:spacing w:line="240" w:lineRule="auto"/>
              <w:jc w:val="right"/>
              <w:rPr>
                <w:rFonts w:ascii="Calibri" w:hAnsi="Calibri" w:cs="Calibri"/>
                <w:sz w:val="18"/>
                <w:szCs w:val="18"/>
                <w:lang w:val="sl-SI" w:eastAsia="sl-SI"/>
              </w:rPr>
            </w:pPr>
            <w:r w:rsidRPr="00972554">
              <w:rPr>
                <w:rFonts w:ascii="Calibri" w:hAnsi="Calibri"/>
                <w:sz w:val="18"/>
                <w:szCs w:val="18"/>
              </w:rPr>
              <w:t>10,91</w:t>
            </w:r>
          </w:p>
        </w:tc>
      </w:tr>
      <w:tr w:rsidR="00CD5081" w:rsidRPr="007C4768" w:rsidTr="00972554">
        <w:trPr>
          <w:trHeight w:val="300"/>
        </w:trPr>
        <w:tc>
          <w:tcPr>
            <w:tcW w:w="6394" w:type="dxa"/>
            <w:shd w:val="clear" w:color="auto" w:fill="auto"/>
            <w:noWrap/>
            <w:hideMark/>
          </w:tcPr>
          <w:p w:rsidR="00CD5081" w:rsidRPr="002C026D" w:rsidRDefault="00CD5081" w:rsidP="006377A8">
            <w:pPr>
              <w:jc w:val="left"/>
              <w:rPr>
                <w:rFonts w:ascii="Calibri" w:hAnsi="Calibri"/>
                <w:b/>
                <w:sz w:val="18"/>
                <w:szCs w:val="18"/>
              </w:rPr>
            </w:pPr>
            <w:r w:rsidRPr="000F6B5B">
              <w:rPr>
                <w:rFonts w:ascii="Calibri" w:hAnsi="Calibri" w:cs="Calibri"/>
                <w:b/>
                <w:bCs/>
                <w:sz w:val="18"/>
                <w:szCs w:val="18"/>
                <w:lang w:val="sl-SI" w:eastAsia="sl-SI"/>
              </w:rPr>
              <w:t>715-Dolgoročne terjatve iz poslovanja</w:t>
            </w:r>
          </w:p>
        </w:tc>
        <w:tc>
          <w:tcPr>
            <w:tcW w:w="1418" w:type="dxa"/>
            <w:shd w:val="clear" w:color="auto" w:fill="auto"/>
            <w:noWrap/>
            <w:vAlign w:val="bottom"/>
            <w:hideMark/>
          </w:tcPr>
          <w:p w:rsidR="00CD5081" w:rsidRPr="00972554" w:rsidRDefault="00CD5081" w:rsidP="00F83FBB">
            <w:pPr>
              <w:jc w:val="right"/>
              <w:rPr>
                <w:rFonts w:ascii="Calibri" w:hAnsi="Calibri"/>
                <w:b/>
                <w:sz w:val="18"/>
                <w:szCs w:val="18"/>
              </w:rPr>
            </w:pPr>
            <w:r w:rsidRPr="00972554">
              <w:rPr>
                <w:rFonts w:ascii="Calibri" w:hAnsi="Calibri"/>
                <w:b/>
                <w:sz w:val="18"/>
                <w:szCs w:val="18"/>
              </w:rPr>
              <w:t xml:space="preserve">347.547.254 </w:t>
            </w:r>
          </w:p>
        </w:tc>
        <w:tc>
          <w:tcPr>
            <w:tcW w:w="708" w:type="dxa"/>
            <w:vAlign w:val="bottom"/>
          </w:tcPr>
          <w:p w:rsidR="00CD5081" w:rsidRPr="00382B0F" w:rsidRDefault="00CD5081" w:rsidP="00382B0F">
            <w:pPr>
              <w:autoSpaceDE w:val="0"/>
              <w:autoSpaceDN w:val="0"/>
              <w:adjustRightInd w:val="0"/>
              <w:spacing w:line="240" w:lineRule="auto"/>
              <w:jc w:val="right"/>
              <w:rPr>
                <w:rFonts w:ascii="Calibri" w:hAnsi="Calibri" w:cs="Calibri"/>
                <w:b/>
                <w:bCs/>
                <w:sz w:val="18"/>
                <w:szCs w:val="18"/>
                <w:lang w:val="sl-SI" w:eastAsia="sl-SI"/>
              </w:rPr>
            </w:pPr>
          </w:p>
        </w:tc>
      </w:tr>
      <w:tr w:rsidR="00CD5081" w:rsidRPr="007C4768" w:rsidTr="00972554">
        <w:trPr>
          <w:trHeight w:val="300"/>
        </w:trPr>
        <w:tc>
          <w:tcPr>
            <w:tcW w:w="6394" w:type="dxa"/>
            <w:shd w:val="clear" w:color="auto" w:fill="auto"/>
            <w:noWrap/>
            <w:hideMark/>
          </w:tcPr>
          <w:p w:rsidR="00CD5081" w:rsidRPr="002C026D" w:rsidRDefault="00CD5081" w:rsidP="006377A8">
            <w:pPr>
              <w:jc w:val="left"/>
              <w:rPr>
                <w:rFonts w:ascii="Calibri" w:hAnsi="Calibri"/>
                <w:sz w:val="18"/>
                <w:szCs w:val="18"/>
              </w:rPr>
            </w:pPr>
            <w:r w:rsidRPr="00E6614F">
              <w:rPr>
                <w:rFonts w:ascii="Calibri" w:hAnsi="Calibri" w:cs="Calibri"/>
                <w:sz w:val="18"/>
                <w:szCs w:val="18"/>
                <w:lang w:val="sl-SI" w:eastAsia="sl-SI"/>
              </w:rPr>
              <w:t>NPU</w:t>
            </w:r>
          </w:p>
        </w:tc>
        <w:tc>
          <w:tcPr>
            <w:tcW w:w="1418" w:type="dxa"/>
            <w:shd w:val="clear" w:color="auto" w:fill="auto"/>
            <w:noWrap/>
            <w:vAlign w:val="bottom"/>
            <w:hideMark/>
          </w:tcPr>
          <w:p w:rsidR="00CD5081" w:rsidRPr="00412299" w:rsidRDefault="00CD5081" w:rsidP="00F83FBB">
            <w:pPr>
              <w:jc w:val="right"/>
              <w:rPr>
                <w:rFonts w:ascii="Calibri" w:hAnsi="Calibri"/>
                <w:sz w:val="18"/>
                <w:szCs w:val="18"/>
              </w:rPr>
            </w:pPr>
            <w:r w:rsidRPr="00972554">
              <w:rPr>
                <w:rFonts w:ascii="Calibri" w:hAnsi="Calibri"/>
                <w:sz w:val="18"/>
                <w:szCs w:val="18"/>
              </w:rPr>
              <w:t xml:space="preserve">343.286.961 </w:t>
            </w:r>
          </w:p>
        </w:tc>
        <w:tc>
          <w:tcPr>
            <w:tcW w:w="708" w:type="dxa"/>
            <w:vAlign w:val="bottom"/>
          </w:tcPr>
          <w:p w:rsidR="00CD5081" w:rsidRPr="00412299" w:rsidRDefault="00CD5081" w:rsidP="00382B0F">
            <w:pPr>
              <w:autoSpaceDE w:val="0"/>
              <w:autoSpaceDN w:val="0"/>
              <w:adjustRightInd w:val="0"/>
              <w:spacing w:line="240" w:lineRule="auto"/>
              <w:jc w:val="right"/>
              <w:rPr>
                <w:rFonts w:ascii="Calibri" w:hAnsi="Calibri" w:cs="Calibri"/>
                <w:sz w:val="18"/>
                <w:szCs w:val="18"/>
                <w:lang w:val="sl-SI" w:eastAsia="sl-SI"/>
              </w:rPr>
            </w:pPr>
            <w:r w:rsidRPr="00972554">
              <w:rPr>
                <w:rFonts w:ascii="Calibri" w:hAnsi="Calibri"/>
                <w:sz w:val="18"/>
                <w:szCs w:val="18"/>
              </w:rPr>
              <w:t>98,77</w:t>
            </w:r>
          </w:p>
        </w:tc>
      </w:tr>
      <w:tr w:rsidR="00CD5081" w:rsidRPr="007C4768" w:rsidTr="00972554">
        <w:trPr>
          <w:trHeight w:val="300"/>
        </w:trPr>
        <w:tc>
          <w:tcPr>
            <w:tcW w:w="6394" w:type="dxa"/>
            <w:shd w:val="clear" w:color="auto" w:fill="auto"/>
            <w:noWrap/>
            <w:hideMark/>
          </w:tcPr>
          <w:p w:rsidR="00CD5081" w:rsidRPr="002C026D" w:rsidRDefault="00CD5081" w:rsidP="006377A8">
            <w:pPr>
              <w:jc w:val="left"/>
              <w:rPr>
                <w:rFonts w:ascii="Calibri" w:hAnsi="Calibri"/>
                <w:sz w:val="18"/>
                <w:szCs w:val="18"/>
              </w:rPr>
            </w:pPr>
            <w:r w:rsidRPr="00E6614F">
              <w:rPr>
                <w:rFonts w:ascii="Calibri" w:hAnsi="Calibri" w:cs="Calibri"/>
                <w:sz w:val="18"/>
                <w:szCs w:val="18"/>
                <w:lang w:val="sl-SI" w:eastAsia="sl-SI"/>
              </w:rPr>
              <w:t>PPU</w:t>
            </w:r>
          </w:p>
        </w:tc>
        <w:tc>
          <w:tcPr>
            <w:tcW w:w="1418" w:type="dxa"/>
            <w:shd w:val="clear" w:color="auto" w:fill="auto"/>
            <w:noWrap/>
            <w:vAlign w:val="bottom"/>
            <w:hideMark/>
          </w:tcPr>
          <w:p w:rsidR="00CD5081" w:rsidRPr="00412299" w:rsidRDefault="00CD5081" w:rsidP="00F83FBB">
            <w:pPr>
              <w:jc w:val="right"/>
              <w:rPr>
                <w:rFonts w:ascii="Calibri" w:hAnsi="Calibri"/>
                <w:sz w:val="18"/>
                <w:szCs w:val="18"/>
              </w:rPr>
            </w:pPr>
            <w:r w:rsidRPr="00972554">
              <w:rPr>
                <w:rFonts w:ascii="Calibri" w:hAnsi="Calibri"/>
                <w:sz w:val="18"/>
                <w:szCs w:val="18"/>
              </w:rPr>
              <w:t xml:space="preserve">4.260.293 </w:t>
            </w:r>
          </w:p>
        </w:tc>
        <w:tc>
          <w:tcPr>
            <w:tcW w:w="708" w:type="dxa"/>
            <w:vAlign w:val="bottom"/>
          </w:tcPr>
          <w:p w:rsidR="00CD5081" w:rsidRPr="00412299" w:rsidRDefault="00CD5081" w:rsidP="00382B0F">
            <w:pPr>
              <w:autoSpaceDE w:val="0"/>
              <w:autoSpaceDN w:val="0"/>
              <w:adjustRightInd w:val="0"/>
              <w:spacing w:line="240" w:lineRule="auto"/>
              <w:jc w:val="right"/>
              <w:rPr>
                <w:rFonts w:ascii="Calibri" w:hAnsi="Calibri" w:cs="Calibri"/>
                <w:sz w:val="18"/>
                <w:szCs w:val="18"/>
                <w:lang w:val="sl-SI" w:eastAsia="sl-SI"/>
              </w:rPr>
            </w:pPr>
            <w:r w:rsidRPr="00972554">
              <w:rPr>
                <w:rFonts w:ascii="Calibri" w:hAnsi="Calibri"/>
                <w:sz w:val="18"/>
                <w:szCs w:val="18"/>
              </w:rPr>
              <w:t>1,23</w:t>
            </w:r>
          </w:p>
        </w:tc>
      </w:tr>
      <w:tr w:rsidR="00CD5081" w:rsidRPr="007C4768" w:rsidTr="00972554">
        <w:trPr>
          <w:trHeight w:val="300"/>
        </w:trPr>
        <w:tc>
          <w:tcPr>
            <w:tcW w:w="6394" w:type="dxa"/>
            <w:shd w:val="clear" w:color="auto" w:fill="auto"/>
            <w:noWrap/>
            <w:hideMark/>
          </w:tcPr>
          <w:p w:rsidR="00CD5081" w:rsidRPr="002C026D" w:rsidRDefault="00CD5081" w:rsidP="006377A8">
            <w:pPr>
              <w:jc w:val="left"/>
              <w:rPr>
                <w:rFonts w:ascii="Calibri" w:hAnsi="Calibri"/>
                <w:b/>
                <w:sz w:val="18"/>
                <w:szCs w:val="18"/>
              </w:rPr>
            </w:pPr>
            <w:r w:rsidRPr="000F6B5B">
              <w:rPr>
                <w:rFonts w:ascii="Calibri" w:hAnsi="Calibri" w:cs="Calibri"/>
                <w:b/>
                <w:bCs/>
                <w:sz w:val="18"/>
                <w:szCs w:val="18"/>
                <w:lang w:val="sl-SI" w:eastAsia="sl-SI"/>
              </w:rPr>
              <w:t>716-Denarna sredstva</w:t>
            </w:r>
          </w:p>
        </w:tc>
        <w:tc>
          <w:tcPr>
            <w:tcW w:w="1418" w:type="dxa"/>
            <w:shd w:val="clear" w:color="auto" w:fill="auto"/>
            <w:noWrap/>
            <w:vAlign w:val="bottom"/>
            <w:hideMark/>
          </w:tcPr>
          <w:p w:rsidR="00CD5081" w:rsidRPr="00972554" w:rsidRDefault="00CD5081" w:rsidP="00F83FBB">
            <w:pPr>
              <w:jc w:val="right"/>
              <w:rPr>
                <w:rFonts w:ascii="Calibri" w:hAnsi="Calibri"/>
                <w:b/>
                <w:sz w:val="18"/>
                <w:szCs w:val="18"/>
              </w:rPr>
            </w:pPr>
            <w:r w:rsidRPr="00972554">
              <w:rPr>
                <w:rFonts w:ascii="Calibri" w:hAnsi="Calibri"/>
                <w:b/>
                <w:sz w:val="18"/>
                <w:szCs w:val="18"/>
              </w:rPr>
              <w:t xml:space="preserve">3.508.598.012 </w:t>
            </w:r>
          </w:p>
        </w:tc>
        <w:tc>
          <w:tcPr>
            <w:tcW w:w="708" w:type="dxa"/>
            <w:vAlign w:val="bottom"/>
          </w:tcPr>
          <w:p w:rsidR="00CD5081" w:rsidRPr="00382B0F" w:rsidRDefault="00CD5081" w:rsidP="00382B0F">
            <w:pPr>
              <w:autoSpaceDE w:val="0"/>
              <w:autoSpaceDN w:val="0"/>
              <w:adjustRightInd w:val="0"/>
              <w:spacing w:line="240" w:lineRule="auto"/>
              <w:jc w:val="right"/>
              <w:rPr>
                <w:rFonts w:ascii="Calibri" w:hAnsi="Calibri" w:cs="Calibri"/>
                <w:b/>
                <w:bCs/>
                <w:sz w:val="18"/>
                <w:szCs w:val="18"/>
                <w:lang w:val="sl-SI" w:eastAsia="sl-SI"/>
              </w:rPr>
            </w:pPr>
          </w:p>
        </w:tc>
      </w:tr>
      <w:tr w:rsidR="00CD5081" w:rsidRPr="007C4768" w:rsidTr="00972554">
        <w:trPr>
          <w:trHeight w:val="300"/>
        </w:trPr>
        <w:tc>
          <w:tcPr>
            <w:tcW w:w="6394" w:type="dxa"/>
            <w:shd w:val="clear" w:color="auto" w:fill="auto"/>
            <w:noWrap/>
            <w:hideMark/>
          </w:tcPr>
          <w:p w:rsidR="00CD5081" w:rsidRPr="002C026D" w:rsidRDefault="00CD5081" w:rsidP="00DC1393">
            <w:pPr>
              <w:jc w:val="left"/>
              <w:rPr>
                <w:rFonts w:ascii="Calibri" w:hAnsi="Calibri"/>
                <w:sz w:val="18"/>
                <w:szCs w:val="18"/>
              </w:rPr>
            </w:pPr>
            <w:r w:rsidRPr="00E6614F">
              <w:rPr>
                <w:rFonts w:ascii="Calibri" w:hAnsi="Calibri" w:cs="Calibri"/>
                <w:sz w:val="18"/>
                <w:szCs w:val="18"/>
                <w:lang w:val="sl-SI" w:eastAsia="sl-SI"/>
              </w:rPr>
              <w:t>NPU</w:t>
            </w:r>
          </w:p>
        </w:tc>
        <w:tc>
          <w:tcPr>
            <w:tcW w:w="1418" w:type="dxa"/>
            <w:shd w:val="clear" w:color="auto" w:fill="auto"/>
            <w:noWrap/>
            <w:vAlign w:val="bottom"/>
            <w:hideMark/>
          </w:tcPr>
          <w:p w:rsidR="00CD5081" w:rsidRPr="00412299" w:rsidRDefault="00CD5081" w:rsidP="00F83FBB">
            <w:pPr>
              <w:jc w:val="right"/>
              <w:rPr>
                <w:rFonts w:ascii="Calibri" w:hAnsi="Calibri"/>
                <w:sz w:val="18"/>
                <w:szCs w:val="18"/>
              </w:rPr>
            </w:pPr>
            <w:r w:rsidRPr="00972554">
              <w:rPr>
                <w:rFonts w:ascii="Calibri" w:hAnsi="Calibri"/>
                <w:sz w:val="18"/>
                <w:szCs w:val="18"/>
              </w:rPr>
              <w:t xml:space="preserve">3.506.216.683 </w:t>
            </w:r>
          </w:p>
        </w:tc>
        <w:tc>
          <w:tcPr>
            <w:tcW w:w="708" w:type="dxa"/>
            <w:vAlign w:val="bottom"/>
          </w:tcPr>
          <w:p w:rsidR="00CD5081" w:rsidRPr="00412299" w:rsidRDefault="00CD5081" w:rsidP="00382B0F">
            <w:pPr>
              <w:autoSpaceDE w:val="0"/>
              <w:autoSpaceDN w:val="0"/>
              <w:adjustRightInd w:val="0"/>
              <w:spacing w:line="240" w:lineRule="auto"/>
              <w:jc w:val="right"/>
              <w:rPr>
                <w:rFonts w:ascii="Calibri" w:hAnsi="Calibri" w:cs="Calibri"/>
                <w:sz w:val="18"/>
                <w:szCs w:val="18"/>
                <w:lang w:val="sl-SI" w:eastAsia="sl-SI"/>
              </w:rPr>
            </w:pPr>
            <w:r w:rsidRPr="00972554">
              <w:rPr>
                <w:rFonts w:ascii="Calibri" w:hAnsi="Calibri"/>
                <w:sz w:val="18"/>
                <w:szCs w:val="18"/>
              </w:rPr>
              <w:t>99,93</w:t>
            </w:r>
          </w:p>
        </w:tc>
      </w:tr>
      <w:tr w:rsidR="00CD5081" w:rsidRPr="007C4768" w:rsidTr="00972554">
        <w:trPr>
          <w:trHeight w:val="300"/>
        </w:trPr>
        <w:tc>
          <w:tcPr>
            <w:tcW w:w="6394" w:type="dxa"/>
            <w:shd w:val="clear" w:color="auto" w:fill="auto"/>
            <w:noWrap/>
            <w:hideMark/>
          </w:tcPr>
          <w:p w:rsidR="00CD5081" w:rsidRPr="002C026D" w:rsidRDefault="00CD5081" w:rsidP="00F00FEE">
            <w:pPr>
              <w:jc w:val="left"/>
              <w:rPr>
                <w:rFonts w:ascii="Calibri" w:hAnsi="Calibri"/>
                <w:sz w:val="18"/>
                <w:szCs w:val="18"/>
              </w:rPr>
            </w:pPr>
            <w:r w:rsidRPr="00E6614F">
              <w:rPr>
                <w:rFonts w:ascii="Calibri" w:hAnsi="Calibri" w:cs="Calibri"/>
                <w:sz w:val="18"/>
                <w:szCs w:val="18"/>
                <w:lang w:val="sl-SI" w:eastAsia="sl-SI"/>
              </w:rPr>
              <w:t>PPU</w:t>
            </w:r>
          </w:p>
        </w:tc>
        <w:tc>
          <w:tcPr>
            <w:tcW w:w="1418" w:type="dxa"/>
            <w:shd w:val="clear" w:color="auto" w:fill="auto"/>
            <w:noWrap/>
            <w:vAlign w:val="bottom"/>
            <w:hideMark/>
          </w:tcPr>
          <w:p w:rsidR="00CD5081" w:rsidRPr="00412299" w:rsidRDefault="00CD5081" w:rsidP="00F83FBB">
            <w:pPr>
              <w:jc w:val="right"/>
              <w:rPr>
                <w:rFonts w:ascii="Calibri" w:hAnsi="Calibri"/>
                <w:sz w:val="18"/>
                <w:szCs w:val="18"/>
              </w:rPr>
            </w:pPr>
            <w:r w:rsidRPr="00972554">
              <w:rPr>
                <w:rFonts w:ascii="Calibri" w:hAnsi="Calibri"/>
                <w:sz w:val="18"/>
                <w:szCs w:val="18"/>
              </w:rPr>
              <w:t xml:space="preserve">2.381.329 </w:t>
            </w:r>
          </w:p>
        </w:tc>
        <w:tc>
          <w:tcPr>
            <w:tcW w:w="708" w:type="dxa"/>
            <w:vAlign w:val="bottom"/>
          </w:tcPr>
          <w:p w:rsidR="00CD5081" w:rsidRPr="00412299" w:rsidRDefault="00CD5081" w:rsidP="00382B0F">
            <w:pPr>
              <w:autoSpaceDE w:val="0"/>
              <w:autoSpaceDN w:val="0"/>
              <w:adjustRightInd w:val="0"/>
              <w:spacing w:line="240" w:lineRule="auto"/>
              <w:jc w:val="right"/>
              <w:rPr>
                <w:rFonts w:ascii="Calibri" w:hAnsi="Calibri" w:cs="Calibri"/>
                <w:sz w:val="18"/>
                <w:szCs w:val="18"/>
                <w:lang w:val="sl-SI" w:eastAsia="sl-SI"/>
              </w:rPr>
            </w:pPr>
            <w:r w:rsidRPr="00972554">
              <w:rPr>
                <w:rFonts w:ascii="Calibri" w:hAnsi="Calibri"/>
                <w:sz w:val="18"/>
                <w:szCs w:val="18"/>
              </w:rPr>
              <w:t>0,07</w:t>
            </w:r>
          </w:p>
        </w:tc>
      </w:tr>
      <w:tr w:rsidR="00CD5081" w:rsidRPr="007C4768" w:rsidTr="00972554">
        <w:trPr>
          <w:trHeight w:val="300"/>
        </w:trPr>
        <w:tc>
          <w:tcPr>
            <w:tcW w:w="6394" w:type="dxa"/>
            <w:shd w:val="clear" w:color="auto" w:fill="auto"/>
            <w:noWrap/>
            <w:hideMark/>
          </w:tcPr>
          <w:p w:rsidR="00CD5081" w:rsidRPr="002C026D" w:rsidRDefault="00CD5081" w:rsidP="006377A8">
            <w:pPr>
              <w:jc w:val="left"/>
              <w:rPr>
                <w:rFonts w:ascii="Calibri" w:hAnsi="Calibri"/>
                <w:b/>
                <w:sz w:val="18"/>
                <w:szCs w:val="18"/>
              </w:rPr>
            </w:pPr>
            <w:r w:rsidRPr="000F6B5B">
              <w:rPr>
                <w:rFonts w:ascii="Calibri" w:hAnsi="Calibri" w:cs="Calibri"/>
                <w:b/>
                <w:bCs/>
                <w:sz w:val="18"/>
                <w:szCs w:val="18"/>
                <w:lang w:val="sl-SI" w:eastAsia="sl-SI"/>
              </w:rPr>
              <w:t>717-Kratkoročne terjatve</w:t>
            </w:r>
          </w:p>
        </w:tc>
        <w:tc>
          <w:tcPr>
            <w:tcW w:w="1418" w:type="dxa"/>
            <w:shd w:val="clear" w:color="auto" w:fill="auto"/>
            <w:noWrap/>
            <w:vAlign w:val="bottom"/>
            <w:hideMark/>
          </w:tcPr>
          <w:p w:rsidR="00CD5081" w:rsidRPr="00972554" w:rsidRDefault="00CD5081" w:rsidP="00F83FBB">
            <w:pPr>
              <w:jc w:val="right"/>
              <w:rPr>
                <w:rFonts w:ascii="Calibri" w:hAnsi="Calibri"/>
                <w:b/>
                <w:sz w:val="18"/>
                <w:szCs w:val="18"/>
              </w:rPr>
            </w:pPr>
            <w:r w:rsidRPr="00972554">
              <w:rPr>
                <w:rFonts w:ascii="Calibri" w:hAnsi="Calibri"/>
                <w:b/>
                <w:sz w:val="18"/>
                <w:szCs w:val="18"/>
              </w:rPr>
              <w:t xml:space="preserve">4.221.708.734 </w:t>
            </w:r>
          </w:p>
        </w:tc>
        <w:tc>
          <w:tcPr>
            <w:tcW w:w="708" w:type="dxa"/>
            <w:vAlign w:val="bottom"/>
          </w:tcPr>
          <w:p w:rsidR="00CD5081" w:rsidRPr="00382B0F" w:rsidRDefault="00CD5081" w:rsidP="00382B0F">
            <w:pPr>
              <w:autoSpaceDE w:val="0"/>
              <w:autoSpaceDN w:val="0"/>
              <w:adjustRightInd w:val="0"/>
              <w:spacing w:line="240" w:lineRule="auto"/>
              <w:jc w:val="right"/>
              <w:rPr>
                <w:rFonts w:ascii="Calibri" w:hAnsi="Calibri" w:cs="Calibri"/>
                <w:b/>
                <w:bCs/>
                <w:sz w:val="18"/>
                <w:szCs w:val="18"/>
                <w:lang w:val="sl-SI" w:eastAsia="sl-SI"/>
              </w:rPr>
            </w:pPr>
          </w:p>
        </w:tc>
      </w:tr>
      <w:tr w:rsidR="00CD5081" w:rsidRPr="007C4768" w:rsidTr="00972554">
        <w:trPr>
          <w:trHeight w:val="300"/>
        </w:trPr>
        <w:tc>
          <w:tcPr>
            <w:tcW w:w="6394" w:type="dxa"/>
            <w:shd w:val="clear" w:color="auto" w:fill="auto"/>
            <w:noWrap/>
            <w:hideMark/>
          </w:tcPr>
          <w:p w:rsidR="00CD5081" w:rsidRPr="002C026D" w:rsidRDefault="00CD5081" w:rsidP="006377A8">
            <w:pPr>
              <w:jc w:val="left"/>
              <w:rPr>
                <w:rFonts w:ascii="Calibri" w:hAnsi="Calibri"/>
                <w:sz w:val="18"/>
                <w:szCs w:val="18"/>
              </w:rPr>
            </w:pPr>
            <w:r w:rsidRPr="00E6614F">
              <w:rPr>
                <w:rFonts w:ascii="Calibri" w:hAnsi="Calibri" w:cs="Calibri"/>
                <w:sz w:val="18"/>
                <w:szCs w:val="18"/>
                <w:lang w:val="sl-SI" w:eastAsia="sl-SI"/>
              </w:rPr>
              <w:t>NPU</w:t>
            </w:r>
          </w:p>
        </w:tc>
        <w:tc>
          <w:tcPr>
            <w:tcW w:w="1418" w:type="dxa"/>
            <w:shd w:val="clear" w:color="auto" w:fill="auto"/>
            <w:noWrap/>
            <w:vAlign w:val="bottom"/>
            <w:hideMark/>
          </w:tcPr>
          <w:p w:rsidR="00CD5081" w:rsidRPr="00412299" w:rsidRDefault="00CD5081" w:rsidP="00F83FBB">
            <w:pPr>
              <w:jc w:val="right"/>
              <w:rPr>
                <w:rFonts w:ascii="Calibri" w:hAnsi="Calibri"/>
                <w:sz w:val="18"/>
                <w:szCs w:val="18"/>
              </w:rPr>
            </w:pPr>
            <w:r w:rsidRPr="00972554">
              <w:rPr>
                <w:rFonts w:ascii="Calibri" w:hAnsi="Calibri"/>
                <w:sz w:val="18"/>
                <w:szCs w:val="18"/>
              </w:rPr>
              <w:t xml:space="preserve">3.921.713.703 </w:t>
            </w:r>
          </w:p>
        </w:tc>
        <w:tc>
          <w:tcPr>
            <w:tcW w:w="708" w:type="dxa"/>
            <w:vAlign w:val="bottom"/>
          </w:tcPr>
          <w:p w:rsidR="00CD5081" w:rsidRPr="00412299" w:rsidRDefault="00CD5081" w:rsidP="00382B0F">
            <w:pPr>
              <w:autoSpaceDE w:val="0"/>
              <w:autoSpaceDN w:val="0"/>
              <w:adjustRightInd w:val="0"/>
              <w:spacing w:line="240" w:lineRule="auto"/>
              <w:jc w:val="right"/>
              <w:rPr>
                <w:rFonts w:ascii="Calibri" w:hAnsi="Calibri" w:cs="Calibri"/>
                <w:sz w:val="18"/>
                <w:szCs w:val="18"/>
                <w:lang w:val="sl-SI" w:eastAsia="sl-SI"/>
              </w:rPr>
            </w:pPr>
            <w:r w:rsidRPr="00972554">
              <w:rPr>
                <w:rFonts w:ascii="Calibri" w:hAnsi="Calibri"/>
                <w:sz w:val="18"/>
                <w:szCs w:val="18"/>
              </w:rPr>
              <w:t>92,89</w:t>
            </w:r>
          </w:p>
        </w:tc>
      </w:tr>
      <w:tr w:rsidR="00CD5081" w:rsidRPr="007C4768" w:rsidTr="00972554">
        <w:trPr>
          <w:trHeight w:val="300"/>
        </w:trPr>
        <w:tc>
          <w:tcPr>
            <w:tcW w:w="6394" w:type="dxa"/>
            <w:shd w:val="clear" w:color="auto" w:fill="auto"/>
            <w:noWrap/>
            <w:hideMark/>
          </w:tcPr>
          <w:p w:rsidR="00CD5081" w:rsidRPr="002C026D" w:rsidRDefault="00CD5081" w:rsidP="006377A8">
            <w:pPr>
              <w:jc w:val="left"/>
              <w:rPr>
                <w:rFonts w:ascii="Calibri" w:hAnsi="Calibri"/>
                <w:sz w:val="18"/>
                <w:szCs w:val="18"/>
              </w:rPr>
            </w:pPr>
            <w:r w:rsidRPr="00E6614F">
              <w:rPr>
                <w:rFonts w:ascii="Calibri" w:hAnsi="Calibri" w:cs="Calibri"/>
                <w:sz w:val="18"/>
                <w:szCs w:val="18"/>
                <w:lang w:val="sl-SI" w:eastAsia="sl-SI"/>
              </w:rPr>
              <w:t>PPU</w:t>
            </w:r>
          </w:p>
        </w:tc>
        <w:tc>
          <w:tcPr>
            <w:tcW w:w="1418" w:type="dxa"/>
            <w:shd w:val="clear" w:color="auto" w:fill="auto"/>
            <w:noWrap/>
            <w:vAlign w:val="bottom"/>
            <w:hideMark/>
          </w:tcPr>
          <w:p w:rsidR="00CD5081" w:rsidRPr="00412299" w:rsidRDefault="00CD5081" w:rsidP="00F83FBB">
            <w:pPr>
              <w:jc w:val="right"/>
              <w:rPr>
                <w:rFonts w:ascii="Calibri" w:hAnsi="Calibri"/>
                <w:sz w:val="18"/>
                <w:szCs w:val="18"/>
              </w:rPr>
            </w:pPr>
            <w:r w:rsidRPr="00972554">
              <w:rPr>
                <w:rFonts w:ascii="Calibri" w:hAnsi="Calibri"/>
                <w:sz w:val="18"/>
                <w:szCs w:val="18"/>
              </w:rPr>
              <w:t xml:space="preserve">299.995.031 </w:t>
            </w:r>
          </w:p>
        </w:tc>
        <w:tc>
          <w:tcPr>
            <w:tcW w:w="708" w:type="dxa"/>
            <w:vAlign w:val="bottom"/>
          </w:tcPr>
          <w:p w:rsidR="00CD5081" w:rsidRPr="00412299" w:rsidRDefault="00CD5081" w:rsidP="00382B0F">
            <w:pPr>
              <w:autoSpaceDE w:val="0"/>
              <w:autoSpaceDN w:val="0"/>
              <w:adjustRightInd w:val="0"/>
              <w:spacing w:line="240" w:lineRule="auto"/>
              <w:jc w:val="right"/>
              <w:rPr>
                <w:rFonts w:ascii="Calibri" w:hAnsi="Calibri" w:cs="Calibri"/>
                <w:sz w:val="18"/>
                <w:szCs w:val="18"/>
                <w:lang w:val="sl-SI" w:eastAsia="sl-SI"/>
              </w:rPr>
            </w:pPr>
            <w:r w:rsidRPr="00972554">
              <w:rPr>
                <w:rFonts w:ascii="Calibri" w:hAnsi="Calibri"/>
                <w:sz w:val="18"/>
                <w:szCs w:val="18"/>
              </w:rPr>
              <w:t>7,11</w:t>
            </w:r>
          </w:p>
        </w:tc>
      </w:tr>
      <w:tr w:rsidR="00CD5081" w:rsidRPr="007C4768" w:rsidTr="00972554">
        <w:trPr>
          <w:trHeight w:val="300"/>
        </w:trPr>
        <w:tc>
          <w:tcPr>
            <w:tcW w:w="6394" w:type="dxa"/>
            <w:shd w:val="clear" w:color="auto" w:fill="auto"/>
            <w:noWrap/>
            <w:hideMark/>
          </w:tcPr>
          <w:p w:rsidR="00CD5081" w:rsidRPr="002C026D" w:rsidRDefault="00CD5081" w:rsidP="006377A8">
            <w:pPr>
              <w:jc w:val="left"/>
              <w:rPr>
                <w:rFonts w:ascii="Calibri" w:hAnsi="Calibri"/>
                <w:b/>
                <w:sz w:val="18"/>
                <w:szCs w:val="18"/>
              </w:rPr>
            </w:pPr>
            <w:r w:rsidRPr="000F6B5B">
              <w:rPr>
                <w:rFonts w:ascii="Calibri" w:hAnsi="Calibri" w:cs="Calibri"/>
                <w:b/>
                <w:bCs/>
                <w:sz w:val="18"/>
                <w:szCs w:val="18"/>
                <w:lang w:val="sl-SI" w:eastAsia="sl-SI"/>
              </w:rPr>
              <w:t>718-Druge terjatve</w:t>
            </w:r>
          </w:p>
        </w:tc>
        <w:tc>
          <w:tcPr>
            <w:tcW w:w="1418" w:type="dxa"/>
            <w:shd w:val="clear" w:color="auto" w:fill="auto"/>
            <w:noWrap/>
            <w:vAlign w:val="bottom"/>
            <w:hideMark/>
          </w:tcPr>
          <w:p w:rsidR="00CD5081" w:rsidRPr="00972554" w:rsidRDefault="00CD5081" w:rsidP="00F83FBB">
            <w:pPr>
              <w:jc w:val="right"/>
              <w:rPr>
                <w:rFonts w:ascii="Calibri" w:hAnsi="Calibri"/>
                <w:b/>
                <w:sz w:val="18"/>
                <w:szCs w:val="18"/>
              </w:rPr>
            </w:pPr>
            <w:r w:rsidRPr="00972554">
              <w:rPr>
                <w:rFonts w:ascii="Calibri" w:hAnsi="Calibri"/>
                <w:b/>
                <w:sz w:val="18"/>
                <w:szCs w:val="18"/>
              </w:rPr>
              <w:t xml:space="preserve">183.315.443 </w:t>
            </w:r>
          </w:p>
        </w:tc>
        <w:tc>
          <w:tcPr>
            <w:tcW w:w="708" w:type="dxa"/>
            <w:vAlign w:val="bottom"/>
          </w:tcPr>
          <w:p w:rsidR="00CD5081" w:rsidRPr="00382B0F" w:rsidRDefault="00CD5081" w:rsidP="00382B0F">
            <w:pPr>
              <w:autoSpaceDE w:val="0"/>
              <w:autoSpaceDN w:val="0"/>
              <w:adjustRightInd w:val="0"/>
              <w:spacing w:line="240" w:lineRule="auto"/>
              <w:jc w:val="right"/>
              <w:rPr>
                <w:rFonts w:ascii="Calibri" w:hAnsi="Calibri" w:cs="Calibri"/>
                <w:b/>
                <w:bCs/>
                <w:sz w:val="18"/>
                <w:szCs w:val="18"/>
                <w:lang w:val="sl-SI" w:eastAsia="sl-SI"/>
              </w:rPr>
            </w:pPr>
          </w:p>
        </w:tc>
      </w:tr>
      <w:tr w:rsidR="00CD5081" w:rsidRPr="007C4768" w:rsidTr="00972554">
        <w:trPr>
          <w:trHeight w:val="300"/>
        </w:trPr>
        <w:tc>
          <w:tcPr>
            <w:tcW w:w="6394" w:type="dxa"/>
            <w:shd w:val="clear" w:color="auto" w:fill="auto"/>
            <w:noWrap/>
            <w:hideMark/>
          </w:tcPr>
          <w:p w:rsidR="00CD5081" w:rsidRPr="002C026D" w:rsidRDefault="00CD5081" w:rsidP="006377A8">
            <w:pPr>
              <w:jc w:val="left"/>
              <w:rPr>
                <w:rFonts w:ascii="Calibri" w:hAnsi="Calibri"/>
                <w:sz w:val="18"/>
                <w:szCs w:val="18"/>
              </w:rPr>
            </w:pPr>
            <w:r w:rsidRPr="00E6614F">
              <w:rPr>
                <w:rFonts w:ascii="Calibri" w:hAnsi="Calibri" w:cs="Calibri"/>
                <w:sz w:val="18"/>
                <w:szCs w:val="18"/>
                <w:lang w:val="sl-SI" w:eastAsia="sl-SI"/>
              </w:rPr>
              <w:t>NPU</w:t>
            </w:r>
          </w:p>
        </w:tc>
        <w:tc>
          <w:tcPr>
            <w:tcW w:w="1418" w:type="dxa"/>
            <w:shd w:val="clear" w:color="auto" w:fill="auto"/>
            <w:noWrap/>
            <w:vAlign w:val="bottom"/>
            <w:hideMark/>
          </w:tcPr>
          <w:p w:rsidR="00CD5081" w:rsidRPr="00412299" w:rsidRDefault="00CD5081" w:rsidP="00F83FBB">
            <w:pPr>
              <w:jc w:val="right"/>
              <w:rPr>
                <w:rFonts w:ascii="Calibri" w:hAnsi="Calibri"/>
                <w:sz w:val="18"/>
                <w:szCs w:val="18"/>
              </w:rPr>
            </w:pPr>
            <w:r w:rsidRPr="00972554">
              <w:rPr>
                <w:rFonts w:ascii="Calibri" w:hAnsi="Calibri"/>
                <w:sz w:val="18"/>
                <w:szCs w:val="18"/>
              </w:rPr>
              <w:t xml:space="preserve">75.909.712 </w:t>
            </w:r>
          </w:p>
        </w:tc>
        <w:tc>
          <w:tcPr>
            <w:tcW w:w="708" w:type="dxa"/>
            <w:vAlign w:val="bottom"/>
          </w:tcPr>
          <w:p w:rsidR="00CD5081" w:rsidRPr="00412299" w:rsidRDefault="00CD5081" w:rsidP="00382B0F">
            <w:pPr>
              <w:autoSpaceDE w:val="0"/>
              <w:autoSpaceDN w:val="0"/>
              <w:adjustRightInd w:val="0"/>
              <w:spacing w:line="240" w:lineRule="auto"/>
              <w:jc w:val="right"/>
              <w:rPr>
                <w:rFonts w:ascii="Calibri" w:hAnsi="Calibri" w:cs="Calibri"/>
                <w:sz w:val="18"/>
                <w:szCs w:val="18"/>
                <w:lang w:val="sl-SI" w:eastAsia="sl-SI"/>
              </w:rPr>
            </w:pPr>
            <w:r w:rsidRPr="00972554">
              <w:rPr>
                <w:rFonts w:ascii="Calibri" w:hAnsi="Calibri"/>
                <w:sz w:val="18"/>
                <w:szCs w:val="18"/>
              </w:rPr>
              <w:t>41,41</w:t>
            </w:r>
          </w:p>
        </w:tc>
      </w:tr>
      <w:tr w:rsidR="00CD5081" w:rsidRPr="007C4768" w:rsidTr="00972554">
        <w:trPr>
          <w:trHeight w:val="300"/>
        </w:trPr>
        <w:tc>
          <w:tcPr>
            <w:tcW w:w="6394" w:type="dxa"/>
            <w:tcBorders>
              <w:bottom w:val="single" w:sz="4" w:space="0" w:color="auto"/>
            </w:tcBorders>
            <w:shd w:val="clear" w:color="auto" w:fill="auto"/>
            <w:noWrap/>
            <w:hideMark/>
          </w:tcPr>
          <w:p w:rsidR="00CD5081" w:rsidRPr="002C026D" w:rsidRDefault="00CD5081" w:rsidP="006377A8">
            <w:pPr>
              <w:jc w:val="left"/>
              <w:rPr>
                <w:rFonts w:ascii="Calibri" w:hAnsi="Calibri"/>
                <w:sz w:val="18"/>
                <w:szCs w:val="18"/>
              </w:rPr>
            </w:pPr>
            <w:r w:rsidRPr="00E6614F">
              <w:rPr>
                <w:rFonts w:ascii="Calibri" w:hAnsi="Calibri" w:cs="Calibri"/>
                <w:sz w:val="18"/>
                <w:szCs w:val="18"/>
                <w:lang w:val="sl-SI" w:eastAsia="sl-SI"/>
              </w:rPr>
              <w:t>PPU</w:t>
            </w:r>
          </w:p>
        </w:tc>
        <w:tc>
          <w:tcPr>
            <w:tcW w:w="1418" w:type="dxa"/>
            <w:tcBorders>
              <w:bottom w:val="single" w:sz="4" w:space="0" w:color="auto"/>
            </w:tcBorders>
            <w:shd w:val="clear" w:color="auto" w:fill="auto"/>
            <w:noWrap/>
            <w:vAlign w:val="bottom"/>
            <w:hideMark/>
          </w:tcPr>
          <w:p w:rsidR="00CD5081" w:rsidRPr="00412299" w:rsidRDefault="00CD5081" w:rsidP="00F83FBB">
            <w:pPr>
              <w:jc w:val="right"/>
              <w:rPr>
                <w:rFonts w:ascii="Calibri" w:hAnsi="Calibri"/>
                <w:sz w:val="18"/>
                <w:szCs w:val="18"/>
              </w:rPr>
            </w:pPr>
            <w:r w:rsidRPr="00972554">
              <w:rPr>
                <w:rFonts w:ascii="Calibri" w:hAnsi="Calibri"/>
                <w:sz w:val="18"/>
                <w:szCs w:val="18"/>
              </w:rPr>
              <w:t xml:space="preserve">107.405.731 </w:t>
            </w:r>
          </w:p>
        </w:tc>
        <w:tc>
          <w:tcPr>
            <w:tcW w:w="708" w:type="dxa"/>
            <w:tcBorders>
              <w:bottom w:val="single" w:sz="4" w:space="0" w:color="auto"/>
            </w:tcBorders>
            <w:vAlign w:val="bottom"/>
          </w:tcPr>
          <w:p w:rsidR="00CD5081" w:rsidRPr="00412299" w:rsidRDefault="00CD5081" w:rsidP="00382B0F">
            <w:pPr>
              <w:autoSpaceDE w:val="0"/>
              <w:autoSpaceDN w:val="0"/>
              <w:adjustRightInd w:val="0"/>
              <w:spacing w:line="240" w:lineRule="auto"/>
              <w:jc w:val="right"/>
              <w:rPr>
                <w:rFonts w:ascii="Calibri" w:hAnsi="Calibri" w:cs="Calibri"/>
                <w:sz w:val="18"/>
                <w:szCs w:val="18"/>
                <w:lang w:val="sl-SI" w:eastAsia="sl-SI"/>
              </w:rPr>
            </w:pPr>
            <w:r w:rsidRPr="00972554">
              <w:rPr>
                <w:rFonts w:ascii="Calibri" w:hAnsi="Calibri"/>
                <w:sz w:val="18"/>
                <w:szCs w:val="18"/>
              </w:rPr>
              <w:t>58,59</w:t>
            </w:r>
          </w:p>
        </w:tc>
      </w:tr>
      <w:tr w:rsidR="00CD5081" w:rsidRPr="007C4768" w:rsidTr="00972554">
        <w:trPr>
          <w:trHeight w:val="300"/>
        </w:trPr>
        <w:tc>
          <w:tcPr>
            <w:tcW w:w="6394" w:type="dxa"/>
            <w:tcBorders>
              <w:bottom w:val="single" w:sz="4" w:space="0" w:color="auto"/>
            </w:tcBorders>
            <w:shd w:val="clear" w:color="auto" w:fill="92D050"/>
            <w:noWrap/>
            <w:hideMark/>
          </w:tcPr>
          <w:p w:rsidR="00CD5081" w:rsidRPr="000F6B5B" w:rsidRDefault="00CD5081" w:rsidP="006377A8">
            <w:pPr>
              <w:spacing w:line="240" w:lineRule="auto"/>
              <w:rPr>
                <w:rFonts w:ascii="Calibri" w:hAnsi="Calibri"/>
                <w:b/>
                <w:bCs/>
                <w:i/>
                <w:sz w:val="18"/>
                <w:szCs w:val="18"/>
                <w:lang w:eastAsia="sl-SI"/>
              </w:rPr>
            </w:pPr>
            <w:r w:rsidRPr="000F6B5B">
              <w:rPr>
                <w:rFonts w:ascii="Calibri" w:hAnsi="Calibri" w:cs="Calibri"/>
                <w:b/>
                <w:bCs/>
                <w:sz w:val="18"/>
                <w:szCs w:val="18"/>
                <w:lang w:val="sl-SI" w:eastAsia="sl-SI"/>
              </w:rPr>
              <w:t>719-Skupaj aktiva</w:t>
            </w:r>
          </w:p>
        </w:tc>
        <w:tc>
          <w:tcPr>
            <w:tcW w:w="1418" w:type="dxa"/>
            <w:tcBorders>
              <w:bottom w:val="single" w:sz="4" w:space="0" w:color="auto"/>
            </w:tcBorders>
            <w:shd w:val="clear" w:color="auto" w:fill="92D050"/>
            <w:noWrap/>
            <w:vAlign w:val="bottom"/>
            <w:hideMark/>
          </w:tcPr>
          <w:p w:rsidR="00CD5081" w:rsidRPr="00412299" w:rsidRDefault="00CD5081" w:rsidP="00F83FBB">
            <w:pPr>
              <w:spacing w:line="240" w:lineRule="auto"/>
              <w:jc w:val="right"/>
              <w:rPr>
                <w:rFonts w:ascii="Calibri" w:hAnsi="Calibri"/>
                <w:b/>
                <w:bCs/>
                <w:i/>
                <w:sz w:val="18"/>
                <w:szCs w:val="18"/>
                <w:lang w:eastAsia="sl-SI"/>
              </w:rPr>
            </w:pPr>
            <w:r w:rsidRPr="00972554">
              <w:rPr>
                <w:rFonts w:ascii="Calibri" w:hAnsi="Calibri"/>
                <w:b/>
                <w:sz w:val="18"/>
                <w:szCs w:val="18"/>
              </w:rPr>
              <w:t xml:space="preserve">33.752.425.178 </w:t>
            </w:r>
          </w:p>
        </w:tc>
        <w:tc>
          <w:tcPr>
            <w:tcW w:w="708" w:type="dxa"/>
            <w:tcBorders>
              <w:bottom w:val="single" w:sz="4" w:space="0" w:color="auto"/>
            </w:tcBorders>
            <w:shd w:val="clear" w:color="auto" w:fill="92D050"/>
            <w:vAlign w:val="bottom"/>
          </w:tcPr>
          <w:p w:rsidR="00CD5081" w:rsidRPr="00116FC1" w:rsidRDefault="00CD5081" w:rsidP="00382B0F">
            <w:pPr>
              <w:autoSpaceDE w:val="0"/>
              <w:autoSpaceDN w:val="0"/>
              <w:adjustRightInd w:val="0"/>
              <w:spacing w:line="240" w:lineRule="auto"/>
              <w:jc w:val="right"/>
              <w:rPr>
                <w:rFonts w:ascii="Calibri" w:hAnsi="Calibri" w:cs="Calibri"/>
                <w:b/>
                <w:bCs/>
                <w:sz w:val="18"/>
                <w:szCs w:val="18"/>
                <w:lang w:val="sl-SI" w:eastAsia="sl-SI"/>
              </w:rPr>
            </w:pPr>
          </w:p>
        </w:tc>
      </w:tr>
      <w:tr w:rsidR="00CD5081" w:rsidRPr="007C4768" w:rsidTr="00972554">
        <w:trPr>
          <w:trHeight w:val="300"/>
        </w:trPr>
        <w:tc>
          <w:tcPr>
            <w:tcW w:w="6394" w:type="dxa"/>
            <w:tcBorders>
              <w:bottom w:val="single" w:sz="4" w:space="0" w:color="auto"/>
            </w:tcBorders>
            <w:shd w:val="pct12" w:color="auto" w:fill="auto"/>
            <w:noWrap/>
            <w:hideMark/>
          </w:tcPr>
          <w:p w:rsidR="00CD5081" w:rsidRPr="000F6B5B" w:rsidRDefault="00CD5081" w:rsidP="006377A8">
            <w:pPr>
              <w:spacing w:line="240" w:lineRule="auto"/>
              <w:rPr>
                <w:rFonts w:ascii="Calibri" w:hAnsi="Calibri"/>
                <w:b/>
                <w:bCs/>
                <w:sz w:val="18"/>
                <w:szCs w:val="18"/>
                <w:lang w:eastAsia="sl-SI"/>
              </w:rPr>
            </w:pPr>
            <w:r w:rsidRPr="00E6614F">
              <w:rPr>
                <w:rFonts w:ascii="Calibri" w:hAnsi="Calibri" w:cs="Calibri"/>
                <w:sz w:val="18"/>
                <w:szCs w:val="18"/>
                <w:lang w:val="sl-SI" w:eastAsia="sl-SI"/>
              </w:rPr>
              <w:t>NPU</w:t>
            </w:r>
          </w:p>
        </w:tc>
        <w:tc>
          <w:tcPr>
            <w:tcW w:w="1418" w:type="dxa"/>
            <w:tcBorders>
              <w:bottom w:val="single" w:sz="4" w:space="0" w:color="auto"/>
            </w:tcBorders>
            <w:shd w:val="pct12" w:color="auto" w:fill="auto"/>
            <w:noWrap/>
            <w:vAlign w:val="bottom"/>
            <w:hideMark/>
          </w:tcPr>
          <w:p w:rsidR="00CD5081" w:rsidRPr="00412299" w:rsidRDefault="00CD5081" w:rsidP="00F83FBB">
            <w:pPr>
              <w:spacing w:line="240" w:lineRule="auto"/>
              <w:jc w:val="right"/>
              <w:rPr>
                <w:rFonts w:ascii="Calibri" w:hAnsi="Calibri"/>
                <w:b/>
                <w:bCs/>
                <w:i/>
                <w:sz w:val="18"/>
                <w:szCs w:val="18"/>
                <w:lang w:eastAsia="sl-SI"/>
              </w:rPr>
            </w:pPr>
            <w:r w:rsidRPr="00972554">
              <w:rPr>
                <w:rFonts w:ascii="Calibri" w:hAnsi="Calibri"/>
                <w:sz w:val="18"/>
                <w:szCs w:val="18"/>
              </w:rPr>
              <w:t xml:space="preserve">29.374.756.382 </w:t>
            </w:r>
          </w:p>
        </w:tc>
        <w:tc>
          <w:tcPr>
            <w:tcW w:w="708" w:type="dxa"/>
            <w:tcBorders>
              <w:bottom w:val="single" w:sz="4" w:space="0" w:color="auto"/>
            </w:tcBorders>
            <w:shd w:val="pct12" w:color="auto" w:fill="auto"/>
            <w:vAlign w:val="bottom"/>
          </w:tcPr>
          <w:p w:rsidR="00CD5081" w:rsidRPr="00412299" w:rsidRDefault="00CD5081" w:rsidP="00382B0F">
            <w:pPr>
              <w:autoSpaceDE w:val="0"/>
              <w:autoSpaceDN w:val="0"/>
              <w:adjustRightInd w:val="0"/>
              <w:spacing w:line="240" w:lineRule="auto"/>
              <w:jc w:val="right"/>
              <w:rPr>
                <w:rFonts w:ascii="Calibri" w:hAnsi="Calibri" w:cs="Calibri"/>
                <w:b/>
                <w:sz w:val="18"/>
                <w:szCs w:val="18"/>
                <w:lang w:val="sl-SI" w:eastAsia="sl-SI"/>
              </w:rPr>
            </w:pPr>
            <w:r w:rsidRPr="00972554">
              <w:rPr>
                <w:rFonts w:ascii="Calibri" w:hAnsi="Calibri"/>
                <w:sz w:val="18"/>
                <w:szCs w:val="18"/>
              </w:rPr>
              <w:t>87,03</w:t>
            </w:r>
          </w:p>
        </w:tc>
      </w:tr>
      <w:tr w:rsidR="00CD5081" w:rsidRPr="007C4768" w:rsidTr="00972554">
        <w:trPr>
          <w:trHeight w:val="300"/>
        </w:trPr>
        <w:tc>
          <w:tcPr>
            <w:tcW w:w="6394" w:type="dxa"/>
            <w:shd w:val="pct37" w:color="auto" w:fill="auto"/>
            <w:noWrap/>
            <w:hideMark/>
          </w:tcPr>
          <w:p w:rsidR="00CD5081" w:rsidRPr="000F6B5B" w:rsidRDefault="00CD5081" w:rsidP="006377A8">
            <w:pPr>
              <w:spacing w:line="240" w:lineRule="auto"/>
              <w:rPr>
                <w:rFonts w:ascii="Calibri" w:hAnsi="Calibri"/>
                <w:b/>
                <w:bCs/>
                <w:sz w:val="18"/>
                <w:szCs w:val="18"/>
                <w:lang w:eastAsia="sl-SI"/>
              </w:rPr>
            </w:pPr>
            <w:r w:rsidRPr="00E6614F">
              <w:rPr>
                <w:rFonts w:ascii="Calibri" w:hAnsi="Calibri" w:cs="Calibri"/>
                <w:sz w:val="18"/>
                <w:szCs w:val="18"/>
                <w:lang w:val="sl-SI" w:eastAsia="sl-SI"/>
              </w:rPr>
              <w:t>PPU</w:t>
            </w:r>
          </w:p>
        </w:tc>
        <w:tc>
          <w:tcPr>
            <w:tcW w:w="1418" w:type="dxa"/>
            <w:shd w:val="pct37" w:color="auto" w:fill="auto"/>
            <w:noWrap/>
            <w:vAlign w:val="bottom"/>
            <w:hideMark/>
          </w:tcPr>
          <w:p w:rsidR="00CD5081" w:rsidRPr="00412299" w:rsidRDefault="00CD5081" w:rsidP="00F83FBB">
            <w:pPr>
              <w:spacing w:line="240" w:lineRule="auto"/>
              <w:jc w:val="right"/>
              <w:rPr>
                <w:rFonts w:ascii="Calibri" w:hAnsi="Calibri"/>
                <w:b/>
                <w:bCs/>
                <w:i/>
                <w:sz w:val="18"/>
                <w:szCs w:val="18"/>
                <w:lang w:eastAsia="sl-SI"/>
              </w:rPr>
            </w:pPr>
            <w:r w:rsidRPr="00972554">
              <w:rPr>
                <w:rFonts w:ascii="Calibri" w:hAnsi="Calibri"/>
                <w:sz w:val="18"/>
                <w:szCs w:val="18"/>
              </w:rPr>
              <w:t xml:space="preserve">4.377.668.796 </w:t>
            </w:r>
          </w:p>
        </w:tc>
        <w:tc>
          <w:tcPr>
            <w:tcW w:w="708" w:type="dxa"/>
            <w:shd w:val="pct37" w:color="auto" w:fill="auto"/>
            <w:vAlign w:val="bottom"/>
          </w:tcPr>
          <w:p w:rsidR="00CD5081" w:rsidRPr="00412299" w:rsidRDefault="00CD5081" w:rsidP="00382B0F">
            <w:pPr>
              <w:autoSpaceDE w:val="0"/>
              <w:autoSpaceDN w:val="0"/>
              <w:adjustRightInd w:val="0"/>
              <w:spacing w:line="240" w:lineRule="auto"/>
              <w:jc w:val="right"/>
              <w:rPr>
                <w:rFonts w:ascii="Calibri" w:hAnsi="Calibri" w:cs="Calibri"/>
                <w:b/>
                <w:sz w:val="18"/>
                <w:szCs w:val="18"/>
                <w:lang w:val="sl-SI" w:eastAsia="sl-SI"/>
              </w:rPr>
            </w:pPr>
            <w:r w:rsidRPr="00972554">
              <w:rPr>
                <w:rFonts w:ascii="Calibri" w:hAnsi="Calibri"/>
                <w:sz w:val="18"/>
                <w:szCs w:val="18"/>
              </w:rPr>
              <w:t>12,97</w:t>
            </w:r>
          </w:p>
        </w:tc>
      </w:tr>
      <w:tr w:rsidR="00CD5081" w:rsidRPr="007C4768" w:rsidTr="00972554">
        <w:trPr>
          <w:trHeight w:val="300"/>
        </w:trPr>
        <w:tc>
          <w:tcPr>
            <w:tcW w:w="6394" w:type="dxa"/>
            <w:shd w:val="clear" w:color="auto" w:fill="auto"/>
            <w:noWrap/>
            <w:hideMark/>
          </w:tcPr>
          <w:p w:rsidR="00CD5081" w:rsidRPr="002C026D" w:rsidRDefault="00CD5081" w:rsidP="006377A8">
            <w:pPr>
              <w:jc w:val="left"/>
              <w:rPr>
                <w:rFonts w:ascii="Calibri" w:hAnsi="Calibri"/>
                <w:b/>
                <w:sz w:val="18"/>
                <w:szCs w:val="18"/>
              </w:rPr>
            </w:pPr>
            <w:r w:rsidRPr="000F6B5B">
              <w:rPr>
                <w:rFonts w:ascii="Calibri" w:hAnsi="Calibri" w:cs="Calibri"/>
                <w:b/>
                <w:bCs/>
                <w:sz w:val="18"/>
                <w:szCs w:val="18"/>
                <w:lang w:val="sl-SI" w:eastAsia="sl-SI"/>
              </w:rPr>
              <w:t>720-Splošni sklad</w:t>
            </w:r>
          </w:p>
        </w:tc>
        <w:tc>
          <w:tcPr>
            <w:tcW w:w="1418" w:type="dxa"/>
            <w:shd w:val="clear" w:color="auto" w:fill="auto"/>
            <w:noWrap/>
            <w:vAlign w:val="bottom"/>
            <w:hideMark/>
          </w:tcPr>
          <w:p w:rsidR="00CD5081" w:rsidRPr="00972554" w:rsidRDefault="00CD5081" w:rsidP="00F83FBB">
            <w:pPr>
              <w:jc w:val="right"/>
              <w:rPr>
                <w:rFonts w:ascii="Calibri" w:hAnsi="Calibri"/>
                <w:b/>
                <w:sz w:val="18"/>
                <w:szCs w:val="18"/>
              </w:rPr>
            </w:pPr>
            <w:r w:rsidRPr="00972554">
              <w:rPr>
                <w:rFonts w:ascii="Calibri" w:hAnsi="Calibri"/>
                <w:b/>
                <w:sz w:val="18"/>
                <w:szCs w:val="18"/>
              </w:rPr>
              <w:t xml:space="preserve">1.770.516.293 </w:t>
            </w:r>
          </w:p>
        </w:tc>
        <w:tc>
          <w:tcPr>
            <w:tcW w:w="708" w:type="dxa"/>
            <w:vAlign w:val="bottom"/>
          </w:tcPr>
          <w:p w:rsidR="00CD5081" w:rsidRPr="00382B0F" w:rsidRDefault="00CD5081" w:rsidP="00382B0F">
            <w:pPr>
              <w:autoSpaceDE w:val="0"/>
              <w:autoSpaceDN w:val="0"/>
              <w:adjustRightInd w:val="0"/>
              <w:spacing w:line="240" w:lineRule="auto"/>
              <w:jc w:val="right"/>
              <w:rPr>
                <w:rFonts w:ascii="Calibri" w:hAnsi="Calibri" w:cs="Calibri"/>
                <w:b/>
                <w:bCs/>
                <w:sz w:val="18"/>
                <w:szCs w:val="18"/>
                <w:lang w:val="sl-SI" w:eastAsia="sl-SI"/>
              </w:rPr>
            </w:pPr>
          </w:p>
        </w:tc>
      </w:tr>
      <w:tr w:rsidR="00CD5081" w:rsidRPr="007C4768" w:rsidTr="00972554">
        <w:trPr>
          <w:trHeight w:val="300"/>
        </w:trPr>
        <w:tc>
          <w:tcPr>
            <w:tcW w:w="6394" w:type="dxa"/>
            <w:shd w:val="clear" w:color="auto" w:fill="auto"/>
            <w:noWrap/>
            <w:hideMark/>
          </w:tcPr>
          <w:p w:rsidR="00CD5081" w:rsidRPr="002C026D" w:rsidRDefault="00CD5081" w:rsidP="006377A8">
            <w:pPr>
              <w:jc w:val="left"/>
              <w:rPr>
                <w:rFonts w:ascii="Calibri" w:hAnsi="Calibri"/>
                <w:sz w:val="18"/>
                <w:szCs w:val="18"/>
              </w:rPr>
            </w:pPr>
            <w:r w:rsidRPr="00E6614F">
              <w:rPr>
                <w:rFonts w:ascii="Calibri" w:hAnsi="Calibri" w:cs="Calibri"/>
                <w:sz w:val="18"/>
                <w:szCs w:val="18"/>
                <w:lang w:val="sl-SI" w:eastAsia="sl-SI"/>
              </w:rPr>
              <w:t>NPU</w:t>
            </w:r>
          </w:p>
        </w:tc>
        <w:tc>
          <w:tcPr>
            <w:tcW w:w="1418" w:type="dxa"/>
            <w:shd w:val="clear" w:color="auto" w:fill="auto"/>
            <w:noWrap/>
            <w:vAlign w:val="bottom"/>
            <w:hideMark/>
          </w:tcPr>
          <w:p w:rsidR="00CD5081" w:rsidRPr="00412299" w:rsidRDefault="00CD5081" w:rsidP="00F83FBB">
            <w:pPr>
              <w:jc w:val="right"/>
              <w:rPr>
                <w:rFonts w:ascii="Calibri" w:hAnsi="Calibri"/>
                <w:sz w:val="18"/>
                <w:szCs w:val="18"/>
              </w:rPr>
            </w:pPr>
            <w:r w:rsidRPr="00972554">
              <w:rPr>
                <w:rFonts w:ascii="Calibri" w:hAnsi="Calibri"/>
                <w:sz w:val="18"/>
                <w:szCs w:val="18"/>
              </w:rPr>
              <w:t xml:space="preserve">-1.922.075.142 </w:t>
            </w:r>
          </w:p>
        </w:tc>
        <w:tc>
          <w:tcPr>
            <w:tcW w:w="708" w:type="dxa"/>
            <w:vAlign w:val="bottom"/>
          </w:tcPr>
          <w:p w:rsidR="00CD5081" w:rsidRPr="00412299" w:rsidRDefault="00CD5081" w:rsidP="00382B0F">
            <w:pPr>
              <w:autoSpaceDE w:val="0"/>
              <w:autoSpaceDN w:val="0"/>
              <w:adjustRightInd w:val="0"/>
              <w:spacing w:line="240" w:lineRule="auto"/>
              <w:jc w:val="right"/>
              <w:rPr>
                <w:rFonts w:ascii="Calibri" w:hAnsi="Calibri" w:cs="Calibri"/>
                <w:sz w:val="18"/>
                <w:szCs w:val="18"/>
                <w:lang w:val="sl-SI" w:eastAsia="sl-SI"/>
              </w:rPr>
            </w:pPr>
            <w:r w:rsidRPr="00972554">
              <w:rPr>
                <w:rFonts w:ascii="Calibri" w:hAnsi="Calibri"/>
                <w:sz w:val="18"/>
                <w:szCs w:val="18"/>
              </w:rPr>
              <w:t>-108,56</w:t>
            </w:r>
          </w:p>
        </w:tc>
      </w:tr>
      <w:tr w:rsidR="00CD5081" w:rsidRPr="007C4768" w:rsidTr="00972554">
        <w:trPr>
          <w:trHeight w:val="300"/>
        </w:trPr>
        <w:tc>
          <w:tcPr>
            <w:tcW w:w="6394" w:type="dxa"/>
            <w:shd w:val="clear" w:color="auto" w:fill="auto"/>
            <w:noWrap/>
            <w:hideMark/>
          </w:tcPr>
          <w:p w:rsidR="00CD5081" w:rsidRPr="002C026D" w:rsidRDefault="00CD5081" w:rsidP="006377A8">
            <w:pPr>
              <w:jc w:val="left"/>
              <w:rPr>
                <w:rFonts w:ascii="Calibri" w:hAnsi="Calibri"/>
                <w:sz w:val="18"/>
                <w:szCs w:val="18"/>
              </w:rPr>
            </w:pPr>
            <w:r w:rsidRPr="00E6614F">
              <w:rPr>
                <w:rFonts w:ascii="Calibri" w:hAnsi="Calibri" w:cs="Calibri"/>
                <w:sz w:val="18"/>
                <w:szCs w:val="18"/>
                <w:lang w:val="sl-SI" w:eastAsia="sl-SI"/>
              </w:rPr>
              <w:t>PPU</w:t>
            </w:r>
          </w:p>
        </w:tc>
        <w:tc>
          <w:tcPr>
            <w:tcW w:w="1418" w:type="dxa"/>
            <w:shd w:val="clear" w:color="auto" w:fill="auto"/>
            <w:noWrap/>
            <w:vAlign w:val="bottom"/>
            <w:hideMark/>
          </w:tcPr>
          <w:p w:rsidR="00CD5081" w:rsidRPr="00412299" w:rsidRDefault="00CD5081" w:rsidP="00F83FBB">
            <w:pPr>
              <w:jc w:val="right"/>
              <w:rPr>
                <w:rFonts w:ascii="Calibri" w:hAnsi="Calibri"/>
                <w:sz w:val="18"/>
                <w:szCs w:val="18"/>
              </w:rPr>
            </w:pPr>
            <w:r w:rsidRPr="00972554">
              <w:rPr>
                <w:rFonts w:ascii="Calibri" w:hAnsi="Calibri"/>
                <w:sz w:val="18"/>
                <w:szCs w:val="18"/>
              </w:rPr>
              <w:t xml:space="preserve">3.692.591.435 </w:t>
            </w:r>
          </w:p>
        </w:tc>
        <w:tc>
          <w:tcPr>
            <w:tcW w:w="708" w:type="dxa"/>
            <w:vAlign w:val="bottom"/>
          </w:tcPr>
          <w:p w:rsidR="00CD5081" w:rsidRPr="00412299" w:rsidRDefault="00CD5081" w:rsidP="00382B0F">
            <w:pPr>
              <w:autoSpaceDE w:val="0"/>
              <w:autoSpaceDN w:val="0"/>
              <w:adjustRightInd w:val="0"/>
              <w:spacing w:line="240" w:lineRule="auto"/>
              <w:jc w:val="right"/>
              <w:rPr>
                <w:rFonts w:ascii="Calibri" w:hAnsi="Calibri" w:cs="Calibri"/>
                <w:sz w:val="18"/>
                <w:szCs w:val="18"/>
                <w:lang w:val="sl-SI" w:eastAsia="sl-SI"/>
              </w:rPr>
            </w:pPr>
            <w:r w:rsidRPr="00972554">
              <w:rPr>
                <w:rFonts w:ascii="Calibri" w:hAnsi="Calibri"/>
                <w:sz w:val="18"/>
                <w:szCs w:val="18"/>
              </w:rPr>
              <w:t>208,56</w:t>
            </w:r>
          </w:p>
        </w:tc>
      </w:tr>
      <w:tr w:rsidR="00CD5081" w:rsidRPr="007C4768" w:rsidTr="00972554">
        <w:trPr>
          <w:trHeight w:val="300"/>
        </w:trPr>
        <w:tc>
          <w:tcPr>
            <w:tcW w:w="6394" w:type="dxa"/>
            <w:shd w:val="clear" w:color="auto" w:fill="auto"/>
            <w:noWrap/>
            <w:hideMark/>
          </w:tcPr>
          <w:p w:rsidR="00CD5081" w:rsidRPr="002C026D" w:rsidRDefault="00CD5081" w:rsidP="006377A8">
            <w:pPr>
              <w:jc w:val="left"/>
              <w:rPr>
                <w:rFonts w:ascii="Calibri" w:hAnsi="Calibri"/>
                <w:b/>
                <w:sz w:val="18"/>
                <w:szCs w:val="18"/>
              </w:rPr>
            </w:pPr>
            <w:r w:rsidRPr="000F6B5B">
              <w:rPr>
                <w:rFonts w:ascii="Calibri" w:hAnsi="Calibri" w:cs="Calibri"/>
                <w:b/>
                <w:bCs/>
                <w:sz w:val="18"/>
                <w:szCs w:val="18"/>
                <w:lang w:val="sl-SI" w:eastAsia="sl-SI"/>
              </w:rPr>
              <w:t>721-Rezervni sklad</w:t>
            </w:r>
          </w:p>
        </w:tc>
        <w:tc>
          <w:tcPr>
            <w:tcW w:w="1418" w:type="dxa"/>
            <w:shd w:val="clear" w:color="auto" w:fill="auto"/>
            <w:noWrap/>
            <w:vAlign w:val="bottom"/>
            <w:hideMark/>
          </w:tcPr>
          <w:p w:rsidR="00CD5081" w:rsidRPr="00972554" w:rsidRDefault="00CD5081" w:rsidP="00F83FBB">
            <w:pPr>
              <w:jc w:val="right"/>
              <w:rPr>
                <w:rFonts w:ascii="Calibri" w:hAnsi="Calibri"/>
                <w:b/>
                <w:sz w:val="18"/>
                <w:szCs w:val="18"/>
              </w:rPr>
            </w:pPr>
            <w:r w:rsidRPr="00972554">
              <w:rPr>
                <w:rFonts w:ascii="Calibri" w:hAnsi="Calibri"/>
                <w:b/>
                <w:sz w:val="18"/>
                <w:szCs w:val="18"/>
              </w:rPr>
              <w:t xml:space="preserve">78.563.693 </w:t>
            </w:r>
          </w:p>
        </w:tc>
        <w:tc>
          <w:tcPr>
            <w:tcW w:w="708" w:type="dxa"/>
            <w:vAlign w:val="bottom"/>
          </w:tcPr>
          <w:p w:rsidR="00CD5081" w:rsidRPr="00382B0F" w:rsidRDefault="00CD5081" w:rsidP="00382B0F">
            <w:pPr>
              <w:autoSpaceDE w:val="0"/>
              <w:autoSpaceDN w:val="0"/>
              <w:adjustRightInd w:val="0"/>
              <w:spacing w:line="240" w:lineRule="auto"/>
              <w:jc w:val="right"/>
              <w:rPr>
                <w:rFonts w:ascii="Calibri" w:hAnsi="Calibri" w:cs="Calibri"/>
                <w:b/>
                <w:bCs/>
                <w:sz w:val="18"/>
                <w:szCs w:val="18"/>
                <w:lang w:val="sl-SI" w:eastAsia="sl-SI"/>
              </w:rPr>
            </w:pPr>
          </w:p>
        </w:tc>
      </w:tr>
      <w:tr w:rsidR="00CD5081" w:rsidRPr="007C4768" w:rsidTr="00972554">
        <w:trPr>
          <w:trHeight w:val="300"/>
        </w:trPr>
        <w:tc>
          <w:tcPr>
            <w:tcW w:w="6394" w:type="dxa"/>
            <w:shd w:val="clear" w:color="auto" w:fill="auto"/>
            <w:noWrap/>
            <w:hideMark/>
          </w:tcPr>
          <w:p w:rsidR="00CD5081" w:rsidRPr="002C026D" w:rsidRDefault="00CD5081" w:rsidP="006377A8">
            <w:pPr>
              <w:jc w:val="left"/>
              <w:rPr>
                <w:rFonts w:ascii="Calibri" w:hAnsi="Calibri"/>
                <w:sz w:val="18"/>
                <w:szCs w:val="18"/>
              </w:rPr>
            </w:pPr>
            <w:r w:rsidRPr="00E6614F">
              <w:rPr>
                <w:rFonts w:ascii="Calibri" w:hAnsi="Calibri" w:cs="Calibri"/>
                <w:sz w:val="18"/>
                <w:szCs w:val="18"/>
                <w:lang w:val="sl-SI" w:eastAsia="sl-SI"/>
              </w:rPr>
              <w:t>NPU</w:t>
            </w:r>
          </w:p>
        </w:tc>
        <w:tc>
          <w:tcPr>
            <w:tcW w:w="1418" w:type="dxa"/>
            <w:shd w:val="clear" w:color="auto" w:fill="auto"/>
            <w:noWrap/>
            <w:vAlign w:val="bottom"/>
            <w:hideMark/>
          </w:tcPr>
          <w:p w:rsidR="00CD5081" w:rsidRPr="00412299" w:rsidRDefault="00CD5081" w:rsidP="00F83FBB">
            <w:pPr>
              <w:jc w:val="right"/>
              <w:rPr>
                <w:rFonts w:ascii="Calibri" w:hAnsi="Calibri"/>
                <w:sz w:val="18"/>
                <w:szCs w:val="18"/>
              </w:rPr>
            </w:pPr>
            <w:r w:rsidRPr="00972554">
              <w:rPr>
                <w:rFonts w:ascii="Calibri" w:hAnsi="Calibri"/>
                <w:sz w:val="18"/>
                <w:szCs w:val="18"/>
              </w:rPr>
              <w:t xml:space="preserve">44.390.109 </w:t>
            </w:r>
          </w:p>
        </w:tc>
        <w:tc>
          <w:tcPr>
            <w:tcW w:w="708" w:type="dxa"/>
            <w:vAlign w:val="bottom"/>
          </w:tcPr>
          <w:p w:rsidR="00CD5081" w:rsidRPr="00412299" w:rsidRDefault="00CD5081" w:rsidP="00382B0F">
            <w:pPr>
              <w:autoSpaceDE w:val="0"/>
              <w:autoSpaceDN w:val="0"/>
              <w:adjustRightInd w:val="0"/>
              <w:spacing w:line="240" w:lineRule="auto"/>
              <w:jc w:val="right"/>
              <w:rPr>
                <w:rFonts w:ascii="Calibri" w:hAnsi="Calibri" w:cs="Calibri"/>
                <w:sz w:val="18"/>
                <w:szCs w:val="18"/>
                <w:lang w:val="sl-SI" w:eastAsia="sl-SI"/>
              </w:rPr>
            </w:pPr>
            <w:r w:rsidRPr="00972554">
              <w:rPr>
                <w:rFonts w:ascii="Calibri" w:hAnsi="Calibri"/>
                <w:sz w:val="18"/>
                <w:szCs w:val="18"/>
              </w:rPr>
              <w:t>56,50</w:t>
            </w:r>
          </w:p>
        </w:tc>
      </w:tr>
      <w:tr w:rsidR="00CD5081" w:rsidRPr="007C4768" w:rsidTr="00972554">
        <w:trPr>
          <w:trHeight w:val="300"/>
        </w:trPr>
        <w:tc>
          <w:tcPr>
            <w:tcW w:w="6394" w:type="dxa"/>
            <w:shd w:val="clear" w:color="auto" w:fill="auto"/>
            <w:noWrap/>
            <w:hideMark/>
          </w:tcPr>
          <w:p w:rsidR="00CD5081" w:rsidRPr="002C026D" w:rsidRDefault="00CD5081" w:rsidP="006377A8">
            <w:pPr>
              <w:jc w:val="left"/>
              <w:rPr>
                <w:rFonts w:ascii="Calibri" w:hAnsi="Calibri"/>
                <w:sz w:val="18"/>
                <w:szCs w:val="18"/>
              </w:rPr>
            </w:pPr>
            <w:r w:rsidRPr="00E6614F">
              <w:rPr>
                <w:rFonts w:ascii="Calibri" w:hAnsi="Calibri" w:cs="Calibri"/>
                <w:sz w:val="18"/>
                <w:szCs w:val="18"/>
                <w:lang w:val="sl-SI" w:eastAsia="sl-SI"/>
              </w:rPr>
              <w:t>PPU</w:t>
            </w:r>
          </w:p>
        </w:tc>
        <w:tc>
          <w:tcPr>
            <w:tcW w:w="1418" w:type="dxa"/>
            <w:shd w:val="clear" w:color="auto" w:fill="auto"/>
            <w:noWrap/>
            <w:vAlign w:val="bottom"/>
            <w:hideMark/>
          </w:tcPr>
          <w:p w:rsidR="00CD5081" w:rsidRPr="00412299" w:rsidRDefault="00CD5081" w:rsidP="00F83FBB">
            <w:pPr>
              <w:jc w:val="right"/>
              <w:rPr>
                <w:rFonts w:ascii="Calibri" w:hAnsi="Calibri"/>
                <w:sz w:val="18"/>
                <w:szCs w:val="18"/>
              </w:rPr>
            </w:pPr>
            <w:r w:rsidRPr="00972554">
              <w:rPr>
                <w:rFonts w:ascii="Calibri" w:hAnsi="Calibri"/>
                <w:sz w:val="18"/>
                <w:szCs w:val="18"/>
              </w:rPr>
              <w:t xml:space="preserve">34.173.584 </w:t>
            </w:r>
          </w:p>
        </w:tc>
        <w:tc>
          <w:tcPr>
            <w:tcW w:w="708" w:type="dxa"/>
            <w:vAlign w:val="bottom"/>
          </w:tcPr>
          <w:p w:rsidR="00CD5081" w:rsidRPr="00412299" w:rsidRDefault="00CD5081" w:rsidP="00382B0F">
            <w:pPr>
              <w:autoSpaceDE w:val="0"/>
              <w:autoSpaceDN w:val="0"/>
              <w:adjustRightInd w:val="0"/>
              <w:spacing w:line="240" w:lineRule="auto"/>
              <w:jc w:val="right"/>
              <w:rPr>
                <w:rFonts w:ascii="Calibri" w:hAnsi="Calibri" w:cs="Calibri"/>
                <w:sz w:val="18"/>
                <w:szCs w:val="18"/>
                <w:lang w:val="sl-SI" w:eastAsia="sl-SI"/>
              </w:rPr>
            </w:pPr>
            <w:r w:rsidRPr="00972554">
              <w:rPr>
                <w:rFonts w:ascii="Calibri" w:hAnsi="Calibri"/>
                <w:sz w:val="18"/>
                <w:szCs w:val="18"/>
              </w:rPr>
              <w:t>43,50</w:t>
            </w:r>
          </w:p>
        </w:tc>
      </w:tr>
      <w:tr w:rsidR="00CD5081" w:rsidRPr="007C4768" w:rsidTr="00972554">
        <w:trPr>
          <w:trHeight w:val="300"/>
        </w:trPr>
        <w:tc>
          <w:tcPr>
            <w:tcW w:w="6394" w:type="dxa"/>
            <w:shd w:val="clear" w:color="auto" w:fill="auto"/>
            <w:noWrap/>
            <w:hideMark/>
          </w:tcPr>
          <w:p w:rsidR="00CD5081" w:rsidRPr="002C026D" w:rsidRDefault="00CD5081" w:rsidP="006377A8">
            <w:pPr>
              <w:jc w:val="left"/>
              <w:rPr>
                <w:rFonts w:ascii="Calibri" w:hAnsi="Calibri"/>
                <w:b/>
                <w:sz w:val="18"/>
                <w:szCs w:val="18"/>
              </w:rPr>
            </w:pPr>
            <w:r w:rsidRPr="000F6B5B">
              <w:rPr>
                <w:rFonts w:ascii="Calibri" w:hAnsi="Calibri" w:cs="Calibri"/>
                <w:b/>
                <w:bCs/>
                <w:sz w:val="18"/>
                <w:szCs w:val="18"/>
                <w:lang w:val="sl-SI" w:eastAsia="sl-SI"/>
              </w:rPr>
              <w:lastRenderedPageBreak/>
              <w:t>722-Dolgoročno prejeta posojila</w:t>
            </w:r>
          </w:p>
        </w:tc>
        <w:tc>
          <w:tcPr>
            <w:tcW w:w="1418" w:type="dxa"/>
            <w:shd w:val="clear" w:color="auto" w:fill="auto"/>
            <w:noWrap/>
            <w:vAlign w:val="bottom"/>
            <w:hideMark/>
          </w:tcPr>
          <w:p w:rsidR="00CD5081" w:rsidRPr="00972554" w:rsidRDefault="00CD5081" w:rsidP="00F83FBB">
            <w:pPr>
              <w:jc w:val="right"/>
              <w:rPr>
                <w:rFonts w:ascii="Calibri" w:hAnsi="Calibri"/>
                <w:b/>
                <w:sz w:val="18"/>
                <w:szCs w:val="18"/>
              </w:rPr>
            </w:pPr>
            <w:r w:rsidRPr="00972554">
              <w:rPr>
                <w:rFonts w:ascii="Calibri" w:hAnsi="Calibri"/>
                <w:b/>
                <w:sz w:val="18"/>
                <w:szCs w:val="18"/>
              </w:rPr>
              <w:t xml:space="preserve">28.888.957.679 </w:t>
            </w:r>
          </w:p>
        </w:tc>
        <w:tc>
          <w:tcPr>
            <w:tcW w:w="708" w:type="dxa"/>
            <w:vAlign w:val="bottom"/>
          </w:tcPr>
          <w:p w:rsidR="00CD5081" w:rsidRPr="00382B0F" w:rsidRDefault="00CD5081" w:rsidP="00382B0F">
            <w:pPr>
              <w:autoSpaceDE w:val="0"/>
              <w:autoSpaceDN w:val="0"/>
              <w:adjustRightInd w:val="0"/>
              <w:spacing w:line="240" w:lineRule="auto"/>
              <w:jc w:val="right"/>
              <w:rPr>
                <w:rFonts w:ascii="Calibri" w:hAnsi="Calibri" w:cs="Calibri"/>
                <w:b/>
                <w:bCs/>
                <w:sz w:val="18"/>
                <w:szCs w:val="18"/>
                <w:lang w:val="sl-SI" w:eastAsia="sl-SI"/>
              </w:rPr>
            </w:pPr>
          </w:p>
        </w:tc>
      </w:tr>
      <w:tr w:rsidR="00CD5081" w:rsidRPr="007C4768" w:rsidTr="00972554">
        <w:trPr>
          <w:trHeight w:val="300"/>
        </w:trPr>
        <w:tc>
          <w:tcPr>
            <w:tcW w:w="6394" w:type="dxa"/>
            <w:shd w:val="clear" w:color="auto" w:fill="auto"/>
            <w:noWrap/>
            <w:hideMark/>
          </w:tcPr>
          <w:p w:rsidR="00CD5081" w:rsidRPr="002C026D" w:rsidRDefault="00CD5081" w:rsidP="006377A8">
            <w:pPr>
              <w:jc w:val="left"/>
              <w:rPr>
                <w:rFonts w:ascii="Calibri" w:hAnsi="Calibri"/>
                <w:sz w:val="18"/>
                <w:szCs w:val="18"/>
              </w:rPr>
            </w:pPr>
            <w:r w:rsidRPr="00E6614F">
              <w:rPr>
                <w:rFonts w:ascii="Calibri" w:hAnsi="Calibri" w:cs="Calibri"/>
                <w:sz w:val="18"/>
                <w:szCs w:val="18"/>
                <w:lang w:val="sl-SI" w:eastAsia="sl-SI"/>
              </w:rPr>
              <w:t>NPU</w:t>
            </w:r>
          </w:p>
        </w:tc>
        <w:tc>
          <w:tcPr>
            <w:tcW w:w="1418" w:type="dxa"/>
            <w:shd w:val="clear" w:color="auto" w:fill="auto"/>
            <w:noWrap/>
            <w:vAlign w:val="bottom"/>
            <w:hideMark/>
          </w:tcPr>
          <w:p w:rsidR="00CD5081" w:rsidRPr="00412299" w:rsidRDefault="00CD5081" w:rsidP="00F83FBB">
            <w:pPr>
              <w:jc w:val="right"/>
              <w:rPr>
                <w:rFonts w:ascii="Calibri" w:hAnsi="Calibri"/>
                <w:sz w:val="18"/>
                <w:szCs w:val="18"/>
              </w:rPr>
            </w:pPr>
            <w:r w:rsidRPr="00972554">
              <w:rPr>
                <w:rFonts w:ascii="Calibri" w:hAnsi="Calibri"/>
                <w:sz w:val="18"/>
                <w:szCs w:val="18"/>
              </w:rPr>
              <w:t xml:space="preserve">28.784.094.446 </w:t>
            </w:r>
          </w:p>
        </w:tc>
        <w:tc>
          <w:tcPr>
            <w:tcW w:w="708" w:type="dxa"/>
            <w:vAlign w:val="bottom"/>
          </w:tcPr>
          <w:p w:rsidR="00CD5081" w:rsidRPr="00412299" w:rsidRDefault="00CD5081" w:rsidP="00382B0F">
            <w:pPr>
              <w:autoSpaceDE w:val="0"/>
              <w:autoSpaceDN w:val="0"/>
              <w:adjustRightInd w:val="0"/>
              <w:spacing w:line="240" w:lineRule="auto"/>
              <w:jc w:val="right"/>
              <w:rPr>
                <w:rFonts w:ascii="Calibri" w:hAnsi="Calibri" w:cs="Calibri"/>
                <w:sz w:val="18"/>
                <w:szCs w:val="18"/>
                <w:lang w:val="sl-SI" w:eastAsia="sl-SI"/>
              </w:rPr>
            </w:pPr>
            <w:r w:rsidRPr="00972554">
              <w:rPr>
                <w:rFonts w:ascii="Calibri" w:hAnsi="Calibri"/>
                <w:sz w:val="18"/>
                <w:szCs w:val="18"/>
              </w:rPr>
              <w:t>99,64</w:t>
            </w:r>
          </w:p>
        </w:tc>
      </w:tr>
      <w:tr w:rsidR="00CD5081" w:rsidRPr="007C4768" w:rsidTr="00972554">
        <w:trPr>
          <w:trHeight w:val="300"/>
        </w:trPr>
        <w:tc>
          <w:tcPr>
            <w:tcW w:w="6394" w:type="dxa"/>
            <w:shd w:val="clear" w:color="auto" w:fill="auto"/>
            <w:noWrap/>
            <w:hideMark/>
          </w:tcPr>
          <w:p w:rsidR="00CD5081" w:rsidRPr="002C026D" w:rsidRDefault="00CD5081" w:rsidP="006377A8">
            <w:pPr>
              <w:jc w:val="left"/>
              <w:rPr>
                <w:rFonts w:ascii="Calibri" w:hAnsi="Calibri"/>
                <w:sz w:val="18"/>
                <w:szCs w:val="18"/>
              </w:rPr>
            </w:pPr>
            <w:r w:rsidRPr="00E6614F">
              <w:rPr>
                <w:rFonts w:ascii="Calibri" w:hAnsi="Calibri" w:cs="Calibri"/>
                <w:sz w:val="18"/>
                <w:szCs w:val="18"/>
                <w:lang w:val="sl-SI" w:eastAsia="sl-SI"/>
              </w:rPr>
              <w:t>PPU</w:t>
            </w:r>
          </w:p>
        </w:tc>
        <w:tc>
          <w:tcPr>
            <w:tcW w:w="1418" w:type="dxa"/>
            <w:shd w:val="clear" w:color="auto" w:fill="auto"/>
            <w:noWrap/>
            <w:vAlign w:val="bottom"/>
            <w:hideMark/>
          </w:tcPr>
          <w:p w:rsidR="00CD5081" w:rsidRPr="00412299" w:rsidRDefault="00CD5081" w:rsidP="00F83FBB">
            <w:pPr>
              <w:jc w:val="right"/>
              <w:rPr>
                <w:rFonts w:ascii="Calibri" w:hAnsi="Calibri"/>
                <w:sz w:val="18"/>
                <w:szCs w:val="18"/>
              </w:rPr>
            </w:pPr>
            <w:r w:rsidRPr="00972554">
              <w:rPr>
                <w:rFonts w:ascii="Calibri" w:hAnsi="Calibri"/>
                <w:sz w:val="18"/>
                <w:szCs w:val="18"/>
              </w:rPr>
              <w:t xml:space="preserve">104.863.233 </w:t>
            </w:r>
          </w:p>
        </w:tc>
        <w:tc>
          <w:tcPr>
            <w:tcW w:w="708" w:type="dxa"/>
            <w:vAlign w:val="bottom"/>
          </w:tcPr>
          <w:p w:rsidR="00CD5081" w:rsidRPr="00412299" w:rsidRDefault="00CD5081" w:rsidP="00382B0F">
            <w:pPr>
              <w:autoSpaceDE w:val="0"/>
              <w:autoSpaceDN w:val="0"/>
              <w:adjustRightInd w:val="0"/>
              <w:spacing w:line="240" w:lineRule="auto"/>
              <w:jc w:val="right"/>
              <w:rPr>
                <w:rFonts w:ascii="Calibri" w:hAnsi="Calibri" w:cs="Calibri"/>
                <w:sz w:val="18"/>
                <w:szCs w:val="18"/>
                <w:lang w:val="sl-SI" w:eastAsia="sl-SI"/>
              </w:rPr>
            </w:pPr>
            <w:r w:rsidRPr="00972554">
              <w:rPr>
                <w:rFonts w:ascii="Calibri" w:hAnsi="Calibri"/>
                <w:sz w:val="18"/>
                <w:szCs w:val="18"/>
              </w:rPr>
              <w:t>0,36</w:t>
            </w:r>
          </w:p>
        </w:tc>
      </w:tr>
      <w:tr w:rsidR="00CD5081" w:rsidRPr="007C4768" w:rsidTr="00972554">
        <w:trPr>
          <w:trHeight w:val="300"/>
        </w:trPr>
        <w:tc>
          <w:tcPr>
            <w:tcW w:w="6394" w:type="dxa"/>
            <w:shd w:val="clear" w:color="auto" w:fill="auto"/>
            <w:noWrap/>
            <w:hideMark/>
          </w:tcPr>
          <w:p w:rsidR="00CD5081" w:rsidRPr="002C026D" w:rsidRDefault="00CD5081" w:rsidP="006377A8">
            <w:pPr>
              <w:jc w:val="left"/>
              <w:rPr>
                <w:rFonts w:ascii="Calibri" w:hAnsi="Calibri"/>
                <w:b/>
                <w:sz w:val="18"/>
                <w:szCs w:val="18"/>
              </w:rPr>
            </w:pPr>
            <w:r w:rsidRPr="000F6B5B">
              <w:rPr>
                <w:rFonts w:ascii="Calibri" w:hAnsi="Calibri" w:cs="Calibri"/>
                <w:b/>
                <w:bCs/>
                <w:sz w:val="18"/>
                <w:szCs w:val="18"/>
                <w:lang w:val="sl-SI" w:eastAsia="sl-SI"/>
              </w:rPr>
              <w:t>723-Dolgoročne obveznosti iz poslovanja</w:t>
            </w:r>
          </w:p>
        </w:tc>
        <w:tc>
          <w:tcPr>
            <w:tcW w:w="1418" w:type="dxa"/>
            <w:shd w:val="clear" w:color="auto" w:fill="auto"/>
            <w:noWrap/>
            <w:vAlign w:val="bottom"/>
            <w:hideMark/>
          </w:tcPr>
          <w:p w:rsidR="00CD5081" w:rsidRPr="00972554" w:rsidRDefault="00CD5081" w:rsidP="00F83FBB">
            <w:pPr>
              <w:jc w:val="right"/>
              <w:rPr>
                <w:rFonts w:ascii="Calibri" w:hAnsi="Calibri"/>
                <w:b/>
                <w:sz w:val="18"/>
                <w:szCs w:val="18"/>
              </w:rPr>
            </w:pPr>
            <w:r w:rsidRPr="00972554">
              <w:rPr>
                <w:rFonts w:ascii="Calibri" w:hAnsi="Calibri"/>
                <w:b/>
                <w:sz w:val="18"/>
                <w:szCs w:val="18"/>
              </w:rPr>
              <w:t xml:space="preserve">227.004.141 </w:t>
            </w:r>
          </w:p>
        </w:tc>
        <w:tc>
          <w:tcPr>
            <w:tcW w:w="708" w:type="dxa"/>
            <w:vAlign w:val="bottom"/>
          </w:tcPr>
          <w:p w:rsidR="00CD5081" w:rsidRPr="00382B0F" w:rsidRDefault="00CD5081" w:rsidP="00382B0F">
            <w:pPr>
              <w:autoSpaceDE w:val="0"/>
              <w:autoSpaceDN w:val="0"/>
              <w:adjustRightInd w:val="0"/>
              <w:spacing w:line="240" w:lineRule="auto"/>
              <w:jc w:val="right"/>
              <w:rPr>
                <w:rFonts w:ascii="Calibri" w:hAnsi="Calibri" w:cs="Calibri"/>
                <w:b/>
                <w:bCs/>
                <w:sz w:val="18"/>
                <w:szCs w:val="18"/>
                <w:lang w:val="sl-SI" w:eastAsia="sl-SI"/>
              </w:rPr>
            </w:pPr>
          </w:p>
        </w:tc>
      </w:tr>
      <w:tr w:rsidR="00CD5081" w:rsidRPr="007C4768" w:rsidTr="00972554">
        <w:trPr>
          <w:trHeight w:val="300"/>
        </w:trPr>
        <w:tc>
          <w:tcPr>
            <w:tcW w:w="6394" w:type="dxa"/>
            <w:shd w:val="clear" w:color="auto" w:fill="auto"/>
            <w:noWrap/>
            <w:hideMark/>
          </w:tcPr>
          <w:p w:rsidR="00CD5081" w:rsidRPr="002C026D" w:rsidRDefault="00CD5081" w:rsidP="006377A8">
            <w:pPr>
              <w:jc w:val="left"/>
              <w:rPr>
                <w:rFonts w:ascii="Calibri" w:hAnsi="Calibri"/>
                <w:sz w:val="18"/>
                <w:szCs w:val="18"/>
              </w:rPr>
            </w:pPr>
            <w:r w:rsidRPr="00E6614F">
              <w:rPr>
                <w:rFonts w:ascii="Calibri" w:hAnsi="Calibri" w:cs="Calibri"/>
                <w:sz w:val="18"/>
                <w:szCs w:val="18"/>
                <w:lang w:val="sl-SI" w:eastAsia="sl-SI"/>
              </w:rPr>
              <w:t>NPU</w:t>
            </w:r>
          </w:p>
        </w:tc>
        <w:tc>
          <w:tcPr>
            <w:tcW w:w="1418" w:type="dxa"/>
            <w:shd w:val="clear" w:color="auto" w:fill="auto"/>
            <w:noWrap/>
            <w:vAlign w:val="bottom"/>
            <w:hideMark/>
          </w:tcPr>
          <w:p w:rsidR="00CD5081" w:rsidRPr="00116FC1" w:rsidRDefault="00CD5081" w:rsidP="00F83FBB">
            <w:pPr>
              <w:jc w:val="right"/>
              <w:rPr>
                <w:rFonts w:ascii="Calibri" w:hAnsi="Calibri"/>
                <w:sz w:val="18"/>
                <w:szCs w:val="18"/>
              </w:rPr>
            </w:pPr>
            <w:r w:rsidRPr="00972554">
              <w:rPr>
                <w:rFonts w:ascii="Calibri" w:hAnsi="Calibri"/>
                <w:sz w:val="18"/>
                <w:szCs w:val="18"/>
              </w:rPr>
              <w:t xml:space="preserve">213.680.944 </w:t>
            </w:r>
          </w:p>
        </w:tc>
        <w:tc>
          <w:tcPr>
            <w:tcW w:w="708" w:type="dxa"/>
            <w:vAlign w:val="bottom"/>
          </w:tcPr>
          <w:p w:rsidR="00CD5081" w:rsidRPr="00412299" w:rsidRDefault="00CD5081" w:rsidP="00382B0F">
            <w:pPr>
              <w:autoSpaceDE w:val="0"/>
              <w:autoSpaceDN w:val="0"/>
              <w:adjustRightInd w:val="0"/>
              <w:spacing w:line="240" w:lineRule="auto"/>
              <w:jc w:val="right"/>
              <w:rPr>
                <w:rFonts w:ascii="Calibri" w:hAnsi="Calibri" w:cs="Calibri"/>
                <w:sz w:val="18"/>
                <w:szCs w:val="18"/>
                <w:lang w:val="sl-SI" w:eastAsia="sl-SI"/>
              </w:rPr>
            </w:pPr>
            <w:r w:rsidRPr="00972554">
              <w:rPr>
                <w:rFonts w:ascii="Calibri" w:hAnsi="Calibri"/>
                <w:sz w:val="18"/>
                <w:szCs w:val="18"/>
              </w:rPr>
              <w:t>94,13</w:t>
            </w:r>
          </w:p>
        </w:tc>
      </w:tr>
      <w:tr w:rsidR="00CD5081" w:rsidRPr="007C4768" w:rsidTr="00972554">
        <w:trPr>
          <w:trHeight w:val="300"/>
        </w:trPr>
        <w:tc>
          <w:tcPr>
            <w:tcW w:w="6394" w:type="dxa"/>
            <w:shd w:val="clear" w:color="auto" w:fill="auto"/>
            <w:noWrap/>
            <w:hideMark/>
          </w:tcPr>
          <w:p w:rsidR="00CD5081" w:rsidRPr="002C026D" w:rsidRDefault="00CD5081" w:rsidP="006377A8">
            <w:pPr>
              <w:jc w:val="left"/>
              <w:rPr>
                <w:rFonts w:ascii="Calibri" w:hAnsi="Calibri"/>
                <w:sz w:val="18"/>
                <w:szCs w:val="18"/>
              </w:rPr>
            </w:pPr>
            <w:r w:rsidRPr="00E6614F">
              <w:rPr>
                <w:rFonts w:ascii="Calibri" w:hAnsi="Calibri" w:cs="Calibri"/>
                <w:sz w:val="18"/>
                <w:szCs w:val="18"/>
                <w:lang w:val="sl-SI" w:eastAsia="sl-SI"/>
              </w:rPr>
              <w:t>PPU</w:t>
            </w:r>
          </w:p>
        </w:tc>
        <w:tc>
          <w:tcPr>
            <w:tcW w:w="1418" w:type="dxa"/>
            <w:shd w:val="clear" w:color="auto" w:fill="auto"/>
            <w:noWrap/>
            <w:vAlign w:val="bottom"/>
            <w:hideMark/>
          </w:tcPr>
          <w:p w:rsidR="00CD5081" w:rsidRPr="00412299" w:rsidRDefault="00CD5081" w:rsidP="00F83FBB">
            <w:pPr>
              <w:jc w:val="right"/>
              <w:rPr>
                <w:rFonts w:ascii="Calibri" w:hAnsi="Calibri"/>
                <w:sz w:val="18"/>
                <w:szCs w:val="18"/>
              </w:rPr>
            </w:pPr>
            <w:r w:rsidRPr="00972554">
              <w:rPr>
                <w:rFonts w:ascii="Calibri" w:hAnsi="Calibri"/>
                <w:sz w:val="18"/>
                <w:szCs w:val="18"/>
              </w:rPr>
              <w:t xml:space="preserve">13.323.197 </w:t>
            </w:r>
          </w:p>
        </w:tc>
        <w:tc>
          <w:tcPr>
            <w:tcW w:w="708" w:type="dxa"/>
            <w:vAlign w:val="bottom"/>
          </w:tcPr>
          <w:p w:rsidR="00CD5081" w:rsidRPr="00412299" w:rsidRDefault="00CD5081" w:rsidP="00382B0F">
            <w:pPr>
              <w:autoSpaceDE w:val="0"/>
              <w:autoSpaceDN w:val="0"/>
              <w:adjustRightInd w:val="0"/>
              <w:spacing w:line="240" w:lineRule="auto"/>
              <w:jc w:val="right"/>
              <w:rPr>
                <w:rFonts w:ascii="Calibri" w:hAnsi="Calibri" w:cs="Calibri"/>
                <w:sz w:val="18"/>
                <w:szCs w:val="18"/>
                <w:lang w:val="sl-SI" w:eastAsia="sl-SI"/>
              </w:rPr>
            </w:pPr>
            <w:r w:rsidRPr="00972554">
              <w:rPr>
                <w:rFonts w:ascii="Calibri" w:hAnsi="Calibri"/>
                <w:sz w:val="18"/>
                <w:szCs w:val="18"/>
              </w:rPr>
              <w:t>5,87</w:t>
            </w:r>
          </w:p>
        </w:tc>
      </w:tr>
      <w:tr w:rsidR="00CD5081" w:rsidRPr="007C4768" w:rsidTr="00972554">
        <w:trPr>
          <w:trHeight w:val="300"/>
        </w:trPr>
        <w:tc>
          <w:tcPr>
            <w:tcW w:w="6394" w:type="dxa"/>
            <w:shd w:val="clear" w:color="auto" w:fill="auto"/>
            <w:noWrap/>
            <w:hideMark/>
          </w:tcPr>
          <w:p w:rsidR="00CD5081" w:rsidRPr="002C026D" w:rsidRDefault="00CD5081" w:rsidP="006377A8">
            <w:pPr>
              <w:jc w:val="left"/>
              <w:rPr>
                <w:rFonts w:ascii="Calibri" w:hAnsi="Calibri"/>
                <w:b/>
                <w:sz w:val="18"/>
                <w:szCs w:val="18"/>
              </w:rPr>
            </w:pPr>
            <w:r w:rsidRPr="000F6B5B">
              <w:rPr>
                <w:rFonts w:ascii="Calibri" w:hAnsi="Calibri" w:cs="Calibri"/>
                <w:b/>
                <w:bCs/>
                <w:sz w:val="18"/>
                <w:szCs w:val="18"/>
                <w:lang w:val="sl-SI" w:eastAsia="sl-SI"/>
              </w:rPr>
              <w:t>724-Kratkoročne obveznosti</w:t>
            </w:r>
          </w:p>
        </w:tc>
        <w:tc>
          <w:tcPr>
            <w:tcW w:w="1418" w:type="dxa"/>
            <w:shd w:val="clear" w:color="auto" w:fill="auto"/>
            <w:noWrap/>
            <w:vAlign w:val="bottom"/>
            <w:hideMark/>
          </w:tcPr>
          <w:p w:rsidR="00CD5081" w:rsidRPr="00972554" w:rsidRDefault="00CD5081" w:rsidP="00F83FBB">
            <w:pPr>
              <w:jc w:val="right"/>
              <w:rPr>
                <w:rFonts w:ascii="Calibri" w:hAnsi="Calibri"/>
                <w:b/>
                <w:sz w:val="18"/>
                <w:szCs w:val="18"/>
              </w:rPr>
            </w:pPr>
            <w:r w:rsidRPr="00972554">
              <w:rPr>
                <w:rFonts w:ascii="Calibri" w:hAnsi="Calibri"/>
                <w:b/>
                <w:sz w:val="18"/>
                <w:szCs w:val="18"/>
              </w:rPr>
              <w:t xml:space="preserve">2.623.624.250 </w:t>
            </w:r>
          </w:p>
        </w:tc>
        <w:tc>
          <w:tcPr>
            <w:tcW w:w="708" w:type="dxa"/>
            <w:vAlign w:val="bottom"/>
          </w:tcPr>
          <w:p w:rsidR="00CD5081" w:rsidRPr="00382B0F" w:rsidRDefault="00CD5081" w:rsidP="00382B0F">
            <w:pPr>
              <w:autoSpaceDE w:val="0"/>
              <w:autoSpaceDN w:val="0"/>
              <w:adjustRightInd w:val="0"/>
              <w:spacing w:line="240" w:lineRule="auto"/>
              <w:jc w:val="right"/>
              <w:rPr>
                <w:rFonts w:ascii="Calibri" w:hAnsi="Calibri" w:cs="Calibri"/>
                <w:b/>
                <w:bCs/>
                <w:sz w:val="18"/>
                <w:szCs w:val="18"/>
                <w:lang w:val="sl-SI" w:eastAsia="sl-SI"/>
              </w:rPr>
            </w:pPr>
          </w:p>
        </w:tc>
      </w:tr>
      <w:tr w:rsidR="00CD5081" w:rsidRPr="007C4768" w:rsidTr="00972554">
        <w:trPr>
          <w:trHeight w:val="300"/>
        </w:trPr>
        <w:tc>
          <w:tcPr>
            <w:tcW w:w="6394" w:type="dxa"/>
            <w:shd w:val="clear" w:color="auto" w:fill="auto"/>
            <w:noWrap/>
            <w:hideMark/>
          </w:tcPr>
          <w:p w:rsidR="00CD5081" w:rsidRPr="002C026D" w:rsidRDefault="00CD5081" w:rsidP="006377A8">
            <w:pPr>
              <w:jc w:val="left"/>
              <w:rPr>
                <w:rFonts w:ascii="Calibri" w:hAnsi="Calibri"/>
                <w:sz w:val="18"/>
                <w:szCs w:val="18"/>
              </w:rPr>
            </w:pPr>
            <w:r w:rsidRPr="00E6614F">
              <w:rPr>
                <w:rFonts w:ascii="Calibri" w:hAnsi="Calibri" w:cs="Calibri"/>
                <w:sz w:val="18"/>
                <w:szCs w:val="18"/>
                <w:lang w:val="sl-SI" w:eastAsia="sl-SI"/>
              </w:rPr>
              <w:t>NPU</w:t>
            </w:r>
          </w:p>
        </w:tc>
        <w:tc>
          <w:tcPr>
            <w:tcW w:w="1418" w:type="dxa"/>
            <w:shd w:val="clear" w:color="auto" w:fill="auto"/>
            <w:noWrap/>
            <w:vAlign w:val="bottom"/>
            <w:hideMark/>
          </w:tcPr>
          <w:p w:rsidR="00CD5081" w:rsidRPr="00412299" w:rsidRDefault="00CD5081" w:rsidP="00F83FBB">
            <w:pPr>
              <w:jc w:val="right"/>
              <w:rPr>
                <w:rFonts w:ascii="Calibri" w:hAnsi="Calibri"/>
                <w:sz w:val="18"/>
                <w:szCs w:val="18"/>
              </w:rPr>
            </w:pPr>
            <w:r w:rsidRPr="00972554">
              <w:rPr>
                <w:rFonts w:ascii="Calibri" w:hAnsi="Calibri"/>
                <w:sz w:val="18"/>
                <w:szCs w:val="18"/>
              </w:rPr>
              <w:t xml:space="preserve">2.113.539.149 </w:t>
            </w:r>
          </w:p>
        </w:tc>
        <w:tc>
          <w:tcPr>
            <w:tcW w:w="708" w:type="dxa"/>
            <w:vAlign w:val="bottom"/>
          </w:tcPr>
          <w:p w:rsidR="00CD5081" w:rsidRPr="00412299" w:rsidRDefault="00CD5081" w:rsidP="00382B0F">
            <w:pPr>
              <w:autoSpaceDE w:val="0"/>
              <w:autoSpaceDN w:val="0"/>
              <w:adjustRightInd w:val="0"/>
              <w:spacing w:line="240" w:lineRule="auto"/>
              <w:jc w:val="right"/>
              <w:rPr>
                <w:rFonts w:ascii="Calibri" w:hAnsi="Calibri" w:cs="Calibri"/>
                <w:sz w:val="18"/>
                <w:szCs w:val="18"/>
                <w:lang w:val="sl-SI" w:eastAsia="sl-SI"/>
              </w:rPr>
            </w:pPr>
            <w:r w:rsidRPr="00972554">
              <w:rPr>
                <w:rFonts w:ascii="Calibri" w:hAnsi="Calibri"/>
                <w:sz w:val="18"/>
                <w:szCs w:val="18"/>
              </w:rPr>
              <w:t>80,56</w:t>
            </w:r>
          </w:p>
        </w:tc>
      </w:tr>
      <w:tr w:rsidR="00CD5081" w:rsidRPr="007C4768" w:rsidTr="00972554">
        <w:trPr>
          <w:trHeight w:val="300"/>
        </w:trPr>
        <w:tc>
          <w:tcPr>
            <w:tcW w:w="6394" w:type="dxa"/>
            <w:shd w:val="clear" w:color="auto" w:fill="auto"/>
            <w:noWrap/>
            <w:hideMark/>
          </w:tcPr>
          <w:p w:rsidR="00CD5081" w:rsidRPr="002C026D" w:rsidRDefault="00CD5081" w:rsidP="006377A8">
            <w:pPr>
              <w:jc w:val="left"/>
              <w:rPr>
                <w:rFonts w:ascii="Calibri" w:hAnsi="Calibri"/>
                <w:sz w:val="18"/>
                <w:szCs w:val="18"/>
              </w:rPr>
            </w:pPr>
            <w:r w:rsidRPr="00E6614F">
              <w:rPr>
                <w:rFonts w:ascii="Calibri" w:hAnsi="Calibri" w:cs="Calibri"/>
                <w:sz w:val="18"/>
                <w:szCs w:val="18"/>
                <w:lang w:val="sl-SI" w:eastAsia="sl-SI"/>
              </w:rPr>
              <w:t>PPU</w:t>
            </w:r>
          </w:p>
        </w:tc>
        <w:tc>
          <w:tcPr>
            <w:tcW w:w="1418" w:type="dxa"/>
            <w:shd w:val="clear" w:color="auto" w:fill="auto"/>
            <w:noWrap/>
            <w:vAlign w:val="bottom"/>
            <w:hideMark/>
          </w:tcPr>
          <w:p w:rsidR="00CD5081" w:rsidRPr="00412299" w:rsidRDefault="00CD5081" w:rsidP="00F83FBB">
            <w:pPr>
              <w:jc w:val="right"/>
              <w:rPr>
                <w:rFonts w:ascii="Calibri" w:hAnsi="Calibri"/>
                <w:sz w:val="18"/>
                <w:szCs w:val="18"/>
              </w:rPr>
            </w:pPr>
            <w:r w:rsidRPr="00972554">
              <w:rPr>
                <w:rFonts w:ascii="Calibri" w:hAnsi="Calibri"/>
                <w:sz w:val="18"/>
                <w:szCs w:val="18"/>
              </w:rPr>
              <w:t xml:space="preserve">510.085.101 </w:t>
            </w:r>
          </w:p>
        </w:tc>
        <w:tc>
          <w:tcPr>
            <w:tcW w:w="708" w:type="dxa"/>
            <w:vAlign w:val="bottom"/>
          </w:tcPr>
          <w:p w:rsidR="00CD5081" w:rsidRPr="00412299" w:rsidRDefault="00CD5081" w:rsidP="00382B0F">
            <w:pPr>
              <w:autoSpaceDE w:val="0"/>
              <w:autoSpaceDN w:val="0"/>
              <w:adjustRightInd w:val="0"/>
              <w:spacing w:line="240" w:lineRule="auto"/>
              <w:jc w:val="right"/>
              <w:rPr>
                <w:rFonts w:ascii="Calibri" w:hAnsi="Calibri" w:cs="Calibri"/>
                <w:sz w:val="18"/>
                <w:szCs w:val="18"/>
                <w:lang w:val="sl-SI" w:eastAsia="sl-SI"/>
              </w:rPr>
            </w:pPr>
            <w:r w:rsidRPr="00972554">
              <w:rPr>
                <w:rFonts w:ascii="Calibri" w:hAnsi="Calibri"/>
                <w:sz w:val="18"/>
                <w:szCs w:val="18"/>
              </w:rPr>
              <w:t>19,44</w:t>
            </w:r>
          </w:p>
        </w:tc>
      </w:tr>
      <w:tr w:rsidR="00CD5081" w:rsidRPr="007C4768" w:rsidTr="00972554">
        <w:trPr>
          <w:trHeight w:val="300"/>
        </w:trPr>
        <w:tc>
          <w:tcPr>
            <w:tcW w:w="6394" w:type="dxa"/>
            <w:shd w:val="clear" w:color="auto" w:fill="auto"/>
            <w:noWrap/>
            <w:hideMark/>
          </w:tcPr>
          <w:p w:rsidR="00CD5081" w:rsidRPr="002C026D" w:rsidRDefault="00CD5081" w:rsidP="006377A8">
            <w:pPr>
              <w:jc w:val="left"/>
              <w:rPr>
                <w:rFonts w:ascii="Calibri" w:hAnsi="Calibri"/>
                <w:b/>
                <w:sz w:val="18"/>
                <w:szCs w:val="18"/>
              </w:rPr>
            </w:pPr>
            <w:r w:rsidRPr="000F6B5B">
              <w:rPr>
                <w:rFonts w:ascii="Calibri" w:hAnsi="Calibri" w:cs="Calibri"/>
                <w:b/>
                <w:bCs/>
                <w:sz w:val="18"/>
                <w:szCs w:val="18"/>
                <w:lang w:val="sl-SI" w:eastAsia="sl-SI"/>
              </w:rPr>
              <w:t>725-Druge obveznosti</w:t>
            </w:r>
          </w:p>
        </w:tc>
        <w:tc>
          <w:tcPr>
            <w:tcW w:w="1418" w:type="dxa"/>
            <w:shd w:val="clear" w:color="auto" w:fill="auto"/>
            <w:noWrap/>
            <w:vAlign w:val="bottom"/>
            <w:hideMark/>
          </w:tcPr>
          <w:p w:rsidR="00CD5081" w:rsidRPr="00972554" w:rsidRDefault="00CD5081" w:rsidP="00F83FBB">
            <w:pPr>
              <w:jc w:val="right"/>
              <w:rPr>
                <w:rFonts w:ascii="Calibri" w:hAnsi="Calibri"/>
                <w:b/>
                <w:sz w:val="18"/>
                <w:szCs w:val="18"/>
              </w:rPr>
            </w:pPr>
            <w:r w:rsidRPr="00972554">
              <w:rPr>
                <w:rFonts w:ascii="Calibri" w:hAnsi="Calibri"/>
                <w:b/>
                <w:sz w:val="18"/>
                <w:szCs w:val="18"/>
              </w:rPr>
              <w:t xml:space="preserve">163.759.122 </w:t>
            </w:r>
          </w:p>
        </w:tc>
        <w:tc>
          <w:tcPr>
            <w:tcW w:w="708" w:type="dxa"/>
            <w:vAlign w:val="bottom"/>
          </w:tcPr>
          <w:p w:rsidR="00CD5081" w:rsidRPr="00382B0F" w:rsidRDefault="00CD5081" w:rsidP="00382B0F">
            <w:pPr>
              <w:autoSpaceDE w:val="0"/>
              <w:autoSpaceDN w:val="0"/>
              <w:adjustRightInd w:val="0"/>
              <w:spacing w:line="240" w:lineRule="auto"/>
              <w:jc w:val="right"/>
              <w:rPr>
                <w:rFonts w:ascii="Calibri" w:hAnsi="Calibri" w:cs="Calibri"/>
                <w:b/>
                <w:bCs/>
                <w:sz w:val="18"/>
                <w:szCs w:val="18"/>
                <w:lang w:val="sl-SI" w:eastAsia="sl-SI"/>
              </w:rPr>
            </w:pPr>
          </w:p>
        </w:tc>
      </w:tr>
      <w:tr w:rsidR="00CD5081" w:rsidRPr="007C4768" w:rsidTr="00972554">
        <w:trPr>
          <w:trHeight w:val="300"/>
        </w:trPr>
        <w:tc>
          <w:tcPr>
            <w:tcW w:w="6394" w:type="dxa"/>
            <w:shd w:val="clear" w:color="auto" w:fill="auto"/>
            <w:noWrap/>
            <w:hideMark/>
          </w:tcPr>
          <w:p w:rsidR="00CD5081" w:rsidRPr="002C026D" w:rsidRDefault="00CD5081" w:rsidP="006377A8">
            <w:pPr>
              <w:jc w:val="left"/>
              <w:rPr>
                <w:rFonts w:ascii="Calibri" w:hAnsi="Calibri"/>
                <w:sz w:val="18"/>
                <w:szCs w:val="18"/>
              </w:rPr>
            </w:pPr>
            <w:r w:rsidRPr="00E6614F">
              <w:rPr>
                <w:rFonts w:ascii="Calibri" w:hAnsi="Calibri" w:cs="Calibri"/>
                <w:sz w:val="18"/>
                <w:szCs w:val="18"/>
                <w:lang w:val="sl-SI" w:eastAsia="sl-SI"/>
              </w:rPr>
              <w:t>NPU</w:t>
            </w:r>
          </w:p>
        </w:tc>
        <w:tc>
          <w:tcPr>
            <w:tcW w:w="1418" w:type="dxa"/>
            <w:shd w:val="clear" w:color="auto" w:fill="auto"/>
            <w:noWrap/>
            <w:vAlign w:val="bottom"/>
            <w:hideMark/>
          </w:tcPr>
          <w:p w:rsidR="00CD5081" w:rsidRPr="00412299" w:rsidRDefault="00CD5081" w:rsidP="00F83FBB">
            <w:pPr>
              <w:jc w:val="right"/>
              <w:rPr>
                <w:rFonts w:ascii="Calibri" w:hAnsi="Calibri"/>
                <w:sz w:val="18"/>
                <w:szCs w:val="18"/>
              </w:rPr>
            </w:pPr>
            <w:r w:rsidRPr="00972554">
              <w:rPr>
                <w:rFonts w:ascii="Calibri" w:hAnsi="Calibri"/>
                <w:sz w:val="18"/>
                <w:szCs w:val="18"/>
              </w:rPr>
              <w:t xml:space="preserve">141.126.876 </w:t>
            </w:r>
          </w:p>
        </w:tc>
        <w:tc>
          <w:tcPr>
            <w:tcW w:w="708" w:type="dxa"/>
            <w:vAlign w:val="bottom"/>
          </w:tcPr>
          <w:p w:rsidR="00CD5081" w:rsidRPr="00412299" w:rsidRDefault="00CD5081" w:rsidP="00382B0F">
            <w:pPr>
              <w:autoSpaceDE w:val="0"/>
              <w:autoSpaceDN w:val="0"/>
              <w:adjustRightInd w:val="0"/>
              <w:spacing w:line="240" w:lineRule="auto"/>
              <w:jc w:val="right"/>
              <w:rPr>
                <w:rFonts w:ascii="Calibri" w:hAnsi="Calibri" w:cs="Calibri"/>
                <w:sz w:val="18"/>
                <w:szCs w:val="18"/>
                <w:lang w:val="sl-SI" w:eastAsia="sl-SI"/>
              </w:rPr>
            </w:pPr>
            <w:r w:rsidRPr="00972554">
              <w:rPr>
                <w:rFonts w:ascii="Calibri" w:hAnsi="Calibri"/>
                <w:sz w:val="18"/>
                <w:szCs w:val="18"/>
              </w:rPr>
              <w:t>86,18</w:t>
            </w:r>
          </w:p>
        </w:tc>
      </w:tr>
      <w:tr w:rsidR="00CD5081" w:rsidRPr="007C4768" w:rsidTr="00972554">
        <w:trPr>
          <w:trHeight w:val="300"/>
        </w:trPr>
        <w:tc>
          <w:tcPr>
            <w:tcW w:w="6394" w:type="dxa"/>
            <w:tcBorders>
              <w:bottom w:val="single" w:sz="4" w:space="0" w:color="auto"/>
            </w:tcBorders>
            <w:shd w:val="clear" w:color="auto" w:fill="auto"/>
            <w:noWrap/>
            <w:hideMark/>
          </w:tcPr>
          <w:p w:rsidR="00CD5081" w:rsidRPr="002C026D" w:rsidRDefault="00CD5081" w:rsidP="006377A8">
            <w:pPr>
              <w:jc w:val="left"/>
              <w:rPr>
                <w:rFonts w:ascii="Calibri" w:hAnsi="Calibri"/>
                <w:sz w:val="18"/>
                <w:szCs w:val="18"/>
              </w:rPr>
            </w:pPr>
            <w:r w:rsidRPr="00E6614F">
              <w:rPr>
                <w:rFonts w:ascii="Calibri" w:hAnsi="Calibri" w:cs="Calibri"/>
                <w:sz w:val="18"/>
                <w:szCs w:val="18"/>
                <w:lang w:val="sl-SI" w:eastAsia="sl-SI"/>
              </w:rPr>
              <w:t>PPU</w:t>
            </w:r>
          </w:p>
        </w:tc>
        <w:tc>
          <w:tcPr>
            <w:tcW w:w="1418" w:type="dxa"/>
            <w:tcBorders>
              <w:bottom w:val="single" w:sz="4" w:space="0" w:color="auto"/>
            </w:tcBorders>
            <w:shd w:val="clear" w:color="auto" w:fill="auto"/>
            <w:noWrap/>
            <w:vAlign w:val="bottom"/>
            <w:hideMark/>
          </w:tcPr>
          <w:p w:rsidR="00CD5081" w:rsidRPr="00412299" w:rsidRDefault="00CD5081" w:rsidP="00F83FBB">
            <w:pPr>
              <w:jc w:val="right"/>
              <w:rPr>
                <w:rFonts w:ascii="Calibri" w:hAnsi="Calibri"/>
                <w:sz w:val="18"/>
                <w:szCs w:val="18"/>
              </w:rPr>
            </w:pPr>
            <w:r w:rsidRPr="00972554">
              <w:rPr>
                <w:rFonts w:ascii="Calibri" w:hAnsi="Calibri"/>
                <w:sz w:val="18"/>
                <w:szCs w:val="18"/>
              </w:rPr>
              <w:t xml:space="preserve">22.632.246 </w:t>
            </w:r>
          </w:p>
        </w:tc>
        <w:tc>
          <w:tcPr>
            <w:tcW w:w="708" w:type="dxa"/>
            <w:tcBorders>
              <w:bottom w:val="single" w:sz="4" w:space="0" w:color="auto"/>
            </w:tcBorders>
            <w:vAlign w:val="bottom"/>
          </w:tcPr>
          <w:p w:rsidR="00CD5081" w:rsidRPr="00412299" w:rsidRDefault="00CD5081" w:rsidP="00382B0F">
            <w:pPr>
              <w:autoSpaceDE w:val="0"/>
              <w:autoSpaceDN w:val="0"/>
              <w:adjustRightInd w:val="0"/>
              <w:spacing w:line="240" w:lineRule="auto"/>
              <w:jc w:val="right"/>
              <w:rPr>
                <w:rFonts w:ascii="Calibri" w:hAnsi="Calibri" w:cs="Calibri"/>
                <w:sz w:val="18"/>
                <w:szCs w:val="18"/>
                <w:lang w:val="sl-SI" w:eastAsia="sl-SI"/>
              </w:rPr>
            </w:pPr>
            <w:r w:rsidRPr="00972554">
              <w:rPr>
                <w:rFonts w:ascii="Calibri" w:hAnsi="Calibri"/>
                <w:sz w:val="18"/>
                <w:szCs w:val="18"/>
              </w:rPr>
              <w:t>13,82</w:t>
            </w:r>
          </w:p>
        </w:tc>
      </w:tr>
      <w:tr w:rsidR="00CD5081" w:rsidRPr="007C4768" w:rsidTr="00972554">
        <w:trPr>
          <w:trHeight w:val="300"/>
        </w:trPr>
        <w:tc>
          <w:tcPr>
            <w:tcW w:w="6394" w:type="dxa"/>
            <w:tcBorders>
              <w:bottom w:val="single" w:sz="4" w:space="0" w:color="auto"/>
            </w:tcBorders>
            <w:shd w:val="clear" w:color="auto" w:fill="92D050"/>
            <w:noWrap/>
            <w:hideMark/>
          </w:tcPr>
          <w:p w:rsidR="00CD5081" w:rsidRPr="002C026D" w:rsidRDefault="00CD5081" w:rsidP="006377A8">
            <w:pPr>
              <w:jc w:val="left"/>
              <w:rPr>
                <w:rFonts w:ascii="Calibri" w:hAnsi="Calibri"/>
                <w:b/>
                <w:i/>
                <w:sz w:val="18"/>
                <w:szCs w:val="18"/>
              </w:rPr>
            </w:pPr>
            <w:r w:rsidRPr="000F6B5B">
              <w:rPr>
                <w:rFonts w:ascii="Calibri" w:hAnsi="Calibri" w:cs="Calibri"/>
                <w:b/>
                <w:bCs/>
                <w:sz w:val="18"/>
                <w:szCs w:val="18"/>
                <w:lang w:val="sl-SI" w:eastAsia="sl-SI"/>
              </w:rPr>
              <w:t>726-Skupaj pasiva</w:t>
            </w:r>
          </w:p>
        </w:tc>
        <w:tc>
          <w:tcPr>
            <w:tcW w:w="1418" w:type="dxa"/>
            <w:tcBorders>
              <w:bottom w:val="single" w:sz="4" w:space="0" w:color="auto"/>
            </w:tcBorders>
            <w:shd w:val="clear" w:color="auto" w:fill="92D050"/>
            <w:noWrap/>
            <w:vAlign w:val="bottom"/>
            <w:hideMark/>
          </w:tcPr>
          <w:p w:rsidR="00CD5081" w:rsidRPr="00412299" w:rsidRDefault="00CD5081" w:rsidP="00F83FBB">
            <w:pPr>
              <w:jc w:val="right"/>
              <w:rPr>
                <w:rFonts w:ascii="Calibri" w:hAnsi="Calibri"/>
                <w:b/>
                <w:i/>
                <w:sz w:val="18"/>
                <w:szCs w:val="18"/>
              </w:rPr>
            </w:pPr>
            <w:r w:rsidRPr="00972554">
              <w:rPr>
                <w:rFonts w:ascii="Calibri" w:hAnsi="Calibri"/>
                <w:b/>
                <w:sz w:val="18"/>
                <w:szCs w:val="18"/>
              </w:rPr>
              <w:t xml:space="preserve">33.752.425.178 </w:t>
            </w:r>
          </w:p>
        </w:tc>
        <w:tc>
          <w:tcPr>
            <w:tcW w:w="708" w:type="dxa"/>
            <w:tcBorders>
              <w:bottom w:val="single" w:sz="4" w:space="0" w:color="auto"/>
            </w:tcBorders>
            <w:shd w:val="clear" w:color="auto" w:fill="92D050"/>
            <w:vAlign w:val="bottom"/>
          </w:tcPr>
          <w:p w:rsidR="00CD5081" w:rsidRPr="00116FC1" w:rsidRDefault="00CD5081" w:rsidP="00382B0F">
            <w:pPr>
              <w:autoSpaceDE w:val="0"/>
              <w:autoSpaceDN w:val="0"/>
              <w:adjustRightInd w:val="0"/>
              <w:spacing w:line="240" w:lineRule="auto"/>
              <w:jc w:val="right"/>
              <w:rPr>
                <w:rFonts w:ascii="Calibri" w:hAnsi="Calibri" w:cs="Calibri"/>
                <w:b/>
                <w:bCs/>
                <w:sz w:val="18"/>
                <w:szCs w:val="18"/>
                <w:lang w:val="sl-SI" w:eastAsia="sl-SI"/>
              </w:rPr>
            </w:pPr>
          </w:p>
        </w:tc>
      </w:tr>
      <w:tr w:rsidR="00DC1799" w:rsidRPr="007C4768" w:rsidTr="00972554">
        <w:trPr>
          <w:trHeight w:val="300"/>
        </w:trPr>
        <w:tc>
          <w:tcPr>
            <w:tcW w:w="6394" w:type="dxa"/>
            <w:tcBorders>
              <w:bottom w:val="single" w:sz="4" w:space="0" w:color="auto"/>
            </w:tcBorders>
            <w:shd w:val="pct12" w:color="auto" w:fill="auto"/>
            <w:noWrap/>
            <w:hideMark/>
          </w:tcPr>
          <w:p w:rsidR="00DC1799" w:rsidRPr="002C026D" w:rsidRDefault="00DC1799" w:rsidP="006377A8">
            <w:pPr>
              <w:jc w:val="left"/>
              <w:rPr>
                <w:rFonts w:ascii="Calibri" w:hAnsi="Calibri"/>
                <w:b/>
                <w:sz w:val="18"/>
                <w:szCs w:val="18"/>
              </w:rPr>
            </w:pPr>
            <w:r w:rsidRPr="00E6614F">
              <w:rPr>
                <w:rFonts w:ascii="Calibri" w:hAnsi="Calibri" w:cs="Calibri"/>
                <w:sz w:val="18"/>
                <w:szCs w:val="18"/>
                <w:lang w:val="sl-SI" w:eastAsia="sl-SI"/>
              </w:rPr>
              <w:t>NPU</w:t>
            </w:r>
          </w:p>
        </w:tc>
        <w:tc>
          <w:tcPr>
            <w:tcW w:w="1418" w:type="dxa"/>
            <w:tcBorders>
              <w:bottom w:val="single" w:sz="4" w:space="0" w:color="auto"/>
            </w:tcBorders>
            <w:shd w:val="pct12" w:color="auto" w:fill="auto"/>
            <w:noWrap/>
            <w:vAlign w:val="bottom"/>
            <w:hideMark/>
          </w:tcPr>
          <w:p w:rsidR="00DC1799" w:rsidRPr="00412299" w:rsidRDefault="00DC1799" w:rsidP="00F83FBB">
            <w:pPr>
              <w:jc w:val="right"/>
              <w:rPr>
                <w:rFonts w:ascii="Calibri" w:hAnsi="Calibri"/>
                <w:b/>
                <w:i/>
                <w:sz w:val="18"/>
                <w:szCs w:val="18"/>
              </w:rPr>
            </w:pPr>
            <w:r w:rsidRPr="00382B0F">
              <w:rPr>
                <w:rFonts w:ascii="Calibri" w:hAnsi="Calibri" w:cs="Calibri"/>
                <w:sz w:val="18"/>
                <w:szCs w:val="18"/>
                <w:lang w:val="sl-SI" w:eastAsia="sl-SI"/>
              </w:rPr>
              <w:t xml:space="preserve">28.394.142.992 </w:t>
            </w:r>
          </w:p>
        </w:tc>
        <w:tc>
          <w:tcPr>
            <w:tcW w:w="708" w:type="dxa"/>
            <w:tcBorders>
              <w:bottom w:val="single" w:sz="4" w:space="0" w:color="auto"/>
            </w:tcBorders>
            <w:shd w:val="pct12" w:color="auto" w:fill="auto"/>
            <w:vAlign w:val="bottom"/>
          </w:tcPr>
          <w:p w:rsidR="00DC1799" w:rsidRPr="00972554" w:rsidRDefault="00DC1799" w:rsidP="00382B0F">
            <w:pPr>
              <w:autoSpaceDE w:val="0"/>
              <w:autoSpaceDN w:val="0"/>
              <w:adjustRightInd w:val="0"/>
              <w:spacing w:line="240" w:lineRule="auto"/>
              <w:jc w:val="right"/>
              <w:rPr>
                <w:rFonts w:ascii="Calibri" w:hAnsi="Calibri" w:cs="Calibri"/>
                <w:b/>
                <w:sz w:val="18"/>
                <w:szCs w:val="18"/>
                <w:lang w:val="sl-SI" w:eastAsia="sl-SI"/>
              </w:rPr>
            </w:pPr>
            <w:r w:rsidRPr="00116FC1">
              <w:rPr>
                <w:rFonts w:ascii="Calibri" w:hAnsi="Calibri" w:cs="Calibri"/>
                <w:sz w:val="18"/>
                <w:szCs w:val="18"/>
                <w:lang w:val="sl-SI" w:eastAsia="sl-SI"/>
              </w:rPr>
              <w:t>86,58</w:t>
            </w:r>
          </w:p>
        </w:tc>
      </w:tr>
      <w:tr w:rsidR="00DC1799" w:rsidRPr="007C4768" w:rsidTr="00972554">
        <w:trPr>
          <w:trHeight w:val="300"/>
        </w:trPr>
        <w:tc>
          <w:tcPr>
            <w:tcW w:w="6394" w:type="dxa"/>
            <w:shd w:val="pct37" w:color="auto" w:fill="auto"/>
            <w:noWrap/>
            <w:hideMark/>
          </w:tcPr>
          <w:p w:rsidR="00DC1799" w:rsidRPr="002C026D" w:rsidRDefault="00DC1799" w:rsidP="006377A8">
            <w:pPr>
              <w:jc w:val="left"/>
              <w:rPr>
                <w:rFonts w:ascii="Calibri" w:hAnsi="Calibri"/>
                <w:b/>
                <w:sz w:val="18"/>
                <w:szCs w:val="18"/>
              </w:rPr>
            </w:pPr>
            <w:r w:rsidRPr="00E6614F">
              <w:rPr>
                <w:rFonts w:ascii="Calibri" w:hAnsi="Calibri" w:cs="Calibri"/>
                <w:sz w:val="18"/>
                <w:szCs w:val="18"/>
                <w:lang w:val="sl-SI" w:eastAsia="sl-SI"/>
              </w:rPr>
              <w:t>PPU</w:t>
            </w:r>
          </w:p>
        </w:tc>
        <w:tc>
          <w:tcPr>
            <w:tcW w:w="1418" w:type="dxa"/>
            <w:shd w:val="pct37" w:color="auto" w:fill="auto"/>
            <w:noWrap/>
            <w:vAlign w:val="bottom"/>
            <w:hideMark/>
          </w:tcPr>
          <w:p w:rsidR="00DC1799" w:rsidRPr="00412299" w:rsidRDefault="00DC1799" w:rsidP="00F83FBB">
            <w:pPr>
              <w:jc w:val="right"/>
              <w:rPr>
                <w:rFonts w:ascii="Calibri" w:hAnsi="Calibri"/>
                <w:b/>
                <w:i/>
                <w:sz w:val="18"/>
                <w:szCs w:val="18"/>
              </w:rPr>
            </w:pPr>
            <w:r w:rsidRPr="00382B0F">
              <w:rPr>
                <w:rFonts w:ascii="Calibri" w:hAnsi="Calibri" w:cs="Calibri"/>
                <w:sz w:val="18"/>
                <w:szCs w:val="18"/>
                <w:lang w:val="sl-SI" w:eastAsia="sl-SI"/>
              </w:rPr>
              <w:t xml:space="preserve">4.401.534.110 </w:t>
            </w:r>
          </w:p>
        </w:tc>
        <w:tc>
          <w:tcPr>
            <w:tcW w:w="708" w:type="dxa"/>
            <w:shd w:val="pct37" w:color="auto" w:fill="auto"/>
            <w:vAlign w:val="bottom"/>
          </w:tcPr>
          <w:p w:rsidR="00DC1799" w:rsidRPr="00972554" w:rsidRDefault="00DC1799" w:rsidP="00382B0F">
            <w:pPr>
              <w:autoSpaceDE w:val="0"/>
              <w:autoSpaceDN w:val="0"/>
              <w:adjustRightInd w:val="0"/>
              <w:spacing w:line="240" w:lineRule="auto"/>
              <w:jc w:val="right"/>
              <w:rPr>
                <w:rFonts w:ascii="Calibri" w:hAnsi="Calibri" w:cs="Calibri"/>
                <w:b/>
                <w:sz w:val="18"/>
                <w:szCs w:val="18"/>
                <w:lang w:val="sl-SI" w:eastAsia="sl-SI"/>
              </w:rPr>
            </w:pPr>
            <w:r w:rsidRPr="00116FC1">
              <w:rPr>
                <w:rFonts w:ascii="Calibri" w:hAnsi="Calibri" w:cs="Calibri"/>
                <w:sz w:val="18"/>
                <w:szCs w:val="18"/>
                <w:lang w:val="sl-SI" w:eastAsia="sl-SI"/>
              </w:rPr>
              <w:t>13,42</w:t>
            </w:r>
          </w:p>
        </w:tc>
      </w:tr>
    </w:tbl>
    <w:p w:rsidR="0059603D" w:rsidRDefault="0059603D" w:rsidP="00007D56"/>
    <w:p w:rsidR="00052194" w:rsidRDefault="0006751F" w:rsidP="0006751F">
      <w:pPr>
        <w:pStyle w:val="Heading2"/>
      </w:pPr>
      <w:bookmarkStart w:id="66" w:name="_Toc49771313"/>
      <w:r>
        <w:t>Analiza premoženja NPU državnega proračuna</w:t>
      </w:r>
      <w:bookmarkEnd w:id="66"/>
    </w:p>
    <w:p w:rsidR="00A81C30" w:rsidRPr="00A81C30" w:rsidRDefault="00A81C30" w:rsidP="00A81C30">
      <w:r w:rsidRPr="00A81C30">
        <w:rPr>
          <w:b/>
          <w:bCs/>
        </w:rPr>
        <w:t>Bilančna vsota premoženja NPU državnega proračuna</w:t>
      </w:r>
      <w:r>
        <w:rPr>
          <w:bCs/>
        </w:rPr>
        <w:t xml:space="preserve"> (izračunana kot seštevek premoženjskih bilanc NPU državnega proračuna</w:t>
      </w:r>
      <w:r w:rsidR="00501F85">
        <w:rPr>
          <w:bCs/>
        </w:rPr>
        <w:t xml:space="preserve"> po pobotu na prvi ravni</w:t>
      </w:r>
      <w:r>
        <w:rPr>
          <w:bCs/>
        </w:rPr>
        <w:t>)</w:t>
      </w:r>
      <w:r w:rsidRPr="00D37616">
        <w:rPr>
          <w:bCs/>
        </w:rPr>
        <w:t xml:space="preserve"> </w:t>
      </w:r>
      <w:r w:rsidRPr="00A81C30">
        <w:rPr>
          <w:b/>
          <w:bCs/>
        </w:rPr>
        <w:t>na dan 31.12.201</w:t>
      </w:r>
      <w:r w:rsidR="00775231">
        <w:rPr>
          <w:b/>
          <w:bCs/>
        </w:rPr>
        <w:t>8</w:t>
      </w:r>
      <w:r w:rsidRPr="00A81C30">
        <w:rPr>
          <w:b/>
          <w:bCs/>
        </w:rPr>
        <w:t xml:space="preserve"> znaša </w:t>
      </w:r>
      <w:r w:rsidR="00775231">
        <w:rPr>
          <w:b/>
          <w:bCs/>
        </w:rPr>
        <w:t>33</w:t>
      </w:r>
      <w:proofErr w:type="gramStart"/>
      <w:r w:rsidR="00775231">
        <w:rPr>
          <w:b/>
          <w:bCs/>
        </w:rPr>
        <w:t>,77</w:t>
      </w:r>
      <w:proofErr w:type="gramEnd"/>
      <w:r w:rsidRPr="00A81C30">
        <w:rPr>
          <w:b/>
          <w:bCs/>
        </w:rPr>
        <w:t xml:space="preserve"> mrd.</w:t>
      </w:r>
      <w:r w:rsidR="00FB4D36">
        <w:rPr>
          <w:b/>
          <w:bCs/>
        </w:rPr>
        <w:t xml:space="preserve"> </w:t>
      </w:r>
      <w:r w:rsidR="00CD4BFC">
        <w:rPr>
          <w:b/>
          <w:bCs/>
        </w:rPr>
        <w:t>€</w:t>
      </w:r>
      <w:r w:rsidRPr="00A81C30">
        <w:rPr>
          <w:b/>
          <w:bCs/>
        </w:rPr>
        <w:t xml:space="preserve"> </w:t>
      </w:r>
      <w:r w:rsidRPr="00D37616">
        <w:rPr>
          <w:b/>
          <w:bCs/>
        </w:rPr>
        <w:t xml:space="preserve"> </w:t>
      </w:r>
      <w:r>
        <w:rPr>
          <w:b/>
          <w:bCs/>
        </w:rPr>
        <w:t xml:space="preserve">in se je </w:t>
      </w:r>
      <w:r w:rsidRPr="00D37616">
        <w:rPr>
          <w:b/>
          <w:bCs/>
        </w:rPr>
        <w:t>glede na stanje, izkazano na dan 31.12.201</w:t>
      </w:r>
      <w:r w:rsidR="00775231">
        <w:rPr>
          <w:b/>
          <w:bCs/>
        </w:rPr>
        <w:t>7</w:t>
      </w:r>
      <w:r w:rsidRPr="00D37616">
        <w:rPr>
          <w:b/>
          <w:bCs/>
        </w:rPr>
        <w:t xml:space="preserve">, </w:t>
      </w:r>
      <w:r w:rsidRPr="00A81C30">
        <w:rPr>
          <w:b/>
          <w:bCs/>
        </w:rPr>
        <w:t>v letu 201</w:t>
      </w:r>
      <w:r w:rsidR="00775231">
        <w:rPr>
          <w:b/>
          <w:bCs/>
        </w:rPr>
        <w:t>8</w:t>
      </w:r>
      <w:r w:rsidRPr="00A81C30">
        <w:rPr>
          <w:b/>
          <w:bCs/>
        </w:rPr>
        <w:t xml:space="preserve"> </w:t>
      </w:r>
      <w:r w:rsidR="009F0F5F">
        <w:rPr>
          <w:b/>
          <w:bCs/>
        </w:rPr>
        <w:t>povečala</w:t>
      </w:r>
      <w:r w:rsidR="009F0F5F" w:rsidRPr="00A81C30">
        <w:rPr>
          <w:b/>
          <w:bCs/>
        </w:rPr>
        <w:t xml:space="preserve"> </w:t>
      </w:r>
      <w:r w:rsidRPr="00A81C30">
        <w:rPr>
          <w:b/>
          <w:bCs/>
        </w:rPr>
        <w:t xml:space="preserve">za </w:t>
      </w:r>
      <w:r w:rsidR="00775231">
        <w:rPr>
          <w:b/>
          <w:bCs/>
        </w:rPr>
        <w:t>3,28</w:t>
      </w:r>
      <w:r w:rsidR="002C026D">
        <w:rPr>
          <w:b/>
          <w:bCs/>
        </w:rPr>
        <w:t>%</w:t>
      </w:r>
      <w:r w:rsidRPr="00A81C30">
        <w:rPr>
          <w:b/>
          <w:bCs/>
        </w:rPr>
        <w:t xml:space="preserve">  oziroma </w:t>
      </w:r>
      <w:r w:rsidR="0002077F">
        <w:rPr>
          <w:b/>
          <w:bCs/>
        </w:rPr>
        <w:t>1,07</w:t>
      </w:r>
      <w:r w:rsidR="00C333D5" w:rsidRPr="00A81C30">
        <w:rPr>
          <w:b/>
          <w:bCs/>
        </w:rPr>
        <w:t xml:space="preserve"> </w:t>
      </w:r>
      <w:r w:rsidR="009F0F5F">
        <w:rPr>
          <w:b/>
          <w:bCs/>
        </w:rPr>
        <w:t>m</w:t>
      </w:r>
      <w:r w:rsidR="0002077F">
        <w:rPr>
          <w:b/>
          <w:bCs/>
        </w:rPr>
        <w:t>rd</w:t>
      </w:r>
      <w:r w:rsidRPr="00A81C30">
        <w:rPr>
          <w:b/>
          <w:bCs/>
        </w:rPr>
        <w:t>.</w:t>
      </w:r>
      <w:r w:rsidR="007C5EC8">
        <w:rPr>
          <w:b/>
          <w:bCs/>
        </w:rPr>
        <w:t xml:space="preserve"> </w:t>
      </w:r>
      <w:r w:rsidR="002C026D">
        <w:rPr>
          <w:b/>
          <w:bCs/>
        </w:rPr>
        <w:t>€.</w:t>
      </w:r>
    </w:p>
    <w:p w:rsidR="00A81C30" w:rsidRDefault="00A81C30" w:rsidP="00A81C30"/>
    <w:p w:rsidR="00B8399E" w:rsidRDefault="00B8399E" w:rsidP="00A81C30">
      <w:r>
        <w:t xml:space="preserve">V skupino NPU se vključujejo </w:t>
      </w:r>
      <w:r w:rsidR="00DA010C" w:rsidRPr="00DA010C">
        <w:t>vladni, nevladni in pravosodni državni organi in organizacije</w:t>
      </w:r>
      <w:r w:rsidR="00DA010C">
        <w:t>,</w:t>
      </w:r>
      <w:r w:rsidR="00DA010C" w:rsidRPr="00DA010C">
        <w:t xml:space="preserve"> katerih finančni načrti so integralni sestavni </w:t>
      </w:r>
      <w:proofErr w:type="gramStart"/>
      <w:r w:rsidR="00DA010C" w:rsidRPr="00DA010C">
        <w:t>del</w:t>
      </w:r>
      <w:proofErr w:type="gramEnd"/>
      <w:r w:rsidR="00DA010C" w:rsidRPr="00DA010C">
        <w:t xml:space="preserve"> državnega proračuna in so sprejeti kot sestavni del sprejetega proračuna države</w:t>
      </w:r>
      <w:r w:rsidR="00DA010C">
        <w:t xml:space="preserve">. </w:t>
      </w:r>
      <w:proofErr w:type="gramStart"/>
      <w:r w:rsidR="00DA010C">
        <w:t>PoKPB določa, da se v skupino NPU uvrščajo tudi ZPIZ, ZZZS in Upravljavci sredstev sistema EZR.</w:t>
      </w:r>
      <w:proofErr w:type="gramEnd"/>
    </w:p>
    <w:p w:rsidR="00DA010C" w:rsidRPr="00A81C30" w:rsidRDefault="00DA010C" w:rsidP="00A81C30"/>
    <w:p w:rsidR="00052194" w:rsidRDefault="00A81C30" w:rsidP="00A81C30">
      <w:pPr>
        <w:pStyle w:val="Caption"/>
      </w:pPr>
      <w:bookmarkStart w:id="67" w:name="_Toc49771330"/>
      <w:r>
        <w:t xml:space="preserve">Tabela </w:t>
      </w:r>
      <w:r>
        <w:fldChar w:fldCharType="begin"/>
      </w:r>
      <w:r>
        <w:instrText xml:space="preserve"> SEQ Tabela \* ARABIC </w:instrText>
      </w:r>
      <w:r>
        <w:fldChar w:fldCharType="separate"/>
      </w:r>
      <w:r w:rsidR="00CE55C4">
        <w:rPr>
          <w:noProof/>
        </w:rPr>
        <w:t>8</w:t>
      </w:r>
      <w:r>
        <w:fldChar w:fldCharType="end"/>
      </w:r>
      <w:r>
        <w:t xml:space="preserve">: Seštevki premoženja NPU državnega proračuna </w:t>
      </w:r>
      <w:proofErr w:type="gramStart"/>
      <w:r>
        <w:t>na</w:t>
      </w:r>
      <w:proofErr w:type="gramEnd"/>
      <w:r>
        <w:t xml:space="preserve"> dan 31.12.201</w:t>
      </w:r>
      <w:r w:rsidR="00FD2C67">
        <w:t>8</w:t>
      </w:r>
      <w:r>
        <w:t xml:space="preserve"> in na dan 31.12.201</w:t>
      </w:r>
      <w:r w:rsidR="00FD2C67">
        <w:t>7</w:t>
      </w:r>
      <w:bookmarkEnd w:id="67"/>
    </w:p>
    <w:p w:rsidR="00A81C30" w:rsidRDefault="00A81C30" w:rsidP="00A81C30"/>
    <w:tbl>
      <w:tblPr>
        <w:tblW w:w="51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64"/>
        <w:gridCol w:w="1559"/>
        <w:gridCol w:w="1559"/>
        <w:gridCol w:w="710"/>
        <w:gridCol w:w="1274"/>
      </w:tblGrid>
      <w:tr w:rsidR="0032637C" w:rsidRPr="008F68E0" w:rsidTr="0032637C">
        <w:trPr>
          <w:trHeight w:val="300"/>
          <w:tblHeader/>
        </w:trPr>
        <w:tc>
          <w:tcPr>
            <w:tcW w:w="2333" w:type="pct"/>
            <w:shd w:val="pct25" w:color="auto" w:fill="auto"/>
            <w:noWrap/>
            <w:vAlign w:val="bottom"/>
          </w:tcPr>
          <w:p w:rsidR="0032637C" w:rsidRPr="0032637C" w:rsidRDefault="0032637C" w:rsidP="0032637C">
            <w:pPr>
              <w:spacing w:line="240" w:lineRule="auto"/>
              <w:jc w:val="left"/>
              <w:rPr>
                <w:rFonts w:ascii="Calibri" w:hAnsi="Calibri"/>
                <w:b/>
                <w:color w:val="000000"/>
                <w:sz w:val="18"/>
                <w:szCs w:val="18"/>
                <w:lang w:val="sl-SI" w:eastAsia="sl-SI"/>
              </w:rPr>
            </w:pPr>
          </w:p>
        </w:tc>
        <w:tc>
          <w:tcPr>
            <w:tcW w:w="815" w:type="pct"/>
            <w:shd w:val="pct25" w:color="auto" w:fill="auto"/>
            <w:noWrap/>
            <w:vAlign w:val="bottom"/>
          </w:tcPr>
          <w:p w:rsidR="0032637C" w:rsidRPr="0032637C" w:rsidRDefault="0032637C" w:rsidP="00F83FBB">
            <w:pPr>
              <w:spacing w:line="240" w:lineRule="auto"/>
              <w:jc w:val="center"/>
              <w:rPr>
                <w:rFonts w:ascii="Calibri" w:hAnsi="Calibri"/>
                <w:b/>
                <w:color w:val="000000"/>
                <w:sz w:val="18"/>
                <w:szCs w:val="18"/>
                <w:lang w:val="sl-SI" w:eastAsia="sl-SI"/>
              </w:rPr>
            </w:pPr>
            <w:r w:rsidRPr="0032637C">
              <w:rPr>
                <w:rFonts w:ascii="Calibri" w:hAnsi="Calibri"/>
                <w:b/>
                <w:color w:val="000000"/>
                <w:sz w:val="18"/>
                <w:szCs w:val="18"/>
                <w:lang w:val="sl-SI" w:eastAsia="sl-SI"/>
              </w:rPr>
              <w:t>Stanje 31.12.201</w:t>
            </w:r>
            <w:r w:rsidR="00FD2C67">
              <w:rPr>
                <w:rFonts w:ascii="Calibri" w:hAnsi="Calibri"/>
                <w:b/>
                <w:color w:val="000000"/>
                <w:sz w:val="18"/>
                <w:szCs w:val="18"/>
                <w:lang w:val="sl-SI" w:eastAsia="sl-SI"/>
              </w:rPr>
              <w:t>8</w:t>
            </w:r>
          </w:p>
        </w:tc>
        <w:tc>
          <w:tcPr>
            <w:tcW w:w="815" w:type="pct"/>
            <w:shd w:val="pct25" w:color="auto" w:fill="auto"/>
            <w:noWrap/>
            <w:vAlign w:val="bottom"/>
          </w:tcPr>
          <w:p w:rsidR="0032637C" w:rsidRPr="0032637C" w:rsidRDefault="0032637C" w:rsidP="00382B0F">
            <w:pPr>
              <w:spacing w:line="240" w:lineRule="auto"/>
              <w:jc w:val="center"/>
              <w:rPr>
                <w:rFonts w:ascii="Calibri" w:hAnsi="Calibri"/>
                <w:b/>
                <w:color w:val="000000"/>
                <w:sz w:val="18"/>
                <w:szCs w:val="18"/>
                <w:lang w:val="sl-SI" w:eastAsia="sl-SI"/>
              </w:rPr>
            </w:pPr>
            <w:r w:rsidRPr="0032637C">
              <w:rPr>
                <w:rFonts w:ascii="Calibri" w:hAnsi="Calibri"/>
                <w:b/>
                <w:color w:val="000000"/>
                <w:sz w:val="18"/>
                <w:szCs w:val="18"/>
                <w:lang w:val="sl-SI" w:eastAsia="sl-SI"/>
              </w:rPr>
              <w:t>Stanje 31.12.201</w:t>
            </w:r>
            <w:r w:rsidR="00FD2C67">
              <w:rPr>
                <w:rFonts w:ascii="Calibri" w:hAnsi="Calibri"/>
                <w:b/>
                <w:color w:val="000000"/>
                <w:sz w:val="18"/>
                <w:szCs w:val="18"/>
                <w:lang w:val="sl-SI" w:eastAsia="sl-SI"/>
              </w:rPr>
              <w:t>7</w:t>
            </w:r>
          </w:p>
        </w:tc>
        <w:tc>
          <w:tcPr>
            <w:tcW w:w="371" w:type="pct"/>
            <w:shd w:val="pct25" w:color="auto" w:fill="auto"/>
            <w:noWrap/>
            <w:vAlign w:val="bottom"/>
          </w:tcPr>
          <w:p w:rsidR="0032637C" w:rsidRPr="0032637C" w:rsidRDefault="0032637C" w:rsidP="0032637C">
            <w:pPr>
              <w:spacing w:line="240" w:lineRule="auto"/>
              <w:jc w:val="center"/>
              <w:rPr>
                <w:rFonts w:ascii="Calibri" w:hAnsi="Calibri"/>
                <w:b/>
                <w:color w:val="000000"/>
                <w:sz w:val="18"/>
                <w:szCs w:val="18"/>
                <w:lang w:val="sl-SI" w:eastAsia="sl-SI"/>
              </w:rPr>
            </w:pPr>
            <w:r w:rsidRPr="0032637C">
              <w:rPr>
                <w:rFonts w:ascii="Calibri" w:hAnsi="Calibri"/>
                <w:b/>
                <w:color w:val="000000"/>
                <w:sz w:val="18"/>
                <w:szCs w:val="18"/>
                <w:lang w:val="sl-SI" w:eastAsia="sl-SI"/>
              </w:rPr>
              <w:t>Indeks</w:t>
            </w:r>
          </w:p>
        </w:tc>
        <w:tc>
          <w:tcPr>
            <w:tcW w:w="666" w:type="pct"/>
            <w:shd w:val="pct25" w:color="auto" w:fill="auto"/>
            <w:noWrap/>
            <w:vAlign w:val="bottom"/>
          </w:tcPr>
          <w:p w:rsidR="0032637C" w:rsidRPr="0032637C" w:rsidRDefault="0032637C" w:rsidP="00F83FBB">
            <w:pPr>
              <w:spacing w:line="240" w:lineRule="auto"/>
              <w:jc w:val="center"/>
              <w:rPr>
                <w:rFonts w:ascii="Calibri" w:hAnsi="Calibri"/>
                <w:b/>
                <w:color w:val="000000"/>
                <w:sz w:val="18"/>
                <w:szCs w:val="18"/>
                <w:lang w:val="sl-SI" w:eastAsia="sl-SI"/>
              </w:rPr>
            </w:pPr>
            <w:r w:rsidRPr="0032637C">
              <w:rPr>
                <w:rFonts w:ascii="Calibri" w:hAnsi="Calibri"/>
                <w:b/>
                <w:color w:val="000000"/>
                <w:sz w:val="18"/>
                <w:szCs w:val="18"/>
                <w:lang w:val="sl-SI" w:eastAsia="sl-SI"/>
              </w:rPr>
              <w:t>Sprememba 201</w:t>
            </w:r>
            <w:r w:rsidR="00FD2C67">
              <w:rPr>
                <w:rFonts w:ascii="Calibri" w:hAnsi="Calibri"/>
                <w:b/>
                <w:color w:val="000000"/>
                <w:sz w:val="18"/>
                <w:szCs w:val="18"/>
                <w:lang w:val="sl-SI" w:eastAsia="sl-SI"/>
              </w:rPr>
              <w:t>8</w:t>
            </w:r>
            <w:r w:rsidRPr="0032637C">
              <w:rPr>
                <w:rFonts w:ascii="Calibri" w:hAnsi="Calibri"/>
                <w:b/>
                <w:color w:val="000000"/>
                <w:sz w:val="18"/>
                <w:szCs w:val="18"/>
                <w:lang w:val="sl-SI" w:eastAsia="sl-SI"/>
              </w:rPr>
              <w:t>-201</w:t>
            </w:r>
            <w:r w:rsidR="00FD2C67">
              <w:rPr>
                <w:rFonts w:ascii="Calibri" w:hAnsi="Calibri"/>
                <w:b/>
                <w:color w:val="000000"/>
                <w:sz w:val="18"/>
                <w:szCs w:val="18"/>
                <w:lang w:val="sl-SI" w:eastAsia="sl-SI"/>
              </w:rPr>
              <w:t>7</w:t>
            </w:r>
          </w:p>
        </w:tc>
      </w:tr>
      <w:tr w:rsidR="0032637C" w:rsidRPr="008F68E0" w:rsidTr="0032637C">
        <w:trPr>
          <w:trHeight w:val="300"/>
          <w:tblHeader/>
        </w:trPr>
        <w:tc>
          <w:tcPr>
            <w:tcW w:w="2333" w:type="pct"/>
            <w:shd w:val="pct25" w:color="auto" w:fill="auto"/>
            <w:noWrap/>
            <w:vAlign w:val="bottom"/>
          </w:tcPr>
          <w:p w:rsidR="0032637C" w:rsidRPr="0032637C" w:rsidRDefault="0032637C" w:rsidP="0032637C">
            <w:pPr>
              <w:spacing w:line="240" w:lineRule="auto"/>
              <w:jc w:val="left"/>
              <w:rPr>
                <w:rFonts w:ascii="Calibri" w:hAnsi="Calibri"/>
                <w:b/>
                <w:color w:val="000000"/>
                <w:sz w:val="18"/>
                <w:szCs w:val="18"/>
                <w:lang w:val="sl-SI" w:eastAsia="sl-SI"/>
              </w:rPr>
            </w:pPr>
            <w:r w:rsidRPr="0032637C">
              <w:rPr>
                <w:rFonts w:ascii="Calibri" w:hAnsi="Calibri"/>
                <w:b/>
                <w:color w:val="000000"/>
                <w:sz w:val="18"/>
                <w:szCs w:val="18"/>
                <w:lang w:val="sl-SI" w:eastAsia="sl-SI"/>
              </w:rPr>
              <w:t>Oznaka in naziv AOP</w:t>
            </w:r>
          </w:p>
        </w:tc>
        <w:tc>
          <w:tcPr>
            <w:tcW w:w="815" w:type="pct"/>
            <w:shd w:val="pct25" w:color="auto" w:fill="auto"/>
            <w:noWrap/>
            <w:vAlign w:val="bottom"/>
          </w:tcPr>
          <w:p w:rsidR="0032637C" w:rsidRPr="0032637C" w:rsidRDefault="0032637C" w:rsidP="0032637C">
            <w:pPr>
              <w:spacing w:line="240" w:lineRule="auto"/>
              <w:jc w:val="center"/>
              <w:rPr>
                <w:rFonts w:ascii="Calibri" w:hAnsi="Calibri"/>
                <w:b/>
                <w:color w:val="000000"/>
                <w:sz w:val="18"/>
                <w:szCs w:val="18"/>
                <w:lang w:val="sl-SI" w:eastAsia="sl-SI"/>
              </w:rPr>
            </w:pPr>
            <w:r w:rsidRPr="0032637C">
              <w:rPr>
                <w:rFonts w:ascii="Calibri" w:hAnsi="Calibri"/>
                <w:b/>
                <w:color w:val="000000"/>
                <w:sz w:val="18"/>
                <w:szCs w:val="18"/>
                <w:lang w:val="sl-SI" w:eastAsia="sl-SI"/>
              </w:rPr>
              <w:t>(</w:t>
            </w:r>
            <w:r w:rsidR="009F0F5F">
              <w:rPr>
                <w:rFonts w:ascii="Calibri" w:hAnsi="Calibri"/>
                <w:b/>
                <w:color w:val="000000"/>
                <w:sz w:val="18"/>
                <w:szCs w:val="18"/>
                <w:lang w:val="sl-SI" w:eastAsia="sl-SI"/>
              </w:rPr>
              <w:t>€</w:t>
            </w:r>
            <w:r w:rsidRPr="0032637C">
              <w:rPr>
                <w:rFonts w:ascii="Calibri" w:hAnsi="Calibri"/>
                <w:b/>
                <w:color w:val="000000"/>
                <w:sz w:val="18"/>
                <w:szCs w:val="18"/>
                <w:lang w:val="sl-SI" w:eastAsia="sl-SI"/>
              </w:rPr>
              <w:t>)</w:t>
            </w:r>
          </w:p>
        </w:tc>
        <w:tc>
          <w:tcPr>
            <w:tcW w:w="815" w:type="pct"/>
            <w:shd w:val="pct25" w:color="auto" w:fill="auto"/>
            <w:noWrap/>
            <w:vAlign w:val="bottom"/>
          </w:tcPr>
          <w:p w:rsidR="0032637C" w:rsidRPr="0032637C" w:rsidRDefault="0032637C" w:rsidP="0032637C">
            <w:pPr>
              <w:spacing w:line="240" w:lineRule="auto"/>
              <w:jc w:val="center"/>
              <w:rPr>
                <w:rFonts w:ascii="Calibri" w:hAnsi="Calibri"/>
                <w:b/>
                <w:color w:val="000000"/>
                <w:sz w:val="18"/>
                <w:szCs w:val="18"/>
                <w:lang w:val="sl-SI" w:eastAsia="sl-SI"/>
              </w:rPr>
            </w:pPr>
            <w:r w:rsidRPr="0032637C">
              <w:rPr>
                <w:rFonts w:ascii="Calibri" w:hAnsi="Calibri"/>
                <w:b/>
                <w:color w:val="000000"/>
                <w:sz w:val="18"/>
                <w:szCs w:val="18"/>
                <w:lang w:val="sl-SI" w:eastAsia="sl-SI"/>
              </w:rPr>
              <w:t>(</w:t>
            </w:r>
            <w:r w:rsidR="009F0F5F">
              <w:rPr>
                <w:rFonts w:ascii="Calibri" w:hAnsi="Calibri"/>
                <w:b/>
                <w:color w:val="000000"/>
                <w:sz w:val="18"/>
                <w:szCs w:val="18"/>
                <w:lang w:val="sl-SI" w:eastAsia="sl-SI"/>
              </w:rPr>
              <w:t>€</w:t>
            </w:r>
            <w:r w:rsidRPr="0032637C">
              <w:rPr>
                <w:rFonts w:ascii="Calibri" w:hAnsi="Calibri"/>
                <w:b/>
                <w:color w:val="000000"/>
                <w:sz w:val="18"/>
                <w:szCs w:val="18"/>
                <w:lang w:val="sl-SI" w:eastAsia="sl-SI"/>
              </w:rPr>
              <w:t>)</w:t>
            </w:r>
          </w:p>
        </w:tc>
        <w:tc>
          <w:tcPr>
            <w:tcW w:w="371" w:type="pct"/>
            <w:shd w:val="pct25" w:color="auto" w:fill="auto"/>
            <w:noWrap/>
            <w:vAlign w:val="bottom"/>
          </w:tcPr>
          <w:p w:rsidR="0032637C" w:rsidRPr="0032637C" w:rsidRDefault="009F0F5F" w:rsidP="0032637C">
            <w:pPr>
              <w:spacing w:line="240" w:lineRule="auto"/>
              <w:jc w:val="center"/>
              <w:rPr>
                <w:rFonts w:ascii="Calibri" w:hAnsi="Calibri"/>
                <w:b/>
                <w:color w:val="000000"/>
                <w:sz w:val="18"/>
                <w:szCs w:val="18"/>
                <w:lang w:val="sl-SI" w:eastAsia="sl-SI"/>
              </w:rPr>
            </w:pPr>
            <w:r>
              <w:rPr>
                <w:rFonts w:ascii="Calibri" w:hAnsi="Calibri"/>
                <w:b/>
                <w:color w:val="000000"/>
                <w:sz w:val="18"/>
                <w:szCs w:val="18"/>
                <w:lang w:val="sl-SI" w:eastAsia="sl-SI"/>
              </w:rPr>
              <w:t>%</w:t>
            </w:r>
          </w:p>
        </w:tc>
        <w:tc>
          <w:tcPr>
            <w:tcW w:w="666" w:type="pct"/>
            <w:shd w:val="pct25" w:color="auto" w:fill="auto"/>
            <w:noWrap/>
            <w:vAlign w:val="bottom"/>
          </w:tcPr>
          <w:p w:rsidR="0032637C" w:rsidRPr="0032637C" w:rsidRDefault="0053047D" w:rsidP="0032637C">
            <w:pPr>
              <w:spacing w:line="240" w:lineRule="auto"/>
              <w:jc w:val="center"/>
              <w:rPr>
                <w:rFonts w:ascii="Calibri" w:hAnsi="Calibri"/>
                <w:b/>
                <w:color w:val="000000"/>
                <w:sz w:val="18"/>
                <w:szCs w:val="18"/>
                <w:lang w:val="sl-SI" w:eastAsia="sl-SI"/>
              </w:rPr>
            </w:pPr>
            <w:r>
              <w:rPr>
                <w:rFonts w:ascii="Calibri" w:hAnsi="Calibri"/>
                <w:b/>
                <w:color w:val="000000"/>
                <w:sz w:val="18"/>
                <w:szCs w:val="18"/>
                <w:lang w:val="sl-SI" w:eastAsia="sl-SI"/>
              </w:rPr>
              <w:t>(</w:t>
            </w:r>
            <w:r w:rsidR="009F0F5F">
              <w:rPr>
                <w:rFonts w:ascii="Calibri" w:hAnsi="Calibri"/>
                <w:b/>
                <w:color w:val="000000"/>
                <w:sz w:val="18"/>
                <w:szCs w:val="18"/>
                <w:lang w:val="sl-SI" w:eastAsia="sl-SI"/>
              </w:rPr>
              <w:t>€</w:t>
            </w:r>
            <w:r>
              <w:rPr>
                <w:rFonts w:ascii="Calibri" w:hAnsi="Calibri"/>
                <w:b/>
                <w:color w:val="000000"/>
                <w:sz w:val="18"/>
                <w:szCs w:val="18"/>
                <w:lang w:val="sl-SI" w:eastAsia="sl-SI"/>
              </w:rPr>
              <w:t>)</w:t>
            </w:r>
          </w:p>
        </w:tc>
      </w:tr>
      <w:tr w:rsidR="0032637C" w:rsidRPr="008F68E0" w:rsidTr="0032637C">
        <w:trPr>
          <w:trHeight w:val="300"/>
          <w:tblHeader/>
        </w:trPr>
        <w:tc>
          <w:tcPr>
            <w:tcW w:w="2333" w:type="pct"/>
            <w:shd w:val="pct25" w:color="auto" w:fill="auto"/>
            <w:noWrap/>
            <w:vAlign w:val="bottom"/>
          </w:tcPr>
          <w:p w:rsidR="0032637C" w:rsidRPr="0032637C" w:rsidRDefault="0032637C" w:rsidP="0032637C">
            <w:pPr>
              <w:spacing w:line="240" w:lineRule="auto"/>
              <w:jc w:val="center"/>
              <w:rPr>
                <w:rFonts w:ascii="Calibri" w:hAnsi="Calibri"/>
                <w:b/>
                <w:color w:val="000000"/>
                <w:sz w:val="18"/>
                <w:szCs w:val="18"/>
                <w:lang w:val="sl-SI" w:eastAsia="sl-SI"/>
              </w:rPr>
            </w:pPr>
            <w:r w:rsidRPr="0032637C">
              <w:rPr>
                <w:rFonts w:ascii="Calibri" w:hAnsi="Calibri"/>
                <w:b/>
                <w:color w:val="000000"/>
                <w:sz w:val="18"/>
                <w:szCs w:val="18"/>
                <w:lang w:val="sl-SI" w:eastAsia="sl-SI"/>
              </w:rPr>
              <w:t>1</w:t>
            </w:r>
          </w:p>
        </w:tc>
        <w:tc>
          <w:tcPr>
            <w:tcW w:w="815" w:type="pct"/>
            <w:shd w:val="pct25" w:color="auto" w:fill="auto"/>
            <w:noWrap/>
            <w:vAlign w:val="bottom"/>
          </w:tcPr>
          <w:p w:rsidR="0032637C" w:rsidRPr="0032637C" w:rsidRDefault="0032637C" w:rsidP="0032637C">
            <w:pPr>
              <w:spacing w:line="240" w:lineRule="auto"/>
              <w:jc w:val="center"/>
              <w:rPr>
                <w:rFonts w:ascii="Calibri" w:hAnsi="Calibri"/>
                <w:b/>
                <w:color w:val="000000"/>
                <w:sz w:val="18"/>
                <w:szCs w:val="18"/>
                <w:lang w:val="sl-SI" w:eastAsia="sl-SI"/>
              </w:rPr>
            </w:pPr>
            <w:r w:rsidRPr="0032637C">
              <w:rPr>
                <w:rFonts w:ascii="Calibri" w:hAnsi="Calibri"/>
                <w:b/>
                <w:color w:val="000000"/>
                <w:sz w:val="18"/>
                <w:szCs w:val="18"/>
                <w:lang w:val="sl-SI" w:eastAsia="sl-SI"/>
              </w:rPr>
              <w:t>2</w:t>
            </w:r>
          </w:p>
        </w:tc>
        <w:tc>
          <w:tcPr>
            <w:tcW w:w="815" w:type="pct"/>
            <w:shd w:val="pct25" w:color="auto" w:fill="auto"/>
            <w:noWrap/>
            <w:vAlign w:val="bottom"/>
          </w:tcPr>
          <w:p w:rsidR="0032637C" w:rsidRPr="0032637C" w:rsidRDefault="0032637C" w:rsidP="0032637C">
            <w:pPr>
              <w:spacing w:line="240" w:lineRule="auto"/>
              <w:jc w:val="center"/>
              <w:rPr>
                <w:rFonts w:ascii="Calibri" w:hAnsi="Calibri"/>
                <w:b/>
                <w:color w:val="000000"/>
                <w:sz w:val="18"/>
                <w:szCs w:val="18"/>
                <w:lang w:val="sl-SI" w:eastAsia="sl-SI"/>
              </w:rPr>
            </w:pPr>
            <w:r w:rsidRPr="0032637C">
              <w:rPr>
                <w:rFonts w:ascii="Calibri" w:hAnsi="Calibri"/>
                <w:b/>
                <w:color w:val="000000"/>
                <w:sz w:val="18"/>
                <w:szCs w:val="18"/>
                <w:lang w:val="sl-SI" w:eastAsia="sl-SI"/>
              </w:rPr>
              <w:t>3</w:t>
            </w:r>
          </w:p>
        </w:tc>
        <w:tc>
          <w:tcPr>
            <w:tcW w:w="371" w:type="pct"/>
            <w:shd w:val="pct25" w:color="auto" w:fill="auto"/>
            <w:noWrap/>
            <w:vAlign w:val="bottom"/>
          </w:tcPr>
          <w:p w:rsidR="0032637C" w:rsidRPr="0032637C" w:rsidRDefault="0032637C" w:rsidP="003E5CEF">
            <w:pPr>
              <w:spacing w:line="240" w:lineRule="auto"/>
              <w:jc w:val="center"/>
              <w:rPr>
                <w:rFonts w:ascii="Calibri" w:hAnsi="Calibri"/>
                <w:b/>
                <w:color w:val="000000"/>
                <w:sz w:val="18"/>
                <w:szCs w:val="18"/>
                <w:lang w:val="sl-SI" w:eastAsia="sl-SI"/>
              </w:rPr>
            </w:pPr>
            <w:r w:rsidRPr="0032637C">
              <w:rPr>
                <w:rFonts w:ascii="Calibri" w:hAnsi="Calibri"/>
                <w:b/>
                <w:color w:val="000000"/>
                <w:sz w:val="18"/>
                <w:szCs w:val="18"/>
                <w:lang w:val="sl-SI" w:eastAsia="sl-SI"/>
              </w:rPr>
              <w:t>4=2/3</w:t>
            </w:r>
          </w:p>
        </w:tc>
        <w:tc>
          <w:tcPr>
            <w:tcW w:w="666" w:type="pct"/>
            <w:shd w:val="pct25" w:color="auto" w:fill="auto"/>
            <w:noWrap/>
            <w:vAlign w:val="bottom"/>
          </w:tcPr>
          <w:p w:rsidR="0032637C" w:rsidRPr="0032637C" w:rsidRDefault="0032637C" w:rsidP="0032637C">
            <w:pPr>
              <w:spacing w:line="240" w:lineRule="auto"/>
              <w:jc w:val="center"/>
              <w:rPr>
                <w:rFonts w:ascii="Calibri" w:hAnsi="Calibri"/>
                <w:b/>
                <w:color w:val="000000"/>
                <w:sz w:val="18"/>
                <w:szCs w:val="18"/>
                <w:lang w:val="sl-SI" w:eastAsia="sl-SI"/>
              </w:rPr>
            </w:pPr>
            <w:r w:rsidRPr="0032637C">
              <w:rPr>
                <w:rFonts w:ascii="Calibri" w:hAnsi="Calibri"/>
                <w:b/>
                <w:color w:val="000000"/>
                <w:sz w:val="18"/>
                <w:szCs w:val="18"/>
                <w:lang w:val="sl-SI" w:eastAsia="sl-SI"/>
              </w:rPr>
              <w:t>5=2-3</w:t>
            </w:r>
          </w:p>
        </w:tc>
      </w:tr>
      <w:tr w:rsidR="00FD2C67" w:rsidRPr="008F68E0" w:rsidTr="00972554">
        <w:trPr>
          <w:trHeight w:val="300"/>
        </w:trPr>
        <w:tc>
          <w:tcPr>
            <w:tcW w:w="2333" w:type="pct"/>
            <w:shd w:val="clear" w:color="auto" w:fill="auto"/>
            <w:noWrap/>
            <w:vAlign w:val="bottom"/>
            <w:hideMark/>
          </w:tcPr>
          <w:p w:rsidR="00FD2C67" w:rsidRPr="0042664D" w:rsidRDefault="00FD2C67" w:rsidP="00651361">
            <w:pPr>
              <w:spacing w:line="240" w:lineRule="auto"/>
              <w:rPr>
                <w:rFonts w:ascii="Calibri" w:hAnsi="Calibri"/>
                <w:color w:val="000000"/>
                <w:sz w:val="18"/>
                <w:szCs w:val="18"/>
                <w:lang w:eastAsia="sl-SI"/>
              </w:rPr>
            </w:pPr>
            <w:r w:rsidRPr="0042664D">
              <w:rPr>
                <w:rFonts w:ascii="Calibri" w:hAnsi="Calibri"/>
                <w:color w:val="000000"/>
                <w:sz w:val="18"/>
                <w:szCs w:val="18"/>
                <w:lang w:eastAsia="sl-SI"/>
              </w:rPr>
              <w:t>300-Sedanja vrednost neopredmetenih sredstev in dolgoročnih aktivnih časovnih razmejitev</w:t>
            </w:r>
          </w:p>
        </w:tc>
        <w:tc>
          <w:tcPr>
            <w:tcW w:w="815" w:type="pct"/>
            <w:shd w:val="clear" w:color="auto" w:fill="auto"/>
            <w:noWrap/>
            <w:vAlign w:val="bottom"/>
          </w:tcPr>
          <w:p w:rsidR="00FD2C67" w:rsidRPr="00412299" w:rsidRDefault="00FD2C67" w:rsidP="00F83FBB">
            <w:pPr>
              <w:spacing w:line="240" w:lineRule="auto"/>
              <w:jc w:val="right"/>
              <w:rPr>
                <w:rFonts w:ascii="Calibri" w:hAnsi="Calibri"/>
                <w:color w:val="000000"/>
                <w:sz w:val="18"/>
                <w:szCs w:val="18"/>
                <w:lang w:eastAsia="sl-SI"/>
              </w:rPr>
            </w:pPr>
            <w:r w:rsidRPr="00972554">
              <w:rPr>
                <w:rFonts w:ascii="Calibri" w:hAnsi="Calibri"/>
                <w:sz w:val="18"/>
                <w:szCs w:val="18"/>
              </w:rPr>
              <w:t xml:space="preserve">90.346.013 </w:t>
            </w:r>
          </w:p>
        </w:tc>
        <w:tc>
          <w:tcPr>
            <w:tcW w:w="815" w:type="pct"/>
            <w:shd w:val="clear" w:color="auto" w:fill="auto"/>
            <w:noWrap/>
            <w:vAlign w:val="bottom"/>
            <w:hideMark/>
          </w:tcPr>
          <w:p w:rsidR="00FD2C67" w:rsidRPr="003E5CEF" w:rsidRDefault="00FD2C67" w:rsidP="003E5CEF">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78.569.654 </w:t>
            </w:r>
          </w:p>
        </w:tc>
        <w:tc>
          <w:tcPr>
            <w:tcW w:w="371" w:type="pct"/>
            <w:shd w:val="clear" w:color="auto" w:fill="auto"/>
            <w:noWrap/>
            <w:vAlign w:val="bottom"/>
            <w:hideMark/>
          </w:tcPr>
          <w:p w:rsidR="00FD2C67" w:rsidRPr="00412299" w:rsidRDefault="00FD2C67" w:rsidP="00F83FBB">
            <w:pPr>
              <w:spacing w:line="240" w:lineRule="auto"/>
              <w:jc w:val="right"/>
              <w:rPr>
                <w:rFonts w:ascii="Calibri" w:hAnsi="Calibri"/>
                <w:color w:val="000000"/>
                <w:sz w:val="18"/>
                <w:szCs w:val="18"/>
                <w:lang w:eastAsia="sl-SI"/>
              </w:rPr>
            </w:pPr>
            <w:r w:rsidRPr="00972554">
              <w:rPr>
                <w:rFonts w:ascii="Calibri" w:hAnsi="Calibri"/>
                <w:sz w:val="18"/>
                <w:szCs w:val="18"/>
              </w:rPr>
              <w:t>114,99</w:t>
            </w:r>
          </w:p>
        </w:tc>
        <w:tc>
          <w:tcPr>
            <w:tcW w:w="666" w:type="pct"/>
            <w:shd w:val="clear" w:color="auto" w:fill="auto"/>
            <w:noWrap/>
            <w:vAlign w:val="bottom"/>
            <w:hideMark/>
          </w:tcPr>
          <w:p w:rsidR="00FD2C67" w:rsidRPr="00412299" w:rsidRDefault="00FD2C67"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11.776.359 </w:t>
            </w:r>
          </w:p>
        </w:tc>
      </w:tr>
      <w:tr w:rsidR="00FD2C67" w:rsidRPr="008F68E0" w:rsidTr="00972554">
        <w:trPr>
          <w:trHeight w:val="300"/>
        </w:trPr>
        <w:tc>
          <w:tcPr>
            <w:tcW w:w="2333" w:type="pct"/>
            <w:shd w:val="clear" w:color="auto" w:fill="auto"/>
            <w:noWrap/>
            <w:vAlign w:val="bottom"/>
            <w:hideMark/>
          </w:tcPr>
          <w:p w:rsidR="00FD2C67" w:rsidRPr="0042664D" w:rsidRDefault="00FD2C67" w:rsidP="00651361">
            <w:pPr>
              <w:spacing w:line="240" w:lineRule="auto"/>
              <w:rPr>
                <w:rFonts w:ascii="Calibri" w:hAnsi="Calibri"/>
                <w:color w:val="000000"/>
                <w:sz w:val="18"/>
                <w:szCs w:val="18"/>
                <w:lang w:eastAsia="sl-SI"/>
              </w:rPr>
            </w:pPr>
            <w:r w:rsidRPr="0042664D">
              <w:rPr>
                <w:rFonts w:ascii="Calibri" w:hAnsi="Calibri"/>
                <w:color w:val="000000"/>
                <w:sz w:val="18"/>
                <w:szCs w:val="18"/>
                <w:lang w:eastAsia="sl-SI"/>
              </w:rPr>
              <w:t>301-Nabavna vrednost neopredmetenih sredstev in dolgoročnih aktivnih časovnih razmejitev</w:t>
            </w:r>
          </w:p>
        </w:tc>
        <w:tc>
          <w:tcPr>
            <w:tcW w:w="815" w:type="pct"/>
            <w:shd w:val="clear" w:color="auto" w:fill="auto"/>
            <w:noWrap/>
            <w:vAlign w:val="bottom"/>
          </w:tcPr>
          <w:p w:rsidR="00FD2C67" w:rsidRPr="00412299" w:rsidRDefault="00FD2C67" w:rsidP="00F83FBB">
            <w:pPr>
              <w:spacing w:line="240" w:lineRule="auto"/>
              <w:jc w:val="right"/>
              <w:rPr>
                <w:rFonts w:ascii="Calibri" w:hAnsi="Calibri"/>
                <w:color w:val="000000"/>
                <w:sz w:val="18"/>
                <w:szCs w:val="18"/>
                <w:lang w:eastAsia="sl-SI"/>
              </w:rPr>
            </w:pPr>
            <w:r w:rsidRPr="00972554">
              <w:rPr>
                <w:rFonts w:ascii="Calibri" w:hAnsi="Calibri"/>
                <w:sz w:val="18"/>
                <w:szCs w:val="18"/>
              </w:rPr>
              <w:t xml:space="preserve">456.191.653 </w:t>
            </w:r>
          </w:p>
        </w:tc>
        <w:tc>
          <w:tcPr>
            <w:tcW w:w="815" w:type="pct"/>
            <w:shd w:val="clear" w:color="auto" w:fill="auto"/>
            <w:noWrap/>
            <w:vAlign w:val="bottom"/>
            <w:hideMark/>
          </w:tcPr>
          <w:p w:rsidR="00FD2C67" w:rsidRPr="003E5CEF" w:rsidRDefault="00FD2C67" w:rsidP="003E5CEF">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435.377.623 </w:t>
            </w:r>
          </w:p>
        </w:tc>
        <w:tc>
          <w:tcPr>
            <w:tcW w:w="371" w:type="pct"/>
            <w:shd w:val="clear" w:color="auto" w:fill="auto"/>
            <w:noWrap/>
            <w:vAlign w:val="bottom"/>
            <w:hideMark/>
          </w:tcPr>
          <w:p w:rsidR="00FD2C67" w:rsidRPr="00412299" w:rsidRDefault="00FD2C67" w:rsidP="00F83FBB">
            <w:pPr>
              <w:spacing w:line="240" w:lineRule="auto"/>
              <w:jc w:val="right"/>
              <w:rPr>
                <w:rFonts w:ascii="Calibri" w:hAnsi="Calibri"/>
                <w:color w:val="000000"/>
                <w:sz w:val="18"/>
                <w:szCs w:val="18"/>
                <w:lang w:eastAsia="sl-SI"/>
              </w:rPr>
            </w:pPr>
            <w:r w:rsidRPr="00972554">
              <w:rPr>
                <w:rFonts w:ascii="Calibri" w:hAnsi="Calibri"/>
                <w:sz w:val="18"/>
                <w:szCs w:val="18"/>
              </w:rPr>
              <w:t>104,78</w:t>
            </w:r>
          </w:p>
        </w:tc>
        <w:tc>
          <w:tcPr>
            <w:tcW w:w="666" w:type="pct"/>
            <w:shd w:val="clear" w:color="auto" w:fill="auto"/>
            <w:noWrap/>
            <w:vAlign w:val="bottom"/>
            <w:hideMark/>
          </w:tcPr>
          <w:p w:rsidR="00FD2C67" w:rsidRPr="00412299" w:rsidRDefault="00FD2C67"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20.814.030 </w:t>
            </w:r>
          </w:p>
        </w:tc>
      </w:tr>
      <w:tr w:rsidR="00FD2C67" w:rsidRPr="008F68E0" w:rsidTr="00972554">
        <w:trPr>
          <w:trHeight w:val="300"/>
        </w:trPr>
        <w:tc>
          <w:tcPr>
            <w:tcW w:w="2333" w:type="pct"/>
            <w:shd w:val="clear" w:color="auto" w:fill="auto"/>
            <w:noWrap/>
            <w:vAlign w:val="bottom"/>
            <w:hideMark/>
          </w:tcPr>
          <w:p w:rsidR="00FD2C67" w:rsidRPr="0042664D" w:rsidRDefault="00FD2C67" w:rsidP="00651361">
            <w:pPr>
              <w:spacing w:line="240" w:lineRule="auto"/>
              <w:rPr>
                <w:rFonts w:ascii="Calibri" w:hAnsi="Calibri"/>
                <w:color w:val="000000"/>
                <w:sz w:val="18"/>
                <w:szCs w:val="18"/>
                <w:lang w:eastAsia="sl-SI"/>
              </w:rPr>
            </w:pPr>
            <w:r w:rsidRPr="0042664D">
              <w:rPr>
                <w:rFonts w:ascii="Calibri" w:hAnsi="Calibri"/>
                <w:color w:val="000000"/>
                <w:sz w:val="18"/>
                <w:szCs w:val="18"/>
                <w:lang w:eastAsia="sl-SI"/>
              </w:rPr>
              <w:t>302-Popravki vrednosti neopredmetenih sredstev</w:t>
            </w:r>
          </w:p>
        </w:tc>
        <w:tc>
          <w:tcPr>
            <w:tcW w:w="815" w:type="pct"/>
            <w:shd w:val="clear" w:color="auto" w:fill="auto"/>
            <w:noWrap/>
            <w:vAlign w:val="bottom"/>
          </w:tcPr>
          <w:p w:rsidR="00FD2C67" w:rsidRPr="00412299" w:rsidRDefault="00FD2C67" w:rsidP="00F83FBB">
            <w:pPr>
              <w:spacing w:line="240" w:lineRule="auto"/>
              <w:jc w:val="right"/>
              <w:rPr>
                <w:rFonts w:ascii="Calibri" w:hAnsi="Calibri"/>
                <w:color w:val="000000"/>
                <w:sz w:val="18"/>
                <w:szCs w:val="18"/>
                <w:lang w:eastAsia="sl-SI"/>
              </w:rPr>
            </w:pPr>
            <w:r w:rsidRPr="00972554">
              <w:rPr>
                <w:rFonts w:ascii="Calibri" w:hAnsi="Calibri"/>
                <w:sz w:val="18"/>
                <w:szCs w:val="18"/>
              </w:rPr>
              <w:t xml:space="preserve">365.845.640 </w:t>
            </w:r>
          </w:p>
        </w:tc>
        <w:tc>
          <w:tcPr>
            <w:tcW w:w="815" w:type="pct"/>
            <w:shd w:val="clear" w:color="auto" w:fill="auto"/>
            <w:noWrap/>
            <w:vAlign w:val="bottom"/>
            <w:hideMark/>
          </w:tcPr>
          <w:p w:rsidR="00FD2C67" w:rsidRPr="003E5CEF" w:rsidRDefault="00FD2C67" w:rsidP="003E5CEF">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356.807.969 </w:t>
            </w:r>
          </w:p>
        </w:tc>
        <w:tc>
          <w:tcPr>
            <w:tcW w:w="371" w:type="pct"/>
            <w:shd w:val="clear" w:color="auto" w:fill="auto"/>
            <w:noWrap/>
            <w:vAlign w:val="bottom"/>
            <w:hideMark/>
          </w:tcPr>
          <w:p w:rsidR="00FD2C67" w:rsidRPr="00412299" w:rsidRDefault="00FD2C67" w:rsidP="00F83FBB">
            <w:pPr>
              <w:spacing w:line="240" w:lineRule="auto"/>
              <w:jc w:val="right"/>
              <w:rPr>
                <w:rFonts w:ascii="Calibri" w:hAnsi="Calibri"/>
                <w:color w:val="000000"/>
                <w:sz w:val="18"/>
                <w:szCs w:val="18"/>
                <w:lang w:eastAsia="sl-SI"/>
              </w:rPr>
            </w:pPr>
            <w:r w:rsidRPr="00972554">
              <w:rPr>
                <w:rFonts w:ascii="Calibri" w:hAnsi="Calibri"/>
                <w:sz w:val="18"/>
                <w:szCs w:val="18"/>
              </w:rPr>
              <w:t>102,53</w:t>
            </w:r>
          </w:p>
        </w:tc>
        <w:tc>
          <w:tcPr>
            <w:tcW w:w="666" w:type="pct"/>
            <w:shd w:val="clear" w:color="auto" w:fill="auto"/>
            <w:noWrap/>
            <w:vAlign w:val="bottom"/>
            <w:hideMark/>
          </w:tcPr>
          <w:p w:rsidR="00FD2C67" w:rsidRPr="00412299" w:rsidRDefault="00FD2C67"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9.037.671 </w:t>
            </w:r>
          </w:p>
        </w:tc>
      </w:tr>
      <w:tr w:rsidR="00FD2C67" w:rsidRPr="008F68E0" w:rsidTr="00972554">
        <w:trPr>
          <w:trHeight w:val="300"/>
        </w:trPr>
        <w:tc>
          <w:tcPr>
            <w:tcW w:w="2333" w:type="pct"/>
            <w:shd w:val="clear" w:color="auto" w:fill="auto"/>
            <w:noWrap/>
            <w:vAlign w:val="bottom"/>
            <w:hideMark/>
          </w:tcPr>
          <w:p w:rsidR="00FD2C67" w:rsidRPr="0042664D" w:rsidRDefault="00FD2C67" w:rsidP="00651361">
            <w:pPr>
              <w:spacing w:line="240" w:lineRule="auto"/>
              <w:rPr>
                <w:rFonts w:ascii="Calibri" w:hAnsi="Calibri"/>
                <w:color w:val="000000"/>
                <w:sz w:val="18"/>
                <w:szCs w:val="18"/>
                <w:lang w:eastAsia="sl-SI"/>
              </w:rPr>
            </w:pPr>
            <w:r w:rsidRPr="0042664D">
              <w:rPr>
                <w:rFonts w:ascii="Calibri" w:hAnsi="Calibri"/>
                <w:color w:val="000000"/>
                <w:sz w:val="18"/>
                <w:szCs w:val="18"/>
                <w:lang w:eastAsia="sl-SI"/>
              </w:rPr>
              <w:t>303-Sedanja vrednost nepremičnin</w:t>
            </w:r>
          </w:p>
        </w:tc>
        <w:tc>
          <w:tcPr>
            <w:tcW w:w="815" w:type="pct"/>
            <w:shd w:val="clear" w:color="auto" w:fill="auto"/>
            <w:noWrap/>
            <w:vAlign w:val="bottom"/>
          </w:tcPr>
          <w:p w:rsidR="00FD2C67" w:rsidRPr="00412299" w:rsidRDefault="00FD2C67" w:rsidP="00F83FBB">
            <w:pPr>
              <w:spacing w:line="240" w:lineRule="auto"/>
              <w:jc w:val="right"/>
              <w:rPr>
                <w:rFonts w:ascii="Calibri" w:hAnsi="Calibri"/>
                <w:color w:val="000000"/>
                <w:sz w:val="18"/>
                <w:szCs w:val="18"/>
                <w:lang w:eastAsia="sl-SI"/>
              </w:rPr>
            </w:pPr>
            <w:r w:rsidRPr="00972554">
              <w:rPr>
                <w:rFonts w:ascii="Calibri" w:hAnsi="Calibri"/>
                <w:sz w:val="18"/>
                <w:szCs w:val="18"/>
              </w:rPr>
              <w:t xml:space="preserve">5.891.000.451 </w:t>
            </w:r>
          </w:p>
        </w:tc>
        <w:tc>
          <w:tcPr>
            <w:tcW w:w="815" w:type="pct"/>
            <w:shd w:val="clear" w:color="auto" w:fill="auto"/>
            <w:noWrap/>
            <w:vAlign w:val="bottom"/>
            <w:hideMark/>
          </w:tcPr>
          <w:p w:rsidR="00FD2C67" w:rsidRPr="003E5CEF" w:rsidRDefault="00FD2C67" w:rsidP="003E5CEF">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6.219.875.939 </w:t>
            </w:r>
          </w:p>
        </w:tc>
        <w:tc>
          <w:tcPr>
            <w:tcW w:w="371" w:type="pct"/>
            <w:shd w:val="clear" w:color="auto" w:fill="auto"/>
            <w:noWrap/>
            <w:vAlign w:val="bottom"/>
            <w:hideMark/>
          </w:tcPr>
          <w:p w:rsidR="00FD2C67" w:rsidRPr="00412299" w:rsidRDefault="00FD2C67" w:rsidP="00F83FBB">
            <w:pPr>
              <w:spacing w:line="240" w:lineRule="auto"/>
              <w:jc w:val="right"/>
              <w:rPr>
                <w:rFonts w:ascii="Calibri" w:hAnsi="Calibri"/>
                <w:color w:val="000000"/>
                <w:sz w:val="18"/>
                <w:szCs w:val="18"/>
                <w:lang w:eastAsia="sl-SI"/>
              </w:rPr>
            </w:pPr>
            <w:r w:rsidRPr="00972554">
              <w:rPr>
                <w:rFonts w:ascii="Calibri" w:hAnsi="Calibri"/>
                <w:sz w:val="18"/>
                <w:szCs w:val="18"/>
              </w:rPr>
              <w:t>94,71</w:t>
            </w:r>
          </w:p>
        </w:tc>
        <w:tc>
          <w:tcPr>
            <w:tcW w:w="666" w:type="pct"/>
            <w:shd w:val="clear" w:color="auto" w:fill="auto"/>
            <w:noWrap/>
            <w:vAlign w:val="bottom"/>
            <w:hideMark/>
          </w:tcPr>
          <w:p w:rsidR="00FD2C67" w:rsidRPr="00412299" w:rsidRDefault="00FD2C67"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-328.875.488 </w:t>
            </w:r>
          </w:p>
        </w:tc>
      </w:tr>
      <w:tr w:rsidR="00FD2C67" w:rsidRPr="008F68E0" w:rsidTr="00972554">
        <w:trPr>
          <w:trHeight w:val="300"/>
        </w:trPr>
        <w:tc>
          <w:tcPr>
            <w:tcW w:w="2333" w:type="pct"/>
            <w:shd w:val="clear" w:color="auto" w:fill="auto"/>
            <w:noWrap/>
            <w:vAlign w:val="bottom"/>
            <w:hideMark/>
          </w:tcPr>
          <w:p w:rsidR="00FD2C67" w:rsidRPr="0042664D" w:rsidRDefault="00FD2C67" w:rsidP="00651361">
            <w:pPr>
              <w:spacing w:line="240" w:lineRule="auto"/>
              <w:rPr>
                <w:rFonts w:ascii="Calibri" w:hAnsi="Calibri"/>
                <w:color w:val="000000"/>
                <w:sz w:val="18"/>
                <w:szCs w:val="18"/>
                <w:lang w:eastAsia="sl-SI"/>
              </w:rPr>
            </w:pPr>
            <w:r w:rsidRPr="0042664D">
              <w:rPr>
                <w:rFonts w:ascii="Calibri" w:hAnsi="Calibri"/>
                <w:color w:val="000000"/>
                <w:sz w:val="18"/>
                <w:szCs w:val="18"/>
                <w:lang w:eastAsia="sl-SI"/>
              </w:rPr>
              <w:t>304-Nabavna vrednost nepremičnin</w:t>
            </w:r>
          </w:p>
        </w:tc>
        <w:tc>
          <w:tcPr>
            <w:tcW w:w="815" w:type="pct"/>
            <w:shd w:val="clear" w:color="auto" w:fill="auto"/>
            <w:noWrap/>
            <w:vAlign w:val="bottom"/>
          </w:tcPr>
          <w:p w:rsidR="00FD2C67" w:rsidRPr="00412299" w:rsidRDefault="00FD2C67" w:rsidP="00F83FBB">
            <w:pPr>
              <w:spacing w:line="240" w:lineRule="auto"/>
              <w:jc w:val="right"/>
              <w:rPr>
                <w:rFonts w:ascii="Calibri" w:hAnsi="Calibri"/>
                <w:color w:val="000000"/>
                <w:sz w:val="18"/>
                <w:szCs w:val="18"/>
                <w:lang w:eastAsia="sl-SI"/>
              </w:rPr>
            </w:pPr>
            <w:r w:rsidRPr="00972554">
              <w:rPr>
                <w:rFonts w:ascii="Calibri" w:hAnsi="Calibri"/>
                <w:sz w:val="18"/>
                <w:szCs w:val="18"/>
              </w:rPr>
              <w:t xml:space="preserve">10.072.911.756 </w:t>
            </w:r>
          </w:p>
        </w:tc>
        <w:tc>
          <w:tcPr>
            <w:tcW w:w="815" w:type="pct"/>
            <w:shd w:val="clear" w:color="auto" w:fill="auto"/>
            <w:noWrap/>
            <w:vAlign w:val="bottom"/>
            <w:hideMark/>
          </w:tcPr>
          <w:p w:rsidR="00FD2C67" w:rsidRPr="003E5CEF" w:rsidRDefault="00FD2C67" w:rsidP="003E5CEF">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10.212.447.387 </w:t>
            </w:r>
          </w:p>
        </w:tc>
        <w:tc>
          <w:tcPr>
            <w:tcW w:w="371" w:type="pct"/>
            <w:shd w:val="clear" w:color="auto" w:fill="auto"/>
            <w:noWrap/>
            <w:vAlign w:val="bottom"/>
            <w:hideMark/>
          </w:tcPr>
          <w:p w:rsidR="00FD2C67" w:rsidRPr="00412299" w:rsidRDefault="00FD2C67" w:rsidP="00F83FBB">
            <w:pPr>
              <w:spacing w:line="240" w:lineRule="auto"/>
              <w:jc w:val="right"/>
              <w:rPr>
                <w:rFonts w:ascii="Calibri" w:hAnsi="Calibri"/>
                <w:color w:val="000000"/>
                <w:sz w:val="18"/>
                <w:szCs w:val="18"/>
                <w:lang w:eastAsia="sl-SI"/>
              </w:rPr>
            </w:pPr>
            <w:r w:rsidRPr="00972554">
              <w:rPr>
                <w:rFonts w:ascii="Calibri" w:hAnsi="Calibri"/>
                <w:sz w:val="18"/>
                <w:szCs w:val="18"/>
              </w:rPr>
              <w:t>98,63</w:t>
            </w:r>
          </w:p>
        </w:tc>
        <w:tc>
          <w:tcPr>
            <w:tcW w:w="666" w:type="pct"/>
            <w:shd w:val="clear" w:color="auto" w:fill="auto"/>
            <w:noWrap/>
            <w:vAlign w:val="bottom"/>
            <w:hideMark/>
          </w:tcPr>
          <w:p w:rsidR="00FD2C67" w:rsidRPr="00412299" w:rsidRDefault="00FD2C67"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-139.535.631 </w:t>
            </w:r>
          </w:p>
        </w:tc>
      </w:tr>
      <w:tr w:rsidR="00FD2C67" w:rsidRPr="008F68E0" w:rsidTr="00972554">
        <w:trPr>
          <w:trHeight w:val="300"/>
        </w:trPr>
        <w:tc>
          <w:tcPr>
            <w:tcW w:w="2333" w:type="pct"/>
            <w:shd w:val="clear" w:color="auto" w:fill="auto"/>
            <w:noWrap/>
            <w:vAlign w:val="bottom"/>
            <w:hideMark/>
          </w:tcPr>
          <w:p w:rsidR="00FD2C67" w:rsidRPr="0042664D" w:rsidRDefault="00FD2C67" w:rsidP="00651361">
            <w:pPr>
              <w:spacing w:line="240" w:lineRule="auto"/>
              <w:rPr>
                <w:rFonts w:ascii="Calibri" w:hAnsi="Calibri"/>
                <w:color w:val="000000"/>
                <w:sz w:val="18"/>
                <w:szCs w:val="18"/>
                <w:lang w:eastAsia="sl-SI"/>
              </w:rPr>
            </w:pPr>
            <w:r w:rsidRPr="0042664D">
              <w:rPr>
                <w:rFonts w:ascii="Calibri" w:hAnsi="Calibri"/>
                <w:color w:val="000000"/>
                <w:sz w:val="18"/>
                <w:szCs w:val="18"/>
                <w:lang w:eastAsia="sl-SI"/>
              </w:rPr>
              <w:t>305-Popravek vrednosti nepremičnin</w:t>
            </w:r>
          </w:p>
        </w:tc>
        <w:tc>
          <w:tcPr>
            <w:tcW w:w="815" w:type="pct"/>
            <w:shd w:val="clear" w:color="auto" w:fill="auto"/>
            <w:noWrap/>
            <w:vAlign w:val="bottom"/>
          </w:tcPr>
          <w:p w:rsidR="00FD2C67" w:rsidRPr="00412299" w:rsidRDefault="00FD2C67" w:rsidP="00F83FBB">
            <w:pPr>
              <w:spacing w:line="240" w:lineRule="auto"/>
              <w:jc w:val="right"/>
              <w:rPr>
                <w:rFonts w:ascii="Calibri" w:hAnsi="Calibri"/>
                <w:color w:val="000000"/>
                <w:sz w:val="18"/>
                <w:szCs w:val="18"/>
                <w:lang w:eastAsia="sl-SI"/>
              </w:rPr>
            </w:pPr>
            <w:r w:rsidRPr="00972554">
              <w:rPr>
                <w:rFonts w:ascii="Calibri" w:hAnsi="Calibri"/>
                <w:sz w:val="18"/>
                <w:szCs w:val="18"/>
              </w:rPr>
              <w:t xml:space="preserve">4.181.911.305 </w:t>
            </w:r>
          </w:p>
        </w:tc>
        <w:tc>
          <w:tcPr>
            <w:tcW w:w="815" w:type="pct"/>
            <w:shd w:val="clear" w:color="auto" w:fill="auto"/>
            <w:noWrap/>
            <w:vAlign w:val="bottom"/>
            <w:hideMark/>
          </w:tcPr>
          <w:p w:rsidR="00FD2C67" w:rsidRPr="003E5CEF" w:rsidRDefault="00FD2C67" w:rsidP="003E5CEF">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3.992.571.448 </w:t>
            </w:r>
          </w:p>
        </w:tc>
        <w:tc>
          <w:tcPr>
            <w:tcW w:w="371" w:type="pct"/>
            <w:shd w:val="clear" w:color="auto" w:fill="auto"/>
            <w:noWrap/>
            <w:vAlign w:val="bottom"/>
            <w:hideMark/>
          </w:tcPr>
          <w:p w:rsidR="00FD2C67" w:rsidRPr="00412299" w:rsidRDefault="00FD2C67" w:rsidP="00F83FBB">
            <w:pPr>
              <w:spacing w:line="240" w:lineRule="auto"/>
              <w:jc w:val="right"/>
              <w:rPr>
                <w:rFonts w:ascii="Calibri" w:hAnsi="Calibri"/>
                <w:color w:val="000000"/>
                <w:sz w:val="18"/>
                <w:szCs w:val="18"/>
                <w:lang w:eastAsia="sl-SI"/>
              </w:rPr>
            </w:pPr>
            <w:r w:rsidRPr="00972554">
              <w:rPr>
                <w:rFonts w:ascii="Calibri" w:hAnsi="Calibri"/>
                <w:sz w:val="18"/>
                <w:szCs w:val="18"/>
              </w:rPr>
              <w:t>104,74</w:t>
            </w:r>
          </w:p>
        </w:tc>
        <w:tc>
          <w:tcPr>
            <w:tcW w:w="666" w:type="pct"/>
            <w:shd w:val="clear" w:color="auto" w:fill="auto"/>
            <w:noWrap/>
            <w:vAlign w:val="bottom"/>
            <w:hideMark/>
          </w:tcPr>
          <w:p w:rsidR="00FD2C67" w:rsidRPr="00412299" w:rsidRDefault="00FD2C67"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189.339.857 </w:t>
            </w:r>
          </w:p>
        </w:tc>
      </w:tr>
      <w:tr w:rsidR="00FD2C67" w:rsidRPr="008F68E0" w:rsidTr="00972554">
        <w:trPr>
          <w:trHeight w:val="300"/>
        </w:trPr>
        <w:tc>
          <w:tcPr>
            <w:tcW w:w="2333" w:type="pct"/>
            <w:shd w:val="clear" w:color="auto" w:fill="auto"/>
            <w:noWrap/>
            <w:vAlign w:val="bottom"/>
            <w:hideMark/>
          </w:tcPr>
          <w:p w:rsidR="00FD2C67" w:rsidRPr="0042664D" w:rsidRDefault="00FD2C67" w:rsidP="00651361">
            <w:pPr>
              <w:spacing w:line="240" w:lineRule="auto"/>
              <w:rPr>
                <w:rFonts w:ascii="Calibri" w:hAnsi="Calibri"/>
                <w:color w:val="000000"/>
                <w:sz w:val="18"/>
                <w:szCs w:val="18"/>
                <w:lang w:eastAsia="sl-SI"/>
              </w:rPr>
            </w:pPr>
            <w:r w:rsidRPr="0042664D">
              <w:rPr>
                <w:rFonts w:ascii="Calibri" w:hAnsi="Calibri"/>
                <w:color w:val="000000"/>
                <w:sz w:val="18"/>
                <w:szCs w:val="18"/>
                <w:lang w:eastAsia="sl-SI"/>
              </w:rPr>
              <w:t>306-Sedanja vrednost opreme in drugih opredmetenih osnovnih sredstev</w:t>
            </w:r>
          </w:p>
        </w:tc>
        <w:tc>
          <w:tcPr>
            <w:tcW w:w="815" w:type="pct"/>
            <w:shd w:val="clear" w:color="auto" w:fill="auto"/>
            <w:noWrap/>
            <w:vAlign w:val="bottom"/>
          </w:tcPr>
          <w:p w:rsidR="00FD2C67" w:rsidRPr="00116FC1" w:rsidRDefault="00FD2C67" w:rsidP="00F83FBB">
            <w:pPr>
              <w:spacing w:line="240" w:lineRule="auto"/>
              <w:jc w:val="right"/>
              <w:rPr>
                <w:rFonts w:ascii="Calibri" w:hAnsi="Calibri"/>
                <w:color w:val="000000"/>
                <w:sz w:val="18"/>
                <w:szCs w:val="18"/>
                <w:lang w:eastAsia="sl-SI"/>
              </w:rPr>
            </w:pPr>
            <w:r w:rsidRPr="00972554">
              <w:rPr>
                <w:rFonts w:ascii="Calibri" w:hAnsi="Calibri"/>
                <w:sz w:val="18"/>
                <w:szCs w:val="18"/>
              </w:rPr>
              <w:t xml:space="preserve">1.142.062.392 </w:t>
            </w:r>
          </w:p>
        </w:tc>
        <w:tc>
          <w:tcPr>
            <w:tcW w:w="815" w:type="pct"/>
            <w:shd w:val="clear" w:color="auto" w:fill="auto"/>
            <w:noWrap/>
            <w:vAlign w:val="bottom"/>
            <w:hideMark/>
          </w:tcPr>
          <w:p w:rsidR="00FD2C67" w:rsidRPr="003E5CEF" w:rsidRDefault="00FD2C67" w:rsidP="003E5CEF">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643.803.290 </w:t>
            </w:r>
          </w:p>
        </w:tc>
        <w:tc>
          <w:tcPr>
            <w:tcW w:w="371" w:type="pct"/>
            <w:shd w:val="clear" w:color="auto" w:fill="auto"/>
            <w:noWrap/>
            <w:vAlign w:val="bottom"/>
            <w:hideMark/>
          </w:tcPr>
          <w:p w:rsidR="00FD2C67" w:rsidRPr="00412299" w:rsidRDefault="00FD2C67" w:rsidP="00F83FBB">
            <w:pPr>
              <w:spacing w:line="240" w:lineRule="auto"/>
              <w:jc w:val="right"/>
              <w:rPr>
                <w:rFonts w:ascii="Calibri" w:hAnsi="Calibri"/>
                <w:color w:val="000000"/>
                <w:sz w:val="18"/>
                <w:szCs w:val="18"/>
                <w:lang w:eastAsia="sl-SI"/>
              </w:rPr>
            </w:pPr>
            <w:r w:rsidRPr="00972554">
              <w:rPr>
                <w:rFonts w:ascii="Calibri" w:hAnsi="Calibri"/>
                <w:sz w:val="18"/>
                <w:szCs w:val="18"/>
              </w:rPr>
              <w:t>177,39</w:t>
            </w:r>
          </w:p>
        </w:tc>
        <w:tc>
          <w:tcPr>
            <w:tcW w:w="666" w:type="pct"/>
            <w:shd w:val="clear" w:color="auto" w:fill="auto"/>
            <w:noWrap/>
            <w:vAlign w:val="bottom"/>
            <w:hideMark/>
          </w:tcPr>
          <w:p w:rsidR="00FD2C67" w:rsidRPr="00412299" w:rsidRDefault="00FD2C67"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498.259.102 </w:t>
            </w:r>
          </w:p>
        </w:tc>
      </w:tr>
      <w:tr w:rsidR="00FD2C67" w:rsidRPr="008F68E0" w:rsidTr="00972554">
        <w:trPr>
          <w:trHeight w:val="300"/>
        </w:trPr>
        <w:tc>
          <w:tcPr>
            <w:tcW w:w="2333" w:type="pct"/>
            <w:shd w:val="clear" w:color="auto" w:fill="auto"/>
            <w:noWrap/>
            <w:vAlign w:val="bottom"/>
            <w:hideMark/>
          </w:tcPr>
          <w:p w:rsidR="00FD2C67" w:rsidRPr="0042664D" w:rsidRDefault="00FD2C67" w:rsidP="00651361">
            <w:pPr>
              <w:spacing w:line="240" w:lineRule="auto"/>
              <w:rPr>
                <w:rFonts w:ascii="Calibri" w:hAnsi="Calibri"/>
                <w:color w:val="000000"/>
                <w:sz w:val="18"/>
                <w:szCs w:val="18"/>
                <w:lang w:eastAsia="sl-SI"/>
              </w:rPr>
            </w:pPr>
            <w:r w:rsidRPr="0042664D">
              <w:rPr>
                <w:rFonts w:ascii="Calibri" w:hAnsi="Calibri"/>
                <w:color w:val="000000"/>
                <w:sz w:val="18"/>
                <w:szCs w:val="18"/>
                <w:lang w:eastAsia="sl-SI"/>
              </w:rPr>
              <w:lastRenderedPageBreak/>
              <w:t>307-Nabavna vrednost opreme in drugih opredmetenih osnovnih sredstev</w:t>
            </w:r>
          </w:p>
        </w:tc>
        <w:tc>
          <w:tcPr>
            <w:tcW w:w="815" w:type="pct"/>
            <w:shd w:val="clear" w:color="auto" w:fill="auto"/>
            <w:noWrap/>
            <w:vAlign w:val="bottom"/>
          </w:tcPr>
          <w:p w:rsidR="00FD2C67" w:rsidRPr="00412299" w:rsidRDefault="00FD2C67" w:rsidP="00F83FBB">
            <w:pPr>
              <w:spacing w:line="240" w:lineRule="auto"/>
              <w:jc w:val="right"/>
              <w:rPr>
                <w:rFonts w:ascii="Calibri" w:hAnsi="Calibri"/>
                <w:color w:val="000000"/>
                <w:sz w:val="18"/>
                <w:szCs w:val="18"/>
                <w:lang w:eastAsia="sl-SI"/>
              </w:rPr>
            </w:pPr>
            <w:r w:rsidRPr="00972554">
              <w:rPr>
                <w:rFonts w:ascii="Calibri" w:hAnsi="Calibri"/>
                <w:sz w:val="18"/>
                <w:szCs w:val="18"/>
              </w:rPr>
              <w:t xml:space="preserve">2.885.345.665 </w:t>
            </w:r>
          </w:p>
        </w:tc>
        <w:tc>
          <w:tcPr>
            <w:tcW w:w="815" w:type="pct"/>
            <w:shd w:val="clear" w:color="auto" w:fill="auto"/>
            <w:noWrap/>
            <w:vAlign w:val="bottom"/>
            <w:hideMark/>
          </w:tcPr>
          <w:p w:rsidR="00FD2C67" w:rsidRPr="003E5CEF" w:rsidRDefault="00FD2C67" w:rsidP="003E5CEF">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2.286.626.393 </w:t>
            </w:r>
          </w:p>
        </w:tc>
        <w:tc>
          <w:tcPr>
            <w:tcW w:w="371" w:type="pct"/>
            <w:shd w:val="clear" w:color="auto" w:fill="auto"/>
            <w:noWrap/>
            <w:vAlign w:val="bottom"/>
            <w:hideMark/>
          </w:tcPr>
          <w:p w:rsidR="00FD2C67" w:rsidRPr="00412299" w:rsidRDefault="00FD2C67" w:rsidP="00F83FBB">
            <w:pPr>
              <w:spacing w:line="240" w:lineRule="auto"/>
              <w:jc w:val="right"/>
              <w:rPr>
                <w:rFonts w:ascii="Calibri" w:hAnsi="Calibri"/>
                <w:color w:val="000000"/>
                <w:sz w:val="18"/>
                <w:szCs w:val="18"/>
                <w:lang w:eastAsia="sl-SI"/>
              </w:rPr>
            </w:pPr>
            <w:r w:rsidRPr="00972554">
              <w:rPr>
                <w:rFonts w:ascii="Calibri" w:hAnsi="Calibri"/>
                <w:sz w:val="18"/>
                <w:szCs w:val="18"/>
              </w:rPr>
              <w:t>126,18</w:t>
            </w:r>
          </w:p>
        </w:tc>
        <w:tc>
          <w:tcPr>
            <w:tcW w:w="666" w:type="pct"/>
            <w:shd w:val="clear" w:color="auto" w:fill="auto"/>
            <w:noWrap/>
            <w:vAlign w:val="bottom"/>
            <w:hideMark/>
          </w:tcPr>
          <w:p w:rsidR="00FD2C67" w:rsidRPr="00412299" w:rsidRDefault="00FD2C67"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598.719.272 </w:t>
            </w:r>
          </w:p>
        </w:tc>
      </w:tr>
      <w:tr w:rsidR="00FD2C67" w:rsidRPr="008F68E0" w:rsidTr="00972554">
        <w:trPr>
          <w:trHeight w:val="300"/>
        </w:trPr>
        <w:tc>
          <w:tcPr>
            <w:tcW w:w="2333" w:type="pct"/>
            <w:shd w:val="clear" w:color="auto" w:fill="auto"/>
            <w:noWrap/>
            <w:vAlign w:val="bottom"/>
            <w:hideMark/>
          </w:tcPr>
          <w:p w:rsidR="00FD2C67" w:rsidRPr="0042664D" w:rsidRDefault="00FD2C67" w:rsidP="00651361">
            <w:pPr>
              <w:spacing w:line="240" w:lineRule="auto"/>
              <w:rPr>
                <w:rFonts w:ascii="Calibri" w:hAnsi="Calibri"/>
                <w:color w:val="000000"/>
                <w:sz w:val="18"/>
                <w:szCs w:val="18"/>
                <w:lang w:eastAsia="sl-SI"/>
              </w:rPr>
            </w:pPr>
            <w:r w:rsidRPr="0042664D">
              <w:rPr>
                <w:rFonts w:ascii="Calibri" w:hAnsi="Calibri"/>
                <w:color w:val="000000"/>
                <w:sz w:val="18"/>
                <w:szCs w:val="18"/>
                <w:lang w:eastAsia="sl-SI"/>
              </w:rPr>
              <w:t>308-Popravek vrednosti opreme in drugih opredmetenih osnovnih sredstev</w:t>
            </w:r>
          </w:p>
        </w:tc>
        <w:tc>
          <w:tcPr>
            <w:tcW w:w="815" w:type="pct"/>
            <w:shd w:val="clear" w:color="auto" w:fill="auto"/>
            <w:noWrap/>
            <w:vAlign w:val="bottom"/>
          </w:tcPr>
          <w:p w:rsidR="00FD2C67" w:rsidRPr="00412299" w:rsidRDefault="00FD2C67" w:rsidP="00F83FBB">
            <w:pPr>
              <w:spacing w:line="240" w:lineRule="auto"/>
              <w:jc w:val="right"/>
              <w:rPr>
                <w:rFonts w:ascii="Calibri" w:hAnsi="Calibri"/>
                <w:color w:val="000000"/>
                <w:sz w:val="18"/>
                <w:szCs w:val="18"/>
                <w:lang w:eastAsia="sl-SI"/>
              </w:rPr>
            </w:pPr>
            <w:r w:rsidRPr="00972554">
              <w:rPr>
                <w:rFonts w:ascii="Calibri" w:hAnsi="Calibri"/>
                <w:sz w:val="18"/>
                <w:szCs w:val="18"/>
              </w:rPr>
              <w:t xml:space="preserve">1.743.283.273 </w:t>
            </w:r>
          </w:p>
        </w:tc>
        <w:tc>
          <w:tcPr>
            <w:tcW w:w="815" w:type="pct"/>
            <w:shd w:val="clear" w:color="auto" w:fill="auto"/>
            <w:noWrap/>
            <w:vAlign w:val="bottom"/>
            <w:hideMark/>
          </w:tcPr>
          <w:p w:rsidR="00FD2C67" w:rsidRPr="003E5CEF" w:rsidRDefault="00FD2C67" w:rsidP="003E5CEF">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1.642.823.103 </w:t>
            </w:r>
          </w:p>
        </w:tc>
        <w:tc>
          <w:tcPr>
            <w:tcW w:w="371" w:type="pct"/>
            <w:shd w:val="clear" w:color="auto" w:fill="auto"/>
            <w:noWrap/>
            <w:vAlign w:val="bottom"/>
            <w:hideMark/>
          </w:tcPr>
          <w:p w:rsidR="00FD2C67" w:rsidRPr="00412299" w:rsidRDefault="00FD2C67" w:rsidP="00F83FBB">
            <w:pPr>
              <w:spacing w:line="240" w:lineRule="auto"/>
              <w:jc w:val="right"/>
              <w:rPr>
                <w:rFonts w:ascii="Calibri" w:hAnsi="Calibri"/>
                <w:color w:val="000000"/>
                <w:sz w:val="18"/>
                <w:szCs w:val="18"/>
                <w:lang w:eastAsia="sl-SI"/>
              </w:rPr>
            </w:pPr>
            <w:r w:rsidRPr="00972554">
              <w:rPr>
                <w:rFonts w:ascii="Calibri" w:hAnsi="Calibri"/>
                <w:sz w:val="18"/>
                <w:szCs w:val="18"/>
              </w:rPr>
              <w:t>106,12</w:t>
            </w:r>
          </w:p>
        </w:tc>
        <w:tc>
          <w:tcPr>
            <w:tcW w:w="666" w:type="pct"/>
            <w:shd w:val="clear" w:color="auto" w:fill="auto"/>
            <w:noWrap/>
            <w:vAlign w:val="bottom"/>
            <w:hideMark/>
          </w:tcPr>
          <w:p w:rsidR="00FD2C67" w:rsidRPr="00412299" w:rsidRDefault="00FD2C67"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100.460.170 </w:t>
            </w:r>
          </w:p>
        </w:tc>
      </w:tr>
      <w:tr w:rsidR="00FD2C67" w:rsidRPr="008F68E0" w:rsidTr="00972554">
        <w:trPr>
          <w:trHeight w:val="300"/>
        </w:trPr>
        <w:tc>
          <w:tcPr>
            <w:tcW w:w="2333" w:type="pct"/>
            <w:shd w:val="clear" w:color="auto" w:fill="auto"/>
            <w:noWrap/>
            <w:vAlign w:val="bottom"/>
            <w:hideMark/>
          </w:tcPr>
          <w:p w:rsidR="00FD2C67" w:rsidRPr="0042664D" w:rsidRDefault="00FD2C67" w:rsidP="00651361">
            <w:pPr>
              <w:spacing w:line="240" w:lineRule="auto"/>
              <w:rPr>
                <w:rFonts w:ascii="Calibri" w:hAnsi="Calibri"/>
                <w:color w:val="000000"/>
                <w:sz w:val="18"/>
                <w:szCs w:val="18"/>
                <w:lang w:eastAsia="sl-SI"/>
              </w:rPr>
            </w:pPr>
            <w:r w:rsidRPr="0042664D">
              <w:rPr>
                <w:rFonts w:ascii="Calibri" w:hAnsi="Calibri"/>
                <w:color w:val="000000"/>
                <w:sz w:val="18"/>
                <w:szCs w:val="18"/>
                <w:lang w:eastAsia="sl-SI"/>
              </w:rPr>
              <w:t>309-Terjatve za sredstva dana v upravljanje</w:t>
            </w:r>
          </w:p>
        </w:tc>
        <w:tc>
          <w:tcPr>
            <w:tcW w:w="815" w:type="pct"/>
            <w:shd w:val="clear" w:color="auto" w:fill="auto"/>
            <w:noWrap/>
            <w:vAlign w:val="bottom"/>
          </w:tcPr>
          <w:p w:rsidR="00FD2C67" w:rsidRPr="00412299" w:rsidRDefault="00FD2C67" w:rsidP="00F83FBB">
            <w:pPr>
              <w:spacing w:line="240" w:lineRule="auto"/>
              <w:jc w:val="right"/>
              <w:rPr>
                <w:rFonts w:ascii="Calibri" w:hAnsi="Calibri"/>
                <w:color w:val="000000"/>
                <w:sz w:val="18"/>
                <w:szCs w:val="18"/>
                <w:lang w:eastAsia="sl-SI"/>
              </w:rPr>
            </w:pPr>
            <w:r w:rsidRPr="00972554">
              <w:rPr>
                <w:rFonts w:ascii="Calibri" w:hAnsi="Calibri"/>
                <w:sz w:val="18"/>
                <w:szCs w:val="18"/>
              </w:rPr>
              <w:t xml:space="preserve">2.910.981.388 </w:t>
            </w:r>
          </w:p>
        </w:tc>
        <w:tc>
          <w:tcPr>
            <w:tcW w:w="815" w:type="pct"/>
            <w:shd w:val="clear" w:color="auto" w:fill="auto"/>
            <w:noWrap/>
            <w:vAlign w:val="bottom"/>
            <w:hideMark/>
          </w:tcPr>
          <w:p w:rsidR="00FD2C67" w:rsidRPr="003E5CEF" w:rsidRDefault="00FD2C67" w:rsidP="003E5CEF">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2.874.849.818 </w:t>
            </w:r>
          </w:p>
        </w:tc>
        <w:tc>
          <w:tcPr>
            <w:tcW w:w="371" w:type="pct"/>
            <w:shd w:val="clear" w:color="auto" w:fill="auto"/>
            <w:noWrap/>
            <w:vAlign w:val="bottom"/>
            <w:hideMark/>
          </w:tcPr>
          <w:p w:rsidR="00FD2C67" w:rsidRPr="00412299" w:rsidRDefault="00FD2C67" w:rsidP="00F83FBB">
            <w:pPr>
              <w:spacing w:line="240" w:lineRule="auto"/>
              <w:jc w:val="right"/>
              <w:rPr>
                <w:rFonts w:ascii="Calibri" w:hAnsi="Calibri"/>
                <w:color w:val="000000"/>
                <w:sz w:val="18"/>
                <w:szCs w:val="18"/>
                <w:lang w:eastAsia="sl-SI"/>
              </w:rPr>
            </w:pPr>
            <w:r w:rsidRPr="00972554">
              <w:rPr>
                <w:rFonts w:ascii="Calibri" w:hAnsi="Calibri"/>
                <w:sz w:val="18"/>
                <w:szCs w:val="18"/>
              </w:rPr>
              <w:t>101,26</w:t>
            </w:r>
          </w:p>
        </w:tc>
        <w:tc>
          <w:tcPr>
            <w:tcW w:w="666" w:type="pct"/>
            <w:shd w:val="clear" w:color="auto" w:fill="auto"/>
            <w:noWrap/>
            <w:vAlign w:val="bottom"/>
            <w:hideMark/>
          </w:tcPr>
          <w:p w:rsidR="00FD2C67" w:rsidRPr="00412299" w:rsidRDefault="00FD2C67"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36.131.570 </w:t>
            </w:r>
          </w:p>
        </w:tc>
      </w:tr>
      <w:tr w:rsidR="00FD2C67" w:rsidRPr="008F68E0" w:rsidTr="00972554">
        <w:trPr>
          <w:trHeight w:val="300"/>
        </w:trPr>
        <w:tc>
          <w:tcPr>
            <w:tcW w:w="2333" w:type="pct"/>
            <w:shd w:val="clear" w:color="auto" w:fill="auto"/>
            <w:noWrap/>
            <w:vAlign w:val="bottom"/>
            <w:hideMark/>
          </w:tcPr>
          <w:p w:rsidR="00FD2C67" w:rsidRPr="0042664D" w:rsidRDefault="00FD2C67" w:rsidP="00651361">
            <w:pPr>
              <w:spacing w:line="240" w:lineRule="auto"/>
              <w:rPr>
                <w:rFonts w:ascii="Calibri" w:hAnsi="Calibri"/>
                <w:color w:val="000000"/>
                <w:sz w:val="18"/>
                <w:szCs w:val="18"/>
                <w:lang w:eastAsia="sl-SI"/>
              </w:rPr>
            </w:pPr>
            <w:r w:rsidRPr="0042664D">
              <w:rPr>
                <w:rFonts w:ascii="Calibri" w:hAnsi="Calibri"/>
                <w:color w:val="000000"/>
                <w:sz w:val="18"/>
                <w:szCs w:val="18"/>
                <w:lang w:eastAsia="sl-SI"/>
              </w:rPr>
              <w:t>310-Terjatve za sredstva dana v upravljanje posrednim in neposrednim uporabnikom državnega proračuna</w:t>
            </w:r>
          </w:p>
        </w:tc>
        <w:tc>
          <w:tcPr>
            <w:tcW w:w="815" w:type="pct"/>
            <w:shd w:val="clear" w:color="auto" w:fill="auto"/>
            <w:noWrap/>
            <w:vAlign w:val="bottom"/>
          </w:tcPr>
          <w:p w:rsidR="00FD2C67" w:rsidRPr="00412299" w:rsidRDefault="00FD2C67" w:rsidP="00F83FBB">
            <w:pPr>
              <w:spacing w:line="240" w:lineRule="auto"/>
              <w:jc w:val="right"/>
              <w:rPr>
                <w:rFonts w:ascii="Calibri" w:hAnsi="Calibri"/>
                <w:color w:val="000000"/>
                <w:sz w:val="18"/>
                <w:szCs w:val="18"/>
                <w:lang w:eastAsia="sl-SI"/>
              </w:rPr>
            </w:pPr>
            <w:r w:rsidRPr="00972554">
              <w:rPr>
                <w:rFonts w:ascii="Calibri" w:hAnsi="Calibri"/>
                <w:sz w:val="18"/>
                <w:szCs w:val="18"/>
              </w:rPr>
              <w:t xml:space="preserve">2.878.543.628 </w:t>
            </w:r>
          </w:p>
        </w:tc>
        <w:tc>
          <w:tcPr>
            <w:tcW w:w="815" w:type="pct"/>
            <w:shd w:val="clear" w:color="auto" w:fill="auto"/>
            <w:noWrap/>
            <w:vAlign w:val="bottom"/>
            <w:hideMark/>
          </w:tcPr>
          <w:p w:rsidR="00FD2C67" w:rsidRPr="003E5CEF" w:rsidRDefault="00FD2C67" w:rsidP="003E5CEF">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2.843.489.590 </w:t>
            </w:r>
          </w:p>
        </w:tc>
        <w:tc>
          <w:tcPr>
            <w:tcW w:w="371" w:type="pct"/>
            <w:shd w:val="clear" w:color="auto" w:fill="auto"/>
            <w:noWrap/>
            <w:vAlign w:val="bottom"/>
            <w:hideMark/>
          </w:tcPr>
          <w:p w:rsidR="00FD2C67" w:rsidRPr="00412299" w:rsidRDefault="00FD2C67" w:rsidP="00F83FBB">
            <w:pPr>
              <w:spacing w:line="240" w:lineRule="auto"/>
              <w:jc w:val="right"/>
              <w:rPr>
                <w:rFonts w:ascii="Calibri" w:hAnsi="Calibri"/>
                <w:color w:val="000000"/>
                <w:sz w:val="18"/>
                <w:szCs w:val="18"/>
                <w:lang w:eastAsia="sl-SI"/>
              </w:rPr>
            </w:pPr>
            <w:r w:rsidRPr="00972554">
              <w:rPr>
                <w:rFonts w:ascii="Calibri" w:hAnsi="Calibri"/>
                <w:sz w:val="18"/>
                <w:szCs w:val="18"/>
              </w:rPr>
              <w:t>101,23</w:t>
            </w:r>
          </w:p>
        </w:tc>
        <w:tc>
          <w:tcPr>
            <w:tcW w:w="666" w:type="pct"/>
            <w:shd w:val="clear" w:color="auto" w:fill="auto"/>
            <w:noWrap/>
            <w:vAlign w:val="bottom"/>
            <w:hideMark/>
          </w:tcPr>
          <w:p w:rsidR="00FD2C67" w:rsidRPr="00412299" w:rsidRDefault="00FD2C67"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35.054.038 </w:t>
            </w:r>
          </w:p>
        </w:tc>
      </w:tr>
      <w:tr w:rsidR="00FD2C67" w:rsidRPr="008F68E0" w:rsidTr="00972554">
        <w:trPr>
          <w:trHeight w:val="300"/>
        </w:trPr>
        <w:tc>
          <w:tcPr>
            <w:tcW w:w="2333" w:type="pct"/>
            <w:shd w:val="clear" w:color="auto" w:fill="auto"/>
            <w:noWrap/>
            <w:vAlign w:val="bottom"/>
            <w:hideMark/>
          </w:tcPr>
          <w:p w:rsidR="00FD2C67" w:rsidRPr="0042664D" w:rsidRDefault="00FD2C67" w:rsidP="00651361">
            <w:pPr>
              <w:spacing w:line="240" w:lineRule="auto"/>
              <w:rPr>
                <w:rFonts w:ascii="Calibri" w:hAnsi="Calibri"/>
                <w:color w:val="000000"/>
                <w:sz w:val="18"/>
                <w:szCs w:val="18"/>
                <w:lang w:eastAsia="sl-SI"/>
              </w:rPr>
            </w:pPr>
            <w:r w:rsidRPr="0042664D">
              <w:rPr>
                <w:rFonts w:ascii="Calibri" w:hAnsi="Calibri"/>
                <w:color w:val="000000"/>
                <w:sz w:val="18"/>
                <w:szCs w:val="18"/>
                <w:lang w:eastAsia="sl-SI"/>
              </w:rPr>
              <w:t>311-Terjatve za sredstva dana v upravljanje posrednim in neposrednim uporabnikom občinskega proračuna</w:t>
            </w:r>
          </w:p>
        </w:tc>
        <w:tc>
          <w:tcPr>
            <w:tcW w:w="815" w:type="pct"/>
            <w:shd w:val="clear" w:color="auto" w:fill="auto"/>
            <w:noWrap/>
            <w:vAlign w:val="bottom"/>
          </w:tcPr>
          <w:p w:rsidR="00FD2C67" w:rsidRPr="00412299" w:rsidRDefault="00FD2C67" w:rsidP="00F83FBB">
            <w:pPr>
              <w:spacing w:line="240" w:lineRule="auto"/>
              <w:jc w:val="right"/>
              <w:rPr>
                <w:rFonts w:ascii="Calibri" w:hAnsi="Calibri"/>
                <w:color w:val="000000"/>
                <w:sz w:val="18"/>
                <w:szCs w:val="18"/>
                <w:lang w:eastAsia="sl-SI"/>
              </w:rPr>
            </w:pPr>
            <w:r w:rsidRPr="00972554">
              <w:rPr>
                <w:rFonts w:ascii="Calibri" w:hAnsi="Calibri"/>
                <w:sz w:val="18"/>
                <w:szCs w:val="18"/>
              </w:rPr>
              <w:t xml:space="preserve">31.748.630 </w:t>
            </w:r>
          </w:p>
        </w:tc>
        <w:tc>
          <w:tcPr>
            <w:tcW w:w="815" w:type="pct"/>
            <w:shd w:val="clear" w:color="auto" w:fill="auto"/>
            <w:noWrap/>
            <w:vAlign w:val="bottom"/>
            <w:hideMark/>
          </w:tcPr>
          <w:p w:rsidR="00FD2C67" w:rsidRPr="003E5CEF" w:rsidRDefault="00FD2C67" w:rsidP="003E5CEF">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30.713.567 </w:t>
            </w:r>
          </w:p>
        </w:tc>
        <w:tc>
          <w:tcPr>
            <w:tcW w:w="371" w:type="pct"/>
            <w:shd w:val="clear" w:color="auto" w:fill="auto"/>
            <w:noWrap/>
            <w:vAlign w:val="bottom"/>
            <w:hideMark/>
          </w:tcPr>
          <w:p w:rsidR="00FD2C67" w:rsidRPr="00412299" w:rsidRDefault="00FD2C67" w:rsidP="00F83FBB">
            <w:pPr>
              <w:spacing w:line="240" w:lineRule="auto"/>
              <w:jc w:val="right"/>
              <w:rPr>
                <w:rFonts w:ascii="Calibri" w:hAnsi="Calibri"/>
                <w:color w:val="000000"/>
                <w:sz w:val="18"/>
                <w:szCs w:val="18"/>
                <w:lang w:eastAsia="sl-SI"/>
              </w:rPr>
            </w:pPr>
            <w:r w:rsidRPr="00972554">
              <w:rPr>
                <w:rFonts w:ascii="Calibri" w:hAnsi="Calibri"/>
                <w:sz w:val="18"/>
                <w:szCs w:val="18"/>
              </w:rPr>
              <w:t>103,37</w:t>
            </w:r>
          </w:p>
        </w:tc>
        <w:tc>
          <w:tcPr>
            <w:tcW w:w="666" w:type="pct"/>
            <w:shd w:val="clear" w:color="auto" w:fill="auto"/>
            <w:noWrap/>
            <w:vAlign w:val="bottom"/>
            <w:hideMark/>
          </w:tcPr>
          <w:p w:rsidR="00FD2C67" w:rsidRPr="00412299" w:rsidRDefault="00FD2C67"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1.035.063 </w:t>
            </w:r>
          </w:p>
        </w:tc>
      </w:tr>
      <w:tr w:rsidR="00FD2C67" w:rsidRPr="008F68E0" w:rsidTr="00972554">
        <w:trPr>
          <w:trHeight w:val="300"/>
        </w:trPr>
        <w:tc>
          <w:tcPr>
            <w:tcW w:w="2333" w:type="pct"/>
            <w:shd w:val="clear" w:color="auto" w:fill="auto"/>
            <w:noWrap/>
            <w:vAlign w:val="bottom"/>
            <w:hideMark/>
          </w:tcPr>
          <w:p w:rsidR="00FD2C67" w:rsidRPr="0042664D" w:rsidRDefault="00FD2C67" w:rsidP="00651361">
            <w:pPr>
              <w:spacing w:line="240" w:lineRule="auto"/>
              <w:rPr>
                <w:rFonts w:ascii="Calibri" w:hAnsi="Calibri"/>
                <w:color w:val="000000"/>
                <w:sz w:val="18"/>
                <w:szCs w:val="18"/>
                <w:lang w:eastAsia="sl-SI"/>
              </w:rPr>
            </w:pPr>
            <w:r w:rsidRPr="0042664D">
              <w:rPr>
                <w:rFonts w:ascii="Calibri" w:hAnsi="Calibri"/>
                <w:color w:val="000000"/>
                <w:sz w:val="18"/>
                <w:szCs w:val="18"/>
                <w:lang w:eastAsia="sl-SI"/>
              </w:rPr>
              <w:t>312-Terjatve za sredstva dana v upravljanje drugim v lasti države</w:t>
            </w:r>
          </w:p>
        </w:tc>
        <w:tc>
          <w:tcPr>
            <w:tcW w:w="815" w:type="pct"/>
            <w:shd w:val="clear" w:color="auto" w:fill="auto"/>
            <w:noWrap/>
            <w:vAlign w:val="bottom"/>
          </w:tcPr>
          <w:p w:rsidR="00FD2C67" w:rsidRPr="00412299" w:rsidRDefault="00FD2C67" w:rsidP="00F83FBB">
            <w:pPr>
              <w:spacing w:line="240" w:lineRule="auto"/>
              <w:jc w:val="right"/>
              <w:rPr>
                <w:rFonts w:ascii="Calibri" w:hAnsi="Calibri"/>
                <w:color w:val="000000"/>
                <w:sz w:val="18"/>
                <w:szCs w:val="18"/>
                <w:lang w:eastAsia="sl-SI"/>
              </w:rPr>
            </w:pPr>
            <w:r w:rsidRPr="00972554">
              <w:rPr>
                <w:rFonts w:ascii="Calibri" w:hAnsi="Calibri"/>
                <w:sz w:val="18"/>
                <w:szCs w:val="18"/>
              </w:rPr>
              <w:t xml:space="preserve">689.130 </w:t>
            </w:r>
          </w:p>
        </w:tc>
        <w:tc>
          <w:tcPr>
            <w:tcW w:w="815" w:type="pct"/>
            <w:shd w:val="clear" w:color="auto" w:fill="auto"/>
            <w:noWrap/>
            <w:vAlign w:val="bottom"/>
            <w:hideMark/>
          </w:tcPr>
          <w:p w:rsidR="00FD2C67" w:rsidRPr="003E5CEF" w:rsidRDefault="00FD2C67" w:rsidP="003E5CEF">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646.661 </w:t>
            </w:r>
          </w:p>
        </w:tc>
        <w:tc>
          <w:tcPr>
            <w:tcW w:w="371" w:type="pct"/>
            <w:shd w:val="clear" w:color="auto" w:fill="auto"/>
            <w:noWrap/>
            <w:vAlign w:val="bottom"/>
            <w:hideMark/>
          </w:tcPr>
          <w:p w:rsidR="00FD2C67" w:rsidRPr="00412299" w:rsidRDefault="00FD2C67" w:rsidP="00F83FBB">
            <w:pPr>
              <w:spacing w:line="240" w:lineRule="auto"/>
              <w:jc w:val="right"/>
              <w:rPr>
                <w:rFonts w:ascii="Calibri" w:hAnsi="Calibri"/>
                <w:color w:val="000000"/>
                <w:sz w:val="18"/>
                <w:szCs w:val="18"/>
                <w:lang w:eastAsia="sl-SI"/>
              </w:rPr>
            </w:pPr>
            <w:r w:rsidRPr="00972554">
              <w:rPr>
                <w:rFonts w:ascii="Calibri" w:hAnsi="Calibri"/>
                <w:sz w:val="18"/>
                <w:szCs w:val="18"/>
              </w:rPr>
              <w:t>106,57</w:t>
            </w:r>
          </w:p>
        </w:tc>
        <w:tc>
          <w:tcPr>
            <w:tcW w:w="666" w:type="pct"/>
            <w:shd w:val="clear" w:color="auto" w:fill="auto"/>
            <w:noWrap/>
            <w:vAlign w:val="bottom"/>
            <w:hideMark/>
          </w:tcPr>
          <w:p w:rsidR="00FD2C67" w:rsidRPr="00412299" w:rsidRDefault="00FD2C67"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42.469 </w:t>
            </w:r>
          </w:p>
        </w:tc>
      </w:tr>
      <w:tr w:rsidR="00FD2C67" w:rsidRPr="008F68E0" w:rsidTr="00972554">
        <w:trPr>
          <w:trHeight w:val="300"/>
        </w:trPr>
        <w:tc>
          <w:tcPr>
            <w:tcW w:w="2333" w:type="pct"/>
            <w:shd w:val="clear" w:color="auto" w:fill="auto"/>
            <w:noWrap/>
            <w:vAlign w:val="bottom"/>
            <w:hideMark/>
          </w:tcPr>
          <w:p w:rsidR="00FD2C67" w:rsidRPr="0042664D" w:rsidRDefault="00FD2C67" w:rsidP="00651361">
            <w:pPr>
              <w:spacing w:line="240" w:lineRule="auto"/>
              <w:rPr>
                <w:rFonts w:ascii="Calibri" w:hAnsi="Calibri"/>
                <w:color w:val="000000"/>
                <w:sz w:val="18"/>
                <w:szCs w:val="18"/>
                <w:lang w:eastAsia="sl-SI"/>
              </w:rPr>
            </w:pPr>
            <w:r w:rsidRPr="0042664D">
              <w:rPr>
                <w:rFonts w:ascii="Calibri" w:hAnsi="Calibri"/>
                <w:color w:val="000000"/>
                <w:sz w:val="18"/>
                <w:szCs w:val="18"/>
                <w:lang w:eastAsia="sl-SI"/>
              </w:rPr>
              <w:t>313-Terjatve za sredstva dana v upravljanje drugim v lasti občine</w:t>
            </w:r>
          </w:p>
        </w:tc>
        <w:tc>
          <w:tcPr>
            <w:tcW w:w="815" w:type="pct"/>
            <w:shd w:val="clear" w:color="auto" w:fill="auto"/>
            <w:noWrap/>
            <w:vAlign w:val="bottom"/>
          </w:tcPr>
          <w:p w:rsidR="00FD2C67" w:rsidRPr="00412299" w:rsidRDefault="00FD2C67" w:rsidP="00F83FBB">
            <w:pPr>
              <w:spacing w:line="240" w:lineRule="auto"/>
              <w:jc w:val="right"/>
              <w:rPr>
                <w:rFonts w:ascii="Calibri" w:hAnsi="Calibri"/>
                <w:color w:val="000000"/>
                <w:sz w:val="18"/>
                <w:szCs w:val="18"/>
                <w:lang w:eastAsia="sl-SI"/>
              </w:rPr>
            </w:pPr>
            <w:r w:rsidRPr="00972554">
              <w:rPr>
                <w:rFonts w:ascii="Calibri" w:hAnsi="Calibri"/>
                <w:sz w:val="18"/>
                <w:szCs w:val="18"/>
              </w:rPr>
              <w:t xml:space="preserve">0 </w:t>
            </w:r>
          </w:p>
        </w:tc>
        <w:tc>
          <w:tcPr>
            <w:tcW w:w="815" w:type="pct"/>
            <w:shd w:val="clear" w:color="auto" w:fill="auto"/>
            <w:noWrap/>
            <w:vAlign w:val="bottom"/>
            <w:hideMark/>
          </w:tcPr>
          <w:p w:rsidR="00FD2C67" w:rsidRPr="003E5CEF" w:rsidRDefault="00FD2C67" w:rsidP="003E5CEF">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0 </w:t>
            </w:r>
          </w:p>
        </w:tc>
        <w:tc>
          <w:tcPr>
            <w:tcW w:w="371" w:type="pct"/>
            <w:shd w:val="clear" w:color="auto" w:fill="auto"/>
            <w:noWrap/>
            <w:vAlign w:val="bottom"/>
            <w:hideMark/>
          </w:tcPr>
          <w:p w:rsidR="00FD2C67" w:rsidRPr="00412299" w:rsidRDefault="00FD2C67" w:rsidP="00F83FBB">
            <w:pPr>
              <w:spacing w:line="240" w:lineRule="auto"/>
              <w:jc w:val="center"/>
              <w:rPr>
                <w:rFonts w:ascii="Calibri" w:hAnsi="Calibri"/>
                <w:color w:val="000000"/>
                <w:sz w:val="18"/>
                <w:szCs w:val="18"/>
                <w:lang w:eastAsia="sl-SI"/>
              </w:rPr>
            </w:pPr>
            <w:r w:rsidRPr="002B775E">
              <w:rPr>
                <w:rFonts w:ascii="Calibri" w:hAnsi="Calibri"/>
                <w:sz w:val="18"/>
                <w:szCs w:val="18"/>
              </w:rPr>
              <w:t>/</w:t>
            </w:r>
          </w:p>
        </w:tc>
        <w:tc>
          <w:tcPr>
            <w:tcW w:w="666" w:type="pct"/>
            <w:shd w:val="clear" w:color="auto" w:fill="auto"/>
            <w:noWrap/>
            <w:vAlign w:val="bottom"/>
            <w:hideMark/>
          </w:tcPr>
          <w:p w:rsidR="00FD2C67" w:rsidRPr="00412299" w:rsidRDefault="00FD2C67" w:rsidP="00972554">
            <w:pPr>
              <w:spacing w:line="240" w:lineRule="auto"/>
              <w:jc w:val="center"/>
              <w:rPr>
                <w:rFonts w:ascii="Calibri" w:hAnsi="Calibri"/>
                <w:color w:val="000000"/>
                <w:sz w:val="18"/>
                <w:szCs w:val="18"/>
                <w:lang w:eastAsia="sl-SI"/>
              </w:rPr>
            </w:pPr>
            <w:r w:rsidRPr="002B775E">
              <w:rPr>
                <w:rFonts w:ascii="Calibri" w:hAnsi="Calibri"/>
                <w:sz w:val="18"/>
                <w:szCs w:val="18"/>
              </w:rPr>
              <w:t>/</w:t>
            </w:r>
            <w:r w:rsidRPr="00972554">
              <w:rPr>
                <w:rFonts w:ascii="Calibri" w:hAnsi="Calibri"/>
                <w:sz w:val="18"/>
                <w:szCs w:val="18"/>
              </w:rPr>
              <w:t xml:space="preserve"> </w:t>
            </w:r>
          </w:p>
        </w:tc>
      </w:tr>
      <w:tr w:rsidR="00FD2C67" w:rsidRPr="008F68E0" w:rsidTr="00972554">
        <w:trPr>
          <w:trHeight w:val="300"/>
        </w:trPr>
        <w:tc>
          <w:tcPr>
            <w:tcW w:w="2333" w:type="pct"/>
            <w:shd w:val="clear" w:color="auto" w:fill="auto"/>
            <w:noWrap/>
            <w:vAlign w:val="bottom"/>
            <w:hideMark/>
          </w:tcPr>
          <w:p w:rsidR="00FD2C67" w:rsidRPr="0042664D" w:rsidRDefault="00FD2C67" w:rsidP="00651361">
            <w:pPr>
              <w:spacing w:line="240" w:lineRule="auto"/>
              <w:rPr>
                <w:rFonts w:ascii="Calibri" w:hAnsi="Calibri"/>
                <w:color w:val="000000"/>
                <w:sz w:val="18"/>
                <w:szCs w:val="18"/>
                <w:lang w:eastAsia="sl-SI"/>
              </w:rPr>
            </w:pPr>
            <w:r w:rsidRPr="0042664D">
              <w:rPr>
                <w:rFonts w:ascii="Calibri" w:hAnsi="Calibri"/>
                <w:color w:val="000000"/>
                <w:sz w:val="18"/>
                <w:szCs w:val="18"/>
                <w:lang w:eastAsia="sl-SI"/>
              </w:rPr>
              <w:t>314-Zaloge</w:t>
            </w:r>
          </w:p>
        </w:tc>
        <w:tc>
          <w:tcPr>
            <w:tcW w:w="815" w:type="pct"/>
            <w:shd w:val="clear" w:color="auto" w:fill="auto"/>
            <w:noWrap/>
            <w:vAlign w:val="bottom"/>
          </w:tcPr>
          <w:p w:rsidR="00FD2C67" w:rsidRPr="00412299" w:rsidRDefault="00FD2C67" w:rsidP="00F83FBB">
            <w:pPr>
              <w:spacing w:line="240" w:lineRule="auto"/>
              <w:jc w:val="right"/>
              <w:rPr>
                <w:rFonts w:ascii="Calibri" w:hAnsi="Calibri"/>
                <w:color w:val="000000"/>
                <w:sz w:val="18"/>
                <w:szCs w:val="18"/>
                <w:lang w:eastAsia="sl-SI"/>
              </w:rPr>
            </w:pPr>
            <w:r w:rsidRPr="00972554">
              <w:rPr>
                <w:rFonts w:ascii="Calibri" w:hAnsi="Calibri"/>
                <w:sz w:val="18"/>
                <w:szCs w:val="18"/>
              </w:rPr>
              <w:t xml:space="preserve">267.008.499 </w:t>
            </w:r>
          </w:p>
        </w:tc>
        <w:tc>
          <w:tcPr>
            <w:tcW w:w="815" w:type="pct"/>
            <w:shd w:val="clear" w:color="auto" w:fill="auto"/>
            <w:noWrap/>
            <w:vAlign w:val="bottom"/>
            <w:hideMark/>
          </w:tcPr>
          <w:p w:rsidR="00FD2C67" w:rsidRPr="003E5CEF" w:rsidRDefault="00FD2C67" w:rsidP="003E5CEF">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252.025.937 </w:t>
            </w:r>
          </w:p>
        </w:tc>
        <w:tc>
          <w:tcPr>
            <w:tcW w:w="371" w:type="pct"/>
            <w:shd w:val="clear" w:color="auto" w:fill="auto"/>
            <w:noWrap/>
            <w:vAlign w:val="bottom"/>
            <w:hideMark/>
          </w:tcPr>
          <w:p w:rsidR="00FD2C67" w:rsidRPr="00412299" w:rsidRDefault="00FD2C67" w:rsidP="00F83FBB">
            <w:pPr>
              <w:spacing w:line="240" w:lineRule="auto"/>
              <w:jc w:val="right"/>
              <w:rPr>
                <w:rFonts w:ascii="Calibri" w:hAnsi="Calibri"/>
                <w:color w:val="000000"/>
                <w:sz w:val="18"/>
                <w:szCs w:val="18"/>
                <w:lang w:eastAsia="sl-SI"/>
              </w:rPr>
            </w:pPr>
            <w:r w:rsidRPr="00972554">
              <w:rPr>
                <w:rFonts w:ascii="Calibri" w:hAnsi="Calibri"/>
                <w:sz w:val="18"/>
                <w:szCs w:val="18"/>
              </w:rPr>
              <w:t>105,94</w:t>
            </w:r>
          </w:p>
        </w:tc>
        <w:tc>
          <w:tcPr>
            <w:tcW w:w="666" w:type="pct"/>
            <w:shd w:val="clear" w:color="auto" w:fill="auto"/>
            <w:noWrap/>
            <w:vAlign w:val="bottom"/>
            <w:hideMark/>
          </w:tcPr>
          <w:p w:rsidR="00FD2C67" w:rsidRPr="00412299" w:rsidRDefault="00FD2C67"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14.982.562 </w:t>
            </w:r>
          </w:p>
        </w:tc>
      </w:tr>
      <w:tr w:rsidR="00FD2C67" w:rsidRPr="008F68E0" w:rsidTr="00972554">
        <w:trPr>
          <w:trHeight w:val="300"/>
        </w:trPr>
        <w:tc>
          <w:tcPr>
            <w:tcW w:w="2333" w:type="pct"/>
            <w:shd w:val="clear" w:color="auto" w:fill="auto"/>
            <w:noWrap/>
            <w:vAlign w:val="bottom"/>
            <w:hideMark/>
          </w:tcPr>
          <w:p w:rsidR="00FD2C67" w:rsidRPr="0042664D" w:rsidRDefault="00FD2C67" w:rsidP="00651361">
            <w:pPr>
              <w:spacing w:line="240" w:lineRule="auto"/>
              <w:rPr>
                <w:rFonts w:ascii="Calibri" w:hAnsi="Calibri"/>
                <w:color w:val="000000"/>
                <w:sz w:val="18"/>
                <w:szCs w:val="18"/>
                <w:lang w:eastAsia="sl-SI"/>
              </w:rPr>
            </w:pPr>
            <w:r w:rsidRPr="0042664D">
              <w:rPr>
                <w:rFonts w:ascii="Calibri" w:hAnsi="Calibri"/>
                <w:color w:val="000000"/>
                <w:sz w:val="18"/>
                <w:szCs w:val="18"/>
                <w:lang w:eastAsia="sl-SI"/>
              </w:rPr>
              <w:t>315-Dolgoročne finančne naložbe - premoženje preneseno v last drugim uporabnikom enotnega kontnega načrta</w:t>
            </w:r>
          </w:p>
        </w:tc>
        <w:tc>
          <w:tcPr>
            <w:tcW w:w="815" w:type="pct"/>
            <w:shd w:val="clear" w:color="auto" w:fill="auto"/>
            <w:noWrap/>
            <w:vAlign w:val="bottom"/>
          </w:tcPr>
          <w:p w:rsidR="00FD2C67" w:rsidRPr="00412299" w:rsidRDefault="00FD2C67" w:rsidP="00F83FBB">
            <w:pPr>
              <w:spacing w:line="240" w:lineRule="auto"/>
              <w:jc w:val="right"/>
              <w:rPr>
                <w:rFonts w:ascii="Calibri" w:hAnsi="Calibri"/>
                <w:color w:val="000000"/>
                <w:sz w:val="18"/>
                <w:szCs w:val="18"/>
                <w:lang w:eastAsia="sl-SI"/>
              </w:rPr>
            </w:pPr>
            <w:r w:rsidRPr="00972554">
              <w:rPr>
                <w:rFonts w:ascii="Calibri" w:hAnsi="Calibri"/>
                <w:sz w:val="18"/>
                <w:szCs w:val="18"/>
              </w:rPr>
              <w:t xml:space="preserve">1.482.617.929 </w:t>
            </w:r>
          </w:p>
        </w:tc>
        <w:tc>
          <w:tcPr>
            <w:tcW w:w="815" w:type="pct"/>
            <w:shd w:val="clear" w:color="auto" w:fill="auto"/>
            <w:noWrap/>
            <w:vAlign w:val="bottom"/>
            <w:hideMark/>
          </w:tcPr>
          <w:p w:rsidR="00FD2C67" w:rsidRPr="003E5CEF" w:rsidRDefault="00FD2C67" w:rsidP="003E5CEF">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1.426.342.971 </w:t>
            </w:r>
          </w:p>
        </w:tc>
        <w:tc>
          <w:tcPr>
            <w:tcW w:w="371" w:type="pct"/>
            <w:shd w:val="clear" w:color="auto" w:fill="auto"/>
            <w:noWrap/>
            <w:vAlign w:val="bottom"/>
            <w:hideMark/>
          </w:tcPr>
          <w:p w:rsidR="00FD2C67" w:rsidRPr="00412299" w:rsidRDefault="00FD2C67" w:rsidP="00F83FBB">
            <w:pPr>
              <w:spacing w:line="240" w:lineRule="auto"/>
              <w:jc w:val="right"/>
              <w:rPr>
                <w:rFonts w:ascii="Calibri" w:hAnsi="Calibri"/>
                <w:color w:val="000000"/>
                <w:sz w:val="18"/>
                <w:szCs w:val="18"/>
                <w:lang w:eastAsia="sl-SI"/>
              </w:rPr>
            </w:pPr>
            <w:r w:rsidRPr="00972554">
              <w:rPr>
                <w:rFonts w:ascii="Calibri" w:hAnsi="Calibri"/>
                <w:sz w:val="18"/>
                <w:szCs w:val="18"/>
              </w:rPr>
              <w:t>103,95</w:t>
            </w:r>
          </w:p>
        </w:tc>
        <w:tc>
          <w:tcPr>
            <w:tcW w:w="666" w:type="pct"/>
            <w:shd w:val="clear" w:color="auto" w:fill="auto"/>
            <w:noWrap/>
            <w:vAlign w:val="bottom"/>
            <w:hideMark/>
          </w:tcPr>
          <w:p w:rsidR="00FD2C67" w:rsidRPr="00412299" w:rsidRDefault="00FD2C67"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56.274.958 </w:t>
            </w:r>
          </w:p>
        </w:tc>
      </w:tr>
      <w:tr w:rsidR="00FD2C67" w:rsidRPr="008F68E0" w:rsidTr="00972554">
        <w:trPr>
          <w:trHeight w:val="300"/>
        </w:trPr>
        <w:tc>
          <w:tcPr>
            <w:tcW w:w="2333" w:type="pct"/>
            <w:shd w:val="clear" w:color="auto" w:fill="auto"/>
            <w:noWrap/>
            <w:vAlign w:val="bottom"/>
            <w:hideMark/>
          </w:tcPr>
          <w:p w:rsidR="00FD2C67" w:rsidRPr="0042664D" w:rsidRDefault="00FD2C67" w:rsidP="00651361">
            <w:pPr>
              <w:spacing w:line="240" w:lineRule="auto"/>
              <w:rPr>
                <w:rFonts w:ascii="Calibri" w:hAnsi="Calibri"/>
                <w:color w:val="000000"/>
                <w:sz w:val="18"/>
                <w:szCs w:val="18"/>
                <w:lang w:eastAsia="sl-SI"/>
              </w:rPr>
            </w:pPr>
            <w:r w:rsidRPr="0042664D">
              <w:rPr>
                <w:rFonts w:ascii="Calibri" w:hAnsi="Calibri"/>
                <w:color w:val="000000"/>
                <w:sz w:val="18"/>
                <w:szCs w:val="18"/>
                <w:lang w:eastAsia="sl-SI"/>
              </w:rPr>
              <w:t>316-Druge dolgoročne finančne naložbe</w:t>
            </w:r>
          </w:p>
        </w:tc>
        <w:tc>
          <w:tcPr>
            <w:tcW w:w="815" w:type="pct"/>
            <w:shd w:val="clear" w:color="auto" w:fill="auto"/>
            <w:noWrap/>
            <w:vAlign w:val="bottom"/>
          </w:tcPr>
          <w:p w:rsidR="00FD2C67" w:rsidRPr="00412299" w:rsidRDefault="00FD2C67" w:rsidP="00F83FBB">
            <w:pPr>
              <w:spacing w:line="240" w:lineRule="auto"/>
              <w:jc w:val="right"/>
              <w:rPr>
                <w:rFonts w:ascii="Calibri" w:hAnsi="Calibri"/>
                <w:color w:val="000000"/>
                <w:sz w:val="18"/>
                <w:szCs w:val="18"/>
                <w:lang w:eastAsia="sl-SI"/>
              </w:rPr>
            </w:pPr>
            <w:r w:rsidRPr="00972554">
              <w:rPr>
                <w:rFonts w:ascii="Calibri" w:hAnsi="Calibri"/>
                <w:sz w:val="18"/>
                <w:szCs w:val="18"/>
              </w:rPr>
              <w:t xml:space="preserve">10.900.853.583 </w:t>
            </w:r>
          </w:p>
        </w:tc>
        <w:tc>
          <w:tcPr>
            <w:tcW w:w="815" w:type="pct"/>
            <w:shd w:val="clear" w:color="auto" w:fill="auto"/>
            <w:noWrap/>
            <w:vAlign w:val="bottom"/>
            <w:hideMark/>
          </w:tcPr>
          <w:p w:rsidR="00FD2C67" w:rsidRPr="003E5CEF" w:rsidRDefault="00FD2C67" w:rsidP="003E5CEF">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11.747.603.786 </w:t>
            </w:r>
          </w:p>
        </w:tc>
        <w:tc>
          <w:tcPr>
            <w:tcW w:w="371" w:type="pct"/>
            <w:shd w:val="clear" w:color="auto" w:fill="auto"/>
            <w:noWrap/>
            <w:vAlign w:val="bottom"/>
            <w:hideMark/>
          </w:tcPr>
          <w:p w:rsidR="00FD2C67" w:rsidRPr="00412299" w:rsidRDefault="00FD2C67" w:rsidP="00F83FBB">
            <w:pPr>
              <w:spacing w:line="240" w:lineRule="auto"/>
              <w:jc w:val="right"/>
              <w:rPr>
                <w:rFonts w:ascii="Calibri" w:hAnsi="Calibri"/>
                <w:color w:val="000000"/>
                <w:sz w:val="18"/>
                <w:szCs w:val="18"/>
                <w:lang w:eastAsia="sl-SI"/>
              </w:rPr>
            </w:pPr>
            <w:r w:rsidRPr="00972554">
              <w:rPr>
                <w:rFonts w:ascii="Calibri" w:hAnsi="Calibri"/>
                <w:sz w:val="18"/>
                <w:szCs w:val="18"/>
              </w:rPr>
              <w:t>92,79</w:t>
            </w:r>
          </w:p>
        </w:tc>
        <w:tc>
          <w:tcPr>
            <w:tcW w:w="666" w:type="pct"/>
            <w:shd w:val="clear" w:color="auto" w:fill="auto"/>
            <w:noWrap/>
            <w:vAlign w:val="bottom"/>
            <w:hideMark/>
          </w:tcPr>
          <w:p w:rsidR="00FD2C67" w:rsidRPr="00412299" w:rsidRDefault="00FD2C67"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-846.750.203 </w:t>
            </w:r>
          </w:p>
        </w:tc>
      </w:tr>
      <w:tr w:rsidR="00FD2C67" w:rsidRPr="008F68E0" w:rsidTr="00972554">
        <w:trPr>
          <w:trHeight w:val="300"/>
        </w:trPr>
        <w:tc>
          <w:tcPr>
            <w:tcW w:w="2333" w:type="pct"/>
            <w:shd w:val="clear" w:color="auto" w:fill="auto"/>
            <w:noWrap/>
            <w:vAlign w:val="bottom"/>
            <w:hideMark/>
          </w:tcPr>
          <w:p w:rsidR="00FD2C67" w:rsidRPr="0042664D" w:rsidRDefault="00FD2C67" w:rsidP="00651361">
            <w:pPr>
              <w:spacing w:line="240" w:lineRule="auto"/>
              <w:rPr>
                <w:rFonts w:ascii="Calibri" w:hAnsi="Calibri"/>
                <w:color w:val="000000"/>
                <w:sz w:val="18"/>
                <w:szCs w:val="18"/>
                <w:lang w:eastAsia="sl-SI"/>
              </w:rPr>
            </w:pPr>
            <w:r w:rsidRPr="0042664D">
              <w:rPr>
                <w:rFonts w:ascii="Calibri" w:hAnsi="Calibri"/>
                <w:color w:val="000000"/>
                <w:sz w:val="18"/>
                <w:szCs w:val="18"/>
                <w:lang w:eastAsia="sl-SI"/>
              </w:rPr>
              <w:t>317-Dolgoročno dana posojila in depoziti</w:t>
            </w:r>
          </w:p>
        </w:tc>
        <w:tc>
          <w:tcPr>
            <w:tcW w:w="815" w:type="pct"/>
            <w:shd w:val="clear" w:color="auto" w:fill="auto"/>
            <w:noWrap/>
            <w:vAlign w:val="bottom"/>
          </w:tcPr>
          <w:p w:rsidR="00FD2C67" w:rsidRPr="00412299" w:rsidRDefault="00FD2C67" w:rsidP="00F83FBB">
            <w:pPr>
              <w:spacing w:line="240" w:lineRule="auto"/>
              <w:jc w:val="right"/>
              <w:rPr>
                <w:rFonts w:ascii="Calibri" w:hAnsi="Calibri"/>
                <w:color w:val="000000"/>
                <w:sz w:val="18"/>
                <w:szCs w:val="18"/>
                <w:lang w:eastAsia="sl-SI"/>
              </w:rPr>
            </w:pPr>
            <w:r w:rsidRPr="00972554">
              <w:rPr>
                <w:rFonts w:ascii="Calibri" w:hAnsi="Calibri"/>
                <w:sz w:val="18"/>
                <w:szCs w:val="18"/>
              </w:rPr>
              <w:t xml:space="preserve">3.235.669.255 </w:t>
            </w:r>
          </w:p>
        </w:tc>
        <w:tc>
          <w:tcPr>
            <w:tcW w:w="815" w:type="pct"/>
            <w:shd w:val="clear" w:color="auto" w:fill="auto"/>
            <w:noWrap/>
            <w:vAlign w:val="bottom"/>
            <w:hideMark/>
          </w:tcPr>
          <w:p w:rsidR="00FD2C67" w:rsidRPr="003E5CEF" w:rsidRDefault="00FD2C67" w:rsidP="003E5CEF">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2.932.549.213 </w:t>
            </w:r>
          </w:p>
        </w:tc>
        <w:tc>
          <w:tcPr>
            <w:tcW w:w="371" w:type="pct"/>
            <w:shd w:val="clear" w:color="auto" w:fill="auto"/>
            <w:noWrap/>
            <w:vAlign w:val="bottom"/>
            <w:hideMark/>
          </w:tcPr>
          <w:p w:rsidR="00FD2C67" w:rsidRPr="00412299" w:rsidRDefault="00FD2C67" w:rsidP="00F83FBB">
            <w:pPr>
              <w:spacing w:line="240" w:lineRule="auto"/>
              <w:jc w:val="right"/>
              <w:rPr>
                <w:rFonts w:ascii="Calibri" w:hAnsi="Calibri"/>
                <w:color w:val="000000"/>
                <w:sz w:val="18"/>
                <w:szCs w:val="18"/>
                <w:lang w:eastAsia="sl-SI"/>
              </w:rPr>
            </w:pPr>
            <w:r w:rsidRPr="00972554">
              <w:rPr>
                <w:rFonts w:ascii="Calibri" w:hAnsi="Calibri"/>
                <w:sz w:val="18"/>
                <w:szCs w:val="18"/>
              </w:rPr>
              <w:t>110,34</w:t>
            </w:r>
          </w:p>
        </w:tc>
        <w:tc>
          <w:tcPr>
            <w:tcW w:w="666" w:type="pct"/>
            <w:shd w:val="clear" w:color="auto" w:fill="auto"/>
            <w:noWrap/>
            <w:vAlign w:val="bottom"/>
            <w:hideMark/>
          </w:tcPr>
          <w:p w:rsidR="00FD2C67" w:rsidRPr="00412299" w:rsidRDefault="00FD2C67"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303.120.042 </w:t>
            </w:r>
          </w:p>
        </w:tc>
      </w:tr>
      <w:tr w:rsidR="00FD2C67" w:rsidRPr="008F68E0" w:rsidTr="00972554">
        <w:trPr>
          <w:trHeight w:val="300"/>
        </w:trPr>
        <w:tc>
          <w:tcPr>
            <w:tcW w:w="2333" w:type="pct"/>
            <w:shd w:val="clear" w:color="auto" w:fill="auto"/>
            <w:noWrap/>
            <w:vAlign w:val="bottom"/>
            <w:hideMark/>
          </w:tcPr>
          <w:p w:rsidR="00FD2C67" w:rsidRPr="0042664D" w:rsidRDefault="00FD2C67" w:rsidP="00651361">
            <w:pPr>
              <w:spacing w:line="240" w:lineRule="auto"/>
              <w:rPr>
                <w:rFonts w:ascii="Calibri" w:hAnsi="Calibri"/>
                <w:color w:val="000000"/>
                <w:sz w:val="18"/>
                <w:szCs w:val="18"/>
                <w:lang w:eastAsia="sl-SI"/>
              </w:rPr>
            </w:pPr>
            <w:r w:rsidRPr="0042664D">
              <w:rPr>
                <w:rFonts w:ascii="Calibri" w:hAnsi="Calibri"/>
                <w:color w:val="000000"/>
                <w:sz w:val="18"/>
                <w:szCs w:val="18"/>
                <w:lang w:eastAsia="sl-SI"/>
              </w:rPr>
              <w:t>318-Dolgoročne terjatve iz poslovanja</w:t>
            </w:r>
          </w:p>
        </w:tc>
        <w:tc>
          <w:tcPr>
            <w:tcW w:w="815" w:type="pct"/>
            <w:shd w:val="clear" w:color="auto" w:fill="auto"/>
            <w:noWrap/>
            <w:vAlign w:val="bottom"/>
          </w:tcPr>
          <w:p w:rsidR="00FD2C67" w:rsidRPr="00412299" w:rsidRDefault="00FD2C67" w:rsidP="00F83FBB">
            <w:pPr>
              <w:spacing w:line="240" w:lineRule="auto"/>
              <w:jc w:val="right"/>
              <w:rPr>
                <w:rFonts w:ascii="Calibri" w:hAnsi="Calibri"/>
                <w:color w:val="000000"/>
                <w:sz w:val="18"/>
                <w:szCs w:val="18"/>
                <w:lang w:eastAsia="sl-SI"/>
              </w:rPr>
            </w:pPr>
            <w:r w:rsidRPr="00972554">
              <w:rPr>
                <w:rFonts w:ascii="Calibri" w:hAnsi="Calibri"/>
                <w:sz w:val="18"/>
                <w:szCs w:val="18"/>
              </w:rPr>
              <w:t xml:space="preserve">343.286.961 </w:t>
            </w:r>
          </w:p>
        </w:tc>
        <w:tc>
          <w:tcPr>
            <w:tcW w:w="815" w:type="pct"/>
            <w:shd w:val="clear" w:color="auto" w:fill="auto"/>
            <w:noWrap/>
            <w:vAlign w:val="bottom"/>
            <w:hideMark/>
          </w:tcPr>
          <w:p w:rsidR="00FD2C67" w:rsidRPr="003E5CEF" w:rsidRDefault="00FD2C67" w:rsidP="003E5CEF">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378.103.604 </w:t>
            </w:r>
          </w:p>
        </w:tc>
        <w:tc>
          <w:tcPr>
            <w:tcW w:w="371" w:type="pct"/>
            <w:shd w:val="clear" w:color="auto" w:fill="auto"/>
            <w:noWrap/>
            <w:vAlign w:val="bottom"/>
            <w:hideMark/>
          </w:tcPr>
          <w:p w:rsidR="00FD2C67" w:rsidRPr="00412299" w:rsidRDefault="00FD2C67" w:rsidP="00F83FBB">
            <w:pPr>
              <w:spacing w:line="240" w:lineRule="auto"/>
              <w:jc w:val="right"/>
              <w:rPr>
                <w:rFonts w:ascii="Calibri" w:hAnsi="Calibri"/>
                <w:color w:val="000000"/>
                <w:sz w:val="18"/>
                <w:szCs w:val="18"/>
                <w:lang w:eastAsia="sl-SI"/>
              </w:rPr>
            </w:pPr>
            <w:r w:rsidRPr="00972554">
              <w:rPr>
                <w:rFonts w:ascii="Calibri" w:hAnsi="Calibri"/>
                <w:sz w:val="18"/>
                <w:szCs w:val="18"/>
              </w:rPr>
              <w:t>90,79</w:t>
            </w:r>
          </w:p>
        </w:tc>
        <w:tc>
          <w:tcPr>
            <w:tcW w:w="666" w:type="pct"/>
            <w:shd w:val="clear" w:color="auto" w:fill="auto"/>
            <w:noWrap/>
            <w:vAlign w:val="bottom"/>
            <w:hideMark/>
          </w:tcPr>
          <w:p w:rsidR="00FD2C67" w:rsidRPr="00412299" w:rsidRDefault="00FD2C67"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-34.816.643 </w:t>
            </w:r>
          </w:p>
        </w:tc>
      </w:tr>
      <w:tr w:rsidR="00FD2C67" w:rsidRPr="008F68E0" w:rsidTr="00972554">
        <w:trPr>
          <w:trHeight w:val="300"/>
        </w:trPr>
        <w:tc>
          <w:tcPr>
            <w:tcW w:w="2333" w:type="pct"/>
            <w:shd w:val="clear" w:color="auto" w:fill="auto"/>
            <w:noWrap/>
            <w:vAlign w:val="bottom"/>
            <w:hideMark/>
          </w:tcPr>
          <w:p w:rsidR="00FD2C67" w:rsidRPr="0042664D" w:rsidRDefault="00FD2C67" w:rsidP="00651361">
            <w:pPr>
              <w:spacing w:line="240" w:lineRule="auto"/>
              <w:rPr>
                <w:rFonts w:ascii="Calibri" w:hAnsi="Calibri"/>
                <w:color w:val="000000"/>
                <w:sz w:val="18"/>
                <w:szCs w:val="18"/>
                <w:lang w:eastAsia="sl-SI"/>
              </w:rPr>
            </w:pPr>
            <w:r w:rsidRPr="0042664D">
              <w:rPr>
                <w:rFonts w:ascii="Calibri" w:hAnsi="Calibri"/>
                <w:color w:val="000000"/>
                <w:sz w:val="18"/>
                <w:szCs w:val="18"/>
                <w:lang w:eastAsia="sl-SI"/>
              </w:rPr>
              <w:t>319-Denarna sredstva</w:t>
            </w:r>
          </w:p>
        </w:tc>
        <w:tc>
          <w:tcPr>
            <w:tcW w:w="815" w:type="pct"/>
            <w:shd w:val="clear" w:color="auto" w:fill="auto"/>
            <w:noWrap/>
            <w:vAlign w:val="bottom"/>
          </w:tcPr>
          <w:p w:rsidR="00FD2C67" w:rsidRPr="00412299" w:rsidRDefault="00FD2C67" w:rsidP="00F83FBB">
            <w:pPr>
              <w:spacing w:line="240" w:lineRule="auto"/>
              <w:jc w:val="right"/>
              <w:rPr>
                <w:rFonts w:ascii="Calibri" w:hAnsi="Calibri"/>
                <w:color w:val="000000"/>
                <w:sz w:val="18"/>
                <w:szCs w:val="18"/>
                <w:lang w:eastAsia="sl-SI"/>
              </w:rPr>
            </w:pPr>
            <w:r w:rsidRPr="00972554">
              <w:rPr>
                <w:rFonts w:ascii="Calibri" w:hAnsi="Calibri"/>
                <w:sz w:val="18"/>
                <w:szCs w:val="18"/>
              </w:rPr>
              <w:t xml:space="preserve">3.506.216.683 </w:t>
            </w:r>
          </w:p>
        </w:tc>
        <w:tc>
          <w:tcPr>
            <w:tcW w:w="815" w:type="pct"/>
            <w:shd w:val="clear" w:color="auto" w:fill="auto"/>
            <w:noWrap/>
            <w:vAlign w:val="bottom"/>
            <w:hideMark/>
          </w:tcPr>
          <w:p w:rsidR="00FD2C67" w:rsidRPr="003E5CEF" w:rsidRDefault="00FD2C67" w:rsidP="003E5CEF">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2.330.190.870 </w:t>
            </w:r>
          </w:p>
        </w:tc>
        <w:tc>
          <w:tcPr>
            <w:tcW w:w="371" w:type="pct"/>
            <w:shd w:val="clear" w:color="auto" w:fill="auto"/>
            <w:noWrap/>
            <w:vAlign w:val="bottom"/>
            <w:hideMark/>
          </w:tcPr>
          <w:p w:rsidR="00FD2C67" w:rsidRPr="00412299" w:rsidRDefault="00FD2C67" w:rsidP="00F83FBB">
            <w:pPr>
              <w:spacing w:line="240" w:lineRule="auto"/>
              <w:jc w:val="right"/>
              <w:rPr>
                <w:rFonts w:ascii="Calibri" w:hAnsi="Calibri"/>
                <w:color w:val="000000"/>
                <w:sz w:val="18"/>
                <w:szCs w:val="18"/>
                <w:lang w:eastAsia="sl-SI"/>
              </w:rPr>
            </w:pPr>
            <w:r w:rsidRPr="00972554">
              <w:rPr>
                <w:rFonts w:ascii="Calibri" w:hAnsi="Calibri"/>
                <w:sz w:val="18"/>
                <w:szCs w:val="18"/>
              </w:rPr>
              <w:t>150,47</w:t>
            </w:r>
          </w:p>
        </w:tc>
        <w:tc>
          <w:tcPr>
            <w:tcW w:w="666" w:type="pct"/>
            <w:shd w:val="clear" w:color="auto" w:fill="auto"/>
            <w:noWrap/>
            <w:vAlign w:val="bottom"/>
            <w:hideMark/>
          </w:tcPr>
          <w:p w:rsidR="00FD2C67" w:rsidRPr="00412299" w:rsidRDefault="00FD2C67"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1.176.025.813 </w:t>
            </w:r>
          </w:p>
        </w:tc>
      </w:tr>
      <w:tr w:rsidR="00FD2C67" w:rsidRPr="008F68E0" w:rsidTr="00972554">
        <w:trPr>
          <w:trHeight w:val="300"/>
        </w:trPr>
        <w:tc>
          <w:tcPr>
            <w:tcW w:w="2333" w:type="pct"/>
            <w:shd w:val="clear" w:color="auto" w:fill="auto"/>
            <w:noWrap/>
            <w:vAlign w:val="bottom"/>
            <w:hideMark/>
          </w:tcPr>
          <w:p w:rsidR="00FD2C67" w:rsidRPr="0042664D" w:rsidRDefault="00FD2C67" w:rsidP="00651361">
            <w:pPr>
              <w:spacing w:line="240" w:lineRule="auto"/>
              <w:rPr>
                <w:rFonts w:ascii="Calibri" w:hAnsi="Calibri"/>
                <w:color w:val="000000"/>
                <w:sz w:val="18"/>
                <w:szCs w:val="18"/>
                <w:lang w:eastAsia="sl-SI"/>
              </w:rPr>
            </w:pPr>
            <w:r w:rsidRPr="0042664D">
              <w:rPr>
                <w:rFonts w:ascii="Calibri" w:hAnsi="Calibri"/>
                <w:color w:val="000000"/>
                <w:sz w:val="18"/>
                <w:szCs w:val="18"/>
                <w:lang w:eastAsia="sl-SI"/>
              </w:rPr>
              <w:t>320-Kratkoročne terjatve</w:t>
            </w:r>
          </w:p>
        </w:tc>
        <w:tc>
          <w:tcPr>
            <w:tcW w:w="815" w:type="pct"/>
            <w:shd w:val="clear" w:color="auto" w:fill="auto"/>
            <w:noWrap/>
            <w:vAlign w:val="bottom"/>
          </w:tcPr>
          <w:p w:rsidR="00FD2C67" w:rsidRPr="00412299" w:rsidRDefault="00FD2C67" w:rsidP="00F83FBB">
            <w:pPr>
              <w:spacing w:line="240" w:lineRule="auto"/>
              <w:jc w:val="right"/>
              <w:rPr>
                <w:rFonts w:ascii="Calibri" w:hAnsi="Calibri"/>
                <w:color w:val="000000"/>
                <w:sz w:val="18"/>
                <w:szCs w:val="18"/>
                <w:lang w:eastAsia="sl-SI"/>
              </w:rPr>
            </w:pPr>
            <w:r w:rsidRPr="00972554">
              <w:rPr>
                <w:rFonts w:ascii="Calibri" w:hAnsi="Calibri"/>
                <w:sz w:val="18"/>
                <w:szCs w:val="18"/>
              </w:rPr>
              <w:t xml:space="preserve">3.921.713.703 </w:t>
            </w:r>
          </w:p>
        </w:tc>
        <w:tc>
          <w:tcPr>
            <w:tcW w:w="815" w:type="pct"/>
            <w:shd w:val="clear" w:color="auto" w:fill="auto"/>
            <w:noWrap/>
            <w:vAlign w:val="bottom"/>
            <w:hideMark/>
          </w:tcPr>
          <w:p w:rsidR="00FD2C67" w:rsidRPr="003E5CEF" w:rsidRDefault="00FD2C67" w:rsidP="003E5CEF">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3.753.298.147 </w:t>
            </w:r>
          </w:p>
        </w:tc>
        <w:tc>
          <w:tcPr>
            <w:tcW w:w="371" w:type="pct"/>
            <w:shd w:val="clear" w:color="auto" w:fill="auto"/>
            <w:noWrap/>
            <w:vAlign w:val="bottom"/>
            <w:hideMark/>
          </w:tcPr>
          <w:p w:rsidR="00FD2C67" w:rsidRPr="00116FC1" w:rsidRDefault="00FD2C67" w:rsidP="00F83FBB">
            <w:pPr>
              <w:spacing w:line="240" w:lineRule="auto"/>
              <w:jc w:val="right"/>
              <w:rPr>
                <w:rFonts w:ascii="Calibri" w:hAnsi="Calibri"/>
                <w:color w:val="000000"/>
                <w:sz w:val="18"/>
                <w:szCs w:val="18"/>
                <w:lang w:eastAsia="sl-SI"/>
              </w:rPr>
            </w:pPr>
            <w:r w:rsidRPr="00972554">
              <w:rPr>
                <w:rFonts w:ascii="Calibri" w:hAnsi="Calibri"/>
                <w:sz w:val="18"/>
                <w:szCs w:val="18"/>
              </w:rPr>
              <w:t>104,49</w:t>
            </w:r>
          </w:p>
        </w:tc>
        <w:tc>
          <w:tcPr>
            <w:tcW w:w="666" w:type="pct"/>
            <w:shd w:val="clear" w:color="auto" w:fill="auto"/>
            <w:noWrap/>
            <w:vAlign w:val="bottom"/>
            <w:hideMark/>
          </w:tcPr>
          <w:p w:rsidR="00FD2C67" w:rsidRPr="00412299" w:rsidRDefault="00FD2C67"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168.415.556 </w:t>
            </w:r>
          </w:p>
        </w:tc>
      </w:tr>
      <w:tr w:rsidR="00FD2C67" w:rsidRPr="008F68E0" w:rsidTr="00972554">
        <w:trPr>
          <w:trHeight w:val="300"/>
        </w:trPr>
        <w:tc>
          <w:tcPr>
            <w:tcW w:w="2333" w:type="pct"/>
            <w:tcBorders>
              <w:bottom w:val="single" w:sz="4" w:space="0" w:color="auto"/>
            </w:tcBorders>
            <w:shd w:val="clear" w:color="auto" w:fill="auto"/>
            <w:noWrap/>
            <w:vAlign w:val="bottom"/>
            <w:hideMark/>
          </w:tcPr>
          <w:p w:rsidR="00FD2C67" w:rsidRPr="0042664D" w:rsidRDefault="00FD2C67" w:rsidP="00651361">
            <w:pPr>
              <w:spacing w:line="240" w:lineRule="auto"/>
              <w:rPr>
                <w:rFonts w:ascii="Calibri" w:hAnsi="Calibri"/>
                <w:color w:val="000000"/>
                <w:sz w:val="18"/>
                <w:szCs w:val="18"/>
                <w:lang w:eastAsia="sl-SI"/>
              </w:rPr>
            </w:pPr>
            <w:r w:rsidRPr="0042664D">
              <w:rPr>
                <w:rFonts w:ascii="Calibri" w:hAnsi="Calibri"/>
                <w:color w:val="000000"/>
                <w:sz w:val="18"/>
                <w:szCs w:val="18"/>
                <w:lang w:eastAsia="sl-SI"/>
              </w:rPr>
              <w:t>321-Druge terjatve</w:t>
            </w:r>
          </w:p>
        </w:tc>
        <w:tc>
          <w:tcPr>
            <w:tcW w:w="815" w:type="pct"/>
            <w:tcBorders>
              <w:bottom w:val="single" w:sz="4" w:space="0" w:color="auto"/>
            </w:tcBorders>
            <w:shd w:val="clear" w:color="auto" w:fill="auto"/>
            <w:noWrap/>
            <w:vAlign w:val="bottom"/>
          </w:tcPr>
          <w:p w:rsidR="00FD2C67" w:rsidRPr="00412299" w:rsidRDefault="00FD2C67" w:rsidP="00F83FBB">
            <w:pPr>
              <w:spacing w:line="240" w:lineRule="auto"/>
              <w:jc w:val="right"/>
              <w:rPr>
                <w:rFonts w:ascii="Calibri" w:hAnsi="Calibri"/>
                <w:color w:val="000000"/>
                <w:sz w:val="18"/>
                <w:szCs w:val="18"/>
                <w:lang w:eastAsia="sl-SI"/>
              </w:rPr>
            </w:pPr>
            <w:r w:rsidRPr="00972554">
              <w:rPr>
                <w:rFonts w:ascii="Calibri" w:hAnsi="Calibri"/>
                <w:sz w:val="18"/>
                <w:szCs w:val="18"/>
              </w:rPr>
              <w:t xml:space="preserve">75.909.712 </w:t>
            </w:r>
          </w:p>
        </w:tc>
        <w:tc>
          <w:tcPr>
            <w:tcW w:w="815" w:type="pct"/>
            <w:tcBorders>
              <w:bottom w:val="single" w:sz="4" w:space="0" w:color="auto"/>
            </w:tcBorders>
            <w:shd w:val="clear" w:color="auto" w:fill="auto"/>
            <w:noWrap/>
            <w:vAlign w:val="bottom"/>
            <w:hideMark/>
          </w:tcPr>
          <w:p w:rsidR="00FD2C67" w:rsidRPr="003E5CEF" w:rsidRDefault="00FD2C67" w:rsidP="003E5CEF">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57.475.891 </w:t>
            </w:r>
          </w:p>
        </w:tc>
        <w:tc>
          <w:tcPr>
            <w:tcW w:w="371" w:type="pct"/>
            <w:tcBorders>
              <w:bottom w:val="single" w:sz="4" w:space="0" w:color="auto"/>
            </w:tcBorders>
            <w:shd w:val="clear" w:color="auto" w:fill="auto"/>
            <w:noWrap/>
            <w:vAlign w:val="bottom"/>
            <w:hideMark/>
          </w:tcPr>
          <w:p w:rsidR="00FD2C67" w:rsidRPr="00412299" w:rsidRDefault="00FD2C67" w:rsidP="00F83FBB">
            <w:pPr>
              <w:spacing w:line="240" w:lineRule="auto"/>
              <w:jc w:val="right"/>
              <w:rPr>
                <w:rFonts w:ascii="Calibri" w:hAnsi="Calibri"/>
                <w:color w:val="000000"/>
                <w:sz w:val="18"/>
                <w:szCs w:val="18"/>
                <w:lang w:eastAsia="sl-SI"/>
              </w:rPr>
            </w:pPr>
            <w:r w:rsidRPr="00972554">
              <w:rPr>
                <w:rFonts w:ascii="Calibri" w:hAnsi="Calibri"/>
                <w:sz w:val="18"/>
                <w:szCs w:val="18"/>
              </w:rPr>
              <w:t>132,07</w:t>
            </w:r>
          </w:p>
        </w:tc>
        <w:tc>
          <w:tcPr>
            <w:tcW w:w="666" w:type="pct"/>
            <w:tcBorders>
              <w:bottom w:val="single" w:sz="4" w:space="0" w:color="auto"/>
            </w:tcBorders>
            <w:shd w:val="clear" w:color="auto" w:fill="auto"/>
            <w:noWrap/>
            <w:vAlign w:val="bottom"/>
            <w:hideMark/>
          </w:tcPr>
          <w:p w:rsidR="00FD2C67" w:rsidRPr="00412299" w:rsidRDefault="00FD2C67"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18.433.821 </w:t>
            </w:r>
          </w:p>
        </w:tc>
      </w:tr>
      <w:tr w:rsidR="00FD2C67" w:rsidRPr="008F68E0" w:rsidTr="00972554">
        <w:trPr>
          <w:trHeight w:val="300"/>
        </w:trPr>
        <w:tc>
          <w:tcPr>
            <w:tcW w:w="2333" w:type="pct"/>
            <w:shd w:val="clear" w:color="auto" w:fill="92D050"/>
            <w:noWrap/>
            <w:vAlign w:val="bottom"/>
            <w:hideMark/>
          </w:tcPr>
          <w:p w:rsidR="00FD2C67" w:rsidRPr="0032637C" w:rsidRDefault="00FD2C67" w:rsidP="00651361">
            <w:pPr>
              <w:spacing w:line="240" w:lineRule="auto"/>
              <w:rPr>
                <w:rFonts w:ascii="Calibri" w:hAnsi="Calibri"/>
                <w:b/>
                <w:i/>
                <w:color w:val="000000"/>
                <w:sz w:val="18"/>
                <w:szCs w:val="18"/>
                <w:lang w:eastAsia="sl-SI"/>
              </w:rPr>
            </w:pPr>
            <w:r w:rsidRPr="0032637C">
              <w:rPr>
                <w:rFonts w:ascii="Calibri" w:hAnsi="Calibri"/>
                <w:b/>
                <w:i/>
                <w:color w:val="000000"/>
                <w:sz w:val="18"/>
                <w:szCs w:val="18"/>
                <w:lang w:eastAsia="sl-SI"/>
              </w:rPr>
              <w:t>322-Skupaj aktiva</w:t>
            </w:r>
          </w:p>
        </w:tc>
        <w:tc>
          <w:tcPr>
            <w:tcW w:w="815" w:type="pct"/>
            <w:shd w:val="clear" w:color="auto" w:fill="92D050"/>
            <w:noWrap/>
            <w:vAlign w:val="bottom"/>
          </w:tcPr>
          <w:p w:rsidR="00FD2C67" w:rsidRPr="00412299" w:rsidRDefault="00FD2C67" w:rsidP="00F83FBB">
            <w:pPr>
              <w:spacing w:line="240" w:lineRule="auto"/>
              <w:jc w:val="right"/>
              <w:rPr>
                <w:rFonts w:ascii="Calibri" w:hAnsi="Calibri"/>
                <w:b/>
                <w:i/>
                <w:sz w:val="18"/>
                <w:szCs w:val="18"/>
              </w:rPr>
            </w:pPr>
            <w:r w:rsidRPr="00972554">
              <w:rPr>
                <w:rFonts w:ascii="Calibri" w:hAnsi="Calibri"/>
                <w:b/>
                <w:i/>
                <w:sz w:val="18"/>
                <w:szCs w:val="18"/>
              </w:rPr>
              <w:t xml:space="preserve">33.767.666.569 </w:t>
            </w:r>
          </w:p>
        </w:tc>
        <w:tc>
          <w:tcPr>
            <w:tcW w:w="815" w:type="pct"/>
            <w:shd w:val="clear" w:color="auto" w:fill="92D050"/>
            <w:noWrap/>
            <w:vAlign w:val="bottom"/>
            <w:hideMark/>
          </w:tcPr>
          <w:p w:rsidR="00FD2C67" w:rsidRPr="00984533" w:rsidRDefault="00FD2C67" w:rsidP="003E5CEF">
            <w:pPr>
              <w:spacing w:line="240" w:lineRule="auto"/>
              <w:jc w:val="right"/>
              <w:rPr>
                <w:rFonts w:ascii="Calibri" w:hAnsi="Calibri"/>
                <w:b/>
                <w:i/>
                <w:color w:val="000000"/>
                <w:sz w:val="18"/>
                <w:szCs w:val="18"/>
                <w:lang w:eastAsia="sl-SI"/>
              </w:rPr>
            </w:pPr>
            <w:r w:rsidRPr="000F6B5B">
              <w:rPr>
                <w:rFonts w:ascii="Calibri" w:hAnsi="Calibri"/>
                <w:b/>
                <w:i/>
                <w:sz w:val="18"/>
                <w:szCs w:val="18"/>
              </w:rPr>
              <w:t xml:space="preserve">32.694.689.120 </w:t>
            </w:r>
          </w:p>
        </w:tc>
        <w:tc>
          <w:tcPr>
            <w:tcW w:w="371" w:type="pct"/>
            <w:shd w:val="clear" w:color="auto" w:fill="92D050"/>
            <w:noWrap/>
            <w:vAlign w:val="bottom"/>
            <w:hideMark/>
          </w:tcPr>
          <w:p w:rsidR="00FD2C67" w:rsidRPr="00972554" w:rsidRDefault="00FD2C67" w:rsidP="00F83FBB">
            <w:pPr>
              <w:spacing w:line="240" w:lineRule="auto"/>
              <w:jc w:val="right"/>
              <w:rPr>
                <w:rFonts w:ascii="Calibri" w:hAnsi="Calibri"/>
                <w:b/>
                <w:sz w:val="18"/>
                <w:szCs w:val="18"/>
              </w:rPr>
            </w:pPr>
            <w:r w:rsidRPr="00972554">
              <w:rPr>
                <w:rFonts w:ascii="Calibri" w:hAnsi="Calibri"/>
                <w:b/>
                <w:sz w:val="18"/>
                <w:szCs w:val="18"/>
              </w:rPr>
              <w:t>103,28</w:t>
            </w:r>
          </w:p>
        </w:tc>
        <w:tc>
          <w:tcPr>
            <w:tcW w:w="666" w:type="pct"/>
            <w:shd w:val="clear" w:color="auto" w:fill="92D050"/>
            <w:noWrap/>
            <w:vAlign w:val="bottom"/>
            <w:hideMark/>
          </w:tcPr>
          <w:p w:rsidR="00FD2C67" w:rsidRPr="00972554" w:rsidRDefault="00FD2C67" w:rsidP="00382B0F">
            <w:pPr>
              <w:spacing w:line="240" w:lineRule="auto"/>
              <w:jc w:val="right"/>
              <w:rPr>
                <w:rFonts w:ascii="Calibri" w:hAnsi="Calibri"/>
                <w:b/>
                <w:sz w:val="18"/>
                <w:szCs w:val="18"/>
              </w:rPr>
            </w:pPr>
            <w:r w:rsidRPr="00972554">
              <w:rPr>
                <w:rFonts w:ascii="Calibri" w:hAnsi="Calibri"/>
                <w:b/>
                <w:sz w:val="18"/>
                <w:szCs w:val="18"/>
              </w:rPr>
              <w:t xml:space="preserve">1.072.977.449 </w:t>
            </w:r>
          </w:p>
        </w:tc>
      </w:tr>
      <w:tr w:rsidR="00FD2C67" w:rsidRPr="008F68E0" w:rsidTr="00972554">
        <w:trPr>
          <w:trHeight w:val="300"/>
        </w:trPr>
        <w:tc>
          <w:tcPr>
            <w:tcW w:w="2333" w:type="pct"/>
            <w:shd w:val="clear" w:color="auto" w:fill="auto"/>
            <w:noWrap/>
            <w:vAlign w:val="bottom"/>
            <w:hideMark/>
          </w:tcPr>
          <w:p w:rsidR="00FD2C67" w:rsidRPr="0042664D" w:rsidRDefault="00FD2C67" w:rsidP="00651361">
            <w:pPr>
              <w:spacing w:line="240" w:lineRule="auto"/>
              <w:rPr>
                <w:rFonts w:ascii="Calibri" w:hAnsi="Calibri"/>
                <w:color w:val="000000"/>
                <w:sz w:val="18"/>
                <w:szCs w:val="18"/>
                <w:lang w:eastAsia="sl-SI"/>
              </w:rPr>
            </w:pPr>
            <w:r w:rsidRPr="0042664D">
              <w:rPr>
                <w:rFonts w:ascii="Calibri" w:hAnsi="Calibri"/>
                <w:color w:val="000000"/>
                <w:sz w:val="18"/>
                <w:szCs w:val="18"/>
                <w:lang w:eastAsia="sl-SI"/>
              </w:rPr>
              <w:t>323-Splošni sklad</w:t>
            </w:r>
          </w:p>
        </w:tc>
        <w:tc>
          <w:tcPr>
            <w:tcW w:w="815" w:type="pct"/>
            <w:shd w:val="clear" w:color="auto" w:fill="auto"/>
            <w:noWrap/>
            <w:vAlign w:val="bottom"/>
          </w:tcPr>
          <w:p w:rsidR="00FD2C67" w:rsidRPr="00412299" w:rsidRDefault="00FD2C67" w:rsidP="00F83FBB">
            <w:pPr>
              <w:spacing w:line="240" w:lineRule="auto"/>
              <w:jc w:val="right"/>
              <w:rPr>
                <w:rFonts w:ascii="Calibri" w:hAnsi="Calibri"/>
                <w:color w:val="000000"/>
                <w:sz w:val="18"/>
                <w:szCs w:val="18"/>
                <w:lang w:eastAsia="sl-SI"/>
              </w:rPr>
            </w:pPr>
            <w:r w:rsidRPr="00972554">
              <w:rPr>
                <w:rFonts w:ascii="Calibri" w:hAnsi="Calibri"/>
                <w:sz w:val="18"/>
                <w:szCs w:val="18"/>
              </w:rPr>
              <w:t xml:space="preserve">2.470.835.045 </w:t>
            </w:r>
          </w:p>
        </w:tc>
        <w:tc>
          <w:tcPr>
            <w:tcW w:w="815" w:type="pct"/>
            <w:shd w:val="clear" w:color="auto" w:fill="auto"/>
            <w:noWrap/>
            <w:vAlign w:val="bottom"/>
            <w:hideMark/>
          </w:tcPr>
          <w:p w:rsidR="00FD2C67" w:rsidRPr="003E5CEF" w:rsidRDefault="00FD2C67" w:rsidP="003E5CEF">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1.776.194.785 </w:t>
            </w:r>
          </w:p>
        </w:tc>
        <w:tc>
          <w:tcPr>
            <w:tcW w:w="371" w:type="pct"/>
            <w:shd w:val="clear" w:color="auto" w:fill="auto"/>
            <w:noWrap/>
            <w:vAlign w:val="bottom"/>
            <w:hideMark/>
          </w:tcPr>
          <w:p w:rsidR="00FD2C67" w:rsidRPr="00412299" w:rsidRDefault="00FD2C67" w:rsidP="00F83FBB">
            <w:pPr>
              <w:spacing w:line="240" w:lineRule="auto"/>
              <w:jc w:val="right"/>
              <w:rPr>
                <w:rFonts w:ascii="Calibri" w:hAnsi="Calibri"/>
                <w:color w:val="000000"/>
                <w:sz w:val="18"/>
                <w:szCs w:val="18"/>
                <w:lang w:eastAsia="sl-SI"/>
              </w:rPr>
            </w:pPr>
            <w:r w:rsidRPr="00972554">
              <w:rPr>
                <w:rFonts w:ascii="Calibri" w:hAnsi="Calibri"/>
                <w:sz w:val="18"/>
                <w:szCs w:val="18"/>
              </w:rPr>
              <w:t>139,11</w:t>
            </w:r>
          </w:p>
        </w:tc>
        <w:tc>
          <w:tcPr>
            <w:tcW w:w="666" w:type="pct"/>
            <w:shd w:val="clear" w:color="auto" w:fill="auto"/>
            <w:noWrap/>
            <w:vAlign w:val="bottom"/>
            <w:hideMark/>
          </w:tcPr>
          <w:p w:rsidR="00FD2C67" w:rsidRPr="00412299" w:rsidRDefault="00FD2C67"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694.640.260 </w:t>
            </w:r>
          </w:p>
        </w:tc>
      </w:tr>
      <w:tr w:rsidR="00FD2C67" w:rsidRPr="008F68E0" w:rsidTr="00972554">
        <w:trPr>
          <w:trHeight w:val="300"/>
        </w:trPr>
        <w:tc>
          <w:tcPr>
            <w:tcW w:w="2333" w:type="pct"/>
            <w:shd w:val="clear" w:color="auto" w:fill="auto"/>
            <w:noWrap/>
            <w:vAlign w:val="bottom"/>
            <w:hideMark/>
          </w:tcPr>
          <w:p w:rsidR="00FD2C67" w:rsidRPr="0042664D" w:rsidRDefault="00FD2C67" w:rsidP="00651361">
            <w:pPr>
              <w:spacing w:line="240" w:lineRule="auto"/>
              <w:rPr>
                <w:rFonts w:ascii="Calibri" w:hAnsi="Calibri"/>
                <w:color w:val="000000"/>
                <w:sz w:val="18"/>
                <w:szCs w:val="18"/>
                <w:lang w:eastAsia="sl-SI"/>
              </w:rPr>
            </w:pPr>
            <w:r w:rsidRPr="0042664D">
              <w:rPr>
                <w:rFonts w:ascii="Calibri" w:hAnsi="Calibri"/>
                <w:color w:val="000000"/>
                <w:sz w:val="18"/>
                <w:szCs w:val="18"/>
                <w:lang w:eastAsia="sl-SI"/>
              </w:rPr>
              <w:t>324-Obveznosti za sredstva prejeta v upravljanje</w:t>
            </w:r>
            <w:r>
              <w:rPr>
                <w:rStyle w:val="FootnoteReference"/>
                <w:rFonts w:ascii="Calibri" w:hAnsi="Calibri"/>
                <w:color w:val="000000"/>
                <w:sz w:val="18"/>
                <w:szCs w:val="18"/>
                <w:lang w:eastAsia="sl-SI"/>
              </w:rPr>
              <w:footnoteReference w:id="3"/>
            </w:r>
          </w:p>
        </w:tc>
        <w:tc>
          <w:tcPr>
            <w:tcW w:w="815" w:type="pct"/>
            <w:shd w:val="clear" w:color="auto" w:fill="auto"/>
            <w:noWrap/>
            <w:vAlign w:val="bottom"/>
          </w:tcPr>
          <w:p w:rsidR="00FD2C67" w:rsidRPr="00412299" w:rsidRDefault="00FD2C67" w:rsidP="00F83FBB">
            <w:pPr>
              <w:spacing w:line="240" w:lineRule="auto"/>
              <w:jc w:val="right"/>
              <w:rPr>
                <w:rFonts w:ascii="Calibri" w:hAnsi="Calibri"/>
                <w:color w:val="000000"/>
                <w:sz w:val="18"/>
                <w:szCs w:val="18"/>
                <w:lang w:eastAsia="sl-SI"/>
              </w:rPr>
            </w:pPr>
            <w:r w:rsidRPr="00972554">
              <w:rPr>
                <w:rFonts w:ascii="Calibri" w:hAnsi="Calibri"/>
                <w:sz w:val="18"/>
                <w:szCs w:val="18"/>
              </w:rPr>
              <w:t xml:space="preserve">0 </w:t>
            </w:r>
          </w:p>
        </w:tc>
        <w:tc>
          <w:tcPr>
            <w:tcW w:w="815" w:type="pct"/>
            <w:shd w:val="clear" w:color="auto" w:fill="auto"/>
            <w:noWrap/>
            <w:vAlign w:val="bottom"/>
            <w:hideMark/>
          </w:tcPr>
          <w:p w:rsidR="00FD2C67" w:rsidRPr="003E5CEF" w:rsidRDefault="00FD2C67" w:rsidP="003E5CEF">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0 </w:t>
            </w:r>
          </w:p>
        </w:tc>
        <w:tc>
          <w:tcPr>
            <w:tcW w:w="371" w:type="pct"/>
            <w:shd w:val="clear" w:color="auto" w:fill="auto"/>
            <w:noWrap/>
            <w:vAlign w:val="bottom"/>
            <w:hideMark/>
          </w:tcPr>
          <w:p w:rsidR="00FD2C67" w:rsidRPr="00412299" w:rsidRDefault="00FD2C67" w:rsidP="00F83FBB">
            <w:pPr>
              <w:spacing w:line="240" w:lineRule="auto"/>
              <w:jc w:val="center"/>
              <w:rPr>
                <w:rFonts w:ascii="Calibri" w:hAnsi="Calibri"/>
                <w:color w:val="000000"/>
                <w:sz w:val="18"/>
                <w:szCs w:val="18"/>
                <w:lang w:eastAsia="sl-SI"/>
              </w:rPr>
            </w:pPr>
            <w:r w:rsidRPr="002B775E">
              <w:rPr>
                <w:rFonts w:ascii="Calibri" w:hAnsi="Calibri"/>
                <w:sz w:val="18"/>
                <w:szCs w:val="18"/>
              </w:rPr>
              <w:t>/</w:t>
            </w:r>
          </w:p>
        </w:tc>
        <w:tc>
          <w:tcPr>
            <w:tcW w:w="666" w:type="pct"/>
            <w:shd w:val="clear" w:color="auto" w:fill="auto"/>
            <w:noWrap/>
            <w:vAlign w:val="bottom"/>
            <w:hideMark/>
          </w:tcPr>
          <w:p w:rsidR="00FD2C67" w:rsidRPr="00412299" w:rsidRDefault="00FD2C67" w:rsidP="00382B0F">
            <w:pPr>
              <w:spacing w:line="240" w:lineRule="auto"/>
              <w:jc w:val="right"/>
              <w:rPr>
                <w:rFonts w:ascii="Calibri" w:hAnsi="Calibri"/>
                <w:color w:val="000000"/>
                <w:sz w:val="18"/>
                <w:szCs w:val="18"/>
                <w:lang w:eastAsia="sl-SI"/>
              </w:rPr>
            </w:pPr>
            <w:r w:rsidRPr="002B775E">
              <w:rPr>
                <w:rFonts w:ascii="Calibri" w:hAnsi="Calibri"/>
                <w:sz w:val="18"/>
                <w:szCs w:val="18"/>
              </w:rPr>
              <w:t>/</w:t>
            </w:r>
            <w:r w:rsidRPr="00972554">
              <w:rPr>
                <w:rFonts w:ascii="Calibri" w:hAnsi="Calibri"/>
                <w:sz w:val="18"/>
                <w:szCs w:val="18"/>
              </w:rPr>
              <w:t xml:space="preserve"> </w:t>
            </w:r>
          </w:p>
        </w:tc>
      </w:tr>
      <w:tr w:rsidR="00FD2C67" w:rsidRPr="008F68E0" w:rsidTr="00972554">
        <w:trPr>
          <w:trHeight w:val="300"/>
        </w:trPr>
        <w:tc>
          <w:tcPr>
            <w:tcW w:w="2333" w:type="pct"/>
            <w:shd w:val="clear" w:color="auto" w:fill="auto"/>
            <w:noWrap/>
            <w:vAlign w:val="bottom"/>
            <w:hideMark/>
          </w:tcPr>
          <w:p w:rsidR="00FD2C67" w:rsidRPr="0042664D" w:rsidRDefault="00FD2C67" w:rsidP="00651361">
            <w:pPr>
              <w:spacing w:line="240" w:lineRule="auto"/>
              <w:rPr>
                <w:rFonts w:ascii="Calibri" w:hAnsi="Calibri"/>
                <w:color w:val="000000"/>
                <w:sz w:val="18"/>
                <w:szCs w:val="18"/>
                <w:lang w:eastAsia="sl-SI"/>
              </w:rPr>
            </w:pPr>
            <w:r w:rsidRPr="0042664D">
              <w:rPr>
                <w:rFonts w:ascii="Calibri" w:hAnsi="Calibri"/>
                <w:color w:val="000000"/>
                <w:sz w:val="18"/>
                <w:szCs w:val="18"/>
                <w:lang w:eastAsia="sl-SI"/>
              </w:rPr>
              <w:t>325-Rezervni sklad</w:t>
            </w:r>
          </w:p>
        </w:tc>
        <w:tc>
          <w:tcPr>
            <w:tcW w:w="815" w:type="pct"/>
            <w:shd w:val="clear" w:color="auto" w:fill="auto"/>
            <w:noWrap/>
            <w:vAlign w:val="bottom"/>
          </w:tcPr>
          <w:p w:rsidR="00FD2C67" w:rsidRPr="00412299" w:rsidRDefault="00FD2C67" w:rsidP="00F83FBB">
            <w:pPr>
              <w:spacing w:line="240" w:lineRule="auto"/>
              <w:jc w:val="right"/>
              <w:rPr>
                <w:rFonts w:ascii="Calibri" w:hAnsi="Calibri"/>
                <w:color w:val="000000"/>
                <w:sz w:val="18"/>
                <w:szCs w:val="18"/>
                <w:lang w:eastAsia="sl-SI"/>
              </w:rPr>
            </w:pPr>
            <w:r w:rsidRPr="00972554">
              <w:rPr>
                <w:rFonts w:ascii="Calibri" w:hAnsi="Calibri"/>
                <w:sz w:val="18"/>
                <w:szCs w:val="18"/>
              </w:rPr>
              <w:t xml:space="preserve">44.390.109 </w:t>
            </w:r>
          </w:p>
        </w:tc>
        <w:tc>
          <w:tcPr>
            <w:tcW w:w="815" w:type="pct"/>
            <w:shd w:val="clear" w:color="auto" w:fill="auto"/>
            <w:noWrap/>
            <w:vAlign w:val="bottom"/>
            <w:hideMark/>
          </w:tcPr>
          <w:p w:rsidR="00FD2C67" w:rsidRPr="003E5CEF" w:rsidRDefault="00FD2C67" w:rsidP="003E5CEF">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44.829.780 </w:t>
            </w:r>
          </w:p>
        </w:tc>
        <w:tc>
          <w:tcPr>
            <w:tcW w:w="371" w:type="pct"/>
            <w:shd w:val="clear" w:color="auto" w:fill="auto"/>
            <w:noWrap/>
            <w:vAlign w:val="bottom"/>
            <w:hideMark/>
          </w:tcPr>
          <w:p w:rsidR="00FD2C67" w:rsidRPr="00116FC1" w:rsidRDefault="00FD2C67" w:rsidP="00F83FBB">
            <w:pPr>
              <w:spacing w:line="240" w:lineRule="auto"/>
              <w:jc w:val="right"/>
              <w:rPr>
                <w:rFonts w:ascii="Calibri" w:hAnsi="Calibri"/>
                <w:color w:val="000000"/>
                <w:sz w:val="18"/>
                <w:szCs w:val="18"/>
                <w:lang w:eastAsia="sl-SI"/>
              </w:rPr>
            </w:pPr>
            <w:r w:rsidRPr="00972554">
              <w:rPr>
                <w:rFonts w:ascii="Calibri" w:hAnsi="Calibri"/>
                <w:sz w:val="18"/>
                <w:szCs w:val="18"/>
              </w:rPr>
              <w:t>99,02</w:t>
            </w:r>
          </w:p>
        </w:tc>
        <w:tc>
          <w:tcPr>
            <w:tcW w:w="666" w:type="pct"/>
            <w:shd w:val="clear" w:color="auto" w:fill="auto"/>
            <w:noWrap/>
            <w:vAlign w:val="bottom"/>
            <w:hideMark/>
          </w:tcPr>
          <w:p w:rsidR="00FD2C67" w:rsidRPr="00412299" w:rsidRDefault="00FD2C67"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-439.671 </w:t>
            </w:r>
          </w:p>
        </w:tc>
      </w:tr>
      <w:tr w:rsidR="00FD2C67" w:rsidRPr="008F68E0" w:rsidTr="00972554">
        <w:trPr>
          <w:trHeight w:val="300"/>
        </w:trPr>
        <w:tc>
          <w:tcPr>
            <w:tcW w:w="2333" w:type="pct"/>
            <w:shd w:val="clear" w:color="auto" w:fill="auto"/>
            <w:noWrap/>
            <w:vAlign w:val="bottom"/>
            <w:hideMark/>
          </w:tcPr>
          <w:p w:rsidR="00FD2C67" w:rsidRPr="0042664D" w:rsidRDefault="00FD2C67" w:rsidP="00651361">
            <w:pPr>
              <w:spacing w:line="240" w:lineRule="auto"/>
              <w:rPr>
                <w:rFonts w:ascii="Calibri" w:hAnsi="Calibri"/>
                <w:color w:val="000000"/>
                <w:sz w:val="18"/>
                <w:szCs w:val="18"/>
                <w:lang w:eastAsia="sl-SI"/>
              </w:rPr>
            </w:pPr>
            <w:r w:rsidRPr="0042664D">
              <w:rPr>
                <w:rFonts w:ascii="Calibri" w:hAnsi="Calibri"/>
                <w:color w:val="000000"/>
                <w:sz w:val="18"/>
                <w:szCs w:val="18"/>
                <w:lang w:eastAsia="sl-SI"/>
              </w:rPr>
              <w:t>326-Dolgoročno prejeta posojila</w:t>
            </w:r>
          </w:p>
        </w:tc>
        <w:tc>
          <w:tcPr>
            <w:tcW w:w="815" w:type="pct"/>
            <w:shd w:val="clear" w:color="auto" w:fill="auto"/>
            <w:noWrap/>
            <w:vAlign w:val="bottom"/>
          </w:tcPr>
          <w:p w:rsidR="00FD2C67" w:rsidRPr="00412299" w:rsidRDefault="00FD2C67" w:rsidP="00F83FBB">
            <w:pPr>
              <w:spacing w:line="240" w:lineRule="auto"/>
              <w:jc w:val="right"/>
              <w:rPr>
                <w:rFonts w:ascii="Calibri" w:hAnsi="Calibri"/>
                <w:color w:val="000000"/>
                <w:sz w:val="18"/>
                <w:szCs w:val="18"/>
                <w:lang w:eastAsia="sl-SI"/>
              </w:rPr>
            </w:pPr>
            <w:r w:rsidRPr="00972554">
              <w:rPr>
                <w:rFonts w:ascii="Calibri" w:hAnsi="Calibri"/>
                <w:sz w:val="18"/>
                <w:szCs w:val="18"/>
              </w:rPr>
              <w:t xml:space="preserve">28.784.094.446 </w:t>
            </w:r>
          </w:p>
        </w:tc>
        <w:tc>
          <w:tcPr>
            <w:tcW w:w="815" w:type="pct"/>
            <w:shd w:val="clear" w:color="auto" w:fill="auto"/>
            <w:noWrap/>
            <w:vAlign w:val="bottom"/>
            <w:hideMark/>
          </w:tcPr>
          <w:p w:rsidR="00FD2C67" w:rsidRPr="00F61046" w:rsidRDefault="00FD2C67" w:rsidP="003E5CEF">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28.324.790.411 </w:t>
            </w:r>
          </w:p>
        </w:tc>
        <w:tc>
          <w:tcPr>
            <w:tcW w:w="371" w:type="pct"/>
            <w:shd w:val="clear" w:color="auto" w:fill="auto"/>
            <w:noWrap/>
            <w:vAlign w:val="bottom"/>
            <w:hideMark/>
          </w:tcPr>
          <w:p w:rsidR="00FD2C67" w:rsidRPr="00412299" w:rsidRDefault="00FD2C67" w:rsidP="00F83FBB">
            <w:pPr>
              <w:spacing w:line="240" w:lineRule="auto"/>
              <w:jc w:val="right"/>
              <w:rPr>
                <w:rFonts w:ascii="Calibri" w:hAnsi="Calibri"/>
                <w:color w:val="000000"/>
                <w:sz w:val="18"/>
                <w:szCs w:val="18"/>
                <w:lang w:eastAsia="sl-SI"/>
              </w:rPr>
            </w:pPr>
            <w:r w:rsidRPr="00972554">
              <w:rPr>
                <w:rFonts w:ascii="Calibri" w:hAnsi="Calibri"/>
                <w:sz w:val="18"/>
                <w:szCs w:val="18"/>
              </w:rPr>
              <w:t>101,62</w:t>
            </w:r>
          </w:p>
        </w:tc>
        <w:tc>
          <w:tcPr>
            <w:tcW w:w="666" w:type="pct"/>
            <w:shd w:val="clear" w:color="auto" w:fill="auto"/>
            <w:noWrap/>
            <w:vAlign w:val="bottom"/>
            <w:hideMark/>
          </w:tcPr>
          <w:p w:rsidR="00FD2C67" w:rsidRPr="00412299" w:rsidRDefault="00FD2C67"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459.304.035 </w:t>
            </w:r>
          </w:p>
        </w:tc>
      </w:tr>
      <w:tr w:rsidR="00FD2C67" w:rsidRPr="008F68E0" w:rsidTr="00972554">
        <w:trPr>
          <w:trHeight w:val="300"/>
        </w:trPr>
        <w:tc>
          <w:tcPr>
            <w:tcW w:w="2333" w:type="pct"/>
            <w:shd w:val="clear" w:color="auto" w:fill="auto"/>
            <w:noWrap/>
            <w:vAlign w:val="bottom"/>
            <w:hideMark/>
          </w:tcPr>
          <w:p w:rsidR="00FD2C67" w:rsidRPr="0042664D" w:rsidRDefault="00FD2C67" w:rsidP="00651361">
            <w:pPr>
              <w:spacing w:line="240" w:lineRule="auto"/>
              <w:rPr>
                <w:rFonts w:ascii="Calibri" w:hAnsi="Calibri"/>
                <w:color w:val="000000"/>
                <w:sz w:val="18"/>
                <w:szCs w:val="18"/>
                <w:lang w:eastAsia="sl-SI"/>
              </w:rPr>
            </w:pPr>
            <w:r w:rsidRPr="0042664D">
              <w:rPr>
                <w:rFonts w:ascii="Calibri" w:hAnsi="Calibri"/>
                <w:color w:val="000000"/>
                <w:sz w:val="18"/>
                <w:szCs w:val="18"/>
                <w:lang w:eastAsia="sl-SI"/>
              </w:rPr>
              <w:t>327-Dolgoročne obveznosti iz poslovanja</w:t>
            </w:r>
          </w:p>
        </w:tc>
        <w:tc>
          <w:tcPr>
            <w:tcW w:w="815" w:type="pct"/>
            <w:shd w:val="clear" w:color="auto" w:fill="auto"/>
            <w:noWrap/>
            <w:vAlign w:val="bottom"/>
          </w:tcPr>
          <w:p w:rsidR="00FD2C67" w:rsidRPr="00412299" w:rsidRDefault="00FD2C67" w:rsidP="00F83FBB">
            <w:pPr>
              <w:spacing w:line="240" w:lineRule="auto"/>
              <w:jc w:val="right"/>
              <w:rPr>
                <w:rFonts w:ascii="Calibri" w:hAnsi="Calibri"/>
                <w:color w:val="000000"/>
                <w:sz w:val="18"/>
                <w:szCs w:val="18"/>
                <w:lang w:eastAsia="sl-SI"/>
              </w:rPr>
            </w:pPr>
            <w:r w:rsidRPr="00972554">
              <w:rPr>
                <w:rFonts w:ascii="Calibri" w:hAnsi="Calibri"/>
                <w:sz w:val="18"/>
                <w:szCs w:val="18"/>
              </w:rPr>
              <w:t xml:space="preserve">213.680.944 </w:t>
            </w:r>
          </w:p>
        </w:tc>
        <w:tc>
          <w:tcPr>
            <w:tcW w:w="815" w:type="pct"/>
            <w:shd w:val="clear" w:color="auto" w:fill="auto"/>
            <w:noWrap/>
            <w:vAlign w:val="bottom"/>
            <w:hideMark/>
          </w:tcPr>
          <w:p w:rsidR="00FD2C67" w:rsidRPr="003E5CEF" w:rsidRDefault="00FD2C67" w:rsidP="003E5CEF">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300.764.604 </w:t>
            </w:r>
          </w:p>
        </w:tc>
        <w:tc>
          <w:tcPr>
            <w:tcW w:w="371" w:type="pct"/>
            <w:shd w:val="clear" w:color="auto" w:fill="auto"/>
            <w:noWrap/>
            <w:vAlign w:val="bottom"/>
            <w:hideMark/>
          </w:tcPr>
          <w:p w:rsidR="00FD2C67" w:rsidRPr="00116FC1" w:rsidRDefault="00FD2C67" w:rsidP="00F83FBB">
            <w:pPr>
              <w:spacing w:line="240" w:lineRule="auto"/>
              <w:jc w:val="right"/>
              <w:rPr>
                <w:rFonts w:ascii="Calibri" w:hAnsi="Calibri"/>
                <w:color w:val="000000"/>
                <w:sz w:val="18"/>
                <w:szCs w:val="18"/>
                <w:lang w:eastAsia="sl-SI"/>
              </w:rPr>
            </w:pPr>
            <w:r w:rsidRPr="00972554">
              <w:rPr>
                <w:rFonts w:ascii="Calibri" w:hAnsi="Calibri"/>
                <w:sz w:val="18"/>
                <w:szCs w:val="18"/>
              </w:rPr>
              <w:t>71,05</w:t>
            </w:r>
          </w:p>
        </w:tc>
        <w:tc>
          <w:tcPr>
            <w:tcW w:w="666" w:type="pct"/>
            <w:shd w:val="clear" w:color="auto" w:fill="auto"/>
            <w:noWrap/>
            <w:vAlign w:val="bottom"/>
            <w:hideMark/>
          </w:tcPr>
          <w:p w:rsidR="00FD2C67" w:rsidRPr="00412299" w:rsidRDefault="00FD2C67"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-87.083.660 </w:t>
            </w:r>
          </w:p>
        </w:tc>
      </w:tr>
      <w:tr w:rsidR="00FD2C67" w:rsidRPr="008F68E0" w:rsidTr="00972554">
        <w:trPr>
          <w:trHeight w:val="300"/>
        </w:trPr>
        <w:tc>
          <w:tcPr>
            <w:tcW w:w="2333" w:type="pct"/>
            <w:shd w:val="clear" w:color="auto" w:fill="auto"/>
            <w:noWrap/>
            <w:vAlign w:val="bottom"/>
            <w:hideMark/>
          </w:tcPr>
          <w:p w:rsidR="00FD2C67" w:rsidRPr="0042664D" w:rsidRDefault="00FD2C67" w:rsidP="00651361">
            <w:pPr>
              <w:spacing w:line="240" w:lineRule="auto"/>
              <w:rPr>
                <w:rFonts w:ascii="Calibri" w:hAnsi="Calibri"/>
                <w:color w:val="000000"/>
                <w:sz w:val="18"/>
                <w:szCs w:val="18"/>
                <w:lang w:eastAsia="sl-SI"/>
              </w:rPr>
            </w:pPr>
            <w:r w:rsidRPr="0042664D">
              <w:rPr>
                <w:rFonts w:ascii="Calibri" w:hAnsi="Calibri"/>
                <w:color w:val="000000"/>
                <w:sz w:val="18"/>
                <w:szCs w:val="18"/>
                <w:lang w:eastAsia="sl-SI"/>
              </w:rPr>
              <w:t>328-Kratkoročne obveznosti</w:t>
            </w:r>
          </w:p>
        </w:tc>
        <w:tc>
          <w:tcPr>
            <w:tcW w:w="815" w:type="pct"/>
            <w:shd w:val="clear" w:color="auto" w:fill="auto"/>
            <w:noWrap/>
            <w:vAlign w:val="bottom"/>
          </w:tcPr>
          <w:p w:rsidR="00FD2C67" w:rsidRPr="00412299" w:rsidRDefault="00FD2C67" w:rsidP="00F83FBB">
            <w:pPr>
              <w:spacing w:line="240" w:lineRule="auto"/>
              <w:jc w:val="right"/>
              <w:rPr>
                <w:rFonts w:ascii="Calibri" w:hAnsi="Calibri"/>
                <w:color w:val="000000"/>
                <w:sz w:val="18"/>
                <w:szCs w:val="18"/>
                <w:lang w:eastAsia="sl-SI"/>
              </w:rPr>
            </w:pPr>
            <w:r w:rsidRPr="00972554">
              <w:rPr>
                <w:rFonts w:ascii="Calibri" w:hAnsi="Calibri"/>
                <w:sz w:val="18"/>
                <w:szCs w:val="18"/>
              </w:rPr>
              <w:t xml:space="preserve">2.113.539.149 </w:t>
            </w:r>
          </w:p>
        </w:tc>
        <w:tc>
          <w:tcPr>
            <w:tcW w:w="815" w:type="pct"/>
            <w:shd w:val="clear" w:color="auto" w:fill="auto"/>
            <w:noWrap/>
            <w:vAlign w:val="bottom"/>
            <w:hideMark/>
          </w:tcPr>
          <w:p w:rsidR="00FD2C67" w:rsidRPr="00F61046" w:rsidRDefault="00FD2C67" w:rsidP="003E5CEF">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2.118.426.574 </w:t>
            </w:r>
          </w:p>
        </w:tc>
        <w:tc>
          <w:tcPr>
            <w:tcW w:w="371" w:type="pct"/>
            <w:shd w:val="clear" w:color="auto" w:fill="auto"/>
            <w:noWrap/>
            <w:vAlign w:val="bottom"/>
            <w:hideMark/>
          </w:tcPr>
          <w:p w:rsidR="00FD2C67" w:rsidRPr="00412299" w:rsidRDefault="00FD2C67" w:rsidP="00F83FBB">
            <w:pPr>
              <w:spacing w:line="240" w:lineRule="auto"/>
              <w:jc w:val="right"/>
              <w:rPr>
                <w:rFonts w:ascii="Calibri" w:hAnsi="Calibri"/>
                <w:color w:val="000000"/>
                <w:sz w:val="18"/>
                <w:szCs w:val="18"/>
                <w:lang w:eastAsia="sl-SI"/>
              </w:rPr>
            </w:pPr>
            <w:r w:rsidRPr="00972554">
              <w:rPr>
                <w:rFonts w:ascii="Calibri" w:hAnsi="Calibri"/>
                <w:sz w:val="18"/>
                <w:szCs w:val="18"/>
              </w:rPr>
              <w:t>99,77</w:t>
            </w:r>
          </w:p>
        </w:tc>
        <w:tc>
          <w:tcPr>
            <w:tcW w:w="666" w:type="pct"/>
            <w:shd w:val="clear" w:color="auto" w:fill="auto"/>
            <w:noWrap/>
            <w:vAlign w:val="bottom"/>
            <w:hideMark/>
          </w:tcPr>
          <w:p w:rsidR="00FD2C67" w:rsidRPr="00412299" w:rsidRDefault="00FD2C67"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-4.887.425 </w:t>
            </w:r>
          </w:p>
        </w:tc>
      </w:tr>
      <w:tr w:rsidR="00FD2C67" w:rsidRPr="008F68E0" w:rsidTr="00972554">
        <w:trPr>
          <w:trHeight w:val="300"/>
        </w:trPr>
        <w:tc>
          <w:tcPr>
            <w:tcW w:w="2333" w:type="pct"/>
            <w:tcBorders>
              <w:bottom w:val="single" w:sz="4" w:space="0" w:color="auto"/>
            </w:tcBorders>
            <w:shd w:val="clear" w:color="auto" w:fill="auto"/>
            <w:noWrap/>
            <w:vAlign w:val="bottom"/>
            <w:hideMark/>
          </w:tcPr>
          <w:p w:rsidR="00FD2C67" w:rsidRPr="0042664D" w:rsidRDefault="00FD2C67" w:rsidP="00651361">
            <w:pPr>
              <w:spacing w:line="240" w:lineRule="auto"/>
              <w:rPr>
                <w:rFonts w:ascii="Calibri" w:hAnsi="Calibri"/>
                <w:color w:val="000000"/>
                <w:sz w:val="18"/>
                <w:szCs w:val="18"/>
                <w:lang w:eastAsia="sl-SI"/>
              </w:rPr>
            </w:pPr>
            <w:r w:rsidRPr="0042664D">
              <w:rPr>
                <w:rFonts w:ascii="Calibri" w:hAnsi="Calibri"/>
                <w:color w:val="000000"/>
                <w:sz w:val="18"/>
                <w:szCs w:val="18"/>
                <w:lang w:eastAsia="sl-SI"/>
              </w:rPr>
              <w:t>329-Druge obveznosti</w:t>
            </w:r>
          </w:p>
        </w:tc>
        <w:tc>
          <w:tcPr>
            <w:tcW w:w="815" w:type="pct"/>
            <w:tcBorders>
              <w:bottom w:val="single" w:sz="4" w:space="0" w:color="auto"/>
            </w:tcBorders>
            <w:shd w:val="clear" w:color="auto" w:fill="auto"/>
            <w:noWrap/>
            <w:vAlign w:val="bottom"/>
          </w:tcPr>
          <w:p w:rsidR="00FD2C67" w:rsidRPr="00412299" w:rsidRDefault="00FD2C67" w:rsidP="00F83FBB">
            <w:pPr>
              <w:spacing w:line="240" w:lineRule="auto"/>
              <w:jc w:val="right"/>
              <w:rPr>
                <w:rFonts w:ascii="Calibri" w:hAnsi="Calibri"/>
                <w:color w:val="000000"/>
                <w:sz w:val="18"/>
                <w:szCs w:val="18"/>
                <w:lang w:eastAsia="sl-SI"/>
              </w:rPr>
            </w:pPr>
            <w:r w:rsidRPr="00972554">
              <w:rPr>
                <w:rFonts w:ascii="Calibri" w:hAnsi="Calibri"/>
                <w:sz w:val="18"/>
                <w:szCs w:val="18"/>
              </w:rPr>
              <w:t xml:space="preserve">141.126.876 </w:t>
            </w:r>
          </w:p>
        </w:tc>
        <w:tc>
          <w:tcPr>
            <w:tcW w:w="815" w:type="pct"/>
            <w:tcBorders>
              <w:bottom w:val="single" w:sz="4" w:space="0" w:color="auto"/>
            </w:tcBorders>
            <w:shd w:val="clear" w:color="auto" w:fill="auto"/>
            <w:noWrap/>
            <w:vAlign w:val="bottom"/>
            <w:hideMark/>
          </w:tcPr>
          <w:p w:rsidR="00FD2C67" w:rsidRPr="003E5CEF" w:rsidRDefault="00FD2C67" w:rsidP="003E5CEF">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129.682.966 </w:t>
            </w:r>
          </w:p>
        </w:tc>
        <w:tc>
          <w:tcPr>
            <w:tcW w:w="371" w:type="pct"/>
            <w:tcBorders>
              <w:bottom w:val="single" w:sz="4" w:space="0" w:color="auto"/>
            </w:tcBorders>
            <w:shd w:val="clear" w:color="auto" w:fill="auto"/>
            <w:noWrap/>
            <w:vAlign w:val="bottom"/>
            <w:hideMark/>
          </w:tcPr>
          <w:p w:rsidR="00FD2C67" w:rsidRPr="00412299" w:rsidRDefault="00FD2C67" w:rsidP="00F83FBB">
            <w:pPr>
              <w:spacing w:line="240" w:lineRule="auto"/>
              <w:jc w:val="right"/>
              <w:rPr>
                <w:rFonts w:ascii="Calibri" w:hAnsi="Calibri"/>
                <w:color w:val="000000"/>
                <w:sz w:val="18"/>
                <w:szCs w:val="18"/>
                <w:lang w:eastAsia="sl-SI"/>
              </w:rPr>
            </w:pPr>
            <w:r w:rsidRPr="00972554">
              <w:rPr>
                <w:rFonts w:ascii="Calibri" w:hAnsi="Calibri"/>
                <w:sz w:val="18"/>
                <w:szCs w:val="18"/>
              </w:rPr>
              <w:t>108,82</w:t>
            </w:r>
          </w:p>
        </w:tc>
        <w:tc>
          <w:tcPr>
            <w:tcW w:w="666" w:type="pct"/>
            <w:tcBorders>
              <w:bottom w:val="single" w:sz="4" w:space="0" w:color="auto"/>
            </w:tcBorders>
            <w:shd w:val="clear" w:color="auto" w:fill="auto"/>
            <w:noWrap/>
            <w:vAlign w:val="bottom"/>
            <w:hideMark/>
          </w:tcPr>
          <w:p w:rsidR="00FD2C67" w:rsidRPr="00116FC1" w:rsidRDefault="00FD2C67"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11.443.910 </w:t>
            </w:r>
          </w:p>
        </w:tc>
      </w:tr>
      <w:tr w:rsidR="00FD2C67" w:rsidRPr="0032637C" w:rsidTr="00972554">
        <w:trPr>
          <w:trHeight w:val="300"/>
        </w:trPr>
        <w:tc>
          <w:tcPr>
            <w:tcW w:w="2333" w:type="pct"/>
            <w:shd w:val="clear" w:color="auto" w:fill="92D050"/>
            <w:noWrap/>
            <w:vAlign w:val="bottom"/>
            <w:hideMark/>
          </w:tcPr>
          <w:p w:rsidR="00FD2C67" w:rsidRPr="0032637C" w:rsidRDefault="00FD2C67" w:rsidP="00651361">
            <w:pPr>
              <w:spacing w:line="240" w:lineRule="auto"/>
              <w:rPr>
                <w:rFonts w:ascii="Calibri" w:hAnsi="Calibri"/>
                <w:b/>
                <w:i/>
                <w:color w:val="000000"/>
                <w:sz w:val="18"/>
                <w:szCs w:val="18"/>
                <w:lang w:eastAsia="sl-SI"/>
              </w:rPr>
            </w:pPr>
            <w:r w:rsidRPr="0032637C">
              <w:rPr>
                <w:rFonts w:ascii="Calibri" w:hAnsi="Calibri"/>
                <w:b/>
                <w:i/>
                <w:color w:val="000000"/>
                <w:sz w:val="18"/>
                <w:szCs w:val="18"/>
                <w:lang w:eastAsia="sl-SI"/>
              </w:rPr>
              <w:t>330-Skupaj pasiva</w:t>
            </w:r>
          </w:p>
        </w:tc>
        <w:tc>
          <w:tcPr>
            <w:tcW w:w="815" w:type="pct"/>
            <w:shd w:val="clear" w:color="auto" w:fill="92D050"/>
            <w:noWrap/>
            <w:vAlign w:val="bottom"/>
          </w:tcPr>
          <w:p w:rsidR="00FD2C67" w:rsidRPr="00412299" w:rsidRDefault="00FD2C67" w:rsidP="00F83FBB">
            <w:pPr>
              <w:spacing w:line="240" w:lineRule="auto"/>
              <w:jc w:val="right"/>
              <w:rPr>
                <w:rFonts w:ascii="Calibri" w:hAnsi="Calibri"/>
                <w:b/>
                <w:i/>
                <w:sz w:val="18"/>
                <w:szCs w:val="18"/>
              </w:rPr>
            </w:pPr>
            <w:r w:rsidRPr="00972554">
              <w:rPr>
                <w:rFonts w:ascii="Calibri" w:hAnsi="Calibri"/>
                <w:b/>
                <w:i/>
                <w:sz w:val="18"/>
                <w:szCs w:val="18"/>
              </w:rPr>
              <w:t xml:space="preserve">33.767.666.569 </w:t>
            </w:r>
          </w:p>
        </w:tc>
        <w:tc>
          <w:tcPr>
            <w:tcW w:w="815" w:type="pct"/>
            <w:shd w:val="clear" w:color="auto" w:fill="92D050"/>
            <w:noWrap/>
            <w:vAlign w:val="bottom"/>
            <w:hideMark/>
          </w:tcPr>
          <w:p w:rsidR="00FD2C67" w:rsidRPr="00984533" w:rsidRDefault="00FD2C67" w:rsidP="003E5CEF">
            <w:pPr>
              <w:spacing w:line="240" w:lineRule="auto"/>
              <w:jc w:val="right"/>
              <w:rPr>
                <w:rFonts w:ascii="Calibri" w:hAnsi="Calibri"/>
                <w:b/>
                <w:i/>
                <w:color w:val="000000"/>
                <w:sz w:val="18"/>
                <w:szCs w:val="18"/>
                <w:lang w:eastAsia="sl-SI"/>
              </w:rPr>
            </w:pPr>
            <w:r w:rsidRPr="000F6B5B">
              <w:rPr>
                <w:rFonts w:ascii="Calibri" w:hAnsi="Calibri"/>
                <w:b/>
                <w:i/>
                <w:sz w:val="18"/>
                <w:szCs w:val="18"/>
              </w:rPr>
              <w:t xml:space="preserve">32.694.689.120 </w:t>
            </w:r>
          </w:p>
        </w:tc>
        <w:tc>
          <w:tcPr>
            <w:tcW w:w="371" w:type="pct"/>
            <w:shd w:val="clear" w:color="auto" w:fill="92D050"/>
            <w:noWrap/>
            <w:vAlign w:val="bottom"/>
            <w:hideMark/>
          </w:tcPr>
          <w:p w:rsidR="00FD2C67" w:rsidRPr="00972554" w:rsidRDefault="00FD2C67" w:rsidP="00F83FBB">
            <w:pPr>
              <w:spacing w:line="240" w:lineRule="auto"/>
              <w:jc w:val="right"/>
              <w:rPr>
                <w:rFonts w:ascii="Calibri" w:hAnsi="Calibri"/>
                <w:b/>
                <w:sz w:val="18"/>
                <w:szCs w:val="18"/>
              </w:rPr>
            </w:pPr>
            <w:r w:rsidRPr="00972554">
              <w:rPr>
                <w:rFonts w:ascii="Calibri" w:hAnsi="Calibri"/>
                <w:b/>
                <w:sz w:val="18"/>
                <w:szCs w:val="18"/>
              </w:rPr>
              <w:t>103,28</w:t>
            </w:r>
          </w:p>
        </w:tc>
        <w:tc>
          <w:tcPr>
            <w:tcW w:w="666" w:type="pct"/>
            <w:shd w:val="clear" w:color="auto" w:fill="92D050"/>
            <w:noWrap/>
            <w:vAlign w:val="bottom"/>
            <w:hideMark/>
          </w:tcPr>
          <w:p w:rsidR="00FD2C67" w:rsidRPr="00972554" w:rsidRDefault="00FD2C67" w:rsidP="00382B0F">
            <w:pPr>
              <w:spacing w:line="240" w:lineRule="auto"/>
              <w:jc w:val="right"/>
              <w:rPr>
                <w:rFonts w:ascii="Calibri" w:hAnsi="Calibri"/>
                <w:b/>
                <w:sz w:val="18"/>
                <w:szCs w:val="18"/>
              </w:rPr>
            </w:pPr>
            <w:r w:rsidRPr="00972554">
              <w:rPr>
                <w:rFonts w:ascii="Calibri" w:hAnsi="Calibri"/>
                <w:b/>
                <w:sz w:val="18"/>
                <w:szCs w:val="18"/>
              </w:rPr>
              <w:t xml:space="preserve">1.072.977.449 </w:t>
            </w:r>
          </w:p>
        </w:tc>
      </w:tr>
    </w:tbl>
    <w:p w:rsidR="00942CF9" w:rsidRDefault="00942CF9" w:rsidP="00002C2A">
      <w:pPr>
        <w:jc w:val="right"/>
      </w:pPr>
    </w:p>
    <w:p w:rsidR="00446FAE" w:rsidRDefault="00446FAE" w:rsidP="00446FAE">
      <w:r>
        <w:t xml:space="preserve">Analiza premoženja NPU državnega proračuna, ki je predstavljena v </w:t>
      </w:r>
      <w:r>
        <w:fldChar w:fldCharType="begin"/>
      </w:r>
      <w:r>
        <w:instrText xml:space="preserve"> REF _Ref390077941 \h </w:instrText>
      </w:r>
      <w:r>
        <w:fldChar w:fldCharType="separate"/>
      </w:r>
      <w:r w:rsidR="00CE55C4">
        <w:t xml:space="preserve">Tabela </w:t>
      </w:r>
      <w:r w:rsidR="00CE55C4">
        <w:rPr>
          <w:noProof/>
        </w:rPr>
        <w:t>9</w:t>
      </w:r>
      <w:r>
        <w:fldChar w:fldCharType="end"/>
      </w:r>
      <w:r>
        <w:t xml:space="preserve"> prikazuje število PU glede </w:t>
      </w:r>
      <w:proofErr w:type="gramStart"/>
      <w:r>
        <w:t>na</w:t>
      </w:r>
      <w:proofErr w:type="gramEnd"/>
      <w:r>
        <w:t xml:space="preserve"> vrednost bilančne vsote (razdeljena v 4 razrede) na dan 31.12.201</w:t>
      </w:r>
      <w:r w:rsidR="00BE6414">
        <w:t>8</w:t>
      </w:r>
      <w:r w:rsidR="00C331B9">
        <w:t>.</w:t>
      </w:r>
    </w:p>
    <w:p w:rsidR="00446FAE" w:rsidRDefault="00446FAE" w:rsidP="00446FAE">
      <w:pPr>
        <w:pStyle w:val="Caption"/>
      </w:pPr>
    </w:p>
    <w:p w:rsidR="00942CF9" w:rsidRDefault="00446FAE" w:rsidP="00446FAE">
      <w:pPr>
        <w:pStyle w:val="Caption"/>
      </w:pPr>
      <w:bookmarkStart w:id="68" w:name="_Ref390077941"/>
      <w:bookmarkStart w:id="69" w:name="_Toc49771331"/>
      <w:r>
        <w:t xml:space="preserve">Tabela </w:t>
      </w:r>
      <w:r>
        <w:fldChar w:fldCharType="begin"/>
      </w:r>
      <w:r>
        <w:instrText xml:space="preserve"> SEQ Tabela \* ARABIC </w:instrText>
      </w:r>
      <w:r>
        <w:fldChar w:fldCharType="separate"/>
      </w:r>
      <w:r w:rsidR="00CE55C4">
        <w:rPr>
          <w:noProof/>
        </w:rPr>
        <w:t>9</w:t>
      </w:r>
      <w:r>
        <w:fldChar w:fldCharType="end"/>
      </w:r>
      <w:bookmarkEnd w:id="68"/>
      <w:r>
        <w:t xml:space="preserve">: Število NPU državnega proračuna glede </w:t>
      </w:r>
      <w:proofErr w:type="gramStart"/>
      <w:r>
        <w:t>na</w:t>
      </w:r>
      <w:proofErr w:type="gramEnd"/>
      <w:r>
        <w:t xml:space="preserve"> vrednost bilančne vsote na dan 31.12.201</w:t>
      </w:r>
      <w:r w:rsidR="00BE6414">
        <w:t>8</w:t>
      </w:r>
      <w:bookmarkEnd w:id="69"/>
    </w:p>
    <w:p w:rsidR="00446FAE" w:rsidRDefault="00446FAE" w:rsidP="00446FAE"/>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445"/>
        <w:gridCol w:w="2745"/>
      </w:tblGrid>
      <w:tr w:rsidR="00446FAE" w:rsidTr="00F41AC5">
        <w:tc>
          <w:tcPr>
            <w:tcW w:w="1667" w:type="pct"/>
            <w:shd w:val="pct25" w:color="auto" w:fill="auto"/>
          </w:tcPr>
          <w:p w:rsidR="00446FAE" w:rsidRPr="008C7D08" w:rsidRDefault="00446FAE" w:rsidP="008B07D4">
            <w:pPr>
              <w:jc w:val="center"/>
              <w:rPr>
                <w:rFonts w:cs="Arial"/>
                <w:b/>
                <w:color w:val="000000"/>
                <w:sz w:val="18"/>
                <w:szCs w:val="18"/>
              </w:rPr>
            </w:pPr>
            <w:r w:rsidRPr="008C7D08">
              <w:rPr>
                <w:rFonts w:cs="Arial"/>
                <w:b/>
                <w:color w:val="000000"/>
                <w:sz w:val="18"/>
                <w:szCs w:val="18"/>
              </w:rPr>
              <w:t>Razred</w:t>
            </w:r>
          </w:p>
        </w:tc>
        <w:tc>
          <w:tcPr>
            <w:tcW w:w="1855" w:type="pct"/>
            <w:shd w:val="pct25" w:color="auto" w:fill="auto"/>
            <w:vAlign w:val="bottom"/>
          </w:tcPr>
          <w:p w:rsidR="00446FAE" w:rsidRPr="008C7D08" w:rsidRDefault="00446FAE" w:rsidP="008B07D4">
            <w:pPr>
              <w:jc w:val="center"/>
              <w:rPr>
                <w:rFonts w:cs="Arial"/>
                <w:b/>
                <w:color w:val="000000"/>
                <w:sz w:val="18"/>
                <w:szCs w:val="18"/>
              </w:rPr>
            </w:pPr>
            <w:r w:rsidRPr="008C7D08">
              <w:rPr>
                <w:rFonts w:cs="Arial"/>
                <w:b/>
                <w:color w:val="000000"/>
                <w:sz w:val="18"/>
                <w:szCs w:val="18"/>
              </w:rPr>
              <w:t>Znesek bilanč</w:t>
            </w:r>
            <w:r>
              <w:rPr>
                <w:rFonts w:cs="Arial"/>
                <w:b/>
                <w:color w:val="000000"/>
                <w:sz w:val="18"/>
                <w:szCs w:val="18"/>
              </w:rPr>
              <w:t>n</w:t>
            </w:r>
            <w:r w:rsidRPr="008C7D08">
              <w:rPr>
                <w:rFonts w:cs="Arial"/>
                <w:b/>
                <w:color w:val="000000"/>
                <w:sz w:val="18"/>
                <w:szCs w:val="18"/>
              </w:rPr>
              <w:t xml:space="preserve">e vsote </w:t>
            </w:r>
            <w:r w:rsidR="00DB7EB2">
              <w:rPr>
                <w:rFonts w:cs="Arial"/>
                <w:b/>
                <w:color w:val="000000"/>
                <w:sz w:val="18"/>
                <w:szCs w:val="18"/>
              </w:rPr>
              <w:t>(</w:t>
            </w:r>
            <w:r w:rsidR="00317809">
              <w:rPr>
                <w:rFonts w:cs="Arial"/>
                <w:b/>
                <w:color w:val="000000"/>
                <w:sz w:val="18"/>
                <w:szCs w:val="18"/>
              </w:rPr>
              <w:t>€</w:t>
            </w:r>
            <w:r w:rsidR="00DB7EB2">
              <w:rPr>
                <w:rFonts w:cs="Arial"/>
                <w:b/>
                <w:color w:val="000000"/>
                <w:sz w:val="18"/>
                <w:szCs w:val="18"/>
              </w:rPr>
              <w:t>)</w:t>
            </w:r>
          </w:p>
        </w:tc>
        <w:tc>
          <w:tcPr>
            <w:tcW w:w="1478" w:type="pct"/>
            <w:shd w:val="pct25" w:color="auto" w:fill="auto"/>
            <w:vAlign w:val="bottom"/>
          </w:tcPr>
          <w:p w:rsidR="00446FAE" w:rsidRPr="008C7D08" w:rsidRDefault="00446FAE" w:rsidP="00DE3814">
            <w:pPr>
              <w:jc w:val="center"/>
              <w:rPr>
                <w:rFonts w:cs="Arial"/>
                <w:b/>
                <w:color w:val="000000"/>
                <w:sz w:val="18"/>
                <w:szCs w:val="18"/>
              </w:rPr>
            </w:pPr>
            <w:r>
              <w:rPr>
                <w:rFonts w:cs="Arial"/>
                <w:b/>
                <w:color w:val="000000"/>
                <w:sz w:val="18"/>
                <w:szCs w:val="18"/>
              </w:rPr>
              <w:t xml:space="preserve">Število </w:t>
            </w:r>
            <w:r w:rsidR="000B6552">
              <w:rPr>
                <w:rFonts w:cs="Arial"/>
                <w:b/>
                <w:color w:val="000000"/>
                <w:sz w:val="18"/>
                <w:szCs w:val="18"/>
              </w:rPr>
              <w:t>N</w:t>
            </w:r>
            <w:r>
              <w:rPr>
                <w:rFonts w:cs="Arial"/>
                <w:b/>
                <w:color w:val="000000"/>
                <w:sz w:val="18"/>
                <w:szCs w:val="18"/>
              </w:rPr>
              <w:t>PU</w:t>
            </w:r>
            <w:r w:rsidR="000B6552">
              <w:rPr>
                <w:rFonts w:cs="Arial"/>
                <w:b/>
                <w:color w:val="000000"/>
                <w:sz w:val="18"/>
                <w:szCs w:val="18"/>
              </w:rPr>
              <w:t xml:space="preserve"> (∑ </w:t>
            </w:r>
            <w:r w:rsidR="00D15B2D">
              <w:rPr>
                <w:rFonts w:cs="Arial"/>
                <w:b/>
                <w:color w:val="000000"/>
                <w:sz w:val="18"/>
                <w:szCs w:val="18"/>
              </w:rPr>
              <w:t>1</w:t>
            </w:r>
            <w:r w:rsidR="00BE6414">
              <w:rPr>
                <w:rFonts w:cs="Arial"/>
                <w:b/>
                <w:color w:val="000000"/>
                <w:sz w:val="18"/>
                <w:szCs w:val="18"/>
              </w:rPr>
              <w:t>20</w:t>
            </w:r>
            <w:r w:rsidR="000B6552">
              <w:rPr>
                <w:rFonts w:cs="Arial"/>
                <w:b/>
                <w:color w:val="000000"/>
                <w:sz w:val="18"/>
                <w:szCs w:val="18"/>
              </w:rPr>
              <w:t>)</w:t>
            </w:r>
          </w:p>
        </w:tc>
      </w:tr>
      <w:tr w:rsidR="00842A83" w:rsidTr="000F6B5B">
        <w:tc>
          <w:tcPr>
            <w:tcW w:w="1667" w:type="pct"/>
            <w:shd w:val="pct25" w:color="auto" w:fill="auto"/>
          </w:tcPr>
          <w:p w:rsidR="00842A83" w:rsidRPr="00446FAE" w:rsidRDefault="00842A83" w:rsidP="008B07D4">
            <w:pPr>
              <w:jc w:val="center"/>
              <w:rPr>
                <w:rFonts w:ascii="Calibri" w:hAnsi="Calibri" w:cs="Arial"/>
                <w:b/>
                <w:color w:val="000000"/>
                <w:sz w:val="18"/>
                <w:szCs w:val="18"/>
              </w:rPr>
            </w:pPr>
            <w:r w:rsidRPr="00446FAE">
              <w:rPr>
                <w:rFonts w:ascii="Calibri" w:hAnsi="Calibri" w:cs="Arial"/>
                <w:b/>
                <w:color w:val="000000"/>
                <w:sz w:val="18"/>
                <w:szCs w:val="18"/>
              </w:rPr>
              <w:t>1</w:t>
            </w:r>
          </w:p>
        </w:tc>
        <w:tc>
          <w:tcPr>
            <w:tcW w:w="1855" w:type="pct"/>
            <w:shd w:val="clear" w:color="auto" w:fill="auto"/>
            <w:vAlign w:val="bottom"/>
          </w:tcPr>
          <w:p w:rsidR="00842A83" w:rsidRPr="00F5346C" w:rsidRDefault="00842A83" w:rsidP="008B07D4">
            <w:pPr>
              <w:jc w:val="center"/>
              <w:rPr>
                <w:rFonts w:ascii="Calibri" w:hAnsi="Calibri" w:cs="Arial"/>
                <w:color w:val="000000"/>
                <w:sz w:val="18"/>
                <w:szCs w:val="18"/>
              </w:rPr>
            </w:pPr>
            <w:r w:rsidRPr="00F5346C">
              <w:rPr>
                <w:rFonts w:ascii="Calibri" w:hAnsi="Calibri" w:cs="Arial"/>
                <w:color w:val="000000"/>
                <w:sz w:val="18"/>
                <w:szCs w:val="18"/>
              </w:rPr>
              <w:t>0</w:t>
            </w:r>
            <w:r>
              <w:rPr>
                <w:rFonts w:ascii="Calibri" w:hAnsi="Calibri" w:cs="Arial"/>
                <w:color w:val="000000"/>
                <w:sz w:val="18"/>
                <w:szCs w:val="18"/>
              </w:rPr>
              <w:t xml:space="preserve"> </w:t>
            </w:r>
          </w:p>
        </w:tc>
        <w:tc>
          <w:tcPr>
            <w:tcW w:w="1478" w:type="pct"/>
            <w:shd w:val="clear" w:color="auto" w:fill="auto"/>
          </w:tcPr>
          <w:p w:rsidR="00842A83" w:rsidRPr="00D55FCA" w:rsidRDefault="00842A83" w:rsidP="008B07D4">
            <w:pPr>
              <w:jc w:val="center"/>
              <w:rPr>
                <w:rFonts w:ascii="Calibri" w:hAnsi="Calibri" w:cs="Arial"/>
                <w:color w:val="000000"/>
                <w:sz w:val="18"/>
                <w:szCs w:val="18"/>
              </w:rPr>
            </w:pPr>
            <w:r w:rsidRPr="000F6B5B">
              <w:rPr>
                <w:rFonts w:ascii="Calibri" w:hAnsi="Calibri" w:cs="Arial"/>
                <w:color w:val="000000"/>
                <w:sz w:val="18"/>
                <w:szCs w:val="18"/>
                <w:lang w:val="sl-SI" w:eastAsia="sl-SI"/>
              </w:rPr>
              <w:t>1</w:t>
            </w:r>
          </w:p>
        </w:tc>
      </w:tr>
      <w:tr w:rsidR="00842A83" w:rsidTr="000F6B5B">
        <w:tc>
          <w:tcPr>
            <w:tcW w:w="1667" w:type="pct"/>
            <w:shd w:val="pct25" w:color="auto" w:fill="auto"/>
          </w:tcPr>
          <w:p w:rsidR="00842A83" w:rsidRPr="00446FAE" w:rsidRDefault="00842A83" w:rsidP="008B07D4">
            <w:pPr>
              <w:jc w:val="center"/>
              <w:rPr>
                <w:rFonts w:ascii="Calibri" w:hAnsi="Calibri" w:cs="Arial"/>
                <w:b/>
                <w:color w:val="000000"/>
                <w:sz w:val="18"/>
                <w:szCs w:val="18"/>
              </w:rPr>
            </w:pPr>
            <w:r w:rsidRPr="00446FAE">
              <w:rPr>
                <w:rFonts w:ascii="Calibri" w:hAnsi="Calibri" w:cs="Arial"/>
                <w:b/>
                <w:color w:val="000000"/>
                <w:sz w:val="18"/>
                <w:szCs w:val="18"/>
              </w:rPr>
              <w:t>2</w:t>
            </w:r>
          </w:p>
        </w:tc>
        <w:tc>
          <w:tcPr>
            <w:tcW w:w="1855" w:type="pct"/>
            <w:shd w:val="clear" w:color="auto" w:fill="auto"/>
            <w:vAlign w:val="bottom"/>
          </w:tcPr>
          <w:p w:rsidR="00842A83" w:rsidRPr="00F5346C" w:rsidRDefault="00842A83" w:rsidP="008B07D4">
            <w:pPr>
              <w:jc w:val="center"/>
              <w:rPr>
                <w:rFonts w:ascii="Calibri" w:hAnsi="Calibri" w:cs="Arial"/>
                <w:color w:val="000000"/>
                <w:sz w:val="18"/>
                <w:szCs w:val="18"/>
              </w:rPr>
            </w:pPr>
            <w:r w:rsidRPr="00F5346C">
              <w:rPr>
                <w:rFonts w:ascii="Calibri" w:hAnsi="Calibri" w:cs="Arial"/>
                <w:color w:val="000000"/>
                <w:sz w:val="18"/>
                <w:szCs w:val="18"/>
              </w:rPr>
              <w:t>0</w:t>
            </w:r>
            <w:r>
              <w:rPr>
                <w:rFonts w:ascii="Calibri" w:hAnsi="Calibri" w:cs="Arial"/>
                <w:color w:val="000000"/>
                <w:sz w:val="18"/>
                <w:szCs w:val="18"/>
              </w:rPr>
              <w:t xml:space="preserve"> </w:t>
            </w:r>
            <w:r w:rsidRPr="00F5346C">
              <w:rPr>
                <w:rFonts w:ascii="Calibri" w:hAnsi="Calibri" w:cs="Arial"/>
                <w:color w:val="000000"/>
                <w:sz w:val="18"/>
                <w:szCs w:val="18"/>
              </w:rPr>
              <w:t xml:space="preserve"> &lt; Bilančna vsota &lt; 100.000</w:t>
            </w:r>
            <w:r>
              <w:rPr>
                <w:rFonts w:ascii="Calibri" w:hAnsi="Calibri" w:cs="Arial"/>
                <w:color w:val="000000"/>
                <w:sz w:val="18"/>
                <w:szCs w:val="18"/>
              </w:rPr>
              <w:t xml:space="preserve"> </w:t>
            </w:r>
          </w:p>
        </w:tc>
        <w:tc>
          <w:tcPr>
            <w:tcW w:w="1478" w:type="pct"/>
            <w:shd w:val="clear" w:color="auto" w:fill="auto"/>
          </w:tcPr>
          <w:p w:rsidR="00842A83" w:rsidRPr="00D55FCA" w:rsidRDefault="00BE6414" w:rsidP="008B07D4">
            <w:pPr>
              <w:jc w:val="center"/>
              <w:rPr>
                <w:rFonts w:ascii="Calibri" w:hAnsi="Calibri" w:cs="Arial"/>
                <w:color w:val="000000"/>
                <w:sz w:val="18"/>
                <w:szCs w:val="18"/>
              </w:rPr>
            </w:pPr>
            <w:r>
              <w:rPr>
                <w:rFonts w:ascii="Calibri" w:hAnsi="Calibri" w:cs="Arial"/>
                <w:color w:val="000000"/>
                <w:sz w:val="18"/>
                <w:szCs w:val="18"/>
                <w:lang w:val="sl-SI" w:eastAsia="sl-SI"/>
              </w:rPr>
              <w:t>37</w:t>
            </w:r>
          </w:p>
        </w:tc>
      </w:tr>
      <w:tr w:rsidR="00842A83" w:rsidTr="000F6B5B">
        <w:tc>
          <w:tcPr>
            <w:tcW w:w="1667" w:type="pct"/>
            <w:shd w:val="pct25" w:color="auto" w:fill="auto"/>
          </w:tcPr>
          <w:p w:rsidR="00842A83" w:rsidRPr="00446FAE" w:rsidRDefault="00842A83" w:rsidP="008B07D4">
            <w:pPr>
              <w:jc w:val="center"/>
              <w:rPr>
                <w:rFonts w:ascii="Calibri" w:hAnsi="Calibri" w:cs="Arial"/>
                <w:b/>
                <w:color w:val="000000"/>
                <w:sz w:val="18"/>
                <w:szCs w:val="18"/>
              </w:rPr>
            </w:pPr>
            <w:r w:rsidRPr="00446FAE">
              <w:rPr>
                <w:rFonts w:ascii="Calibri" w:hAnsi="Calibri" w:cs="Arial"/>
                <w:b/>
                <w:color w:val="000000"/>
                <w:sz w:val="18"/>
                <w:szCs w:val="18"/>
              </w:rPr>
              <w:t>3</w:t>
            </w:r>
          </w:p>
        </w:tc>
        <w:tc>
          <w:tcPr>
            <w:tcW w:w="1855" w:type="pct"/>
            <w:shd w:val="clear" w:color="auto" w:fill="auto"/>
            <w:vAlign w:val="bottom"/>
          </w:tcPr>
          <w:p w:rsidR="00842A83" w:rsidRPr="00F5346C" w:rsidRDefault="00842A83" w:rsidP="008B07D4">
            <w:pPr>
              <w:jc w:val="center"/>
              <w:rPr>
                <w:rFonts w:ascii="Calibri" w:hAnsi="Calibri" w:cs="Arial"/>
                <w:color w:val="000000"/>
                <w:sz w:val="18"/>
                <w:szCs w:val="18"/>
              </w:rPr>
            </w:pPr>
            <w:r w:rsidRPr="00F5346C">
              <w:rPr>
                <w:rFonts w:ascii="Calibri" w:hAnsi="Calibri" w:cs="Arial"/>
                <w:color w:val="000000"/>
                <w:sz w:val="18"/>
                <w:szCs w:val="18"/>
              </w:rPr>
              <w:t>100.000</w:t>
            </w:r>
            <w:r>
              <w:rPr>
                <w:rFonts w:ascii="Calibri" w:hAnsi="Calibri" w:cs="Arial"/>
                <w:color w:val="000000"/>
                <w:sz w:val="18"/>
                <w:szCs w:val="18"/>
              </w:rPr>
              <w:t xml:space="preserve"> </w:t>
            </w:r>
            <w:r w:rsidRPr="00F5346C">
              <w:rPr>
                <w:rFonts w:ascii="Calibri" w:hAnsi="Calibri" w:cs="Arial"/>
                <w:color w:val="000000"/>
                <w:sz w:val="18"/>
                <w:szCs w:val="18"/>
              </w:rPr>
              <w:t xml:space="preserve"> &lt; Bilančna vsota &lt; 10.000.000</w:t>
            </w:r>
            <w:r>
              <w:rPr>
                <w:rFonts w:ascii="Calibri" w:hAnsi="Calibri" w:cs="Arial"/>
                <w:color w:val="000000"/>
                <w:sz w:val="18"/>
                <w:szCs w:val="18"/>
              </w:rPr>
              <w:t xml:space="preserve"> </w:t>
            </w:r>
          </w:p>
        </w:tc>
        <w:tc>
          <w:tcPr>
            <w:tcW w:w="1478" w:type="pct"/>
            <w:shd w:val="clear" w:color="auto" w:fill="auto"/>
          </w:tcPr>
          <w:p w:rsidR="00842A83" w:rsidRPr="00D55FCA" w:rsidRDefault="00BE6414" w:rsidP="008B07D4">
            <w:pPr>
              <w:jc w:val="center"/>
              <w:rPr>
                <w:rFonts w:ascii="Calibri" w:hAnsi="Calibri" w:cs="Arial"/>
                <w:color w:val="000000"/>
                <w:sz w:val="18"/>
                <w:szCs w:val="18"/>
              </w:rPr>
            </w:pPr>
            <w:r>
              <w:rPr>
                <w:rFonts w:ascii="Calibri" w:hAnsi="Calibri" w:cs="Arial"/>
                <w:color w:val="000000"/>
                <w:sz w:val="18"/>
                <w:szCs w:val="18"/>
                <w:lang w:val="sl-SI" w:eastAsia="sl-SI"/>
              </w:rPr>
              <w:t>52</w:t>
            </w:r>
          </w:p>
        </w:tc>
      </w:tr>
      <w:tr w:rsidR="00842A83" w:rsidTr="000F6B5B">
        <w:tc>
          <w:tcPr>
            <w:tcW w:w="1667" w:type="pct"/>
            <w:shd w:val="pct25" w:color="auto" w:fill="auto"/>
          </w:tcPr>
          <w:p w:rsidR="00842A83" w:rsidRPr="00446FAE" w:rsidRDefault="00842A83" w:rsidP="008B07D4">
            <w:pPr>
              <w:jc w:val="center"/>
              <w:rPr>
                <w:rFonts w:ascii="Calibri" w:hAnsi="Calibri" w:cs="Arial"/>
                <w:b/>
                <w:color w:val="000000"/>
                <w:sz w:val="18"/>
                <w:szCs w:val="18"/>
              </w:rPr>
            </w:pPr>
            <w:r w:rsidRPr="00446FAE">
              <w:rPr>
                <w:rFonts w:ascii="Calibri" w:hAnsi="Calibri" w:cs="Arial"/>
                <w:b/>
                <w:color w:val="000000"/>
                <w:sz w:val="18"/>
                <w:szCs w:val="18"/>
              </w:rPr>
              <w:t>4</w:t>
            </w:r>
          </w:p>
        </w:tc>
        <w:tc>
          <w:tcPr>
            <w:tcW w:w="1855" w:type="pct"/>
            <w:shd w:val="clear" w:color="auto" w:fill="auto"/>
            <w:vAlign w:val="bottom"/>
          </w:tcPr>
          <w:p w:rsidR="00842A83" w:rsidRPr="00F5346C" w:rsidRDefault="00842A83" w:rsidP="008B07D4">
            <w:pPr>
              <w:jc w:val="center"/>
              <w:rPr>
                <w:rFonts w:ascii="Calibri" w:hAnsi="Calibri" w:cs="Arial"/>
                <w:color w:val="000000"/>
                <w:sz w:val="18"/>
                <w:szCs w:val="18"/>
              </w:rPr>
            </w:pPr>
            <w:r w:rsidRPr="00F5346C">
              <w:rPr>
                <w:rFonts w:ascii="Calibri" w:hAnsi="Calibri" w:cs="Arial"/>
                <w:color w:val="000000"/>
                <w:sz w:val="18"/>
                <w:szCs w:val="18"/>
              </w:rPr>
              <w:t>&gt; 10.000.000</w:t>
            </w:r>
            <w:r>
              <w:rPr>
                <w:rFonts w:ascii="Calibri" w:hAnsi="Calibri" w:cs="Arial"/>
                <w:color w:val="000000"/>
                <w:sz w:val="18"/>
                <w:szCs w:val="18"/>
              </w:rPr>
              <w:t xml:space="preserve"> </w:t>
            </w:r>
          </w:p>
        </w:tc>
        <w:tc>
          <w:tcPr>
            <w:tcW w:w="1478" w:type="pct"/>
            <w:shd w:val="clear" w:color="auto" w:fill="auto"/>
          </w:tcPr>
          <w:p w:rsidR="00842A83" w:rsidRPr="00D55FCA" w:rsidRDefault="00BE6414" w:rsidP="008B07D4">
            <w:pPr>
              <w:jc w:val="center"/>
              <w:rPr>
                <w:rFonts w:ascii="Calibri" w:hAnsi="Calibri" w:cs="Arial"/>
                <w:color w:val="000000"/>
                <w:sz w:val="18"/>
                <w:szCs w:val="18"/>
              </w:rPr>
            </w:pPr>
            <w:r>
              <w:rPr>
                <w:rFonts w:ascii="Calibri" w:hAnsi="Calibri" w:cs="Arial"/>
                <w:color w:val="000000"/>
                <w:sz w:val="18"/>
                <w:szCs w:val="18"/>
                <w:lang w:val="sl-SI" w:eastAsia="sl-SI"/>
              </w:rPr>
              <w:t>30</w:t>
            </w:r>
          </w:p>
        </w:tc>
      </w:tr>
    </w:tbl>
    <w:p w:rsidR="00942CF9" w:rsidRDefault="00942CF9" w:rsidP="00007D56"/>
    <w:p w:rsidR="00435F28" w:rsidRDefault="00C331B9" w:rsidP="00435F28">
      <w:proofErr w:type="gramStart"/>
      <w:r>
        <w:t>Podrobna analiza strukture porazdelitve premoženja in obveznosti NPU državnega proračuna je prikazana v</w:t>
      </w:r>
      <w:r w:rsidR="004C0829">
        <w:t xml:space="preserve"> </w:t>
      </w:r>
      <w:bookmarkStart w:id="70" w:name="_Ref389638990"/>
      <w:bookmarkStart w:id="71" w:name="_Ref391634832"/>
      <w:bookmarkStart w:id="72" w:name="_Ref391640952"/>
      <w:bookmarkStart w:id="73" w:name="_Ref391641013"/>
      <w:r w:rsidR="00435F28">
        <w:t>tabeli 10 (za 3 NPU državnega proračuna z največjo vrednostjo)</w:t>
      </w:r>
      <w:r w:rsidR="00305995">
        <w:t>.</w:t>
      </w:r>
      <w:proofErr w:type="gramEnd"/>
    </w:p>
    <w:p w:rsidR="00435F28" w:rsidRDefault="00435F28" w:rsidP="00435F28"/>
    <w:p w:rsidR="008B3271" w:rsidRDefault="008B3271" w:rsidP="00F41AC5">
      <w:bookmarkStart w:id="74" w:name="_Toc49771332"/>
      <w:r>
        <w:t xml:space="preserve">Tabela </w:t>
      </w:r>
      <w:r>
        <w:fldChar w:fldCharType="begin"/>
      </w:r>
      <w:r>
        <w:instrText xml:space="preserve"> SEQ Tabela \* ARABIC </w:instrText>
      </w:r>
      <w:r>
        <w:fldChar w:fldCharType="separate"/>
      </w:r>
      <w:r w:rsidR="00CE55C4">
        <w:rPr>
          <w:noProof/>
        </w:rPr>
        <w:t>10</w:t>
      </w:r>
      <w:r>
        <w:fldChar w:fldCharType="end"/>
      </w:r>
      <w:bookmarkEnd w:id="70"/>
      <w:bookmarkEnd w:id="71"/>
      <w:bookmarkEnd w:id="72"/>
      <w:bookmarkEnd w:id="73"/>
      <w:r>
        <w:t xml:space="preserve">: </w:t>
      </w:r>
      <w:bookmarkStart w:id="75" w:name="_Ref389638985"/>
      <w:r>
        <w:t xml:space="preserve">Struktura porazdelitve premoženja NPU državnega proračuna po PU </w:t>
      </w:r>
      <w:proofErr w:type="gramStart"/>
      <w:r>
        <w:t>na</w:t>
      </w:r>
      <w:proofErr w:type="gramEnd"/>
      <w:r>
        <w:t xml:space="preserve"> dan 31.12.201</w:t>
      </w:r>
      <w:bookmarkEnd w:id="75"/>
      <w:r w:rsidR="000753D1">
        <w:t>8</w:t>
      </w:r>
      <w:bookmarkEnd w:id="74"/>
    </w:p>
    <w:p w:rsidR="00CC42C6" w:rsidRDefault="00CC42C6" w:rsidP="00CC42C6"/>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24"/>
        <w:gridCol w:w="1984"/>
        <w:gridCol w:w="1701"/>
      </w:tblGrid>
      <w:tr w:rsidR="00CC42C6" w:rsidRPr="00972554" w:rsidTr="00972554">
        <w:trPr>
          <w:trHeight w:val="300"/>
          <w:tblHeader/>
        </w:trPr>
        <w:tc>
          <w:tcPr>
            <w:tcW w:w="6024" w:type="dxa"/>
            <w:shd w:val="pct25" w:color="auto" w:fill="auto"/>
            <w:noWrap/>
            <w:vAlign w:val="bottom"/>
          </w:tcPr>
          <w:p w:rsidR="00CC42C6" w:rsidRPr="00382B0F" w:rsidRDefault="00CC42C6" w:rsidP="003E405F">
            <w:pPr>
              <w:spacing w:line="240" w:lineRule="auto"/>
              <w:rPr>
                <w:rFonts w:ascii="Calibri" w:hAnsi="Calibri"/>
                <w:b/>
                <w:bCs/>
                <w:sz w:val="18"/>
                <w:szCs w:val="18"/>
                <w:lang w:eastAsia="sl-SI"/>
              </w:rPr>
            </w:pPr>
          </w:p>
        </w:tc>
        <w:tc>
          <w:tcPr>
            <w:tcW w:w="3685" w:type="dxa"/>
            <w:gridSpan w:val="2"/>
            <w:shd w:val="pct25" w:color="auto" w:fill="auto"/>
            <w:noWrap/>
            <w:vAlign w:val="bottom"/>
          </w:tcPr>
          <w:p w:rsidR="00CC42C6" w:rsidRPr="00412299" w:rsidRDefault="00CC42C6" w:rsidP="00F83FBB">
            <w:pPr>
              <w:spacing w:line="240" w:lineRule="auto"/>
              <w:jc w:val="center"/>
              <w:rPr>
                <w:rFonts w:ascii="Calibri" w:hAnsi="Calibri"/>
                <w:b/>
                <w:bCs/>
                <w:sz w:val="18"/>
                <w:szCs w:val="18"/>
                <w:lang w:eastAsia="sl-SI"/>
              </w:rPr>
            </w:pPr>
            <w:r w:rsidRPr="00412299">
              <w:rPr>
                <w:rFonts w:ascii="Calibri" w:hAnsi="Calibri"/>
                <w:b/>
                <w:bCs/>
                <w:sz w:val="18"/>
                <w:szCs w:val="18"/>
                <w:lang w:eastAsia="sl-SI"/>
              </w:rPr>
              <w:t>Stanje na dan 31.12.201</w:t>
            </w:r>
            <w:r w:rsidR="000753D1" w:rsidRPr="00412299">
              <w:rPr>
                <w:rFonts w:ascii="Calibri" w:hAnsi="Calibri"/>
                <w:b/>
                <w:bCs/>
                <w:sz w:val="18"/>
                <w:szCs w:val="18"/>
                <w:lang w:eastAsia="sl-SI"/>
              </w:rPr>
              <w:t>8</w:t>
            </w:r>
          </w:p>
        </w:tc>
      </w:tr>
      <w:tr w:rsidR="00CC42C6" w:rsidRPr="00972554" w:rsidTr="00972554">
        <w:trPr>
          <w:trHeight w:val="300"/>
          <w:tblHeader/>
        </w:trPr>
        <w:tc>
          <w:tcPr>
            <w:tcW w:w="6024" w:type="dxa"/>
            <w:shd w:val="pct25" w:color="auto" w:fill="auto"/>
            <w:noWrap/>
            <w:vAlign w:val="bottom"/>
          </w:tcPr>
          <w:p w:rsidR="00CC42C6" w:rsidRPr="00382B0F" w:rsidRDefault="00CC42C6" w:rsidP="003E405F">
            <w:pPr>
              <w:spacing w:line="240" w:lineRule="auto"/>
              <w:rPr>
                <w:rFonts w:ascii="Calibri" w:hAnsi="Calibri"/>
                <w:b/>
                <w:bCs/>
                <w:sz w:val="18"/>
                <w:szCs w:val="18"/>
                <w:lang w:eastAsia="sl-SI"/>
              </w:rPr>
            </w:pPr>
            <w:r w:rsidRPr="00382B0F">
              <w:rPr>
                <w:rFonts w:ascii="Calibri" w:hAnsi="Calibri"/>
                <w:b/>
                <w:bCs/>
                <w:sz w:val="18"/>
                <w:szCs w:val="18"/>
                <w:lang w:eastAsia="sl-SI"/>
              </w:rPr>
              <w:t>Oznaka in naziv AOP/ PU z največjo vrednostjo</w:t>
            </w:r>
          </w:p>
        </w:tc>
        <w:tc>
          <w:tcPr>
            <w:tcW w:w="1984" w:type="dxa"/>
            <w:shd w:val="pct25" w:color="auto" w:fill="auto"/>
            <w:noWrap/>
            <w:vAlign w:val="bottom"/>
          </w:tcPr>
          <w:p w:rsidR="00CC42C6" w:rsidRPr="00382B0F" w:rsidRDefault="004B7DE2" w:rsidP="00CC42C6">
            <w:pPr>
              <w:spacing w:line="240" w:lineRule="auto"/>
              <w:jc w:val="center"/>
              <w:rPr>
                <w:rFonts w:ascii="Calibri" w:hAnsi="Calibri"/>
                <w:b/>
                <w:bCs/>
                <w:sz w:val="18"/>
                <w:szCs w:val="18"/>
                <w:lang w:eastAsia="sl-SI"/>
              </w:rPr>
            </w:pPr>
            <w:r w:rsidRPr="00382B0F">
              <w:rPr>
                <w:rFonts w:ascii="Calibri" w:hAnsi="Calibri"/>
                <w:b/>
                <w:bCs/>
                <w:sz w:val="18"/>
                <w:szCs w:val="18"/>
                <w:lang w:eastAsia="sl-SI"/>
              </w:rPr>
              <w:t>(</w:t>
            </w:r>
            <w:r w:rsidR="008B2E01" w:rsidRPr="002B775E">
              <w:rPr>
                <w:rFonts w:ascii="Calibri" w:hAnsi="Calibri"/>
                <w:b/>
                <w:bCs/>
                <w:sz w:val="18"/>
                <w:szCs w:val="18"/>
                <w:lang w:eastAsia="sl-SI"/>
              </w:rPr>
              <w:t>€</w:t>
            </w:r>
            <w:r w:rsidRPr="00382B0F">
              <w:rPr>
                <w:rFonts w:ascii="Calibri" w:hAnsi="Calibri"/>
                <w:b/>
                <w:bCs/>
                <w:sz w:val="18"/>
                <w:szCs w:val="18"/>
                <w:lang w:eastAsia="sl-SI"/>
              </w:rPr>
              <w:t>)</w:t>
            </w:r>
          </w:p>
        </w:tc>
        <w:tc>
          <w:tcPr>
            <w:tcW w:w="1701" w:type="dxa"/>
            <w:shd w:val="pct25" w:color="auto" w:fill="auto"/>
            <w:noWrap/>
            <w:vAlign w:val="bottom"/>
          </w:tcPr>
          <w:p w:rsidR="00CC42C6" w:rsidRPr="00382B0F" w:rsidRDefault="008B2E01" w:rsidP="00CC42C6">
            <w:pPr>
              <w:spacing w:line="240" w:lineRule="auto"/>
              <w:jc w:val="center"/>
              <w:rPr>
                <w:rFonts w:ascii="Calibri" w:hAnsi="Calibri"/>
                <w:b/>
                <w:bCs/>
                <w:sz w:val="18"/>
                <w:szCs w:val="18"/>
                <w:lang w:eastAsia="sl-SI"/>
              </w:rPr>
            </w:pPr>
            <w:r w:rsidRPr="002B775E">
              <w:rPr>
                <w:rFonts w:ascii="Calibri" w:hAnsi="Calibri"/>
                <w:b/>
                <w:bCs/>
                <w:sz w:val="18"/>
                <w:szCs w:val="18"/>
                <w:lang w:eastAsia="sl-SI"/>
              </w:rPr>
              <w:t>%</w:t>
            </w:r>
          </w:p>
        </w:tc>
      </w:tr>
      <w:tr w:rsidR="00CC42C6" w:rsidRPr="00972554" w:rsidTr="00972554">
        <w:trPr>
          <w:trHeight w:val="300"/>
          <w:tblHeader/>
        </w:trPr>
        <w:tc>
          <w:tcPr>
            <w:tcW w:w="6024" w:type="dxa"/>
            <w:shd w:val="pct25" w:color="auto" w:fill="auto"/>
            <w:noWrap/>
            <w:vAlign w:val="bottom"/>
          </w:tcPr>
          <w:p w:rsidR="00CC42C6" w:rsidRPr="00382B0F" w:rsidRDefault="00CC42C6" w:rsidP="00CC42C6">
            <w:pPr>
              <w:spacing w:line="240" w:lineRule="auto"/>
              <w:jc w:val="center"/>
              <w:rPr>
                <w:rFonts w:ascii="Calibri" w:hAnsi="Calibri"/>
                <w:b/>
                <w:bCs/>
                <w:sz w:val="18"/>
                <w:szCs w:val="18"/>
                <w:lang w:eastAsia="sl-SI"/>
              </w:rPr>
            </w:pPr>
            <w:r w:rsidRPr="00382B0F">
              <w:rPr>
                <w:rFonts w:ascii="Calibri" w:hAnsi="Calibri"/>
                <w:b/>
                <w:bCs/>
                <w:sz w:val="18"/>
                <w:szCs w:val="18"/>
                <w:lang w:eastAsia="sl-SI"/>
              </w:rPr>
              <w:t>1</w:t>
            </w:r>
          </w:p>
        </w:tc>
        <w:tc>
          <w:tcPr>
            <w:tcW w:w="1984" w:type="dxa"/>
            <w:shd w:val="pct25" w:color="auto" w:fill="auto"/>
            <w:noWrap/>
            <w:vAlign w:val="bottom"/>
          </w:tcPr>
          <w:p w:rsidR="00CC42C6" w:rsidRPr="00412299" w:rsidRDefault="00CC42C6" w:rsidP="00CC42C6">
            <w:pPr>
              <w:spacing w:line="240" w:lineRule="auto"/>
              <w:jc w:val="center"/>
              <w:rPr>
                <w:rFonts w:ascii="Calibri" w:hAnsi="Calibri"/>
                <w:b/>
                <w:bCs/>
                <w:sz w:val="18"/>
                <w:szCs w:val="18"/>
                <w:lang w:eastAsia="sl-SI"/>
              </w:rPr>
            </w:pPr>
            <w:r w:rsidRPr="00412299">
              <w:rPr>
                <w:rFonts w:ascii="Calibri" w:hAnsi="Calibri"/>
                <w:b/>
                <w:bCs/>
                <w:sz w:val="18"/>
                <w:szCs w:val="18"/>
                <w:lang w:eastAsia="sl-SI"/>
              </w:rPr>
              <w:t>2</w:t>
            </w:r>
          </w:p>
        </w:tc>
        <w:tc>
          <w:tcPr>
            <w:tcW w:w="1701" w:type="dxa"/>
            <w:shd w:val="pct25" w:color="auto" w:fill="auto"/>
            <w:noWrap/>
            <w:vAlign w:val="bottom"/>
          </w:tcPr>
          <w:p w:rsidR="00CC42C6" w:rsidRPr="00116FC1" w:rsidRDefault="00CC42C6" w:rsidP="00CC42C6">
            <w:pPr>
              <w:spacing w:line="240" w:lineRule="auto"/>
              <w:jc w:val="center"/>
              <w:rPr>
                <w:rFonts w:ascii="Calibri" w:hAnsi="Calibri"/>
                <w:b/>
                <w:bCs/>
                <w:sz w:val="18"/>
                <w:szCs w:val="18"/>
                <w:lang w:eastAsia="sl-SI"/>
              </w:rPr>
            </w:pPr>
            <w:r w:rsidRPr="00116FC1">
              <w:rPr>
                <w:rFonts w:ascii="Calibri" w:hAnsi="Calibri"/>
                <w:b/>
                <w:bCs/>
                <w:sz w:val="18"/>
                <w:szCs w:val="18"/>
                <w:lang w:eastAsia="sl-SI"/>
              </w:rPr>
              <w:t>3</w:t>
            </w:r>
          </w:p>
        </w:tc>
      </w:tr>
      <w:tr w:rsidR="00417245" w:rsidRPr="00972554" w:rsidTr="00972554">
        <w:trPr>
          <w:trHeight w:val="300"/>
        </w:trPr>
        <w:tc>
          <w:tcPr>
            <w:tcW w:w="6024" w:type="dxa"/>
            <w:shd w:val="clear" w:color="auto" w:fill="auto"/>
            <w:noWrap/>
            <w:vAlign w:val="center"/>
            <w:hideMark/>
          </w:tcPr>
          <w:p w:rsidR="00417245" w:rsidRPr="00412299" w:rsidRDefault="00417245" w:rsidP="00F83FBB">
            <w:pPr>
              <w:spacing w:line="240" w:lineRule="auto"/>
              <w:jc w:val="left"/>
              <w:rPr>
                <w:rFonts w:ascii="Calibri" w:hAnsi="Calibri"/>
                <w:b/>
                <w:bCs/>
                <w:sz w:val="18"/>
                <w:szCs w:val="18"/>
                <w:lang w:eastAsia="sl-SI"/>
              </w:rPr>
            </w:pPr>
            <w:r w:rsidRPr="00972554">
              <w:rPr>
                <w:rFonts w:ascii="Calibri" w:hAnsi="Calibri"/>
                <w:b/>
                <w:sz w:val="18"/>
                <w:szCs w:val="18"/>
              </w:rPr>
              <w:t xml:space="preserve">300-Sedanja vrednost neopredmetenih sredstev in dolgoročnih aktivnih časovnih razmejitev </w:t>
            </w:r>
          </w:p>
        </w:tc>
        <w:tc>
          <w:tcPr>
            <w:tcW w:w="1984" w:type="dxa"/>
            <w:shd w:val="clear" w:color="auto" w:fill="auto"/>
            <w:noWrap/>
            <w:vAlign w:val="bottom"/>
            <w:hideMark/>
          </w:tcPr>
          <w:p w:rsidR="00417245" w:rsidRPr="00412299" w:rsidRDefault="00417245" w:rsidP="00382B0F">
            <w:pPr>
              <w:spacing w:line="240" w:lineRule="auto"/>
              <w:jc w:val="right"/>
              <w:rPr>
                <w:rFonts w:ascii="Calibri" w:hAnsi="Calibri"/>
                <w:b/>
                <w:bCs/>
                <w:sz w:val="18"/>
                <w:szCs w:val="18"/>
                <w:lang w:eastAsia="sl-SI"/>
              </w:rPr>
            </w:pPr>
            <w:r w:rsidRPr="00972554">
              <w:rPr>
                <w:rFonts w:ascii="Calibri" w:hAnsi="Calibri"/>
                <w:b/>
                <w:sz w:val="18"/>
                <w:szCs w:val="18"/>
              </w:rPr>
              <w:t xml:space="preserve">90.346.013 </w:t>
            </w:r>
          </w:p>
        </w:tc>
        <w:tc>
          <w:tcPr>
            <w:tcW w:w="1701" w:type="dxa"/>
            <w:shd w:val="clear" w:color="auto" w:fill="FFFFFF"/>
            <w:noWrap/>
            <w:vAlign w:val="bottom"/>
            <w:hideMark/>
          </w:tcPr>
          <w:p w:rsidR="00417245" w:rsidRPr="00116FC1" w:rsidRDefault="00417245" w:rsidP="00412299">
            <w:pPr>
              <w:spacing w:line="240" w:lineRule="auto"/>
              <w:jc w:val="right"/>
              <w:rPr>
                <w:rFonts w:ascii="Calibri" w:hAnsi="Calibri"/>
                <w:b/>
                <w:bCs/>
                <w:sz w:val="18"/>
                <w:szCs w:val="18"/>
                <w:lang w:eastAsia="sl-SI"/>
              </w:rPr>
            </w:pPr>
          </w:p>
        </w:tc>
      </w:tr>
      <w:tr w:rsidR="00417245" w:rsidRPr="00972554" w:rsidTr="00972554">
        <w:trPr>
          <w:trHeight w:val="300"/>
        </w:trPr>
        <w:tc>
          <w:tcPr>
            <w:tcW w:w="6024" w:type="dxa"/>
            <w:shd w:val="clear" w:color="auto" w:fill="auto"/>
            <w:noWrap/>
            <w:vAlign w:val="center"/>
            <w:hideMark/>
          </w:tcPr>
          <w:p w:rsidR="00417245" w:rsidRPr="00412299" w:rsidRDefault="00417245"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JAVNO UPRAVO</w:t>
            </w:r>
          </w:p>
        </w:tc>
        <w:tc>
          <w:tcPr>
            <w:tcW w:w="1984" w:type="dxa"/>
            <w:shd w:val="clear" w:color="auto" w:fill="auto"/>
            <w:noWrap/>
            <w:vAlign w:val="bottom"/>
            <w:hideMark/>
          </w:tcPr>
          <w:p w:rsidR="00417245" w:rsidRPr="00412299" w:rsidRDefault="00417245" w:rsidP="00F83FBB">
            <w:pPr>
              <w:spacing w:line="240" w:lineRule="auto"/>
              <w:jc w:val="right"/>
              <w:rPr>
                <w:rFonts w:ascii="Calibri" w:hAnsi="Calibri"/>
                <w:sz w:val="18"/>
                <w:szCs w:val="18"/>
                <w:lang w:eastAsia="sl-SI"/>
              </w:rPr>
            </w:pPr>
            <w:r w:rsidRPr="00972554">
              <w:rPr>
                <w:rFonts w:ascii="Calibri" w:hAnsi="Calibri"/>
                <w:sz w:val="18"/>
                <w:szCs w:val="18"/>
              </w:rPr>
              <w:t xml:space="preserve">33.493.381 </w:t>
            </w:r>
          </w:p>
        </w:tc>
        <w:tc>
          <w:tcPr>
            <w:tcW w:w="1701" w:type="dxa"/>
            <w:shd w:val="clear" w:color="auto" w:fill="FFFFFF"/>
            <w:noWrap/>
            <w:vAlign w:val="bottom"/>
            <w:hideMark/>
          </w:tcPr>
          <w:p w:rsidR="00417245" w:rsidRPr="00116FC1" w:rsidRDefault="00417245" w:rsidP="00382B0F">
            <w:pPr>
              <w:spacing w:line="240" w:lineRule="auto"/>
              <w:jc w:val="right"/>
              <w:rPr>
                <w:rFonts w:ascii="Calibri" w:hAnsi="Calibri"/>
                <w:sz w:val="18"/>
                <w:szCs w:val="18"/>
                <w:lang w:eastAsia="sl-SI"/>
              </w:rPr>
            </w:pPr>
            <w:r w:rsidRPr="00972554">
              <w:rPr>
                <w:rFonts w:ascii="Calibri" w:hAnsi="Calibri"/>
                <w:sz w:val="18"/>
                <w:szCs w:val="18"/>
              </w:rPr>
              <w:t>37,07</w:t>
            </w:r>
          </w:p>
        </w:tc>
      </w:tr>
      <w:tr w:rsidR="00417245" w:rsidRPr="00972554" w:rsidTr="00972554">
        <w:trPr>
          <w:trHeight w:val="300"/>
        </w:trPr>
        <w:tc>
          <w:tcPr>
            <w:tcW w:w="6024" w:type="dxa"/>
            <w:shd w:val="clear" w:color="auto" w:fill="auto"/>
            <w:noWrap/>
            <w:vAlign w:val="center"/>
            <w:hideMark/>
          </w:tcPr>
          <w:p w:rsidR="00417245" w:rsidRPr="00412299" w:rsidRDefault="00417245"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MINISTRSTVO ZA FINANCE FINANČNA UPRAVA </w:t>
            </w:r>
            <w:r w:rsidR="000A7612" w:rsidRPr="002B775E">
              <w:rPr>
                <w:rFonts w:ascii="Calibri" w:hAnsi="Calibri"/>
                <w:sz w:val="18"/>
                <w:szCs w:val="18"/>
              </w:rPr>
              <w:t>RS</w:t>
            </w:r>
          </w:p>
        </w:tc>
        <w:tc>
          <w:tcPr>
            <w:tcW w:w="1984" w:type="dxa"/>
            <w:shd w:val="clear" w:color="auto" w:fill="auto"/>
            <w:noWrap/>
            <w:vAlign w:val="bottom"/>
            <w:hideMark/>
          </w:tcPr>
          <w:p w:rsidR="00417245" w:rsidRPr="00412299" w:rsidRDefault="00417245" w:rsidP="00F83FBB">
            <w:pPr>
              <w:spacing w:line="240" w:lineRule="auto"/>
              <w:jc w:val="right"/>
              <w:rPr>
                <w:rFonts w:ascii="Calibri" w:hAnsi="Calibri"/>
                <w:sz w:val="18"/>
                <w:szCs w:val="18"/>
                <w:lang w:eastAsia="sl-SI"/>
              </w:rPr>
            </w:pPr>
            <w:r w:rsidRPr="00972554">
              <w:rPr>
                <w:rFonts w:ascii="Calibri" w:hAnsi="Calibri"/>
                <w:sz w:val="18"/>
                <w:szCs w:val="18"/>
              </w:rPr>
              <w:t xml:space="preserve">11.472.455 </w:t>
            </w:r>
          </w:p>
        </w:tc>
        <w:tc>
          <w:tcPr>
            <w:tcW w:w="1701" w:type="dxa"/>
            <w:shd w:val="clear" w:color="auto" w:fill="FFFFFF"/>
            <w:noWrap/>
            <w:vAlign w:val="bottom"/>
            <w:hideMark/>
          </w:tcPr>
          <w:p w:rsidR="00417245" w:rsidRPr="00412299" w:rsidRDefault="00417245" w:rsidP="00382B0F">
            <w:pPr>
              <w:spacing w:line="240" w:lineRule="auto"/>
              <w:jc w:val="right"/>
              <w:rPr>
                <w:rFonts w:ascii="Calibri" w:hAnsi="Calibri"/>
                <w:sz w:val="18"/>
                <w:szCs w:val="18"/>
                <w:lang w:eastAsia="sl-SI"/>
              </w:rPr>
            </w:pPr>
            <w:r w:rsidRPr="00972554">
              <w:rPr>
                <w:rFonts w:ascii="Calibri" w:hAnsi="Calibri"/>
                <w:sz w:val="18"/>
                <w:szCs w:val="18"/>
              </w:rPr>
              <w:t>12,70</w:t>
            </w:r>
          </w:p>
        </w:tc>
      </w:tr>
      <w:tr w:rsidR="00417245" w:rsidRPr="00972554" w:rsidTr="00972554">
        <w:trPr>
          <w:trHeight w:val="300"/>
        </w:trPr>
        <w:tc>
          <w:tcPr>
            <w:tcW w:w="6024" w:type="dxa"/>
            <w:shd w:val="clear" w:color="auto" w:fill="auto"/>
            <w:noWrap/>
            <w:vAlign w:val="center"/>
            <w:hideMark/>
          </w:tcPr>
          <w:p w:rsidR="00417245" w:rsidRPr="00412299" w:rsidRDefault="00417245"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PRAVOSODJE</w:t>
            </w:r>
          </w:p>
        </w:tc>
        <w:tc>
          <w:tcPr>
            <w:tcW w:w="1984" w:type="dxa"/>
            <w:shd w:val="clear" w:color="auto" w:fill="auto"/>
            <w:noWrap/>
            <w:vAlign w:val="bottom"/>
            <w:hideMark/>
          </w:tcPr>
          <w:p w:rsidR="00417245" w:rsidRPr="00412299" w:rsidRDefault="00417245" w:rsidP="00F83FBB">
            <w:pPr>
              <w:spacing w:line="240" w:lineRule="auto"/>
              <w:jc w:val="right"/>
              <w:rPr>
                <w:rFonts w:ascii="Calibri" w:hAnsi="Calibri"/>
                <w:sz w:val="18"/>
                <w:szCs w:val="18"/>
                <w:lang w:eastAsia="sl-SI"/>
              </w:rPr>
            </w:pPr>
            <w:r w:rsidRPr="00972554">
              <w:rPr>
                <w:rFonts w:ascii="Calibri" w:hAnsi="Calibri"/>
                <w:sz w:val="18"/>
                <w:szCs w:val="18"/>
              </w:rPr>
              <w:t xml:space="preserve">6.035.535 </w:t>
            </w:r>
          </w:p>
        </w:tc>
        <w:tc>
          <w:tcPr>
            <w:tcW w:w="1701" w:type="dxa"/>
            <w:shd w:val="clear" w:color="auto" w:fill="FFFFFF"/>
            <w:noWrap/>
            <w:vAlign w:val="bottom"/>
            <w:hideMark/>
          </w:tcPr>
          <w:p w:rsidR="00417245" w:rsidRPr="00412299" w:rsidRDefault="00417245" w:rsidP="00382B0F">
            <w:pPr>
              <w:spacing w:line="240" w:lineRule="auto"/>
              <w:jc w:val="right"/>
              <w:rPr>
                <w:rFonts w:ascii="Calibri" w:hAnsi="Calibri"/>
                <w:sz w:val="18"/>
                <w:szCs w:val="18"/>
                <w:lang w:eastAsia="sl-SI"/>
              </w:rPr>
            </w:pPr>
            <w:r w:rsidRPr="00972554">
              <w:rPr>
                <w:rFonts w:ascii="Calibri" w:hAnsi="Calibri"/>
                <w:sz w:val="18"/>
                <w:szCs w:val="18"/>
              </w:rPr>
              <w:t>6,68</w:t>
            </w:r>
          </w:p>
        </w:tc>
      </w:tr>
      <w:tr w:rsidR="00417245" w:rsidRPr="00972554" w:rsidTr="00972554">
        <w:trPr>
          <w:trHeight w:val="300"/>
        </w:trPr>
        <w:tc>
          <w:tcPr>
            <w:tcW w:w="6024" w:type="dxa"/>
            <w:shd w:val="clear" w:color="auto" w:fill="auto"/>
            <w:noWrap/>
            <w:vAlign w:val="center"/>
            <w:hideMark/>
          </w:tcPr>
          <w:p w:rsidR="00417245" w:rsidRPr="00412299" w:rsidRDefault="00417245" w:rsidP="00F83FBB">
            <w:pPr>
              <w:spacing w:line="240" w:lineRule="auto"/>
              <w:jc w:val="left"/>
              <w:rPr>
                <w:rFonts w:ascii="Calibri" w:hAnsi="Calibri"/>
                <w:b/>
                <w:bCs/>
                <w:sz w:val="18"/>
                <w:szCs w:val="18"/>
                <w:lang w:eastAsia="sl-SI"/>
              </w:rPr>
            </w:pPr>
            <w:r w:rsidRPr="00972554">
              <w:rPr>
                <w:rFonts w:ascii="Calibri" w:hAnsi="Calibri"/>
                <w:b/>
                <w:sz w:val="18"/>
                <w:szCs w:val="18"/>
              </w:rPr>
              <w:t xml:space="preserve">301-Nabavna vrednost neopredmetenih sredstev in dolgoročnih aktivnih časovnih razmejitev </w:t>
            </w:r>
          </w:p>
        </w:tc>
        <w:tc>
          <w:tcPr>
            <w:tcW w:w="1984" w:type="dxa"/>
            <w:shd w:val="clear" w:color="auto" w:fill="auto"/>
            <w:noWrap/>
            <w:vAlign w:val="bottom"/>
            <w:hideMark/>
          </w:tcPr>
          <w:p w:rsidR="00417245" w:rsidRPr="00412299" w:rsidRDefault="00417245" w:rsidP="00382B0F">
            <w:pPr>
              <w:spacing w:line="240" w:lineRule="auto"/>
              <w:jc w:val="right"/>
              <w:rPr>
                <w:rFonts w:ascii="Calibri" w:hAnsi="Calibri"/>
                <w:b/>
                <w:bCs/>
                <w:sz w:val="18"/>
                <w:szCs w:val="18"/>
                <w:lang w:eastAsia="sl-SI"/>
              </w:rPr>
            </w:pPr>
            <w:r w:rsidRPr="00972554">
              <w:rPr>
                <w:rFonts w:ascii="Calibri" w:hAnsi="Calibri"/>
                <w:b/>
                <w:sz w:val="18"/>
                <w:szCs w:val="18"/>
              </w:rPr>
              <w:t xml:space="preserve">456.191.653 </w:t>
            </w:r>
          </w:p>
        </w:tc>
        <w:tc>
          <w:tcPr>
            <w:tcW w:w="1701" w:type="dxa"/>
            <w:shd w:val="clear" w:color="auto" w:fill="FFFFFF"/>
            <w:noWrap/>
            <w:vAlign w:val="bottom"/>
            <w:hideMark/>
          </w:tcPr>
          <w:p w:rsidR="00417245" w:rsidRPr="00116FC1" w:rsidRDefault="00417245" w:rsidP="00412299">
            <w:pPr>
              <w:spacing w:line="240" w:lineRule="auto"/>
              <w:jc w:val="right"/>
              <w:rPr>
                <w:rFonts w:ascii="Calibri" w:hAnsi="Calibri"/>
                <w:b/>
                <w:bCs/>
                <w:sz w:val="18"/>
                <w:szCs w:val="18"/>
                <w:lang w:eastAsia="sl-SI"/>
              </w:rPr>
            </w:pPr>
          </w:p>
        </w:tc>
      </w:tr>
      <w:tr w:rsidR="00417245" w:rsidRPr="00972554" w:rsidTr="00972554">
        <w:trPr>
          <w:trHeight w:val="300"/>
        </w:trPr>
        <w:tc>
          <w:tcPr>
            <w:tcW w:w="6024" w:type="dxa"/>
            <w:shd w:val="clear" w:color="auto" w:fill="auto"/>
            <w:noWrap/>
            <w:vAlign w:val="center"/>
            <w:hideMark/>
          </w:tcPr>
          <w:p w:rsidR="00417245" w:rsidRPr="00412299" w:rsidRDefault="00417245"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JAVNO UPRAVO</w:t>
            </w:r>
          </w:p>
        </w:tc>
        <w:tc>
          <w:tcPr>
            <w:tcW w:w="1984" w:type="dxa"/>
            <w:shd w:val="clear" w:color="auto" w:fill="auto"/>
            <w:noWrap/>
            <w:vAlign w:val="bottom"/>
            <w:hideMark/>
          </w:tcPr>
          <w:p w:rsidR="00417245" w:rsidRPr="00412299" w:rsidRDefault="00417245" w:rsidP="00F83FBB">
            <w:pPr>
              <w:spacing w:line="240" w:lineRule="auto"/>
              <w:jc w:val="right"/>
              <w:rPr>
                <w:rFonts w:ascii="Calibri" w:hAnsi="Calibri"/>
                <w:sz w:val="18"/>
                <w:szCs w:val="18"/>
                <w:lang w:eastAsia="sl-SI"/>
              </w:rPr>
            </w:pPr>
            <w:r w:rsidRPr="00972554">
              <w:rPr>
                <w:rFonts w:ascii="Calibri" w:hAnsi="Calibri"/>
                <w:sz w:val="18"/>
                <w:szCs w:val="18"/>
              </w:rPr>
              <w:t xml:space="preserve">114.463.470 </w:t>
            </w:r>
          </w:p>
        </w:tc>
        <w:tc>
          <w:tcPr>
            <w:tcW w:w="1701" w:type="dxa"/>
            <w:shd w:val="clear" w:color="auto" w:fill="FFFFFF"/>
            <w:noWrap/>
            <w:vAlign w:val="bottom"/>
            <w:hideMark/>
          </w:tcPr>
          <w:p w:rsidR="00417245" w:rsidRPr="00412299" w:rsidRDefault="00417245" w:rsidP="00382B0F">
            <w:pPr>
              <w:spacing w:line="240" w:lineRule="auto"/>
              <w:jc w:val="right"/>
              <w:rPr>
                <w:rFonts w:ascii="Calibri" w:hAnsi="Calibri"/>
                <w:sz w:val="18"/>
                <w:szCs w:val="18"/>
                <w:lang w:eastAsia="sl-SI"/>
              </w:rPr>
            </w:pPr>
            <w:r w:rsidRPr="00972554">
              <w:rPr>
                <w:rFonts w:ascii="Calibri" w:hAnsi="Calibri"/>
                <w:sz w:val="18"/>
                <w:szCs w:val="18"/>
              </w:rPr>
              <w:t>25,09</w:t>
            </w:r>
          </w:p>
        </w:tc>
      </w:tr>
      <w:tr w:rsidR="00417245" w:rsidRPr="00972554" w:rsidTr="00972554">
        <w:trPr>
          <w:trHeight w:val="300"/>
        </w:trPr>
        <w:tc>
          <w:tcPr>
            <w:tcW w:w="6024" w:type="dxa"/>
            <w:shd w:val="clear" w:color="auto" w:fill="auto"/>
            <w:noWrap/>
            <w:vAlign w:val="center"/>
            <w:hideMark/>
          </w:tcPr>
          <w:p w:rsidR="00417245" w:rsidRPr="00412299" w:rsidRDefault="00417245"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MINISTRSTVO ZA FINANCE FINANČNA UPRAVA </w:t>
            </w:r>
            <w:r w:rsidR="000A7612" w:rsidRPr="002B775E">
              <w:rPr>
                <w:rFonts w:ascii="Calibri" w:hAnsi="Calibri"/>
                <w:sz w:val="18"/>
                <w:szCs w:val="18"/>
              </w:rPr>
              <w:t>RS</w:t>
            </w:r>
          </w:p>
        </w:tc>
        <w:tc>
          <w:tcPr>
            <w:tcW w:w="1984" w:type="dxa"/>
            <w:shd w:val="clear" w:color="auto" w:fill="auto"/>
            <w:noWrap/>
            <w:vAlign w:val="bottom"/>
            <w:hideMark/>
          </w:tcPr>
          <w:p w:rsidR="00417245" w:rsidRPr="00412299" w:rsidRDefault="00417245" w:rsidP="00F83FBB">
            <w:pPr>
              <w:spacing w:line="240" w:lineRule="auto"/>
              <w:jc w:val="right"/>
              <w:rPr>
                <w:rFonts w:ascii="Calibri" w:hAnsi="Calibri"/>
                <w:sz w:val="18"/>
                <w:szCs w:val="18"/>
                <w:lang w:eastAsia="sl-SI"/>
              </w:rPr>
            </w:pPr>
            <w:r w:rsidRPr="00972554">
              <w:rPr>
                <w:rFonts w:ascii="Calibri" w:hAnsi="Calibri"/>
                <w:sz w:val="18"/>
                <w:szCs w:val="18"/>
              </w:rPr>
              <w:t xml:space="preserve">103.710.021 </w:t>
            </w:r>
          </w:p>
        </w:tc>
        <w:tc>
          <w:tcPr>
            <w:tcW w:w="1701" w:type="dxa"/>
            <w:shd w:val="clear" w:color="auto" w:fill="FFFFFF"/>
            <w:noWrap/>
            <w:vAlign w:val="bottom"/>
            <w:hideMark/>
          </w:tcPr>
          <w:p w:rsidR="00417245" w:rsidRPr="00412299" w:rsidRDefault="00417245" w:rsidP="00382B0F">
            <w:pPr>
              <w:spacing w:line="240" w:lineRule="auto"/>
              <w:jc w:val="right"/>
              <w:rPr>
                <w:rFonts w:ascii="Calibri" w:hAnsi="Calibri"/>
                <w:sz w:val="18"/>
                <w:szCs w:val="18"/>
                <w:lang w:eastAsia="sl-SI"/>
              </w:rPr>
            </w:pPr>
            <w:r w:rsidRPr="00972554">
              <w:rPr>
                <w:rFonts w:ascii="Calibri" w:hAnsi="Calibri"/>
                <w:sz w:val="18"/>
                <w:szCs w:val="18"/>
              </w:rPr>
              <w:t>22,73</w:t>
            </w:r>
          </w:p>
        </w:tc>
      </w:tr>
      <w:tr w:rsidR="00417245" w:rsidRPr="00972554" w:rsidTr="00972554">
        <w:trPr>
          <w:trHeight w:val="300"/>
        </w:trPr>
        <w:tc>
          <w:tcPr>
            <w:tcW w:w="6024" w:type="dxa"/>
            <w:shd w:val="clear" w:color="auto" w:fill="auto"/>
            <w:noWrap/>
            <w:vAlign w:val="center"/>
            <w:hideMark/>
          </w:tcPr>
          <w:p w:rsidR="00417245" w:rsidRPr="00412299" w:rsidRDefault="00417245"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NOTRANJE ZADEVE POLICIJA</w:t>
            </w:r>
          </w:p>
        </w:tc>
        <w:tc>
          <w:tcPr>
            <w:tcW w:w="1984" w:type="dxa"/>
            <w:shd w:val="clear" w:color="auto" w:fill="auto"/>
            <w:noWrap/>
            <w:vAlign w:val="bottom"/>
            <w:hideMark/>
          </w:tcPr>
          <w:p w:rsidR="00417245" w:rsidRPr="00412299" w:rsidRDefault="00417245" w:rsidP="00F83FBB">
            <w:pPr>
              <w:spacing w:line="240" w:lineRule="auto"/>
              <w:jc w:val="right"/>
              <w:rPr>
                <w:rFonts w:ascii="Calibri" w:hAnsi="Calibri"/>
                <w:sz w:val="18"/>
                <w:szCs w:val="18"/>
                <w:lang w:eastAsia="sl-SI"/>
              </w:rPr>
            </w:pPr>
            <w:r w:rsidRPr="00972554">
              <w:rPr>
                <w:rFonts w:ascii="Calibri" w:hAnsi="Calibri"/>
                <w:sz w:val="18"/>
                <w:szCs w:val="18"/>
              </w:rPr>
              <w:t xml:space="preserve">26.191.377 </w:t>
            </w:r>
          </w:p>
        </w:tc>
        <w:tc>
          <w:tcPr>
            <w:tcW w:w="1701" w:type="dxa"/>
            <w:shd w:val="clear" w:color="auto" w:fill="FFFFFF"/>
            <w:noWrap/>
            <w:vAlign w:val="bottom"/>
            <w:hideMark/>
          </w:tcPr>
          <w:p w:rsidR="00417245" w:rsidRPr="00412299" w:rsidRDefault="00417245" w:rsidP="00382B0F">
            <w:pPr>
              <w:spacing w:line="240" w:lineRule="auto"/>
              <w:jc w:val="right"/>
              <w:rPr>
                <w:rFonts w:ascii="Calibri" w:hAnsi="Calibri"/>
                <w:sz w:val="18"/>
                <w:szCs w:val="18"/>
                <w:lang w:eastAsia="sl-SI"/>
              </w:rPr>
            </w:pPr>
            <w:r w:rsidRPr="00972554">
              <w:rPr>
                <w:rFonts w:ascii="Calibri" w:hAnsi="Calibri"/>
                <w:sz w:val="18"/>
                <w:szCs w:val="18"/>
              </w:rPr>
              <w:t>5,74</w:t>
            </w:r>
          </w:p>
        </w:tc>
      </w:tr>
      <w:tr w:rsidR="00417245" w:rsidRPr="00972554" w:rsidTr="00972554">
        <w:trPr>
          <w:trHeight w:val="300"/>
        </w:trPr>
        <w:tc>
          <w:tcPr>
            <w:tcW w:w="6024" w:type="dxa"/>
            <w:shd w:val="clear" w:color="auto" w:fill="auto"/>
            <w:noWrap/>
            <w:vAlign w:val="center"/>
            <w:hideMark/>
          </w:tcPr>
          <w:p w:rsidR="00417245" w:rsidRPr="00412299" w:rsidRDefault="00417245" w:rsidP="00F83FBB">
            <w:pPr>
              <w:spacing w:line="240" w:lineRule="auto"/>
              <w:jc w:val="left"/>
              <w:rPr>
                <w:rFonts w:ascii="Calibri" w:hAnsi="Calibri"/>
                <w:b/>
                <w:bCs/>
                <w:sz w:val="18"/>
                <w:szCs w:val="18"/>
                <w:lang w:eastAsia="sl-SI"/>
              </w:rPr>
            </w:pPr>
            <w:r w:rsidRPr="00972554">
              <w:rPr>
                <w:rFonts w:ascii="Calibri" w:hAnsi="Calibri"/>
                <w:b/>
                <w:sz w:val="18"/>
                <w:szCs w:val="18"/>
              </w:rPr>
              <w:t xml:space="preserve">302-Popravki vrednosti neopredmetenih sredstev </w:t>
            </w:r>
          </w:p>
        </w:tc>
        <w:tc>
          <w:tcPr>
            <w:tcW w:w="1984" w:type="dxa"/>
            <w:shd w:val="clear" w:color="auto" w:fill="auto"/>
            <w:noWrap/>
            <w:vAlign w:val="bottom"/>
            <w:hideMark/>
          </w:tcPr>
          <w:p w:rsidR="00417245" w:rsidRPr="00412299" w:rsidRDefault="00417245" w:rsidP="00382B0F">
            <w:pPr>
              <w:spacing w:line="240" w:lineRule="auto"/>
              <w:jc w:val="right"/>
              <w:rPr>
                <w:rFonts w:ascii="Calibri" w:hAnsi="Calibri"/>
                <w:b/>
                <w:bCs/>
                <w:sz w:val="18"/>
                <w:szCs w:val="18"/>
                <w:lang w:eastAsia="sl-SI"/>
              </w:rPr>
            </w:pPr>
            <w:r w:rsidRPr="00972554">
              <w:rPr>
                <w:rFonts w:ascii="Calibri" w:hAnsi="Calibri"/>
                <w:b/>
                <w:sz w:val="18"/>
                <w:szCs w:val="18"/>
              </w:rPr>
              <w:t xml:space="preserve">365.845.640 </w:t>
            </w:r>
          </w:p>
        </w:tc>
        <w:tc>
          <w:tcPr>
            <w:tcW w:w="1701" w:type="dxa"/>
            <w:shd w:val="clear" w:color="auto" w:fill="FFFFFF"/>
            <w:noWrap/>
            <w:vAlign w:val="bottom"/>
            <w:hideMark/>
          </w:tcPr>
          <w:p w:rsidR="00417245" w:rsidRPr="00116FC1" w:rsidRDefault="00417245" w:rsidP="00412299">
            <w:pPr>
              <w:spacing w:line="240" w:lineRule="auto"/>
              <w:jc w:val="right"/>
              <w:rPr>
                <w:rFonts w:ascii="Calibri" w:hAnsi="Calibri"/>
                <w:b/>
                <w:bCs/>
                <w:sz w:val="18"/>
                <w:szCs w:val="18"/>
                <w:lang w:eastAsia="sl-SI"/>
              </w:rPr>
            </w:pPr>
          </w:p>
        </w:tc>
      </w:tr>
      <w:tr w:rsidR="00417245" w:rsidRPr="00972554" w:rsidTr="00972554">
        <w:trPr>
          <w:trHeight w:val="300"/>
        </w:trPr>
        <w:tc>
          <w:tcPr>
            <w:tcW w:w="6024" w:type="dxa"/>
            <w:shd w:val="clear" w:color="auto" w:fill="auto"/>
            <w:noWrap/>
            <w:vAlign w:val="center"/>
            <w:hideMark/>
          </w:tcPr>
          <w:p w:rsidR="00417245" w:rsidRPr="00412299" w:rsidRDefault="00417245"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MINISTRSTVO ZA FINANCE FINANČNA UPRAVA </w:t>
            </w:r>
            <w:r w:rsidR="000A7612" w:rsidRPr="002B775E">
              <w:rPr>
                <w:rFonts w:ascii="Calibri" w:hAnsi="Calibri"/>
                <w:sz w:val="18"/>
                <w:szCs w:val="18"/>
              </w:rPr>
              <w:t>RS</w:t>
            </w:r>
          </w:p>
        </w:tc>
        <w:tc>
          <w:tcPr>
            <w:tcW w:w="1984" w:type="dxa"/>
            <w:shd w:val="clear" w:color="auto" w:fill="auto"/>
            <w:noWrap/>
            <w:vAlign w:val="bottom"/>
            <w:hideMark/>
          </w:tcPr>
          <w:p w:rsidR="00417245" w:rsidRPr="00412299" w:rsidRDefault="00417245" w:rsidP="00F83FBB">
            <w:pPr>
              <w:spacing w:line="240" w:lineRule="auto"/>
              <w:jc w:val="right"/>
              <w:rPr>
                <w:rFonts w:ascii="Calibri" w:hAnsi="Calibri"/>
                <w:sz w:val="18"/>
                <w:szCs w:val="18"/>
                <w:lang w:eastAsia="sl-SI"/>
              </w:rPr>
            </w:pPr>
            <w:r w:rsidRPr="00972554">
              <w:rPr>
                <w:rFonts w:ascii="Calibri" w:hAnsi="Calibri"/>
                <w:sz w:val="18"/>
                <w:szCs w:val="18"/>
              </w:rPr>
              <w:t xml:space="preserve">92.237.566 </w:t>
            </w:r>
          </w:p>
        </w:tc>
        <w:tc>
          <w:tcPr>
            <w:tcW w:w="1701" w:type="dxa"/>
            <w:shd w:val="clear" w:color="auto" w:fill="FFFFFF"/>
            <w:noWrap/>
            <w:vAlign w:val="bottom"/>
            <w:hideMark/>
          </w:tcPr>
          <w:p w:rsidR="00417245" w:rsidRPr="00412299" w:rsidRDefault="00417245" w:rsidP="00382B0F">
            <w:pPr>
              <w:spacing w:line="240" w:lineRule="auto"/>
              <w:jc w:val="right"/>
              <w:rPr>
                <w:rFonts w:ascii="Calibri" w:hAnsi="Calibri"/>
                <w:sz w:val="18"/>
                <w:szCs w:val="18"/>
                <w:lang w:eastAsia="sl-SI"/>
              </w:rPr>
            </w:pPr>
            <w:r w:rsidRPr="00972554">
              <w:rPr>
                <w:rFonts w:ascii="Calibri" w:hAnsi="Calibri"/>
                <w:sz w:val="18"/>
                <w:szCs w:val="18"/>
              </w:rPr>
              <w:t>25,21</w:t>
            </w:r>
          </w:p>
        </w:tc>
      </w:tr>
      <w:tr w:rsidR="00417245" w:rsidRPr="00972554" w:rsidTr="00972554">
        <w:trPr>
          <w:trHeight w:val="300"/>
        </w:trPr>
        <w:tc>
          <w:tcPr>
            <w:tcW w:w="6024" w:type="dxa"/>
            <w:shd w:val="clear" w:color="auto" w:fill="auto"/>
            <w:noWrap/>
            <w:vAlign w:val="center"/>
            <w:hideMark/>
          </w:tcPr>
          <w:p w:rsidR="00417245" w:rsidRPr="00116FC1" w:rsidRDefault="00417245"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JAVNO UPRAVO</w:t>
            </w:r>
          </w:p>
        </w:tc>
        <w:tc>
          <w:tcPr>
            <w:tcW w:w="1984" w:type="dxa"/>
            <w:shd w:val="clear" w:color="auto" w:fill="auto"/>
            <w:noWrap/>
            <w:vAlign w:val="bottom"/>
            <w:hideMark/>
          </w:tcPr>
          <w:p w:rsidR="00417245" w:rsidRPr="00412299" w:rsidRDefault="00417245" w:rsidP="00F83FBB">
            <w:pPr>
              <w:spacing w:line="240" w:lineRule="auto"/>
              <w:jc w:val="right"/>
              <w:rPr>
                <w:rFonts w:ascii="Calibri" w:hAnsi="Calibri"/>
                <w:sz w:val="18"/>
                <w:szCs w:val="18"/>
                <w:lang w:eastAsia="sl-SI"/>
              </w:rPr>
            </w:pPr>
            <w:r w:rsidRPr="00972554">
              <w:rPr>
                <w:rFonts w:ascii="Calibri" w:hAnsi="Calibri"/>
                <w:sz w:val="18"/>
                <w:szCs w:val="18"/>
              </w:rPr>
              <w:t xml:space="preserve">80.970.089 </w:t>
            </w:r>
          </w:p>
        </w:tc>
        <w:tc>
          <w:tcPr>
            <w:tcW w:w="1701" w:type="dxa"/>
            <w:shd w:val="clear" w:color="auto" w:fill="FFFFFF"/>
            <w:noWrap/>
            <w:vAlign w:val="bottom"/>
            <w:hideMark/>
          </w:tcPr>
          <w:p w:rsidR="00417245" w:rsidRPr="00412299" w:rsidRDefault="00417245" w:rsidP="00382B0F">
            <w:pPr>
              <w:spacing w:line="240" w:lineRule="auto"/>
              <w:jc w:val="right"/>
              <w:rPr>
                <w:rFonts w:ascii="Calibri" w:hAnsi="Calibri"/>
                <w:sz w:val="18"/>
                <w:szCs w:val="18"/>
                <w:lang w:eastAsia="sl-SI"/>
              </w:rPr>
            </w:pPr>
            <w:r w:rsidRPr="00972554">
              <w:rPr>
                <w:rFonts w:ascii="Calibri" w:hAnsi="Calibri"/>
                <w:sz w:val="18"/>
                <w:szCs w:val="18"/>
              </w:rPr>
              <w:t>22,13</w:t>
            </w:r>
          </w:p>
        </w:tc>
      </w:tr>
      <w:tr w:rsidR="00417245" w:rsidRPr="00972554" w:rsidTr="00972554">
        <w:trPr>
          <w:trHeight w:val="300"/>
        </w:trPr>
        <w:tc>
          <w:tcPr>
            <w:tcW w:w="6024" w:type="dxa"/>
            <w:shd w:val="clear" w:color="auto" w:fill="auto"/>
            <w:noWrap/>
            <w:vAlign w:val="center"/>
            <w:hideMark/>
          </w:tcPr>
          <w:p w:rsidR="00417245" w:rsidRPr="00412299" w:rsidRDefault="00417245"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NOTRANJE ZADEVE POLICIJA</w:t>
            </w:r>
          </w:p>
        </w:tc>
        <w:tc>
          <w:tcPr>
            <w:tcW w:w="1984" w:type="dxa"/>
            <w:shd w:val="clear" w:color="auto" w:fill="auto"/>
            <w:noWrap/>
            <w:vAlign w:val="bottom"/>
            <w:hideMark/>
          </w:tcPr>
          <w:p w:rsidR="00417245" w:rsidRPr="00412299" w:rsidRDefault="00417245" w:rsidP="00F83FBB">
            <w:pPr>
              <w:spacing w:line="240" w:lineRule="auto"/>
              <w:jc w:val="right"/>
              <w:rPr>
                <w:rFonts w:ascii="Calibri" w:hAnsi="Calibri"/>
                <w:sz w:val="18"/>
                <w:szCs w:val="18"/>
                <w:lang w:eastAsia="sl-SI"/>
              </w:rPr>
            </w:pPr>
            <w:r w:rsidRPr="00972554">
              <w:rPr>
                <w:rFonts w:ascii="Calibri" w:hAnsi="Calibri"/>
                <w:sz w:val="18"/>
                <w:szCs w:val="18"/>
              </w:rPr>
              <w:t xml:space="preserve">20.529.891 </w:t>
            </w:r>
          </w:p>
        </w:tc>
        <w:tc>
          <w:tcPr>
            <w:tcW w:w="1701" w:type="dxa"/>
            <w:shd w:val="clear" w:color="auto" w:fill="FFFFFF"/>
            <w:noWrap/>
            <w:vAlign w:val="bottom"/>
            <w:hideMark/>
          </w:tcPr>
          <w:p w:rsidR="00417245" w:rsidRPr="00412299" w:rsidRDefault="00417245" w:rsidP="00382B0F">
            <w:pPr>
              <w:spacing w:line="240" w:lineRule="auto"/>
              <w:jc w:val="right"/>
              <w:rPr>
                <w:rFonts w:ascii="Calibri" w:hAnsi="Calibri"/>
                <w:sz w:val="18"/>
                <w:szCs w:val="18"/>
                <w:lang w:eastAsia="sl-SI"/>
              </w:rPr>
            </w:pPr>
            <w:r w:rsidRPr="00972554">
              <w:rPr>
                <w:rFonts w:ascii="Calibri" w:hAnsi="Calibri"/>
                <w:sz w:val="18"/>
                <w:szCs w:val="18"/>
              </w:rPr>
              <w:t>5,61</w:t>
            </w:r>
          </w:p>
        </w:tc>
      </w:tr>
      <w:tr w:rsidR="00417245" w:rsidRPr="00972554" w:rsidTr="00972554">
        <w:trPr>
          <w:trHeight w:val="300"/>
        </w:trPr>
        <w:tc>
          <w:tcPr>
            <w:tcW w:w="6024" w:type="dxa"/>
            <w:shd w:val="clear" w:color="auto" w:fill="auto"/>
            <w:noWrap/>
            <w:vAlign w:val="center"/>
            <w:hideMark/>
          </w:tcPr>
          <w:p w:rsidR="00417245" w:rsidRPr="00412299" w:rsidRDefault="00417245" w:rsidP="00F83FBB">
            <w:pPr>
              <w:spacing w:line="240" w:lineRule="auto"/>
              <w:jc w:val="left"/>
              <w:rPr>
                <w:rFonts w:ascii="Calibri" w:hAnsi="Calibri"/>
                <w:b/>
                <w:bCs/>
                <w:sz w:val="18"/>
                <w:szCs w:val="18"/>
                <w:lang w:eastAsia="sl-SI"/>
              </w:rPr>
            </w:pPr>
            <w:r w:rsidRPr="00972554">
              <w:rPr>
                <w:rFonts w:ascii="Calibri" w:hAnsi="Calibri"/>
                <w:b/>
                <w:sz w:val="18"/>
                <w:szCs w:val="18"/>
              </w:rPr>
              <w:t xml:space="preserve">303-Sedanja vrednost nepremičnin </w:t>
            </w:r>
          </w:p>
        </w:tc>
        <w:tc>
          <w:tcPr>
            <w:tcW w:w="1984" w:type="dxa"/>
            <w:shd w:val="clear" w:color="auto" w:fill="auto"/>
            <w:noWrap/>
            <w:vAlign w:val="bottom"/>
            <w:hideMark/>
          </w:tcPr>
          <w:p w:rsidR="00417245" w:rsidRPr="00412299" w:rsidRDefault="00417245" w:rsidP="00382B0F">
            <w:pPr>
              <w:spacing w:line="240" w:lineRule="auto"/>
              <w:jc w:val="right"/>
              <w:rPr>
                <w:rFonts w:ascii="Calibri" w:hAnsi="Calibri"/>
                <w:b/>
                <w:bCs/>
                <w:sz w:val="18"/>
                <w:szCs w:val="18"/>
                <w:lang w:eastAsia="sl-SI"/>
              </w:rPr>
            </w:pPr>
            <w:r w:rsidRPr="00972554">
              <w:rPr>
                <w:rFonts w:ascii="Calibri" w:hAnsi="Calibri"/>
                <w:b/>
                <w:sz w:val="18"/>
                <w:szCs w:val="18"/>
              </w:rPr>
              <w:t xml:space="preserve">5.891.000.451 </w:t>
            </w:r>
          </w:p>
        </w:tc>
        <w:tc>
          <w:tcPr>
            <w:tcW w:w="1701" w:type="dxa"/>
            <w:shd w:val="clear" w:color="auto" w:fill="FFFFFF"/>
            <w:noWrap/>
            <w:vAlign w:val="bottom"/>
            <w:hideMark/>
          </w:tcPr>
          <w:p w:rsidR="00417245" w:rsidRPr="00116FC1" w:rsidRDefault="00417245" w:rsidP="00412299">
            <w:pPr>
              <w:spacing w:line="240" w:lineRule="auto"/>
              <w:jc w:val="right"/>
              <w:rPr>
                <w:rFonts w:ascii="Calibri" w:hAnsi="Calibri"/>
                <w:b/>
                <w:bCs/>
                <w:sz w:val="18"/>
                <w:szCs w:val="18"/>
                <w:lang w:eastAsia="sl-SI"/>
              </w:rPr>
            </w:pPr>
          </w:p>
        </w:tc>
      </w:tr>
      <w:tr w:rsidR="00417245" w:rsidRPr="00972554" w:rsidTr="00972554">
        <w:trPr>
          <w:trHeight w:val="300"/>
        </w:trPr>
        <w:tc>
          <w:tcPr>
            <w:tcW w:w="6024" w:type="dxa"/>
            <w:shd w:val="clear" w:color="auto" w:fill="auto"/>
            <w:noWrap/>
            <w:vAlign w:val="center"/>
            <w:hideMark/>
          </w:tcPr>
          <w:p w:rsidR="00417245" w:rsidRPr="00412299" w:rsidRDefault="00417245"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MINISTRSTVO ZA INFRASTRUKTURO, DIREKCIJA </w:t>
            </w:r>
            <w:r w:rsidR="000A7612" w:rsidRPr="002B775E">
              <w:rPr>
                <w:rFonts w:ascii="Calibri" w:hAnsi="Calibri"/>
                <w:sz w:val="18"/>
                <w:szCs w:val="18"/>
              </w:rPr>
              <w:t>RS</w:t>
            </w:r>
            <w:r w:rsidRPr="00972554">
              <w:rPr>
                <w:rFonts w:ascii="Calibri" w:hAnsi="Calibri"/>
                <w:sz w:val="18"/>
                <w:szCs w:val="18"/>
              </w:rPr>
              <w:t xml:space="preserve"> ZA INFRASTRUKTURO</w:t>
            </w:r>
          </w:p>
        </w:tc>
        <w:tc>
          <w:tcPr>
            <w:tcW w:w="1984" w:type="dxa"/>
            <w:shd w:val="clear" w:color="auto" w:fill="auto"/>
            <w:noWrap/>
            <w:vAlign w:val="bottom"/>
            <w:hideMark/>
          </w:tcPr>
          <w:p w:rsidR="00417245" w:rsidRPr="00412299" w:rsidRDefault="00417245" w:rsidP="00F83FBB">
            <w:pPr>
              <w:spacing w:line="240" w:lineRule="auto"/>
              <w:jc w:val="right"/>
              <w:rPr>
                <w:rFonts w:ascii="Calibri" w:hAnsi="Calibri"/>
                <w:sz w:val="18"/>
                <w:szCs w:val="18"/>
                <w:lang w:eastAsia="sl-SI"/>
              </w:rPr>
            </w:pPr>
            <w:r w:rsidRPr="00972554">
              <w:rPr>
                <w:rFonts w:ascii="Calibri" w:hAnsi="Calibri"/>
                <w:sz w:val="18"/>
                <w:szCs w:val="18"/>
              </w:rPr>
              <w:t xml:space="preserve">2.758.652.865 </w:t>
            </w:r>
          </w:p>
        </w:tc>
        <w:tc>
          <w:tcPr>
            <w:tcW w:w="1701" w:type="dxa"/>
            <w:shd w:val="clear" w:color="auto" w:fill="FFFFFF"/>
            <w:noWrap/>
            <w:vAlign w:val="bottom"/>
            <w:hideMark/>
          </w:tcPr>
          <w:p w:rsidR="00417245" w:rsidRPr="00412299" w:rsidRDefault="00417245" w:rsidP="00382B0F">
            <w:pPr>
              <w:spacing w:line="240" w:lineRule="auto"/>
              <w:jc w:val="right"/>
              <w:rPr>
                <w:rFonts w:ascii="Calibri" w:hAnsi="Calibri"/>
                <w:sz w:val="18"/>
                <w:szCs w:val="18"/>
                <w:lang w:eastAsia="sl-SI"/>
              </w:rPr>
            </w:pPr>
            <w:r w:rsidRPr="00972554">
              <w:rPr>
                <w:rFonts w:ascii="Calibri" w:hAnsi="Calibri"/>
                <w:sz w:val="18"/>
                <w:szCs w:val="18"/>
              </w:rPr>
              <w:t>46,83</w:t>
            </w:r>
          </w:p>
        </w:tc>
      </w:tr>
      <w:tr w:rsidR="00417245" w:rsidRPr="00972554" w:rsidTr="00972554">
        <w:trPr>
          <w:trHeight w:val="300"/>
        </w:trPr>
        <w:tc>
          <w:tcPr>
            <w:tcW w:w="6024" w:type="dxa"/>
            <w:shd w:val="clear" w:color="auto" w:fill="auto"/>
            <w:noWrap/>
            <w:vAlign w:val="center"/>
            <w:hideMark/>
          </w:tcPr>
          <w:p w:rsidR="00417245" w:rsidRPr="00412299" w:rsidRDefault="00417245"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INFRASTRUKTURO</w:t>
            </w:r>
          </w:p>
        </w:tc>
        <w:tc>
          <w:tcPr>
            <w:tcW w:w="1984" w:type="dxa"/>
            <w:shd w:val="clear" w:color="auto" w:fill="auto"/>
            <w:noWrap/>
            <w:vAlign w:val="bottom"/>
            <w:hideMark/>
          </w:tcPr>
          <w:p w:rsidR="00417245" w:rsidRPr="00412299" w:rsidRDefault="00417245" w:rsidP="00F83FBB">
            <w:pPr>
              <w:spacing w:line="240" w:lineRule="auto"/>
              <w:jc w:val="right"/>
              <w:rPr>
                <w:rFonts w:ascii="Calibri" w:hAnsi="Calibri"/>
                <w:sz w:val="18"/>
                <w:szCs w:val="18"/>
                <w:lang w:eastAsia="sl-SI"/>
              </w:rPr>
            </w:pPr>
            <w:r w:rsidRPr="00972554">
              <w:rPr>
                <w:rFonts w:ascii="Calibri" w:hAnsi="Calibri"/>
                <w:sz w:val="18"/>
                <w:szCs w:val="18"/>
              </w:rPr>
              <w:t xml:space="preserve">579.757.232 </w:t>
            </w:r>
          </w:p>
        </w:tc>
        <w:tc>
          <w:tcPr>
            <w:tcW w:w="1701" w:type="dxa"/>
            <w:shd w:val="clear" w:color="auto" w:fill="FFFFFF"/>
            <w:noWrap/>
            <w:vAlign w:val="bottom"/>
            <w:hideMark/>
          </w:tcPr>
          <w:p w:rsidR="00417245" w:rsidRPr="00412299" w:rsidRDefault="00417245" w:rsidP="00382B0F">
            <w:pPr>
              <w:spacing w:line="240" w:lineRule="auto"/>
              <w:jc w:val="right"/>
              <w:rPr>
                <w:rFonts w:ascii="Calibri" w:hAnsi="Calibri"/>
                <w:sz w:val="18"/>
                <w:szCs w:val="18"/>
                <w:lang w:eastAsia="sl-SI"/>
              </w:rPr>
            </w:pPr>
            <w:r w:rsidRPr="00972554">
              <w:rPr>
                <w:rFonts w:ascii="Calibri" w:hAnsi="Calibri"/>
                <w:sz w:val="18"/>
                <w:szCs w:val="18"/>
              </w:rPr>
              <w:t>9,84</w:t>
            </w:r>
          </w:p>
        </w:tc>
      </w:tr>
      <w:tr w:rsidR="00417245" w:rsidRPr="00972554" w:rsidTr="00972554">
        <w:trPr>
          <w:trHeight w:val="300"/>
        </w:trPr>
        <w:tc>
          <w:tcPr>
            <w:tcW w:w="6024" w:type="dxa"/>
            <w:shd w:val="clear" w:color="auto" w:fill="auto"/>
            <w:noWrap/>
            <w:vAlign w:val="center"/>
            <w:hideMark/>
          </w:tcPr>
          <w:p w:rsidR="00417245" w:rsidRPr="00412299" w:rsidRDefault="00417245"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KMETIJSTVO, GOZDARSTVO IN PREHRANO</w:t>
            </w:r>
          </w:p>
        </w:tc>
        <w:tc>
          <w:tcPr>
            <w:tcW w:w="1984" w:type="dxa"/>
            <w:shd w:val="clear" w:color="auto" w:fill="auto"/>
            <w:noWrap/>
            <w:vAlign w:val="bottom"/>
            <w:hideMark/>
          </w:tcPr>
          <w:p w:rsidR="00417245" w:rsidRPr="00412299" w:rsidRDefault="00417245" w:rsidP="00F83FBB">
            <w:pPr>
              <w:spacing w:line="240" w:lineRule="auto"/>
              <w:jc w:val="right"/>
              <w:rPr>
                <w:rFonts w:ascii="Calibri" w:hAnsi="Calibri"/>
                <w:sz w:val="18"/>
                <w:szCs w:val="18"/>
                <w:lang w:eastAsia="sl-SI"/>
              </w:rPr>
            </w:pPr>
            <w:r w:rsidRPr="00972554">
              <w:rPr>
                <w:rFonts w:ascii="Calibri" w:hAnsi="Calibri"/>
                <w:sz w:val="18"/>
                <w:szCs w:val="18"/>
              </w:rPr>
              <w:t xml:space="preserve">538.968.076 </w:t>
            </w:r>
          </w:p>
        </w:tc>
        <w:tc>
          <w:tcPr>
            <w:tcW w:w="1701" w:type="dxa"/>
            <w:shd w:val="clear" w:color="auto" w:fill="FFFFFF"/>
            <w:noWrap/>
            <w:vAlign w:val="bottom"/>
            <w:hideMark/>
          </w:tcPr>
          <w:p w:rsidR="00417245" w:rsidRPr="00412299" w:rsidRDefault="00417245" w:rsidP="00382B0F">
            <w:pPr>
              <w:spacing w:line="240" w:lineRule="auto"/>
              <w:jc w:val="right"/>
              <w:rPr>
                <w:rFonts w:ascii="Calibri" w:hAnsi="Calibri"/>
                <w:sz w:val="18"/>
                <w:szCs w:val="18"/>
                <w:lang w:eastAsia="sl-SI"/>
              </w:rPr>
            </w:pPr>
            <w:r w:rsidRPr="00972554">
              <w:rPr>
                <w:rFonts w:ascii="Calibri" w:hAnsi="Calibri"/>
                <w:sz w:val="18"/>
                <w:szCs w:val="18"/>
              </w:rPr>
              <w:t>9,15</w:t>
            </w:r>
          </w:p>
        </w:tc>
      </w:tr>
      <w:tr w:rsidR="00417245" w:rsidRPr="00972554" w:rsidTr="00972554">
        <w:trPr>
          <w:trHeight w:val="300"/>
        </w:trPr>
        <w:tc>
          <w:tcPr>
            <w:tcW w:w="6024" w:type="dxa"/>
            <w:shd w:val="clear" w:color="auto" w:fill="auto"/>
            <w:noWrap/>
            <w:vAlign w:val="center"/>
            <w:hideMark/>
          </w:tcPr>
          <w:p w:rsidR="00417245" w:rsidRPr="00412299" w:rsidRDefault="00417245" w:rsidP="00F83FBB">
            <w:pPr>
              <w:spacing w:line="240" w:lineRule="auto"/>
              <w:jc w:val="left"/>
              <w:rPr>
                <w:rFonts w:ascii="Calibri" w:hAnsi="Calibri"/>
                <w:b/>
                <w:bCs/>
                <w:sz w:val="18"/>
                <w:szCs w:val="18"/>
                <w:lang w:eastAsia="sl-SI"/>
              </w:rPr>
            </w:pPr>
            <w:r w:rsidRPr="00972554">
              <w:rPr>
                <w:rFonts w:ascii="Calibri" w:hAnsi="Calibri"/>
                <w:b/>
                <w:sz w:val="18"/>
                <w:szCs w:val="18"/>
              </w:rPr>
              <w:t xml:space="preserve">304-Nabavna vrednost nepremičnin </w:t>
            </w:r>
          </w:p>
        </w:tc>
        <w:tc>
          <w:tcPr>
            <w:tcW w:w="1984" w:type="dxa"/>
            <w:shd w:val="clear" w:color="auto" w:fill="auto"/>
            <w:noWrap/>
            <w:vAlign w:val="bottom"/>
            <w:hideMark/>
          </w:tcPr>
          <w:p w:rsidR="00417245" w:rsidRPr="00412299" w:rsidRDefault="00417245" w:rsidP="00382B0F">
            <w:pPr>
              <w:spacing w:line="240" w:lineRule="auto"/>
              <w:jc w:val="right"/>
              <w:rPr>
                <w:rFonts w:ascii="Calibri" w:hAnsi="Calibri"/>
                <w:b/>
                <w:bCs/>
                <w:sz w:val="18"/>
                <w:szCs w:val="18"/>
                <w:lang w:eastAsia="sl-SI"/>
              </w:rPr>
            </w:pPr>
            <w:r w:rsidRPr="00972554">
              <w:rPr>
                <w:rFonts w:ascii="Calibri" w:hAnsi="Calibri"/>
                <w:b/>
                <w:sz w:val="18"/>
                <w:szCs w:val="18"/>
              </w:rPr>
              <w:t xml:space="preserve">10.072.911.756 </w:t>
            </w:r>
          </w:p>
        </w:tc>
        <w:tc>
          <w:tcPr>
            <w:tcW w:w="1701" w:type="dxa"/>
            <w:shd w:val="clear" w:color="auto" w:fill="FFFFFF"/>
            <w:noWrap/>
            <w:vAlign w:val="bottom"/>
          </w:tcPr>
          <w:p w:rsidR="00417245" w:rsidRPr="00116FC1" w:rsidRDefault="00417245" w:rsidP="00412299">
            <w:pPr>
              <w:spacing w:line="240" w:lineRule="auto"/>
              <w:jc w:val="right"/>
              <w:rPr>
                <w:rFonts w:ascii="Calibri" w:hAnsi="Calibri"/>
                <w:b/>
                <w:bCs/>
                <w:sz w:val="18"/>
                <w:szCs w:val="18"/>
                <w:lang w:eastAsia="sl-SI"/>
              </w:rPr>
            </w:pPr>
          </w:p>
        </w:tc>
      </w:tr>
      <w:tr w:rsidR="00417245" w:rsidRPr="00972554" w:rsidTr="00972554">
        <w:trPr>
          <w:trHeight w:val="300"/>
        </w:trPr>
        <w:tc>
          <w:tcPr>
            <w:tcW w:w="6024" w:type="dxa"/>
            <w:shd w:val="clear" w:color="auto" w:fill="auto"/>
            <w:noWrap/>
            <w:vAlign w:val="center"/>
            <w:hideMark/>
          </w:tcPr>
          <w:p w:rsidR="00417245" w:rsidRPr="00412299" w:rsidRDefault="00417245"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MINISTRSTVO ZA INFRASTRUKTURO, DIREKCIJA </w:t>
            </w:r>
            <w:r w:rsidR="000A7612" w:rsidRPr="002B775E">
              <w:rPr>
                <w:rFonts w:ascii="Calibri" w:hAnsi="Calibri"/>
                <w:sz w:val="18"/>
                <w:szCs w:val="18"/>
              </w:rPr>
              <w:t>RS</w:t>
            </w:r>
            <w:r w:rsidRPr="00972554">
              <w:rPr>
                <w:rFonts w:ascii="Calibri" w:hAnsi="Calibri"/>
                <w:sz w:val="18"/>
                <w:szCs w:val="18"/>
              </w:rPr>
              <w:t xml:space="preserve"> ZA INFRASTRUKTURO</w:t>
            </w:r>
          </w:p>
        </w:tc>
        <w:tc>
          <w:tcPr>
            <w:tcW w:w="1984" w:type="dxa"/>
            <w:shd w:val="clear" w:color="auto" w:fill="auto"/>
            <w:noWrap/>
            <w:vAlign w:val="bottom"/>
            <w:hideMark/>
          </w:tcPr>
          <w:p w:rsidR="00417245" w:rsidRPr="00412299" w:rsidRDefault="00417245" w:rsidP="00F83FBB">
            <w:pPr>
              <w:spacing w:line="240" w:lineRule="auto"/>
              <w:jc w:val="right"/>
              <w:rPr>
                <w:rFonts w:ascii="Calibri" w:hAnsi="Calibri"/>
                <w:sz w:val="18"/>
                <w:szCs w:val="18"/>
                <w:lang w:eastAsia="sl-SI"/>
              </w:rPr>
            </w:pPr>
            <w:r w:rsidRPr="00972554">
              <w:rPr>
                <w:rFonts w:ascii="Calibri" w:hAnsi="Calibri"/>
                <w:sz w:val="18"/>
                <w:szCs w:val="18"/>
              </w:rPr>
              <w:t xml:space="preserve">5.530.513.137 </w:t>
            </w:r>
          </w:p>
        </w:tc>
        <w:tc>
          <w:tcPr>
            <w:tcW w:w="1701" w:type="dxa"/>
            <w:shd w:val="clear" w:color="auto" w:fill="FFFFFF"/>
            <w:noWrap/>
            <w:vAlign w:val="bottom"/>
            <w:hideMark/>
          </w:tcPr>
          <w:p w:rsidR="00417245" w:rsidRPr="00412299" w:rsidRDefault="00417245" w:rsidP="00382B0F">
            <w:pPr>
              <w:spacing w:line="240" w:lineRule="auto"/>
              <w:jc w:val="right"/>
              <w:rPr>
                <w:rFonts w:ascii="Calibri" w:hAnsi="Calibri"/>
                <w:sz w:val="18"/>
                <w:szCs w:val="18"/>
                <w:lang w:eastAsia="sl-SI"/>
              </w:rPr>
            </w:pPr>
            <w:r w:rsidRPr="00972554">
              <w:rPr>
                <w:rFonts w:ascii="Calibri" w:hAnsi="Calibri"/>
                <w:sz w:val="18"/>
                <w:szCs w:val="18"/>
              </w:rPr>
              <w:t>54,90</w:t>
            </w:r>
          </w:p>
        </w:tc>
      </w:tr>
      <w:tr w:rsidR="00417245" w:rsidRPr="00972554" w:rsidTr="00972554">
        <w:trPr>
          <w:trHeight w:val="300"/>
        </w:trPr>
        <w:tc>
          <w:tcPr>
            <w:tcW w:w="6024" w:type="dxa"/>
            <w:shd w:val="clear" w:color="auto" w:fill="auto"/>
            <w:noWrap/>
            <w:vAlign w:val="center"/>
            <w:hideMark/>
          </w:tcPr>
          <w:p w:rsidR="00417245" w:rsidRPr="00412299" w:rsidRDefault="00417245"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MINISTRSTVO ZA OKOLJE IN PROSTOR DIREKCIJA </w:t>
            </w:r>
            <w:r w:rsidR="000A7612" w:rsidRPr="002B775E">
              <w:rPr>
                <w:rFonts w:ascii="Calibri" w:hAnsi="Calibri"/>
                <w:sz w:val="18"/>
                <w:szCs w:val="18"/>
              </w:rPr>
              <w:t>RS</w:t>
            </w:r>
            <w:r w:rsidRPr="00972554">
              <w:rPr>
                <w:rFonts w:ascii="Calibri" w:hAnsi="Calibri"/>
                <w:sz w:val="18"/>
                <w:szCs w:val="18"/>
              </w:rPr>
              <w:t xml:space="preserve"> ZA VODE</w:t>
            </w:r>
          </w:p>
        </w:tc>
        <w:tc>
          <w:tcPr>
            <w:tcW w:w="1984" w:type="dxa"/>
            <w:shd w:val="clear" w:color="auto" w:fill="auto"/>
            <w:noWrap/>
            <w:vAlign w:val="bottom"/>
            <w:hideMark/>
          </w:tcPr>
          <w:p w:rsidR="00417245" w:rsidRPr="00412299" w:rsidRDefault="00417245" w:rsidP="00F83FBB">
            <w:pPr>
              <w:spacing w:line="240" w:lineRule="auto"/>
              <w:jc w:val="right"/>
              <w:rPr>
                <w:rFonts w:ascii="Calibri" w:hAnsi="Calibri"/>
                <w:sz w:val="18"/>
                <w:szCs w:val="18"/>
                <w:lang w:eastAsia="sl-SI"/>
              </w:rPr>
            </w:pPr>
            <w:r w:rsidRPr="00972554">
              <w:rPr>
                <w:rFonts w:ascii="Calibri" w:hAnsi="Calibri"/>
                <w:sz w:val="18"/>
                <w:szCs w:val="18"/>
              </w:rPr>
              <w:t xml:space="preserve">979.774.926 </w:t>
            </w:r>
          </w:p>
        </w:tc>
        <w:tc>
          <w:tcPr>
            <w:tcW w:w="1701" w:type="dxa"/>
            <w:shd w:val="clear" w:color="auto" w:fill="FFFFFF"/>
            <w:noWrap/>
            <w:vAlign w:val="bottom"/>
            <w:hideMark/>
          </w:tcPr>
          <w:p w:rsidR="00417245" w:rsidRPr="00412299" w:rsidRDefault="00417245" w:rsidP="00382B0F">
            <w:pPr>
              <w:spacing w:line="240" w:lineRule="auto"/>
              <w:jc w:val="right"/>
              <w:rPr>
                <w:rFonts w:ascii="Calibri" w:hAnsi="Calibri"/>
                <w:sz w:val="18"/>
                <w:szCs w:val="18"/>
                <w:lang w:eastAsia="sl-SI"/>
              </w:rPr>
            </w:pPr>
            <w:r w:rsidRPr="00972554">
              <w:rPr>
                <w:rFonts w:ascii="Calibri" w:hAnsi="Calibri"/>
                <w:sz w:val="18"/>
                <w:szCs w:val="18"/>
              </w:rPr>
              <w:t>9,73</w:t>
            </w:r>
          </w:p>
        </w:tc>
      </w:tr>
      <w:tr w:rsidR="00417245" w:rsidRPr="00972554" w:rsidTr="00972554">
        <w:trPr>
          <w:trHeight w:val="300"/>
        </w:trPr>
        <w:tc>
          <w:tcPr>
            <w:tcW w:w="6024" w:type="dxa"/>
            <w:shd w:val="clear" w:color="auto" w:fill="auto"/>
            <w:noWrap/>
            <w:vAlign w:val="center"/>
            <w:hideMark/>
          </w:tcPr>
          <w:p w:rsidR="00417245" w:rsidRPr="00412299" w:rsidRDefault="00417245"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INFRASTRUKTURO</w:t>
            </w:r>
          </w:p>
        </w:tc>
        <w:tc>
          <w:tcPr>
            <w:tcW w:w="1984" w:type="dxa"/>
            <w:shd w:val="clear" w:color="auto" w:fill="auto"/>
            <w:noWrap/>
            <w:vAlign w:val="bottom"/>
            <w:hideMark/>
          </w:tcPr>
          <w:p w:rsidR="00417245" w:rsidRPr="00412299" w:rsidRDefault="00417245" w:rsidP="00F83FBB">
            <w:pPr>
              <w:spacing w:line="240" w:lineRule="auto"/>
              <w:jc w:val="right"/>
              <w:rPr>
                <w:rFonts w:ascii="Calibri" w:hAnsi="Calibri"/>
                <w:sz w:val="18"/>
                <w:szCs w:val="18"/>
                <w:lang w:eastAsia="sl-SI"/>
              </w:rPr>
            </w:pPr>
            <w:r w:rsidRPr="00972554">
              <w:rPr>
                <w:rFonts w:ascii="Calibri" w:hAnsi="Calibri"/>
                <w:sz w:val="18"/>
                <w:szCs w:val="18"/>
              </w:rPr>
              <w:t xml:space="preserve">592.073.424 </w:t>
            </w:r>
          </w:p>
        </w:tc>
        <w:tc>
          <w:tcPr>
            <w:tcW w:w="1701" w:type="dxa"/>
            <w:shd w:val="clear" w:color="auto" w:fill="FFFFFF"/>
            <w:noWrap/>
            <w:vAlign w:val="bottom"/>
            <w:hideMark/>
          </w:tcPr>
          <w:p w:rsidR="00417245" w:rsidRPr="00412299" w:rsidRDefault="00417245" w:rsidP="00382B0F">
            <w:pPr>
              <w:spacing w:line="240" w:lineRule="auto"/>
              <w:jc w:val="right"/>
              <w:rPr>
                <w:rFonts w:ascii="Calibri" w:hAnsi="Calibri"/>
                <w:sz w:val="18"/>
                <w:szCs w:val="18"/>
                <w:lang w:eastAsia="sl-SI"/>
              </w:rPr>
            </w:pPr>
            <w:r w:rsidRPr="00972554">
              <w:rPr>
                <w:rFonts w:ascii="Calibri" w:hAnsi="Calibri"/>
                <w:sz w:val="18"/>
                <w:szCs w:val="18"/>
              </w:rPr>
              <w:t>5,88</w:t>
            </w:r>
          </w:p>
        </w:tc>
      </w:tr>
      <w:tr w:rsidR="00417245" w:rsidRPr="00972554" w:rsidTr="00972554">
        <w:trPr>
          <w:trHeight w:val="300"/>
        </w:trPr>
        <w:tc>
          <w:tcPr>
            <w:tcW w:w="6024" w:type="dxa"/>
            <w:shd w:val="clear" w:color="auto" w:fill="auto"/>
            <w:noWrap/>
            <w:vAlign w:val="center"/>
            <w:hideMark/>
          </w:tcPr>
          <w:p w:rsidR="00417245" w:rsidRPr="00412299" w:rsidRDefault="00417245" w:rsidP="00F83FBB">
            <w:pPr>
              <w:spacing w:line="240" w:lineRule="auto"/>
              <w:jc w:val="left"/>
              <w:rPr>
                <w:rFonts w:ascii="Calibri" w:hAnsi="Calibri"/>
                <w:b/>
                <w:bCs/>
                <w:sz w:val="18"/>
                <w:szCs w:val="18"/>
                <w:lang w:eastAsia="sl-SI"/>
              </w:rPr>
            </w:pPr>
            <w:r w:rsidRPr="00972554">
              <w:rPr>
                <w:rFonts w:ascii="Calibri" w:hAnsi="Calibri"/>
                <w:b/>
                <w:sz w:val="18"/>
                <w:szCs w:val="18"/>
              </w:rPr>
              <w:t xml:space="preserve">305-Popravek vrednosti nepremičnin </w:t>
            </w:r>
          </w:p>
        </w:tc>
        <w:tc>
          <w:tcPr>
            <w:tcW w:w="1984" w:type="dxa"/>
            <w:shd w:val="clear" w:color="auto" w:fill="auto"/>
            <w:noWrap/>
            <w:vAlign w:val="bottom"/>
            <w:hideMark/>
          </w:tcPr>
          <w:p w:rsidR="00417245" w:rsidRPr="00412299" w:rsidRDefault="00417245" w:rsidP="00382B0F">
            <w:pPr>
              <w:spacing w:line="240" w:lineRule="auto"/>
              <w:jc w:val="right"/>
              <w:rPr>
                <w:rFonts w:ascii="Calibri" w:hAnsi="Calibri"/>
                <w:b/>
                <w:bCs/>
                <w:sz w:val="18"/>
                <w:szCs w:val="18"/>
                <w:lang w:eastAsia="sl-SI"/>
              </w:rPr>
            </w:pPr>
            <w:r w:rsidRPr="00972554">
              <w:rPr>
                <w:rFonts w:ascii="Calibri" w:hAnsi="Calibri"/>
                <w:b/>
                <w:sz w:val="18"/>
                <w:szCs w:val="18"/>
              </w:rPr>
              <w:t xml:space="preserve">4.181.911.305 </w:t>
            </w:r>
          </w:p>
        </w:tc>
        <w:tc>
          <w:tcPr>
            <w:tcW w:w="1701" w:type="dxa"/>
            <w:shd w:val="clear" w:color="auto" w:fill="FFFFFF"/>
            <w:noWrap/>
            <w:vAlign w:val="bottom"/>
            <w:hideMark/>
          </w:tcPr>
          <w:p w:rsidR="00417245" w:rsidRPr="00116FC1" w:rsidRDefault="00417245" w:rsidP="00412299">
            <w:pPr>
              <w:spacing w:line="240" w:lineRule="auto"/>
              <w:jc w:val="right"/>
              <w:rPr>
                <w:rFonts w:ascii="Calibri" w:hAnsi="Calibri"/>
                <w:b/>
                <w:bCs/>
                <w:sz w:val="18"/>
                <w:szCs w:val="18"/>
                <w:lang w:eastAsia="sl-SI"/>
              </w:rPr>
            </w:pPr>
          </w:p>
        </w:tc>
      </w:tr>
      <w:tr w:rsidR="00417245" w:rsidRPr="00972554" w:rsidTr="00972554">
        <w:trPr>
          <w:trHeight w:val="300"/>
        </w:trPr>
        <w:tc>
          <w:tcPr>
            <w:tcW w:w="6024" w:type="dxa"/>
            <w:shd w:val="clear" w:color="auto" w:fill="auto"/>
            <w:noWrap/>
            <w:vAlign w:val="center"/>
            <w:hideMark/>
          </w:tcPr>
          <w:p w:rsidR="00417245" w:rsidRPr="00412299" w:rsidRDefault="00417245"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MINISTRSTVO ZA INFRASTRUKTURO, DIREKCIJA </w:t>
            </w:r>
            <w:r w:rsidR="000A7612" w:rsidRPr="002B775E">
              <w:rPr>
                <w:rFonts w:ascii="Calibri" w:hAnsi="Calibri"/>
                <w:sz w:val="18"/>
                <w:szCs w:val="18"/>
              </w:rPr>
              <w:t>RS</w:t>
            </w:r>
            <w:r w:rsidRPr="00972554">
              <w:rPr>
                <w:rFonts w:ascii="Calibri" w:hAnsi="Calibri"/>
                <w:sz w:val="18"/>
                <w:szCs w:val="18"/>
              </w:rPr>
              <w:t xml:space="preserve"> ZA INFRASTRUKTURO</w:t>
            </w:r>
          </w:p>
        </w:tc>
        <w:tc>
          <w:tcPr>
            <w:tcW w:w="1984" w:type="dxa"/>
            <w:shd w:val="clear" w:color="auto" w:fill="auto"/>
            <w:noWrap/>
            <w:vAlign w:val="bottom"/>
            <w:hideMark/>
          </w:tcPr>
          <w:p w:rsidR="00417245" w:rsidRPr="00412299" w:rsidRDefault="00417245" w:rsidP="00F83FBB">
            <w:pPr>
              <w:spacing w:line="240" w:lineRule="auto"/>
              <w:jc w:val="right"/>
              <w:rPr>
                <w:rFonts w:ascii="Calibri" w:hAnsi="Calibri"/>
                <w:sz w:val="18"/>
                <w:szCs w:val="18"/>
                <w:lang w:eastAsia="sl-SI"/>
              </w:rPr>
            </w:pPr>
            <w:r w:rsidRPr="00972554">
              <w:rPr>
                <w:rFonts w:ascii="Calibri" w:hAnsi="Calibri"/>
                <w:sz w:val="18"/>
                <w:szCs w:val="18"/>
              </w:rPr>
              <w:t xml:space="preserve">2.771.860.272 </w:t>
            </w:r>
          </w:p>
        </w:tc>
        <w:tc>
          <w:tcPr>
            <w:tcW w:w="1701" w:type="dxa"/>
            <w:shd w:val="clear" w:color="auto" w:fill="FFFFFF"/>
            <w:noWrap/>
            <w:vAlign w:val="bottom"/>
            <w:hideMark/>
          </w:tcPr>
          <w:p w:rsidR="00417245" w:rsidRPr="00412299" w:rsidRDefault="00417245" w:rsidP="00382B0F">
            <w:pPr>
              <w:spacing w:line="240" w:lineRule="auto"/>
              <w:jc w:val="right"/>
              <w:rPr>
                <w:rFonts w:ascii="Calibri" w:hAnsi="Calibri"/>
                <w:sz w:val="18"/>
                <w:szCs w:val="18"/>
                <w:lang w:eastAsia="sl-SI"/>
              </w:rPr>
            </w:pPr>
            <w:r w:rsidRPr="00972554">
              <w:rPr>
                <w:rFonts w:ascii="Calibri" w:hAnsi="Calibri"/>
                <w:sz w:val="18"/>
                <w:szCs w:val="18"/>
              </w:rPr>
              <w:t>66,28</w:t>
            </w:r>
          </w:p>
        </w:tc>
      </w:tr>
      <w:tr w:rsidR="00417245" w:rsidRPr="00972554" w:rsidTr="00972554">
        <w:trPr>
          <w:trHeight w:val="300"/>
        </w:trPr>
        <w:tc>
          <w:tcPr>
            <w:tcW w:w="6024" w:type="dxa"/>
            <w:shd w:val="clear" w:color="auto" w:fill="auto"/>
            <w:noWrap/>
            <w:vAlign w:val="center"/>
            <w:hideMark/>
          </w:tcPr>
          <w:p w:rsidR="00417245" w:rsidRPr="00412299" w:rsidRDefault="00417245"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MINISTRSTVO ZA OKOLJE IN PROSTOR DIREKCIJA </w:t>
            </w:r>
            <w:r w:rsidR="000A7612" w:rsidRPr="002B775E">
              <w:rPr>
                <w:rFonts w:ascii="Calibri" w:hAnsi="Calibri"/>
                <w:sz w:val="18"/>
                <w:szCs w:val="18"/>
              </w:rPr>
              <w:t>RS</w:t>
            </w:r>
            <w:r w:rsidRPr="00972554">
              <w:rPr>
                <w:rFonts w:ascii="Calibri" w:hAnsi="Calibri"/>
                <w:sz w:val="18"/>
                <w:szCs w:val="18"/>
              </w:rPr>
              <w:t xml:space="preserve"> ZA VODE</w:t>
            </w:r>
          </w:p>
        </w:tc>
        <w:tc>
          <w:tcPr>
            <w:tcW w:w="1984" w:type="dxa"/>
            <w:shd w:val="clear" w:color="auto" w:fill="auto"/>
            <w:noWrap/>
            <w:vAlign w:val="bottom"/>
            <w:hideMark/>
          </w:tcPr>
          <w:p w:rsidR="00417245" w:rsidRPr="00412299" w:rsidRDefault="00417245" w:rsidP="00F83FBB">
            <w:pPr>
              <w:spacing w:line="240" w:lineRule="auto"/>
              <w:jc w:val="right"/>
              <w:rPr>
                <w:rFonts w:ascii="Calibri" w:hAnsi="Calibri"/>
                <w:sz w:val="18"/>
                <w:szCs w:val="18"/>
                <w:lang w:eastAsia="sl-SI"/>
              </w:rPr>
            </w:pPr>
            <w:r w:rsidRPr="00972554">
              <w:rPr>
                <w:rFonts w:ascii="Calibri" w:hAnsi="Calibri"/>
                <w:sz w:val="18"/>
                <w:szCs w:val="18"/>
              </w:rPr>
              <w:t xml:space="preserve">779.986.497 </w:t>
            </w:r>
          </w:p>
        </w:tc>
        <w:tc>
          <w:tcPr>
            <w:tcW w:w="1701" w:type="dxa"/>
            <w:shd w:val="clear" w:color="auto" w:fill="FFFFFF"/>
            <w:noWrap/>
            <w:vAlign w:val="bottom"/>
            <w:hideMark/>
          </w:tcPr>
          <w:p w:rsidR="00417245" w:rsidRPr="00412299" w:rsidRDefault="00417245" w:rsidP="00382B0F">
            <w:pPr>
              <w:spacing w:line="240" w:lineRule="auto"/>
              <w:jc w:val="right"/>
              <w:rPr>
                <w:rFonts w:ascii="Calibri" w:hAnsi="Calibri"/>
                <w:sz w:val="18"/>
                <w:szCs w:val="18"/>
                <w:lang w:eastAsia="sl-SI"/>
              </w:rPr>
            </w:pPr>
            <w:r w:rsidRPr="00972554">
              <w:rPr>
                <w:rFonts w:ascii="Calibri" w:hAnsi="Calibri"/>
                <w:sz w:val="18"/>
                <w:szCs w:val="18"/>
              </w:rPr>
              <w:t>18,65</w:t>
            </w:r>
          </w:p>
        </w:tc>
      </w:tr>
      <w:tr w:rsidR="00417245" w:rsidRPr="00972554" w:rsidTr="00972554">
        <w:trPr>
          <w:trHeight w:val="300"/>
        </w:trPr>
        <w:tc>
          <w:tcPr>
            <w:tcW w:w="6024" w:type="dxa"/>
            <w:shd w:val="clear" w:color="auto" w:fill="auto"/>
            <w:noWrap/>
            <w:vAlign w:val="center"/>
            <w:hideMark/>
          </w:tcPr>
          <w:p w:rsidR="00417245" w:rsidRPr="00412299" w:rsidRDefault="00417245"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JAVNO UPRAVO</w:t>
            </w:r>
          </w:p>
        </w:tc>
        <w:tc>
          <w:tcPr>
            <w:tcW w:w="1984" w:type="dxa"/>
            <w:shd w:val="clear" w:color="auto" w:fill="auto"/>
            <w:noWrap/>
            <w:vAlign w:val="bottom"/>
            <w:hideMark/>
          </w:tcPr>
          <w:p w:rsidR="00417245" w:rsidRPr="00412299" w:rsidRDefault="00417245" w:rsidP="00F83FBB">
            <w:pPr>
              <w:spacing w:line="240" w:lineRule="auto"/>
              <w:jc w:val="right"/>
              <w:rPr>
                <w:rFonts w:ascii="Calibri" w:hAnsi="Calibri"/>
                <w:sz w:val="18"/>
                <w:szCs w:val="18"/>
                <w:lang w:eastAsia="sl-SI"/>
              </w:rPr>
            </w:pPr>
            <w:r w:rsidRPr="00972554">
              <w:rPr>
                <w:rFonts w:ascii="Calibri" w:hAnsi="Calibri"/>
                <w:sz w:val="18"/>
                <w:szCs w:val="18"/>
              </w:rPr>
              <w:t xml:space="preserve">172.290.579 </w:t>
            </w:r>
          </w:p>
        </w:tc>
        <w:tc>
          <w:tcPr>
            <w:tcW w:w="1701" w:type="dxa"/>
            <w:shd w:val="clear" w:color="auto" w:fill="FFFFFF"/>
            <w:noWrap/>
            <w:vAlign w:val="bottom"/>
            <w:hideMark/>
          </w:tcPr>
          <w:p w:rsidR="00417245" w:rsidRPr="00412299" w:rsidRDefault="00417245" w:rsidP="00382B0F">
            <w:pPr>
              <w:spacing w:line="240" w:lineRule="auto"/>
              <w:jc w:val="right"/>
              <w:rPr>
                <w:rFonts w:ascii="Calibri" w:hAnsi="Calibri"/>
                <w:sz w:val="18"/>
                <w:szCs w:val="18"/>
                <w:lang w:eastAsia="sl-SI"/>
              </w:rPr>
            </w:pPr>
            <w:r w:rsidRPr="00972554">
              <w:rPr>
                <w:rFonts w:ascii="Calibri" w:hAnsi="Calibri"/>
                <w:sz w:val="18"/>
                <w:szCs w:val="18"/>
              </w:rPr>
              <w:t>4,12</w:t>
            </w:r>
          </w:p>
        </w:tc>
      </w:tr>
      <w:tr w:rsidR="00417245" w:rsidRPr="00972554" w:rsidTr="00972554">
        <w:trPr>
          <w:trHeight w:val="300"/>
        </w:trPr>
        <w:tc>
          <w:tcPr>
            <w:tcW w:w="6024" w:type="dxa"/>
            <w:shd w:val="clear" w:color="auto" w:fill="auto"/>
            <w:noWrap/>
            <w:vAlign w:val="center"/>
            <w:hideMark/>
          </w:tcPr>
          <w:p w:rsidR="00417245" w:rsidRPr="00412299" w:rsidRDefault="00417245" w:rsidP="00F83FBB">
            <w:pPr>
              <w:spacing w:line="240" w:lineRule="auto"/>
              <w:jc w:val="left"/>
              <w:rPr>
                <w:rFonts w:ascii="Calibri" w:hAnsi="Calibri"/>
                <w:b/>
                <w:bCs/>
                <w:sz w:val="18"/>
                <w:szCs w:val="18"/>
                <w:lang w:eastAsia="sl-SI"/>
              </w:rPr>
            </w:pPr>
            <w:r w:rsidRPr="00972554">
              <w:rPr>
                <w:rFonts w:ascii="Calibri" w:hAnsi="Calibri"/>
                <w:b/>
                <w:sz w:val="18"/>
                <w:szCs w:val="18"/>
              </w:rPr>
              <w:t xml:space="preserve">306-Sedanja vrednost opreme in drugih opredmetenih osnovnih sredstev </w:t>
            </w:r>
          </w:p>
        </w:tc>
        <w:tc>
          <w:tcPr>
            <w:tcW w:w="1984" w:type="dxa"/>
            <w:shd w:val="clear" w:color="auto" w:fill="auto"/>
            <w:noWrap/>
            <w:vAlign w:val="bottom"/>
            <w:hideMark/>
          </w:tcPr>
          <w:p w:rsidR="00417245" w:rsidRPr="00412299" w:rsidRDefault="00417245" w:rsidP="00382B0F">
            <w:pPr>
              <w:spacing w:line="240" w:lineRule="auto"/>
              <w:jc w:val="right"/>
              <w:rPr>
                <w:rFonts w:ascii="Calibri" w:hAnsi="Calibri"/>
                <w:b/>
                <w:bCs/>
                <w:sz w:val="18"/>
                <w:szCs w:val="18"/>
                <w:lang w:eastAsia="sl-SI"/>
              </w:rPr>
            </w:pPr>
            <w:r w:rsidRPr="00972554">
              <w:rPr>
                <w:rFonts w:ascii="Calibri" w:hAnsi="Calibri"/>
                <w:b/>
                <w:sz w:val="18"/>
                <w:szCs w:val="18"/>
              </w:rPr>
              <w:t xml:space="preserve">1.142.062.392 </w:t>
            </w:r>
          </w:p>
        </w:tc>
        <w:tc>
          <w:tcPr>
            <w:tcW w:w="1701" w:type="dxa"/>
            <w:shd w:val="clear" w:color="auto" w:fill="FFFFFF"/>
            <w:noWrap/>
            <w:vAlign w:val="bottom"/>
            <w:hideMark/>
          </w:tcPr>
          <w:p w:rsidR="00417245" w:rsidRPr="00116FC1" w:rsidRDefault="00417245" w:rsidP="00412299">
            <w:pPr>
              <w:spacing w:line="240" w:lineRule="auto"/>
              <w:jc w:val="right"/>
              <w:rPr>
                <w:rFonts w:ascii="Calibri" w:hAnsi="Calibri"/>
                <w:b/>
                <w:bCs/>
                <w:sz w:val="18"/>
                <w:szCs w:val="18"/>
                <w:lang w:eastAsia="sl-SI"/>
              </w:rPr>
            </w:pPr>
          </w:p>
        </w:tc>
      </w:tr>
      <w:tr w:rsidR="00417245" w:rsidRPr="00972554" w:rsidTr="00972554">
        <w:trPr>
          <w:trHeight w:val="300"/>
        </w:trPr>
        <w:tc>
          <w:tcPr>
            <w:tcW w:w="6024" w:type="dxa"/>
            <w:shd w:val="clear" w:color="auto" w:fill="auto"/>
            <w:noWrap/>
            <w:vAlign w:val="center"/>
            <w:hideMark/>
          </w:tcPr>
          <w:p w:rsidR="00417245" w:rsidRPr="00972554" w:rsidRDefault="00417245"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MINISTRSTVO ZA INFRASTRUKTURO, DIREKCIJA </w:t>
            </w:r>
            <w:r w:rsidR="000A7612" w:rsidRPr="002B775E">
              <w:rPr>
                <w:rFonts w:ascii="Calibri" w:hAnsi="Calibri"/>
                <w:sz w:val="18"/>
                <w:szCs w:val="18"/>
              </w:rPr>
              <w:t>RS</w:t>
            </w:r>
            <w:r w:rsidRPr="00972554">
              <w:rPr>
                <w:rFonts w:ascii="Calibri" w:hAnsi="Calibri"/>
                <w:sz w:val="18"/>
                <w:szCs w:val="18"/>
              </w:rPr>
              <w:t xml:space="preserve"> ZA INFRASTRUKTURO</w:t>
            </w:r>
          </w:p>
        </w:tc>
        <w:tc>
          <w:tcPr>
            <w:tcW w:w="1984" w:type="dxa"/>
            <w:shd w:val="clear" w:color="auto" w:fill="auto"/>
            <w:noWrap/>
            <w:vAlign w:val="bottom"/>
            <w:hideMark/>
          </w:tcPr>
          <w:p w:rsidR="00417245" w:rsidRPr="00412299" w:rsidRDefault="00417245" w:rsidP="00F83FBB">
            <w:pPr>
              <w:spacing w:line="240" w:lineRule="auto"/>
              <w:jc w:val="right"/>
              <w:rPr>
                <w:rFonts w:ascii="Calibri" w:hAnsi="Calibri"/>
                <w:sz w:val="18"/>
                <w:szCs w:val="18"/>
                <w:lang w:eastAsia="sl-SI"/>
              </w:rPr>
            </w:pPr>
            <w:r w:rsidRPr="00972554">
              <w:rPr>
                <w:rFonts w:ascii="Calibri" w:hAnsi="Calibri"/>
                <w:sz w:val="18"/>
                <w:szCs w:val="18"/>
              </w:rPr>
              <w:t xml:space="preserve">658.785.194 </w:t>
            </w:r>
          </w:p>
        </w:tc>
        <w:tc>
          <w:tcPr>
            <w:tcW w:w="1701" w:type="dxa"/>
            <w:shd w:val="clear" w:color="auto" w:fill="FFFFFF"/>
            <w:noWrap/>
            <w:vAlign w:val="bottom"/>
            <w:hideMark/>
          </w:tcPr>
          <w:p w:rsidR="00417245" w:rsidRPr="00412299" w:rsidRDefault="00417245" w:rsidP="00382B0F">
            <w:pPr>
              <w:spacing w:line="240" w:lineRule="auto"/>
              <w:jc w:val="right"/>
              <w:rPr>
                <w:rFonts w:ascii="Calibri" w:hAnsi="Calibri"/>
                <w:sz w:val="18"/>
                <w:szCs w:val="18"/>
                <w:lang w:eastAsia="sl-SI"/>
              </w:rPr>
            </w:pPr>
            <w:r w:rsidRPr="00972554">
              <w:rPr>
                <w:rFonts w:ascii="Calibri" w:hAnsi="Calibri"/>
                <w:sz w:val="18"/>
                <w:szCs w:val="18"/>
              </w:rPr>
              <w:t>57,68</w:t>
            </w:r>
          </w:p>
        </w:tc>
      </w:tr>
      <w:tr w:rsidR="00417245" w:rsidRPr="00972554" w:rsidTr="00972554">
        <w:trPr>
          <w:trHeight w:val="300"/>
        </w:trPr>
        <w:tc>
          <w:tcPr>
            <w:tcW w:w="6024" w:type="dxa"/>
            <w:shd w:val="clear" w:color="auto" w:fill="auto"/>
            <w:noWrap/>
            <w:vAlign w:val="center"/>
            <w:hideMark/>
          </w:tcPr>
          <w:p w:rsidR="00417245" w:rsidRPr="00412299" w:rsidRDefault="00417245"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MINISTRSTVO ZA OBRAMBO </w:t>
            </w:r>
            <w:r w:rsidR="000A7612" w:rsidRPr="002B775E">
              <w:rPr>
                <w:rFonts w:ascii="Calibri" w:hAnsi="Calibri"/>
                <w:sz w:val="18"/>
                <w:szCs w:val="18"/>
              </w:rPr>
              <w:t>RS</w:t>
            </w:r>
            <w:r w:rsidRPr="00972554">
              <w:rPr>
                <w:rFonts w:ascii="Calibri" w:hAnsi="Calibri"/>
                <w:sz w:val="18"/>
                <w:szCs w:val="18"/>
              </w:rPr>
              <w:t>, GENERALŠTAB SLOVENSKE VOJSKE</w:t>
            </w:r>
          </w:p>
        </w:tc>
        <w:tc>
          <w:tcPr>
            <w:tcW w:w="1984" w:type="dxa"/>
            <w:shd w:val="clear" w:color="auto" w:fill="auto"/>
            <w:noWrap/>
            <w:vAlign w:val="bottom"/>
            <w:hideMark/>
          </w:tcPr>
          <w:p w:rsidR="00417245" w:rsidRPr="00412299" w:rsidRDefault="00417245" w:rsidP="00F83FBB">
            <w:pPr>
              <w:spacing w:line="240" w:lineRule="auto"/>
              <w:jc w:val="right"/>
              <w:rPr>
                <w:rFonts w:ascii="Calibri" w:hAnsi="Calibri"/>
                <w:sz w:val="18"/>
                <w:szCs w:val="18"/>
                <w:lang w:eastAsia="sl-SI"/>
              </w:rPr>
            </w:pPr>
            <w:r w:rsidRPr="00972554">
              <w:rPr>
                <w:rFonts w:ascii="Calibri" w:hAnsi="Calibri"/>
                <w:sz w:val="18"/>
                <w:szCs w:val="18"/>
              </w:rPr>
              <w:t xml:space="preserve">312.190.046 </w:t>
            </w:r>
          </w:p>
        </w:tc>
        <w:tc>
          <w:tcPr>
            <w:tcW w:w="1701" w:type="dxa"/>
            <w:shd w:val="clear" w:color="auto" w:fill="FFFFFF"/>
            <w:noWrap/>
            <w:vAlign w:val="bottom"/>
            <w:hideMark/>
          </w:tcPr>
          <w:p w:rsidR="00417245" w:rsidRPr="00412299" w:rsidRDefault="00417245" w:rsidP="00382B0F">
            <w:pPr>
              <w:spacing w:line="240" w:lineRule="auto"/>
              <w:jc w:val="right"/>
              <w:rPr>
                <w:rFonts w:ascii="Calibri" w:hAnsi="Calibri"/>
                <w:sz w:val="18"/>
                <w:szCs w:val="18"/>
                <w:lang w:eastAsia="sl-SI"/>
              </w:rPr>
            </w:pPr>
            <w:r w:rsidRPr="00972554">
              <w:rPr>
                <w:rFonts w:ascii="Calibri" w:hAnsi="Calibri"/>
                <w:sz w:val="18"/>
                <w:szCs w:val="18"/>
              </w:rPr>
              <w:t>27,34</w:t>
            </w:r>
          </w:p>
        </w:tc>
      </w:tr>
      <w:tr w:rsidR="00417245" w:rsidRPr="00972554" w:rsidTr="00972554">
        <w:trPr>
          <w:trHeight w:val="300"/>
        </w:trPr>
        <w:tc>
          <w:tcPr>
            <w:tcW w:w="6024" w:type="dxa"/>
            <w:shd w:val="clear" w:color="auto" w:fill="auto"/>
            <w:noWrap/>
            <w:vAlign w:val="center"/>
            <w:hideMark/>
          </w:tcPr>
          <w:p w:rsidR="00417245" w:rsidRPr="00972554" w:rsidRDefault="00417245"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NOTRANJE ZADEVE POLICIJA</w:t>
            </w:r>
          </w:p>
        </w:tc>
        <w:tc>
          <w:tcPr>
            <w:tcW w:w="1984" w:type="dxa"/>
            <w:shd w:val="clear" w:color="auto" w:fill="auto"/>
            <w:noWrap/>
            <w:vAlign w:val="bottom"/>
            <w:hideMark/>
          </w:tcPr>
          <w:p w:rsidR="00417245" w:rsidRPr="00412299" w:rsidRDefault="00417245" w:rsidP="00F83FBB">
            <w:pPr>
              <w:spacing w:line="240" w:lineRule="auto"/>
              <w:jc w:val="right"/>
              <w:rPr>
                <w:rFonts w:ascii="Calibri" w:hAnsi="Calibri"/>
                <w:sz w:val="18"/>
                <w:szCs w:val="18"/>
                <w:lang w:eastAsia="sl-SI"/>
              </w:rPr>
            </w:pPr>
            <w:r w:rsidRPr="00972554">
              <w:rPr>
                <w:rFonts w:ascii="Calibri" w:hAnsi="Calibri"/>
                <w:sz w:val="18"/>
                <w:szCs w:val="18"/>
              </w:rPr>
              <w:t xml:space="preserve">56.785.827 </w:t>
            </w:r>
          </w:p>
        </w:tc>
        <w:tc>
          <w:tcPr>
            <w:tcW w:w="1701" w:type="dxa"/>
            <w:shd w:val="clear" w:color="auto" w:fill="FFFFFF"/>
            <w:noWrap/>
            <w:vAlign w:val="bottom"/>
            <w:hideMark/>
          </w:tcPr>
          <w:p w:rsidR="00417245" w:rsidRPr="00412299" w:rsidRDefault="00417245" w:rsidP="00382B0F">
            <w:pPr>
              <w:spacing w:line="240" w:lineRule="auto"/>
              <w:jc w:val="right"/>
              <w:rPr>
                <w:rFonts w:ascii="Calibri" w:hAnsi="Calibri"/>
                <w:sz w:val="18"/>
                <w:szCs w:val="18"/>
                <w:lang w:eastAsia="sl-SI"/>
              </w:rPr>
            </w:pPr>
            <w:r w:rsidRPr="00972554">
              <w:rPr>
                <w:rFonts w:ascii="Calibri" w:hAnsi="Calibri"/>
                <w:sz w:val="18"/>
                <w:szCs w:val="18"/>
              </w:rPr>
              <w:t>4,97</w:t>
            </w:r>
          </w:p>
        </w:tc>
      </w:tr>
      <w:tr w:rsidR="00417245" w:rsidRPr="00972554" w:rsidTr="00972554">
        <w:trPr>
          <w:trHeight w:val="300"/>
        </w:trPr>
        <w:tc>
          <w:tcPr>
            <w:tcW w:w="6024" w:type="dxa"/>
            <w:shd w:val="clear" w:color="auto" w:fill="auto"/>
            <w:noWrap/>
            <w:vAlign w:val="center"/>
            <w:hideMark/>
          </w:tcPr>
          <w:p w:rsidR="00417245" w:rsidRPr="00412299" w:rsidRDefault="00417245" w:rsidP="00F83FBB">
            <w:pPr>
              <w:spacing w:line="240" w:lineRule="auto"/>
              <w:jc w:val="left"/>
              <w:rPr>
                <w:rFonts w:ascii="Calibri" w:hAnsi="Calibri"/>
                <w:b/>
                <w:bCs/>
                <w:sz w:val="18"/>
                <w:szCs w:val="18"/>
                <w:lang w:eastAsia="sl-SI"/>
              </w:rPr>
            </w:pPr>
            <w:r w:rsidRPr="00972554">
              <w:rPr>
                <w:rFonts w:ascii="Calibri" w:hAnsi="Calibri"/>
                <w:b/>
                <w:sz w:val="18"/>
                <w:szCs w:val="18"/>
              </w:rPr>
              <w:t xml:space="preserve">307-Nabavna vrednost opreme in drugih opredmetenih osnovnih sredstev </w:t>
            </w:r>
          </w:p>
        </w:tc>
        <w:tc>
          <w:tcPr>
            <w:tcW w:w="1984" w:type="dxa"/>
            <w:shd w:val="clear" w:color="auto" w:fill="auto"/>
            <w:noWrap/>
            <w:vAlign w:val="bottom"/>
            <w:hideMark/>
          </w:tcPr>
          <w:p w:rsidR="00417245" w:rsidRPr="00412299" w:rsidRDefault="00417245" w:rsidP="00382B0F">
            <w:pPr>
              <w:spacing w:line="240" w:lineRule="auto"/>
              <w:jc w:val="right"/>
              <w:rPr>
                <w:rFonts w:ascii="Calibri" w:hAnsi="Calibri"/>
                <w:b/>
                <w:bCs/>
                <w:sz w:val="18"/>
                <w:szCs w:val="18"/>
                <w:lang w:eastAsia="sl-SI"/>
              </w:rPr>
            </w:pPr>
            <w:r w:rsidRPr="00972554">
              <w:rPr>
                <w:rFonts w:ascii="Calibri" w:hAnsi="Calibri"/>
                <w:b/>
                <w:sz w:val="18"/>
                <w:szCs w:val="18"/>
              </w:rPr>
              <w:t xml:space="preserve">2.885.345.665 </w:t>
            </w:r>
          </w:p>
        </w:tc>
        <w:tc>
          <w:tcPr>
            <w:tcW w:w="1701" w:type="dxa"/>
            <w:shd w:val="clear" w:color="auto" w:fill="FFFFFF"/>
            <w:noWrap/>
            <w:vAlign w:val="bottom"/>
            <w:hideMark/>
          </w:tcPr>
          <w:p w:rsidR="00417245" w:rsidRPr="00116FC1" w:rsidRDefault="00417245" w:rsidP="00412299">
            <w:pPr>
              <w:spacing w:line="240" w:lineRule="auto"/>
              <w:jc w:val="right"/>
              <w:rPr>
                <w:rFonts w:ascii="Calibri" w:hAnsi="Calibri"/>
                <w:b/>
                <w:bCs/>
                <w:sz w:val="18"/>
                <w:szCs w:val="18"/>
                <w:lang w:eastAsia="sl-SI"/>
              </w:rPr>
            </w:pPr>
          </w:p>
        </w:tc>
      </w:tr>
      <w:tr w:rsidR="00417245" w:rsidRPr="00972554" w:rsidTr="00972554">
        <w:trPr>
          <w:trHeight w:val="300"/>
        </w:trPr>
        <w:tc>
          <w:tcPr>
            <w:tcW w:w="6024" w:type="dxa"/>
            <w:shd w:val="clear" w:color="auto" w:fill="auto"/>
            <w:noWrap/>
            <w:vAlign w:val="center"/>
            <w:hideMark/>
          </w:tcPr>
          <w:p w:rsidR="00417245" w:rsidRPr="00412299" w:rsidRDefault="00417245"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MINISTRSTVO ZA INFRASTRUKTURO, DIREKCIJA </w:t>
            </w:r>
            <w:r w:rsidR="000A7612" w:rsidRPr="002B775E">
              <w:rPr>
                <w:rFonts w:ascii="Calibri" w:hAnsi="Calibri"/>
                <w:sz w:val="18"/>
                <w:szCs w:val="18"/>
              </w:rPr>
              <w:t>RS</w:t>
            </w:r>
            <w:r w:rsidRPr="00972554">
              <w:rPr>
                <w:rFonts w:ascii="Calibri" w:hAnsi="Calibri"/>
                <w:sz w:val="18"/>
                <w:szCs w:val="18"/>
              </w:rPr>
              <w:t xml:space="preserve"> ZA INFRASTRUKTURO</w:t>
            </w:r>
          </w:p>
        </w:tc>
        <w:tc>
          <w:tcPr>
            <w:tcW w:w="1984" w:type="dxa"/>
            <w:shd w:val="clear" w:color="auto" w:fill="auto"/>
            <w:noWrap/>
            <w:vAlign w:val="bottom"/>
            <w:hideMark/>
          </w:tcPr>
          <w:p w:rsidR="00417245" w:rsidRPr="00412299" w:rsidRDefault="00417245" w:rsidP="00F83FBB">
            <w:pPr>
              <w:spacing w:line="240" w:lineRule="auto"/>
              <w:jc w:val="right"/>
              <w:rPr>
                <w:rFonts w:ascii="Calibri" w:hAnsi="Calibri"/>
                <w:sz w:val="18"/>
                <w:szCs w:val="18"/>
                <w:lang w:eastAsia="sl-SI"/>
              </w:rPr>
            </w:pPr>
            <w:r w:rsidRPr="00972554">
              <w:rPr>
                <w:rFonts w:ascii="Calibri" w:hAnsi="Calibri"/>
                <w:sz w:val="18"/>
                <w:szCs w:val="18"/>
              </w:rPr>
              <w:t xml:space="preserve">1.122.994.489 </w:t>
            </w:r>
          </w:p>
        </w:tc>
        <w:tc>
          <w:tcPr>
            <w:tcW w:w="1701" w:type="dxa"/>
            <w:shd w:val="clear" w:color="auto" w:fill="FFFFFF"/>
            <w:noWrap/>
            <w:vAlign w:val="bottom"/>
            <w:hideMark/>
          </w:tcPr>
          <w:p w:rsidR="00417245" w:rsidRPr="00412299" w:rsidRDefault="00417245" w:rsidP="00382B0F">
            <w:pPr>
              <w:spacing w:line="240" w:lineRule="auto"/>
              <w:jc w:val="right"/>
              <w:rPr>
                <w:rFonts w:ascii="Calibri" w:hAnsi="Calibri"/>
                <w:sz w:val="18"/>
                <w:szCs w:val="18"/>
                <w:lang w:eastAsia="sl-SI"/>
              </w:rPr>
            </w:pPr>
            <w:r w:rsidRPr="00972554">
              <w:rPr>
                <w:rFonts w:ascii="Calibri" w:hAnsi="Calibri"/>
                <w:sz w:val="18"/>
                <w:szCs w:val="18"/>
              </w:rPr>
              <w:t>38,92</w:t>
            </w:r>
          </w:p>
        </w:tc>
      </w:tr>
      <w:tr w:rsidR="00417245" w:rsidRPr="00972554" w:rsidTr="00972554">
        <w:trPr>
          <w:trHeight w:val="300"/>
        </w:trPr>
        <w:tc>
          <w:tcPr>
            <w:tcW w:w="6024" w:type="dxa"/>
            <w:shd w:val="clear" w:color="auto" w:fill="auto"/>
            <w:noWrap/>
            <w:vAlign w:val="center"/>
            <w:hideMark/>
          </w:tcPr>
          <w:p w:rsidR="00417245" w:rsidRPr="00412299" w:rsidRDefault="00417245"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MINISTRSTVO ZA OBRAMBO </w:t>
            </w:r>
            <w:r w:rsidR="000A7612" w:rsidRPr="002B775E">
              <w:rPr>
                <w:rFonts w:ascii="Calibri" w:hAnsi="Calibri"/>
                <w:sz w:val="18"/>
                <w:szCs w:val="18"/>
              </w:rPr>
              <w:t>RS</w:t>
            </w:r>
            <w:r w:rsidRPr="00972554">
              <w:rPr>
                <w:rFonts w:ascii="Calibri" w:hAnsi="Calibri"/>
                <w:sz w:val="18"/>
                <w:szCs w:val="18"/>
              </w:rPr>
              <w:t>, GENERALŠTAB SLOVENSKE VOJSKE</w:t>
            </w:r>
          </w:p>
        </w:tc>
        <w:tc>
          <w:tcPr>
            <w:tcW w:w="1984" w:type="dxa"/>
            <w:shd w:val="clear" w:color="auto" w:fill="auto"/>
            <w:noWrap/>
            <w:vAlign w:val="bottom"/>
            <w:hideMark/>
          </w:tcPr>
          <w:p w:rsidR="00417245" w:rsidRPr="00412299" w:rsidRDefault="00417245" w:rsidP="00F83FBB">
            <w:pPr>
              <w:spacing w:line="240" w:lineRule="auto"/>
              <w:jc w:val="right"/>
              <w:rPr>
                <w:rFonts w:ascii="Calibri" w:hAnsi="Calibri"/>
                <w:sz w:val="18"/>
                <w:szCs w:val="18"/>
                <w:lang w:eastAsia="sl-SI"/>
              </w:rPr>
            </w:pPr>
            <w:r w:rsidRPr="00972554">
              <w:rPr>
                <w:rFonts w:ascii="Calibri" w:hAnsi="Calibri"/>
                <w:sz w:val="18"/>
                <w:szCs w:val="18"/>
              </w:rPr>
              <w:t xml:space="preserve">916.817.053 </w:t>
            </w:r>
          </w:p>
        </w:tc>
        <w:tc>
          <w:tcPr>
            <w:tcW w:w="1701" w:type="dxa"/>
            <w:shd w:val="clear" w:color="auto" w:fill="FFFFFF"/>
            <w:noWrap/>
            <w:vAlign w:val="bottom"/>
            <w:hideMark/>
          </w:tcPr>
          <w:p w:rsidR="00417245" w:rsidRPr="00412299" w:rsidRDefault="00417245" w:rsidP="00382B0F">
            <w:pPr>
              <w:spacing w:line="240" w:lineRule="auto"/>
              <w:jc w:val="right"/>
              <w:rPr>
                <w:rFonts w:ascii="Calibri" w:hAnsi="Calibri"/>
                <w:sz w:val="18"/>
                <w:szCs w:val="18"/>
                <w:lang w:eastAsia="sl-SI"/>
              </w:rPr>
            </w:pPr>
            <w:r w:rsidRPr="00972554">
              <w:rPr>
                <w:rFonts w:ascii="Calibri" w:hAnsi="Calibri"/>
                <w:sz w:val="18"/>
                <w:szCs w:val="18"/>
              </w:rPr>
              <w:t>31,77</w:t>
            </w:r>
          </w:p>
        </w:tc>
      </w:tr>
      <w:tr w:rsidR="00417245" w:rsidRPr="00972554" w:rsidTr="00972554">
        <w:trPr>
          <w:trHeight w:val="300"/>
        </w:trPr>
        <w:tc>
          <w:tcPr>
            <w:tcW w:w="6024" w:type="dxa"/>
            <w:shd w:val="clear" w:color="auto" w:fill="auto"/>
            <w:noWrap/>
            <w:vAlign w:val="center"/>
            <w:hideMark/>
          </w:tcPr>
          <w:p w:rsidR="00417245" w:rsidRPr="00412299" w:rsidRDefault="00417245"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NOTRANJE ZADEVE POLICIJA</w:t>
            </w:r>
          </w:p>
        </w:tc>
        <w:tc>
          <w:tcPr>
            <w:tcW w:w="1984" w:type="dxa"/>
            <w:shd w:val="clear" w:color="auto" w:fill="auto"/>
            <w:noWrap/>
            <w:vAlign w:val="bottom"/>
            <w:hideMark/>
          </w:tcPr>
          <w:p w:rsidR="00417245" w:rsidRPr="00412299" w:rsidRDefault="00417245" w:rsidP="00F83FBB">
            <w:pPr>
              <w:spacing w:line="240" w:lineRule="auto"/>
              <w:jc w:val="right"/>
              <w:rPr>
                <w:rFonts w:ascii="Calibri" w:hAnsi="Calibri"/>
                <w:sz w:val="18"/>
                <w:szCs w:val="18"/>
                <w:lang w:eastAsia="sl-SI"/>
              </w:rPr>
            </w:pPr>
            <w:r w:rsidRPr="00972554">
              <w:rPr>
                <w:rFonts w:ascii="Calibri" w:hAnsi="Calibri"/>
                <w:sz w:val="18"/>
                <w:szCs w:val="18"/>
              </w:rPr>
              <w:t xml:space="preserve">269.356.786 </w:t>
            </w:r>
          </w:p>
        </w:tc>
        <w:tc>
          <w:tcPr>
            <w:tcW w:w="1701" w:type="dxa"/>
            <w:shd w:val="clear" w:color="auto" w:fill="FFFFFF"/>
            <w:noWrap/>
            <w:vAlign w:val="bottom"/>
            <w:hideMark/>
          </w:tcPr>
          <w:p w:rsidR="00417245" w:rsidRPr="00412299" w:rsidRDefault="00417245" w:rsidP="00382B0F">
            <w:pPr>
              <w:spacing w:line="240" w:lineRule="auto"/>
              <w:jc w:val="right"/>
              <w:rPr>
                <w:rFonts w:ascii="Calibri" w:hAnsi="Calibri"/>
                <w:sz w:val="18"/>
                <w:szCs w:val="18"/>
                <w:lang w:eastAsia="sl-SI"/>
              </w:rPr>
            </w:pPr>
            <w:r w:rsidRPr="00972554">
              <w:rPr>
                <w:rFonts w:ascii="Calibri" w:hAnsi="Calibri"/>
                <w:sz w:val="18"/>
                <w:szCs w:val="18"/>
              </w:rPr>
              <w:t>9,34</w:t>
            </w:r>
          </w:p>
        </w:tc>
      </w:tr>
      <w:tr w:rsidR="00417245" w:rsidRPr="00972554" w:rsidTr="00972554">
        <w:trPr>
          <w:trHeight w:val="300"/>
        </w:trPr>
        <w:tc>
          <w:tcPr>
            <w:tcW w:w="6024" w:type="dxa"/>
            <w:shd w:val="clear" w:color="auto" w:fill="auto"/>
            <w:noWrap/>
            <w:vAlign w:val="center"/>
            <w:hideMark/>
          </w:tcPr>
          <w:p w:rsidR="00417245" w:rsidRPr="00972554" w:rsidRDefault="00417245" w:rsidP="00F83FBB">
            <w:pPr>
              <w:spacing w:line="240" w:lineRule="auto"/>
              <w:jc w:val="left"/>
              <w:rPr>
                <w:rFonts w:ascii="Calibri" w:hAnsi="Calibri"/>
                <w:b/>
                <w:bCs/>
                <w:sz w:val="18"/>
                <w:szCs w:val="18"/>
                <w:lang w:eastAsia="sl-SI"/>
              </w:rPr>
            </w:pPr>
            <w:r w:rsidRPr="00972554">
              <w:rPr>
                <w:rFonts w:ascii="Calibri" w:hAnsi="Calibri"/>
                <w:b/>
                <w:sz w:val="18"/>
                <w:szCs w:val="18"/>
              </w:rPr>
              <w:t xml:space="preserve">308-Popravek vrednosti opreme in drugih opredmetenih osnovnih sredstev </w:t>
            </w:r>
          </w:p>
        </w:tc>
        <w:tc>
          <w:tcPr>
            <w:tcW w:w="1984" w:type="dxa"/>
            <w:shd w:val="clear" w:color="auto" w:fill="auto"/>
            <w:noWrap/>
            <w:vAlign w:val="bottom"/>
            <w:hideMark/>
          </w:tcPr>
          <w:p w:rsidR="00417245" w:rsidRPr="00412299" w:rsidRDefault="00417245" w:rsidP="00382B0F">
            <w:pPr>
              <w:spacing w:line="240" w:lineRule="auto"/>
              <w:jc w:val="right"/>
              <w:rPr>
                <w:rFonts w:ascii="Calibri" w:hAnsi="Calibri"/>
                <w:b/>
                <w:bCs/>
                <w:sz w:val="18"/>
                <w:szCs w:val="18"/>
                <w:lang w:eastAsia="sl-SI"/>
              </w:rPr>
            </w:pPr>
            <w:r w:rsidRPr="00972554">
              <w:rPr>
                <w:rFonts w:ascii="Calibri" w:hAnsi="Calibri"/>
                <w:b/>
                <w:sz w:val="18"/>
                <w:szCs w:val="18"/>
              </w:rPr>
              <w:t xml:space="preserve">1.743.283.273 </w:t>
            </w:r>
          </w:p>
        </w:tc>
        <w:tc>
          <w:tcPr>
            <w:tcW w:w="1701" w:type="dxa"/>
            <w:shd w:val="clear" w:color="auto" w:fill="FFFFFF"/>
            <w:noWrap/>
            <w:vAlign w:val="bottom"/>
          </w:tcPr>
          <w:p w:rsidR="00417245" w:rsidRPr="00116FC1" w:rsidRDefault="00417245" w:rsidP="00412299">
            <w:pPr>
              <w:spacing w:line="240" w:lineRule="auto"/>
              <w:jc w:val="right"/>
              <w:rPr>
                <w:rFonts w:ascii="Calibri" w:hAnsi="Calibri"/>
                <w:b/>
                <w:bCs/>
                <w:sz w:val="18"/>
                <w:szCs w:val="18"/>
                <w:lang w:eastAsia="sl-SI"/>
              </w:rPr>
            </w:pPr>
          </w:p>
        </w:tc>
      </w:tr>
      <w:tr w:rsidR="00417245" w:rsidRPr="00972554" w:rsidTr="00972554">
        <w:trPr>
          <w:trHeight w:val="300"/>
        </w:trPr>
        <w:tc>
          <w:tcPr>
            <w:tcW w:w="6024" w:type="dxa"/>
            <w:shd w:val="clear" w:color="auto" w:fill="auto"/>
            <w:noWrap/>
            <w:vAlign w:val="center"/>
            <w:hideMark/>
          </w:tcPr>
          <w:p w:rsidR="00417245" w:rsidRPr="00412299" w:rsidRDefault="00417245"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MINISTRSTVO ZA OBRAMBO </w:t>
            </w:r>
            <w:r w:rsidR="000A7612" w:rsidRPr="002B775E">
              <w:rPr>
                <w:rFonts w:ascii="Calibri" w:hAnsi="Calibri"/>
                <w:sz w:val="18"/>
                <w:szCs w:val="18"/>
              </w:rPr>
              <w:t>RS</w:t>
            </w:r>
            <w:r w:rsidRPr="00972554">
              <w:rPr>
                <w:rFonts w:ascii="Calibri" w:hAnsi="Calibri"/>
                <w:sz w:val="18"/>
                <w:szCs w:val="18"/>
              </w:rPr>
              <w:t>, GENERALŠTAB SLOVENSKE VOJSKE</w:t>
            </w:r>
          </w:p>
        </w:tc>
        <w:tc>
          <w:tcPr>
            <w:tcW w:w="1984" w:type="dxa"/>
            <w:shd w:val="clear" w:color="auto" w:fill="auto"/>
            <w:noWrap/>
            <w:vAlign w:val="bottom"/>
            <w:hideMark/>
          </w:tcPr>
          <w:p w:rsidR="00417245" w:rsidRPr="00412299" w:rsidRDefault="00417245" w:rsidP="00F83FBB">
            <w:pPr>
              <w:spacing w:line="240" w:lineRule="auto"/>
              <w:jc w:val="right"/>
              <w:rPr>
                <w:rFonts w:ascii="Calibri" w:hAnsi="Calibri"/>
                <w:sz w:val="18"/>
                <w:szCs w:val="18"/>
                <w:lang w:eastAsia="sl-SI"/>
              </w:rPr>
            </w:pPr>
            <w:r w:rsidRPr="00972554">
              <w:rPr>
                <w:rFonts w:ascii="Calibri" w:hAnsi="Calibri"/>
                <w:sz w:val="18"/>
                <w:szCs w:val="18"/>
              </w:rPr>
              <w:t xml:space="preserve">604.627.007 </w:t>
            </w:r>
          </w:p>
        </w:tc>
        <w:tc>
          <w:tcPr>
            <w:tcW w:w="1701" w:type="dxa"/>
            <w:shd w:val="clear" w:color="auto" w:fill="FFFFFF"/>
            <w:noWrap/>
            <w:vAlign w:val="bottom"/>
            <w:hideMark/>
          </w:tcPr>
          <w:p w:rsidR="00417245" w:rsidRPr="00412299" w:rsidRDefault="00417245" w:rsidP="00382B0F">
            <w:pPr>
              <w:spacing w:line="240" w:lineRule="auto"/>
              <w:jc w:val="right"/>
              <w:rPr>
                <w:rFonts w:ascii="Calibri" w:hAnsi="Calibri"/>
                <w:sz w:val="18"/>
                <w:szCs w:val="18"/>
                <w:lang w:eastAsia="sl-SI"/>
              </w:rPr>
            </w:pPr>
            <w:r w:rsidRPr="00972554">
              <w:rPr>
                <w:rFonts w:ascii="Calibri" w:hAnsi="Calibri"/>
                <w:sz w:val="18"/>
                <w:szCs w:val="18"/>
              </w:rPr>
              <w:t>34,68</w:t>
            </w:r>
          </w:p>
        </w:tc>
      </w:tr>
      <w:tr w:rsidR="00417245" w:rsidRPr="00972554" w:rsidTr="00972554">
        <w:trPr>
          <w:trHeight w:val="300"/>
        </w:trPr>
        <w:tc>
          <w:tcPr>
            <w:tcW w:w="6024" w:type="dxa"/>
            <w:shd w:val="clear" w:color="auto" w:fill="auto"/>
            <w:noWrap/>
            <w:vAlign w:val="center"/>
            <w:hideMark/>
          </w:tcPr>
          <w:p w:rsidR="00417245" w:rsidRPr="00412299" w:rsidRDefault="00417245"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MINISTRSTVO ZA INFRASTRUKTURO, DIREKCIJA </w:t>
            </w:r>
            <w:r w:rsidR="000A7612" w:rsidRPr="002B775E">
              <w:rPr>
                <w:rFonts w:ascii="Calibri" w:hAnsi="Calibri"/>
                <w:sz w:val="18"/>
                <w:szCs w:val="18"/>
              </w:rPr>
              <w:t>RS</w:t>
            </w:r>
            <w:r w:rsidRPr="00972554">
              <w:rPr>
                <w:rFonts w:ascii="Calibri" w:hAnsi="Calibri"/>
                <w:sz w:val="18"/>
                <w:szCs w:val="18"/>
              </w:rPr>
              <w:t xml:space="preserve"> ZA INFRASTRUKTURO</w:t>
            </w:r>
          </w:p>
        </w:tc>
        <w:tc>
          <w:tcPr>
            <w:tcW w:w="1984" w:type="dxa"/>
            <w:shd w:val="clear" w:color="auto" w:fill="auto"/>
            <w:noWrap/>
            <w:vAlign w:val="bottom"/>
            <w:hideMark/>
          </w:tcPr>
          <w:p w:rsidR="00417245" w:rsidRPr="00412299" w:rsidRDefault="00417245" w:rsidP="00F83FBB">
            <w:pPr>
              <w:spacing w:line="240" w:lineRule="auto"/>
              <w:jc w:val="right"/>
              <w:rPr>
                <w:rFonts w:ascii="Calibri" w:hAnsi="Calibri"/>
                <w:sz w:val="18"/>
                <w:szCs w:val="18"/>
                <w:lang w:eastAsia="sl-SI"/>
              </w:rPr>
            </w:pPr>
            <w:r w:rsidRPr="00972554">
              <w:rPr>
                <w:rFonts w:ascii="Calibri" w:hAnsi="Calibri"/>
                <w:sz w:val="18"/>
                <w:szCs w:val="18"/>
              </w:rPr>
              <w:t xml:space="preserve">464.209.295 </w:t>
            </w:r>
          </w:p>
        </w:tc>
        <w:tc>
          <w:tcPr>
            <w:tcW w:w="1701" w:type="dxa"/>
            <w:shd w:val="clear" w:color="auto" w:fill="FFFFFF"/>
            <w:noWrap/>
            <w:vAlign w:val="bottom"/>
            <w:hideMark/>
          </w:tcPr>
          <w:p w:rsidR="00417245" w:rsidRPr="00412299" w:rsidRDefault="00417245" w:rsidP="00382B0F">
            <w:pPr>
              <w:spacing w:line="240" w:lineRule="auto"/>
              <w:jc w:val="right"/>
              <w:rPr>
                <w:rFonts w:ascii="Calibri" w:hAnsi="Calibri"/>
                <w:sz w:val="18"/>
                <w:szCs w:val="18"/>
                <w:lang w:eastAsia="sl-SI"/>
              </w:rPr>
            </w:pPr>
            <w:r w:rsidRPr="00972554">
              <w:rPr>
                <w:rFonts w:ascii="Calibri" w:hAnsi="Calibri"/>
                <w:sz w:val="18"/>
                <w:szCs w:val="18"/>
              </w:rPr>
              <w:t>26,63</w:t>
            </w:r>
          </w:p>
        </w:tc>
      </w:tr>
      <w:tr w:rsidR="00417245" w:rsidRPr="00972554" w:rsidTr="00972554">
        <w:trPr>
          <w:trHeight w:val="300"/>
        </w:trPr>
        <w:tc>
          <w:tcPr>
            <w:tcW w:w="6024" w:type="dxa"/>
            <w:shd w:val="clear" w:color="auto" w:fill="auto"/>
            <w:noWrap/>
            <w:vAlign w:val="center"/>
            <w:hideMark/>
          </w:tcPr>
          <w:p w:rsidR="00417245" w:rsidRPr="00412299" w:rsidRDefault="00417245"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lastRenderedPageBreak/>
              <w:t>MINISTRSTVO ZA NOTRANJE ZADEVE POLICIJA</w:t>
            </w:r>
          </w:p>
        </w:tc>
        <w:tc>
          <w:tcPr>
            <w:tcW w:w="1984" w:type="dxa"/>
            <w:shd w:val="clear" w:color="auto" w:fill="auto"/>
            <w:noWrap/>
            <w:vAlign w:val="bottom"/>
            <w:hideMark/>
          </w:tcPr>
          <w:p w:rsidR="00417245" w:rsidRPr="00412299" w:rsidRDefault="00417245" w:rsidP="00F83FBB">
            <w:pPr>
              <w:spacing w:line="240" w:lineRule="auto"/>
              <w:jc w:val="right"/>
              <w:rPr>
                <w:rFonts w:ascii="Calibri" w:hAnsi="Calibri"/>
                <w:sz w:val="18"/>
                <w:szCs w:val="18"/>
                <w:lang w:eastAsia="sl-SI"/>
              </w:rPr>
            </w:pPr>
            <w:r w:rsidRPr="00972554">
              <w:rPr>
                <w:rFonts w:ascii="Calibri" w:hAnsi="Calibri"/>
                <w:sz w:val="18"/>
                <w:szCs w:val="18"/>
              </w:rPr>
              <w:t xml:space="preserve">212.570.959 </w:t>
            </w:r>
          </w:p>
        </w:tc>
        <w:tc>
          <w:tcPr>
            <w:tcW w:w="1701" w:type="dxa"/>
            <w:shd w:val="clear" w:color="auto" w:fill="FFFFFF"/>
            <w:noWrap/>
            <w:vAlign w:val="bottom"/>
            <w:hideMark/>
          </w:tcPr>
          <w:p w:rsidR="00417245" w:rsidRPr="00412299" w:rsidRDefault="00417245" w:rsidP="00382B0F">
            <w:pPr>
              <w:spacing w:line="240" w:lineRule="auto"/>
              <w:jc w:val="right"/>
              <w:rPr>
                <w:rFonts w:ascii="Calibri" w:hAnsi="Calibri"/>
                <w:sz w:val="18"/>
                <w:szCs w:val="18"/>
                <w:lang w:eastAsia="sl-SI"/>
              </w:rPr>
            </w:pPr>
            <w:r w:rsidRPr="00972554">
              <w:rPr>
                <w:rFonts w:ascii="Calibri" w:hAnsi="Calibri"/>
                <w:sz w:val="18"/>
                <w:szCs w:val="18"/>
              </w:rPr>
              <w:t>12,19</w:t>
            </w:r>
          </w:p>
        </w:tc>
      </w:tr>
      <w:tr w:rsidR="00417245" w:rsidRPr="00972554" w:rsidTr="00972554">
        <w:trPr>
          <w:trHeight w:val="300"/>
        </w:trPr>
        <w:tc>
          <w:tcPr>
            <w:tcW w:w="6024" w:type="dxa"/>
            <w:shd w:val="clear" w:color="auto" w:fill="auto"/>
            <w:noWrap/>
            <w:vAlign w:val="center"/>
            <w:hideMark/>
          </w:tcPr>
          <w:p w:rsidR="00417245" w:rsidRPr="00412299" w:rsidRDefault="00417245" w:rsidP="00F83FBB">
            <w:pPr>
              <w:spacing w:line="240" w:lineRule="auto"/>
              <w:jc w:val="left"/>
              <w:rPr>
                <w:rFonts w:ascii="Calibri" w:hAnsi="Calibri"/>
                <w:b/>
                <w:bCs/>
                <w:sz w:val="18"/>
                <w:szCs w:val="18"/>
                <w:lang w:eastAsia="sl-SI"/>
              </w:rPr>
            </w:pPr>
            <w:r w:rsidRPr="00972554">
              <w:rPr>
                <w:rFonts w:ascii="Calibri" w:hAnsi="Calibri"/>
                <w:b/>
                <w:sz w:val="18"/>
                <w:szCs w:val="18"/>
              </w:rPr>
              <w:t xml:space="preserve">309-Terjatve za sredstva dana v upravljanje </w:t>
            </w:r>
          </w:p>
        </w:tc>
        <w:tc>
          <w:tcPr>
            <w:tcW w:w="1984" w:type="dxa"/>
            <w:shd w:val="clear" w:color="auto" w:fill="auto"/>
            <w:noWrap/>
            <w:vAlign w:val="bottom"/>
            <w:hideMark/>
          </w:tcPr>
          <w:p w:rsidR="00417245" w:rsidRPr="00412299" w:rsidRDefault="00417245" w:rsidP="00382B0F">
            <w:pPr>
              <w:spacing w:line="240" w:lineRule="auto"/>
              <w:jc w:val="right"/>
              <w:rPr>
                <w:rFonts w:ascii="Calibri" w:hAnsi="Calibri"/>
                <w:b/>
                <w:bCs/>
                <w:sz w:val="18"/>
                <w:szCs w:val="18"/>
                <w:lang w:eastAsia="sl-SI"/>
              </w:rPr>
            </w:pPr>
            <w:r w:rsidRPr="00972554">
              <w:rPr>
                <w:rFonts w:ascii="Calibri" w:hAnsi="Calibri"/>
                <w:b/>
                <w:sz w:val="18"/>
                <w:szCs w:val="18"/>
              </w:rPr>
              <w:t xml:space="preserve">2.910.981.388 </w:t>
            </w:r>
          </w:p>
        </w:tc>
        <w:tc>
          <w:tcPr>
            <w:tcW w:w="1701" w:type="dxa"/>
            <w:shd w:val="clear" w:color="auto" w:fill="FFFFFF"/>
            <w:noWrap/>
            <w:vAlign w:val="bottom"/>
            <w:hideMark/>
          </w:tcPr>
          <w:p w:rsidR="00417245" w:rsidRPr="00116FC1" w:rsidRDefault="00417245" w:rsidP="00412299">
            <w:pPr>
              <w:spacing w:line="240" w:lineRule="auto"/>
              <w:jc w:val="right"/>
              <w:rPr>
                <w:rFonts w:ascii="Calibri" w:hAnsi="Calibri"/>
                <w:b/>
                <w:bCs/>
                <w:sz w:val="18"/>
                <w:szCs w:val="18"/>
                <w:lang w:eastAsia="sl-SI"/>
              </w:rPr>
            </w:pPr>
          </w:p>
        </w:tc>
      </w:tr>
      <w:tr w:rsidR="00417245" w:rsidRPr="00972554" w:rsidTr="00972554">
        <w:trPr>
          <w:trHeight w:val="300"/>
        </w:trPr>
        <w:tc>
          <w:tcPr>
            <w:tcW w:w="6024" w:type="dxa"/>
            <w:shd w:val="clear" w:color="auto" w:fill="auto"/>
            <w:noWrap/>
            <w:vAlign w:val="center"/>
            <w:hideMark/>
          </w:tcPr>
          <w:p w:rsidR="00417245" w:rsidRPr="00412299" w:rsidRDefault="00417245"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ZDRAVJE</w:t>
            </w:r>
          </w:p>
        </w:tc>
        <w:tc>
          <w:tcPr>
            <w:tcW w:w="1984" w:type="dxa"/>
            <w:shd w:val="clear" w:color="auto" w:fill="auto"/>
            <w:noWrap/>
            <w:vAlign w:val="bottom"/>
            <w:hideMark/>
          </w:tcPr>
          <w:p w:rsidR="00417245" w:rsidRPr="00412299" w:rsidRDefault="00417245" w:rsidP="00F83FBB">
            <w:pPr>
              <w:spacing w:line="240" w:lineRule="auto"/>
              <w:jc w:val="right"/>
              <w:rPr>
                <w:rFonts w:ascii="Calibri" w:hAnsi="Calibri"/>
                <w:sz w:val="18"/>
                <w:szCs w:val="18"/>
                <w:lang w:eastAsia="sl-SI"/>
              </w:rPr>
            </w:pPr>
            <w:r w:rsidRPr="00972554">
              <w:rPr>
                <w:rFonts w:ascii="Calibri" w:hAnsi="Calibri"/>
                <w:sz w:val="18"/>
                <w:szCs w:val="18"/>
              </w:rPr>
              <w:t xml:space="preserve">780.945.096 </w:t>
            </w:r>
          </w:p>
        </w:tc>
        <w:tc>
          <w:tcPr>
            <w:tcW w:w="1701" w:type="dxa"/>
            <w:shd w:val="clear" w:color="auto" w:fill="FFFFFF"/>
            <w:noWrap/>
            <w:vAlign w:val="bottom"/>
            <w:hideMark/>
          </w:tcPr>
          <w:p w:rsidR="00417245" w:rsidRPr="00412299" w:rsidRDefault="00417245" w:rsidP="00382B0F">
            <w:pPr>
              <w:spacing w:line="240" w:lineRule="auto"/>
              <w:jc w:val="right"/>
              <w:rPr>
                <w:rFonts w:ascii="Calibri" w:hAnsi="Calibri"/>
                <w:sz w:val="18"/>
                <w:szCs w:val="18"/>
                <w:lang w:eastAsia="sl-SI"/>
              </w:rPr>
            </w:pPr>
            <w:r w:rsidRPr="00972554">
              <w:rPr>
                <w:rFonts w:ascii="Calibri" w:hAnsi="Calibri"/>
                <w:sz w:val="18"/>
                <w:szCs w:val="18"/>
              </w:rPr>
              <w:t>26,83</w:t>
            </w:r>
          </w:p>
        </w:tc>
      </w:tr>
      <w:tr w:rsidR="00417245" w:rsidRPr="00972554" w:rsidTr="00972554">
        <w:trPr>
          <w:trHeight w:val="300"/>
        </w:trPr>
        <w:tc>
          <w:tcPr>
            <w:tcW w:w="6024" w:type="dxa"/>
            <w:shd w:val="clear" w:color="auto" w:fill="auto"/>
            <w:noWrap/>
            <w:vAlign w:val="center"/>
            <w:hideMark/>
          </w:tcPr>
          <w:p w:rsidR="00417245" w:rsidRPr="00972554" w:rsidRDefault="00417245"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IZOBRAŽEVANJE, ZNANOST IN ŠPORT</w:t>
            </w:r>
          </w:p>
        </w:tc>
        <w:tc>
          <w:tcPr>
            <w:tcW w:w="1984" w:type="dxa"/>
            <w:shd w:val="clear" w:color="auto" w:fill="auto"/>
            <w:noWrap/>
            <w:vAlign w:val="bottom"/>
            <w:hideMark/>
          </w:tcPr>
          <w:p w:rsidR="00417245" w:rsidRPr="00412299" w:rsidRDefault="00417245" w:rsidP="00F83FBB">
            <w:pPr>
              <w:spacing w:line="240" w:lineRule="auto"/>
              <w:jc w:val="right"/>
              <w:rPr>
                <w:rFonts w:ascii="Calibri" w:hAnsi="Calibri"/>
                <w:sz w:val="18"/>
                <w:szCs w:val="18"/>
                <w:lang w:eastAsia="sl-SI"/>
              </w:rPr>
            </w:pPr>
            <w:r w:rsidRPr="00972554">
              <w:rPr>
                <w:rFonts w:ascii="Calibri" w:hAnsi="Calibri"/>
                <w:sz w:val="18"/>
                <w:szCs w:val="18"/>
              </w:rPr>
              <w:t xml:space="preserve">744.866.498 </w:t>
            </w:r>
          </w:p>
        </w:tc>
        <w:tc>
          <w:tcPr>
            <w:tcW w:w="1701" w:type="dxa"/>
            <w:shd w:val="clear" w:color="auto" w:fill="FFFFFF"/>
            <w:noWrap/>
            <w:vAlign w:val="bottom"/>
            <w:hideMark/>
          </w:tcPr>
          <w:p w:rsidR="00417245" w:rsidRPr="00412299" w:rsidRDefault="00417245" w:rsidP="00382B0F">
            <w:pPr>
              <w:spacing w:line="240" w:lineRule="auto"/>
              <w:jc w:val="right"/>
              <w:rPr>
                <w:rFonts w:ascii="Calibri" w:hAnsi="Calibri"/>
                <w:sz w:val="18"/>
                <w:szCs w:val="18"/>
                <w:lang w:eastAsia="sl-SI"/>
              </w:rPr>
            </w:pPr>
            <w:r w:rsidRPr="00972554">
              <w:rPr>
                <w:rFonts w:ascii="Calibri" w:hAnsi="Calibri"/>
                <w:sz w:val="18"/>
                <w:szCs w:val="18"/>
              </w:rPr>
              <w:t>25,59</w:t>
            </w:r>
          </w:p>
        </w:tc>
      </w:tr>
      <w:tr w:rsidR="00417245" w:rsidRPr="00972554" w:rsidTr="00972554">
        <w:trPr>
          <w:trHeight w:val="300"/>
        </w:trPr>
        <w:tc>
          <w:tcPr>
            <w:tcW w:w="6024" w:type="dxa"/>
            <w:shd w:val="clear" w:color="auto" w:fill="auto"/>
            <w:noWrap/>
            <w:vAlign w:val="center"/>
            <w:hideMark/>
          </w:tcPr>
          <w:p w:rsidR="00417245" w:rsidRPr="00412299" w:rsidRDefault="00417245"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KMETIJSTVO, GOZDARSTVO IN PREHRANO</w:t>
            </w:r>
          </w:p>
        </w:tc>
        <w:tc>
          <w:tcPr>
            <w:tcW w:w="1984" w:type="dxa"/>
            <w:shd w:val="clear" w:color="auto" w:fill="auto"/>
            <w:noWrap/>
            <w:vAlign w:val="bottom"/>
            <w:hideMark/>
          </w:tcPr>
          <w:p w:rsidR="00417245" w:rsidRPr="00412299" w:rsidRDefault="00417245" w:rsidP="00F83FBB">
            <w:pPr>
              <w:spacing w:line="240" w:lineRule="auto"/>
              <w:jc w:val="right"/>
              <w:rPr>
                <w:rFonts w:ascii="Calibri" w:hAnsi="Calibri"/>
                <w:sz w:val="18"/>
                <w:szCs w:val="18"/>
                <w:lang w:eastAsia="sl-SI"/>
              </w:rPr>
            </w:pPr>
            <w:r w:rsidRPr="00972554">
              <w:rPr>
                <w:rFonts w:ascii="Calibri" w:hAnsi="Calibri"/>
                <w:sz w:val="18"/>
                <w:szCs w:val="18"/>
              </w:rPr>
              <w:t xml:space="preserve">489.884.513 </w:t>
            </w:r>
          </w:p>
        </w:tc>
        <w:tc>
          <w:tcPr>
            <w:tcW w:w="1701" w:type="dxa"/>
            <w:shd w:val="clear" w:color="auto" w:fill="FFFFFF"/>
            <w:noWrap/>
            <w:vAlign w:val="bottom"/>
            <w:hideMark/>
          </w:tcPr>
          <w:p w:rsidR="00417245" w:rsidRPr="00412299" w:rsidRDefault="00417245" w:rsidP="00382B0F">
            <w:pPr>
              <w:spacing w:line="240" w:lineRule="auto"/>
              <w:jc w:val="right"/>
              <w:rPr>
                <w:rFonts w:ascii="Calibri" w:hAnsi="Calibri"/>
                <w:sz w:val="18"/>
                <w:szCs w:val="18"/>
                <w:lang w:eastAsia="sl-SI"/>
              </w:rPr>
            </w:pPr>
            <w:r w:rsidRPr="00972554">
              <w:rPr>
                <w:rFonts w:ascii="Calibri" w:hAnsi="Calibri"/>
                <w:sz w:val="18"/>
                <w:szCs w:val="18"/>
              </w:rPr>
              <w:t>16,83</w:t>
            </w:r>
          </w:p>
        </w:tc>
      </w:tr>
      <w:tr w:rsidR="00417245" w:rsidRPr="00972554" w:rsidTr="00972554">
        <w:trPr>
          <w:trHeight w:val="300"/>
        </w:trPr>
        <w:tc>
          <w:tcPr>
            <w:tcW w:w="6024" w:type="dxa"/>
            <w:shd w:val="clear" w:color="auto" w:fill="auto"/>
            <w:noWrap/>
            <w:vAlign w:val="center"/>
            <w:hideMark/>
          </w:tcPr>
          <w:p w:rsidR="00417245" w:rsidRPr="00412299" w:rsidRDefault="00417245" w:rsidP="00F83FBB">
            <w:pPr>
              <w:spacing w:line="240" w:lineRule="auto"/>
              <w:jc w:val="left"/>
              <w:rPr>
                <w:rFonts w:ascii="Calibri" w:hAnsi="Calibri"/>
                <w:b/>
                <w:bCs/>
                <w:sz w:val="18"/>
                <w:szCs w:val="18"/>
                <w:lang w:eastAsia="sl-SI"/>
              </w:rPr>
            </w:pPr>
            <w:r w:rsidRPr="00972554">
              <w:rPr>
                <w:rFonts w:ascii="Calibri" w:hAnsi="Calibri"/>
                <w:b/>
                <w:sz w:val="18"/>
                <w:szCs w:val="18"/>
              </w:rPr>
              <w:t xml:space="preserve">310-Terjatve za sredstva dana v upravljanje posrednim in neposrednim uporabnikom državnega proračuna </w:t>
            </w:r>
          </w:p>
        </w:tc>
        <w:tc>
          <w:tcPr>
            <w:tcW w:w="1984" w:type="dxa"/>
            <w:shd w:val="clear" w:color="auto" w:fill="auto"/>
            <w:noWrap/>
            <w:vAlign w:val="bottom"/>
            <w:hideMark/>
          </w:tcPr>
          <w:p w:rsidR="00417245" w:rsidRPr="00412299" w:rsidRDefault="00417245" w:rsidP="00382B0F">
            <w:pPr>
              <w:spacing w:line="240" w:lineRule="auto"/>
              <w:jc w:val="right"/>
              <w:rPr>
                <w:rFonts w:ascii="Calibri" w:hAnsi="Calibri"/>
                <w:b/>
                <w:bCs/>
                <w:sz w:val="18"/>
                <w:szCs w:val="18"/>
                <w:lang w:eastAsia="sl-SI"/>
              </w:rPr>
            </w:pPr>
            <w:r w:rsidRPr="00972554">
              <w:rPr>
                <w:rFonts w:ascii="Calibri" w:hAnsi="Calibri"/>
                <w:b/>
                <w:sz w:val="18"/>
                <w:szCs w:val="18"/>
              </w:rPr>
              <w:t xml:space="preserve">2.878.543.628 </w:t>
            </w:r>
          </w:p>
        </w:tc>
        <w:tc>
          <w:tcPr>
            <w:tcW w:w="1701" w:type="dxa"/>
            <w:shd w:val="clear" w:color="auto" w:fill="FFFFFF"/>
            <w:noWrap/>
            <w:vAlign w:val="bottom"/>
            <w:hideMark/>
          </w:tcPr>
          <w:p w:rsidR="00417245" w:rsidRPr="00116FC1" w:rsidRDefault="00417245" w:rsidP="00412299">
            <w:pPr>
              <w:spacing w:line="240" w:lineRule="auto"/>
              <w:jc w:val="right"/>
              <w:rPr>
                <w:rFonts w:ascii="Calibri" w:hAnsi="Calibri"/>
                <w:b/>
                <w:bCs/>
                <w:sz w:val="18"/>
                <w:szCs w:val="18"/>
                <w:lang w:eastAsia="sl-SI"/>
              </w:rPr>
            </w:pPr>
          </w:p>
        </w:tc>
      </w:tr>
      <w:tr w:rsidR="00417245" w:rsidRPr="00972554" w:rsidTr="00972554">
        <w:trPr>
          <w:trHeight w:val="300"/>
        </w:trPr>
        <w:tc>
          <w:tcPr>
            <w:tcW w:w="6024" w:type="dxa"/>
            <w:shd w:val="clear" w:color="auto" w:fill="auto"/>
            <w:noWrap/>
            <w:vAlign w:val="center"/>
            <w:hideMark/>
          </w:tcPr>
          <w:p w:rsidR="00417245" w:rsidRPr="00412299" w:rsidRDefault="00417245"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ZDRAVJE</w:t>
            </w:r>
          </w:p>
        </w:tc>
        <w:tc>
          <w:tcPr>
            <w:tcW w:w="1984" w:type="dxa"/>
            <w:shd w:val="clear" w:color="auto" w:fill="auto"/>
            <w:noWrap/>
            <w:vAlign w:val="bottom"/>
            <w:hideMark/>
          </w:tcPr>
          <w:p w:rsidR="00417245" w:rsidRPr="00116FC1" w:rsidRDefault="00417245" w:rsidP="00F83FBB">
            <w:pPr>
              <w:spacing w:line="240" w:lineRule="auto"/>
              <w:jc w:val="right"/>
              <w:rPr>
                <w:rFonts w:ascii="Calibri" w:hAnsi="Calibri"/>
                <w:sz w:val="18"/>
                <w:szCs w:val="18"/>
                <w:lang w:eastAsia="sl-SI"/>
              </w:rPr>
            </w:pPr>
            <w:r w:rsidRPr="00972554">
              <w:rPr>
                <w:rFonts w:ascii="Calibri" w:hAnsi="Calibri"/>
                <w:sz w:val="18"/>
                <w:szCs w:val="18"/>
              </w:rPr>
              <w:t xml:space="preserve">780.656.348 </w:t>
            </w:r>
          </w:p>
        </w:tc>
        <w:tc>
          <w:tcPr>
            <w:tcW w:w="1701" w:type="dxa"/>
            <w:shd w:val="clear" w:color="auto" w:fill="FFFFFF"/>
            <w:noWrap/>
            <w:vAlign w:val="bottom"/>
            <w:hideMark/>
          </w:tcPr>
          <w:p w:rsidR="00417245" w:rsidRPr="00412299" w:rsidRDefault="00417245" w:rsidP="00382B0F">
            <w:pPr>
              <w:spacing w:line="240" w:lineRule="auto"/>
              <w:jc w:val="right"/>
              <w:rPr>
                <w:rFonts w:ascii="Calibri" w:hAnsi="Calibri"/>
                <w:sz w:val="18"/>
                <w:szCs w:val="18"/>
                <w:lang w:eastAsia="sl-SI"/>
              </w:rPr>
            </w:pPr>
            <w:r w:rsidRPr="00972554">
              <w:rPr>
                <w:rFonts w:ascii="Calibri" w:hAnsi="Calibri"/>
                <w:sz w:val="18"/>
                <w:szCs w:val="18"/>
              </w:rPr>
              <w:t>27,12</w:t>
            </w:r>
          </w:p>
        </w:tc>
      </w:tr>
      <w:tr w:rsidR="00417245" w:rsidRPr="00972554" w:rsidTr="00972554">
        <w:trPr>
          <w:trHeight w:val="300"/>
        </w:trPr>
        <w:tc>
          <w:tcPr>
            <w:tcW w:w="6024" w:type="dxa"/>
            <w:shd w:val="clear" w:color="auto" w:fill="auto"/>
            <w:noWrap/>
            <w:vAlign w:val="center"/>
            <w:hideMark/>
          </w:tcPr>
          <w:p w:rsidR="00417245" w:rsidRPr="00412299" w:rsidRDefault="00417245"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IZOBRAŽEVANJE, ZNANOST IN ŠPORT</w:t>
            </w:r>
          </w:p>
        </w:tc>
        <w:tc>
          <w:tcPr>
            <w:tcW w:w="1984" w:type="dxa"/>
            <w:shd w:val="clear" w:color="auto" w:fill="auto"/>
            <w:noWrap/>
            <w:vAlign w:val="bottom"/>
            <w:hideMark/>
          </w:tcPr>
          <w:p w:rsidR="00417245" w:rsidRPr="00412299" w:rsidRDefault="00417245" w:rsidP="00F83FBB">
            <w:pPr>
              <w:spacing w:line="240" w:lineRule="auto"/>
              <w:jc w:val="right"/>
              <w:rPr>
                <w:rFonts w:ascii="Calibri" w:hAnsi="Calibri"/>
                <w:sz w:val="18"/>
                <w:szCs w:val="18"/>
                <w:lang w:eastAsia="sl-SI"/>
              </w:rPr>
            </w:pPr>
            <w:r w:rsidRPr="00972554">
              <w:rPr>
                <w:rFonts w:ascii="Calibri" w:hAnsi="Calibri"/>
                <w:sz w:val="18"/>
                <w:szCs w:val="18"/>
              </w:rPr>
              <w:t xml:space="preserve">743.927.503 </w:t>
            </w:r>
          </w:p>
        </w:tc>
        <w:tc>
          <w:tcPr>
            <w:tcW w:w="1701" w:type="dxa"/>
            <w:shd w:val="clear" w:color="auto" w:fill="FFFFFF"/>
            <w:noWrap/>
            <w:vAlign w:val="bottom"/>
            <w:hideMark/>
          </w:tcPr>
          <w:p w:rsidR="00417245" w:rsidRPr="00412299" w:rsidRDefault="00417245" w:rsidP="00382B0F">
            <w:pPr>
              <w:spacing w:line="240" w:lineRule="auto"/>
              <w:jc w:val="right"/>
              <w:rPr>
                <w:rFonts w:ascii="Calibri" w:hAnsi="Calibri"/>
                <w:sz w:val="18"/>
                <w:szCs w:val="18"/>
                <w:lang w:eastAsia="sl-SI"/>
              </w:rPr>
            </w:pPr>
            <w:r w:rsidRPr="00972554">
              <w:rPr>
                <w:rFonts w:ascii="Calibri" w:hAnsi="Calibri"/>
                <w:sz w:val="18"/>
                <w:szCs w:val="18"/>
              </w:rPr>
              <w:t>25,84</w:t>
            </w:r>
          </w:p>
        </w:tc>
      </w:tr>
      <w:tr w:rsidR="00417245" w:rsidRPr="00972554" w:rsidTr="00972554">
        <w:trPr>
          <w:trHeight w:val="300"/>
        </w:trPr>
        <w:tc>
          <w:tcPr>
            <w:tcW w:w="6024" w:type="dxa"/>
            <w:shd w:val="clear" w:color="auto" w:fill="auto"/>
            <w:noWrap/>
            <w:vAlign w:val="center"/>
            <w:hideMark/>
          </w:tcPr>
          <w:p w:rsidR="00417245" w:rsidRPr="00412299" w:rsidRDefault="00417245"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KMETIJSTVO, GOZDARSTVO IN PREHRANO</w:t>
            </w:r>
          </w:p>
        </w:tc>
        <w:tc>
          <w:tcPr>
            <w:tcW w:w="1984" w:type="dxa"/>
            <w:shd w:val="clear" w:color="auto" w:fill="auto"/>
            <w:noWrap/>
            <w:vAlign w:val="bottom"/>
            <w:hideMark/>
          </w:tcPr>
          <w:p w:rsidR="00417245" w:rsidRPr="00412299" w:rsidRDefault="00417245" w:rsidP="00F83FBB">
            <w:pPr>
              <w:spacing w:line="240" w:lineRule="auto"/>
              <w:jc w:val="right"/>
              <w:rPr>
                <w:rFonts w:ascii="Calibri" w:hAnsi="Calibri"/>
                <w:sz w:val="18"/>
                <w:szCs w:val="18"/>
                <w:lang w:eastAsia="sl-SI"/>
              </w:rPr>
            </w:pPr>
            <w:r w:rsidRPr="00972554">
              <w:rPr>
                <w:rFonts w:ascii="Calibri" w:hAnsi="Calibri"/>
                <w:sz w:val="18"/>
                <w:szCs w:val="18"/>
              </w:rPr>
              <w:t xml:space="preserve">489.884.513 </w:t>
            </w:r>
          </w:p>
        </w:tc>
        <w:tc>
          <w:tcPr>
            <w:tcW w:w="1701" w:type="dxa"/>
            <w:shd w:val="clear" w:color="auto" w:fill="FFFFFF"/>
            <w:noWrap/>
            <w:vAlign w:val="bottom"/>
            <w:hideMark/>
          </w:tcPr>
          <w:p w:rsidR="00417245" w:rsidRPr="00116FC1" w:rsidRDefault="00417245" w:rsidP="00382B0F">
            <w:pPr>
              <w:spacing w:line="240" w:lineRule="auto"/>
              <w:jc w:val="right"/>
              <w:rPr>
                <w:rFonts w:ascii="Calibri" w:hAnsi="Calibri"/>
                <w:sz w:val="18"/>
                <w:szCs w:val="18"/>
                <w:lang w:eastAsia="sl-SI"/>
              </w:rPr>
            </w:pPr>
            <w:r w:rsidRPr="00972554">
              <w:rPr>
                <w:rFonts w:ascii="Calibri" w:hAnsi="Calibri"/>
                <w:sz w:val="18"/>
                <w:szCs w:val="18"/>
              </w:rPr>
              <w:t>17,02</w:t>
            </w:r>
          </w:p>
        </w:tc>
      </w:tr>
      <w:tr w:rsidR="00417245" w:rsidRPr="00972554" w:rsidTr="00972554">
        <w:trPr>
          <w:trHeight w:val="300"/>
        </w:trPr>
        <w:tc>
          <w:tcPr>
            <w:tcW w:w="6024" w:type="dxa"/>
            <w:shd w:val="clear" w:color="auto" w:fill="auto"/>
            <w:noWrap/>
            <w:vAlign w:val="center"/>
            <w:hideMark/>
          </w:tcPr>
          <w:p w:rsidR="00417245" w:rsidRPr="00412299" w:rsidRDefault="00417245" w:rsidP="00F83FBB">
            <w:pPr>
              <w:spacing w:line="240" w:lineRule="auto"/>
              <w:jc w:val="left"/>
              <w:rPr>
                <w:rFonts w:ascii="Calibri" w:hAnsi="Calibri"/>
                <w:b/>
                <w:bCs/>
                <w:sz w:val="18"/>
                <w:szCs w:val="18"/>
                <w:lang w:eastAsia="sl-SI"/>
              </w:rPr>
            </w:pPr>
            <w:r w:rsidRPr="00972554">
              <w:rPr>
                <w:rFonts w:ascii="Calibri" w:hAnsi="Calibri"/>
                <w:b/>
                <w:sz w:val="18"/>
                <w:szCs w:val="18"/>
              </w:rPr>
              <w:t xml:space="preserve">311-Terjatve za sredstva dana v upravljanje posrednim in neposrednim uporabnikom občinskega proračuna </w:t>
            </w:r>
          </w:p>
        </w:tc>
        <w:tc>
          <w:tcPr>
            <w:tcW w:w="1984" w:type="dxa"/>
            <w:shd w:val="clear" w:color="auto" w:fill="auto"/>
            <w:noWrap/>
            <w:vAlign w:val="bottom"/>
            <w:hideMark/>
          </w:tcPr>
          <w:p w:rsidR="00417245" w:rsidRPr="00412299" w:rsidRDefault="00417245" w:rsidP="00382B0F">
            <w:pPr>
              <w:spacing w:line="240" w:lineRule="auto"/>
              <w:jc w:val="right"/>
              <w:rPr>
                <w:rFonts w:ascii="Calibri" w:hAnsi="Calibri"/>
                <w:b/>
                <w:bCs/>
                <w:sz w:val="18"/>
                <w:szCs w:val="18"/>
                <w:lang w:eastAsia="sl-SI"/>
              </w:rPr>
            </w:pPr>
            <w:r w:rsidRPr="00972554">
              <w:rPr>
                <w:rFonts w:ascii="Calibri" w:hAnsi="Calibri"/>
                <w:b/>
                <w:sz w:val="18"/>
                <w:szCs w:val="18"/>
              </w:rPr>
              <w:t xml:space="preserve">31.748.630 </w:t>
            </w:r>
          </w:p>
        </w:tc>
        <w:tc>
          <w:tcPr>
            <w:tcW w:w="1701" w:type="dxa"/>
            <w:shd w:val="clear" w:color="auto" w:fill="FFFFFF"/>
            <w:noWrap/>
            <w:vAlign w:val="bottom"/>
            <w:hideMark/>
          </w:tcPr>
          <w:p w:rsidR="00417245" w:rsidRPr="00116FC1" w:rsidRDefault="00417245" w:rsidP="00412299">
            <w:pPr>
              <w:spacing w:line="240" w:lineRule="auto"/>
              <w:jc w:val="right"/>
              <w:rPr>
                <w:rFonts w:ascii="Calibri" w:hAnsi="Calibri"/>
                <w:b/>
                <w:bCs/>
                <w:sz w:val="18"/>
                <w:szCs w:val="18"/>
                <w:lang w:eastAsia="sl-SI"/>
              </w:rPr>
            </w:pPr>
          </w:p>
        </w:tc>
      </w:tr>
      <w:tr w:rsidR="00417245" w:rsidRPr="00972554" w:rsidTr="00972554">
        <w:trPr>
          <w:trHeight w:val="300"/>
        </w:trPr>
        <w:tc>
          <w:tcPr>
            <w:tcW w:w="6024" w:type="dxa"/>
            <w:shd w:val="clear" w:color="auto" w:fill="auto"/>
            <w:noWrap/>
            <w:vAlign w:val="center"/>
            <w:hideMark/>
          </w:tcPr>
          <w:p w:rsidR="00417245" w:rsidRPr="00972554" w:rsidRDefault="00417245"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KULTURO</w:t>
            </w:r>
          </w:p>
        </w:tc>
        <w:tc>
          <w:tcPr>
            <w:tcW w:w="1984" w:type="dxa"/>
            <w:shd w:val="clear" w:color="auto" w:fill="auto"/>
            <w:noWrap/>
            <w:vAlign w:val="bottom"/>
            <w:hideMark/>
          </w:tcPr>
          <w:p w:rsidR="00417245" w:rsidRPr="00412299" w:rsidRDefault="00417245" w:rsidP="00F83FBB">
            <w:pPr>
              <w:spacing w:line="240" w:lineRule="auto"/>
              <w:jc w:val="right"/>
              <w:rPr>
                <w:rFonts w:ascii="Calibri" w:hAnsi="Calibri"/>
                <w:sz w:val="18"/>
                <w:szCs w:val="18"/>
                <w:lang w:eastAsia="sl-SI"/>
              </w:rPr>
            </w:pPr>
            <w:r w:rsidRPr="00972554">
              <w:rPr>
                <w:rFonts w:ascii="Calibri" w:hAnsi="Calibri"/>
                <w:sz w:val="18"/>
                <w:szCs w:val="18"/>
              </w:rPr>
              <w:t xml:space="preserve">30.795.293 </w:t>
            </w:r>
          </w:p>
        </w:tc>
        <w:tc>
          <w:tcPr>
            <w:tcW w:w="1701" w:type="dxa"/>
            <w:shd w:val="clear" w:color="auto" w:fill="FFFFFF"/>
            <w:noWrap/>
            <w:vAlign w:val="bottom"/>
            <w:hideMark/>
          </w:tcPr>
          <w:p w:rsidR="00417245" w:rsidRPr="00412299" w:rsidRDefault="00417245" w:rsidP="00382B0F">
            <w:pPr>
              <w:spacing w:line="240" w:lineRule="auto"/>
              <w:jc w:val="right"/>
              <w:rPr>
                <w:rFonts w:ascii="Calibri" w:hAnsi="Calibri"/>
                <w:sz w:val="18"/>
                <w:szCs w:val="18"/>
                <w:lang w:eastAsia="sl-SI"/>
              </w:rPr>
            </w:pPr>
            <w:r w:rsidRPr="00972554">
              <w:rPr>
                <w:rFonts w:ascii="Calibri" w:hAnsi="Calibri"/>
                <w:sz w:val="18"/>
                <w:szCs w:val="18"/>
              </w:rPr>
              <w:t>97,00</w:t>
            </w:r>
          </w:p>
        </w:tc>
      </w:tr>
      <w:tr w:rsidR="00417245" w:rsidRPr="00972554" w:rsidTr="00972554">
        <w:trPr>
          <w:trHeight w:val="300"/>
        </w:trPr>
        <w:tc>
          <w:tcPr>
            <w:tcW w:w="6024" w:type="dxa"/>
            <w:shd w:val="clear" w:color="auto" w:fill="auto"/>
            <w:noWrap/>
            <w:vAlign w:val="center"/>
            <w:hideMark/>
          </w:tcPr>
          <w:p w:rsidR="00417245" w:rsidRPr="00412299" w:rsidRDefault="00417245"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IZOBRAŽEVANJE, ZNANOST IN ŠPORT</w:t>
            </w:r>
          </w:p>
        </w:tc>
        <w:tc>
          <w:tcPr>
            <w:tcW w:w="1984" w:type="dxa"/>
            <w:shd w:val="clear" w:color="auto" w:fill="auto"/>
            <w:noWrap/>
            <w:vAlign w:val="bottom"/>
            <w:hideMark/>
          </w:tcPr>
          <w:p w:rsidR="00417245" w:rsidRPr="00412299" w:rsidRDefault="00417245" w:rsidP="00F83FBB">
            <w:pPr>
              <w:spacing w:line="240" w:lineRule="auto"/>
              <w:jc w:val="right"/>
              <w:rPr>
                <w:rFonts w:ascii="Calibri" w:hAnsi="Calibri"/>
                <w:sz w:val="18"/>
                <w:szCs w:val="18"/>
                <w:lang w:eastAsia="sl-SI"/>
              </w:rPr>
            </w:pPr>
            <w:r w:rsidRPr="00972554">
              <w:rPr>
                <w:rFonts w:ascii="Calibri" w:hAnsi="Calibri"/>
                <w:sz w:val="18"/>
                <w:szCs w:val="18"/>
              </w:rPr>
              <w:t xml:space="preserve">409.865 </w:t>
            </w:r>
          </w:p>
        </w:tc>
        <w:tc>
          <w:tcPr>
            <w:tcW w:w="1701" w:type="dxa"/>
            <w:shd w:val="clear" w:color="auto" w:fill="FFFFFF"/>
            <w:noWrap/>
            <w:vAlign w:val="bottom"/>
            <w:hideMark/>
          </w:tcPr>
          <w:p w:rsidR="00417245" w:rsidRPr="00412299" w:rsidRDefault="00417245" w:rsidP="00382B0F">
            <w:pPr>
              <w:spacing w:line="240" w:lineRule="auto"/>
              <w:jc w:val="right"/>
              <w:rPr>
                <w:rFonts w:ascii="Calibri" w:hAnsi="Calibri"/>
                <w:sz w:val="18"/>
                <w:szCs w:val="18"/>
                <w:lang w:eastAsia="sl-SI"/>
              </w:rPr>
            </w:pPr>
            <w:r w:rsidRPr="00972554">
              <w:rPr>
                <w:rFonts w:ascii="Calibri" w:hAnsi="Calibri"/>
                <w:sz w:val="18"/>
                <w:szCs w:val="18"/>
              </w:rPr>
              <w:t>1,29</w:t>
            </w:r>
          </w:p>
        </w:tc>
      </w:tr>
      <w:tr w:rsidR="00417245" w:rsidRPr="00972554" w:rsidTr="00972554">
        <w:trPr>
          <w:trHeight w:val="300"/>
        </w:trPr>
        <w:tc>
          <w:tcPr>
            <w:tcW w:w="6024" w:type="dxa"/>
            <w:shd w:val="clear" w:color="auto" w:fill="auto"/>
            <w:noWrap/>
            <w:vAlign w:val="center"/>
            <w:hideMark/>
          </w:tcPr>
          <w:p w:rsidR="00417245" w:rsidRPr="00412299" w:rsidRDefault="00417245"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ZDRAVJE</w:t>
            </w:r>
          </w:p>
        </w:tc>
        <w:tc>
          <w:tcPr>
            <w:tcW w:w="1984" w:type="dxa"/>
            <w:shd w:val="clear" w:color="auto" w:fill="auto"/>
            <w:noWrap/>
            <w:vAlign w:val="bottom"/>
            <w:hideMark/>
          </w:tcPr>
          <w:p w:rsidR="00417245" w:rsidRPr="00412299" w:rsidRDefault="00417245" w:rsidP="00F83FBB">
            <w:pPr>
              <w:spacing w:line="240" w:lineRule="auto"/>
              <w:jc w:val="right"/>
              <w:rPr>
                <w:rFonts w:ascii="Calibri" w:hAnsi="Calibri"/>
                <w:sz w:val="18"/>
                <w:szCs w:val="18"/>
                <w:lang w:eastAsia="sl-SI"/>
              </w:rPr>
            </w:pPr>
            <w:r w:rsidRPr="00972554">
              <w:rPr>
                <w:rFonts w:ascii="Calibri" w:hAnsi="Calibri"/>
                <w:sz w:val="18"/>
                <w:szCs w:val="18"/>
              </w:rPr>
              <w:t xml:space="preserve">288.748 </w:t>
            </w:r>
          </w:p>
        </w:tc>
        <w:tc>
          <w:tcPr>
            <w:tcW w:w="1701" w:type="dxa"/>
            <w:shd w:val="clear" w:color="auto" w:fill="FFFFFF"/>
            <w:noWrap/>
            <w:vAlign w:val="bottom"/>
            <w:hideMark/>
          </w:tcPr>
          <w:p w:rsidR="00417245" w:rsidRPr="00412299" w:rsidRDefault="00417245" w:rsidP="00382B0F">
            <w:pPr>
              <w:spacing w:line="240" w:lineRule="auto"/>
              <w:jc w:val="right"/>
              <w:rPr>
                <w:rFonts w:ascii="Calibri" w:hAnsi="Calibri"/>
                <w:sz w:val="18"/>
                <w:szCs w:val="18"/>
                <w:lang w:eastAsia="sl-SI"/>
              </w:rPr>
            </w:pPr>
            <w:r w:rsidRPr="00972554">
              <w:rPr>
                <w:rFonts w:ascii="Calibri" w:hAnsi="Calibri"/>
                <w:sz w:val="18"/>
                <w:szCs w:val="18"/>
              </w:rPr>
              <w:t>0,91</w:t>
            </w:r>
          </w:p>
        </w:tc>
      </w:tr>
      <w:tr w:rsidR="00417245" w:rsidRPr="00972554" w:rsidTr="00972554">
        <w:trPr>
          <w:trHeight w:val="300"/>
        </w:trPr>
        <w:tc>
          <w:tcPr>
            <w:tcW w:w="6024" w:type="dxa"/>
            <w:shd w:val="clear" w:color="auto" w:fill="auto"/>
            <w:noWrap/>
            <w:vAlign w:val="center"/>
            <w:hideMark/>
          </w:tcPr>
          <w:p w:rsidR="00417245" w:rsidRPr="00412299" w:rsidRDefault="00417245" w:rsidP="00F83FBB">
            <w:pPr>
              <w:spacing w:line="240" w:lineRule="auto"/>
              <w:jc w:val="left"/>
              <w:rPr>
                <w:rFonts w:ascii="Calibri" w:hAnsi="Calibri"/>
                <w:b/>
                <w:bCs/>
                <w:sz w:val="18"/>
                <w:szCs w:val="18"/>
                <w:lang w:eastAsia="sl-SI"/>
              </w:rPr>
            </w:pPr>
            <w:r w:rsidRPr="00972554">
              <w:rPr>
                <w:rFonts w:ascii="Calibri" w:hAnsi="Calibri"/>
                <w:b/>
                <w:sz w:val="18"/>
                <w:szCs w:val="18"/>
              </w:rPr>
              <w:t xml:space="preserve">312-Terjatve za sredstva dana v upravljanje drugim v lasti države </w:t>
            </w:r>
          </w:p>
        </w:tc>
        <w:tc>
          <w:tcPr>
            <w:tcW w:w="1984" w:type="dxa"/>
            <w:shd w:val="clear" w:color="auto" w:fill="auto"/>
            <w:noWrap/>
            <w:vAlign w:val="bottom"/>
            <w:hideMark/>
          </w:tcPr>
          <w:p w:rsidR="00417245" w:rsidRPr="00412299" w:rsidRDefault="00417245" w:rsidP="00382B0F">
            <w:pPr>
              <w:spacing w:line="240" w:lineRule="auto"/>
              <w:jc w:val="right"/>
              <w:rPr>
                <w:rFonts w:ascii="Calibri" w:hAnsi="Calibri"/>
                <w:b/>
                <w:bCs/>
                <w:sz w:val="18"/>
                <w:szCs w:val="18"/>
                <w:lang w:eastAsia="sl-SI"/>
              </w:rPr>
            </w:pPr>
            <w:r w:rsidRPr="00972554">
              <w:rPr>
                <w:rFonts w:ascii="Calibri" w:hAnsi="Calibri"/>
                <w:b/>
                <w:sz w:val="18"/>
                <w:szCs w:val="18"/>
              </w:rPr>
              <w:t xml:space="preserve">689.130 </w:t>
            </w:r>
          </w:p>
        </w:tc>
        <w:tc>
          <w:tcPr>
            <w:tcW w:w="1701" w:type="dxa"/>
            <w:shd w:val="clear" w:color="auto" w:fill="FFFFFF"/>
            <w:noWrap/>
            <w:vAlign w:val="bottom"/>
            <w:hideMark/>
          </w:tcPr>
          <w:p w:rsidR="00417245" w:rsidRPr="00116FC1" w:rsidRDefault="00417245" w:rsidP="00412299">
            <w:pPr>
              <w:spacing w:line="240" w:lineRule="auto"/>
              <w:jc w:val="right"/>
              <w:rPr>
                <w:rFonts w:ascii="Calibri" w:hAnsi="Calibri"/>
                <w:b/>
                <w:bCs/>
                <w:sz w:val="18"/>
                <w:szCs w:val="18"/>
                <w:lang w:eastAsia="sl-SI"/>
              </w:rPr>
            </w:pPr>
          </w:p>
        </w:tc>
      </w:tr>
      <w:tr w:rsidR="00417245" w:rsidRPr="00972554" w:rsidTr="00972554">
        <w:trPr>
          <w:trHeight w:val="300"/>
        </w:trPr>
        <w:tc>
          <w:tcPr>
            <w:tcW w:w="6024" w:type="dxa"/>
            <w:shd w:val="clear" w:color="auto" w:fill="auto"/>
            <w:noWrap/>
            <w:vAlign w:val="center"/>
            <w:hideMark/>
          </w:tcPr>
          <w:p w:rsidR="00417245" w:rsidRPr="00412299" w:rsidRDefault="00417245"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IZOBRAŽEVANJE, ZNANOST IN ŠPORT</w:t>
            </w:r>
          </w:p>
        </w:tc>
        <w:tc>
          <w:tcPr>
            <w:tcW w:w="1984" w:type="dxa"/>
            <w:shd w:val="clear" w:color="auto" w:fill="auto"/>
            <w:noWrap/>
            <w:vAlign w:val="bottom"/>
            <w:hideMark/>
          </w:tcPr>
          <w:p w:rsidR="00417245" w:rsidRPr="00412299" w:rsidRDefault="00417245" w:rsidP="00F83FBB">
            <w:pPr>
              <w:spacing w:line="240" w:lineRule="auto"/>
              <w:jc w:val="right"/>
              <w:rPr>
                <w:rFonts w:ascii="Calibri" w:hAnsi="Calibri"/>
                <w:sz w:val="18"/>
                <w:szCs w:val="18"/>
                <w:lang w:eastAsia="sl-SI"/>
              </w:rPr>
            </w:pPr>
            <w:r w:rsidRPr="00972554">
              <w:rPr>
                <w:rFonts w:ascii="Calibri" w:hAnsi="Calibri"/>
                <w:sz w:val="18"/>
                <w:szCs w:val="18"/>
              </w:rPr>
              <w:t xml:space="preserve">529.130 </w:t>
            </w:r>
          </w:p>
        </w:tc>
        <w:tc>
          <w:tcPr>
            <w:tcW w:w="1701" w:type="dxa"/>
            <w:shd w:val="clear" w:color="auto" w:fill="FFFFFF"/>
            <w:noWrap/>
            <w:vAlign w:val="bottom"/>
            <w:hideMark/>
          </w:tcPr>
          <w:p w:rsidR="00417245" w:rsidRPr="00412299" w:rsidRDefault="00417245" w:rsidP="00382B0F">
            <w:pPr>
              <w:spacing w:line="240" w:lineRule="auto"/>
              <w:jc w:val="right"/>
              <w:rPr>
                <w:rFonts w:ascii="Calibri" w:hAnsi="Calibri"/>
                <w:sz w:val="18"/>
                <w:szCs w:val="18"/>
                <w:lang w:eastAsia="sl-SI"/>
              </w:rPr>
            </w:pPr>
            <w:r w:rsidRPr="00972554">
              <w:rPr>
                <w:rFonts w:ascii="Calibri" w:hAnsi="Calibri"/>
                <w:sz w:val="18"/>
                <w:szCs w:val="18"/>
              </w:rPr>
              <w:t>76,78</w:t>
            </w:r>
          </w:p>
        </w:tc>
      </w:tr>
      <w:tr w:rsidR="00417245" w:rsidRPr="00972554" w:rsidTr="00972554">
        <w:trPr>
          <w:trHeight w:val="300"/>
        </w:trPr>
        <w:tc>
          <w:tcPr>
            <w:tcW w:w="6024" w:type="dxa"/>
            <w:shd w:val="clear" w:color="auto" w:fill="auto"/>
            <w:noWrap/>
            <w:vAlign w:val="center"/>
            <w:hideMark/>
          </w:tcPr>
          <w:p w:rsidR="00417245" w:rsidRPr="00412299" w:rsidRDefault="00417245"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INFRASTRUKTURO</w:t>
            </w:r>
          </w:p>
        </w:tc>
        <w:tc>
          <w:tcPr>
            <w:tcW w:w="1984" w:type="dxa"/>
            <w:shd w:val="clear" w:color="auto" w:fill="auto"/>
            <w:noWrap/>
            <w:vAlign w:val="bottom"/>
            <w:hideMark/>
          </w:tcPr>
          <w:p w:rsidR="00417245" w:rsidRPr="00412299" w:rsidRDefault="00417245" w:rsidP="00F83FBB">
            <w:pPr>
              <w:spacing w:line="240" w:lineRule="auto"/>
              <w:jc w:val="right"/>
              <w:rPr>
                <w:rFonts w:ascii="Calibri" w:hAnsi="Calibri"/>
                <w:sz w:val="18"/>
                <w:szCs w:val="18"/>
                <w:lang w:eastAsia="sl-SI"/>
              </w:rPr>
            </w:pPr>
            <w:r w:rsidRPr="00972554">
              <w:rPr>
                <w:rFonts w:ascii="Calibri" w:hAnsi="Calibri"/>
                <w:sz w:val="18"/>
                <w:szCs w:val="18"/>
              </w:rPr>
              <w:t xml:space="preserve">160.000 </w:t>
            </w:r>
          </w:p>
        </w:tc>
        <w:tc>
          <w:tcPr>
            <w:tcW w:w="1701" w:type="dxa"/>
            <w:shd w:val="clear" w:color="auto" w:fill="FFFFFF"/>
            <w:noWrap/>
            <w:vAlign w:val="bottom"/>
            <w:hideMark/>
          </w:tcPr>
          <w:p w:rsidR="00417245" w:rsidRPr="00412299" w:rsidRDefault="00417245" w:rsidP="00382B0F">
            <w:pPr>
              <w:spacing w:line="240" w:lineRule="auto"/>
              <w:jc w:val="right"/>
              <w:rPr>
                <w:rFonts w:ascii="Calibri" w:hAnsi="Calibri"/>
                <w:sz w:val="18"/>
                <w:szCs w:val="18"/>
                <w:lang w:eastAsia="sl-SI"/>
              </w:rPr>
            </w:pPr>
            <w:r w:rsidRPr="00972554">
              <w:rPr>
                <w:rFonts w:ascii="Calibri" w:hAnsi="Calibri"/>
                <w:sz w:val="18"/>
                <w:szCs w:val="18"/>
              </w:rPr>
              <w:t>23,22</w:t>
            </w:r>
          </w:p>
        </w:tc>
      </w:tr>
      <w:tr w:rsidR="007A0DA4" w:rsidRPr="00972554" w:rsidTr="00972554">
        <w:trPr>
          <w:trHeight w:val="300"/>
        </w:trPr>
        <w:tc>
          <w:tcPr>
            <w:tcW w:w="6024" w:type="dxa"/>
            <w:shd w:val="clear" w:color="auto" w:fill="auto"/>
            <w:noWrap/>
            <w:vAlign w:val="center"/>
            <w:hideMark/>
          </w:tcPr>
          <w:p w:rsidR="007A0DA4" w:rsidRPr="00412299" w:rsidRDefault="007A0DA4" w:rsidP="00F83FBB">
            <w:pPr>
              <w:spacing w:line="240" w:lineRule="auto"/>
              <w:jc w:val="left"/>
              <w:rPr>
                <w:rFonts w:ascii="Calibri" w:hAnsi="Calibri"/>
                <w:b/>
                <w:bCs/>
                <w:sz w:val="18"/>
                <w:szCs w:val="18"/>
                <w:lang w:eastAsia="sl-SI"/>
              </w:rPr>
            </w:pPr>
            <w:r w:rsidRPr="00382B0F">
              <w:rPr>
                <w:rFonts w:ascii="Calibri" w:hAnsi="Calibri" w:cs="Calibri"/>
                <w:b/>
                <w:bCs/>
                <w:sz w:val="18"/>
                <w:szCs w:val="18"/>
                <w:lang w:val="sl-SI" w:eastAsia="sl-SI"/>
              </w:rPr>
              <w:t xml:space="preserve">313-Terjatve za sredstva dana v upravljanje drugim v lasti občine </w:t>
            </w:r>
          </w:p>
        </w:tc>
        <w:tc>
          <w:tcPr>
            <w:tcW w:w="1984" w:type="dxa"/>
            <w:shd w:val="clear" w:color="auto" w:fill="auto"/>
            <w:noWrap/>
            <w:vAlign w:val="bottom"/>
            <w:hideMark/>
          </w:tcPr>
          <w:p w:rsidR="007A0DA4" w:rsidRPr="00972554" w:rsidRDefault="007A0DA4" w:rsidP="00382B0F">
            <w:pPr>
              <w:spacing w:line="240" w:lineRule="auto"/>
              <w:jc w:val="right"/>
              <w:rPr>
                <w:rFonts w:ascii="Calibri" w:hAnsi="Calibri"/>
                <w:b/>
                <w:bCs/>
                <w:sz w:val="18"/>
                <w:szCs w:val="18"/>
                <w:lang w:eastAsia="sl-SI"/>
              </w:rPr>
            </w:pPr>
            <w:r w:rsidRPr="00116FC1">
              <w:rPr>
                <w:rFonts w:ascii="Calibri" w:hAnsi="Calibri" w:cs="Calibri"/>
                <w:b/>
                <w:bCs/>
                <w:sz w:val="18"/>
                <w:szCs w:val="18"/>
                <w:lang w:val="sl-SI" w:eastAsia="sl-SI"/>
              </w:rPr>
              <w:t xml:space="preserve">0 </w:t>
            </w:r>
          </w:p>
        </w:tc>
        <w:tc>
          <w:tcPr>
            <w:tcW w:w="1701" w:type="dxa"/>
            <w:shd w:val="clear" w:color="auto" w:fill="FFFFFF"/>
            <w:noWrap/>
            <w:vAlign w:val="bottom"/>
            <w:hideMark/>
          </w:tcPr>
          <w:p w:rsidR="007A0DA4" w:rsidRPr="00972554" w:rsidRDefault="007A0DA4" w:rsidP="00972554">
            <w:pPr>
              <w:spacing w:line="240" w:lineRule="auto"/>
              <w:jc w:val="right"/>
              <w:rPr>
                <w:rFonts w:ascii="Calibri" w:hAnsi="Calibri"/>
                <w:b/>
                <w:bCs/>
                <w:sz w:val="18"/>
                <w:szCs w:val="18"/>
                <w:lang w:eastAsia="sl-SI"/>
              </w:rPr>
            </w:pPr>
          </w:p>
        </w:tc>
      </w:tr>
      <w:tr w:rsidR="00417245" w:rsidRPr="00972554" w:rsidTr="00972554">
        <w:trPr>
          <w:trHeight w:val="300"/>
        </w:trPr>
        <w:tc>
          <w:tcPr>
            <w:tcW w:w="6024" w:type="dxa"/>
            <w:shd w:val="clear" w:color="auto" w:fill="auto"/>
            <w:noWrap/>
            <w:vAlign w:val="center"/>
            <w:hideMark/>
          </w:tcPr>
          <w:p w:rsidR="00417245" w:rsidRPr="00972554" w:rsidRDefault="00417245" w:rsidP="00972554">
            <w:pPr>
              <w:spacing w:line="240" w:lineRule="auto"/>
              <w:ind w:firstLineChars="100" w:firstLine="181"/>
              <w:jc w:val="left"/>
              <w:rPr>
                <w:rFonts w:ascii="Calibri" w:hAnsi="Calibri"/>
                <w:b/>
                <w:sz w:val="18"/>
                <w:szCs w:val="18"/>
                <w:lang w:eastAsia="sl-SI"/>
              </w:rPr>
            </w:pPr>
            <w:r w:rsidRPr="00972554">
              <w:rPr>
                <w:rFonts w:ascii="Calibri" w:hAnsi="Calibri"/>
                <w:b/>
                <w:sz w:val="18"/>
                <w:szCs w:val="18"/>
              </w:rPr>
              <w:t xml:space="preserve">314-Zaloge </w:t>
            </w:r>
          </w:p>
        </w:tc>
        <w:tc>
          <w:tcPr>
            <w:tcW w:w="1984" w:type="dxa"/>
            <w:shd w:val="clear" w:color="auto" w:fill="auto"/>
            <w:noWrap/>
            <w:vAlign w:val="bottom"/>
            <w:hideMark/>
          </w:tcPr>
          <w:p w:rsidR="00417245" w:rsidRPr="00972554" w:rsidRDefault="00417245" w:rsidP="00F83FBB">
            <w:pPr>
              <w:spacing w:line="240" w:lineRule="auto"/>
              <w:jc w:val="right"/>
              <w:rPr>
                <w:rFonts w:ascii="Calibri" w:hAnsi="Calibri"/>
                <w:b/>
                <w:sz w:val="18"/>
                <w:szCs w:val="18"/>
                <w:lang w:eastAsia="sl-SI"/>
              </w:rPr>
            </w:pPr>
            <w:r w:rsidRPr="00972554">
              <w:rPr>
                <w:rFonts w:ascii="Calibri" w:hAnsi="Calibri"/>
                <w:b/>
                <w:sz w:val="18"/>
                <w:szCs w:val="18"/>
              </w:rPr>
              <w:t xml:space="preserve">267.008.499 </w:t>
            </w:r>
          </w:p>
        </w:tc>
        <w:tc>
          <w:tcPr>
            <w:tcW w:w="1701" w:type="dxa"/>
            <w:shd w:val="clear" w:color="auto" w:fill="FFFFFF"/>
            <w:noWrap/>
            <w:vAlign w:val="bottom"/>
            <w:hideMark/>
          </w:tcPr>
          <w:p w:rsidR="00417245" w:rsidRPr="00972554" w:rsidRDefault="00417245" w:rsidP="00382B0F">
            <w:pPr>
              <w:spacing w:line="240" w:lineRule="auto"/>
              <w:jc w:val="right"/>
              <w:rPr>
                <w:rFonts w:ascii="Calibri" w:hAnsi="Calibri"/>
                <w:b/>
                <w:sz w:val="18"/>
                <w:szCs w:val="18"/>
                <w:lang w:eastAsia="sl-SI"/>
              </w:rPr>
            </w:pPr>
          </w:p>
        </w:tc>
      </w:tr>
      <w:tr w:rsidR="00417245" w:rsidRPr="00972554" w:rsidTr="00972554">
        <w:trPr>
          <w:trHeight w:val="300"/>
        </w:trPr>
        <w:tc>
          <w:tcPr>
            <w:tcW w:w="6024" w:type="dxa"/>
            <w:shd w:val="clear" w:color="auto" w:fill="auto"/>
            <w:noWrap/>
            <w:vAlign w:val="center"/>
            <w:hideMark/>
          </w:tcPr>
          <w:p w:rsidR="00417245" w:rsidRPr="00412299" w:rsidRDefault="00417245" w:rsidP="00F83FBB">
            <w:pPr>
              <w:spacing w:line="240" w:lineRule="auto"/>
              <w:jc w:val="left"/>
              <w:rPr>
                <w:rFonts w:ascii="Calibri" w:hAnsi="Calibri"/>
                <w:b/>
                <w:bCs/>
                <w:sz w:val="18"/>
                <w:szCs w:val="18"/>
                <w:lang w:eastAsia="sl-SI"/>
              </w:rPr>
            </w:pPr>
            <w:r w:rsidRPr="00972554">
              <w:rPr>
                <w:rFonts w:ascii="Calibri" w:hAnsi="Calibri"/>
                <w:sz w:val="18"/>
                <w:szCs w:val="18"/>
              </w:rPr>
              <w:t xml:space="preserve">MINISTRSTVO ZA OBRAMBO </w:t>
            </w:r>
            <w:r w:rsidR="000A7612" w:rsidRPr="002B775E">
              <w:rPr>
                <w:rFonts w:ascii="Calibri" w:hAnsi="Calibri"/>
                <w:sz w:val="18"/>
                <w:szCs w:val="18"/>
              </w:rPr>
              <w:t>RS</w:t>
            </w:r>
            <w:r w:rsidRPr="00972554">
              <w:rPr>
                <w:rFonts w:ascii="Calibri" w:hAnsi="Calibri"/>
                <w:sz w:val="18"/>
                <w:szCs w:val="18"/>
              </w:rPr>
              <w:t>, GENERALŠTAB SLOVENSKE VOJSKE</w:t>
            </w:r>
          </w:p>
        </w:tc>
        <w:tc>
          <w:tcPr>
            <w:tcW w:w="1984" w:type="dxa"/>
            <w:shd w:val="clear" w:color="auto" w:fill="auto"/>
            <w:noWrap/>
            <w:vAlign w:val="bottom"/>
            <w:hideMark/>
          </w:tcPr>
          <w:p w:rsidR="00417245" w:rsidRPr="00412299" w:rsidRDefault="00417245" w:rsidP="00382B0F">
            <w:pPr>
              <w:spacing w:line="240" w:lineRule="auto"/>
              <w:jc w:val="right"/>
              <w:rPr>
                <w:rFonts w:ascii="Calibri" w:hAnsi="Calibri"/>
                <w:b/>
                <w:bCs/>
                <w:sz w:val="18"/>
                <w:szCs w:val="18"/>
                <w:lang w:eastAsia="sl-SI"/>
              </w:rPr>
            </w:pPr>
            <w:r w:rsidRPr="00972554">
              <w:rPr>
                <w:rFonts w:ascii="Calibri" w:hAnsi="Calibri"/>
                <w:sz w:val="18"/>
                <w:szCs w:val="18"/>
              </w:rPr>
              <w:t xml:space="preserve">188.116.925 </w:t>
            </w:r>
          </w:p>
        </w:tc>
        <w:tc>
          <w:tcPr>
            <w:tcW w:w="1701" w:type="dxa"/>
            <w:shd w:val="clear" w:color="auto" w:fill="FFFFFF"/>
            <w:noWrap/>
            <w:vAlign w:val="bottom"/>
            <w:hideMark/>
          </w:tcPr>
          <w:p w:rsidR="00417245" w:rsidRPr="00412299" w:rsidRDefault="00417245" w:rsidP="00412299">
            <w:pPr>
              <w:spacing w:line="240" w:lineRule="auto"/>
              <w:jc w:val="right"/>
              <w:rPr>
                <w:rFonts w:ascii="Calibri" w:hAnsi="Calibri"/>
                <w:b/>
                <w:bCs/>
                <w:sz w:val="18"/>
                <w:szCs w:val="18"/>
                <w:lang w:eastAsia="sl-SI"/>
              </w:rPr>
            </w:pPr>
            <w:r w:rsidRPr="00972554">
              <w:rPr>
                <w:rFonts w:ascii="Calibri" w:hAnsi="Calibri"/>
                <w:sz w:val="18"/>
                <w:szCs w:val="18"/>
              </w:rPr>
              <w:t>70,45</w:t>
            </w:r>
          </w:p>
        </w:tc>
      </w:tr>
      <w:tr w:rsidR="00417245" w:rsidRPr="00972554" w:rsidTr="00972554">
        <w:trPr>
          <w:trHeight w:val="300"/>
        </w:trPr>
        <w:tc>
          <w:tcPr>
            <w:tcW w:w="6024" w:type="dxa"/>
            <w:shd w:val="clear" w:color="auto" w:fill="auto"/>
            <w:noWrap/>
            <w:vAlign w:val="center"/>
            <w:hideMark/>
          </w:tcPr>
          <w:p w:rsidR="00417245" w:rsidRPr="00412299" w:rsidRDefault="000A7612" w:rsidP="00F83FBB">
            <w:pPr>
              <w:spacing w:line="240" w:lineRule="auto"/>
              <w:ind w:firstLineChars="100" w:firstLine="180"/>
              <w:jc w:val="left"/>
              <w:rPr>
                <w:rFonts w:ascii="Calibri" w:hAnsi="Calibri"/>
                <w:sz w:val="18"/>
                <w:szCs w:val="18"/>
                <w:lang w:eastAsia="sl-SI"/>
              </w:rPr>
            </w:pPr>
            <w:r w:rsidRPr="002B775E">
              <w:rPr>
                <w:rFonts w:ascii="Calibri" w:hAnsi="Calibri"/>
                <w:sz w:val="18"/>
                <w:szCs w:val="18"/>
              </w:rPr>
              <w:t>RS</w:t>
            </w:r>
            <w:r w:rsidR="00417245" w:rsidRPr="00972554">
              <w:rPr>
                <w:rFonts w:ascii="Calibri" w:hAnsi="Calibri"/>
                <w:sz w:val="18"/>
                <w:szCs w:val="18"/>
              </w:rPr>
              <w:t xml:space="preserve"> - PRORAČUN</w:t>
            </w:r>
          </w:p>
        </w:tc>
        <w:tc>
          <w:tcPr>
            <w:tcW w:w="1984" w:type="dxa"/>
            <w:shd w:val="clear" w:color="auto" w:fill="auto"/>
            <w:noWrap/>
            <w:vAlign w:val="bottom"/>
            <w:hideMark/>
          </w:tcPr>
          <w:p w:rsidR="00417245" w:rsidRPr="00412299" w:rsidRDefault="00417245" w:rsidP="00382B0F">
            <w:pPr>
              <w:spacing w:line="240" w:lineRule="auto"/>
              <w:jc w:val="right"/>
              <w:rPr>
                <w:rFonts w:ascii="Calibri" w:hAnsi="Calibri"/>
                <w:sz w:val="18"/>
                <w:szCs w:val="18"/>
                <w:lang w:eastAsia="sl-SI"/>
              </w:rPr>
            </w:pPr>
            <w:r w:rsidRPr="00972554">
              <w:rPr>
                <w:rFonts w:ascii="Calibri" w:hAnsi="Calibri"/>
                <w:sz w:val="18"/>
                <w:szCs w:val="18"/>
              </w:rPr>
              <w:t xml:space="preserve">47.282.047 </w:t>
            </w:r>
          </w:p>
        </w:tc>
        <w:tc>
          <w:tcPr>
            <w:tcW w:w="1701" w:type="dxa"/>
            <w:shd w:val="clear" w:color="auto" w:fill="FFFFFF"/>
            <w:noWrap/>
            <w:vAlign w:val="bottom"/>
            <w:hideMark/>
          </w:tcPr>
          <w:p w:rsidR="00417245" w:rsidRPr="00412299" w:rsidRDefault="00417245" w:rsidP="00412299">
            <w:pPr>
              <w:spacing w:line="240" w:lineRule="auto"/>
              <w:jc w:val="right"/>
              <w:rPr>
                <w:rFonts w:ascii="Calibri" w:hAnsi="Calibri"/>
                <w:sz w:val="18"/>
                <w:szCs w:val="18"/>
                <w:lang w:eastAsia="sl-SI"/>
              </w:rPr>
            </w:pPr>
            <w:r w:rsidRPr="00972554">
              <w:rPr>
                <w:rFonts w:ascii="Calibri" w:hAnsi="Calibri"/>
                <w:sz w:val="18"/>
                <w:szCs w:val="18"/>
              </w:rPr>
              <w:t>17,71</w:t>
            </w:r>
          </w:p>
        </w:tc>
      </w:tr>
      <w:tr w:rsidR="00417245" w:rsidRPr="00972554" w:rsidTr="00972554">
        <w:trPr>
          <w:trHeight w:val="300"/>
        </w:trPr>
        <w:tc>
          <w:tcPr>
            <w:tcW w:w="6024" w:type="dxa"/>
            <w:shd w:val="clear" w:color="auto" w:fill="auto"/>
            <w:noWrap/>
            <w:vAlign w:val="center"/>
            <w:hideMark/>
          </w:tcPr>
          <w:p w:rsidR="00417245" w:rsidRPr="00972554" w:rsidRDefault="00417245"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NOTRANJE ZADEVE POLICIJA</w:t>
            </w:r>
          </w:p>
        </w:tc>
        <w:tc>
          <w:tcPr>
            <w:tcW w:w="1984" w:type="dxa"/>
            <w:shd w:val="clear" w:color="auto" w:fill="auto"/>
            <w:noWrap/>
            <w:vAlign w:val="bottom"/>
            <w:hideMark/>
          </w:tcPr>
          <w:p w:rsidR="00417245" w:rsidRPr="00412299" w:rsidRDefault="00417245" w:rsidP="00F83FBB">
            <w:pPr>
              <w:spacing w:line="240" w:lineRule="auto"/>
              <w:jc w:val="right"/>
              <w:rPr>
                <w:rFonts w:ascii="Calibri" w:hAnsi="Calibri"/>
                <w:sz w:val="18"/>
                <w:szCs w:val="18"/>
                <w:lang w:eastAsia="sl-SI"/>
              </w:rPr>
            </w:pPr>
            <w:r w:rsidRPr="00972554">
              <w:rPr>
                <w:rFonts w:ascii="Calibri" w:hAnsi="Calibri"/>
                <w:sz w:val="18"/>
                <w:szCs w:val="18"/>
              </w:rPr>
              <w:t xml:space="preserve">27.733.136 </w:t>
            </w:r>
          </w:p>
        </w:tc>
        <w:tc>
          <w:tcPr>
            <w:tcW w:w="1701" w:type="dxa"/>
            <w:shd w:val="clear" w:color="auto" w:fill="FFFFFF"/>
            <w:noWrap/>
            <w:vAlign w:val="bottom"/>
            <w:hideMark/>
          </w:tcPr>
          <w:p w:rsidR="00417245" w:rsidRPr="00412299" w:rsidRDefault="00417245" w:rsidP="00382B0F">
            <w:pPr>
              <w:spacing w:line="240" w:lineRule="auto"/>
              <w:jc w:val="right"/>
              <w:rPr>
                <w:rFonts w:ascii="Calibri" w:hAnsi="Calibri"/>
                <w:sz w:val="18"/>
                <w:szCs w:val="18"/>
                <w:lang w:eastAsia="sl-SI"/>
              </w:rPr>
            </w:pPr>
            <w:r w:rsidRPr="00972554">
              <w:rPr>
                <w:rFonts w:ascii="Calibri" w:hAnsi="Calibri"/>
                <w:sz w:val="18"/>
                <w:szCs w:val="18"/>
              </w:rPr>
              <w:t>10,39</w:t>
            </w:r>
          </w:p>
        </w:tc>
      </w:tr>
      <w:tr w:rsidR="00417245" w:rsidRPr="00972554" w:rsidTr="00972554">
        <w:trPr>
          <w:trHeight w:val="300"/>
        </w:trPr>
        <w:tc>
          <w:tcPr>
            <w:tcW w:w="6024" w:type="dxa"/>
            <w:shd w:val="clear" w:color="auto" w:fill="auto"/>
            <w:noWrap/>
            <w:vAlign w:val="center"/>
            <w:hideMark/>
          </w:tcPr>
          <w:p w:rsidR="00417245" w:rsidRPr="00972554" w:rsidRDefault="00417245" w:rsidP="00972554">
            <w:pPr>
              <w:spacing w:line="240" w:lineRule="auto"/>
              <w:ind w:firstLineChars="100" w:firstLine="181"/>
              <w:jc w:val="left"/>
              <w:rPr>
                <w:rFonts w:ascii="Calibri" w:hAnsi="Calibri"/>
                <w:b/>
                <w:sz w:val="18"/>
                <w:szCs w:val="18"/>
                <w:lang w:eastAsia="sl-SI"/>
              </w:rPr>
            </w:pPr>
            <w:r w:rsidRPr="00972554">
              <w:rPr>
                <w:rFonts w:ascii="Calibri" w:hAnsi="Calibri"/>
                <w:b/>
                <w:sz w:val="18"/>
                <w:szCs w:val="18"/>
              </w:rPr>
              <w:t xml:space="preserve">315-Dolgoročne finančne naložbe - premoženje preneseno v last drugim uporabnikom enotnega kontnega načrta </w:t>
            </w:r>
          </w:p>
        </w:tc>
        <w:tc>
          <w:tcPr>
            <w:tcW w:w="1984" w:type="dxa"/>
            <w:shd w:val="clear" w:color="auto" w:fill="auto"/>
            <w:noWrap/>
            <w:vAlign w:val="bottom"/>
            <w:hideMark/>
          </w:tcPr>
          <w:p w:rsidR="00417245" w:rsidRPr="00972554" w:rsidRDefault="00417245" w:rsidP="00F83FBB">
            <w:pPr>
              <w:spacing w:line="240" w:lineRule="auto"/>
              <w:jc w:val="right"/>
              <w:rPr>
                <w:rFonts w:ascii="Calibri" w:hAnsi="Calibri"/>
                <w:b/>
                <w:sz w:val="18"/>
                <w:szCs w:val="18"/>
                <w:lang w:eastAsia="sl-SI"/>
              </w:rPr>
            </w:pPr>
            <w:r w:rsidRPr="00972554">
              <w:rPr>
                <w:rFonts w:ascii="Calibri" w:hAnsi="Calibri"/>
                <w:b/>
                <w:sz w:val="18"/>
                <w:szCs w:val="18"/>
              </w:rPr>
              <w:t xml:space="preserve">1.482.617.929 </w:t>
            </w:r>
          </w:p>
        </w:tc>
        <w:tc>
          <w:tcPr>
            <w:tcW w:w="1701" w:type="dxa"/>
            <w:shd w:val="clear" w:color="auto" w:fill="FFFFFF"/>
            <w:noWrap/>
            <w:vAlign w:val="bottom"/>
            <w:hideMark/>
          </w:tcPr>
          <w:p w:rsidR="00417245" w:rsidRPr="00972554" w:rsidRDefault="00417245" w:rsidP="00382B0F">
            <w:pPr>
              <w:spacing w:line="240" w:lineRule="auto"/>
              <w:jc w:val="right"/>
              <w:rPr>
                <w:rFonts w:ascii="Calibri" w:hAnsi="Calibri"/>
                <w:b/>
                <w:sz w:val="18"/>
                <w:szCs w:val="18"/>
                <w:lang w:eastAsia="sl-SI"/>
              </w:rPr>
            </w:pPr>
          </w:p>
        </w:tc>
      </w:tr>
      <w:tr w:rsidR="00417245" w:rsidRPr="00972554" w:rsidTr="00972554">
        <w:trPr>
          <w:trHeight w:val="300"/>
        </w:trPr>
        <w:tc>
          <w:tcPr>
            <w:tcW w:w="6024" w:type="dxa"/>
            <w:shd w:val="clear" w:color="auto" w:fill="auto"/>
            <w:noWrap/>
            <w:vAlign w:val="center"/>
            <w:hideMark/>
          </w:tcPr>
          <w:p w:rsidR="00417245" w:rsidRPr="00412299" w:rsidRDefault="00417245" w:rsidP="00F83FBB">
            <w:pPr>
              <w:spacing w:line="240" w:lineRule="auto"/>
              <w:jc w:val="left"/>
              <w:rPr>
                <w:rFonts w:ascii="Calibri" w:hAnsi="Calibri"/>
                <w:b/>
                <w:bCs/>
                <w:sz w:val="18"/>
                <w:szCs w:val="18"/>
                <w:lang w:eastAsia="sl-SI"/>
              </w:rPr>
            </w:pPr>
            <w:r w:rsidRPr="00972554">
              <w:rPr>
                <w:rFonts w:ascii="Calibri" w:hAnsi="Calibri"/>
                <w:sz w:val="18"/>
                <w:szCs w:val="18"/>
              </w:rPr>
              <w:t>MINISTRSTVO ZA OKOLJE IN PROSTOR</w:t>
            </w:r>
          </w:p>
        </w:tc>
        <w:tc>
          <w:tcPr>
            <w:tcW w:w="1984" w:type="dxa"/>
            <w:shd w:val="clear" w:color="auto" w:fill="auto"/>
            <w:noWrap/>
            <w:vAlign w:val="bottom"/>
            <w:hideMark/>
          </w:tcPr>
          <w:p w:rsidR="00417245" w:rsidRPr="00412299" w:rsidRDefault="00417245" w:rsidP="00382B0F">
            <w:pPr>
              <w:spacing w:line="240" w:lineRule="auto"/>
              <w:jc w:val="right"/>
              <w:rPr>
                <w:rFonts w:ascii="Calibri" w:hAnsi="Calibri"/>
                <w:b/>
                <w:bCs/>
                <w:sz w:val="18"/>
                <w:szCs w:val="18"/>
                <w:lang w:eastAsia="sl-SI"/>
              </w:rPr>
            </w:pPr>
            <w:r w:rsidRPr="00972554">
              <w:rPr>
                <w:rFonts w:ascii="Calibri" w:hAnsi="Calibri"/>
                <w:sz w:val="18"/>
                <w:szCs w:val="18"/>
              </w:rPr>
              <w:t xml:space="preserve">524.729.073 </w:t>
            </w:r>
          </w:p>
        </w:tc>
        <w:tc>
          <w:tcPr>
            <w:tcW w:w="1701" w:type="dxa"/>
            <w:shd w:val="clear" w:color="auto" w:fill="FFFFFF"/>
            <w:noWrap/>
            <w:vAlign w:val="bottom"/>
            <w:hideMark/>
          </w:tcPr>
          <w:p w:rsidR="00417245" w:rsidRPr="00412299" w:rsidRDefault="00417245" w:rsidP="00412299">
            <w:pPr>
              <w:spacing w:line="240" w:lineRule="auto"/>
              <w:jc w:val="right"/>
              <w:rPr>
                <w:rFonts w:ascii="Calibri" w:hAnsi="Calibri"/>
                <w:b/>
                <w:bCs/>
                <w:sz w:val="18"/>
                <w:szCs w:val="18"/>
                <w:lang w:eastAsia="sl-SI"/>
              </w:rPr>
            </w:pPr>
            <w:r w:rsidRPr="00972554">
              <w:rPr>
                <w:rFonts w:ascii="Calibri" w:hAnsi="Calibri"/>
                <w:sz w:val="18"/>
                <w:szCs w:val="18"/>
              </w:rPr>
              <w:t>35,39</w:t>
            </w:r>
          </w:p>
        </w:tc>
      </w:tr>
      <w:tr w:rsidR="00417245" w:rsidRPr="00972554" w:rsidTr="00972554">
        <w:trPr>
          <w:trHeight w:val="300"/>
        </w:trPr>
        <w:tc>
          <w:tcPr>
            <w:tcW w:w="6024" w:type="dxa"/>
            <w:shd w:val="clear" w:color="auto" w:fill="auto"/>
            <w:noWrap/>
            <w:vAlign w:val="center"/>
            <w:hideMark/>
          </w:tcPr>
          <w:p w:rsidR="00417245" w:rsidRPr="00412299" w:rsidRDefault="00417245"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IZOBRAŽEVANJE, ZNANOST IN ŠPORT</w:t>
            </w:r>
          </w:p>
        </w:tc>
        <w:tc>
          <w:tcPr>
            <w:tcW w:w="1984" w:type="dxa"/>
            <w:shd w:val="clear" w:color="auto" w:fill="auto"/>
            <w:noWrap/>
            <w:vAlign w:val="bottom"/>
            <w:hideMark/>
          </w:tcPr>
          <w:p w:rsidR="00417245" w:rsidRPr="00412299" w:rsidRDefault="00417245" w:rsidP="00F83FBB">
            <w:pPr>
              <w:spacing w:line="240" w:lineRule="auto"/>
              <w:jc w:val="right"/>
              <w:rPr>
                <w:rFonts w:ascii="Calibri" w:hAnsi="Calibri"/>
                <w:sz w:val="18"/>
                <w:szCs w:val="18"/>
                <w:lang w:eastAsia="sl-SI"/>
              </w:rPr>
            </w:pPr>
            <w:r w:rsidRPr="00972554">
              <w:rPr>
                <w:rFonts w:ascii="Calibri" w:hAnsi="Calibri"/>
                <w:sz w:val="18"/>
                <w:szCs w:val="18"/>
              </w:rPr>
              <w:t xml:space="preserve">507.293.331 </w:t>
            </w:r>
          </w:p>
        </w:tc>
        <w:tc>
          <w:tcPr>
            <w:tcW w:w="1701" w:type="dxa"/>
            <w:shd w:val="clear" w:color="auto" w:fill="FFFFFF"/>
            <w:noWrap/>
            <w:vAlign w:val="bottom"/>
            <w:hideMark/>
          </w:tcPr>
          <w:p w:rsidR="00417245" w:rsidRPr="00412299" w:rsidRDefault="00417245" w:rsidP="00382B0F">
            <w:pPr>
              <w:spacing w:line="240" w:lineRule="auto"/>
              <w:jc w:val="right"/>
              <w:rPr>
                <w:rFonts w:ascii="Calibri" w:hAnsi="Calibri"/>
                <w:sz w:val="18"/>
                <w:szCs w:val="18"/>
                <w:lang w:eastAsia="sl-SI"/>
              </w:rPr>
            </w:pPr>
            <w:r w:rsidRPr="00972554">
              <w:rPr>
                <w:rFonts w:ascii="Calibri" w:hAnsi="Calibri"/>
                <w:sz w:val="18"/>
                <w:szCs w:val="18"/>
              </w:rPr>
              <w:t>34,22</w:t>
            </w:r>
          </w:p>
        </w:tc>
      </w:tr>
      <w:tr w:rsidR="00417245" w:rsidRPr="00972554" w:rsidTr="00972554">
        <w:trPr>
          <w:trHeight w:val="300"/>
        </w:trPr>
        <w:tc>
          <w:tcPr>
            <w:tcW w:w="6024" w:type="dxa"/>
            <w:shd w:val="clear" w:color="auto" w:fill="auto"/>
            <w:noWrap/>
            <w:vAlign w:val="center"/>
            <w:hideMark/>
          </w:tcPr>
          <w:p w:rsidR="00417245" w:rsidRPr="00412299" w:rsidRDefault="000A7612" w:rsidP="00F83FBB">
            <w:pPr>
              <w:spacing w:line="240" w:lineRule="auto"/>
              <w:ind w:firstLineChars="100" w:firstLine="180"/>
              <w:jc w:val="left"/>
              <w:rPr>
                <w:rFonts w:ascii="Calibri" w:hAnsi="Calibri"/>
                <w:sz w:val="18"/>
                <w:szCs w:val="18"/>
                <w:lang w:eastAsia="sl-SI"/>
              </w:rPr>
            </w:pPr>
            <w:r w:rsidRPr="002B775E">
              <w:rPr>
                <w:rFonts w:ascii="Calibri" w:hAnsi="Calibri"/>
                <w:sz w:val="18"/>
                <w:szCs w:val="18"/>
              </w:rPr>
              <w:t>RS</w:t>
            </w:r>
            <w:r w:rsidR="00417245" w:rsidRPr="00972554">
              <w:rPr>
                <w:rFonts w:ascii="Calibri" w:hAnsi="Calibri"/>
                <w:sz w:val="18"/>
                <w:szCs w:val="18"/>
              </w:rPr>
              <w:t xml:space="preserve"> - PRORAČUN</w:t>
            </w:r>
          </w:p>
        </w:tc>
        <w:tc>
          <w:tcPr>
            <w:tcW w:w="1984" w:type="dxa"/>
            <w:shd w:val="clear" w:color="auto" w:fill="auto"/>
            <w:noWrap/>
            <w:vAlign w:val="bottom"/>
            <w:hideMark/>
          </w:tcPr>
          <w:p w:rsidR="00417245" w:rsidRPr="00412299" w:rsidRDefault="00417245" w:rsidP="00382B0F">
            <w:pPr>
              <w:spacing w:line="240" w:lineRule="auto"/>
              <w:jc w:val="right"/>
              <w:rPr>
                <w:rFonts w:ascii="Calibri" w:hAnsi="Calibri"/>
                <w:sz w:val="18"/>
                <w:szCs w:val="18"/>
                <w:lang w:eastAsia="sl-SI"/>
              </w:rPr>
            </w:pPr>
            <w:r w:rsidRPr="00972554">
              <w:rPr>
                <w:rFonts w:ascii="Calibri" w:hAnsi="Calibri"/>
                <w:sz w:val="18"/>
                <w:szCs w:val="18"/>
              </w:rPr>
              <w:t xml:space="preserve">222.032.927 </w:t>
            </w:r>
          </w:p>
        </w:tc>
        <w:tc>
          <w:tcPr>
            <w:tcW w:w="1701" w:type="dxa"/>
            <w:shd w:val="clear" w:color="auto" w:fill="FFFFFF"/>
            <w:noWrap/>
            <w:vAlign w:val="bottom"/>
            <w:hideMark/>
          </w:tcPr>
          <w:p w:rsidR="00417245" w:rsidRPr="00412299" w:rsidRDefault="00417245" w:rsidP="00412299">
            <w:pPr>
              <w:spacing w:line="240" w:lineRule="auto"/>
              <w:jc w:val="right"/>
              <w:rPr>
                <w:rFonts w:ascii="Calibri" w:hAnsi="Calibri"/>
                <w:sz w:val="18"/>
                <w:szCs w:val="18"/>
                <w:lang w:eastAsia="sl-SI"/>
              </w:rPr>
            </w:pPr>
            <w:r w:rsidRPr="00972554">
              <w:rPr>
                <w:rFonts w:ascii="Calibri" w:hAnsi="Calibri"/>
                <w:sz w:val="18"/>
                <w:szCs w:val="18"/>
              </w:rPr>
              <w:t>14,98</w:t>
            </w:r>
          </w:p>
        </w:tc>
      </w:tr>
      <w:tr w:rsidR="00417245" w:rsidRPr="00972554" w:rsidTr="00972554">
        <w:trPr>
          <w:trHeight w:val="300"/>
        </w:trPr>
        <w:tc>
          <w:tcPr>
            <w:tcW w:w="6024" w:type="dxa"/>
            <w:shd w:val="clear" w:color="auto" w:fill="auto"/>
            <w:noWrap/>
            <w:vAlign w:val="center"/>
            <w:hideMark/>
          </w:tcPr>
          <w:p w:rsidR="00417245" w:rsidRPr="00972554" w:rsidRDefault="00417245" w:rsidP="00972554">
            <w:pPr>
              <w:spacing w:line="240" w:lineRule="auto"/>
              <w:ind w:firstLineChars="100" w:firstLine="181"/>
              <w:jc w:val="left"/>
              <w:rPr>
                <w:rFonts w:ascii="Calibri" w:hAnsi="Calibri"/>
                <w:b/>
                <w:sz w:val="18"/>
                <w:szCs w:val="18"/>
                <w:lang w:eastAsia="sl-SI"/>
              </w:rPr>
            </w:pPr>
            <w:r w:rsidRPr="00972554">
              <w:rPr>
                <w:rFonts w:ascii="Calibri" w:hAnsi="Calibri"/>
                <w:b/>
                <w:sz w:val="18"/>
                <w:szCs w:val="18"/>
              </w:rPr>
              <w:t xml:space="preserve">316-Druge dolgoročne finančne naložbe </w:t>
            </w:r>
          </w:p>
        </w:tc>
        <w:tc>
          <w:tcPr>
            <w:tcW w:w="1984" w:type="dxa"/>
            <w:shd w:val="clear" w:color="auto" w:fill="auto"/>
            <w:noWrap/>
            <w:vAlign w:val="bottom"/>
            <w:hideMark/>
          </w:tcPr>
          <w:p w:rsidR="00417245" w:rsidRPr="00972554" w:rsidRDefault="00417245" w:rsidP="00F83FBB">
            <w:pPr>
              <w:spacing w:line="240" w:lineRule="auto"/>
              <w:jc w:val="right"/>
              <w:rPr>
                <w:rFonts w:ascii="Calibri" w:hAnsi="Calibri"/>
                <w:b/>
                <w:sz w:val="18"/>
                <w:szCs w:val="18"/>
                <w:lang w:eastAsia="sl-SI"/>
              </w:rPr>
            </w:pPr>
            <w:r w:rsidRPr="00972554">
              <w:rPr>
                <w:rFonts w:ascii="Calibri" w:hAnsi="Calibri"/>
                <w:b/>
                <w:sz w:val="18"/>
                <w:szCs w:val="18"/>
              </w:rPr>
              <w:t xml:space="preserve">10.900.853.583 </w:t>
            </w:r>
          </w:p>
        </w:tc>
        <w:tc>
          <w:tcPr>
            <w:tcW w:w="1701" w:type="dxa"/>
            <w:shd w:val="clear" w:color="auto" w:fill="FFFFFF"/>
            <w:noWrap/>
            <w:vAlign w:val="bottom"/>
            <w:hideMark/>
          </w:tcPr>
          <w:p w:rsidR="00417245" w:rsidRPr="00972554" w:rsidRDefault="00417245" w:rsidP="00382B0F">
            <w:pPr>
              <w:spacing w:line="240" w:lineRule="auto"/>
              <w:jc w:val="right"/>
              <w:rPr>
                <w:rFonts w:ascii="Calibri" w:hAnsi="Calibri"/>
                <w:b/>
                <w:sz w:val="18"/>
                <w:szCs w:val="18"/>
                <w:lang w:eastAsia="sl-SI"/>
              </w:rPr>
            </w:pPr>
          </w:p>
        </w:tc>
      </w:tr>
      <w:tr w:rsidR="00417245" w:rsidRPr="00972554" w:rsidTr="00972554">
        <w:trPr>
          <w:trHeight w:val="300"/>
        </w:trPr>
        <w:tc>
          <w:tcPr>
            <w:tcW w:w="6024" w:type="dxa"/>
            <w:shd w:val="clear" w:color="auto" w:fill="auto"/>
            <w:noWrap/>
            <w:vAlign w:val="center"/>
            <w:hideMark/>
          </w:tcPr>
          <w:p w:rsidR="00417245" w:rsidRPr="00412299" w:rsidRDefault="00417245" w:rsidP="00F83FBB">
            <w:pPr>
              <w:spacing w:line="240" w:lineRule="auto"/>
              <w:jc w:val="left"/>
              <w:rPr>
                <w:rFonts w:ascii="Calibri" w:hAnsi="Calibri"/>
                <w:b/>
                <w:bCs/>
                <w:sz w:val="18"/>
                <w:szCs w:val="18"/>
                <w:lang w:eastAsia="sl-SI"/>
              </w:rPr>
            </w:pPr>
            <w:r w:rsidRPr="00972554">
              <w:rPr>
                <w:rFonts w:ascii="Calibri" w:hAnsi="Calibri"/>
                <w:sz w:val="18"/>
                <w:szCs w:val="18"/>
              </w:rPr>
              <w:t>MINISTRSTVO ZA FINANCE</w:t>
            </w:r>
          </w:p>
        </w:tc>
        <w:tc>
          <w:tcPr>
            <w:tcW w:w="1984" w:type="dxa"/>
            <w:shd w:val="clear" w:color="auto" w:fill="auto"/>
            <w:noWrap/>
            <w:vAlign w:val="bottom"/>
            <w:hideMark/>
          </w:tcPr>
          <w:p w:rsidR="00417245" w:rsidRPr="00412299" w:rsidRDefault="00417245" w:rsidP="00382B0F">
            <w:pPr>
              <w:spacing w:line="240" w:lineRule="auto"/>
              <w:jc w:val="right"/>
              <w:rPr>
                <w:rFonts w:ascii="Calibri" w:hAnsi="Calibri"/>
                <w:b/>
                <w:bCs/>
                <w:sz w:val="18"/>
                <w:szCs w:val="18"/>
                <w:lang w:eastAsia="sl-SI"/>
              </w:rPr>
            </w:pPr>
            <w:r w:rsidRPr="00972554">
              <w:rPr>
                <w:rFonts w:ascii="Calibri" w:hAnsi="Calibri"/>
                <w:sz w:val="18"/>
                <w:szCs w:val="18"/>
              </w:rPr>
              <w:t xml:space="preserve">9.610.093.446 </w:t>
            </w:r>
          </w:p>
        </w:tc>
        <w:tc>
          <w:tcPr>
            <w:tcW w:w="1701" w:type="dxa"/>
            <w:shd w:val="clear" w:color="auto" w:fill="FFFFFF"/>
            <w:noWrap/>
            <w:vAlign w:val="bottom"/>
            <w:hideMark/>
          </w:tcPr>
          <w:p w:rsidR="00417245" w:rsidRPr="00412299" w:rsidRDefault="00417245" w:rsidP="00412299">
            <w:pPr>
              <w:spacing w:line="240" w:lineRule="auto"/>
              <w:jc w:val="right"/>
              <w:rPr>
                <w:rFonts w:ascii="Calibri" w:hAnsi="Calibri"/>
                <w:b/>
                <w:bCs/>
                <w:sz w:val="18"/>
                <w:szCs w:val="18"/>
                <w:lang w:eastAsia="sl-SI"/>
              </w:rPr>
            </w:pPr>
            <w:r w:rsidRPr="00972554">
              <w:rPr>
                <w:rFonts w:ascii="Calibri" w:hAnsi="Calibri"/>
                <w:sz w:val="18"/>
                <w:szCs w:val="18"/>
              </w:rPr>
              <w:t>88,16</w:t>
            </w:r>
          </w:p>
        </w:tc>
      </w:tr>
      <w:tr w:rsidR="00417245" w:rsidRPr="00972554" w:rsidTr="00972554">
        <w:trPr>
          <w:trHeight w:val="300"/>
        </w:trPr>
        <w:tc>
          <w:tcPr>
            <w:tcW w:w="6024" w:type="dxa"/>
            <w:shd w:val="clear" w:color="auto" w:fill="auto"/>
            <w:noWrap/>
            <w:vAlign w:val="center"/>
            <w:hideMark/>
          </w:tcPr>
          <w:p w:rsidR="00417245" w:rsidRPr="00412299" w:rsidRDefault="00417245"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INFRASTRUKTURO</w:t>
            </w:r>
          </w:p>
        </w:tc>
        <w:tc>
          <w:tcPr>
            <w:tcW w:w="1984" w:type="dxa"/>
            <w:shd w:val="clear" w:color="auto" w:fill="auto"/>
            <w:noWrap/>
            <w:vAlign w:val="bottom"/>
            <w:hideMark/>
          </w:tcPr>
          <w:p w:rsidR="00417245" w:rsidRPr="00412299" w:rsidRDefault="00417245" w:rsidP="00F83FBB">
            <w:pPr>
              <w:spacing w:line="240" w:lineRule="auto"/>
              <w:jc w:val="right"/>
              <w:rPr>
                <w:rFonts w:ascii="Calibri" w:hAnsi="Calibri"/>
                <w:sz w:val="18"/>
                <w:szCs w:val="18"/>
                <w:lang w:eastAsia="sl-SI"/>
              </w:rPr>
            </w:pPr>
            <w:r w:rsidRPr="00972554">
              <w:rPr>
                <w:rFonts w:ascii="Calibri" w:hAnsi="Calibri"/>
                <w:sz w:val="18"/>
                <w:szCs w:val="18"/>
              </w:rPr>
              <w:t xml:space="preserve">589.543.039 </w:t>
            </w:r>
          </w:p>
        </w:tc>
        <w:tc>
          <w:tcPr>
            <w:tcW w:w="1701" w:type="dxa"/>
            <w:shd w:val="clear" w:color="auto" w:fill="FFFFFF"/>
            <w:noWrap/>
            <w:vAlign w:val="bottom"/>
            <w:hideMark/>
          </w:tcPr>
          <w:p w:rsidR="00417245" w:rsidRPr="00412299" w:rsidRDefault="00417245" w:rsidP="00382B0F">
            <w:pPr>
              <w:spacing w:line="240" w:lineRule="auto"/>
              <w:jc w:val="right"/>
              <w:rPr>
                <w:rFonts w:ascii="Calibri" w:hAnsi="Calibri"/>
                <w:sz w:val="18"/>
                <w:szCs w:val="18"/>
                <w:lang w:eastAsia="sl-SI"/>
              </w:rPr>
            </w:pPr>
            <w:r w:rsidRPr="00972554">
              <w:rPr>
                <w:rFonts w:ascii="Calibri" w:hAnsi="Calibri"/>
                <w:sz w:val="18"/>
                <w:szCs w:val="18"/>
              </w:rPr>
              <w:t>5,41</w:t>
            </w:r>
          </w:p>
        </w:tc>
      </w:tr>
      <w:tr w:rsidR="00417245" w:rsidRPr="00972554" w:rsidTr="00972554">
        <w:trPr>
          <w:trHeight w:val="300"/>
        </w:trPr>
        <w:tc>
          <w:tcPr>
            <w:tcW w:w="6024" w:type="dxa"/>
            <w:shd w:val="clear" w:color="auto" w:fill="auto"/>
            <w:noWrap/>
            <w:vAlign w:val="center"/>
            <w:hideMark/>
          </w:tcPr>
          <w:p w:rsidR="00417245" w:rsidRPr="00412299" w:rsidRDefault="000A7612" w:rsidP="00F83FBB">
            <w:pPr>
              <w:spacing w:line="240" w:lineRule="auto"/>
              <w:ind w:firstLineChars="100" w:firstLine="180"/>
              <w:jc w:val="left"/>
              <w:rPr>
                <w:rFonts w:ascii="Calibri" w:hAnsi="Calibri"/>
                <w:sz w:val="18"/>
                <w:szCs w:val="18"/>
                <w:lang w:eastAsia="sl-SI"/>
              </w:rPr>
            </w:pPr>
            <w:r w:rsidRPr="002B775E">
              <w:rPr>
                <w:rFonts w:ascii="Calibri" w:hAnsi="Calibri"/>
                <w:sz w:val="18"/>
                <w:szCs w:val="18"/>
              </w:rPr>
              <w:t>ZPIZ</w:t>
            </w:r>
          </w:p>
        </w:tc>
        <w:tc>
          <w:tcPr>
            <w:tcW w:w="1984" w:type="dxa"/>
            <w:shd w:val="clear" w:color="auto" w:fill="auto"/>
            <w:noWrap/>
            <w:vAlign w:val="bottom"/>
            <w:hideMark/>
          </w:tcPr>
          <w:p w:rsidR="00417245" w:rsidRPr="00412299" w:rsidRDefault="00417245" w:rsidP="00382B0F">
            <w:pPr>
              <w:spacing w:line="240" w:lineRule="auto"/>
              <w:jc w:val="right"/>
              <w:rPr>
                <w:rFonts w:ascii="Calibri" w:hAnsi="Calibri"/>
                <w:sz w:val="18"/>
                <w:szCs w:val="18"/>
                <w:lang w:eastAsia="sl-SI"/>
              </w:rPr>
            </w:pPr>
            <w:r w:rsidRPr="00972554">
              <w:rPr>
                <w:rFonts w:ascii="Calibri" w:hAnsi="Calibri"/>
                <w:sz w:val="18"/>
                <w:szCs w:val="18"/>
              </w:rPr>
              <w:t xml:space="preserve">340.634.765 </w:t>
            </w:r>
          </w:p>
        </w:tc>
        <w:tc>
          <w:tcPr>
            <w:tcW w:w="1701" w:type="dxa"/>
            <w:shd w:val="clear" w:color="auto" w:fill="FFFFFF"/>
            <w:noWrap/>
            <w:vAlign w:val="bottom"/>
            <w:hideMark/>
          </w:tcPr>
          <w:p w:rsidR="00417245" w:rsidRPr="00412299" w:rsidRDefault="00417245" w:rsidP="00412299">
            <w:pPr>
              <w:spacing w:line="240" w:lineRule="auto"/>
              <w:jc w:val="right"/>
              <w:rPr>
                <w:rFonts w:ascii="Calibri" w:hAnsi="Calibri"/>
                <w:sz w:val="18"/>
                <w:szCs w:val="18"/>
                <w:lang w:eastAsia="sl-SI"/>
              </w:rPr>
            </w:pPr>
            <w:r w:rsidRPr="00972554">
              <w:rPr>
                <w:rFonts w:ascii="Calibri" w:hAnsi="Calibri"/>
                <w:sz w:val="18"/>
                <w:szCs w:val="18"/>
              </w:rPr>
              <w:t>3,12</w:t>
            </w:r>
          </w:p>
        </w:tc>
      </w:tr>
      <w:tr w:rsidR="00417245" w:rsidRPr="00972554" w:rsidTr="00972554">
        <w:trPr>
          <w:trHeight w:val="300"/>
        </w:trPr>
        <w:tc>
          <w:tcPr>
            <w:tcW w:w="6024" w:type="dxa"/>
            <w:shd w:val="clear" w:color="auto" w:fill="auto"/>
            <w:noWrap/>
            <w:vAlign w:val="center"/>
            <w:hideMark/>
          </w:tcPr>
          <w:p w:rsidR="00417245" w:rsidRPr="00972554" w:rsidRDefault="00417245" w:rsidP="00972554">
            <w:pPr>
              <w:spacing w:line="240" w:lineRule="auto"/>
              <w:ind w:firstLineChars="100" w:firstLine="181"/>
              <w:jc w:val="left"/>
              <w:rPr>
                <w:rFonts w:ascii="Calibri" w:hAnsi="Calibri"/>
                <w:b/>
                <w:sz w:val="18"/>
                <w:szCs w:val="18"/>
                <w:lang w:eastAsia="sl-SI"/>
              </w:rPr>
            </w:pPr>
            <w:r w:rsidRPr="00972554">
              <w:rPr>
                <w:rFonts w:ascii="Calibri" w:hAnsi="Calibri"/>
                <w:b/>
                <w:sz w:val="18"/>
                <w:szCs w:val="18"/>
              </w:rPr>
              <w:t xml:space="preserve">317-Dolgoročno dana posojila in depoziti </w:t>
            </w:r>
          </w:p>
        </w:tc>
        <w:tc>
          <w:tcPr>
            <w:tcW w:w="1984" w:type="dxa"/>
            <w:shd w:val="clear" w:color="auto" w:fill="auto"/>
            <w:noWrap/>
            <w:vAlign w:val="bottom"/>
            <w:hideMark/>
          </w:tcPr>
          <w:p w:rsidR="00417245" w:rsidRPr="00972554" w:rsidRDefault="00417245" w:rsidP="00F83FBB">
            <w:pPr>
              <w:spacing w:line="240" w:lineRule="auto"/>
              <w:jc w:val="right"/>
              <w:rPr>
                <w:rFonts w:ascii="Calibri" w:hAnsi="Calibri"/>
                <w:b/>
                <w:sz w:val="18"/>
                <w:szCs w:val="18"/>
                <w:lang w:eastAsia="sl-SI"/>
              </w:rPr>
            </w:pPr>
            <w:r w:rsidRPr="00972554">
              <w:rPr>
                <w:rFonts w:ascii="Calibri" w:hAnsi="Calibri"/>
                <w:b/>
                <w:sz w:val="18"/>
                <w:szCs w:val="18"/>
              </w:rPr>
              <w:t xml:space="preserve">3.235.669.255 </w:t>
            </w:r>
          </w:p>
        </w:tc>
        <w:tc>
          <w:tcPr>
            <w:tcW w:w="1701" w:type="dxa"/>
            <w:shd w:val="clear" w:color="auto" w:fill="FFFFFF"/>
            <w:noWrap/>
            <w:vAlign w:val="bottom"/>
            <w:hideMark/>
          </w:tcPr>
          <w:p w:rsidR="00417245" w:rsidRPr="00972554" w:rsidRDefault="00417245" w:rsidP="00382B0F">
            <w:pPr>
              <w:spacing w:line="240" w:lineRule="auto"/>
              <w:jc w:val="right"/>
              <w:rPr>
                <w:rFonts w:ascii="Calibri" w:hAnsi="Calibri"/>
                <w:b/>
                <w:sz w:val="18"/>
                <w:szCs w:val="18"/>
                <w:lang w:eastAsia="sl-SI"/>
              </w:rPr>
            </w:pPr>
          </w:p>
        </w:tc>
      </w:tr>
      <w:tr w:rsidR="00417245" w:rsidRPr="00972554" w:rsidTr="00972554">
        <w:trPr>
          <w:trHeight w:val="300"/>
        </w:trPr>
        <w:tc>
          <w:tcPr>
            <w:tcW w:w="6024" w:type="dxa"/>
            <w:shd w:val="clear" w:color="auto" w:fill="auto"/>
            <w:noWrap/>
            <w:vAlign w:val="center"/>
            <w:hideMark/>
          </w:tcPr>
          <w:p w:rsidR="00417245" w:rsidRPr="00412299" w:rsidRDefault="00417245" w:rsidP="00F83FBB">
            <w:pPr>
              <w:spacing w:line="240" w:lineRule="auto"/>
              <w:jc w:val="left"/>
              <w:rPr>
                <w:rFonts w:ascii="Calibri" w:hAnsi="Calibri"/>
                <w:b/>
                <w:bCs/>
                <w:sz w:val="18"/>
                <w:szCs w:val="18"/>
                <w:lang w:eastAsia="sl-SI"/>
              </w:rPr>
            </w:pPr>
            <w:r w:rsidRPr="00972554">
              <w:rPr>
                <w:rFonts w:ascii="Calibri" w:hAnsi="Calibri"/>
                <w:sz w:val="18"/>
                <w:szCs w:val="18"/>
              </w:rPr>
              <w:t xml:space="preserve">UPRAVLJAVEC SREDSTEV SISTEMA </w:t>
            </w:r>
            <w:r w:rsidR="008B2E01" w:rsidRPr="002B775E">
              <w:rPr>
                <w:rFonts w:ascii="Calibri" w:hAnsi="Calibri"/>
                <w:sz w:val="18"/>
                <w:szCs w:val="18"/>
              </w:rPr>
              <w:t>EZRD</w:t>
            </w:r>
          </w:p>
        </w:tc>
        <w:tc>
          <w:tcPr>
            <w:tcW w:w="1984" w:type="dxa"/>
            <w:shd w:val="clear" w:color="auto" w:fill="auto"/>
            <w:noWrap/>
            <w:vAlign w:val="bottom"/>
            <w:hideMark/>
          </w:tcPr>
          <w:p w:rsidR="00417245" w:rsidRPr="00412299" w:rsidRDefault="00417245" w:rsidP="00382B0F">
            <w:pPr>
              <w:spacing w:line="240" w:lineRule="auto"/>
              <w:jc w:val="right"/>
              <w:rPr>
                <w:rFonts w:ascii="Calibri" w:hAnsi="Calibri"/>
                <w:b/>
                <w:bCs/>
                <w:sz w:val="18"/>
                <w:szCs w:val="18"/>
                <w:lang w:eastAsia="sl-SI"/>
              </w:rPr>
            </w:pPr>
            <w:r w:rsidRPr="00972554">
              <w:rPr>
                <w:rFonts w:ascii="Calibri" w:hAnsi="Calibri"/>
                <w:sz w:val="18"/>
                <w:szCs w:val="18"/>
              </w:rPr>
              <w:t xml:space="preserve">2.623.524.684 </w:t>
            </w:r>
          </w:p>
        </w:tc>
        <w:tc>
          <w:tcPr>
            <w:tcW w:w="1701" w:type="dxa"/>
            <w:shd w:val="clear" w:color="auto" w:fill="FFFFFF"/>
            <w:noWrap/>
            <w:vAlign w:val="bottom"/>
            <w:hideMark/>
          </w:tcPr>
          <w:p w:rsidR="00417245" w:rsidRPr="00412299" w:rsidRDefault="00417245" w:rsidP="00412299">
            <w:pPr>
              <w:spacing w:line="240" w:lineRule="auto"/>
              <w:jc w:val="right"/>
              <w:rPr>
                <w:rFonts w:ascii="Calibri" w:hAnsi="Calibri"/>
                <w:b/>
                <w:bCs/>
                <w:sz w:val="18"/>
                <w:szCs w:val="18"/>
                <w:lang w:eastAsia="sl-SI"/>
              </w:rPr>
            </w:pPr>
            <w:r w:rsidRPr="00972554">
              <w:rPr>
                <w:rFonts w:ascii="Calibri" w:hAnsi="Calibri"/>
                <w:sz w:val="18"/>
                <w:szCs w:val="18"/>
              </w:rPr>
              <w:t>81,08</w:t>
            </w:r>
          </w:p>
        </w:tc>
      </w:tr>
      <w:tr w:rsidR="00417245" w:rsidRPr="00972554" w:rsidTr="00972554">
        <w:trPr>
          <w:trHeight w:val="300"/>
        </w:trPr>
        <w:tc>
          <w:tcPr>
            <w:tcW w:w="6024" w:type="dxa"/>
            <w:shd w:val="clear" w:color="auto" w:fill="auto"/>
            <w:noWrap/>
            <w:vAlign w:val="center"/>
            <w:hideMark/>
          </w:tcPr>
          <w:p w:rsidR="00417245" w:rsidRPr="00412299" w:rsidRDefault="000A7612" w:rsidP="00F83FBB">
            <w:pPr>
              <w:spacing w:line="240" w:lineRule="auto"/>
              <w:ind w:firstLineChars="100" w:firstLine="180"/>
              <w:jc w:val="left"/>
              <w:rPr>
                <w:rFonts w:ascii="Calibri" w:hAnsi="Calibri"/>
                <w:sz w:val="18"/>
                <w:szCs w:val="18"/>
                <w:lang w:eastAsia="sl-SI"/>
              </w:rPr>
            </w:pPr>
            <w:r w:rsidRPr="002B775E">
              <w:rPr>
                <w:rFonts w:ascii="Calibri" w:hAnsi="Calibri"/>
                <w:sz w:val="18"/>
                <w:szCs w:val="18"/>
              </w:rPr>
              <w:t>RS</w:t>
            </w:r>
            <w:r w:rsidR="00417245" w:rsidRPr="00972554">
              <w:rPr>
                <w:rFonts w:ascii="Calibri" w:hAnsi="Calibri"/>
                <w:sz w:val="18"/>
                <w:szCs w:val="18"/>
              </w:rPr>
              <w:t xml:space="preserve"> - PRORAČUN</w:t>
            </w:r>
          </w:p>
        </w:tc>
        <w:tc>
          <w:tcPr>
            <w:tcW w:w="1984" w:type="dxa"/>
            <w:shd w:val="clear" w:color="auto" w:fill="auto"/>
            <w:noWrap/>
            <w:vAlign w:val="bottom"/>
            <w:hideMark/>
          </w:tcPr>
          <w:p w:rsidR="00417245" w:rsidRPr="00412299" w:rsidRDefault="00417245" w:rsidP="00382B0F">
            <w:pPr>
              <w:spacing w:line="240" w:lineRule="auto"/>
              <w:jc w:val="right"/>
              <w:rPr>
                <w:rFonts w:ascii="Calibri" w:hAnsi="Calibri"/>
                <w:sz w:val="18"/>
                <w:szCs w:val="18"/>
                <w:lang w:eastAsia="sl-SI"/>
              </w:rPr>
            </w:pPr>
            <w:r w:rsidRPr="00972554">
              <w:rPr>
                <w:rFonts w:ascii="Calibri" w:hAnsi="Calibri"/>
                <w:sz w:val="18"/>
                <w:szCs w:val="18"/>
              </w:rPr>
              <w:t xml:space="preserve">264.096.938 </w:t>
            </w:r>
          </w:p>
        </w:tc>
        <w:tc>
          <w:tcPr>
            <w:tcW w:w="1701" w:type="dxa"/>
            <w:shd w:val="clear" w:color="auto" w:fill="FFFFFF"/>
            <w:noWrap/>
            <w:vAlign w:val="bottom"/>
            <w:hideMark/>
          </w:tcPr>
          <w:p w:rsidR="00417245" w:rsidRPr="00412299" w:rsidRDefault="00417245" w:rsidP="00412299">
            <w:pPr>
              <w:spacing w:line="240" w:lineRule="auto"/>
              <w:jc w:val="right"/>
              <w:rPr>
                <w:rFonts w:ascii="Calibri" w:hAnsi="Calibri"/>
                <w:sz w:val="18"/>
                <w:szCs w:val="18"/>
                <w:lang w:eastAsia="sl-SI"/>
              </w:rPr>
            </w:pPr>
            <w:r w:rsidRPr="00972554">
              <w:rPr>
                <w:rFonts w:ascii="Calibri" w:hAnsi="Calibri"/>
                <w:sz w:val="18"/>
                <w:szCs w:val="18"/>
              </w:rPr>
              <w:t>8,16</w:t>
            </w:r>
          </w:p>
        </w:tc>
      </w:tr>
      <w:tr w:rsidR="00417245" w:rsidRPr="00972554" w:rsidTr="00972554">
        <w:trPr>
          <w:trHeight w:val="300"/>
        </w:trPr>
        <w:tc>
          <w:tcPr>
            <w:tcW w:w="6024" w:type="dxa"/>
            <w:shd w:val="clear" w:color="auto" w:fill="auto"/>
            <w:noWrap/>
            <w:vAlign w:val="center"/>
            <w:hideMark/>
          </w:tcPr>
          <w:p w:rsidR="00417245" w:rsidRPr="00412299" w:rsidRDefault="00417245"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GOSPODARSKI RAZVOJ IN TEHNOLOGIJO</w:t>
            </w:r>
          </w:p>
        </w:tc>
        <w:tc>
          <w:tcPr>
            <w:tcW w:w="1984" w:type="dxa"/>
            <w:shd w:val="clear" w:color="auto" w:fill="auto"/>
            <w:noWrap/>
            <w:vAlign w:val="bottom"/>
            <w:hideMark/>
          </w:tcPr>
          <w:p w:rsidR="00417245" w:rsidRPr="00412299" w:rsidRDefault="00417245" w:rsidP="00F83FBB">
            <w:pPr>
              <w:spacing w:line="240" w:lineRule="auto"/>
              <w:jc w:val="right"/>
              <w:rPr>
                <w:rFonts w:ascii="Calibri" w:hAnsi="Calibri"/>
                <w:sz w:val="18"/>
                <w:szCs w:val="18"/>
                <w:lang w:eastAsia="sl-SI"/>
              </w:rPr>
            </w:pPr>
            <w:r w:rsidRPr="00972554">
              <w:rPr>
                <w:rFonts w:ascii="Calibri" w:hAnsi="Calibri"/>
                <w:sz w:val="18"/>
                <w:szCs w:val="18"/>
              </w:rPr>
              <w:t xml:space="preserve">200.420.418 </w:t>
            </w:r>
          </w:p>
        </w:tc>
        <w:tc>
          <w:tcPr>
            <w:tcW w:w="1701" w:type="dxa"/>
            <w:shd w:val="clear" w:color="auto" w:fill="FFFFFF"/>
            <w:noWrap/>
            <w:vAlign w:val="bottom"/>
            <w:hideMark/>
          </w:tcPr>
          <w:p w:rsidR="00417245" w:rsidRPr="00412299" w:rsidRDefault="00417245" w:rsidP="00382B0F">
            <w:pPr>
              <w:spacing w:line="240" w:lineRule="auto"/>
              <w:jc w:val="right"/>
              <w:rPr>
                <w:rFonts w:ascii="Calibri" w:hAnsi="Calibri"/>
                <w:sz w:val="18"/>
                <w:szCs w:val="18"/>
                <w:lang w:eastAsia="sl-SI"/>
              </w:rPr>
            </w:pPr>
            <w:r w:rsidRPr="00972554">
              <w:rPr>
                <w:rFonts w:ascii="Calibri" w:hAnsi="Calibri"/>
                <w:sz w:val="18"/>
                <w:szCs w:val="18"/>
              </w:rPr>
              <w:t>6,19</w:t>
            </w:r>
          </w:p>
        </w:tc>
      </w:tr>
      <w:tr w:rsidR="00417245" w:rsidRPr="00972554" w:rsidTr="00972554">
        <w:trPr>
          <w:trHeight w:val="300"/>
        </w:trPr>
        <w:tc>
          <w:tcPr>
            <w:tcW w:w="6024" w:type="dxa"/>
            <w:shd w:val="clear" w:color="auto" w:fill="auto"/>
            <w:noWrap/>
            <w:vAlign w:val="center"/>
            <w:hideMark/>
          </w:tcPr>
          <w:p w:rsidR="00417245" w:rsidRPr="00972554" w:rsidRDefault="00417245" w:rsidP="00972554">
            <w:pPr>
              <w:spacing w:line="240" w:lineRule="auto"/>
              <w:ind w:firstLineChars="100" w:firstLine="181"/>
              <w:jc w:val="left"/>
              <w:rPr>
                <w:rFonts w:ascii="Calibri" w:hAnsi="Calibri"/>
                <w:b/>
                <w:sz w:val="18"/>
                <w:szCs w:val="18"/>
                <w:lang w:eastAsia="sl-SI"/>
              </w:rPr>
            </w:pPr>
            <w:r w:rsidRPr="00972554">
              <w:rPr>
                <w:rFonts w:ascii="Calibri" w:hAnsi="Calibri"/>
                <w:b/>
                <w:sz w:val="18"/>
                <w:szCs w:val="18"/>
              </w:rPr>
              <w:t xml:space="preserve">318-Dolgoročne terjatve iz poslovanja </w:t>
            </w:r>
          </w:p>
        </w:tc>
        <w:tc>
          <w:tcPr>
            <w:tcW w:w="1984" w:type="dxa"/>
            <w:shd w:val="clear" w:color="auto" w:fill="auto"/>
            <w:noWrap/>
            <w:vAlign w:val="bottom"/>
            <w:hideMark/>
          </w:tcPr>
          <w:p w:rsidR="00417245" w:rsidRPr="00972554" w:rsidRDefault="00417245" w:rsidP="00F83FBB">
            <w:pPr>
              <w:spacing w:line="240" w:lineRule="auto"/>
              <w:jc w:val="right"/>
              <w:rPr>
                <w:rFonts w:ascii="Calibri" w:hAnsi="Calibri"/>
                <w:b/>
                <w:sz w:val="18"/>
                <w:szCs w:val="18"/>
                <w:lang w:eastAsia="sl-SI"/>
              </w:rPr>
            </w:pPr>
            <w:r w:rsidRPr="00972554">
              <w:rPr>
                <w:rFonts w:ascii="Calibri" w:hAnsi="Calibri"/>
                <w:b/>
                <w:sz w:val="18"/>
                <w:szCs w:val="18"/>
              </w:rPr>
              <w:t xml:space="preserve">343.286.961 </w:t>
            </w:r>
          </w:p>
        </w:tc>
        <w:tc>
          <w:tcPr>
            <w:tcW w:w="1701" w:type="dxa"/>
            <w:shd w:val="clear" w:color="auto" w:fill="FFFFFF"/>
            <w:noWrap/>
            <w:vAlign w:val="bottom"/>
            <w:hideMark/>
          </w:tcPr>
          <w:p w:rsidR="00417245" w:rsidRPr="00972554" w:rsidRDefault="00417245" w:rsidP="00382B0F">
            <w:pPr>
              <w:spacing w:line="240" w:lineRule="auto"/>
              <w:jc w:val="right"/>
              <w:rPr>
                <w:rFonts w:ascii="Calibri" w:hAnsi="Calibri"/>
                <w:b/>
                <w:sz w:val="18"/>
                <w:szCs w:val="18"/>
                <w:lang w:eastAsia="sl-SI"/>
              </w:rPr>
            </w:pPr>
          </w:p>
        </w:tc>
      </w:tr>
      <w:tr w:rsidR="00417245" w:rsidRPr="00972554" w:rsidTr="00972554">
        <w:trPr>
          <w:trHeight w:val="300"/>
        </w:trPr>
        <w:tc>
          <w:tcPr>
            <w:tcW w:w="6024" w:type="dxa"/>
            <w:shd w:val="clear" w:color="auto" w:fill="auto"/>
            <w:noWrap/>
            <w:vAlign w:val="center"/>
            <w:hideMark/>
          </w:tcPr>
          <w:p w:rsidR="00417245" w:rsidRPr="00412299" w:rsidRDefault="000A7612" w:rsidP="00F83FBB">
            <w:pPr>
              <w:spacing w:line="240" w:lineRule="auto"/>
              <w:jc w:val="left"/>
              <w:rPr>
                <w:rFonts w:ascii="Calibri" w:hAnsi="Calibri"/>
                <w:b/>
                <w:bCs/>
                <w:sz w:val="18"/>
                <w:szCs w:val="18"/>
                <w:lang w:eastAsia="sl-SI"/>
              </w:rPr>
            </w:pPr>
            <w:r w:rsidRPr="002B775E">
              <w:rPr>
                <w:rFonts w:ascii="Calibri" w:hAnsi="Calibri"/>
                <w:sz w:val="18"/>
                <w:szCs w:val="18"/>
              </w:rPr>
              <w:t>RS</w:t>
            </w:r>
            <w:r w:rsidR="00417245" w:rsidRPr="00972554">
              <w:rPr>
                <w:rFonts w:ascii="Calibri" w:hAnsi="Calibri"/>
                <w:sz w:val="18"/>
                <w:szCs w:val="18"/>
              </w:rPr>
              <w:t xml:space="preserve"> - PRORAČUN</w:t>
            </w:r>
          </w:p>
        </w:tc>
        <w:tc>
          <w:tcPr>
            <w:tcW w:w="1984" w:type="dxa"/>
            <w:shd w:val="clear" w:color="auto" w:fill="auto"/>
            <w:noWrap/>
            <w:vAlign w:val="bottom"/>
            <w:hideMark/>
          </w:tcPr>
          <w:p w:rsidR="00417245" w:rsidRPr="00116FC1" w:rsidRDefault="00417245" w:rsidP="00382B0F">
            <w:pPr>
              <w:spacing w:line="240" w:lineRule="auto"/>
              <w:jc w:val="right"/>
              <w:rPr>
                <w:rFonts w:ascii="Calibri" w:hAnsi="Calibri"/>
                <w:b/>
                <w:bCs/>
                <w:sz w:val="18"/>
                <w:szCs w:val="18"/>
                <w:lang w:eastAsia="sl-SI"/>
              </w:rPr>
            </w:pPr>
            <w:r w:rsidRPr="00972554">
              <w:rPr>
                <w:rFonts w:ascii="Calibri" w:hAnsi="Calibri"/>
                <w:sz w:val="18"/>
                <w:szCs w:val="18"/>
              </w:rPr>
              <w:t xml:space="preserve">203.328.853 </w:t>
            </w:r>
          </w:p>
        </w:tc>
        <w:tc>
          <w:tcPr>
            <w:tcW w:w="1701" w:type="dxa"/>
            <w:shd w:val="clear" w:color="auto" w:fill="FFFFFF"/>
            <w:noWrap/>
            <w:vAlign w:val="bottom"/>
            <w:hideMark/>
          </w:tcPr>
          <w:p w:rsidR="00417245" w:rsidRPr="00412299" w:rsidRDefault="00417245" w:rsidP="00412299">
            <w:pPr>
              <w:spacing w:line="240" w:lineRule="auto"/>
              <w:jc w:val="right"/>
              <w:rPr>
                <w:rFonts w:ascii="Calibri" w:hAnsi="Calibri"/>
                <w:b/>
                <w:bCs/>
                <w:sz w:val="18"/>
                <w:szCs w:val="18"/>
                <w:lang w:eastAsia="sl-SI"/>
              </w:rPr>
            </w:pPr>
            <w:r w:rsidRPr="00972554">
              <w:rPr>
                <w:rFonts w:ascii="Calibri" w:hAnsi="Calibri"/>
                <w:sz w:val="18"/>
                <w:szCs w:val="18"/>
              </w:rPr>
              <w:t>59,23</w:t>
            </w:r>
          </w:p>
        </w:tc>
      </w:tr>
      <w:tr w:rsidR="00417245" w:rsidRPr="00972554" w:rsidTr="00972554">
        <w:trPr>
          <w:trHeight w:val="300"/>
        </w:trPr>
        <w:tc>
          <w:tcPr>
            <w:tcW w:w="6024" w:type="dxa"/>
            <w:shd w:val="clear" w:color="auto" w:fill="auto"/>
            <w:noWrap/>
            <w:vAlign w:val="center"/>
            <w:hideMark/>
          </w:tcPr>
          <w:p w:rsidR="00417245" w:rsidRPr="00412299" w:rsidRDefault="00417245"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INFRASTRUKTURO</w:t>
            </w:r>
          </w:p>
        </w:tc>
        <w:tc>
          <w:tcPr>
            <w:tcW w:w="1984" w:type="dxa"/>
            <w:shd w:val="clear" w:color="auto" w:fill="auto"/>
            <w:noWrap/>
            <w:vAlign w:val="bottom"/>
            <w:hideMark/>
          </w:tcPr>
          <w:p w:rsidR="00417245" w:rsidRPr="00412299" w:rsidRDefault="00417245" w:rsidP="00F83FBB">
            <w:pPr>
              <w:spacing w:line="240" w:lineRule="auto"/>
              <w:jc w:val="right"/>
              <w:rPr>
                <w:rFonts w:ascii="Calibri" w:hAnsi="Calibri"/>
                <w:sz w:val="18"/>
                <w:szCs w:val="18"/>
                <w:lang w:eastAsia="sl-SI"/>
              </w:rPr>
            </w:pPr>
            <w:r w:rsidRPr="00972554">
              <w:rPr>
                <w:rFonts w:ascii="Calibri" w:hAnsi="Calibri"/>
                <w:sz w:val="18"/>
                <w:szCs w:val="18"/>
              </w:rPr>
              <w:t xml:space="preserve">129.119.286 </w:t>
            </w:r>
          </w:p>
        </w:tc>
        <w:tc>
          <w:tcPr>
            <w:tcW w:w="1701" w:type="dxa"/>
            <w:shd w:val="clear" w:color="auto" w:fill="FFFFFF"/>
            <w:noWrap/>
            <w:vAlign w:val="bottom"/>
            <w:hideMark/>
          </w:tcPr>
          <w:p w:rsidR="00417245" w:rsidRPr="00412299" w:rsidRDefault="00417245" w:rsidP="00382B0F">
            <w:pPr>
              <w:spacing w:line="240" w:lineRule="auto"/>
              <w:jc w:val="right"/>
              <w:rPr>
                <w:rFonts w:ascii="Calibri" w:hAnsi="Calibri"/>
                <w:sz w:val="18"/>
                <w:szCs w:val="18"/>
                <w:lang w:eastAsia="sl-SI"/>
              </w:rPr>
            </w:pPr>
            <w:r w:rsidRPr="00972554">
              <w:rPr>
                <w:rFonts w:ascii="Calibri" w:hAnsi="Calibri"/>
                <w:sz w:val="18"/>
                <w:szCs w:val="18"/>
              </w:rPr>
              <w:t>37,61</w:t>
            </w:r>
          </w:p>
        </w:tc>
      </w:tr>
      <w:tr w:rsidR="00417245" w:rsidRPr="00972554" w:rsidTr="00972554">
        <w:trPr>
          <w:trHeight w:val="300"/>
        </w:trPr>
        <w:tc>
          <w:tcPr>
            <w:tcW w:w="6024" w:type="dxa"/>
            <w:shd w:val="clear" w:color="auto" w:fill="auto"/>
            <w:noWrap/>
            <w:vAlign w:val="center"/>
            <w:hideMark/>
          </w:tcPr>
          <w:p w:rsidR="00417245" w:rsidRPr="00412299" w:rsidRDefault="00417245"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FINANCE</w:t>
            </w:r>
          </w:p>
        </w:tc>
        <w:tc>
          <w:tcPr>
            <w:tcW w:w="1984" w:type="dxa"/>
            <w:shd w:val="clear" w:color="auto" w:fill="auto"/>
            <w:noWrap/>
            <w:vAlign w:val="bottom"/>
            <w:hideMark/>
          </w:tcPr>
          <w:p w:rsidR="00417245" w:rsidRPr="00412299" w:rsidRDefault="00417245" w:rsidP="00F83FBB">
            <w:pPr>
              <w:spacing w:line="240" w:lineRule="auto"/>
              <w:jc w:val="right"/>
              <w:rPr>
                <w:rFonts w:ascii="Calibri" w:hAnsi="Calibri"/>
                <w:sz w:val="18"/>
                <w:szCs w:val="18"/>
                <w:lang w:eastAsia="sl-SI"/>
              </w:rPr>
            </w:pPr>
            <w:r w:rsidRPr="00972554">
              <w:rPr>
                <w:rFonts w:ascii="Calibri" w:hAnsi="Calibri"/>
                <w:sz w:val="18"/>
                <w:szCs w:val="18"/>
              </w:rPr>
              <w:t xml:space="preserve">7.286.816 </w:t>
            </w:r>
          </w:p>
        </w:tc>
        <w:tc>
          <w:tcPr>
            <w:tcW w:w="1701" w:type="dxa"/>
            <w:shd w:val="clear" w:color="auto" w:fill="FFFFFF"/>
            <w:noWrap/>
            <w:vAlign w:val="bottom"/>
            <w:hideMark/>
          </w:tcPr>
          <w:p w:rsidR="00417245" w:rsidRPr="00412299" w:rsidRDefault="00417245" w:rsidP="00382B0F">
            <w:pPr>
              <w:spacing w:line="240" w:lineRule="auto"/>
              <w:jc w:val="right"/>
              <w:rPr>
                <w:rFonts w:ascii="Calibri" w:hAnsi="Calibri"/>
                <w:sz w:val="18"/>
                <w:szCs w:val="18"/>
                <w:lang w:eastAsia="sl-SI"/>
              </w:rPr>
            </w:pPr>
            <w:r w:rsidRPr="00972554">
              <w:rPr>
                <w:rFonts w:ascii="Calibri" w:hAnsi="Calibri"/>
                <w:sz w:val="18"/>
                <w:szCs w:val="18"/>
              </w:rPr>
              <w:t>2,12</w:t>
            </w:r>
          </w:p>
        </w:tc>
      </w:tr>
      <w:tr w:rsidR="00417245" w:rsidRPr="00972554" w:rsidTr="00972554">
        <w:trPr>
          <w:trHeight w:val="300"/>
        </w:trPr>
        <w:tc>
          <w:tcPr>
            <w:tcW w:w="6024" w:type="dxa"/>
            <w:shd w:val="clear" w:color="auto" w:fill="auto"/>
            <w:noWrap/>
            <w:vAlign w:val="center"/>
            <w:hideMark/>
          </w:tcPr>
          <w:p w:rsidR="00417245" w:rsidRPr="00972554" w:rsidRDefault="00417245" w:rsidP="00972554">
            <w:pPr>
              <w:spacing w:line="240" w:lineRule="auto"/>
              <w:ind w:firstLineChars="100" w:firstLine="181"/>
              <w:jc w:val="left"/>
              <w:rPr>
                <w:rFonts w:ascii="Calibri" w:hAnsi="Calibri"/>
                <w:b/>
                <w:sz w:val="18"/>
                <w:szCs w:val="18"/>
                <w:lang w:eastAsia="sl-SI"/>
              </w:rPr>
            </w:pPr>
            <w:r w:rsidRPr="00972554">
              <w:rPr>
                <w:rFonts w:ascii="Calibri" w:hAnsi="Calibri"/>
                <w:b/>
                <w:sz w:val="18"/>
                <w:szCs w:val="18"/>
              </w:rPr>
              <w:t xml:space="preserve">319-Denarna sredstva </w:t>
            </w:r>
          </w:p>
        </w:tc>
        <w:tc>
          <w:tcPr>
            <w:tcW w:w="1984" w:type="dxa"/>
            <w:shd w:val="clear" w:color="auto" w:fill="auto"/>
            <w:noWrap/>
            <w:vAlign w:val="bottom"/>
            <w:hideMark/>
          </w:tcPr>
          <w:p w:rsidR="00417245" w:rsidRPr="00972554" w:rsidRDefault="00417245" w:rsidP="00F83FBB">
            <w:pPr>
              <w:spacing w:line="240" w:lineRule="auto"/>
              <w:jc w:val="right"/>
              <w:rPr>
                <w:rFonts w:ascii="Calibri" w:hAnsi="Calibri"/>
                <w:b/>
                <w:sz w:val="18"/>
                <w:szCs w:val="18"/>
                <w:lang w:eastAsia="sl-SI"/>
              </w:rPr>
            </w:pPr>
            <w:r w:rsidRPr="00972554">
              <w:rPr>
                <w:rFonts w:ascii="Calibri" w:hAnsi="Calibri"/>
                <w:b/>
                <w:sz w:val="18"/>
                <w:szCs w:val="18"/>
              </w:rPr>
              <w:t xml:space="preserve">3.506.216.683 </w:t>
            </w:r>
          </w:p>
        </w:tc>
        <w:tc>
          <w:tcPr>
            <w:tcW w:w="1701" w:type="dxa"/>
            <w:shd w:val="clear" w:color="auto" w:fill="FFFFFF"/>
            <w:noWrap/>
            <w:vAlign w:val="bottom"/>
            <w:hideMark/>
          </w:tcPr>
          <w:p w:rsidR="00417245" w:rsidRPr="00972554" w:rsidRDefault="00417245" w:rsidP="00382B0F">
            <w:pPr>
              <w:spacing w:line="240" w:lineRule="auto"/>
              <w:jc w:val="right"/>
              <w:rPr>
                <w:rFonts w:ascii="Calibri" w:hAnsi="Calibri"/>
                <w:b/>
                <w:sz w:val="18"/>
                <w:szCs w:val="18"/>
                <w:lang w:eastAsia="sl-SI"/>
              </w:rPr>
            </w:pPr>
          </w:p>
        </w:tc>
      </w:tr>
      <w:tr w:rsidR="00417245" w:rsidRPr="00972554" w:rsidTr="00972554">
        <w:trPr>
          <w:trHeight w:val="300"/>
        </w:trPr>
        <w:tc>
          <w:tcPr>
            <w:tcW w:w="6024" w:type="dxa"/>
            <w:shd w:val="clear" w:color="auto" w:fill="auto"/>
            <w:noWrap/>
            <w:vAlign w:val="center"/>
            <w:hideMark/>
          </w:tcPr>
          <w:p w:rsidR="00417245" w:rsidRPr="00412299" w:rsidRDefault="00417245" w:rsidP="00F83FBB">
            <w:pPr>
              <w:spacing w:line="240" w:lineRule="auto"/>
              <w:jc w:val="left"/>
              <w:rPr>
                <w:rFonts w:ascii="Calibri" w:hAnsi="Calibri"/>
                <w:b/>
                <w:bCs/>
                <w:sz w:val="18"/>
                <w:szCs w:val="18"/>
                <w:lang w:eastAsia="sl-SI"/>
              </w:rPr>
            </w:pPr>
            <w:r w:rsidRPr="00972554">
              <w:rPr>
                <w:rFonts w:ascii="Calibri" w:hAnsi="Calibri"/>
                <w:sz w:val="18"/>
                <w:szCs w:val="18"/>
              </w:rPr>
              <w:t xml:space="preserve">UPRAVLJAVEC SREDSTEV SISTEMA </w:t>
            </w:r>
            <w:r w:rsidR="008B2E01" w:rsidRPr="002B775E">
              <w:rPr>
                <w:rFonts w:ascii="Calibri" w:hAnsi="Calibri"/>
                <w:sz w:val="18"/>
                <w:szCs w:val="18"/>
              </w:rPr>
              <w:t>EZRD</w:t>
            </w:r>
          </w:p>
        </w:tc>
        <w:tc>
          <w:tcPr>
            <w:tcW w:w="1984" w:type="dxa"/>
            <w:shd w:val="clear" w:color="auto" w:fill="auto"/>
            <w:noWrap/>
            <w:vAlign w:val="bottom"/>
            <w:hideMark/>
          </w:tcPr>
          <w:p w:rsidR="00417245" w:rsidRPr="00412299" w:rsidRDefault="00417245" w:rsidP="00382B0F">
            <w:pPr>
              <w:spacing w:line="240" w:lineRule="auto"/>
              <w:jc w:val="right"/>
              <w:rPr>
                <w:rFonts w:ascii="Calibri" w:hAnsi="Calibri"/>
                <w:b/>
                <w:bCs/>
                <w:sz w:val="18"/>
                <w:szCs w:val="18"/>
                <w:lang w:eastAsia="sl-SI"/>
              </w:rPr>
            </w:pPr>
            <w:r w:rsidRPr="00972554">
              <w:rPr>
                <w:rFonts w:ascii="Calibri" w:hAnsi="Calibri"/>
                <w:sz w:val="18"/>
                <w:szCs w:val="18"/>
              </w:rPr>
              <w:t xml:space="preserve">3.443.672.650 </w:t>
            </w:r>
          </w:p>
        </w:tc>
        <w:tc>
          <w:tcPr>
            <w:tcW w:w="1701" w:type="dxa"/>
            <w:shd w:val="clear" w:color="auto" w:fill="FFFFFF"/>
            <w:noWrap/>
            <w:vAlign w:val="bottom"/>
            <w:hideMark/>
          </w:tcPr>
          <w:p w:rsidR="00417245" w:rsidRPr="00412299" w:rsidRDefault="00417245" w:rsidP="00412299">
            <w:pPr>
              <w:spacing w:line="240" w:lineRule="auto"/>
              <w:jc w:val="right"/>
              <w:rPr>
                <w:rFonts w:ascii="Calibri" w:hAnsi="Calibri"/>
                <w:b/>
                <w:bCs/>
                <w:sz w:val="18"/>
                <w:szCs w:val="18"/>
                <w:lang w:eastAsia="sl-SI"/>
              </w:rPr>
            </w:pPr>
            <w:r w:rsidRPr="00972554">
              <w:rPr>
                <w:rFonts w:ascii="Calibri" w:hAnsi="Calibri"/>
                <w:sz w:val="18"/>
                <w:szCs w:val="18"/>
              </w:rPr>
              <w:t>98,22</w:t>
            </w:r>
          </w:p>
        </w:tc>
      </w:tr>
      <w:tr w:rsidR="00417245" w:rsidRPr="00972554" w:rsidTr="00972554">
        <w:trPr>
          <w:trHeight w:val="300"/>
        </w:trPr>
        <w:tc>
          <w:tcPr>
            <w:tcW w:w="6024" w:type="dxa"/>
            <w:shd w:val="clear" w:color="auto" w:fill="auto"/>
            <w:noWrap/>
            <w:vAlign w:val="center"/>
            <w:hideMark/>
          </w:tcPr>
          <w:p w:rsidR="00417245" w:rsidRPr="00412299" w:rsidRDefault="000A7612" w:rsidP="00F83FBB">
            <w:pPr>
              <w:spacing w:line="240" w:lineRule="auto"/>
              <w:ind w:firstLineChars="100" w:firstLine="180"/>
              <w:jc w:val="left"/>
              <w:rPr>
                <w:rFonts w:ascii="Calibri" w:hAnsi="Calibri"/>
                <w:sz w:val="18"/>
                <w:szCs w:val="18"/>
                <w:lang w:eastAsia="sl-SI"/>
              </w:rPr>
            </w:pPr>
            <w:r w:rsidRPr="002B775E">
              <w:rPr>
                <w:rFonts w:ascii="Calibri" w:hAnsi="Calibri"/>
                <w:sz w:val="18"/>
                <w:szCs w:val="18"/>
              </w:rPr>
              <w:t>RS</w:t>
            </w:r>
            <w:r w:rsidR="00417245" w:rsidRPr="00972554">
              <w:rPr>
                <w:rFonts w:ascii="Calibri" w:hAnsi="Calibri"/>
                <w:sz w:val="18"/>
                <w:szCs w:val="18"/>
              </w:rPr>
              <w:t xml:space="preserve"> - PRORAČUN</w:t>
            </w:r>
          </w:p>
        </w:tc>
        <w:tc>
          <w:tcPr>
            <w:tcW w:w="1984" w:type="dxa"/>
            <w:shd w:val="clear" w:color="auto" w:fill="auto"/>
            <w:noWrap/>
            <w:vAlign w:val="bottom"/>
            <w:hideMark/>
          </w:tcPr>
          <w:p w:rsidR="00417245" w:rsidRPr="00412299" w:rsidRDefault="00417245" w:rsidP="00382B0F">
            <w:pPr>
              <w:spacing w:line="240" w:lineRule="auto"/>
              <w:jc w:val="right"/>
              <w:rPr>
                <w:rFonts w:ascii="Calibri" w:hAnsi="Calibri"/>
                <w:sz w:val="18"/>
                <w:szCs w:val="18"/>
                <w:lang w:eastAsia="sl-SI"/>
              </w:rPr>
            </w:pPr>
            <w:r w:rsidRPr="00972554">
              <w:rPr>
                <w:rFonts w:ascii="Calibri" w:hAnsi="Calibri"/>
                <w:sz w:val="18"/>
                <w:szCs w:val="18"/>
              </w:rPr>
              <w:t xml:space="preserve">50.402.731 </w:t>
            </w:r>
          </w:p>
        </w:tc>
        <w:tc>
          <w:tcPr>
            <w:tcW w:w="1701" w:type="dxa"/>
            <w:shd w:val="clear" w:color="auto" w:fill="FFFFFF"/>
            <w:noWrap/>
            <w:vAlign w:val="bottom"/>
            <w:hideMark/>
          </w:tcPr>
          <w:p w:rsidR="00417245" w:rsidRPr="00412299" w:rsidRDefault="00417245" w:rsidP="00412299">
            <w:pPr>
              <w:spacing w:line="240" w:lineRule="auto"/>
              <w:jc w:val="right"/>
              <w:rPr>
                <w:rFonts w:ascii="Calibri" w:hAnsi="Calibri"/>
                <w:sz w:val="18"/>
                <w:szCs w:val="18"/>
                <w:lang w:eastAsia="sl-SI"/>
              </w:rPr>
            </w:pPr>
            <w:r w:rsidRPr="00972554">
              <w:rPr>
                <w:rFonts w:ascii="Calibri" w:hAnsi="Calibri"/>
                <w:sz w:val="18"/>
                <w:szCs w:val="18"/>
              </w:rPr>
              <w:t>1,44</w:t>
            </w:r>
          </w:p>
        </w:tc>
      </w:tr>
      <w:tr w:rsidR="00417245" w:rsidRPr="00972554" w:rsidTr="00972554">
        <w:trPr>
          <w:trHeight w:val="300"/>
        </w:trPr>
        <w:tc>
          <w:tcPr>
            <w:tcW w:w="6024" w:type="dxa"/>
            <w:shd w:val="clear" w:color="auto" w:fill="auto"/>
            <w:noWrap/>
            <w:vAlign w:val="center"/>
            <w:hideMark/>
          </w:tcPr>
          <w:p w:rsidR="00417245" w:rsidRPr="00412299" w:rsidRDefault="00417245"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lastRenderedPageBreak/>
              <w:t>MINISTRSTVO ZA FINANCE</w:t>
            </w:r>
          </w:p>
        </w:tc>
        <w:tc>
          <w:tcPr>
            <w:tcW w:w="1984" w:type="dxa"/>
            <w:shd w:val="clear" w:color="auto" w:fill="auto"/>
            <w:noWrap/>
            <w:vAlign w:val="bottom"/>
            <w:hideMark/>
          </w:tcPr>
          <w:p w:rsidR="00417245" w:rsidRPr="00412299" w:rsidRDefault="00417245" w:rsidP="00F83FBB">
            <w:pPr>
              <w:spacing w:line="240" w:lineRule="auto"/>
              <w:jc w:val="right"/>
              <w:rPr>
                <w:rFonts w:ascii="Calibri" w:hAnsi="Calibri"/>
                <w:sz w:val="18"/>
                <w:szCs w:val="18"/>
                <w:lang w:eastAsia="sl-SI"/>
              </w:rPr>
            </w:pPr>
            <w:r w:rsidRPr="00972554">
              <w:rPr>
                <w:rFonts w:ascii="Calibri" w:hAnsi="Calibri"/>
                <w:sz w:val="18"/>
                <w:szCs w:val="18"/>
              </w:rPr>
              <w:t xml:space="preserve">9.002.475 </w:t>
            </w:r>
          </w:p>
        </w:tc>
        <w:tc>
          <w:tcPr>
            <w:tcW w:w="1701" w:type="dxa"/>
            <w:shd w:val="clear" w:color="auto" w:fill="FFFFFF"/>
            <w:noWrap/>
            <w:vAlign w:val="bottom"/>
            <w:hideMark/>
          </w:tcPr>
          <w:p w:rsidR="00417245" w:rsidRPr="00412299" w:rsidRDefault="00417245" w:rsidP="00382B0F">
            <w:pPr>
              <w:spacing w:line="240" w:lineRule="auto"/>
              <w:jc w:val="right"/>
              <w:rPr>
                <w:rFonts w:ascii="Calibri" w:hAnsi="Calibri"/>
                <w:sz w:val="18"/>
                <w:szCs w:val="18"/>
                <w:lang w:eastAsia="sl-SI"/>
              </w:rPr>
            </w:pPr>
            <w:r w:rsidRPr="00972554">
              <w:rPr>
                <w:rFonts w:ascii="Calibri" w:hAnsi="Calibri"/>
                <w:sz w:val="18"/>
                <w:szCs w:val="18"/>
              </w:rPr>
              <w:t>0,26</w:t>
            </w:r>
          </w:p>
        </w:tc>
      </w:tr>
      <w:tr w:rsidR="00417245" w:rsidRPr="00972554" w:rsidTr="00972554">
        <w:trPr>
          <w:trHeight w:val="300"/>
        </w:trPr>
        <w:tc>
          <w:tcPr>
            <w:tcW w:w="6024" w:type="dxa"/>
            <w:shd w:val="clear" w:color="auto" w:fill="auto"/>
            <w:noWrap/>
            <w:vAlign w:val="center"/>
            <w:hideMark/>
          </w:tcPr>
          <w:p w:rsidR="00417245" w:rsidRPr="00972554" w:rsidRDefault="00417245" w:rsidP="00972554">
            <w:pPr>
              <w:spacing w:line="240" w:lineRule="auto"/>
              <w:ind w:firstLineChars="100" w:firstLine="181"/>
              <w:jc w:val="left"/>
              <w:rPr>
                <w:rFonts w:ascii="Calibri" w:hAnsi="Calibri"/>
                <w:b/>
                <w:sz w:val="18"/>
                <w:szCs w:val="18"/>
                <w:lang w:eastAsia="sl-SI"/>
              </w:rPr>
            </w:pPr>
            <w:r w:rsidRPr="00972554">
              <w:rPr>
                <w:rFonts w:ascii="Calibri" w:hAnsi="Calibri"/>
                <w:b/>
                <w:sz w:val="18"/>
                <w:szCs w:val="18"/>
              </w:rPr>
              <w:t xml:space="preserve">320-Kratkoročne terjatve </w:t>
            </w:r>
          </w:p>
        </w:tc>
        <w:tc>
          <w:tcPr>
            <w:tcW w:w="1984" w:type="dxa"/>
            <w:shd w:val="clear" w:color="auto" w:fill="auto"/>
            <w:noWrap/>
            <w:vAlign w:val="bottom"/>
            <w:hideMark/>
          </w:tcPr>
          <w:p w:rsidR="00417245" w:rsidRPr="00972554" w:rsidRDefault="00417245" w:rsidP="00F83FBB">
            <w:pPr>
              <w:spacing w:line="240" w:lineRule="auto"/>
              <w:jc w:val="right"/>
              <w:rPr>
                <w:rFonts w:ascii="Calibri" w:hAnsi="Calibri"/>
                <w:b/>
                <w:sz w:val="18"/>
                <w:szCs w:val="18"/>
                <w:lang w:eastAsia="sl-SI"/>
              </w:rPr>
            </w:pPr>
            <w:r w:rsidRPr="00972554">
              <w:rPr>
                <w:rFonts w:ascii="Calibri" w:hAnsi="Calibri"/>
                <w:b/>
                <w:sz w:val="18"/>
                <w:szCs w:val="18"/>
              </w:rPr>
              <w:t xml:space="preserve">3.921.713.703 </w:t>
            </w:r>
          </w:p>
        </w:tc>
        <w:tc>
          <w:tcPr>
            <w:tcW w:w="1701" w:type="dxa"/>
            <w:shd w:val="clear" w:color="auto" w:fill="FFFFFF"/>
            <w:noWrap/>
            <w:vAlign w:val="bottom"/>
            <w:hideMark/>
          </w:tcPr>
          <w:p w:rsidR="00417245" w:rsidRPr="00972554" w:rsidRDefault="00417245" w:rsidP="00382B0F">
            <w:pPr>
              <w:spacing w:line="240" w:lineRule="auto"/>
              <w:jc w:val="right"/>
              <w:rPr>
                <w:rFonts w:ascii="Calibri" w:hAnsi="Calibri"/>
                <w:b/>
                <w:sz w:val="18"/>
                <w:szCs w:val="18"/>
                <w:lang w:eastAsia="sl-SI"/>
              </w:rPr>
            </w:pPr>
          </w:p>
        </w:tc>
      </w:tr>
      <w:tr w:rsidR="00417245" w:rsidRPr="00972554" w:rsidTr="00972554">
        <w:trPr>
          <w:trHeight w:val="300"/>
        </w:trPr>
        <w:tc>
          <w:tcPr>
            <w:tcW w:w="6024" w:type="dxa"/>
            <w:shd w:val="clear" w:color="auto" w:fill="auto"/>
            <w:noWrap/>
            <w:vAlign w:val="center"/>
            <w:hideMark/>
          </w:tcPr>
          <w:p w:rsidR="00417245" w:rsidRPr="00412299" w:rsidRDefault="000A7612" w:rsidP="00F83FBB">
            <w:pPr>
              <w:spacing w:line="240" w:lineRule="auto"/>
              <w:jc w:val="left"/>
              <w:rPr>
                <w:rFonts w:ascii="Calibri" w:hAnsi="Calibri"/>
                <w:b/>
                <w:bCs/>
                <w:sz w:val="18"/>
                <w:szCs w:val="18"/>
                <w:lang w:eastAsia="sl-SI"/>
              </w:rPr>
            </w:pPr>
            <w:r w:rsidRPr="002B775E">
              <w:rPr>
                <w:rFonts w:ascii="Calibri" w:hAnsi="Calibri"/>
                <w:sz w:val="18"/>
                <w:szCs w:val="18"/>
              </w:rPr>
              <w:t>RS</w:t>
            </w:r>
            <w:r w:rsidR="00417245" w:rsidRPr="00972554">
              <w:rPr>
                <w:rFonts w:ascii="Calibri" w:hAnsi="Calibri"/>
                <w:sz w:val="18"/>
                <w:szCs w:val="18"/>
              </w:rPr>
              <w:t xml:space="preserve"> - PRORAČUN</w:t>
            </w:r>
          </w:p>
        </w:tc>
        <w:tc>
          <w:tcPr>
            <w:tcW w:w="1984" w:type="dxa"/>
            <w:shd w:val="clear" w:color="auto" w:fill="auto"/>
            <w:noWrap/>
            <w:vAlign w:val="bottom"/>
            <w:hideMark/>
          </w:tcPr>
          <w:p w:rsidR="00417245" w:rsidRPr="00412299" w:rsidRDefault="00417245" w:rsidP="00382B0F">
            <w:pPr>
              <w:spacing w:line="240" w:lineRule="auto"/>
              <w:jc w:val="right"/>
              <w:rPr>
                <w:rFonts w:ascii="Calibri" w:hAnsi="Calibri"/>
                <w:b/>
                <w:bCs/>
                <w:sz w:val="18"/>
                <w:szCs w:val="18"/>
                <w:lang w:eastAsia="sl-SI"/>
              </w:rPr>
            </w:pPr>
            <w:r w:rsidRPr="00972554">
              <w:rPr>
                <w:rFonts w:ascii="Calibri" w:hAnsi="Calibri"/>
                <w:sz w:val="18"/>
                <w:szCs w:val="18"/>
              </w:rPr>
              <w:t xml:space="preserve">2.393.925.514 </w:t>
            </w:r>
          </w:p>
        </w:tc>
        <w:tc>
          <w:tcPr>
            <w:tcW w:w="1701" w:type="dxa"/>
            <w:shd w:val="clear" w:color="auto" w:fill="FFFFFF"/>
            <w:noWrap/>
            <w:vAlign w:val="bottom"/>
            <w:hideMark/>
          </w:tcPr>
          <w:p w:rsidR="00417245" w:rsidRPr="00412299" w:rsidRDefault="00417245" w:rsidP="00412299">
            <w:pPr>
              <w:spacing w:line="240" w:lineRule="auto"/>
              <w:jc w:val="right"/>
              <w:rPr>
                <w:rFonts w:ascii="Calibri" w:hAnsi="Calibri"/>
                <w:b/>
                <w:bCs/>
                <w:sz w:val="18"/>
                <w:szCs w:val="18"/>
                <w:lang w:eastAsia="sl-SI"/>
              </w:rPr>
            </w:pPr>
            <w:r w:rsidRPr="00972554">
              <w:rPr>
                <w:rFonts w:ascii="Calibri" w:hAnsi="Calibri"/>
                <w:sz w:val="18"/>
                <w:szCs w:val="18"/>
              </w:rPr>
              <w:t>61,04</w:t>
            </w:r>
          </w:p>
        </w:tc>
      </w:tr>
      <w:tr w:rsidR="00417245" w:rsidRPr="00972554" w:rsidTr="00972554">
        <w:trPr>
          <w:trHeight w:val="300"/>
        </w:trPr>
        <w:tc>
          <w:tcPr>
            <w:tcW w:w="6024" w:type="dxa"/>
            <w:shd w:val="clear" w:color="auto" w:fill="auto"/>
            <w:noWrap/>
            <w:vAlign w:val="center"/>
            <w:hideMark/>
          </w:tcPr>
          <w:p w:rsidR="00417245" w:rsidRPr="00412299" w:rsidRDefault="000A7612" w:rsidP="00F83FBB">
            <w:pPr>
              <w:spacing w:line="240" w:lineRule="auto"/>
              <w:ind w:firstLineChars="100" w:firstLine="180"/>
              <w:jc w:val="left"/>
              <w:rPr>
                <w:rFonts w:ascii="Calibri" w:hAnsi="Calibri"/>
                <w:sz w:val="18"/>
                <w:szCs w:val="18"/>
                <w:lang w:eastAsia="sl-SI"/>
              </w:rPr>
            </w:pPr>
            <w:r w:rsidRPr="002B775E">
              <w:rPr>
                <w:rFonts w:ascii="Calibri" w:hAnsi="Calibri"/>
                <w:sz w:val="18"/>
                <w:szCs w:val="18"/>
              </w:rPr>
              <w:t>ZPIZ</w:t>
            </w:r>
          </w:p>
        </w:tc>
        <w:tc>
          <w:tcPr>
            <w:tcW w:w="1984" w:type="dxa"/>
            <w:shd w:val="clear" w:color="auto" w:fill="auto"/>
            <w:noWrap/>
            <w:vAlign w:val="bottom"/>
            <w:hideMark/>
          </w:tcPr>
          <w:p w:rsidR="00417245" w:rsidRPr="00412299" w:rsidRDefault="00417245" w:rsidP="00382B0F">
            <w:pPr>
              <w:spacing w:line="240" w:lineRule="auto"/>
              <w:jc w:val="right"/>
              <w:rPr>
                <w:rFonts w:ascii="Calibri" w:hAnsi="Calibri"/>
                <w:sz w:val="18"/>
                <w:szCs w:val="18"/>
                <w:lang w:eastAsia="sl-SI"/>
              </w:rPr>
            </w:pPr>
            <w:r w:rsidRPr="00972554">
              <w:rPr>
                <w:rFonts w:ascii="Calibri" w:hAnsi="Calibri"/>
                <w:sz w:val="18"/>
                <w:szCs w:val="18"/>
              </w:rPr>
              <w:t xml:space="preserve">541.191.678 </w:t>
            </w:r>
          </w:p>
        </w:tc>
        <w:tc>
          <w:tcPr>
            <w:tcW w:w="1701" w:type="dxa"/>
            <w:shd w:val="clear" w:color="auto" w:fill="FFFFFF"/>
            <w:noWrap/>
            <w:vAlign w:val="bottom"/>
            <w:hideMark/>
          </w:tcPr>
          <w:p w:rsidR="00417245" w:rsidRPr="00412299" w:rsidRDefault="00417245" w:rsidP="00412299">
            <w:pPr>
              <w:spacing w:line="240" w:lineRule="auto"/>
              <w:jc w:val="right"/>
              <w:rPr>
                <w:rFonts w:ascii="Calibri" w:hAnsi="Calibri"/>
                <w:sz w:val="18"/>
                <w:szCs w:val="18"/>
                <w:lang w:eastAsia="sl-SI"/>
              </w:rPr>
            </w:pPr>
            <w:r w:rsidRPr="00972554">
              <w:rPr>
                <w:rFonts w:ascii="Calibri" w:hAnsi="Calibri"/>
                <w:sz w:val="18"/>
                <w:szCs w:val="18"/>
              </w:rPr>
              <w:t>13,80</w:t>
            </w:r>
          </w:p>
        </w:tc>
      </w:tr>
      <w:tr w:rsidR="00417245" w:rsidRPr="00972554" w:rsidTr="00972554">
        <w:trPr>
          <w:trHeight w:val="300"/>
        </w:trPr>
        <w:tc>
          <w:tcPr>
            <w:tcW w:w="6024" w:type="dxa"/>
            <w:shd w:val="clear" w:color="auto" w:fill="auto"/>
            <w:noWrap/>
            <w:vAlign w:val="center"/>
            <w:hideMark/>
          </w:tcPr>
          <w:p w:rsidR="00417245" w:rsidRPr="00412299" w:rsidRDefault="00417245"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UPRAVLJAVEC SREDSTEV SISTEMA </w:t>
            </w:r>
            <w:r w:rsidR="008B2E01" w:rsidRPr="002B775E">
              <w:rPr>
                <w:rFonts w:ascii="Calibri" w:hAnsi="Calibri"/>
                <w:sz w:val="18"/>
                <w:szCs w:val="18"/>
              </w:rPr>
              <w:t>EZRD</w:t>
            </w:r>
          </w:p>
        </w:tc>
        <w:tc>
          <w:tcPr>
            <w:tcW w:w="1984" w:type="dxa"/>
            <w:shd w:val="clear" w:color="auto" w:fill="auto"/>
            <w:noWrap/>
            <w:vAlign w:val="bottom"/>
            <w:hideMark/>
          </w:tcPr>
          <w:p w:rsidR="00417245" w:rsidRPr="00412299" w:rsidRDefault="00417245" w:rsidP="00F83FBB">
            <w:pPr>
              <w:spacing w:line="240" w:lineRule="auto"/>
              <w:jc w:val="right"/>
              <w:rPr>
                <w:rFonts w:ascii="Calibri" w:hAnsi="Calibri"/>
                <w:sz w:val="18"/>
                <w:szCs w:val="18"/>
                <w:lang w:eastAsia="sl-SI"/>
              </w:rPr>
            </w:pPr>
            <w:r w:rsidRPr="00972554">
              <w:rPr>
                <w:rFonts w:ascii="Calibri" w:hAnsi="Calibri"/>
                <w:sz w:val="18"/>
                <w:szCs w:val="18"/>
              </w:rPr>
              <w:t xml:space="preserve">387.903.158 </w:t>
            </w:r>
          </w:p>
        </w:tc>
        <w:tc>
          <w:tcPr>
            <w:tcW w:w="1701" w:type="dxa"/>
            <w:shd w:val="clear" w:color="auto" w:fill="FFFFFF"/>
            <w:noWrap/>
            <w:vAlign w:val="bottom"/>
            <w:hideMark/>
          </w:tcPr>
          <w:p w:rsidR="00417245" w:rsidRPr="00412299" w:rsidRDefault="00417245" w:rsidP="00382B0F">
            <w:pPr>
              <w:spacing w:line="240" w:lineRule="auto"/>
              <w:jc w:val="right"/>
              <w:rPr>
                <w:rFonts w:ascii="Calibri" w:hAnsi="Calibri"/>
                <w:sz w:val="18"/>
                <w:szCs w:val="18"/>
                <w:lang w:eastAsia="sl-SI"/>
              </w:rPr>
            </w:pPr>
            <w:r w:rsidRPr="00972554">
              <w:rPr>
                <w:rFonts w:ascii="Calibri" w:hAnsi="Calibri"/>
                <w:sz w:val="18"/>
                <w:szCs w:val="18"/>
              </w:rPr>
              <w:t>9,89</w:t>
            </w:r>
          </w:p>
        </w:tc>
      </w:tr>
      <w:tr w:rsidR="00417245" w:rsidRPr="00972554" w:rsidTr="00972554">
        <w:trPr>
          <w:trHeight w:val="300"/>
        </w:trPr>
        <w:tc>
          <w:tcPr>
            <w:tcW w:w="6024" w:type="dxa"/>
            <w:tcBorders>
              <w:bottom w:val="single" w:sz="4" w:space="0" w:color="auto"/>
            </w:tcBorders>
            <w:shd w:val="clear" w:color="auto" w:fill="auto"/>
            <w:noWrap/>
            <w:vAlign w:val="center"/>
            <w:hideMark/>
          </w:tcPr>
          <w:p w:rsidR="00417245" w:rsidRPr="00972554" w:rsidRDefault="00417245" w:rsidP="00972554">
            <w:pPr>
              <w:spacing w:line="240" w:lineRule="auto"/>
              <w:ind w:firstLineChars="100" w:firstLine="181"/>
              <w:jc w:val="left"/>
              <w:rPr>
                <w:rFonts w:ascii="Calibri" w:hAnsi="Calibri"/>
                <w:b/>
                <w:sz w:val="18"/>
                <w:szCs w:val="18"/>
                <w:lang w:eastAsia="sl-SI"/>
              </w:rPr>
            </w:pPr>
            <w:r w:rsidRPr="00972554">
              <w:rPr>
                <w:rFonts w:ascii="Calibri" w:hAnsi="Calibri"/>
                <w:b/>
                <w:sz w:val="18"/>
                <w:szCs w:val="18"/>
              </w:rPr>
              <w:t xml:space="preserve">321-Druge terjatve </w:t>
            </w:r>
          </w:p>
        </w:tc>
        <w:tc>
          <w:tcPr>
            <w:tcW w:w="1984" w:type="dxa"/>
            <w:tcBorders>
              <w:bottom w:val="single" w:sz="4" w:space="0" w:color="auto"/>
            </w:tcBorders>
            <w:shd w:val="clear" w:color="auto" w:fill="auto"/>
            <w:noWrap/>
            <w:vAlign w:val="bottom"/>
            <w:hideMark/>
          </w:tcPr>
          <w:p w:rsidR="00417245" w:rsidRPr="00972554" w:rsidRDefault="00417245" w:rsidP="00F83FBB">
            <w:pPr>
              <w:spacing w:line="240" w:lineRule="auto"/>
              <w:jc w:val="right"/>
              <w:rPr>
                <w:rFonts w:ascii="Calibri" w:hAnsi="Calibri"/>
                <w:b/>
                <w:sz w:val="18"/>
                <w:szCs w:val="18"/>
                <w:lang w:eastAsia="sl-SI"/>
              </w:rPr>
            </w:pPr>
            <w:r w:rsidRPr="00972554">
              <w:rPr>
                <w:rFonts w:ascii="Calibri" w:hAnsi="Calibri"/>
                <w:b/>
                <w:sz w:val="18"/>
                <w:szCs w:val="18"/>
              </w:rPr>
              <w:t xml:space="preserve">75.909.712 </w:t>
            </w:r>
          </w:p>
        </w:tc>
        <w:tc>
          <w:tcPr>
            <w:tcW w:w="1701" w:type="dxa"/>
            <w:tcBorders>
              <w:bottom w:val="single" w:sz="4" w:space="0" w:color="auto"/>
            </w:tcBorders>
            <w:shd w:val="clear" w:color="auto" w:fill="FFFFFF"/>
            <w:noWrap/>
            <w:vAlign w:val="bottom"/>
            <w:hideMark/>
          </w:tcPr>
          <w:p w:rsidR="00417245" w:rsidRPr="00972554" w:rsidRDefault="00417245" w:rsidP="00382B0F">
            <w:pPr>
              <w:spacing w:line="240" w:lineRule="auto"/>
              <w:jc w:val="right"/>
              <w:rPr>
                <w:rFonts w:ascii="Calibri" w:hAnsi="Calibri"/>
                <w:b/>
                <w:sz w:val="18"/>
                <w:szCs w:val="18"/>
                <w:lang w:eastAsia="sl-SI"/>
              </w:rPr>
            </w:pPr>
          </w:p>
        </w:tc>
      </w:tr>
      <w:tr w:rsidR="00417245" w:rsidRPr="00972554" w:rsidTr="00972554">
        <w:trPr>
          <w:trHeight w:val="300"/>
        </w:trPr>
        <w:tc>
          <w:tcPr>
            <w:tcW w:w="6024" w:type="dxa"/>
            <w:shd w:val="clear" w:color="auto" w:fill="auto"/>
            <w:noWrap/>
            <w:vAlign w:val="center"/>
            <w:hideMark/>
          </w:tcPr>
          <w:p w:rsidR="00417245" w:rsidRPr="00412299" w:rsidRDefault="00417245" w:rsidP="00F83FBB">
            <w:pPr>
              <w:spacing w:line="240" w:lineRule="auto"/>
              <w:jc w:val="left"/>
              <w:rPr>
                <w:rFonts w:ascii="Calibri" w:hAnsi="Calibri"/>
                <w:b/>
                <w:bCs/>
                <w:i/>
                <w:sz w:val="18"/>
                <w:szCs w:val="18"/>
                <w:lang w:eastAsia="sl-SI"/>
              </w:rPr>
            </w:pPr>
            <w:r w:rsidRPr="00972554">
              <w:rPr>
                <w:rFonts w:ascii="Calibri" w:hAnsi="Calibri"/>
                <w:sz w:val="18"/>
                <w:szCs w:val="18"/>
              </w:rPr>
              <w:t>MINISTRSTVO ZA GOSPODARSKI RAZVOJ IN TEHNOLOGIJO</w:t>
            </w:r>
          </w:p>
        </w:tc>
        <w:tc>
          <w:tcPr>
            <w:tcW w:w="1984" w:type="dxa"/>
            <w:shd w:val="clear" w:color="auto" w:fill="auto"/>
            <w:noWrap/>
            <w:vAlign w:val="bottom"/>
            <w:hideMark/>
          </w:tcPr>
          <w:p w:rsidR="00417245" w:rsidRPr="00412299" w:rsidRDefault="00417245" w:rsidP="00382B0F">
            <w:pPr>
              <w:spacing w:line="240" w:lineRule="auto"/>
              <w:jc w:val="right"/>
              <w:rPr>
                <w:rFonts w:ascii="Calibri" w:hAnsi="Calibri"/>
                <w:b/>
                <w:bCs/>
                <w:i/>
                <w:sz w:val="18"/>
                <w:szCs w:val="18"/>
                <w:lang w:eastAsia="sl-SI"/>
              </w:rPr>
            </w:pPr>
            <w:r w:rsidRPr="00972554">
              <w:rPr>
                <w:rFonts w:ascii="Calibri" w:hAnsi="Calibri"/>
                <w:sz w:val="18"/>
                <w:szCs w:val="18"/>
              </w:rPr>
              <w:t xml:space="preserve">59.123.567 </w:t>
            </w:r>
          </w:p>
        </w:tc>
        <w:tc>
          <w:tcPr>
            <w:tcW w:w="1701" w:type="dxa"/>
            <w:shd w:val="clear" w:color="auto" w:fill="auto"/>
            <w:noWrap/>
            <w:vAlign w:val="bottom"/>
            <w:hideMark/>
          </w:tcPr>
          <w:p w:rsidR="00417245" w:rsidRPr="00412299" w:rsidRDefault="00417245" w:rsidP="00412299">
            <w:pPr>
              <w:spacing w:line="240" w:lineRule="auto"/>
              <w:jc w:val="right"/>
              <w:rPr>
                <w:rFonts w:ascii="Calibri" w:hAnsi="Calibri"/>
                <w:b/>
                <w:bCs/>
                <w:i/>
                <w:sz w:val="18"/>
                <w:szCs w:val="18"/>
                <w:lang w:eastAsia="sl-SI"/>
              </w:rPr>
            </w:pPr>
            <w:r w:rsidRPr="00972554">
              <w:rPr>
                <w:rFonts w:ascii="Calibri" w:hAnsi="Calibri"/>
                <w:sz w:val="18"/>
                <w:szCs w:val="18"/>
              </w:rPr>
              <w:t>77,89</w:t>
            </w:r>
          </w:p>
        </w:tc>
      </w:tr>
      <w:tr w:rsidR="00417245" w:rsidRPr="00972554" w:rsidTr="00972554">
        <w:trPr>
          <w:trHeight w:val="300"/>
        </w:trPr>
        <w:tc>
          <w:tcPr>
            <w:tcW w:w="6024" w:type="dxa"/>
            <w:shd w:val="clear" w:color="auto" w:fill="auto"/>
            <w:noWrap/>
            <w:vAlign w:val="center"/>
            <w:hideMark/>
          </w:tcPr>
          <w:p w:rsidR="00417245" w:rsidRPr="00412299" w:rsidRDefault="00417245"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JAVNO UPRAVO</w:t>
            </w:r>
          </w:p>
        </w:tc>
        <w:tc>
          <w:tcPr>
            <w:tcW w:w="1984" w:type="dxa"/>
            <w:shd w:val="clear" w:color="auto" w:fill="auto"/>
            <w:noWrap/>
            <w:vAlign w:val="bottom"/>
            <w:hideMark/>
          </w:tcPr>
          <w:p w:rsidR="00417245" w:rsidRPr="00412299" w:rsidRDefault="00417245" w:rsidP="00F83FBB">
            <w:pPr>
              <w:spacing w:line="240" w:lineRule="auto"/>
              <w:jc w:val="right"/>
              <w:rPr>
                <w:rFonts w:ascii="Calibri" w:hAnsi="Calibri"/>
                <w:sz w:val="18"/>
                <w:szCs w:val="18"/>
                <w:lang w:eastAsia="sl-SI"/>
              </w:rPr>
            </w:pPr>
            <w:r w:rsidRPr="00972554">
              <w:rPr>
                <w:rFonts w:ascii="Calibri" w:hAnsi="Calibri"/>
                <w:sz w:val="18"/>
                <w:szCs w:val="18"/>
              </w:rPr>
              <w:t xml:space="preserve">8.170.707 </w:t>
            </w:r>
          </w:p>
        </w:tc>
        <w:tc>
          <w:tcPr>
            <w:tcW w:w="1701" w:type="dxa"/>
            <w:shd w:val="clear" w:color="auto" w:fill="FFFFFF"/>
            <w:noWrap/>
            <w:vAlign w:val="bottom"/>
            <w:hideMark/>
          </w:tcPr>
          <w:p w:rsidR="00417245" w:rsidRPr="00412299" w:rsidRDefault="00417245" w:rsidP="00382B0F">
            <w:pPr>
              <w:spacing w:line="240" w:lineRule="auto"/>
              <w:jc w:val="right"/>
              <w:rPr>
                <w:rFonts w:ascii="Calibri" w:hAnsi="Calibri"/>
                <w:sz w:val="18"/>
                <w:szCs w:val="18"/>
                <w:lang w:eastAsia="sl-SI"/>
              </w:rPr>
            </w:pPr>
            <w:r w:rsidRPr="00972554">
              <w:rPr>
                <w:rFonts w:ascii="Calibri" w:hAnsi="Calibri"/>
                <w:sz w:val="18"/>
                <w:szCs w:val="18"/>
              </w:rPr>
              <w:t>10,76</w:t>
            </w:r>
          </w:p>
        </w:tc>
      </w:tr>
      <w:tr w:rsidR="00417245" w:rsidRPr="00972554" w:rsidTr="00972554">
        <w:trPr>
          <w:trHeight w:val="300"/>
        </w:trPr>
        <w:tc>
          <w:tcPr>
            <w:tcW w:w="6024" w:type="dxa"/>
            <w:tcBorders>
              <w:bottom w:val="single" w:sz="4" w:space="0" w:color="auto"/>
            </w:tcBorders>
            <w:shd w:val="clear" w:color="auto" w:fill="auto"/>
            <w:noWrap/>
            <w:vAlign w:val="center"/>
            <w:hideMark/>
          </w:tcPr>
          <w:p w:rsidR="00417245" w:rsidRPr="00412299" w:rsidRDefault="00417245"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IZOBRAŽEVANJE, ZNANOST IN ŠPORT</w:t>
            </w:r>
          </w:p>
        </w:tc>
        <w:tc>
          <w:tcPr>
            <w:tcW w:w="1984" w:type="dxa"/>
            <w:tcBorders>
              <w:bottom w:val="single" w:sz="4" w:space="0" w:color="auto"/>
            </w:tcBorders>
            <w:shd w:val="clear" w:color="auto" w:fill="auto"/>
            <w:noWrap/>
            <w:vAlign w:val="bottom"/>
            <w:hideMark/>
          </w:tcPr>
          <w:p w:rsidR="00417245" w:rsidRPr="00412299" w:rsidRDefault="00417245" w:rsidP="00F83FBB">
            <w:pPr>
              <w:spacing w:line="240" w:lineRule="auto"/>
              <w:jc w:val="right"/>
              <w:rPr>
                <w:rFonts w:ascii="Calibri" w:hAnsi="Calibri"/>
                <w:sz w:val="18"/>
                <w:szCs w:val="18"/>
                <w:lang w:eastAsia="sl-SI"/>
              </w:rPr>
            </w:pPr>
            <w:r w:rsidRPr="00972554">
              <w:rPr>
                <w:rFonts w:ascii="Calibri" w:hAnsi="Calibri"/>
                <w:sz w:val="18"/>
                <w:szCs w:val="18"/>
              </w:rPr>
              <w:t xml:space="preserve">5.262.838 </w:t>
            </w:r>
          </w:p>
        </w:tc>
        <w:tc>
          <w:tcPr>
            <w:tcW w:w="1701" w:type="dxa"/>
            <w:tcBorders>
              <w:bottom w:val="single" w:sz="4" w:space="0" w:color="auto"/>
            </w:tcBorders>
            <w:shd w:val="clear" w:color="auto" w:fill="FFFFFF"/>
            <w:noWrap/>
            <w:vAlign w:val="bottom"/>
            <w:hideMark/>
          </w:tcPr>
          <w:p w:rsidR="00417245" w:rsidRPr="00412299" w:rsidRDefault="00417245" w:rsidP="00382B0F">
            <w:pPr>
              <w:spacing w:line="240" w:lineRule="auto"/>
              <w:jc w:val="right"/>
              <w:rPr>
                <w:rFonts w:ascii="Calibri" w:hAnsi="Calibri"/>
                <w:sz w:val="18"/>
                <w:szCs w:val="18"/>
                <w:lang w:eastAsia="sl-SI"/>
              </w:rPr>
            </w:pPr>
            <w:r w:rsidRPr="00972554">
              <w:rPr>
                <w:rFonts w:ascii="Calibri" w:hAnsi="Calibri"/>
                <w:sz w:val="18"/>
                <w:szCs w:val="18"/>
              </w:rPr>
              <w:t>6,93</w:t>
            </w:r>
          </w:p>
        </w:tc>
      </w:tr>
      <w:tr w:rsidR="00417245" w:rsidRPr="00972554" w:rsidTr="00972554">
        <w:trPr>
          <w:trHeight w:val="300"/>
        </w:trPr>
        <w:tc>
          <w:tcPr>
            <w:tcW w:w="6024" w:type="dxa"/>
            <w:shd w:val="clear" w:color="auto" w:fill="92D050"/>
            <w:noWrap/>
            <w:vAlign w:val="center"/>
            <w:hideMark/>
          </w:tcPr>
          <w:p w:rsidR="00417245" w:rsidRPr="00972554" w:rsidRDefault="00417245" w:rsidP="00972554">
            <w:pPr>
              <w:spacing w:line="240" w:lineRule="auto"/>
              <w:ind w:firstLineChars="100" w:firstLine="181"/>
              <w:jc w:val="left"/>
              <w:rPr>
                <w:rFonts w:ascii="Calibri" w:hAnsi="Calibri"/>
                <w:b/>
                <w:sz w:val="18"/>
                <w:szCs w:val="18"/>
                <w:lang w:eastAsia="sl-SI"/>
              </w:rPr>
            </w:pPr>
            <w:r w:rsidRPr="00972554">
              <w:rPr>
                <w:rFonts w:ascii="Calibri" w:hAnsi="Calibri"/>
                <w:b/>
                <w:sz w:val="18"/>
                <w:szCs w:val="18"/>
              </w:rPr>
              <w:t xml:space="preserve">322-Skupaj aktiva </w:t>
            </w:r>
          </w:p>
        </w:tc>
        <w:tc>
          <w:tcPr>
            <w:tcW w:w="1984" w:type="dxa"/>
            <w:shd w:val="clear" w:color="auto" w:fill="92D050"/>
            <w:noWrap/>
            <w:vAlign w:val="bottom"/>
            <w:hideMark/>
          </w:tcPr>
          <w:p w:rsidR="00417245" w:rsidRPr="00972554" w:rsidRDefault="00417245" w:rsidP="00F83FBB">
            <w:pPr>
              <w:spacing w:line="240" w:lineRule="auto"/>
              <w:jc w:val="right"/>
              <w:rPr>
                <w:rFonts w:ascii="Calibri" w:hAnsi="Calibri"/>
                <w:b/>
                <w:sz w:val="18"/>
                <w:szCs w:val="18"/>
                <w:lang w:eastAsia="sl-SI"/>
              </w:rPr>
            </w:pPr>
            <w:r w:rsidRPr="00972554">
              <w:rPr>
                <w:rFonts w:ascii="Calibri" w:hAnsi="Calibri"/>
                <w:b/>
                <w:sz w:val="18"/>
                <w:szCs w:val="18"/>
              </w:rPr>
              <w:t xml:space="preserve">33.767.666.569 </w:t>
            </w:r>
          </w:p>
        </w:tc>
        <w:tc>
          <w:tcPr>
            <w:tcW w:w="1701" w:type="dxa"/>
            <w:shd w:val="clear" w:color="auto" w:fill="92D050"/>
            <w:noWrap/>
            <w:vAlign w:val="bottom"/>
            <w:hideMark/>
          </w:tcPr>
          <w:p w:rsidR="00417245" w:rsidRPr="00972554" w:rsidRDefault="00417245" w:rsidP="00382B0F">
            <w:pPr>
              <w:spacing w:line="240" w:lineRule="auto"/>
              <w:jc w:val="right"/>
              <w:rPr>
                <w:rFonts w:ascii="Calibri" w:hAnsi="Calibri"/>
                <w:b/>
                <w:sz w:val="18"/>
                <w:szCs w:val="18"/>
                <w:lang w:eastAsia="sl-SI"/>
              </w:rPr>
            </w:pPr>
          </w:p>
        </w:tc>
      </w:tr>
      <w:tr w:rsidR="00417245" w:rsidRPr="00972554" w:rsidTr="00972554">
        <w:trPr>
          <w:trHeight w:val="300"/>
        </w:trPr>
        <w:tc>
          <w:tcPr>
            <w:tcW w:w="6024" w:type="dxa"/>
            <w:shd w:val="clear" w:color="auto" w:fill="auto"/>
            <w:noWrap/>
            <w:vAlign w:val="center"/>
            <w:hideMark/>
          </w:tcPr>
          <w:p w:rsidR="00417245" w:rsidRPr="00412299" w:rsidRDefault="00417245" w:rsidP="00F83FBB">
            <w:pPr>
              <w:spacing w:line="240" w:lineRule="auto"/>
              <w:jc w:val="left"/>
              <w:rPr>
                <w:rFonts w:ascii="Calibri" w:hAnsi="Calibri"/>
                <w:b/>
                <w:bCs/>
                <w:sz w:val="18"/>
                <w:szCs w:val="18"/>
                <w:lang w:eastAsia="sl-SI"/>
              </w:rPr>
            </w:pPr>
            <w:r w:rsidRPr="00972554">
              <w:rPr>
                <w:rFonts w:ascii="Calibri" w:hAnsi="Calibri"/>
                <w:sz w:val="18"/>
                <w:szCs w:val="18"/>
              </w:rPr>
              <w:t>MINISTRSTVO ZA FINANCE</w:t>
            </w:r>
          </w:p>
        </w:tc>
        <w:tc>
          <w:tcPr>
            <w:tcW w:w="1984" w:type="dxa"/>
            <w:shd w:val="clear" w:color="auto" w:fill="auto"/>
            <w:noWrap/>
            <w:vAlign w:val="bottom"/>
            <w:hideMark/>
          </w:tcPr>
          <w:p w:rsidR="00417245" w:rsidRPr="00412299" w:rsidRDefault="00417245" w:rsidP="00F83FBB">
            <w:pPr>
              <w:spacing w:line="240" w:lineRule="auto"/>
              <w:jc w:val="right"/>
              <w:rPr>
                <w:rFonts w:ascii="Calibri" w:hAnsi="Calibri"/>
                <w:b/>
                <w:bCs/>
                <w:sz w:val="18"/>
                <w:szCs w:val="18"/>
                <w:lang w:eastAsia="sl-SI"/>
              </w:rPr>
            </w:pPr>
            <w:r w:rsidRPr="00972554">
              <w:rPr>
                <w:rFonts w:ascii="Calibri" w:hAnsi="Calibri"/>
                <w:sz w:val="18"/>
                <w:szCs w:val="18"/>
              </w:rPr>
              <w:t xml:space="preserve">9.942.375.109 </w:t>
            </w:r>
          </w:p>
        </w:tc>
        <w:tc>
          <w:tcPr>
            <w:tcW w:w="1701" w:type="dxa"/>
            <w:shd w:val="clear" w:color="auto" w:fill="FFFFFF"/>
            <w:noWrap/>
            <w:vAlign w:val="bottom"/>
            <w:hideMark/>
          </w:tcPr>
          <w:p w:rsidR="00417245" w:rsidRPr="00412299" w:rsidRDefault="00417245" w:rsidP="00382B0F">
            <w:pPr>
              <w:spacing w:line="240" w:lineRule="auto"/>
              <w:jc w:val="right"/>
              <w:rPr>
                <w:rFonts w:ascii="Calibri" w:hAnsi="Calibri"/>
                <w:b/>
                <w:bCs/>
                <w:sz w:val="18"/>
                <w:szCs w:val="18"/>
                <w:lang w:eastAsia="sl-SI"/>
              </w:rPr>
            </w:pPr>
            <w:r w:rsidRPr="00972554">
              <w:rPr>
                <w:rFonts w:ascii="Calibri" w:hAnsi="Calibri"/>
                <w:sz w:val="18"/>
                <w:szCs w:val="18"/>
              </w:rPr>
              <w:t>29,44</w:t>
            </w:r>
          </w:p>
        </w:tc>
      </w:tr>
      <w:tr w:rsidR="00417245" w:rsidRPr="00972554" w:rsidTr="00972554">
        <w:trPr>
          <w:trHeight w:val="300"/>
        </w:trPr>
        <w:tc>
          <w:tcPr>
            <w:tcW w:w="6024" w:type="dxa"/>
            <w:shd w:val="clear" w:color="auto" w:fill="auto"/>
            <w:noWrap/>
            <w:vAlign w:val="center"/>
            <w:hideMark/>
          </w:tcPr>
          <w:p w:rsidR="00417245" w:rsidRPr="00412299" w:rsidRDefault="00417245"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UPRAVLJAVEC SREDSTEV SISTEMA </w:t>
            </w:r>
            <w:r w:rsidR="008B2E01" w:rsidRPr="002B775E">
              <w:rPr>
                <w:rFonts w:ascii="Calibri" w:hAnsi="Calibri"/>
                <w:sz w:val="18"/>
                <w:szCs w:val="18"/>
              </w:rPr>
              <w:t>EZRD</w:t>
            </w:r>
          </w:p>
        </w:tc>
        <w:tc>
          <w:tcPr>
            <w:tcW w:w="1984" w:type="dxa"/>
            <w:shd w:val="clear" w:color="auto" w:fill="auto"/>
            <w:noWrap/>
            <w:vAlign w:val="bottom"/>
            <w:hideMark/>
          </w:tcPr>
          <w:p w:rsidR="00417245" w:rsidRPr="00412299" w:rsidRDefault="00417245" w:rsidP="00F83FBB">
            <w:pPr>
              <w:spacing w:line="240" w:lineRule="auto"/>
              <w:jc w:val="right"/>
              <w:rPr>
                <w:rFonts w:ascii="Calibri" w:hAnsi="Calibri"/>
                <w:sz w:val="18"/>
                <w:szCs w:val="18"/>
                <w:lang w:eastAsia="sl-SI"/>
              </w:rPr>
            </w:pPr>
            <w:r w:rsidRPr="00972554">
              <w:rPr>
                <w:rFonts w:ascii="Calibri" w:hAnsi="Calibri"/>
                <w:sz w:val="18"/>
                <w:szCs w:val="18"/>
              </w:rPr>
              <w:t xml:space="preserve">6.455.120.500 </w:t>
            </w:r>
          </w:p>
        </w:tc>
        <w:tc>
          <w:tcPr>
            <w:tcW w:w="1701" w:type="dxa"/>
            <w:shd w:val="clear" w:color="auto" w:fill="FFFFFF"/>
            <w:noWrap/>
            <w:vAlign w:val="bottom"/>
            <w:hideMark/>
          </w:tcPr>
          <w:p w:rsidR="00417245" w:rsidRPr="00412299" w:rsidRDefault="00417245" w:rsidP="00F83FBB">
            <w:pPr>
              <w:spacing w:line="240" w:lineRule="auto"/>
              <w:jc w:val="right"/>
              <w:rPr>
                <w:rFonts w:ascii="Calibri" w:hAnsi="Calibri"/>
                <w:sz w:val="18"/>
                <w:szCs w:val="18"/>
                <w:lang w:eastAsia="sl-SI"/>
              </w:rPr>
            </w:pPr>
            <w:r w:rsidRPr="00972554">
              <w:rPr>
                <w:rFonts w:ascii="Calibri" w:hAnsi="Calibri"/>
                <w:sz w:val="18"/>
                <w:szCs w:val="18"/>
              </w:rPr>
              <w:t>19,12</w:t>
            </w:r>
          </w:p>
        </w:tc>
      </w:tr>
      <w:tr w:rsidR="00417245" w:rsidRPr="00972554" w:rsidTr="00972554">
        <w:trPr>
          <w:trHeight w:val="300"/>
        </w:trPr>
        <w:tc>
          <w:tcPr>
            <w:tcW w:w="6024" w:type="dxa"/>
            <w:shd w:val="clear" w:color="auto" w:fill="auto"/>
            <w:noWrap/>
            <w:vAlign w:val="center"/>
            <w:hideMark/>
          </w:tcPr>
          <w:p w:rsidR="00417245" w:rsidRPr="00412299" w:rsidRDefault="00417245"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MINISTRSTVO ZA INFRASTRUKTURO, DIREKCIJA </w:t>
            </w:r>
            <w:r w:rsidR="000A7612" w:rsidRPr="002B775E">
              <w:rPr>
                <w:rFonts w:ascii="Calibri" w:hAnsi="Calibri"/>
                <w:sz w:val="18"/>
                <w:szCs w:val="18"/>
              </w:rPr>
              <w:t>RS</w:t>
            </w:r>
            <w:r w:rsidRPr="00972554">
              <w:rPr>
                <w:rFonts w:ascii="Calibri" w:hAnsi="Calibri"/>
                <w:sz w:val="18"/>
                <w:szCs w:val="18"/>
              </w:rPr>
              <w:t xml:space="preserve"> ZA INFRASTRUKTURO</w:t>
            </w:r>
          </w:p>
        </w:tc>
        <w:tc>
          <w:tcPr>
            <w:tcW w:w="1984" w:type="dxa"/>
            <w:shd w:val="clear" w:color="auto" w:fill="auto"/>
            <w:noWrap/>
            <w:vAlign w:val="bottom"/>
            <w:hideMark/>
          </w:tcPr>
          <w:p w:rsidR="00417245" w:rsidRPr="00412299" w:rsidRDefault="00417245" w:rsidP="00F83FBB">
            <w:pPr>
              <w:spacing w:line="240" w:lineRule="auto"/>
              <w:jc w:val="right"/>
              <w:rPr>
                <w:rFonts w:ascii="Calibri" w:hAnsi="Calibri"/>
                <w:sz w:val="18"/>
                <w:szCs w:val="18"/>
                <w:lang w:eastAsia="sl-SI"/>
              </w:rPr>
            </w:pPr>
            <w:r w:rsidRPr="00972554">
              <w:rPr>
                <w:rFonts w:ascii="Calibri" w:hAnsi="Calibri"/>
                <w:sz w:val="18"/>
                <w:szCs w:val="18"/>
              </w:rPr>
              <w:t xml:space="preserve">3.419.516.196 </w:t>
            </w:r>
          </w:p>
        </w:tc>
        <w:tc>
          <w:tcPr>
            <w:tcW w:w="1701" w:type="dxa"/>
            <w:shd w:val="clear" w:color="auto" w:fill="FFFFFF"/>
            <w:noWrap/>
            <w:vAlign w:val="bottom"/>
            <w:hideMark/>
          </w:tcPr>
          <w:p w:rsidR="00417245" w:rsidRPr="00412299" w:rsidRDefault="00417245" w:rsidP="00F83FBB">
            <w:pPr>
              <w:spacing w:line="240" w:lineRule="auto"/>
              <w:jc w:val="right"/>
              <w:rPr>
                <w:rFonts w:ascii="Calibri" w:hAnsi="Calibri"/>
                <w:sz w:val="18"/>
                <w:szCs w:val="18"/>
                <w:lang w:eastAsia="sl-SI"/>
              </w:rPr>
            </w:pPr>
            <w:r w:rsidRPr="00972554">
              <w:rPr>
                <w:rFonts w:ascii="Calibri" w:hAnsi="Calibri"/>
                <w:sz w:val="18"/>
                <w:szCs w:val="18"/>
              </w:rPr>
              <w:t>10,13</w:t>
            </w:r>
          </w:p>
        </w:tc>
      </w:tr>
      <w:tr w:rsidR="00417245" w:rsidRPr="00972554" w:rsidTr="00972554">
        <w:trPr>
          <w:trHeight w:val="300"/>
        </w:trPr>
        <w:tc>
          <w:tcPr>
            <w:tcW w:w="6024" w:type="dxa"/>
            <w:shd w:val="clear" w:color="auto" w:fill="auto"/>
            <w:noWrap/>
            <w:vAlign w:val="center"/>
            <w:hideMark/>
          </w:tcPr>
          <w:p w:rsidR="00417245" w:rsidRPr="00972554" w:rsidRDefault="00417245" w:rsidP="00972554">
            <w:pPr>
              <w:spacing w:line="240" w:lineRule="auto"/>
              <w:ind w:firstLineChars="100" w:firstLine="181"/>
              <w:jc w:val="left"/>
              <w:rPr>
                <w:rFonts w:ascii="Calibri" w:hAnsi="Calibri"/>
                <w:b/>
                <w:sz w:val="18"/>
                <w:szCs w:val="18"/>
                <w:lang w:eastAsia="sl-SI"/>
              </w:rPr>
            </w:pPr>
            <w:r w:rsidRPr="00972554">
              <w:rPr>
                <w:rFonts w:ascii="Calibri" w:hAnsi="Calibri"/>
                <w:b/>
                <w:sz w:val="18"/>
                <w:szCs w:val="18"/>
              </w:rPr>
              <w:t xml:space="preserve">323-Splošni sklad </w:t>
            </w:r>
          </w:p>
        </w:tc>
        <w:tc>
          <w:tcPr>
            <w:tcW w:w="1984" w:type="dxa"/>
            <w:shd w:val="clear" w:color="auto" w:fill="auto"/>
            <w:noWrap/>
            <w:vAlign w:val="bottom"/>
            <w:hideMark/>
          </w:tcPr>
          <w:p w:rsidR="00417245" w:rsidRPr="00972554" w:rsidRDefault="00417245" w:rsidP="00F83FBB">
            <w:pPr>
              <w:spacing w:line="240" w:lineRule="auto"/>
              <w:jc w:val="right"/>
              <w:rPr>
                <w:rFonts w:ascii="Calibri" w:hAnsi="Calibri"/>
                <w:b/>
                <w:sz w:val="18"/>
                <w:szCs w:val="18"/>
                <w:lang w:eastAsia="sl-SI"/>
              </w:rPr>
            </w:pPr>
            <w:r w:rsidRPr="00972554">
              <w:rPr>
                <w:rFonts w:ascii="Calibri" w:hAnsi="Calibri"/>
                <w:b/>
                <w:sz w:val="18"/>
                <w:szCs w:val="18"/>
              </w:rPr>
              <w:t xml:space="preserve">2.470.835.045 </w:t>
            </w:r>
          </w:p>
        </w:tc>
        <w:tc>
          <w:tcPr>
            <w:tcW w:w="1701" w:type="dxa"/>
            <w:shd w:val="clear" w:color="auto" w:fill="FFFFFF"/>
            <w:noWrap/>
            <w:vAlign w:val="bottom"/>
            <w:hideMark/>
          </w:tcPr>
          <w:p w:rsidR="00417245" w:rsidRPr="00972554" w:rsidRDefault="00417245" w:rsidP="00382B0F">
            <w:pPr>
              <w:spacing w:line="240" w:lineRule="auto"/>
              <w:jc w:val="right"/>
              <w:rPr>
                <w:rFonts w:ascii="Calibri" w:hAnsi="Calibri"/>
                <w:b/>
                <w:sz w:val="18"/>
                <w:szCs w:val="18"/>
                <w:lang w:eastAsia="sl-SI"/>
              </w:rPr>
            </w:pPr>
          </w:p>
        </w:tc>
      </w:tr>
      <w:tr w:rsidR="00417245" w:rsidRPr="00972554" w:rsidTr="00972554">
        <w:trPr>
          <w:trHeight w:val="300"/>
        </w:trPr>
        <w:tc>
          <w:tcPr>
            <w:tcW w:w="6024" w:type="dxa"/>
            <w:shd w:val="clear" w:color="auto" w:fill="auto"/>
            <w:noWrap/>
            <w:vAlign w:val="center"/>
            <w:hideMark/>
          </w:tcPr>
          <w:p w:rsidR="00417245" w:rsidRPr="00412299" w:rsidRDefault="00417245" w:rsidP="00F83FBB">
            <w:pPr>
              <w:spacing w:line="240" w:lineRule="auto"/>
              <w:jc w:val="left"/>
              <w:rPr>
                <w:rFonts w:ascii="Calibri" w:hAnsi="Calibri"/>
                <w:b/>
                <w:bCs/>
                <w:sz w:val="18"/>
                <w:szCs w:val="18"/>
                <w:lang w:eastAsia="sl-SI"/>
              </w:rPr>
            </w:pPr>
            <w:r w:rsidRPr="00972554">
              <w:rPr>
                <w:rFonts w:ascii="Calibri" w:hAnsi="Calibri"/>
                <w:sz w:val="18"/>
                <w:szCs w:val="18"/>
              </w:rPr>
              <w:t>MINISTRSTVO ZA FINANCE</w:t>
            </w:r>
          </w:p>
        </w:tc>
        <w:tc>
          <w:tcPr>
            <w:tcW w:w="1984" w:type="dxa"/>
            <w:shd w:val="clear" w:color="auto" w:fill="auto"/>
            <w:noWrap/>
            <w:vAlign w:val="bottom"/>
            <w:hideMark/>
          </w:tcPr>
          <w:p w:rsidR="00417245" w:rsidRPr="00116FC1" w:rsidRDefault="00417245" w:rsidP="00F83FBB">
            <w:pPr>
              <w:spacing w:line="240" w:lineRule="auto"/>
              <w:jc w:val="right"/>
              <w:rPr>
                <w:rFonts w:ascii="Calibri" w:hAnsi="Calibri"/>
                <w:b/>
                <w:bCs/>
                <w:sz w:val="18"/>
                <w:szCs w:val="18"/>
                <w:lang w:eastAsia="sl-SI"/>
              </w:rPr>
            </w:pPr>
            <w:r w:rsidRPr="00972554">
              <w:rPr>
                <w:rFonts w:ascii="Calibri" w:hAnsi="Calibri"/>
                <w:sz w:val="18"/>
                <w:szCs w:val="18"/>
              </w:rPr>
              <w:t xml:space="preserve">9.861.216.656 </w:t>
            </w:r>
          </w:p>
        </w:tc>
        <w:tc>
          <w:tcPr>
            <w:tcW w:w="1701" w:type="dxa"/>
            <w:shd w:val="clear" w:color="auto" w:fill="FFFFFF"/>
            <w:noWrap/>
            <w:vAlign w:val="bottom"/>
            <w:hideMark/>
          </w:tcPr>
          <w:p w:rsidR="00417245" w:rsidRPr="00412299" w:rsidRDefault="00417245" w:rsidP="00382B0F">
            <w:pPr>
              <w:spacing w:line="240" w:lineRule="auto"/>
              <w:jc w:val="right"/>
              <w:rPr>
                <w:rFonts w:ascii="Calibri" w:hAnsi="Calibri"/>
                <w:b/>
                <w:bCs/>
                <w:sz w:val="18"/>
                <w:szCs w:val="18"/>
                <w:lang w:eastAsia="sl-SI"/>
              </w:rPr>
            </w:pPr>
            <w:r w:rsidRPr="00972554">
              <w:rPr>
                <w:rFonts w:ascii="Calibri" w:hAnsi="Calibri"/>
                <w:sz w:val="18"/>
                <w:szCs w:val="18"/>
              </w:rPr>
              <w:t>399,10</w:t>
            </w:r>
          </w:p>
        </w:tc>
      </w:tr>
      <w:tr w:rsidR="00417245" w:rsidRPr="00972554" w:rsidTr="00972554">
        <w:trPr>
          <w:trHeight w:val="300"/>
        </w:trPr>
        <w:tc>
          <w:tcPr>
            <w:tcW w:w="6024" w:type="dxa"/>
            <w:shd w:val="clear" w:color="auto" w:fill="auto"/>
            <w:noWrap/>
            <w:vAlign w:val="center"/>
            <w:hideMark/>
          </w:tcPr>
          <w:p w:rsidR="00417245" w:rsidRPr="00412299" w:rsidRDefault="00417245" w:rsidP="00972554">
            <w:pPr>
              <w:spacing w:line="240" w:lineRule="auto"/>
              <w:ind w:firstLineChars="100" w:firstLine="180"/>
              <w:jc w:val="left"/>
              <w:rPr>
                <w:rFonts w:ascii="Calibri" w:hAnsi="Calibri"/>
                <w:b/>
                <w:sz w:val="18"/>
                <w:szCs w:val="18"/>
                <w:lang w:eastAsia="sl-SI"/>
              </w:rPr>
            </w:pPr>
            <w:r w:rsidRPr="00972554">
              <w:rPr>
                <w:rFonts w:ascii="Calibri" w:hAnsi="Calibri"/>
                <w:sz w:val="18"/>
                <w:szCs w:val="18"/>
              </w:rPr>
              <w:t xml:space="preserve">UPRAVLJAVEC SREDSTEV SISTEMA </w:t>
            </w:r>
            <w:r w:rsidR="008B2E01" w:rsidRPr="002B775E">
              <w:rPr>
                <w:rFonts w:ascii="Calibri" w:hAnsi="Calibri"/>
                <w:sz w:val="18"/>
                <w:szCs w:val="18"/>
              </w:rPr>
              <w:t>EZRD</w:t>
            </w:r>
          </w:p>
        </w:tc>
        <w:tc>
          <w:tcPr>
            <w:tcW w:w="1984" w:type="dxa"/>
            <w:shd w:val="clear" w:color="auto" w:fill="auto"/>
            <w:noWrap/>
            <w:vAlign w:val="bottom"/>
            <w:hideMark/>
          </w:tcPr>
          <w:p w:rsidR="00417245" w:rsidRPr="00412299" w:rsidRDefault="00417245" w:rsidP="00F83FBB">
            <w:pPr>
              <w:spacing w:line="240" w:lineRule="auto"/>
              <w:jc w:val="right"/>
              <w:rPr>
                <w:rFonts w:ascii="Calibri" w:hAnsi="Calibri"/>
                <w:b/>
                <w:sz w:val="18"/>
                <w:szCs w:val="18"/>
                <w:lang w:eastAsia="sl-SI"/>
              </w:rPr>
            </w:pPr>
            <w:r w:rsidRPr="00972554">
              <w:rPr>
                <w:rFonts w:ascii="Calibri" w:hAnsi="Calibri"/>
                <w:sz w:val="18"/>
                <w:szCs w:val="18"/>
              </w:rPr>
              <w:t xml:space="preserve">6.431.194.252 </w:t>
            </w:r>
          </w:p>
        </w:tc>
        <w:tc>
          <w:tcPr>
            <w:tcW w:w="1701" w:type="dxa"/>
            <w:shd w:val="clear" w:color="auto" w:fill="FFFFFF"/>
            <w:noWrap/>
            <w:vAlign w:val="bottom"/>
            <w:hideMark/>
          </w:tcPr>
          <w:p w:rsidR="00417245" w:rsidRPr="00412299" w:rsidRDefault="00417245" w:rsidP="00F83FBB">
            <w:pPr>
              <w:spacing w:line="240" w:lineRule="auto"/>
              <w:jc w:val="right"/>
              <w:rPr>
                <w:rFonts w:ascii="Calibri" w:hAnsi="Calibri"/>
                <w:b/>
                <w:sz w:val="18"/>
                <w:szCs w:val="18"/>
                <w:lang w:eastAsia="sl-SI"/>
              </w:rPr>
            </w:pPr>
            <w:r w:rsidRPr="00972554">
              <w:rPr>
                <w:rFonts w:ascii="Calibri" w:hAnsi="Calibri"/>
                <w:sz w:val="18"/>
                <w:szCs w:val="18"/>
              </w:rPr>
              <w:t>260,28</w:t>
            </w:r>
          </w:p>
        </w:tc>
      </w:tr>
      <w:tr w:rsidR="00417245" w:rsidRPr="00972554" w:rsidTr="00972554">
        <w:trPr>
          <w:trHeight w:val="300"/>
        </w:trPr>
        <w:tc>
          <w:tcPr>
            <w:tcW w:w="6024" w:type="dxa"/>
            <w:shd w:val="clear" w:color="auto" w:fill="auto"/>
            <w:noWrap/>
            <w:vAlign w:val="center"/>
            <w:hideMark/>
          </w:tcPr>
          <w:p w:rsidR="00417245" w:rsidRPr="00412299" w:rsidRDefault="00417245"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MINISTRSTVO ZA INFRASTRUKTURO, DIREKCIJA </w:t>
            </w:r>
            <w:r w:rsidR="000A7612" w:rsidRPr="002B775E">
              <w:rPr>
                <w:rFonts w:ascii="Calibri" w:hAnsi="Calibri"/>
                <w:sz w:val="18"/>
                <w:szCs w:val="18"/>
              </w:rPr>
              <w:t>RS</w:t>
            </w:r>
            <w:r w:rsidRPr="00972554">
              <w:rPr>
                <w:rFonts w:ascii="Calibri" w:hAnsi="Calibri"/>
                <w:sz w:val="18"/>
                <w:szCs w:val="18"/>
              </w:rPr>
              <w:t xml:space="preserve"> ZA INFRASTRUKTURO</w:t>
            </w:r>
          </w:p>
        </w:tc>
        <w:tc>
          <w:tcPr>
            <w:tcW w:w="1984" w:type="dxa"/>
            <w:shd w:val="clear" w:color="auto" w:fill="auto"/>
            <w:noWrap/>
            <w:vAlign w:val="bottom"/>
            <w:hideMark/>
          </w:tcPr>
          <w:p w:rsidR="00417245" w:rsidRPr="00412299" w:rsidRDefault="00417245" w:rsidP="00F83FBB">
            <w:pPr>
              <w:spacing w:line="240" w:lineRule="auto"/>
              <w:jc w:val="right"/>
              <w:rPr>
                <w:rFonts w:ascii="Calibri" w:hAnsi="Calibri"/>
                <w:sz w:val="18"/>
                <w:szCs w:val="18"/>
                <w:lang w:eastAsia="sl-SI"/>
              </w:rPr>
            </w:pPr>
            <w:r w:rsidRPr="00972554">
              <w:rPr>
                <w:rFonts w:ascii="Calibri" w:hAnsi="Calibri"/>
                <w:sz w:val="18"/>
                <w:szCs w:val="18"/>
              </w:rPr>
              <w:t xml:space="preserve">3.326.409.770 </w:t>
            </w:r>
          </w:p>
        </w:tc>
        <w:tc>
          <w:tcPr>
            <w:tcW w:w="1701" w:type="dxa"/>
            <w:shd w:val="clear" w:color="auto" w:fill="FFFFFF"/>
            <w:noWrap/>
            <w:vAlign w:val="bottom"/>
            <w:hideMark/>
          </w:tcPr>
          <w:p w:rsidR="00417245" w:rsidRPr="00412299" w:rsidRDefault="00417245" w:rsidP="00F83FBB">
            <w:pPr>
              <w:spacing w:line="240" w:lineRule="auto"/>
              <w:jc w:val="right"/>
              <w:rPr>
                <w:rFonts w:ascii="Calibri" w:hAnsi="Calibri"/>
                <w:sz w:val="18"/>
                <w:szCs w:val="18"/>
                <w:lang w:eastAsia="sl-SI"/>
              </w:rPr>
            </w:pPr>
            <w:r w:rsidRPr="00972554">
              <w:rPr>
                <w:rFonts w:ascii="Calibri" w:hAnsi="Calibri"/>
                <w:sz w:val="18"/>
                <w:szCs w:val="18"/>
              </w:rPr>
              <w:t>134,63</w:t>
            </w:r>
          </w:p>
        </w:tc>
      </w:tr>
      <w:tr w:rsidR="007A0DA4" w:rsidRPr="00972554" w:rsidTr="00972554">
        <w:trPr>
          <w:trHeight w:val="300"/>
        </w:trPr>
        <w:tc>
          <w:tcPr>
            <w:tcW w:w="6024" w:type="dxa"/>
            <w:shd w:val="clear" w:color="auto" w:fill="auto"/>
            <w:noWrap/>
            <w:vAlign w:val="center"/>
            <w:hideMark/>
          </w:tcPr>
          <w:p w:rsidR="007A0DA4" w:rsidRPr="00412299" w:rsidRDefault="007A0DA4" w:rsidP="00F83FBB">
            <w:pPr>
              <w:spacing w:line="240" w:lineRule="auto"/>
              <w:ind w:firstLineChars="100" w:firstLine="181"/>
              <w:jc w:val="left"/>
              <w:rPr>
                <w:rFonts w:ascii="Calibri" w:hAnsi="Calibri"/>
                <w:sz w:val="18"/>
                <w:szCs w:val="18"/>
                <w:lang w:eastAsia="sl-SI"/>
              </w:rPr>
            </w:pPr>
            <w:r w:rsidRPr="00382B0F">
              <w:rPr>
                <w:rFonts w:ascii="Calibri" w:hAnsi="Calibri" w:cs="Calibri"/>
                <w:b/>
                <w:bCs/>
                <w:sz w:val="18"/>
                <w:szCs w:val="18"/>
                <w:lang w:val="sl-SI" w:eastAsia="sl-SI"/>
              </w:rPr>
              <w:t xml:space="preserve">324-Obveznosti za sredstva prejeta v upravljanje </w:t>
            </w:r>
          </w:p>
        </w:tc>
        <w:tc>
          <w:tcPr>
            <w:tcW w:w="1984" w:type="dxa"/>
            <w:shd w:val="clear" w:color="auto" w:fill="auto"/>
            <w:noWrap/>
            <w:vAlign w:val="bottom"/>
            <w:hideMark/>
          </w:tcPr>
          <w:p w:rsidR="007A0DA4" w:rsidRPr="00972554" w:rsidRDefault="007A0DA4" w:rsidP="00382B0F">
            <w:pPr>
              <w:spacing w:line="240" w:lineRule="auto"/>
              <w:jc w:val="right"/>
              <w:rPr>
                <w:rFonts w:ascii="Calibri" w:hAnsi="Calibri"/>
                <w:sz w:val="18"/>
                <w:szCs w:val="18"/>
                <w:lang w:eastAsia="sl-SI"/>
              </w:rPr>
            </w:pPr>
            <w:r w:rsidRPr="00116FC1">
              <w:rPr>
                <w:rFonts w:ascii="Calibri" w:hAnsi="Calibri" w:cs="Calibri"/>
                <w:b/>
                <w:bCs/>
                <w:sz w:val="18"/>
                <w:szCs w:val="18"/>
                <w:lang w:val="sl-SI" w:eastAsia="sl-SI"/>
              </w:rPr>
              <w:t xml:space="preserve">0 </w:t>
            </w:r>
          </w:p>
        </w:tc>
        <w:tc>
          <w:tcPr>
            <w:tcW w:w="1701" w:type="dxa"/>
            <w:shd w:val="clear" w:color="auto" w:fill="FFFFFF"/>
            <w:noWrap/>
            <w:vAlign w:val="bottom"/>
            <w:hideMark/>
          </w:tcPr>
          <w:p w:rsidR="007A0DA4" w:rsidRPr="00972554" w:rsidRDefault="007A0DA4" w:rsidP="00412299">
            <w:pPr>
              <w:spacing w:line="240" w:lineRule="auto"/>
              <w:jc w:val="right"/>
              <w:rPr>
                <w:rFonts w:ascii="Calibri" w:hAnsi="Calibri"/>
                <w:sz w:val="18"/>
                <w:szCs w:val="18"/>
                <w:lang w:eastAsia="sl-SI"/>
              </w:rPr>
            </w:pPr>
          </w:p>
        </w:tc>
      </w:tr>
      <w:tr w:rsidR="00417245" w:rsidRPr="00972554" w:rsidTr="00972554">
        <w:trPr>
          <w:trHeight w:val="300"/>
        </w:trPr>
        <w:tc>
          <w:tcPr>
            <w:tcW w:w="6024" w:type="dxa"/>
            <w:shd w:val="clear" w:color="auto" w:fill="auto"/>
            <w:noWrap/>
            <w:vAlign w:val="center"/>
            <w:hideMark/>
          </w:tcPr>
          <w:p w:rsidR="00417245" w:rsidRPr="00412299" w:rsidRDefault="00417245" w:rsidP="00F83FBB">
            <w:pPr>
              <w:spacing w:line="240" w:lineRule="auto"/>
              <w:ind w:firstLineChars="100" w:firstLine="181"/>
              <w:jc w:val="left"/>
              <w:rPr>
                <w:rFonts w:ascii="Calibri" w:hAnsi="Calibri"/>
                <w:b/>
                <w:sz w:val="18"/>
                <w:szCs w:val="18"/>
                <w:lang w:eastAsia="sl-SI"/>
              </w:rPr>
            </w:pPr>
            <w:r w:rsidRPr="00382B0F">
              <w:rPr>
                <w:rFonts w:ascii="Calibri" w:hAnsi="Calibri" w:cs="Calibri"/>
                <w:b/>
                <w:bCs/>
                <w:sz w:val="18"/>
                <w:szCs w:val="18"/>
                <w:lang w:val="sl-SI" w:eastAsia="sl-SI"/>
              </w:rPr>
              <w:t xml:space="preserve">325-Rezervni sklad </w:t>
            </w:r>
          </w:p>
        </w:tc>
        <w:tc>
          <w:tcPr>
            <w:tcW w:w="1984" w:type="dxa"/>
            <w:shd w:val="clear" w:color="auto" w:fill="auto"/>
            <w:noWrap/>
            <w:vAlign w:val="bottom"/>
            <w:hideMark/>
          </w:tcPr>
          <w:p w:rsidR="00417245" w:rsidRPr="00412299" w:rsidRDefault="00417245" w:rsidP="00F83FBB">
            <w:pPr>
              <w:spacing w:line="240" w:lineRule="auto"/>
              <w:jc w:val="right"/>
              <w:rPr>
                <w:rFonts w:ascii="Calibri" w:hAnsi="Calibri"/>
                <w:b/>
                <w:sz w:val="18"/>
                <w:szCs w:val="18"/>
                <w:lang w:eastAsia="sl-SI"/>
              </w:rPr>
            </w:pPr>
            <w:r w:rsidRPr="00972554">
              <w:rPr>
                <w:rFonts w:ascii="Calibri" w:hAnsi="Calibri"/>
                <w:b/>
                <w:sz w:val="18"/>
                <w:szCs w:val="18"/>
              </w:rPr>
              <w:t xml:space="preserve">44.390.109 </w:t>
            </w:r>
          </w:p>
        </w:tc>
        <w:tc>
          <w:tcPr>
            <w:tcW w:w="1701" w:type="dxa"/>
            <w:shd w:val="clear" w:color="auto" w:fill="FFFFFF"/>
            <w:noWrap/>
            <w:vAlign w:val="bottom"/>
            <w:hideMark/>
          </w:tcPr>
          <w:p w:rsidR="00417245" w:rsidRPr="00116FC1" w:rsidRDefault="00417245" w:rsidP="00382B0F">
            <w:pPr>
              <w:spacing w:line="240" w:lineRule="auto"/>
              <w:jc w:val="right"/>
              <w:rPr>
                <w:rFonts w:ascii="Calibri" w:hAnsi="Calibri"/>
                <w:b/>
                <w:sz w:val="18"/>
                <w:szCs w:val="18"/>
                <w:lang w:eastAsia="sl-SI"/>
              </w:rPr>
            </w:pPr>
          </w:p>
        </w:tc>
      </w:tr>
      <w:tr w:rsidR="00417245" w:rsidRPr="00972554" w:rsidTr="00972554">
        <w:trPr>
          <w:trHeight w:val="300"/>
        </w:trPr>
        <w:tc>
          <w:tcPr>
            <w:tcW w:w="6024" w:type="dxa"/>
            <w:shd w:val="clear" w:color="auto" w:fill="auto"/>
            <w:noWrap/>
            <w:vAlign w:val="center"/>
            <w:hideMark/>
          </w:tcPr>
          <w:p w:rsidR="00417245" w:rsidRPr="00412299" w:rsidRDefault="00417245" w:rsidP="00F83FBB">
            <w:pPr>
              <w:spacing w:line="240" w:lineRule="auto"/>
              <w:jc w:val="left"/>
              <w:rPr>
                <w:rFonts w:ascii="Calibri" w:hAnsi="Calibri"/>
                <w:b/>
                <w:bCs/>
                <w:sz w:val="18"/>
                <w:szCs w:val="18"/>
                <w:lang w:eastAsia="sl-SI"/>
              </w:rPr>
            </w:pPr>
            <w:r w:rsidRPr="00382B0F">
              <w:rPr>
                <w:rFonts w:ascii="Calibri" w:hAnsi="Calibri" w:cs="Calibri"/>
                <w:sz w:val="18"/>
                <w:szCs w:val="18"/>
                <w:lang w:val="sl-SI" w:eastAsia="sl-SI"/>
              </w:rPr>
              <w:t>MINISTRSTVO ZA FINANCE</w:t>
            </w:r>
          </w:p>
        </w:tc>
        <w:tc>
          <w:tcPr>
            <w:tcW w:w="1984" w:type="dxa"/>
            <w:shd w:val="clear" w:color="auto" w:fill="auto"/>
            <w:noWrap/>
            <w:vAlign w:val="bottom"/>
            <w:hideMark/>
          </w:tcPr>
          <w:p w:rsidR="00417245" w:rsidRPr="00412299" w:rsidRDefault="00417245" w:rsidP="00F83FBB">
            <w:pPr>
              <w:spacing w:line="240" w:lineRule="auto"/>
              <w:jc w:val="right"/>
              <w:rPr>
                <w:rFonts w:ascii="Calibri" w:hAnsi="Calibri"/>
                <w:b/>
                <w:bCs/>
                <w:sz w:val="18"/>
                <w:szCs w:val="18"/>
                <w:lang w:eastAsia="sl-SI"/>
              </w:rPr>
            </w:pPr>
            <w:r w:rsidRPr="00972554">
              <w:rPr>
                <w:rFonts w:ascii="Calibri" w:hAnsi="Calibri"/>
                <w:sz w:val="18"/>
                <w:szCs w:val="18"/>
              </w:rPr>
              <w:t xml:space="preserve">26.436.232 </w:t>
            </w:r>
          </w:p>
        </w:tc>
        <w:tc>
          <w:tcPr>
            <w:tcW w:w="1701" w:type="dxa"/>
            <w:shd w:val="clear" w:color="auto" w:fill="FFFFFF"/>
            <w:noWrap/>
            <w:vAlign w:val="bottom"/>
            <w:hideMark/>
          </w:tcPr>
          <w:p w:rsidR="00417245" w:rsidRPr="00412299" w:rsidRDefault="00417245" w:rsidP="00382B0F">
            <w:pPr>
              <w:spacing w:line="240" w:lineRule="auto"/>
              <w:jc w:val="right"/>
              <w:rPr>
                <w:rFonts w:ascii="Calibri" w:hAnsi="Calibri"/>
                <w:b/>
                <w:bCs/>
                <w:sz w:val="18"/>
                <w:szCs w:val="18"/>
                <w:lang w:eastAsia="sl-SI"/>
              </w:rPr>
            </w:pPr>
            <w:r w:rsidRPr="00972554">
              <w:rPr>
                <w:rFonts w:ascii="Calibri" w:hAnsi="Calibri"/>
                <w:sz w:val="18"/>
                <w:szCs w:val="18"/>
              </w:rPr>
              <w:t>59,55</w:t>
            </w:r>
          </w:p>
        </w:tc>
      </w:tr>
      <w:tr w:rsidR="00417245" w:rsidRPr="00972554" w:rsidTr="00972554">
        <w:trPr>
          <w:trHeight w:val="300"/>
        </w:trPr>
        <w:tc>
          <w:tcPr>
            <w:tcW w:w="6024" w:type="dxa"/>
            <w:shd w:val="clear" w:color="auto" w:fill="auto"/>
            <w:noWrap/>
            <w:vAlign w:val="center"/>
            <w:hideMark/>
          </w:tcPr>
          <w:p w:rsidR="00417245" w:rsidRPr="00412299" w:rsidRDefault="00417245" w:rsidP="00F83FBB">
            <w:pPr>
              <w:spacing w:line="240" w:lineRule="auto"/>
              <w:ind w:firstLineChars="100" w:firstLine="180"/>
              <w:jc w:val="left"/>
              <w:rPr>
                <w:rFonts w:ascii="Calibri" w:hAnsi="Calibri"/>
                <w:sz w:val="18"/>
                <w:szCs w:val="18"/>
                <w:lang w:eastAsia="sl-SI"/>
              </w:rPr>
            </w:pPr>
            <w:r w:rsidRPr="00382B0F">
              <w:rPr>
                <w:rFonts w:ascii="Calibri" w:hAnsi="Calibri" w:cs="Calibri"/>
                <w:sz w:val="18"/>
                <w:szCs w:val="18"/>
                <w:lang w:val="sl-SI" w:eastAsia="sl-SI"/>
              </w:rPr>
              <w:t>ZZZS</w:t>
            </w:r>
          </w:p>
        </w:tc>
        <w:tc>
          <w:tcPr>
            <w:tcW w:w="1984" w:type="dxa"/>
            <w:shd w:val="clear" w:color="auto" w:fill="auto"/>
            <w:noWrap/>
            <w:vAlign w:val="bottom"/>
            <w:hideMark/>
          </w:tcPr>
          <w:p w:rsidR="00417245" w:rsidRPr="00412299" w:rsidRDefault="00417245" w:rsidP="00F83FBB">
            <w:pPr>
              <w:spacing w:line="240" w:lineRule="auto"/>
              <w:jc w:val="right"/>
              <w:rPr>
                <w:rFonts w:ascii="Calibri" w:hAnsi="Calibri"/>
                <w:sz w:val="18"/>
                <w:szCs w:val="18"/>
                <w:lang w:eastAsia="sl-SI"/>
              </w:rPr>
            </w:pPr>
            <w:r w:rsidRPr="00972554">
              <w:rPr>
                <w:rFonts w:ascii="Calibri" w:hAnsi="Calibri"/>
                <w:sz w:val="18"/>
                <w:szCs w:val="18"/>
              </w:rPr>
              <w:t xml:space="preserve">17.953.877 </w:t>
            </w:r>
          </w:p>
        </w:tc>
        <w:tc>
          <w:tcPr>
            <w:tcW w:w="1701" w:type="dxa"/>
            <w:shd w:val="clear" w:color="auto" w:fill="FFFFFF"/>
            <w:noWrap/>
            <w:vAlign w:val="bottom"/>
            <w:hideMark/>
          </w:tcPr>
          <w:p w:rsidR="00417245" w:rsidRPr="00412299" w:rsidRDefault="00417245" w:rsidP="00382B0F">
            <w:pPr>
              <w:spacing w:line="240" w:lineRule="auto"/>
              <w:jc w:val="right"/>
              <w:rPr>
                <w:rFonts w:ascii="Calibri" w:hAnsi="Calibri"/>
                <w:sz w:val="18"/>
                <w:szCs w:val="18"/>
                <w:lang w:eastAsia="sl-SI"/>
              </w:rPr>
            </w:pPr>
            <w:r w:rsidRPr="00972554">
              <w:rPr>
                <w:rFonts w:ascii="Calibri" w:hAnsi="Calibri"/>
                <w:sz w:val="18"/>
                <w:szCs w:val="18"/>
              </w:rPr>
              <w:t>40,45</w:t>
            </w:r>
          </w:p>
        </w:tc>
      </w:tr>
      <w:tr w:rsidR="00417245" w:rsidRPr="00972554" w:rsidTr="00972554">
        <w:trPr>
          <w:trHeight w:val="300"/>
        </w:trPr>
        <w:tc>
          <w:tcPr>
            <w:tcW w:w="6024" w:type="dxa"/>
            <w:shd w:val="clear" w:color="auto" w:fill="auto"/>
            <w:noWrap/>
            <w:vAlign w:val="center"/>
            <w:hideMark/>
          </w:tcPr>
          <w:p w:rsidR="00417245" w:rsidRPr="00972554" w:rsidRDefault="00417245" w:rsidP="00F83FBB">
            <w:pPr>
              <w:spacing w:line="240" w:lineRule="auto"/>
              <w:ind w:firstLineChars="100" w:firstLine="181"/>
              <w:jc w:val="left"/>
              <w:rPr>
                <w:rFonts w:ascii="Calibri" w:hAnsi="Calibri"/>
                <w:b/>
                <w:sz w:val="18"/>
                <w:szCs w:val="18"/>
                <w:lang w:eastAsia="sl-SI"/>
              </w:rPr>
            </w:pPr>
            <w:r w:rsidRPr="00382B0F">
              <w:rPr>
                <w:rFonts w:ascii="Calibri" w:hAnsi="Calibri" w:cs="Calibri"/>
                <w:b/>
                <w:bCs/>
                <w:sz w:val="18"/>
                <w:szCs w:val="18"/>
                <w:lang w:val="sl-SI" w:eastAsia="sl-SI"/>
              </w:rPr>
              <w:t xml:space="preserve">326-Dolgoročno </w:t>
            </w:r>
            <w:r w:rsidRPr="00412299">
              <w:rPr>
                <w:rFonts w:ascii="Calibri" w:hAnsi="Calibri" w:cs="Calibri"/>
                <w:b/>
                <w:bCs/>
                <w:sz w:val="18"/>
                <w:szCs w:val="18"/>
                <w:lang w:val="sl-SI" w:eastAsia="sl-SI"/>
              </w:rPr>
              <w:t>prejeta poso</w:t>
            </w:r>
            <w:r w:rsidRPr="00116FC1">
              <w:rPr>
                <w:rFonts w:ascii="Calibri" w:hAnsi="Calibri" w:cs="Calibri"/>
                <w:b/>
                <w:bCs/>
                <w:sz w:val="18"/>
                <w:szCs w:val="18"/>
                <w:lang w:val="sl-SI" w:eastAsia="sl-SI"/>
              </w:rPr>
              <w:t xml:space="preserve">jila </w:t>
            </w:r>
          </w:p>
        </w:tc>
        <w:tc>
          <w:tcPr>
            <w:tcW w:w="1984" w:type="dxa"/>
            <w:shd w:val="clear" w:color="auto" w:fill="auto"/>
            <w:noWrap/>
            <w:vAlign w:val="bottom"/>
            <w:hideMark/>
          </w:tcPr>
          <w:p w:rsidR="00417245" w:rsidRPr="00412299" w:rsidRDefault="00417245" w:rsidP="00F83FBB">
            <w:pPr>
              <w:spacing w:line="240" w:lineRule="auto"/>
              <w:jc w:val="right"/>
              <w:rPr>
                <w:rFonts w:ascii="Calibri" w:hAnsi="Calibri"/>
                <w:b/>
                <w:sz w:val="18"/>
                <w:szCs w:val="18"/>
                <w:lang w:eastAsia="sl-SI"/>
              </w:rPr>
            </w:pPr>
            <w:r w:rsidRPr="00972554">
              <w:rPr>
                <w:rFonts w:ascii="Calibri" w:hAnsi="Calibri"/>
                <w:b/>
                <w:sz w:val="18"/>
                <w:szCs w:val="18"/>
              </w:rPr>
              <w:t xml:space="preserve">28.784.094.446 </w:t>
            </w:r>
          </w:p>
        </w:tc>
        <w:tc>
          <w:tcPr>
            <w:tcW w:w="1701" w:type="dxa"/>
            <w:shd w:val="clear" w:color="auto" w:fill="FFFFFF"/>
            <w:noWrap/>
            <w:vAlign w:val="bottom"/>
            <w:hideMark/>
          </w:tcPr>
          <w:p w:rsidR="00417245" w:rsidRPr="00116FC1" w:rsidRDefault="00417245" w:rsidP="00382B0F">
            <w:pPr>
              <w:spacing w:line="240" w:lineRule="auto"/>
              <w:jc w:val="right"/>
              <w:rPr>
                <w:rFonts w:ascii="Calibri" w:hAnsi="Calibri"/>
                <w:b/>
                <w:sz w:val="18"/>
                <w:szCs w:val="18"/>
                <w:lang w:eastAsia="sl-SI"/>
              </w:rPr>
            </w:pPr>
          </w:p>
        </w:tc>
      </w:tr>
      <w:tr w:rsidR="00417245" w:rsidRPr="00972554" w:rsidTr="00972554">
        <w:trPr>
          <w:trHeight w:val="300"/>
        </w:trPr>
        <w:tc>
          <w:tcPr>
            <w:tcW w:w="6024" w:type="dxa"/>
            <w:shd w:val="clear" w:color="auto" w:fill="auto"/>
            <w:noWrap/>
            <w:vAlign w:val="center"/>
            <w:hideMark/>
          </w:tcPr>
          <w:p w:rsidR="00417245" w:rsidRPr="00412299" w:rsidRDefault="000A7612" w:rsidP="00F83FBB">
            <w:pPr>
              <w:spacing w:line="240" w:lineRule="auto"/>
              <w:jc w:val="left"/>
              <w:rPr>
                <w:rFonts w:ascii="Calibri" w:hAnsi="Calibri"/>
                <w:b/>
                <w:bCs/>
                <w:sz w:val="18"/>
                <w:szCs w:val="18"/>
                <w:lang w:eastAsia="sl-SI"/>
              </w:rPr>
            </w:pPr>
            <w:r w:rsidRPr="002B775E">
              <w:rPr>
                <w:rFonts w:ascii="Calibri" w:hAnsi="Calibri" w:cs="Calibri"/>
                <w:sz w:val="18"/>
                <w:szCs w:val="18"/>
                <w:lang w:val="sl-SI" w:eastAsia="sl-SI"/>
              </w:rPr>
              <w:t>RS</w:t>
            </w:r>
            <w:r w:rsidR="00417245" w:rsidRPr="00382B0F">
              <w:rPr>
                <w:rFonts w:ascii="Calibri" w:hAnsi="Calibri" w:cs="Calibri"/>
                <w:sz w:val="18"/>
                <w:szCs w:val="18"/>
                <w:lang w:val="sl-SI" w:eastAsia="sl-SI"/>
              </w:rPr>
              <w:t xml:space="preserve"> - PRORAČUN</w:t>
            </w:r>
          </w:p>
        </w:tc>
        <w:tc>
          <w:tcPr>
            <w:tcW w:w="1984" w:type="dxa"/>
            <w:shd w:val="clear" w:color="auto" w:fill="auto"/>
            <w:noWrap/>
            <w:vAlign w:val="bottom"/>
            <w:hideMark/>
          </w:tcPr>
          <w:p w:rsidR="00417245" w:rsidRPr="00412299" w:rsidRDefault="00417245" w:rsidP="00F83FBB">
            <w:pPr>
              <w:spacing w:line="240" w:lineRule="auto"/>
              <w:jc w:val="right"/>
              <w:rPr>
                <w:rFonts w:ascii="Calibri" w:hAnsi="Calibri"/>
                <w:b/>
                <w:bCs/>
                <w:sz w:val="18"/>
                <w:szCs w:val="18"/>
                <w:lang w:eastAsia="sl-SI"/>
              </w:rPr>
            </w:pPr>
            <w:r w:rsidRPr="00972554">
              <w:rPr>
                <w:rFonts w:ascii="Calibri" w:hAnsi="Calibri"/>
                <w:sz w:val="18"/>
                <w:szCs w:val="18"/>
              </w:rPr>
              <w:t xml:space="preserve">28.784.094.446 </w:t>
            </w:r>
          </w:p>
        </w:tc>
        <w:tc>
          <w:tcPr>
            <w:tcW w:w="1701" w:type="dxa"/>
            <w:shd w:val="clear" w:color="auto" w:fill="FFFFFF"/>
            <w:noWrap/>
            <w:vAlign w:val="bottom"/>
            <w:hideMark/>
          </w:tcPr>
          <w:p w:rsidR="00417245" w:rsidRPr="00412299" w:rsidRDefault="00417245" w:rsidP="00382B0F">
            <w:pPr>
              <w:spacing w:line="240" w:lineRule="auto"/>
              <w:jc w:val="right"/>
              <w:rPr>
                <w:rFonts w:ascii="Calibri" w:hAnsi="Calibri"/>
                <w:b/>
                <w:bCs/>
                <w:sz w:val="18"/>
                <w:szCs w:val="18"/>
                <w:lang w:eastAsia="sl-SI"/>
              </w:rPr>
            </w:pPr>
            <w:r w:rsidRPr="00972554">
              <w:rPr>
                <w:rFonts w:ascii="Calibri" w:hAnsi="Calibri"/>
                <w:sz w:val="18"/>
                <w:szCs w:val="18"/>
              </w:rPr>
              <w:t>100,00</w:t>
            </w:r>
          </w:p>
        </w:tc>
      </w:tr>
      <w:tr w:rsidR="00417245" w:rsidRPr="00972554" w:rsidTr="00972554">
        <w:trPr>
          <w:trHeight w:val="300"/>
        </w:trPr>
        <w:tc>
          <w:tcPr>
            <w:tcW w:w="6024" w:type="dxa"/>
            <w:shd w:val="clear" w:color="auto" w:fill="auto"/>
            <w:noWrap/>
            <w:vAlign w:val="center"/>
            <w:hideMark/>
          </w:tcPr>
          <w:p w:rsidR="00417245" w:rsidRPr="00412299" w:rsidRDefault="00417245" w:rsidP="00972554">
            <w:pPr>
              <w:spacing w:line="240" w:lineRule="auto"/>
              <w:ind w:firstLineChars="100" w:firstLine="181"/>
              <w:jc w:val="left"/>
              <w:rPr>
                <w:rFonts w:ascii="Calibri" w:hAnsi="Calibri"/>
                <w:b/>
                <w:sz w:val="18"/>
                <w:szCs w:val="18"/>
                <w:lang w:eastAsia="sl-SI"/>
              </w:rPr>
            </w:pPr>
            <w:r w:rsidRPr="00972554">
              <w:rPr>
                <w:rFonts w:ascii="Calibri" w:hAnsi="Calibri"/>
                <w:b/>
                <w:sz w:val="18"/>
                <w:szCs w:val="18"/>
              </w:rPr>
              <w:t xml:space="preserve">327-Dolgoročne obveznosti iz poslovanja </w:t>
            </w:r>
          </w:p>
        </w:tc>
        <w:tc>
          <w:tcPr>
            <w:tcW w:w="1984" w:type="dxa"/>
            <w:shd w:val="clear" w:color="auto" w:fill="auto"/>
            <w:noWrap/>
            <w:vAlign w:val="bottom"/>
            <w:hideMark/>
          </w:tcPr>
          <w:p w:rsidR="00417245" w:rsidRPr="00412299" w:rsidRDefault="00417245" w:rsidP="00F83FBB">
            <w:pPr>
              <w:spacing w:line="240" w:lineRule="auto"/>
              <w:jc w:val="right"/>
              <w:rPr>
                <w:rFonts w:ascii="Calibri" w:hAnsi="Calibri"/>
                <w:b/>
                <w:sz w:val="18"/>
                <w:szCs w:val="18"/>
                <w:lang w:eastAsia="sl-SI"/>
              </w:rPr>
            </w:pPr>
            <w:r w:rsidRPr="00972554">
              <w:rPr>
                <w:rFonts w:ascii="Calibri" w:hAnsi="Calibri"/>
                <w:b/>
                <w:sz w:val="18"/>
                <w:szCs w:val="18"/>
              </w:rPr>
              <w:t xml:space="preserve">213.680.944 </w:t>
            </w:r>
          </w:p>
        </w:tc>
        <w:tc>
          <w:tcPr>
            <w:tcW w:w="1701" w:type="dxa"/>
            <w:shd w:val="clear" w:color="auto" w:fill="FFFFFF"/>
            <w:noWrap/>
            <w:vAlign w:val="bottom"/>
            <w:hideMark/>
          </w:tcPr>
          <w:p w:rsidR="00417245" w:rsidRPr="00116FC1" w:rsidRDefault="00417245" w:rsidP="00382B0F">
            <w:pPr>
              <w:spacing w:line="240" w:lineRule="auto"/>
              <w:jc w:val="right"/>
              <w:rPr>
                <w:rFonts w:ascii="Calibri" w:hAnsi="Calibri"/>
                <w:b/>
                <w:sz w:val="18"/>
                <w:szCs w:val="18"/>
                <w:lang w:eastAsia="sl-SI"/>
              </w:rPr>
            </w:pPr>
          </w:p>
        </w:tc>
      </w:tr>
      <w:tr w:rsidR="00417245" w:rsidRPr="00972554" w:rsidTr="00972554">
        <w:trPr>
          <w:trHeight w:val="300"/>
        </w:trPr>
        <w:tc>
          <w:tcPr>
            <w:tcW w:w="6024" w:type="dxa"/>
            <w:shd w:val="clear" w:color="auto" w:fill="auto"/>
            <w:noWrap/>
            <w:vAlign w:val="center"/>
            <w:hideMark/>
          </w:tcPr>
          <w:p w:rsidR="00417245" w:rsidRPr="00972554" w:rsidRDefault="000A7612" w:rsidP="00F83FBB">
            <w:pPr>
              <w:spacing w:line="240" w:lineRule="auto"/>
              <w:jc w:val="left"/>
              <w:rPr>
                <w:rFonts w:ascii="Calibri" w:hAnsi="Calibri"/>
                <w:b/>
                <w:bCs/>
                <w:sz w:val="18"/>
                <w:szCs w:val="18"/>
                <w:lang w:eastAsia="sl-SI"/>
              </w:rPr>
            </w:pPr>
            <w:r w:rsidRPr="002B775E">
              <w:rPr>
                <w:rFonts w:ascii="Calibri" w:hAnsi="Calibri"/>
                <w:sz w:val="18"/>
                <w:szCs w:val="18"/>
              </w:rPr>
              <w:t>RS</w:t>
            </w:r>
            <w:r w:rsidR="00417245" w:rsidRPr="00972554">
              <w:rPr>
                <w:rFonts w:ascii="Calibri" w:hAnsi="Calibri"/>
                <w:sz w:val="18"/>
                <w:szCs w:val="18"/>
              </w:rPr>
              <w:t xml:space="preserve"> - PRORAČUN</w:t>
            </w:r>
          </w:p>
        </w:tc>
        <w:tc>
          <w:tcPr>
            <w:tcW w:w="1984" w:type="dxa"/>
            <w:shd w:val="clear" w:color="auto" w:fill="auto"/>
            <w:noWrap/>
            <w:vAlign w:val="bottom"/>
            <w:hideMark/>
          </w:tcPr>
          <w:p w:rsidR="00417245" w:rsidRPr="00412299" w:rsidRDefault="00417245" w:rsidP="00F83FBB">
            <w:pPr>
              <w:spacing w:line="240" w:lineRule="auto"/>
              <w:jc w:val="right"/>
              <w:rPr>
                <w:rFonts w:ascii="Calibri" w:hAnsi="Calibri"/>
                <w:b/>
                <w:bCs/>
                <w:sz w:val="18"/>
                <w:szCs w:val="18"/>
                <w:lang w:eastAsia="sl-SI"/>
              </w:rPr>
            </w:pPr>
            <w:r w:rsidRPr="00972554">
              <w:rPr>
                <w:rFonts w:ascii="Calibri" w:hAnsi="Calibri"/>
                <w:sz w:val="18"/>
                <w:szCs w:val="18"/>
              </w:rPr>
              <w:t xml:space="preserve">61.035.672 </w:t>
            </w:r>
          </w:p>
        </w:tc>
        <w:tc>
          <w:tcPr>
            <w:tcW w:w="1701" w:type="dxa"/>
            <w:shd w:val="clear" w:color="auto" w:fill="FFFFFF"/>
            <w:noWrap/>
            <w:vAlign w:val="bottom"/>
            <w:hideMark/>
          </w:tcPr>
          <w:p w:rsidR="00417245" w:rsidRPr="00412299" w:rsidRDefault="00417245" w:rsidP="00382B0F">
            <w:pPr>
              <w:spacing w:line="240" w:lineRule="auto"/>
              <w:jc w:val="right"/>
              <w:rPr>
                <w:rFonts w:ascii="Calibri" w:hAnsi="Calibri"/>
                <w:b/>
                <w:bCs/>
                <w:sz w:val="18"/>
                <w:szCs w:val="18"/>
                <w:lang w:eastAsia="sl-SI"/>
              </w:rPr>
            </w:pPr>
            <w:r w:rsidRPr="00972554">
              <w:rPr>
                <w:rFonts w:ascii="Calibri" w:hAnsi="Calibri"/>
                <w:sz w:val="18"/>
                <w:szCs w:val="18"/>
              </w:rPr>
              <w:t>28,56</w:t>
            </w:r>
          </w:p>
        </w:tc>
      </w:tr>
      <w:tr w:rsidR="00417245" w:rsidRPr="00972554" w:rsidTr="00972554">
        <w:trPr>
          <w:trHeight w:val="300"/>
        </w:trPr>
        <w:tc>
          <w:tcPr>
            <w:tcW w:w="6024" w:type="dxa"/>
            <w:shd w:val="clear" w:color="auto" w:fill="auto"/>
            <w:noWrap/>
            <w:vAlign w:val="center"/>
            <w:hideMark/>
          </w:tcPr>
          <w:p w:rsidR="00417245" w:rsidRPr="00412299" w:rsidRDefault="00417245"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MINISTRSTVO ZA INFRASTRUKTURO, DIREKCIJA </w:t>
            </w:r>
            <w:r w:rsidR="000A7612" w:rsidRPr="002B775E">
              <w:rPr>
                <w:rFonts w:ascii="Calibri" w:hAnsi="Calibri"/>
                <w:sz w:val="18"/>
                <w:szCs w:val="18"/>
              </w:rPr>
              <w:t>RS</w:t>
            </w:r>
            <w:r w:rsidRPr="00972554">
              <w:rPr>
                <w:rFonts w:ascii="Calibri" w:hAnsi="Calibri"/>
                <w:sz w:val="18"/>
                <w:szCs w:val="18"/>
              </w:rPr>
              <w:t xml:space="preserve"> ZA INFRASTRUKTURO</w:t>
            </w:r>
          </w:p>
        </w:tc>
        <w:tc>
          <w:tcPr>
            <w:tcW w:w="1984" w:type="dxa"/>
            <w:shd w:val="clear" w:color="auto" w:fill="auto"/>
            <w:noWrap/>
            <w:vAlign w:val="bottom"/>
            <w:hideMark/>
          </w:tcPr>
          <w:p w:rsidR="00417245" w:rsidRPr="00412299" w:rsidRDefault="00417245" w:rsidP="00F83FBB">
            <w:pPr>
              <w:spacing w:line="240" w:lineRule="auto"/>
              <w:jc w:val="right"/>
              <w:rPr>
                <w:rFonts w:ascii="Calibri" w:hAnsi="Calibri"/>
                <w:sz w:val="18"/>
                <w:szCs w:val="18"/>
                <w:lang w:eastAsia="sl-SI"/>
              </w:rPr>
            </w:pPr>
            <w:r w:rsidRPr="00972554">
              <w:rPr>
                <w:rFonts w:ascii="Calibri" w:hAnsi="Calibri"/>
                <w:sz w:val="18"/>
                <w:szCs w:val="18"/>
              </w:rPr>
              <w:t xml:space="preserve">59.936.240 </w:t>
            </w:r>
          </w:p>
        </w:tc>
        <w:tc>
          <w:tcPr>
            <w:tcW w:w="1701" w:type="dxa"/>
            <w:shd w:val="clear" w:color="auto" w:fill="FFFFFF"/>
            <w:noWrap/>
            <w:vAlign w:val="bottom"/>
            <w:hideMark/>
          </w:tcPr>
          <w:p w:rsidR="00417245" w:rsidRPr="00412299" w:rsidRDefault="00417245" w:rsidP="00F83FBB">
            <w:pPr>
              <w:spacing w:line="240" w:lineRule="auto"/>
              <w:jc w:val="right"/>
              <w:rPr>
                <w:rFonts w:ascii="Calibri" w:hAnsi="Calibri"/>
                <w:sz w:val="18"/>
                <w:szCs w:val="18"/>
                <w:lang w:eastAsia="sl-SI"/>
              </w:rPr>
            </w:pPr>
            <w:r w:rsidRPr="00972554">
              <w:rPr>
                <w:rFonts w:ascii="Calibri" w:hAnsi="Calibri"/>
                <w:sz w:val="18"/>
                <w:szCs w:val="18"/>
              </w:rPr>
              <w:t>28,05</w:t>
            </w:r>
          </w:p>
        </w:tc>
      </w:tr>
      <w:tr w:rsidR="00417245" w:rsidRPr="00972554" w:rsidTr="00972554">
        <w:trPr>
          <w:trHeight w:val="300"/>
        </w:trPr>
        <w:tc>
          <w:tcPr>
            <w:tcW w:w="6024" w:type="dxa"/>
            <w:tcBorders>
              <w:bottom w:val="single" w:sz="4" w:space="0" w:color="auto"/>
            </w:tcBorders>
            <w:shd w:val="clear" w:color="auto" w:fill="auto"/>
            <w:noWrap/>
            <w:vAlign w:val="center"/>
            <w:hideMark/>
          </w:tcPr>
          <w:p w:rsidR="00417245" w:rsidRPr="00116FC1" w:rsidRDefault="00417245"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MINISTRSTVO ZA FINANCE</w:t>
            </w:r>
          </w:p>
        </w:tc>
        <w:tc>
          <w:tcPr>
            <w:tcW w:w="1984" w:type="dxa"/>
            <w:tcBorders>
              <w:bottom w:val="single" w:sz="4" w:space="0" w:color="auto"/>
            </w:tcBorders>
            <w:shd w:val="clear" w:color="auto" w:fill="auto"/>
            <w:noWrap/>
            <w:vAlign w:val="bottom"/>
            <w:hideMark/>
          </w:tcPr>
          <w:p w:rsidR="00417245" w:rsidRPr="00412299" w:rsidRDefault="00417245" w:rsidP="00F83FBB">
            <w:pPr>
              <w:spacing w:line="240" w:lineRule="auto"/>
              <w:jc w:val="right"/>
              <w:rPr>
                <w:rFonts w:ascii="Calibri" w:hAnsi="Calibri"/>
                <w:sz w:val="18"/>
                <w:szCs w:val="18"/>
                <w:lang w:eastAsia="sl-SI"/>
              </w:rPr>
            </w:pPr>
            <w:r w:rsidRPr="00972554">
              <w:rPr>
                <w:rFonts w:ascii="Calibri" w:hAnsi="Calibri"/>
                <w:sz w:val="18"/>
                <w:szCs w:val="18"/>
              </w:rPr>
              <w:t xml:space="preserve">47.274.037 </w:t>
            </w:r>
          </w:p>
        </w:tc>
        <w:tc>
          <w:tcPr>
            <w:tcW w:w="1701" w:type="dxa"/>
            <w:tcBorders>
              <w:bottom w:val="single" w:sz="4" w:space="0" w:color="auto"/>
            </w:tcBorders>
            <w:shd w:val="clear" w:color="auto" w:fill="FFFFFF"/>
            <w:noWrap/>
            <w:vAlign w:val="bottom"/>
            <w:hideMark/>
          </w:tcPr>
          <w:p w:rsidR="00417245" w:rsidRPr="00412299" w:rsidRDefault="00417245" w:rsidP="00F83FBB">
            <w:pPr>
              <w:spacing w:line="240" w:lineRule="auto"/>
              <w:jc w:val="right"/>
              <w:rPr>
                <w:rFonts w:ascii="Calibri" w:hAnsi="Calibri"/>
                <w:sz w:val="18"/>
                <w:szCs w:val="18"/>
                <w:lang w:eastAsia="sl-SI"/>
              </w:rPr>
            </w:pPr>
            <w:r w:rsidRPr="00972554">
              <w:rPr>
                <w:rFonts w:ascii="Calibri" w:hAnsi="Calibri"/>
                <w:sz w:val="18"/>
                <w:szCs w:val="18"/>
              </w:rPr>
              <w:t>22,12</w:t>
            </w:r>
          </w:p>
        </w:tc>
      </w:tr>
      <w:tr w:rsidR="00417245" w:rsidRPr="00972554" w:rsidTr="00972554">
        <w:trPr>
          <w:trHeight w:val="300"/>
        </w:trPr>
        <w:tc>
          <w:tcPr>
            <w:tcW w:w="6024" w:type="dxa"/>
            <w:tcBorders>
              <w:bottom w:val="single" w:sz="4" w:space="0" w:color="auto"/>
            </w:tcBorders>
            <w:shd w:val="clear" w:color="auto" w:fill="auto"/>
            <w:noWrap/>
            <w:vAlign w:val="center"/>
            <w:hideMark/>
          </w:tcPr>
          <w:p w:rsidR="00417245" w:rsidRPr="00412299" w:rsidRDefault="00417245" w:rsidP="00972554">
            <w:pPr>
              <w:spacing w:line="240" w:lineRule="auto"/>
              <w:ind w:firstLineChars="100" w:firstLine="181"/>
              <w:jc w:val="left"/>
              <w:rPr>
                <w:rFonts w:ascii="Calibri" w:hAnsi="Calibri"/>
                <w:b/>
                <w:i/>
                <w:sz w:val="18"/>
                <w:szCs w:val="18"/>
                <w:lang w:eastAsia="sl-SI"/>
              </w:rPr>
            </w:pPr>
            <w:r w:rsidRPr="00972554">
              <w:rPr>
                <w:rFonts w:ascii="Calibri" w:hAnsi="Calibri"/>
                <w:b/>
                <w:sz w:val="18"/>
                <w:szCs w:val="18"/>
              </w:rPr>
              <w:t xml:space="preserve">328-Kratkoročne obveznosti </w:t>
            </w:r>
          </w:p>
        </w:tc>
        <w:tc>
          <w:tcPr>
            <w:tcW w:w="1984" w:type="dxa"/>
            <w:tcBorders>
              <w:bottom w:val="single" w:sz="4" w:space="0" w:color="auto"/>
            </w:tcBorders>
            <w:shd w:val="clear" w:color="auto" w:fill="auto"/>
            <w:noWrap/>
            <w:vAlign w:val="bottom"/>
            <w:hideMark/>
          </w:tcPr>
          <w:p w:rsidR="00417245" w:rsidRPr="00412299" w:rsidRDefault="00417245" w:rsidP="00F83FBB">
            <w:pPr>
              <w:spacing w:line="240" w:lineRule="auto"/>
              <w:jc w:val="right"/>
              <w:rPr>
                <w:rFonts w:ascii="Calibri" w:hAnsi="Calibri"/>
                <w:b/>
                <w:i/>
                <w:sz w:val="18"/>
                <w:szCs w:val="18"/>
                <w:lang w:eastAsia="sl-SI"/>
              </w:rPr>
            </w:pPr>
            <w:r w:rsidRPr="00972554">
              <w:rPr>
                <w:rFonts w:ascii="Calibri" w:hAnsi="Calibri"/>
                <w:b/>
                <w:sz w:val="18"/>
                <w:szCs w:val="18"/>
              </w:rPr>
              <w:t xml:space="preserve">2.113.539.149 </w:t>
            </w:r>
          </w:p>
        </w:tc>
        <w:tc>
          <w:tcPr>
            <w:tcW w:w="1701" w:type="dxa"/>
            <w:tcBorders>
              <w:bottom w:val="single" w:sz="4" w:space="0" w:color="auto"/>
            </w:tcBorders>
            <w:shd w:val="clear" w:color="auto" w:fill="auto"/>
            <w:noWrap/>
            <w:vAlign w:val="bottom"/>
            <w:hideMark/>
          </w:tcPr>
          <w:p w:rsidR="00417245" w:rsidRPr="00116FC1" w:rsidRDefault="00417245" w:rsidP="00382B0F">
            <w:pPr>
              <w:spacing w:line="240" w:lineRule="auto"/>
              <w:jc w:val="right"/>
              <w:rPr>
                <w:rFonts w:ascii="Calibri" w:hAnsi="Calibri"/>
                <w:b/>
                <w:i/>
                <w:sz w:val="18"/>
                <w:szCs w:val="18"/>
                <w:lang w:eastAsia="sl-SI"/>
              </w:rPr>
            </w:pPr>
          </w:p>
        </w:tc>
      </w:tr>
      <w:tr w:rsidR="00417245" w:rsidRPr="00972554" w:rsidTr="00972554">
        <w:trPr>
          <w:trHeight w:val="300"/>
        </w:trPr>
        <w:tc>
          <w:tcPr>
            <w:tcW w:w="6024" w:type="dxa"/>
            <w:shd w:val="clear" w:color="auto" w:fill="FFFFFF"/>
            <w:noWrap/>
            <w:vAlign w:val="center"/>
            <w:hideMark/>
          </w:tcPr>
          <w:p w:rsidR="00417245" w:rsidRPr="00412299" w:rsidRDefault="000A7612" w:rsidP="00F83FBB">
            <w:pPr>
              <w:spacing w:line="240" w:lineRule="auto"/>
              <w:ind w:firstLineChars="100" w:firstLine="180"/>
              <w:jc w:val="left"/>
              <w:rPr>
                <w:rFonts w:ascii="Calibri" w:hAnsi="Calibri"/>
                <w:sz w:val="18"/>
                <w:szCs w:val="18"/>
              </w:rPr>
            </w:pPr>
            <w:r w:rsidRPr="002B775E">
              <w:rPr>
                <w:rFonts w:ascii="Calibri" w:hAnsi="Calibri"/>
                <w:sz w:val="18"/>
                <w:szCs w:val="18"/>
              </w:rPr>
              <w:t>RS</w:t>
            </w:r>
            <w:r w:rsidR="00417245" w:rsidRPr="00972554">
              <w:rPr>
                <w:rFonts w:ascii="Calibri" w:hAnsi="Calibri"/>
                <w:sz w:val="18"/>
                <w:szCs w:val="18"/>
              </w:rPr>
              <w:t xml:space="preserve"> - PRORAČUN</w:t>
            </w:r>
          </w:p>
        </w:tc>
        <w:tc>
          <w:tcPr>
            <w:tcW w:w="1984" w:type="dxa"/>
            <w:shd w:val="clear" w:color="auto" w:fill="FFFFFF"/>
            <w:noWrap/>
            <w:vAlign w:val="bottom"/>
            <w:hideMark/>
          </w:tcPr>
          <w:p w:rsidR="00417245" w:rsidRPr="00412299" w:rsidRDefault="00417245" w:rsidP="00972554">
            <w:pPr>
              <w:spacing w:line="240" w:lineRule="auto"/>
              <w:ind w:firstLineChars="100" w:firstLine="180"/>
              <w:jc w:val="right"/>
              <w:rPr>
                <w:rFonts w:ascii="Calibri" w:hAnsi="Calibri"/>
                <w:sz w:val="18"/>
                <w:szCs w:val="18"/>
              </w:rPr>
            </w:pPr>
            <w:r w:rsidRPr="00972554">
              <w:rPr>
                <w:rFonts w:ascii="Calibri" w:hAnsi="Calibri"/>
                <w:sz w:val="18"/>
                <w:szCs w:val="18"/>
              </w:rPr>
              <w:t xml:space="preserve">1.655.711.052 </w:t>
            </w:r>
          </w:p>
        </w:tc>
        <w:tc>
          <w:tcPr>
            <w:tcW w:w="1701" w:type="dxa"/>
            <w:shd w:val="clear" w:color="auto" w:fill="FFFFFF"/>
            <w:noWrap/>
            <w:vAlign w:val="bottom"/>
            <w:hideMark/>
          </w:tcPr>
          <w:p w:rsidR="00417245" w:rsidRPr="00412299" w:rsidRDefault="00417245" w:rsidP="00972554">
            <w:pPr>
              <w:spacing w:line="240" w:lineRule="auto"/>
              <w:ind w:firstLineChars="100" w:firstLine="180"/>
              <w:jc w:val="right"/>
              <w:rPr>
                <w:rFonts w:ascii="Calibri" w:hAnsi="Calibri"/>
                <w:sz w:val="18"/>
                <w:szCs w:val="18"/>
              </w:rPr>
            </w:pPr>
            <w:r w:rsidRPr="00972554">
              <w:rPr>
                <w:rFonts w:ascii="Calibri" w:hAnsi="Calibri"/>
                <w:sz w:val="18"/>
                <w:szCs w:val="18"/>
              </w:rPr>
              <w:t>78,34</w:t>
            </w:r>
          </w:p>
        </w:tc>
      </w:tr>
      <w:tr w:rsidR="00417245" w:rsidRPr="00972554" w:rsidTr="00972554">
        <w:trPr>
          <w:trHeight w:val="300"/>
        </w:trPr>
        <w:tc>
          <w:tcPr>
            <w:tcW w:w="6024" w:type="dxa"/>
            <w:shd w:val="clear" w:color="auto" w:fill="auto"/>
            <w:noWrap/>
            <w:vAlign w:val="center"/>
            <w:hideMark/>
          </w:tcPr>
          <w:p w:rsidR="00417245" w:rsidRPr="00412299" w:rsidRDefault="00417245"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ZAVOD ZA ZDRAVSTVENO ZAVAROVANJE SLOVENIJE</w:t>
            </w:r>
          </w:p>
        </w:tc>
        <w:tc>
          <w:tcPr>
            <w:tcW w:w="1984" w:type="dxa"/>
            <w:shd w:val="clear" w:color="auto" w:fill="auto"/>
            <w:noWrap/>
            <w:vAlign w:val="bottom"/>
            <w:hideMark/>
          </w:tcPr>
          <w:p w:rsidR="00417245" w:rsidRPr="00412299" w:rsidRDefault="00417245" w:rsidP="00F83FBB">
            <w:pPr>
              <w:spacing w:line="240" w:lineRule="auto"/>
              <w:jc w:val="right"/>
              <w:rPr>
                <w:rFonts w:ascii="Calibri" w:hAnsi="Calibri"/>
                <w:sz w:val="18"/>
                <w:szCs w:val="18"/>
                <w:lang w:eastAsia="sl-SI"/>
              </w:rPr>
            </w:pPr>
            <w:r w:rsidRPr="00972554">
              <w:rPr>
                <w:rFonts w:ascii="Calibri" w:hAnsi="Calibri"/>
                <w:sz w:val="18"/>
                <w:szCs w:val="18"/>
              </w:rPr>
              <w:t xml:space="preserve">102.052.821 </w:t>
            </w:r>
          </w:p>
        </w:tc>
        <w:tc>
          <w:tcPr>
            <w:tcW w:w="1701" w:type="dxa"/>
            <w:shd w:val="clear" w:color="auto" w:fill="FFFFFF"/>
            <w:noWrap/>
            <w:vAlign w:val="bottom"/>
            <w:hideMark/>
          </w:tcPr>
          <w:p w:rsidR="00417245" w:rsidRPr="00412299" w:rsidRDefault="00417245" w:rsidP="00F83FBB">
            <w:pPr>
              <w:spacing w:line="240" w:lineRule="auto"/>
              <w:jc w:val="right"/>
              <w:rPr>
                <w:rFonts w:ascii="Calibri" w:hAnsi="Calibri"/>
                <w:sz w:val="18"/>
                <w:szCs w:val="18"/>
                <w:lang w:eastAsia="sl-SI"/>
              </w:rPr>
            </w:pPr>
            <w:r w:rsidRPr="00972554">
              <w:rPr>
                <w:rFonts w:ascii="Calibri" w:hAnsi="Calibri"/>
                <w:sz w:val="18"/>
                <w:szCs w:val="18"/>
              </w:rPr>
              <w:t>4,83</w:t>
            </w:r>
          </w:p>
        </w:tc>
      </w:tr>
      <w:tr w:rsidR="00417245" w:rsidRPr="00972554" w:rsidTr="00972554">
        <w:trPr>
          <w:trHeight w:val="300"/>
        </w:trPr>
        <w:tc>
          <w:tcPr>
            <w:tcW w:w="6024" w:type="dxa"/>
            <w:shd w:val="clear" w:color="auto" w:fill="auto"/>
            <w:noWrap/>
            <w:vAlign w:val="center"/>
            <w:hideMark/>
          </w:tcPr>
          <w:p w:rsidR="00417245" w:rsidRPr="00412299" w:rsidRDefault="000A7612" w:rsidP="00F83FBB">
            <w:pPr>
              <w:spacing w:line="240" w:lineRule="auto"/>
              <w:ind w:firstLineChars="100" w:firstLine="180"/>
              <w:jc w:val="left"/>
              <w:rPr>
                <w:rFonts w:ascii="Calibri" w:hAnsi="Calibri"/>
                <w:sz w:val="18"/>
                <w:szCs w:val="18"/>
                <w:lang w:eastAsia="sl-SI"/>
              </w:rPr>
            </w:pPr>
            <w:r w:rsidRPr="002B775E">
              <w:rPr>
                <w:rFonts w:ascii="Calibri" w:hAnsi="Calibri"/>
                <w:sz w:val="18"/>
                <w:szCs w:val="18"/>
              </w:rPr>
              <w:t>RS</w:t>
            </w:r>
            <w:r w:rsidR="00417245" w:rsidRPr="00972554">
              <w:rPr>
                <w:rFonts w:ascii="Calibri" w:hAnsi="Calibri"/>
                <w:sz w:val="18"/>
                <w:szCs w:val="18"/>
              </w:rPr>
              <w:t>, MINISTRSTVO ZA DELO, DRUŽINO, SOCIALNE ZADEVE IN ENAKE MOŽNOSTI</w:t>
            </w:r>
          </w:p>
        </w:tc>
        <w:tc>
          <w:tcPr>
            <w:tcW w:w="1984" w:type="dxa"/>
            <w:shd w:val="clear" w:color="auto" w:fill="auto"/>
            <w:noWrap/>
            <w:vAlign w:val="bottom"/>
            <w:hideMark/>
          </w:tcPr>
          <w:p w:rsidR="00417245" w:rsidRPr="00412299" w:rsidRDefault="00417245" w:rsidP="00F83FBB">
            <w:pPr>
              <w:spacing w:line="240" w:lineRule="auto"/>
              <w:jc w:val="right"/>
              <w:rPr>
                <w:rFonts w:ascii="Calibri" w:hAnsi="Calibri"/>
                <w:sz w:val="18"/>
                <w:szCs w:val="18"/>
                <w:lang w:eastAsia="sl-SI"/>
              </w:rPr>
            </w:pPr>
            <w:r w:rsidRPr="00972554">
              <w:rPr>
                <w:rFonts w:ascii="Calibri" w:hAnsi="Calibri"/>
                <w:sz w:val="18"/>
                <w:szCs w:val="18"/>
              </w:rPr>
              <w:t xml:space="preserve">64.664.954 </w:t>
            </w:r>
          </w:p>
        </w:tc>
        <w:tc>
          <w:tcPr>
            <w:tcW w:w="1701" w:type="dxa"/>
            <w:shd w:val="clear" w:color="auto" w:fill="FFFFFF"/>
            <w:noWrap/>
            <w:vAlign w:val="bottom"/>
            <w:hideMark/>
          </w:tcPr>
          <w:p w:rsidR="00417245" w:rsidRPr="00412299" w:rsidRDefault="00417245" w:rsidP="00382B0F">
            <w:pPr>
              <w:spacing w:line="240" w:lineRule="auto"/>
              <w:jc w:val="right"/>
              <w:rPr>
                <w:rFonts w:ascii="Calibri" w:hAnsi="Calibri"/>
                <w:sz w:val="18"/>
                <w:szCs w:val="18"/>
                <w:lang w:eastAsia="sl-SI"/>
              </w:rPr>
            </w:pPr>
            <w:r w:rsidRPr="00972554">
              <w:rPr>
                <w:rFonts w:ascii="Calibri" w:hAnsi="Calibri"/>
                <w:sz w:val="18"/>
                <w:szCs w:val="18"/>
              </w:rPr>
              <w:t>3,06</w:t>
            </w:r>
          </w:p>
        </w:tc>
      </w:tr>
      <w:tr w:rsidR="00417245" w:rsidRPr="00972554" w:rsidTr="00972554">
        <w:trPr>
          <w:trHeight w:val="300"/>
        </w:trPr>
        <w:tc>
          <w:tcPr>
            <w:tcW w:w="6024" w:type="dxa"/>
            <w:shd w:val="clear" w:color="auto" w:fill="auto"/>
            <w:noWrap/>
            <w:vAlign w:val="center"/>
          </w:tcPr>
          <w:p w:rsidR="00417245" w:rsidRPr="00972554" w:rsidRDefault="00417245" w:rsidP="00972554">
            <w:pPr>
              <w:spacing w:line="240" w:lineRule="auto"/>
              <w:ind w:firstLineChars="100" w:firstLine="181"/>
              <w:jc w:val="left"/>
              <w:rPr>
                <w:rFonts w:ascii="Calibri" w:hAnsi="Calibri" w:cs="Calibri"/>
                <w:b/>
                <w:sz w:val="18"/>
                <w:szCs w:val="18"/>
                <w:lang w:val="sl-SI" w:eastAsia="sl-SI"/>
              </w:rPr>
            </w:pPr>
            <w:r w:rsidRPr="00972554">
              <w:rPr>
                <w:rFonts w:ascii="Calibri" w:hAnsi="Calibri"/>
                <w:b/>
                <w:sz w:val="18"/>
                <w:szCs w:val="18"/>
              </w:rPr>
              <w:t xml:space="preserve">329-Druge obveznosti </w:t>
            </w:r>
          </w:p>
        </w:tc>
        <w:tc>
          <w:tcPr>
            <w:tcW w:w="1984" w:type="dxa"/>
            <w:shd w:val="clear" w:color="auto" w:fill="auto"/>
            <w:noWrap/>
            <w:vAlign w:val="bottom"/>
          </w:tcPr>
          <w:p w:rsidR="00417245" w:rsidRPr="00972554" w:rsidRDefault="00417245" w:rsidP="00F83FBB">
            <w:pPr>
              <w:spacing w:line="240" w:lineRule="auto"/>
              <w:jc w:val="right"/>
              <w:rPr>
                <w:rFonts w:ascii="Calibri" w:hAnsi="Calibri" w:cs="Calibri"/>
                <w:b/>
                <w:sz w:val="18"/>
                <w:szCs w:val="18"/>
                <w:lang w:val="sl-SI" w:eastAsia="sl-SI"/>
              </w:rPr>
            </w:pPr>
            <w:r w:rsidRPr="00972554">
              <w:rPr>
                <w:rFonts w:ascii="Calibri" w:hAnsi="Calibri"/>
                <w:b/>
                <w:sz w:val="18"/>
                <w:szCs w:val="18"/>
              </w:rPr>
              <w:t xml:space="preserve">141.126.876 </w:t>
            </w:r>
          </w:p>
        </w:tc>
        <w:tc>
          <w:tcPr>
            <w:tcW w:w="1701" w:type="dxa"/>
            <w:shd w:val="clear" w:color="auto" w:fill="FFFFFF"/>
            <w:noWrap/>
            <w:vAlign w:val="bottom"/>
          </w:tcPr>
          <w:p w:rsidR="00417245" w:rsidRPr="00972554" w:rsidRDefault="00417245" w:rsidP="00382B0F">
            <w:pPr>
              <w:spacing w:line="240" w:lineRule="auto"/>
              <w:jc w:val="right"/>
              <w:rPr>
                <w:rFonts w:ascii="Calibri" w:hAnsi="Calibri" w:cs="Calibri"/>
                <w:b/>
                <w:sz w:val="18"/>
                <w:szCs w:val="18"/>
                <w:lang w:val="sl-SI" w:eastAsia="sl-SI"/>
              </w:rPr>
            </w:pPr>
          </w:p>
        </w:tc>
      </w:tr>
      <w:tr w:rsidR="00417245" w:rsidRPr="00972554" w:rsidTr="00972554">
        <w:trPr>
          <w:trHeight w:val="300"/>
        </w:trPr>
        <w:tc>
          <w:tcPr>
            <w:tcW w:w="6024" w:type="dxa"/>
            <w:shd w:val="clear" w:color="auto" w:fill="auto"/>
            <w:noWrap/>
            <w:vAlign w:val="center"/>
          </w:tcPr>
          <w:p w:rsidR="00417245" w:rsidRPr="00412299" w:rsidRDefault="00417245" w:rsidP="00972554">
            <w:pPr>
              <w:spacing w:line="240" w:lineRule="auto"/>
              <w:ind w:firstLineChars="100" w:firstLine="180"/>
              <w:jc w:val="left"/>
              <w:rPr>
                <w:rFonts w:ascii="Calibri" w:hAnsi="Calibri" w:cs="Calibri"/>
                <w:sz w:val="18"/>
                <w:szCs w:val="18"/>
                <w:lang w:val="sl-SI" w:eastAsia="sl-SI"/>
              </w:rPr>
            </w:pPr>
            <w:r w:rsidRPr="00972554">
              <w:rPr>
                <w:rFonts w:ascii="Calibri" w:hAnsi="Calibri"/>
                <w:sz w:val="18"/>
                <w:szCs w:val="18"/>
              </w:rPr>
              <w:t>MINISTRSTVO ZA IZOBRAŽEVANJE, ZNANOST IN ŠPORT</w:t>
            </w:r>
          </w:p>
        </w:tc>
        <w:tc>
          <w:tcPr>
            <w:tcW w:w="1984" w:type="dxa"/>
            <w:shd w:val="clear" w:color="auto" w:fill="auto"/>
            <w:noWrap/>
            <w:vAlign w:val="bottom"/>
          </w:tcPr>
          <w:p w:rsidR="00417245" w:rsidRPr="00412299" w:rsidRDefault="00417245" w:rsidP="00F83FBB">
            <w:pPr>
              <w:spacing w:line="240" w:lineRule="auto"/>
              <w:jc w:val="right"/>
              <w:rPr>
                <w:rFonts w:ascii="Calibri" w:hAnsi="Calibri" w:cs="Calibri"/>
                <w:sz w:val="18"/>
                <w:szCs w:val="18"/>
                <w:lang w:val="sl-SI" w:eastAsia="sl-SI"/>
              </w:rPr>
            </w:pPr>
            <w:r w:rsidRPr="00972554">
              <w:rPr>
                <w:rFonts w:ascii="Calibri" w:hAnsi="Calibri"/>
                <w:sz w:val="18"/>
                <w:szCs w:val="18"/>
              </w:rPr>
              <w:t xml:space="preserve">66.769.011 </w:t>
            </w:r>
          </w:p>
        </w:tc>
        <w:tc>
          <w:tcPr>
            <w:tcW w:w="1701" w:type="dxa"/>
            <w:shd w:val="clear" w:color="auto" w:fill="FFFFFF"/>
            <w:noWrap/>
            <w:vAlign w:val="bottom"/>
          </w:tcPr>
          <w:p w:rsidR="00417245" w:rsidRPr="00412299" w:rsidRDefault="00417245" w:rsidP="00F83FBB">
            <w:pPr>
              <w:spacing w:line="240" w:lineRule="auto"/>
              <w:jc w:val="right"/>
              <w:rPr>
                <w:rFonts w:ascii="Calibri" w:hAnsi="Calibri" w:cs="Calibri"/>
                <w:sz w:val="18"/>
                <w:szCs w:val="18"/>
                <w:lang w:val="sl-SI" w:eastAsia="sl-SI"/>
              </w:rPr>
            </w:pPr>
            <w:r w:rsidRPr="00972554">
              <w:rPr>
                <w:rFonts w:ascii="Calibri" w:hAnsi="Calibri"/>
                <w:sz w:val="18"/>
                <w:szCs w:val="18"/>
              </w:rPr>
              <w:t>47,31</w:t>
            </w:r>
          </w:p>
        </w:tc>
      </w:tr>
      <w:tr w:rsidR="00417245" w:rsidRPr="00972554" w:rsidTr="00972554">
        <w:trPr>
          <w:trHeight w:val="300"/>
        </w:trPr>
        <w:tc>
          <w:tcPr>
            <w:tcW w:w="6024" w:type="dxa"/>
            <w:shd w:val="clear" w:color="auto" w:fill="auto"/>
            <w:noWrap/>
            <w:vAlign w:val="center"/>
          </w:tcPr>
          <w:p w:rsidR="00417245" w:rsidRPr="00412299" w:rsidRDefault="008B2E01" w:rsidP="00F83FBB">
            <w:pPr>
              <w:spacing w:line="240" w:lineRule="auto"/>
              <w:ind w:firstLineChars="100" w:firstLine="180"/>
              <w:jc w:val="left"/>
              <w:rPr>
                <w:rFonts w:ascii="Calibri" w:hAnsi="Calibri" w:cs="Calibri"/>
                <w:sz w:val="18"/>
                <w:szCs w:val="18"/>
                <w:lang w:val="sl-SI" w:eastAsia="sl-SI"/>
              </w:rPr>
            </w:pPr>
            <w:r w:rsidRPr="002B775E">
              <w:rPr>
                <w:rFonts w:ascii="Calibri" w:hAnsi="Calibri"/>
                <w:sz w:val="18"/>
                <w:szCs w:val="18"/>
              </w:rPr>
              <w:t>ZZZS</w:t>
            </w:r>
          </w:p>
        </w:tc>
        <w:tc>
          <w:tcPr>
            <w:tcW w:w="1984" w:type="dxa"/>
            <w:shd w:val="clear" w:color="auto" w:fill="auto"/>
            <w:noWrap/>
            <w:vAlign w:val="bottom"/>
          </w:tcPr>
          <w:p w:rsidR="00417245" w:rsidRPr="00412299" w:rsidRDefault="00417245" w:rsidP="00F83FBB">
            <w:pPr>
              <w:spacing w:line="240" w:lineRule="auto"/>
              <w:jc w:val="right"/>
              <w:rPr>
                <w:rFonts w:ascii="Calibri" w:hAnsi="Calibri" w:cs="Calibri"/>
                <w:sz w:val="18"/>
                <w:szCs w:val="18"/>
                <w:lang w:val="sl-SI" w:eastAsia="sl-SI"/>
              </w:rPr>
            </w:pPr>
            <w:r w:rsidRPr="00972554">
              <w:rPr>
                <w:rFonts w:ascii="Calibri" w:hAnsi="Calibri"/>
                <w:sz w:val="18"/>
                <w:szCs w:val="18"/>
              </w:rPr>
              <w:t xml:space="preserve">44.254.662 </w:t>
            </w:r>
          </w:p>
        </w:tc>
        <w:tc>
          <w:tcPr>
            <w:tcW w:w="1701" w:type="dxa"/>
            <w:shd w:val="clear" w:color="auto" w:fill="FFFFFF"/>
            <w:noWrap/>
            <w:vAlign w:val="bottom"/>
          </w:tcPr>
          <w:p w:rsidR="00417245" w:rsidRPr="00412299" w:rsidRDefault="00417245" w:rsidP="00382B0F">
            <w:pPr>
              <w:spacing w:line="240" w:lineRule="auto"/>
              <w:jc w:val="right"/>
              <w:rPr>
                <w:rFonts w:ascii="Calibri" w:hAnsi="Calibri" w:cs="Calibri"/>
                <w:sz w:val="18"/>
                <w:szCs w:val="18"/>
                <w:lang w:val="sl-SI" w:eastAsia="sl-SI"/>
              </w:rPr>
            </w:pPr>
            <w:r w:rsidRPr="00972554">
              <w:rPr>
                <w:rFonts w:ascii="Calibri" w:hAnsi="Calibri"/>
                <w:sz w:val="18"/>
                <w:szCs w:val="18"/>
              </w:rPr>
              <w:t>31,36</w:t>
            </w:r>
          </w:p>
        </w:tc>
      </w:tr>
      <w:tr w:rsidR="00417245" w:rsidRPr="00972554" w:rsidTr="00972554">
        <w:trPr>
          <w:trHeight w:val="300"/>
        </w:trPr>
        <w:tc>
          <w:tcPr>
            <w:tcW w:w="6024" w:type="dxa"/>
            <w:tcBorders>
              <w:bottom w:val="single" w:sz="4" w:space="0" w:color="auto"/>
            </w:tcBorders>
            <w:shd w:val="clear" w:color="auto" w:fill="auto"/>
            <w:noWrap/>
            <w:vAlign w:val="center"/>
          </w:tcPr>
          <w:p w:rsidR="00417245" w:rsidRPr="00412299" w:rsidRDefault="00417245" w:rsidP="00972554">
            <w:pPr>
              <w:spacing w:line="240" w:lineRule="auto"/>
              <w:ind w:firstLineChars="100" w:firstLine="180"/>
              <w:jc w:val="left"/>
              <w:rPr>
                <w:rFonts w:ascii="Calibri" w:hAnsi="Calibri" w:cs="Calibri"/>
                <w:sz w:val="18"/>
                <w:szCs w:val="18"/>
                <w:lang w:val="sl-SI" w:eastAsia="sl-SI"/>
              </w:rPr>
            </w:pPr>
            <w:r w:rsidRPr="00972554">
              <w:rPr>
                <w:rFonts w:ascii="Calibri" w:hAnsi="Calibri"/>
                <w:sz w:val="18"/>
                <w:szCs w:val="18"/>
              </w:rPr>
              <w:t xml:space="preserve">UPRAVLJAVEC SREDSTEV SISTEMA </w:t>
            </w:r>
            <w:r w:rsidR="008B2E01" w:rsidRPr="002B775E">
              <w:rPr>
                <w:rFonts w:ascii="Calibri" w:hAnsi="Calibri"/>
                <w:sz w:val="18"/>
                <w:szCs w:val="18"/>
              </w:rPr>
              <w:t>EZRD</w:t>
            </w:r>
          </w:p>
        </w:tc>
        <w:tc>
          <w:tcPr>
            <w:tcW w:w="1984" w:type="dxa"/>
            <w:tcBorders>
              <w:bottom w:val="single" w:sz="4" w:space="0" w:color="auto"/>
            </w:tcBorders>
            <w:shd w:val="clear" w:color="auto" w:fill="auto"/>
            <w:noWrap/>
            <w:vAlign w:val="bottom"/>
          </w:tcPr>
          <w:p w:rsidR="00417245" w:rsidRPr="00412299" w:rsidRDefault="00417245" w:rsidP="00F83FBB">
            <w:pPr>
              <w:spacing w:line="240" w:lineRule="auto"/>
              <w:jc w:val="right"/>
              <w:rPr>
                <w:rFonts w:ascii="Calibri" w:hAnsi="Calibri" w:cs="Calibri"/>
                <w:sz w:val="18"/>
                <w:szCs w:val="18"/>
                <w:lang w:val="sl-SI" w:eastAsia="sl-SI"/>
              </w:rPr>
            </w:pPr>
            <w:r w:rsidRPr="00972554">
              <w:rPr>
                <w:rFonts w:ascii="Calibri" w:hAnsi="Calibri"/>
                <w:sz w:val="18"/>
                <w:szCs w:val="18"/>
              </w:rPr>
              <w:t xml:space="preserve">23.926.248 </w:t>
            </w:r>
          </w:p>
        </w:tc>
        <w:tc>
          <w:tcPr>
            <w:tcW w:w="1701" w:type="dxa"/>
            <w:tcBorders>
              <w:bottom w:val="single" w:sz="4" w:space="0" w:color="auto"/>
            </w:tcBorders>
            <w:shd w:val="clear" w:color="auto" w:fill="FFFFFF"/>
            <w:noWrap/>
            <w:vAlign w:val="bottom"/>
          </w:tcPr>
          <w:p w:rsidR="00417245" w:rsidRPr="00412299" w:rsidRDefault="00417245" w:rsidP="00F83FBB">
            <w:pPr>
              <w:spacing w:line="240" w:lineRule="auto"/>
              <w:jc w:val="right"/>
              <w:rPr>
                <w:rFonts w:ascii="Calibri" w:hAnsi="Calibri" w:cs="Calibri"/>
                <w:sz w:val="18"/>
                <w:szCs w:val="18"/>
                <w:lang w:val="sl-SI" w:eastAsia="sl-SI"/>
              </w:rPr>
            </w:pPr>
            <w:r w:rsidRPr="00972554">
              <w:rPr>
                <w:rFonts w:ascii="Calibri" w:hAnsi="Calibri"/>
                <w:sz w:val="18"/>
                <w:szCs w:val="18"/>
              </w:rPr>
              <w:t>16,95</w:t>
            </w:r>
          </w:p>
        </w:tc>
      </w:tr>
      <w:tr w:rsidR="00417245" w:rsidRPr="00972554" w:rsidTr="00972554">
        <w:trPr>
          <w:trHeight w:val="300"/>
        </w:trPr>
        <w:tc>
          <w:tcPr>
            <w:tcW w:w="6024" w:type="dxa"/>
            <w:shd w:val="clear" w:color="auto" w:fill="92D050"/>
            <w:noWrap/>
            <w:vAlign w:val="center"/>
          </w:tcPr>
          <w:p w:rsidR="00417245" w:rsidRPr="00972554" w:rsidRDefault="00417245" w:rsidP="00972554">
            <w:pPr>
              <w:spacing w:line="240" w:lineRule="auto"/>
              <w:ind w:firstLineChars="100" w:firstLine="181"/>
              <w:jc w:val="left"/>
              <w:rPr>
                <w:rFonts w:ascii="Calibri" w:hAnsi="Calibri" w:cs="Calibri"/>
                <w:b/>
                <w:sz w:val="18"/>
                <w:szCs w:val="18"/>
                <w:lang w:val="sl-SI" w:eastAsia="sl-SI"/>
              </w:rPr>
            </w:pPr>
            <w:r w:rsidRPr="00972554">
              <w:rPr>
                <w:rFonts w:ascii="Calibri" w:hAnsi="Calibri"/>
                <w:b/>
                <w:sz w:val="18"/>
                <w:szCs w:val="18"/>
              </w:rPr>
              <w:t xml:space="preserve">330-Skupaj pasiva </w:t>
            </w:r>
          </w:p>
        </w:tc>
        <w:tc>
          <w:tcPr>
            <w:tcW w:w="1984" w:type="dxa"/>
            <w:shd w:val="clear" w:color="auto" w:fill="92D050"/>
            <w:noWrap/>
            <w:vAlign w:val="bottom"/>
          </w:tcPr>
          <w:p w:rsidR="00417245" w:rsidRPr="00972554" w:rsidRDefault="00417245" w:rsidP="00F83FBB">
            <w:pPr>
              <w:spacing w:line="240" w:lineRule="auto"/>
              <w:jc w:val="right"/>
              <w:rPr>
                <w:rFonts w:ascii="Calibri" w:hAnsi="Calibri" w:cs="Calibri"/>
                <w:b/>
                <w:sz w:val="18"/>
                <w:szCs w:val="18"/>
                <w:lang w:val="sl-SI" w:eastAsia="sl-SI"/>
              </w:rPr>
            </w:pPr>
            <w:r w:rsidRPr="00972554">
              <w:rPr>
                <w:rFonts w:ascii="Calibri" w:hAnsi="Calibri"/>
                <w:b/>
                <w:sz w:val="18"/>
                <w:szCs w:val="18"/>
              </w:rPr>
              <w:t xml:space="preserve">33.767.666.569 </w:t>
            </w:r>
          </w:p>
        </w:tc>
        <w:tc>
          <w:tcPr>
            <w:tcW w:w="1701" w:type="dxa"/>
            <w:shd w:val="clear" w:color="auto" w:fill="92D050"/>
            <w:noWrap/>
            <w:vAlign w:val="bottom"/>
          </w:tcPr>
          <w:p w:rsidR="00417245" w:rsidRPr="00972554" w:rsidRDefault="00417245" w:rsidP="00382B0F">
            <w:pPr>
              <w:spacing w:line="240" w:lineRule="auto"/>
              <w:jc w:val="right"/>
              <w:rPr>
                <w:rFonts w:ascii="Calibri" w:hAnsi="Calibri" w:cs="Calibri"/>
                <w:b/>
                <w:sz w:val="18"/>
                <w:szCs w:val="18"/>
                <w:lang w:val="sl-SI" w:eastAsia="sl-SI"/>
              </w:rPr>
            </w:pPr>
          </w:p>
        </w:tc>
      </w:tr>
      <w:tr w:rsidR="00417245" w:rsidRPr="00972554" w:rsidTr="00972554">
        <w:trPr>
          <w:trHeight w:val="300"/>
        </w:trPr>
        <w:tc>
          <w:tcPr>
            <w:tcW w:w="6024" w:type="dxa"/>
            <w:shd w:val="clear" w:color="auto" w:fill="auto"/>
            <w:noWrap/>
            <w:vAlign w:val="center"/>
          </w:tcPr>
          <w:p w:rsidR="00417245" w:rsidRPr="00412299" w:rsidRDefault="00417245" w:rsidP="00972554">
            <w:pPr>
              <w:spacing w:line="240" w:lineRule="auto"/>
              <w:ind w:firstLineChars="100" w:firstLine="180"/>
              <w:jc w:val="left"/>
              <w:rPr>
                <w:rFonts w:ascii="Calibri" w:hAnsi="Calibri" w:cs="Calibri"/>
                <w:sz w:val="18"/>
                <w:szCs w:val="18"/>
                <w:lang w:val="sl-SI" w:eastAsia="sl-SI"/>
              </w:rPr>
            </w:pPr>
            <w:r w:rsidRPr="00972554">
              <w:rPr>
                <w:rFonts w:ascii="Calibri" w:hAnsi="Calibri"/>
                <w:sz w:val="18"/>
                <w:szCs w:val="18"/>
              </w:rPr>
              <w:t>MINISTRSTVO ZA FINANCE</w:t>
            </w:r>
          </w:p>
        </w:tc>
        <w:tc>
          <w:tcPr>
            <w:tcW w:w="1984" w:type="dxa"/>
            <w:shd w:val="clear" w:color="auto" w:fill="auto"/>
            <w:noWrap/>
            <w:vAlign w:val="bottom"/>
          </w:tcPr>
          <w:p w:rsidR="00417245" w:rsidRPr="00412299" w:rsidRDefault="00417245" w:rsidP="00F83FBB">
            <w:pPr>
              <w:spacing w:line="240" w:lineRule="auto"/>
              <w:jc w:val="right"/>
              <w:rPr>
                <w:rFonts w:ascii="Calibri" w:hAnsi="Calibri" w:cs="Calibri"/>
                <w:sz w:val="18"/>
                <w:szCs w:val="18"/>
                <w:lang w:val="sl-SI" w:eastAsia="sl-SI"/>
              </w:rPr>
            </w:pPr>
            <w:r w:rsidRPr="00972554">
              <w:rPr>
                <w:rFonts w:ascii="Calibri" w:hAnsi="Calibri"/>
                <w:sz w:val="18"/>
                <w:szCs w:val="18"/>
              </w:rPr>
              <w:t xml:space="preserve">9.942.375.109 </w:t>
            </w:r>
          </w:p>
        </w:tc>
        <w:tc>
          <w:tcPr>
            <w:tcW w:w="1701" w:type="dxa"/>
            <w:shd w:val="clear" w:color="auto" w:fill="FFFFFF"/>
            <w:noWrap/>
            <w:vAlign w:val="bottom"/>
          </w:tcPr>
          <w:p w:rsidR="00417245" w:rsidRPr="00412299" w:rsidRDefault="00417245" w:rsidP="00F83FBB">
            <w:pPr>
              <w:spacing w:line="240" w:lineRule="auto"/>
              <w:jc w:val="right"/>
              <w:rPr>
                <w:rFonts w:ascii="Calibri" w:hAnsi="Calibri" w:cs="Calibri"/>
                <w:sz w:val="18"/>
                <w:szCs w:val="18"/>
                <w:lang w:val="sl-SI" w:eastAsia="sl-SI"/>
              </w:rPr>
            </w:pPr>
            <w:r w:rsidRPr="00972554">
              <w:rPr>
                <w:rFonts w:ascii="Calibri" w:hAnsi="Calibri"/>
                <w:sz w:val="18"/>
                <w:szCs w:val="18"/>
              </w:rPr>
              <w:t>29,44</w:t>
            </w:r>
          </w:p>
        </w:tc>
      </w:tr>
      <w:tr w:rsidR="00417245" w:rsidRPr="00972554" w:rsidTr="00972554">
        <w:trPr>
          <w:trHeight w:val="300"/>
        </w:trPr>
        <w:tc>
          <w:tcPr>
            <w:tcW w:w="6024" w:type="dxa"/>
            <w:shd w:val="clear" w:color="auto" w:fill="auto"/>
            <w:noWrap/>
            <w:vAlign w:val="center"/>
          </w:tcPr>
          <w:p w:rsidR="00417245" w:rsidRPr="00116FC1" w:rsidRDefault="00417245" w:rsidP="00972554">
            <w:pPr>
              <w:spacing w:line="240" w:lineRule="auto"/>
              <w:ind w:firstLineChars="100" w:firstLine="180"/>
              <w:jc w:val="left"/>
              <w:rPr>
                <w:rFonts w:ascii="Calibri" w:hAnsi="Calibri" w:cs="Calibri"/>
                <w:sz w:val="18"/>
                <w:szCs w:val="18"/>
                <w:lang w:val="sl-SI" w:eastAsia="sl-SI"/>
              </w:rPr>
            </w:pPr>
            <w:r w:rsidRPr="00972554">
              <w:rPr>
                <w:rFonts w:ascii="Calibri" w:hAnsi="Calibri"/>
                <w:sz w:val="18"/>
                <w:szCs w:val="18"/>
              </w:rPr>
              <w:t xml:space="preserve">UPRAVLJAVEC SREDSTEV SISTEMA </w:t>
            </w:r>
            <w:r w:rsidR="008B2E01" w:rsidRPr="002B775E">
              <w:rPr>
                <w:rFonts w:ascii="Calibri" w:hAnsi="Calibri"/>
                <w:sz w:val="18"/>
                <w:szCs w:val="18"/>
              </w:rPr>
              <w:t>EZRD</w:t>
            </w:r>
          </w:p>
        </w:tc>
        <w:tc>
          <w:tcPr>
            <w:tcW w:w="1984" w:type="dxa"/>
            <w:shd w:val="clear" w:color="auto" w:fill="auto"/>
            <w:noWrap/>
            <w:vAlign w:val="bottom"/>
          </w:tcPr>
          <w:p w:rsidR="00417245" w:rsidRPr="00412299" w:rsidRDefault="00417245" w:rsidP="00F83FBB">
            <w:pPr>
              <w:spacing w:line="240" w:lineRule="auto"/>
              <w:jc w:val="right"/>
              <w:rPr>
                <w:rFonts w:ascii="Calibri" w:hAnsi="Calibri" w:cs="Calibri"/>
                <w:sz w:val="18"/>
                <w:szCs w:val="18"/>
                <w:lang w:val="sl-SI" w:eastAsia="sl-SI"/>
              </w:rPr>
            </w:pPr>
            <w:r w:rsidRPr="00972554">
              <w:rPr>
                <w:rFonts w:ascii="Calibri" w:hAnsi="Calibri"/>
                <w:sz w:val="18"/>
                <w:szCs w:val="18"/>
              </w:rPr>
              <w:t xml:space="preserve">6.455.120.500 </w:t>
            </w:r>
          </w:p>
        </w:tc>
        <w:tc>
          <w:tcPr>
            <w:tcW w:w="1701" w:type="dxa"/>
            <w:shd w:val="clear" w:color="auto" w:fill="FFFFFF"/>
            <w:noWrap/>
            <w:vAlign w:val="bottom"/>
          </w:tcPr>
          <w:p w:rsidR="00417245" w:rsidRPr="00412299" w:rsidRDefault="00417245" w:rsidP="00F83FBB">
            <w:pPr>
              <w:spacing w:line="240" w:lineRule="auto"/>
              <w:jc w:val="right"/>
              <w:rPr>
                <w:rFonts w:ascii="Calibri" w:hAnsi="Calibri" w:cs="Calibri"/>
                <w:sz w:val="18"/>
                <w:szCs w:val="18"/>
                <w:lang w:val="sl-SI" w:eastAsia="sl-SI"/>
              </w:rPr>
            </w:pPr>
            <w:r w:rsidRPr="00972554">
              <w:rPr>
                <w:rFonts w:ascii="Calibri" w:hAnsi="Calibri"/>
                <w:sz w:val="18"/>
                <w:szCs w:val="18"/>
              </w:rPr>
              <w:t>19,12</w:t>
            </w:r>
          </w:p>
        </w:tc>
      </w:tr>
      <w:tr w:rsidR="00417245" w:rsidRPr="00972554" w:rsidTr="00972554">
        <w:trPr>
          <w:trHeight w:val="300"/>
        </w:trPr>
        <w:tc>
          <w:tcPr>
            <w:tcW w:w="6024" w:type="dxa"/>
            <w:shd w:val="clear" w:color="auto" w:fill="auto"/>
            <w:noWrap/>
            <w:vAlign w:val="center"/>
          </w:tcPr>
          <w:p w:rsidR="00417245" w:rsidRPr="00412299" w:rsidRDefault="00417245" w:rsidP="00972554">
            <w:pPr>
              <w:spacing w:line="240" w:lineRule="auto"/>
              <w:ind w:firstLineChars="100" w:firstLine="180"/>
              <w:jc w:val="left"/>
              <w:rPr>
                <w:rFonts w:ascii="Calibri" w:hAnsi="Calibri" w:cs="Calibri"/>
                <w:sz w:val="18"/>
                <w:szCs w:val="18"/>
                <w:lang w:val="sl-SI" w:eastAsia="sl-SI"/>
              </w:rPr>
            </w:pPr>
            <w:r w:rsidRPr="00972554">
              <w:rPr>
                <w:rFonts w:ascii="Calibri" w:hAnsi="Calibri"/>
                <w:sz w:val="18"/>
                <w:szCs w:val="18"/>
              </w:rPr>
              <w:t xml:space="preserve">MINISTRSTVO ZA INFRASTRUKTURO, DIREKCIJA </w:t>
            </w:r>
            <w:r w:rsidR="000A7612" w:rsidRPr="002B775E">
              <w:rPr>
                <w:rFonts w:ascii="Calibri" w:hAnsi="Calibri"/>
                <w:sz w:val="18"/>
                <w:szCs w:val="18"/>
              </w:rPr>
              <w:t>RS</w:t>
            </w:r>
            <w:r w:rsidRPr="00972554">
              <w:rPr>
                <w:rFonts w:ascii="Calibri" w:hAnsi="Calibri"/>
                <w:sz w:val="18"/>
                <w:szCs w:val="18"/>
              </w:rPr>
              <w:t xml:space="preserve"> ZA INFRASTRUKTURO</w:t>
            </w:r>
          </w:p>
        </w:tc>
        <w:tc>
          <w:tcPr>
            <w:tcW w:w="1984" w:type="dxa"/>
            <w:shd w:val="clear" w:color="auto" w:fill="auto"/>
            <w:noWrap/>
            <w:vAlign w:val="bottom"/>
          </w:tcPr>
          <w:p w:rsidR="00417245" w:rsidRPr="00412299" w:rsidRDefault="00417245" w:rsidP="00F83FBB">
            <w:pPr>
              <w:spacing w:line="240" w:lineRule="auto"/>
              <w:jc w:val="right"/>
              <w:rPr>
                <w:rFonts w:ascii="Calibri" w:hAnsi="Calibri" w:cs="Calibri"/>
                <w:sz w:val="18"/>
                <w:szCs w:val="18"/>
                <w:lang w:val="sl-SI" w:eastAsia="sl-SI"/>
              </w:rPr>
            </w:pPr>
            <w:r w:rsidRPr="00972554">
              <w:rPr>
                <w:rFonts w:ascii="Calibri" w:hAnsi="Calibri"/>
                <w:sz w:val="18"/>
                <w:szCs w:val="18"/>
              </w:rPr>
              <w:t xml:space="preserve">3.419.516.196 </w:t>
            </w:r>
          </w:p>
        </w:tc>
        <w:tc>
          <w:tcPr>
            <w:tcW w:w="1701" w:type="dxa"/>
            <w:shd w:val="clear" w:color="auto" w:fill="FFFFFF"/>
            <w:noWrap/>
            <w:vAlign w:val="bottom"/>
          </w:tcPr>
          <w:p w:rsidR="00417245" w:rsidRPr="00412299" w:rsidRDefault="00417245" w:rsidP="00F83FBB">
            <w:pPr>
              <w:spacing w:line="240" w:lineRule="auto"/>
              <w:jc w:val="right"/>
              <w:rPr>
                <w:rFonts w:ascii="Calibri" w:hAnsi="Calibri" w:cs="Calibri"/>
                <w:sz w:val="18"/>
                <w:szCs w:val="18"/>
                <w:lang w:val="sl-SI" w:eastAsia="sl-SI"/>
              </w:rPr>
            </w:pPr>
            <w:r w:rsidRPr="00972554">
              <w:rPr>
                <w:rFonts w:ascii="Calibri" w:hAnsi="Calibri"/>
                <w:sz w:val="18"/>
                <w:szCs w:val="18"/>
              </w:rPr>
              <w:t>10,13</w:t>
            </w:r>
          </w:p>
        </w:tc>
      </w:tr>
    </w:tbl>
    <w:p w:rsidR="00FA1892" w:rsidRDefault="00FA1892" w:rsidP="00FA1892">
      <w:pPr>
        <w:pStyle w:val="Heading2"/>
      </w:pPr>
      <w:bookmarkStart w:id="76" w:name="_Toc49771314"/>
      <w:r>
        <w:lastRenderedPageBreak/>
        <w:t>Analiza premoženja PPU državnega proračuna</w:t>
      </w:r>
      <w:bookmarkEnd w:id="76"/>
    </w:p>
    <w:p w:rsidR="00FA1892" w:rsidRPr="00A81C30" w:rsidRDefault="00FA1892" w:rsidP="00FA1892">
      <w:r>
        <w:rPr>
          <w:b/>
          <w:bCs/>
        </w:rPr>
        <w:t>Bilančna vsota premoženja P</w:t>
      </w:r>
      <w:r w:rsidRPr="00A81C30">
        <w:rPr>
          <w:b/>
          <w:bCs/>
        </w:rPr>
        <w:t>PU državnega proračuna</w:t>
      </w:r>
      <w:r>
        <w:rPr>
          <w:bCs/>
        </w:rPr>
        <w:t xml:space="preserve"> (izračunana kot seštevek premoženjskih bilanc PPU državnega proračuna</w:t>
      </w:r>
      <w:r w:rsidR="00501F85">
        <w:rPr>
          <w:bCs/>
        </w:rPr>
        <w:t xml:space="preserve"> po pobotu na prvi ravni</w:t>
      </w:r>
      <w:r>
        <w:rPr>
          <w:bCs/>
        </w:rPr>
        <w:t>)</w:t>
      </w:r>
      <w:r w:rsidRPr="00D37616">
        <w:rPr>
          <w:bCs/>
        </w:rPr>
        <w:t xml:space="preserve"> </w:t>
      </w:r>
      <w:r w:rsidRPr="00A81C30">
        <w:rPr>
          <w:b/>
          <w:bCs/>
        </w:rPr>
        <w:t>na dan 31.12.201</w:t>
      </w:r>
      <w:r w:rsidR="00F83FBB">
        <w:rPr>
          <w:b/>
          <w:bCs/>
        </w:rPr>
        <w:t>8</w:t>
      </w:r>
      <w:r w:rsidRPr="00A81C30">
        <w:rPr>
          <w:b/>
          <w:bCs/>
        </w:rPr>
        <w:t xml:space="preserve"> znaša </w:t>
      </w:r>
      <w:r w:rsidR="002C2D5E">
        <w:rPr>
          <w:b/>
          <w:bCs/>
        </w:rPr>
        <w:t>4</w:t>
      </w:r>
      <w:proofErr w:type="gramStart"/>
      <w:r w:rsidR="002C2D5E">
        <w:rPr>
          <w:b/>
          <w:bCs/>
        </w:rPr>
        <w:t>,</w:t>
      </w:r>
      <w:r w:rsidR="00F83FBB">
        <w:rPr>
          <w:b/>
          <w:bCs/>
        </w:rPr>
        <w:t>38</w:t>
      </w:r>
      <w:proofErr w:type="gramEnd"/>
      <w:r w:rsidRPr="00A81C30">
        <w:rPr>
          <w:b/>
          <w:bCs/>
        </w:rPr>
        <w:t xml:space="preserve"> mrd.</w:t>
      </w:r>
      <w:r w:rsidR="003A2B05">
        <w:rPr>
          <w:b/>
          <w:bCs/>
        </w:rPr>
        <w:t xml:space="preserve"> </w:t>
      </w:r>
      <w:r w:rsidR="004C0BB9">
        <w:rPr>
          <w:b/>
          <w:bCs/>
        </w:rPr>
        <w:t>€</w:t>
      </w:r>
      <w:r w:rsidRPr="00A81C30">
        <w:rPr>
          <w:b/>
          <w:bCs/>
        </w:rPr>
        <w:t xml:space="preserve"> </w:t>
      </w:r>
      <w:r>
        <w:rPr>
          <w:b/>
          <w:bCs/>
        </w:rPr>
        <w:t xml:space="preserve">in se </w:t>
      </w:r>
      <w:r w:rsidRPr="00D37616">
        <w:rPr>
          <w:b/>
          <w:bCs/>
        </w:rPr>
        <w:t>glede na stanje, izkazano na dan 31.12.201</w:t>
      </w:r>
      <w:r w:rsidR="00F83FBB">
        <w:rPr>
          <w:b/>
          <w:bCs/>
        </w:rPr>
        <w:t>7</w:t>
      </w:r>
      <w:r w:rsidRPr="00D37616">
        <w:rPr>
          <w:b/>
          <w:bCs/>
        </w:rPr>
        <w:t xml:space="preserve">, </w:t>
      </w:r>
      <w:r w:rsidRPr="00A81C30">
        <w:rPr>
          <w:b/>
          <w:bCs/>
        </w:rPr>
        <w:t>v letu 201</w:t>
      </w:r>
      <w:r w:rsidR="00F83FBB">
        <w:rPr>
          <w:b/>
          <w:bCs/>
        </w:rPr>
        <w:t>8</w:t>
      </w:r>
      <w:r w:rsidR="002D04DE">
        <w:rPr>
          <w:b/>
          <w:bCs/>
        </w:rPr>
        <w:t xml:space="preserve"> </w:t>
      </w:r>
      <w:r w:rsidR="00F83FBB">
        <w:rPr>
          <w:b/>
          <w:bCs/>
        </w:rPr>
        <w:t>zmanjšala za 0,54% oziroma 23,9 mio. €</w:t>
      </w:r>
      <w:r w:rsidRPr="00A81C30">
        <w:rPr>
          <w:b/>
          <w:bCs/>
        </w:rPr>
        <w:t>.</w:t>
      </w:r>
    </w:p>
    <w:p w:rsidR="00867EE9" w:rsidRDefault="00867EE9" w:rsidP="00867EE9">
      <w:pPr>
        <w:pStyle w:val="Caption"/>
      </w:pPr>
    </w:p>
    <w:p w:rsidR="00401743" w:rsidRDefault="00B8399E" w:rsidP="00221DE5">
      <w:pPr>
        <w:pStyle w:val="Caption"/>
      </w:pPr>
      <w:proofErr w:type="gramStart"/>
      <w:r>
        <w:t>V skupino PPU državnega proračuna se za potrebe PB vključujejo javni zavodi, javni skladi in agencije</w:t>
      </w:r>
      <w:r w:rsidR="00EC63A9">
        <w:t>.</w:t>
      </w:r>
      <w:proofErr w:type="gramEnd"/>
      <w:r w:rsidR="006252B3">
        <w:t xml:space="preserve"> Poleg</w:t>
      </w:r>
      <w:r w:rsidR="002C46A3">
        <w:t xml:space="preserve"> teh pa tudi članice univerze, </w:t>
      </w:r>
      <w:r w:rsidR="006252B3" w:rsidRPr="006252B3">
        <w:t>kmetijskogozdarska zbornica ter javni zavodi, katerih ustanovitelj je Kmetijskogozdarska zbornica</w:t>
      </w:r>
      <w:proofErr w:type="gramStart"/>
      <w:r w:rsidR="00977744">
        <w:t xml:space="preserve">, </w:t>
      </w:r>
      <w:r w:rsidR="006252B3">
        <w:t xml:space="preserve"> </w:t>
      </w:r>
      <w:r w:rsidR="006252B3" w:rsidRPr="006252B3">
        <w:t>samoupravne</w:t>
      </w:r>
      <w:proofErr w:type="gramEnd"/>
      <w:r w:rsidR="006252B3" w:rsidRPr="006252B3">
        <w:t xml:space="preserve"> narodnostne skupnosti</w:t>
      </w:r>
      <w:r w:rsidR="00977744">
        <w:t xml:space="preserve"> in Inženirska akademija Slovenije</w:t>
      </w:r>
      <w:r w:rsidR="006252B3">
        <w:t>.</w:t>
      </w:r>
      <w:r w:rsidR="002C46A3">
        <w:t xml:space="preserve"> PPU državnega proračuna so vpisani </w:t>
      </w:r>
      <w:proofErr w:type="gramStart"/>
      <w:r w:rsidR="002C46A3">
        <w:t>v register</w:t>
      </w:r>
      <w:proofErr w:type="gramEnd"/>
      <w:r w:rsidR="002C46A3">
        <w:t xml:space="preserve"> proračunskih uporabnikov, ki ga vodi UJP.</w:t>
      </w:r>
    </w:p>
    <w:p w:rsidR="00AA59C1" w:rsidRDefault="00401743" w:rsidP="00221DE5">
      <w:pPr>
        <w:pStyle w:val="Caption"/>
      </w:pPr>
      <w:r>
        <w:t xml:space="preserve"> </w:t>
      </w:r>
    </w:p>
    <w:p w:rsidR="007F42D8" w:rsidRDefault="00867EE9" w:rsidP="00221DE5">
      <w:pPr>
        <w:pStyle w:val="Caption"/>
      </w:pPr>
      <w:bookmarkStart w:id="77" w:name="_Toc49771333"/>
      <w:r>
        <w:t xml:space="preserve">Tabela </w:t>
      </w:r>
      <w:r>
        <w:fldChar w:fldCharType="begin"/>
      </w:r>
      <w:r>
        <w:instrText xml:space="preserve"> SEQ Tabela \* ARABIC </w:instrText>
      </w:r>
      <w:r>
        <w:fldChar w:fldCharType="separate"/>
      </w:r>
      <w:r w:rsidR="00CE55C4">
        <w:rPr>
          <w:noProof/>
        </w:rPr>
        <w:t>11</w:t>
      </w:r>
      <w:r>
        <w:fldChar w:fldCharType="end"/>
      </w:r>
      <w:r>
        <w:t xml:space="preserve">: Seštevki premoženja PPU državnega proračuna </w:t>
      </w:r>
      <w:proofErr w:type="gramStart"/>
      <w:r>
        <w:t>na</w:t>
      </w:r>
      <w:proofErr w:type="gramEnd"/>
      <w:r>
        <w:t xml:space="preserve"> dan 31.12.201</w:t>
      </w:r>
      <w:r w:rsidR="00F83FBB">
        <w:t>8</w:t>
      </w:r>
      <w:r>
        <w:t xml:space="preserve"> in na dan 31.12.201</w:t>
      </w:r>
      <w:r w:rsidR="00F83FBB">
        <w:t>7</w:t>
      </w:r>
      <w:bookmarkEnd w:id="7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2"/>
        <w:gridCol w:w="1418"/>
        <w:gridCol w:w="1418"/>
        <w:gridCol w:w="849"/>
        <w:gridCol w:w="1203"/>
      </w:tblGrid>
      <w:tr w:rsidR="007F42D8" w:rsidRPr="00D20C2C" w:rsidTr="00221DE5">
        <w:trPr>
          <w:trHeight w:val="300"/>
          <w:tblHeader/>
        </w:trPr>
        <w:tc>
          <w:tcPr>
            <w:tcW w:w="2346" w:type="pct"/>
            <w:shd w:val="pct25" w:color="auto" w:fill="auto"/>
            <w:noWrap/>
            <w:vAlign w:val="bottom"/>
          </w:tcPr>
          <w:p w:rsidR="007F42D8" w:rsidRPr="0032637C" w:rsidRDefault="007F42D8" w:rsidP="007F42D8">
            <w:pPr>
              <w:spacing w:line="240" w:lineRule="auto"/>
              <w:jc w:val="left"/>
              <w:rPr>
                <w:rFonts w:ascii="Calibri" w:hAnsi="Calibri"/>
                <w:b/>
                <w:color w:val="000000"/>
                <w:sz w:val="18"/>
                <w:szCs w:val="18"/>
                <w:lang w:val="sl-SI" w:eastAsia="sl-SI"/>
              </w:rPr>
            </w:pPr>
          </w:p>
        </w:tc>
        <w:tc>
          <w:tcPr>
            <w:tcW w:w="770" w:type="pct"/>
            <w:shd w:val="pct25" w:color="auto" w:fill="auto"/>
            <w:noWrap/>
            <w:vAlign w:val="bottom"/>
          </w:tcPr>
          <w:p w:rsidR="007F42D8" w:rsidRPr="0032637C" w:rsidRDefault="007F42D8" w:rsidP="00382B0F">
            <w:pPr>
              <w:spacing w:line="240" w:lineRule="auto"/>
              <w:jc w:val="center"/>
              <w:rPr>
                <w:rFonts w:ascii="Calibri" w:hAnsi="Calibri"/>
                <w:b/>
                <w:color w:val="000000"/>
                <w:sz w:val="18"/>
                <w:szCs w:val="18"/>
                <w:lang w:val="sl-SI" w:eastAsia="sl-SI"/>
              </w:rPr>
            </w:pPr>
            <w:r w:rsidRPr="0032637C">
              <w:rPr>
                <w:rFonts w:ascii="Calibri" w:hAnsi="Calibri"/>
                <w:b/>
                <w:color w:val="000000"/>
                <w:sz w:val="18"/>
                <w:szCs w:val="18"/>
                <w:lang w:val="sl-SI" w:eastAsia="sl-SI"/>
              </w:rPr>
              <w:t>Stanje 31.12.201</w:t>
            </w:r>
            <w:r w:rsidR="00F83FBB">
              <w:rPr>
                <w:rFonts w:ascii="Calibri" w:hAnsi="Calibri"/>
                <w:b/>
                <w:color w:val="000000"/>
                <w:sz w:val="18"/>
                <w:szCs w:val="18"/>
                <w:lang w:val="sl-SI" w:eastAsia="sl-SI"/>
              </w:rPr>
              <w:t>8</w:t>
            </w:r>
          </w:p>
        </w:tc>
        <w:tc>
          <w:tcPr>
            <w:tcW w:w="770" w:type="pct"/>
            <w:shd w:val="pct25" w:color="auto" w:fill="auto"/>
            <w:noWrap/>
            <w:vAlign w:val="bottom"/>
          </w:tcPr>
          <w:p w:rsidR="007F42D8" w:rsidRPr="0032637C" w:rsidRDefault="007F42D8" w:rsidP="00412299">
            <w:pPr>
              <w:spacing w:line="240" w:lineRule="auto"/>
              <w:jc w:val="center"/>
              <w:rPr>
                <w:rFonts w:ascii="Calibri" w:hAnsi="Calibri"/>
                <w:b/>
                <w:color w:val="000000"/>
                <w:sz w:val="18"/>
                <w:szCs w:val="18"/>
                <w:lang w:val="sl-SI" w:eastAsia="sl-SI"/>
              </w:rPr>
            </w:pPr>
            <w:r w:rsidRPr="0032637C">
              <w:rPr>
                <w:rFonts w:ascii="Calibri" w:hAnsi="Calibri"/>
                <w:b/>
                <w:color w:val="000000"/>
                <w:sz w:val="18"/>
                <w:szCs w:val="18"/>
                <w:lang w:val="sl-SI" w:eastAsia="sl-SI"/>
              </w:rPr>
              <w:t>Stanje 31.12.201</w:t>
            </w:r>
            <w:r w:rsidR="00F83FBB">
              <w:rPr>
                <w:rFonts w:ascii="Calibri" w:hAnsi="Calibri"/>
                <w:b/>
                <w:color w:val="000000"/>
                <w:sz w:val="18"/>
                <w:szCs w:val="18"/>
                <w:lang w:val="sl-SI" w:eastAsia="sl-SI"/>
              </w:rPr>
              <w:t>7</w:t>
            </w:r>
          </w:p>
        </w:tc>
        <w:tc>
          <w:tcPr>
            <w:tcW w:w="461" w:type="pct"/>
            <w:shd w:val="pct25" w:color="auto" w:fill="auto"/>
            <w:noWrap/>
            <w:vAlign w:val="bottom"/>
          </w:tcPr>
          <w:p w:rsidR="007F42D8" w:rsidRPr="0032637C" w:rsidRDefault="007F42D8" w:rsidP="007F42D8">
            <w:pPr>
              <w:spacing w:line="240" w:lineRule="auto"/>
              <w:jc w:val="center"/>
              <w:rPr>
                <w:rFonts w:ascii="Calibri" w:hAnsi="Calibri"/>
                <w:b/>
                <w:color w:val="000000"/>
                <w:sz w:val="18"/>
                <w:szCs w:val="18"/>
                <w:lang w:val="sl-SI" w:eastAsia="sl-SI"/>
              </w:rPr>
            </w:pPr>
            <w:r w:rsidRPr="0032637C">
              <w:rPr>
                <w:rFonts w:ascii="Calibri" w:hAnsi="Calibri"/>
                <w:b/>
                <w:color w:val="000000"/>
                <w:sz w:val="18"/>
                <w:szCs w:val="18"/>
                <w:lang w:val="sl-SI" w:eastAsia="sl-SI"/>
              </w:rPr>
              <w:t>Indeks</w:t>
            </w:r>
          </w:p>
        </w:tc>
        <w:tc>
          <w:tcPr>
            <w:tcW w:w="653" w:type="pct"/>
            <w:shd w:val="pct25" w:color="auto" w:fill="auto"/>
            <w:noWrap/>
            <w:vAlign w:val="bottom"/>
          </w:tcPr>
          <w:p w:rsidR="007F42D8" w:rsidRPr="0032637C" w:rsidRDefault="007F42D8" w:rsidP="00382B0F">
            <w:pPr>
              <w:spacing w:line="240" w:lineRule="auto"/>
              <w:jc w:val="center"/>
              <w:rPr>
                <w:rFonts w:ascii="Calibri" w:hAnsi="Calibri"/>
                <w:b/>
                <w:color w:val="000000"/>
                <w:sz w:val="18"/>
                <w:szCs w:val="18"/>
                <w:lang w:val="sl-SI" w:eastAsia="sl-SI"/>
              </w:rPr>
            </w:pPr>
            <w:r w:rsidRPr="0032637C">
              <w:rPr>
                <w:rFonts w:ascii="Calibri" w:hAnsi="Calibri"/>
                <w:b/>
                <w:color w:val="000000"/>
                <w:sz w:val="18"/>
                <w:szCs w:val="18"/>
                <w:lang w:val="sl-SI" w:eastAsia="sl-SI"/>
              </w:rPr>
              <w:t>Sprememba 201</w:t>
            </w:r>
            <w:r w:rsidR="00F83FBB">
              <w:rPr>
                <w:rFonts w:ascii="Calibri" w:hAnsi="Calibri"/>
                <w:b/>
                <w:color w:val="000000"/>
                <w:sz w:val="18"/>
                <w:szCs w:val="18"/>
                <w:lang w:val="sl-SI" w:eastAsia="sl-SI"/>
              </w:rPr>
              <w:t>8</w:t>
            </w:r>
            <w:r w:rsidRPr="0032637C">
              <w:rPr>
                <w:rFonts w:ascii="Calibri" w:hAnsi="Calibri"/>
                <w:b/>
                <w:color w:val="000000"/>
                <w:sz w:val="18"/>
                <w:szCs w:val="18"/>
                <w:lang w:val="sl-SI" w:eastAsia="sl-SI"/>
              </w:rPr>
              <w:t>-201</w:t>
            </w:r>
            <w:r w:rsidR="00F83FBB">
              <w:rPr>
                <w:rFonts w:ascii="Calibri" w:hAnsi="Calibri"/>
                <w:b/>
                <w:color w:val="000000"/>
                <w:sz w:val="18"/>
                <w:szCs w:val="18"/>
                <w:lang w:val="sl-SI" w:eastAsia="sl-SI"/>
              </w:rPr>
              <w:t>7</w:t>
            </w:r>
          </w:p>
        </w:tc>
      </w:tr>
      <w:tr w:rsidR="007F42D8" w:rsidRPr="00D20C2C" w:rsidTr="00221DE5">
        <w:trPr>
          <w:trHeight w:val="300"/>
          <w:tblHeader/>
        </w:trPr>
        <w:tc>
          <w:tcPr>
            <w:tcW w:w="2346" w:type="pct"/>
            <w:shd w:val="pct25" w:color="auto" w:fill="auto"/>
            <w:noWrap/>
            <w:vAlign w:val="bottom"/>
          </w:tcPr>
          <w:p w:rsidR="007F42D8" w:rsidRPr="0032637C" w:rsidRDefault="007F42D8" w:rsidP="007F42D8">
            <w:pPr>
              <w:spacing w:line="240" w:lineRule="auto"/>
              <w:jc w:val="left"/>
              <w:rPr>
                <w:rFonts w:ascii="Calibri" w:hAnsi="Calibri"/>
                <w:b/>
                <w:color w:val="000000"/>
                <w:sz w:val="18"/>
                <w:szCs w:val="18"/>
                <w:lang w:val="sl-SI" w:eastAsia="sl-SI"/>
              </w:rPr>
            </w:pPr>
            <w:r w:rsidRPr="0032637C">
              <w:rPr>
                <w:rFonts w:ascii="Calibri" w:hAnsi="Calibri"/>
                <w:b/>
                <w:color w:val="000000"/>
                <w:sz w:val="18"/>
                <w:szCs w:val="18"/>
                <w:lang w:val="sl-SI" w:eastAsia="sl-SI"/>
              </w:rPr>
              <w:t>Oznaka in naziv AOP</w:t>
            </w:r>
          </w:p>
        </w:tc>
        <w:tc>
          <w:tcPr>
            <w:tcW w:w="770" w:type="pct"/>
            <w:shd w:val="pct25" w:color="auto" w:fill="auto"/>
            <w:noWrap/>
            <w:vAlign w:val="bottom"/>
          </w:tcPr>
          <w:p w:rsidR="007F42D8" w:rsidRPr="0032637C" w:rsidRDefault="007F42D8" w:rsidP="007F42D8">
            <w:pPr>
              <w:spacing w:line="240" w:lineRule="auto"/>
              <w:jc w:val="center"/>
              <w:rPr>
                <w:rFonts w:ascii="Calibri" w:hAnsi="Calibri"/>
                <w:b/>
                <w:color w:val="000000"/>
                <w:sz w:val="18"/>
                <w:szCs w:val="18"/>
                <w:lang w:val="sl-SI" w:eastAsia="sl-SI"/>
              </w:rPr>
            </w:pPr>
            <w:r w:rsidRPr="0032637C">
              <w:rPr>
                <w:rFonts w:ascii="Calibri" w:hAnsi="Calibri"/>
                <w:b/>
                <w:color w:val="000000"/>
                <w:sz w:val="18"/>
                <w:szCs w:val="18"/>
                <w:lang w:val="sl-SI" w:eastAsia="sl-SI"/>
              </w:rPr>
              <w:t>(</w:t>
            </w:r>
            <w:r w:rsidR="002D04DE">
              <w:rPr>
                <w:rFonts w:ascii="Calibri" w:hAnsi="Calibri"/>
                <w:b/>
                <w:color w:val="000000"/>
                <w:sz w:val="18"/>
                <w:szCs w:val="18"/>
                <w:lang w:val="sl-SI" w:eastAsia="sl-SI"/>
              </w:rPr>
              <w:t>€</w:t>
            </w:r>
            <w:r w:rsidRPr="0032637C">
              <w:rPr>
                <w:rFonts w:ascii="Calibri" w:hAnsi="Calibri"/>
                <w:b/>
                <w:color w:val="000000"/>
                <w:sz w:val="18"/>
                <w:szCs w:val="18"/>
                <w:lang w:val="sl-SI" w:eastAsia="sl-SI"/>
              </w:rPr>
              <w:t>)</w:t>
            </w:r>
          </w:p>
        </w:tc>
        <w:tc>
          <w:tcPr>
            <w:tcW w:w="770" w:type="pct"/>
            <w:shd w:val="pct25" w:color="auto" w:fill="auto"/>
            <w:noWrap/>
            <w:vAlign w:val="bottom"/>
          </w:tcPr>
          <w:p w:rsidR="007F42D8" w:rsidRPr="0032637C" w:rsidRDefault="007F42D8" w:rsidP="007F42D8">
            <w:pPr>
              <w:spacing w:line="240" w:lineRule="auto"/>
              <w:jc w:val="center"/>
              <w:rPr>
                <w:rFonts w:ascii="Calibri" w:hAnsi="Calibri"/>
                <w:b/>
                <w:color w:val="000000"/>
                <w:sz w:val="18"/>
                <w:szCs w:val="18"/>
                <w:lang w:val="sl-SI" w:eastAsia="sl-SI"/>
              </w:rPr>
            </w:pPr>
            <w:r w:rsidRPr="0032637C">
              <w:rPr>
                <w:rFonts w:ascii="Calibri" w:hAnsi="Calibri"/>
                <w:b/>
                <w:color w:val="000000"/>
                <w:sz w:val="18"/>
                <w:szCs w:val="18"/>
                <w:lang w:val="sl-SI" w:eastAsia="sl-SI"/>
              </w:rPr>
              <w:t>(</w:t>
            </w:r>
            <w:r w:rsidR="002D04DE">
              <w:rPr>
                <w:rFonts w:ascii="Calibri" w:hAnsi="Calibri"/>
                <w:b/>
                <w:color w:val="000000"/>
                <w:sz w:val="18"/>
                <w:szCs w:val="18"/>
                <w:lang w:val="sl-SI" w:eastAsia="sl-SI"/>
              </w:rPr>
              <w:t>€</w:t>
            </w:r>
            <w:r w:rsidRPr="0032637C">
              <w:rPr>
                <w:rFonts w:ascii="Calibri" w:hAnsi="Calibri"/>
                <w:b/>
                <w:color w:val="000000"/>
                <w:sz w:val="18"/>
                <w:szCs w:val="18"/>
                <w:lang w:val="sl-SI" w:eastAsia="sl-SI"/>
              </w:rPr>
              <w:t>)</w:t>
            </w:r>
          </w:p>
        </w:tc>
        <w:tc>
          <w:tcPr>
            <w:tcW w:w="461" w:type="pct"/>
            <w:shd w:val="pct25" w:color="auto" w:fill="auto"/>
            <w:noWrap/>
            <w:vAlign w:val="bottom"/>
          </w:tcPr>
          <w:p w:rsidR="007F42D8" w:rsidRPr="0032637C" w:rsidRDefault="002D04DE" w:rsidP="007F42D8">
            <w:pPr>
              <w:spacing w:line="240" w:lineRule="auto"/>
              <w:jc w:val="center"/>
              <w:rPr>
                <w:rFonts w:ascii="Calibri" w:hAnsi="Calibri"/>
                <w:b/>
                <w:color w:val="000000"/>
                <w:sz w:val="18"/>
                <w:szCs w:val="18"/>
                <w:lang w:val="sl-SI" w:eastAsia="sl-SI"/>
              </w:rPr>
            </w:pPr>
            <w:r>
              <w:rPr>
                <w:rFonts w:ascii="Calibri" w:hAnsi="Calibri"/>
                <w:b/>
                <w:color w:val="000000"/>
                <w:sz w:val="18"/>
                <w:szCs w:val="18"/>
                <w:lang w:val="sl-SI" w:eastAsia="sl-SI"/>
              </w:rPr>
              <w:t>%</w:t>
            </w:r>
          </w:p>
        </w:tc>
        <w:tc>
          <w:tcPr>
            <w:tcW w:w="653" w:type="pct"/>
            <w:shd w:val="pct25" w:color="auto" w:fill="auto"/>
            <w:noWrap/>
            <w:vAlign w:val="bottom"/>
          </w:tcPr>
          <w:p w:rsidR="007F42D8" w:rsidRPr="0032637C" w:rsidRDefault="002C2D5E" w:rsidP="007F42D8">
            <w:pPr>
              <w:spacing w:line="240" w:lineRule="auto"/>
              <w:jc w:val="center"/>
              <w:rPr>
                <w:rFonts w:ascii="Calibri" w:hAnsi="Calibri"/>
                <w:b/>
                <w:color w:val="000000"/>
                <w:sz w:val="18"/>
                <w:szCs w:val="18"/>
                <w:lang w:val="sl-SI" w:eastAsia="sl-SI"/>
              </w:rPr>
            </w:pPr>
            <w:r>
              <w:rPr>
                <w:rFonts w:ascii="Calibri" w:hAnsi="Calibri"/>
                <w:b/>
                <w:color w:val="000000"/>
                <w:sz w:val="18"/>
                <w:szCs w:val="18"/>
                <w:lang w:val="sl-SI" w:eastAsia="sl-SI"/>
              </w:rPr>
              <w:t>(</w:t>
            </w:r>
            <w:r w:rsidR="002D04DE">
              <w:rPr>
                <w:rFonts w:ascii="Calibri" w:hAnsi="Calibri"/>
                <w:b/>
                <w:color w:val="000000"/>
                <w:sz w:val="18"/>
                <w:szCs w:val="18"/>
                <w:lang w:val="sl-SI" w:eastAsia="sl-SI"/>
              </w:rPr>
              <w:t>€</w:t>
            </w:r>
            <w:r>
              <w:rPr>
                <w:rFonts w:ascii="Calibri" w:hAnsi="Calibri"/>
                <w:b/>
                <w:color w:val="000000"/>
                <w:sz w:val="18"/>
                <w:szCs w:val="18"/>
                <w:lang w:val="sl-SI" w:eastAsia="sl-SI"/>
              </w:rPr>
              <w:t>)</w:t>
            </w:r>
          </w:p>
        </w:tc>
      </w:tr>
      <w:tr w:rsidR="007F42D8" w:rsidRPr="00D20C2C" w:rsidTr="00221DE5">
        <w:trPr>
          <w:trHeight w:val="300"/>
          <w:tblHeader/>
        </w:trPr>
        <w:tc>
          <w:tcPr>
            <w:tcW w:w="2346" w:type="pct"/>
            <w:shd w:val="pct25" w:color="auto" w:fill="auto"/>
            <w:noWrap/>
            <w:vAlign w:val="bottom"/>
          </w:tcPr>
          <w:p w:rsidR="007F42D8" w:rsidRPr="0032637C" w:rsidRDefault="007F42D8" w:rsidP="007F42D8">
            <w:pPr>
              <w:spacing w:line="240" w:lineRule="auto"/>
              <w:jc w:val="center"/>
              <w:rPr>
                <w:rFonts w:ascii="Calibri" w:hAnsi="Calibri"/>
                <w:b/>
                <w:color w:val="000000"/>
                <w:sz w:val="18"/>
                <w:szCs w:val="18"/>
                <w:lang w:val="sl-SI" w:eastAsia="sl-SI"/>
              </w:rPr>
            </w:pPr>
            <w:r w:rsidRPr="0032637C">
              <w:rPr>
                <w:rFonts w:ascii="Calibri" w:hAnsi="Calibri"/>
                <w:b/>
                <w:color w:val="000000"/>
                <w:sz w:val="18"/>
                <w:szCs w:val="18"/>
                <w:lang w:val="sl-SI" w:eastAsia="sl-SI"/>
              </w:rPr>
              <w:t>1</w:t>
            </w:r>
          </w:p>
        </w:tc>
        <w:tc>
          <w:tcPr>
            <w:tcW w:w="770" w:type="pct"/>
            <w:shd w:val="pct25" w:color="auto" w:fill="auto"/>
            <w:noWrap/>
            <w:vAlign w:val="bottom"/>
          </w:tcPr>
          <w:p w:rsidR="007F42D8" w:rsidRPr="0032637C" w:rsidRDefault="007F42D8" w:rsidP="007F42D8">
            <w:pPr>
              <w:spacing w:line="240" w:lineRule="auto"/>
              <w:jc w:val="center"/>
              <w:rPr>
                <w:rFonts w:ascii="Calibri" w:hAnsi="Calibri"/>
                <w:b/>
                <w:color w:val="000000"/>
                <w:sz w:val="18"/>
                <w:szCs w:val="18"/>
                <w:lang w:val="sl-SI" w:eastAsia="sl-SI"/>
              </w:rPr>
            </w:pPr>
            <w:r w:rsidRPr="0032637C">
              <w:rPr>
                <w:rFonts w:ascii="Calibri" w:hAnsi="Calibri"/>
                <w:b/>
                <w:color w:val="000000"/>
                <w:sz w:val="18"/>
                <w:szCs w:val="18"/>
                <w:lang w:val="sl-SI" w:eastAsia="sl-SI"/>
              </w:rPr>
              <w:t>2</w:t>
            </w:r>
          </w:p>
        </w:tc>
        <w:tc>
          <w:tcPr>
            <w:tcW w:w="770" w:type="pct"/>
            <w:shd w:val="pct25" w:color="auto" w:fill="auto"/>
            <w:noWrap/>
            <w:vAlign w:val="bottom"/>
          </w:tcPr>
          <w:p w:rsidR="007F42D8" w:rsidRPr="0032637C" w:rsidRDefault="007F42D8" w:rsidP="007F42D8">
            <w:pPr>
              <w:spacing w:line="240" w:lineRule="auto"/>
              <w:jc w:val="center"/>
              <w:rPr>
                <w:rFonts w:ascii="Calibri" w:hAnsi="Calibri"/>
                <w:b/>
                <w:color w:val="000000"/>
                <w:sz w:val="18"/>
                <w:szCs w:val="18"/>
                <w:lang w:val="sl-SI" w:eastAsia="sl-SI"/>
              </w:rPr>
            </w:pPr>
            <w:r w:rsidRPr="0032637C">
              <w:rPr>
                <w:rFonts w:ascii="Calibri" w:hAnsi="Calibri"/>
                <w:b/>
                <w:color w:val="000000"/>
                <w:sz w:val="18"/>
                <w:szCs w:val="18"/>
                <w:lang w:val="sl-SI" w:eastAsia="sl-SI"/>
              </w:rPr>
              <w:t>3</w:t>
            </w:r>
          </w:p>
        </w:tc>
        <w:tc>
          <w:tcPr>
            <w:tcW w:w="461" w:type="pct"/>
            <w:shd w:val="pct25" w:color="auto" w:fill="auto"/>
            <w:noWrap/>
            <w:vAlign w:val="bottom"/>
          </w:tcPr>
          <w:p w:rsidR="007F42D8" w:rsidRPr="0032637C" w:rsidRDefault="007F42D8" w:rsidP="00F61046">
            <w:pPr>
              <w:spacing w:line="240" w:lineRule="auto"/>
              <w:jc w:val="center"/>
              <w:rPr>
                <w:rFonts w:ascii="Calibri" w:hAnsi="Calibri"/>
                <w:b/>
                <w:color w:val="000000"/>
                <w:sz w:val="18"/>
                <w:szCs w:val="18"/>
                <w:lang w:val="sl-SI" w:eastAsia="sl-SI"/>
              </w:rPr>
            </w:pPr>
            <w:r w:rsidRPr="0032637C">
              <w:rPr>
                <w:rFonts w:ascii="Calibri" w:hAnsi="Calibri"/>
                <w:b/>
                <w:color w:val="000000"/>
                <w:sz w:val="18"/>
                <w:szCs w:val="18"/>
                <w:lang w:val="sl-SI" w:eastAsia="sl-SI"/>
              </w:rPr>
              <w:t>4=2/3</w:t>
            </w:r>
          </w:p>
        </w:tc>
        <w:tc>
          <w:tcPr>
            <w:tcW w:w="653" w:type="pct"/>
            <w:shd w:val="pct25" w:color="auto" w:fill="auto"/>
            <w:noWrap/>
            <w:vAlign w:val="bottom"/>
          </w:tcPr>
          <w:p w:rsidR="007F42D8" w:rsidRPr="0032637C" w:rsidRDefault="007F42D8" w:rsidP="007F42D8">
            <w:pPr>
              <w:spacing w:line="240" w:lineRule="auto"/>
              <w:jc w:val="center"/>
              <w:rPr>
                <w:rFonts w:ascii="Calibri" w:hAnsi="Calibri"/>
                <w:b/>
                <w:color w:val="000000"/>
                <w:sz w:val="18"/>
                <w:szCs w:val="18"/>
                <w:lang w:val="sl-SI" w:eastAsia="sl-SI"/>
              </w:rPr>
            </w:pPr>
            <w:r w:rsidRPr="0032637C">
              <w:rPr>
                <w:rFonts w:ascii="Calibri" w:hAnsi="Calibri"/>
                <w:b/>
                <w:color w:val="000000"/>
                <w:sz w:val="18"/>
                <w:szCs w:val="18"/>
                <w:lang w:val="sl-SI" w:eastAsia="sl-SI"/>
              </w:rPr>
              <w:t>5=2-3</w:t>
            </w:r>
          </w:p>
        </w:tc>
      </w:tr>
      <w:tr w:rsidR="00F83FBB" w:rsidRPr="00D20C2C" w:rsidTr="00972554">
        <w:trPr>
          <w:trHeight w:val="300"/>
        </w:trPr>
        <w:tc>
          <w:tcPr>
            <w:tcW w:w="2346" w:type="pct"/>
            <w:shd w:val="clear" w:color="auto" w:fill="auto"/>
            <w:noWrap/>
            <w:vAlign w:val="bottom"/>
            <w:hideMark/>
          </w:tcPr>
          <w:p w:rsidR="00F83FBB" w:rsidRPr="007F42D8" w:rsidRDefault="00F83FBB" w:rsidP="007F42D8">
            <w:pPr>
              <w:spacing w:line="240" w:lineRule="auto"/>
              <w:rPr>
                <w:rFonts w:ascii="Calibri" w:hAnsi="Calibri"/>
                <w:color w:val="000000"/>
                <w:sz w:val="18"/>
                <w:szCs w:val="18"/>
                <w:lang w:eastAsia="sl-SI"/>
              </w:rPr>
            </w:pPr>
            <w:r w:rsidRPr="007F42D8">
              <w:rPr>
                <w:rFonts w:ascii="Calibri" w:hAnsi="Calibri"/>
                <w:color w:val="000000"/>
                <w:sz w:val="18"/>
                <w:szCs w:val="18"/>
                <w:lang w:eastAsia="sl-SI"/>
              </w:rPr>
              <w:t>200-Sedanja vrednost neopredmetenih sredstev in dolgoročnih aktivnih časovnih razmejitev</w:t>
            </w:r>
          </w:p>
        </w:tc>
        <w:tc>
          <w:tcPr>
            <w:tcW w:w="770" w:type="pct"/>
            <w:shd w:val="clear" w:color="auto" w:fill="auto"/>
            <w:noWrap/>
            <w:vAlign w:val="bottom"/>
          </w:tcPr>
          <w:p w:rsidR="00F83FBB" w:rsidRPr="00412299" w:rsidRDefault="00F83FBB"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35.096.132 </w:t>
            </w:r>
          </w:p>
        </w:tc>
        <w:tc>
          <w:tcPr>
            <w:tcW w:w="770" w:type="pct"/>
            <w:shd w:val="clear" w:color="auto" w:fill="auto"/>
            <w:noWrap/>
            <w:vAlign w:val="bottom"/>
            <w:hideMark/>
          </w:tcPr>
          <w:p w:rsidR="00F83FBB" w:rsidRPr="007F42D8" w:rsidRDefault="00F83FBB" w:rsidP="007F42D8">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37.409.368 </w:t>
            </w:r>
          </w:p>
        </w:tc>
        <w:tc>
          <w:tcPr>
            <w:tcW w:w="461" w:type="pct"/>
            <w:shd w:val="clear" w:color="auto" w:fill="auto"/>
            <w:noWrap/>
            <w:vAlign w:val="bottom"/>
            <w:hideMark/>
          </w:tcPr>
          <w:p w:rsidR="00F83FBB" w:rsidRPr="00412299" w:rsidRDefault="00F83FBB" w:rsidP="00382B0F">
            <w:pPr>
              <w:spacing w:line="240" w:lineRule="auto"/>
              <w:jc w:val="right"/>
              <w:rPr>
                <w:rFonts w:ascii="Calibri" w:hAnsi="Calibri"/>
                <w:color w:val="000000"/>
                <w:sz w:val="18"/>
                <w:szCs w:val="18"/>
                <w:lang w:eastAsia="sl-SI"/>
              </w:rPr>
            </w:pPr>
            <w:r w:rsidRPr="00972554">
              <w:rPr>
                <w:rFonts w:ascii="Calibri" w:hAnsi="Calibri"/>
                <w:sz w:val="18"/>
                <w:szCs w:val="18"/>
              </w:rPr>
              <w:t>93,82</w:t>
            </w:r>
          </w:p>
        </w:tc>
        <w:tc>
          <w:tcPr>
            <w:tcW w:w="653" w:type="pct"/>
            <w:shd w:val="clear" w:color="auto" w:fill="auto"/>
            <w:noWrap/>
            <w:vAlign w:val="bottom"/>
            <w:hideMark/>
          </w:tcPr>
          <w:p w:rsidR="00F83FBB" w:rsidRPr="00412299" w:rsidRDefault="00F83FBB"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-2.313.236 </w:t>
            </w:r>
          </w:p>
        </w:tc>
      </w:tr>
      <w:tr w:rsidR="00F83FBB" w:rsidRPr="00D20C2C" w:rsidTr="00972554">
        <w:trPr>
          <w:trHeight w:val="300"/>
        </w:trPr>
        <w:tc>
          <w:tcPr>
            <w:tcW w:w="2346" w:type="pct"/>
            <w:shd w:val="clear" w:color="auto" w:fill="auto"/>
            <w:noWrap/>
            <w:vAlign w:val="bottom"/>
            <w:hideMark/>
          </w:tcPr>
          <w:p w:rsidR="00F83FBB" w:rsidRPr="007F42D8" w:rsidRDefault="00F83FBB" w:rsidP="007F42D8">
            <w:pPr>
              <w:spacing w:line="240" w:lineRule="auto"/>
              <w:rPr>
                <w:rFonts w:ascii="Calibri" w:hAnsi="Calibri"/>
                <w:color w:val="000000"/>
                <w:sz w:val="18"/>
                <w:szCs w:val="18"/>
                <w:lang w:eastAsia="sl-SI"/>
              </w:rPr>
            </w:pPr>
            <w:r w:rsidRPr="007F42D8">
              <w:rPr>
                <w:rFonts w:ascii="Calibri" w:hAnsi="Calibri"/>
                <w:color w:val="000000"/>
                <w:sz w:val="18"/>
                <w:szCs w:val="18"/>
                <w:lang w:eastAsia="sl-SI"/>
              </w:rPr>
              <w:t>201-Nabavna vrednost neopredmetenih sredstev in dolgoročnih aktivnih časovnih razmejitev</w:t>
            </w:r>
          </w:p>
        </w:tc>
        <w:tc>
          <w:tcPr>
            <w:tcW w:w="770" w:type="pct"/>
            <w:shd w:val="clear" w:color="auto" w:fill="auto"/>
            <w:noWrap/>
            <w:vAlign w:val="bottom"/>
          </w:tcPr>
          <w:p w:rsidR="00F83FBB" w:rsidRPr="00412299" w:rsidRDefault="00F83FBB"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180.920.898 </w:t>
            </w:r>
          </w:p>
        </w:tc>
        <w:tc>
          <w:tcPr>
            <w:tcW w:w="770" w:type="pct"/>
            <w:shd w:val="clear" w:color="auto" w:fill="auto"/>
            <w:noWrap/>
            <w:vAlign w:val="bottom"/>
            <w:hideMark/>
          </w:tcPr>
          <w:p w:rsidR="00F83FBB" w:rsidRPr="007F42D8" w:rsidRDefault="00F83FBB" w:rsidP="007F42D8">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178.013.483 </w:t>
            </w:r>
          </w:p>
        </w:tc>
        <w:tc>
          <w:tcPr>
            <w:tcW w:w="461" w:type="pct"/>
            <w:shd w:val="clear" w:color="auto" w:fill="auto"/>
            <w:noWrap/>
            <w:vAlign w:val="bottom"/>
            <w:hideMark/>
          </w:tcPr>
          <w:p w:rsidR="00F83FBB" w:rsidRPr="00412299" w:rsidRDefault="00F83FBB" w:rsidP="00382B0F">
            <w:pPr>
              <w:spacing w:line="240" w:lineRule="auto"/>
              <w:jc w:val="right"/>
              <w:rPr>
                <w:rFonts w:ascii="Calibri" w:hAnsi="Calibri"/>
                <w:color w:val="000000"/>
                <w:sz w:val="18"/>
                <w:szCs w:val="18"/>
                <w:lang w:eastAsia="sl-SI"/>
              </w:rPr>
            </w:pPr>
            <w:r w:rsidRPr="00972554">
              <w:rPr>
                <w:rFonts w:ascii="Calibri" w:hAnsi="Calibri"/>
                <w:sz w:val="18"/>
                <w:szCs w:val="18"/>
              </w:rPr>
              <w:t>101,63</w:t>
            </w:r>
          </w:p>
        </w:tc>
        <w:tc>
          <w:tcPr>
            <w:tcW w:w="653" w:type="pct"/>
            <w:shd w:val="clear" w:color="auto" w:fill="auto"/>
            <w:noWrap/>
            <w:vAlign w:val="bottom"/>
            <w:hideMark/>
          </w:tcPr>
          <w:p w:rsidR="00F83FBB" w:rsidRPr="00412299" w:rsidRDefault="00F83FBB"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2.907.415 </w:t>
            </w:r>
          </w:p>
        </w:tc>
      </w:tr>
      <w:tr w:rsidR="00F83FBB" w:rsidRPr="00D20C2C" w:rsidTr="00972554">
        <w:trPr>
          <w:trHeight w:val="300"/>
        </w:trPr>
        <w:tc>
          <w:tcPr>
            <w:tcW w:w="2346" w:type="pct"/>
            <w:shd w:val="clear" w:color="auto" w:fill="auto"/>
            <w:noWrap/>
            <w:vAlign w:val="bottom"/>
            <w:hideMark/>
          </w:tcPr>
          <w:p w:rsidR="00F83FBB" w:rsidRPr="007F42D8" w:rsidRDefault="00F83FBB" w:rsidP="007F42D8">
            <w:pPr>
              <w:spacing w:line="240" w:lineRule="auto"/>
              <w:rPr>
                <w:rFonts w:ascii="Calibri" w:hAnsi="Calibri"/>
                <w:color w:val="000000"/>
                <w:sz w:val="18"/>
                <w:szCs w:val="18"/>
                <w:lang w:eastAsia="sl-SI"/>
              </w:rPr>
            </w:pPr>
            <w:r w:rsidRPr="007F42D8">
              <w:rPr>
                <w:rFonts w:ascii="Calibri" w:hAnsi="Calibri"/>
                <w:color w:val="000000"/>
                <w:sz w:val="18"/>
                <w:szCs w:val="18"/>
                <w:lang w:eastAsia="sl-SI"/>
              </w:rPr>
              <w:t>202-Popravki vrednosti neopredmetenih sredstev</w:t>
            </w:r>
          </w:p>
        </w:tc>
        <w:tc>
          <w:tcPr>
            <w:tcW w:w="770" w:type="pct"/>
            <w:shd w:val="clear" w:color="auto" w:fill="auto"/>
            <w:noWrap/>
            <w:vAlign w:val="bottom"/>
          </w:tcPr>
          <w:p w:rsidR="00F83FBB" w:rsidRPr="00412299" w:rsidRDefault="00F83FBB"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145.824.766 </w:t>
            </w:r>
          </w:p>
        </w:tc>
        <w:tc>
          <w:tcPr>
            <w:tcW w:w="770" w:type="pct"/>
            <w:shd w:val="clear" w:color="auto" w:fill="auto"/>
            <w:noWrap/>
            <w:vAlign w:val="bottom"/>
            <w:hideMark/>
          </w:tcPr>
          <w:p w:rsidR="00F83FBB" w:rsidRPr="007F42D8" w:rsidRDefault="00F83FBB" w:rsidP="007F42D8">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140.604.115 </w:t>
            </w:r>
          </w:p>
        </w:tc>
        <w:tc>
          <w:tcPr>
            <w:tcW w:w="461" w:type="pct"/>
            <w:shd w:val="clear" w:color="auto" w:fill="auto"/>
            <w:noWrap/>
            <w:vAlign w:val="bottom"/>
            <w:hideMark/>
          </w:tcPr>
          <w:p w:rsidR="00F83FBB" w:rsidRPr="00412299" w:rsidRDefault="00F83FBB" w:rsidP="00382B0F">
            <w:pPr>
              <w:spacing w:line="240" w:lineRule="auto"/>
              <w:jc w:val="right"/>
              <w:rPr>
                <w:rFonts w:ascii="Calibri" w:hAnsi="Calibri"/>
                <w:color w:val="000000"/>
                <w:sz w:val="18"/>
                <w:szCs w:val="18"/>
                <w:lang w:eastAsia="sl-SI"/>
              </w:rPr>
            </w:pPr>
            <w:r w:rsidRPr="00972554">
              <w:rPr>
                <w:rFonts w:ascii="Calibri" w:hAnsi="Calibri"/>
                <w:sz w:val="18"/>
                <w:szCs w:val="18"/>
              </w:rPr>
              <w:t>103,71</w:t>
            </w:r>
          </w:p>
        </w:tc>
        <w:tc>
          <w:tcPr>
            <w:tcW w:w="653" w:type="pct"/>
            <w:shd w:val="clear" w:color="auto" w:fill="auto"/>
            <w:noWrap/>
            <w:vAlign w:val="bottom"/>
            <w:hideMark/>
          </w:tcPr>
          <w:p w:rsidR="00F83FBB" w:rsidRPr="00412299" w:rsidRDefault="00F83FBB"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5.220.651 </w:t>
            </w:r>
          </w:p>
        </w:tc>
      </w:tr>
      <w:tr w:rsidR="00F83FBB" w:rsidRPr="00D20C2C" w:rsidTr="00972554">
        <w:trPr>
          <w:trHeight w:val="300"/>
        </w:trPr>
        <w:tc>
          <w:tcPr>
            <w:tcW w:w="2346" w:type="pct"/>
            <w:shd w:val="clear" w:color="auto" w:fill="auto"/>
            <w:noWrap/>
            <w:vAlign w:val="bottom"/>
            <w:hideMark/>
          </w:tcPr>
          <w:p w:rsidR="00F83FBB" w:rsidRPr="007F42D8" w:rsidRDefault="00F83FBB" w:rsidP="007F42D8">
            <w:pPr>
              <w:spacing w:line="240" w:lineRule="auto"/>
              <w:rPr>
                <w:rFonts w:ascii="Calibri" w:hAnsi="Calibri"/>
                <w:color w:val="000000"/>
                <w:sz w:val="18"/>
                <w:szCs w:val="18"/>
                <w:lang w:eastAsia="sl-SI"/>
              </w:rPr>
            </w:pPr>
            <w:r w:rsidRPr="007F42D8">
              <w:rPr>
                <w:rFonts w:ascii="Calibri" w:hAnsi="Calibri"/>
                <w:color w:val="000000"/>
                <w:sz w:val="18"/>
                <w:szCs w:val="18"/>
                <w:lang w:eastAsia="sl-SI"/>
              </w:rPr>
              <w:t>203-Sedanja vrednost nepremičnin</w:t>
            </w:r>
          </w:p>
        </w:tc>
        <w:tc>
          <w:tcPr>
            <w:tcW w:w="770" w:type="pct"/>
            <w:shd w:val="clear" w:color="auto" w:fill="auto"/>
            <w:noWrap/>
            <w:vAlign w:val="bottom"/>
          </w:tcPr>
          <w:p w:rsidR="00F83FBB" w:rsidRPr="00412299" w:rsidRDefault="00F83FBB"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2.824.643.389 </w:t>
            </w:r>
          </w:p>
        </w:tc>
        <w:tc>
          <w:tcPr>
            <w:tcW w:w="770" w:type="pct"/>
            <w:shd w:val="clear" w:color="auto" w:fill="auto"/>
            <w:noWrap/>
            <w:vAlign w:val="bottom"/>
            <w:hideMark/>
          </w:tcPr>
          <w:p w:rsidR="00F83FBB" w:rsidRPr="007F42D8" w:rsidRDefault="00F83FBB" w:rsidP="007F42D8">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2.844.700.210 </w:t>
            </w:r>
          </w:p>
        </w:tc>
        <w:tc>
          <w:tcPr>
            <w:tcW w:w="461" w:type="pct"/>
            <w:shd w:val="clear" w:color="auto" w:fill="auto"/>
            <w:noWrap/>
            <w:vAlign w:val="bottom"/>
            <w:hideMark/>
          </w:tcPr>
          <w:p w:rsidR="00F83FBB" w:rsidRPr="00412299" w:rsidRDefault="00F83FBB" w:rsidP="00382B0F">
            <w:pPr>
              <w:spacing w:line="240" w:lineRule="auto"/>
              <w:jc w:val="right"/>
              <w:rPr>
                <w:rFonts w:ascii="Calibri" w:hAnsi="Calibri"/>
                <w:color w:val="000000"/>
                <w:sz w:val="18"/>
                <w:szCs w:val="18"/>
                <w:lang w:eastAsia="sl-SI"/>
              </w:rPr>
            </w:pPr>
            <w:r w:rsidRPr="00972554">
              <w:rPr>
                <w:rFonts w:ascii="Calibri" w:hAnsi="Calibri"/>
                <w:sz w:val="18"/>
                <w:szCs w:val="18"/>
              </w:rPr>
              <w:t>99,29</w:t>
            </w:r>
          </w:p>
        </w:tc>
        <w:tc>
          <w:tcPr>
            <w:tcW w:w="653" w:type="pct"/>
            <w:shd w:val="clear" w:color="auto" w:fill="auto"/>
            <w:noWrap/>
            <w:vAlign w:val="bottom"/>
            <w:hideMark/>
          </w:tcPr>
          <w:p w:rsidR="00F83FBB" w:rsidRPr="00412299" w:rsidRDefault="00F83FBB"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-20.056.821 </w:t>
            </w:r>
          </w:p>
        </w:tc>
      </w:tr>
      <w:tr w:rsidR="00F83FBB" w:rsidRPr="00D20C2C" w:rsidTr="00972554">
        <w:trPr>
          <w:trHeight w:val="300"/>
        </w:trPr>
        <w:tc>
          <w:tcPr>
            <w:tcW w:w="2346" w:type="pct"/>
            <w:shd w:val="clear" w:color="auto" w:fill="auto"/>
            <w:noWrap/>
            <w:vAlign w:val="bottom"/>
            <w:hideMark/>
          </w:tcPr>
          <w:p w:rsidR="00F83FBB" w:rsidRPr="007F42D8" w:rsidRDefault="00F83FBB" w:rsidP="007F42D8">
            <w:pPr>
              <w:spacing w:line="240" w:lineRule="auto"/>
              <w:rPr>
                <w:rFonts w:ascii="Calibri" w:hAnsi="Calibri"/>
                <w:color w:val="000000"/>
                <w:sz w:val="18"/>
                <w:szCs w:val="18"/>
                <w:lang w:eastAsia="sl-SI"/>
              </w:rPr>
            </w:pPr>
            <w:r w:rsidRPr="007F42D8">
              <w:rPr>
                <w:rFonts w:ascii="Calibri" w:hAnsi="Calibri"/>
                <w:color w:val="000000"/>
                <w:sz w:val="18"/>
                <w:szCs w:val="18"/>
                <w:lang w:eastAsia="sl-SI"/>
              </w:rPr>
              <w:t>204-Nabavna vrednost nepremičnin</w:t>
            </w:r>
          </w:p>
        </w:tc>
        <w:tc>
          <w:tcPr>
            <w:tcW w:w="770" w:type="pct"/>
            <w:shd w:val="clear" w:color="auto" w:fill="auto"/>
            <w:noWrap/>
            <w:vAlign w:val="bottom"/>
          </w:tcPr>
          <w:p w:rsidR="00F83FBB" w:rsidRPr="00412299" w:rsidRDefault="00F83FBB"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4.354.450.956 </w:t>
            </w:r>
          </w:p>
        </w:tc>
        <w:tc>
          <w:tcPr>
            <w:tcW w:w="770" w:type="pct"/>
            <w:shd w:val="clear" w:color="auto" w:fill="auto"/>
            <w:noWrap/>
            <w:vAlign w:val="bottom"/>
            <w:hideMark/>
          </w:tcPr>
          <w:p w:rsidR="00F83FBB" w:rsidRPr="007F42D8" w:rsidRDefault="00F83FBB" w:rsidP="007F42D8">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4.296.045.869 </w:t>
            </w:r>
          </w:p>
        </w:tc>
        <w:tc>
          <w:tcPr>
            <w:tcW w:w="461" w:type="pct"/>
            <w:shd w:val="clear" w:color="auto" w:fill="auto"/>
            <w:noWrap/>
            <w:vAlign w:val="bottom"/>
            <w:hideMark/>
          </w:tcPr>
          <w:p w:rsidR="00F83FBB" w:rsidRPr="00412299" w:rsidRDefault="00F83FBB" w:rsidP="00382B0F">
            <w:pPr>
              <w:spacing w:line="240" w:lineRule="auto"/>
              <w:jc w:val="right"/>
              <w:rPr>
                <w:rFonts w:ascii="Calibri" w:hAnsi="Calibri"/>
                <w:color w:val="000000"/>
                <w:sz w:val="18"/>
                <w:szCs w:val="18"/>
                <w:lang w:eastAsia="sl-SI"/>
              </w:rPr>
            </w:pPr>
            <w:r w:rsidRPr="00972554">
              <w:rPr>
                <w:rFonts w:ascii="Calibri" w:hAnsi="Calibri"/>
                <w:sz w:val="18"/>
                <w:szCs w:val="18"/>
              </w:rPr>
              <w:t>101,36</w:t>
            </w:r>
          </w:p>
        </w:tc>
        <w:tc>
          <w:tcPr>
            <w:tcW w:w="653" w:type="pct"/>
            <w:shd w:val="clear" w:color="auto" w:fill="auto"/>
            <w:noWrap/>
            <w:vAlign w:val="bottom"/>
            <w:hideMark/>
          </w:tcPr>
          <w:p w:rsidR="00F83FBB" w:rsidRPr="00412299" w:rsidRDefault="00F83FBB"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58.405.087 </w:t>
            </w:r>
          </w:p>
        </w:tc>
      </w:tr>
      <w:tr w:rsidR="00F83FBB" w:rsidRPr="00D20C2C" w:rsidTr="00972554">
        <w:trPr>
          <w:trHeight w:val="300"/>
        </w:trPr>
        <w:tc>
          <w:tcPr>
            <w:tcW w:w="2346" w:type="pct"/>
            <w:shd w:val="clear" w:color="auto" w:fill="auto"/>
            <w:noWrap/>
            <w:vAlign w:val="bottom"/>
            <w:hideMark/>
          </w:tcPr>
          <w:p w:rsidR="00F83FBB" w:rsidRPr="007F42D8" w:rsidRDefault="00F83FBB" w:rsidP="007F42D8">
            <w:pPr>
              <w:spacing w:line="240" w:lineRule="auto"/>
              <w:rPr>
                <w:rFonts w:ascii="Calibri" w:hAnsi="Calibri"/>
                <w:color w:val="000000"/>
                <w:sz w:val="18"/>
                <w:szCs w:val="18"/>
                <w:lang w:eastAsia="sl-SI"/>
              </w:rPr>
            </w:pPr>
            <w:r w:rsidRPr="007F42D8">
              <w:rPr>
                <w:rFonts w:ascii="Calibri" w:hAnsi="Calibri"/>
                <w:color w:val="000000"/>
                <w:sz w:val="18"/>
                <w:szCs w:val="18"/>
                <w:lang w:eastAsia="sl-SI"/>
              </w:rPr>
              <w:t>205-Popravek vrednosti nepremičnin</w:t>
            </w:r>
          </w:p>
        </w:tc>
        <w:tc>
          <w:tcPr>
            <w:tcW w:w="770" w:type="pct"/>
            <w:shd w:val="clear" w:color="auto" w:fill="auto"/>
            <w:noWrap/>
            <w:vAlign w:val="bottom"/>
          </w:tcPr>
          <w:p w:rsidR="00F83FBB" w:rsidRPr="00412299" w:rsidRDefault="00F83FBB"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1.529.807.567 </w:t>
            </w:r>
          </w:p>
        </w:tc>
        <w:tc>
          <w:tcPr>
            <w:tcW w:w="770" w:type="pct"/>
            <w:shd w:val="clear" w:color="auto" w:fill="auto"/>
            <w:noWrap/>
            <w:vAlign w:val="bottom"/>
            <w:hideMark/>
          </w:tcPr>
          <w:p w:rsidR="00F83FBB" w:rsidRPr="007F42D8" w:rsidRDefault="00F83FBB" w:rsidP="007F42D8">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1.451.345.659 </w:t>
            </w:r>
          </w:p>
        </w:tc>
        <w:tc>
          <w:tcPr>
            <w:tcW w:w="461" w:type="pct"/>
            <w:shd w:val="clear" w:color="auto" w:fill="auto"/>
            <w:noWrap/>
            <w:vAlign w:val="bottom"/>
            <w:hideMark/>
          </w:tcPr>
          <w:p w:rsidR="00F83FBB" w:rsidRPr="00412299" w:rsidRDefault="00F83FBB" w:rsidP="00382B0F">
            <w:pPr>
              <w:spacing w:line="240" w:lineRule="auto"/>
              <w:jc w:val="right"/>
              <w:rPr>
                <w:rFonts w:ascii="Calibri" w:hAnsi="Calibri"/>
                <w:color w:val="000000"/>
                <w:sz w:val="18"/>
                <w:szCs w:val="18"/>
                <w:lang w:eastAsia="sl-SI"/>
              </w:rPr>
            </w:pPr>
            <w:r w:rsidRPr="00972554">
              <w:rPr>
                <w:rFonts w:ascii="Calibri" w:hAnsi="Calibri"/>
                <w:sz w:val="18"/>
                <w:szCs w:val="18"/>
              </w:rPr>
              <w:t>105,41</w:t>
            </w:r>
          </w:p>
        </w:tc>
        <w:tc>
          <w:tcPr>
            <w:tcW w:w="653" w:type="pct"/>
            <w:shd w:val="clear" w:color="auto" w:fill="auto"/>
            <w:noWrap/>
            <w:vAlign w:val="bottom"/>
            <w:hideMark/>
          </w:tcPr>
          <w:p w:rsidR="00F83FBB" w:rsidRPr="00412299" w:rsidRDefault="00F83FBB"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78.461.908 </w:t>
            </w:r>
          </w:p>
        </w:tc>
      </w:tr>
      <w:tr w:rsidR="00F83FBB" w:rsidRPr="00D20C2C" w:rsidTr="00972554">
        <w:trPr>
          <w:trHeight w:val="300"/>
        </w:trPr>
        <w:tc>
          <w:tcPr>
            <w:tcW w:w="2346" w:type="pct"/>
            <w:shd w:val="clear" w:color="auto" w:fill="auto"/>
            <w:noWrap/>
            <w:vAlign w:val="bottom"/>
            <w:hideMark/>
          </w:tcPr>
          <w:p w:rsidR="00F83FBB" w:rsidRPr="007F42D8" w:rsidRDefault="00F83FBB" w:rsidP="007F42D8">
            <w:pPr>
              <w:spacing w:line="240" w:lineRule="auto"/>
              <w:rPr>
                <w:rFonts w:ascii="Calibri" w:hAnsi="Calibri"/>
                <w:color w:val="000000"/>
                <w:sz w:val="18"/>
                <w:szCs w:val="18"/>
                <w:lang w:eastAsia="sl-SI"/>
              </w:rPr>
            </w:pPr>
            <w:r w:rsidRPr="007F42D8">
              <w:rPr>
                <w:rFonts w:ascii="Calibri" w:hAnsi="Calibri"/>
                <w:color w:val="000000"/>
                <w:sz w:val="18"/>
                <w:szCs w:val="18"/>
                <w:lang w:eastAsia="sl-SI"/>
              </w:rPr>
              <w:t>206-Sedanja vrednost opreme in drugih opredmetenih osnovnih sredstev</w:t>
            </w:r>
          </w:p>
        </w:tc>
        <w:tc>
          <w:tcPr>
            <w:tcW w:w="770" w:type="pct"/>
            <w:shd w:val="clear" w:color="auto" w:fill="auto"/>
            <w:noWrap/>
            <w:vAlign w:val="bottom"/>
          </w:tcPr>
          <w:p w:rsidR="00F83FBB" w:rsidRPr="00412299" w:rsidRDefault="00F83FBB"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426.289.562 </w:t>
            </w:r>
          </w:p>
        </w:tc>
        <w:tc>
          <w:tcPr>
            <w:tcW w:w="770" w:type="pct"/>
            <w:shd w:val="clear" w:color="auto" w:fill="auto"/>
            <w:noWrap/>
            <w:vAlign w:val="bottom"/>
            <w:hideMark/>
          </w:tcPr>
          <w:p w:rsidR="00F83FBB" w:rsidRPr="007F42D8" w:rsidRDefault="00F83FBB" w:rsidP="007F42D8">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436.608.767 </w:t>
            </w:r>
          </w:p>
        </w:tc>
        <w:tc>
          <w:tcPr>
            <w:tcW w:w="461" w:type="pct"/>
            <w:shd w:val="clear" w:color="auto" w:fill="auto"/>
            <w:noWrap/>
            <w:vAlign w:val="bottom"/>
            <w:hideMark/>
          </w:tcPr>
          <w:p w:rsidR="00F83FBB" w:rsidRPr="00412299" w:rsidRDefault="00F83FBB" w:rsidP="00382B0F">
            <w:pPr>
              <w:spacing w:line="240" w:lineRule="auto"/>
              <w:jc w:val="right"/>
              <w:rPr>
                <w:rFonts w:ascii="Calibri" w:hAnsi="Calibri"/>
                <w:color w:val="000000"/>
                <w:sz w:val="18"/>
                <w:szCs w:val="18"/>
                <w:lang w:eastAsia="sl-SI"/>
              </w:rPr>
            </w:pPr>
            <w:r w:rsidRPr="00972554">
              <w:rPr>
                <w:rFonts w:ascii="Calibri" w:hAnsi="Calibri"/>
                <w:sz w:val="18"/>
                <w:szCs w:val="18"/>
              </w:rPr>
              <w:t>97,64</w:t>
            </w:r>
          </w:p>
        </w:tc>
        <w:tc>
          <w:tcPr>
            <w:tcW w:w="653" w:type="pct"/>
            <w:shd w:val="clear" w:color="auto" w:fill="auto"/>
            <w:noWrap/>
            <w:vAlign w:val="bottom"/>
            <w:hideMark/>
          </w:tcPr>
          <w:p w:rsidR="00F83FBB" w:rsidRPr="00412299" w:rsidRDefault="00F83FBB"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-10.319.205 </w:t>
            </w:r>
          </w:p>
        </w:tc>
      </w:tr>
      <w:tr w:rsidR="00F83FBB" w:rsidRPr="00D20C2C" w:rsidTr="00972554">
        <w:trPr>
          <w:trHeight w:val="300"/>
        </w:trPr>
        <w:tc>
          <w:tcPr>
            <w:tcW w:w="2346" w:type="pct"/>
            <w:shd w:val="clear" w:color="auto" w:fill="auto"/>
            <w:noWrap/>
            <w:vAlign w:val="bottom"/>
            <w:hideMark/>
          </w:tcPr>
          <w:p w:rsidR="00F83FBB" w:rsidRPr="007F42D8" w:rsidRDefault="00F83FBB" w:rsidP="007F42D8">
            <w:pPr>
              <w:spacing w:line="240" w:lineRule="auto"/>
              <w:rPr>
                <w:rFonts w:ascii="Calibri" w:hAnsi="Calibri"/>
                <w:color w:val="000000"/>
                <w:sz w:val="18"/>
                <w:szCs w:val="18"/>
                <w:lang w:eastAsia="sl-SI"/>
              </w:rPr>
            </w:pPr>
            <w:r w:rsidRPr="007F42D8">
              <w:rPr>
                <w:rFonts w:ascii="Calibri" w:hAnsi="Calibri"/>
                <w:color w:val="000000"/>
                <w:sz w:val="18"/>
                <w:szCs w:val="18"/>
                <w:lang w:eastAsia="sl-SI"/>
              </w:rPr>
              <w:t>207-Nabavna vrednost opreme in drugih opredmetenih osnovnih sredstev</w:t>
            </w:r>
          </w:p>
        </w:tc>
        <w:tc>
          <w:tcPr>
            <w:tcW w:w="770" w:type="pct"/>
            <w:shd w:val="clear" w:color="auto" w:fill="auto"/>
            <w:noWrap/>
            <w:vAlign w:val="bottom"/>
          </w:tcPr>
          <w:p w:rsidR="00F83FBB" w:rsidRPr="00412299" w:rsidRDefault="00F83FBB"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2.331.390.030 </w:t>
            </w:r>
          </w:p>
        </w:tc>
        <w:tc>
          <w:tcPr>
            <w:tcW w:w="770" w:type="pct"/>
            <w:shd w:val="clear" w:color="auto" w:fill="auto"/>
            <w:noWrap/>
            <w:vAlign w:val="bottom"/>
            <w:hideMark/>
          </w:tcPr>
          <w:p w:rsidR="00F83FBB" w:rsidRPr="007F42D8" w:rsidRDefault="00F83FBB" w:rsidP="007F42D8">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2.294.299.950 </w:t>
            </w:r>
          </w:p>
        </w:tc>
        <w:tc>
          <w:tcPr>
            <w:tcW w:w="461" w:type="pct"/>
            <w:shd w:val="clear" w:color="auto" w:fill="auto"/>
            <w:noWrap/>
            <w:vAlign w:val="bottom"/>
            <w:hideMark/>
          </w:tcPr>
          <w:p w:rsidR="00F83FBB" w:rsidRPr="00412299" w:rsidRDefault="00F83FBB" w:rsidP="00382B0F">
            <w:pPr>
              <w:spacing w:line="240" w:lineRule="auto"/>
              <w:jc w:val="right"/>
              <w:rPr>
                <w:rFonts w:ascii="Calibri" w:hAnsi="Calibri"/>
                <w:color w:val="000000"/>
                <w:sz w:val="18"/>
                <w:szCs w:val="18"/>
                <w:lang w:eastAsia="sl-SI"/>
              </w:rPr>
            </w:pPr>
            <w:r w:rsidRPr="00972554">
              <w:rPr>
                <w:rFonts w:ascii="Calibri" w:hAnsi="Calibri"/>
                <w:sz w:val="18"/>
                <w:szCs w:val="18"/>
              </w:rPr>
              <w:t>101,62</w:t>
            </w:r>
          </w:p>
        </w:tc>
        <w:tc>
          <w:tcPr>
            <w:tcW w:w="653" w:type="pct"/>
            <w:shd w:val="clear" w:color="auto" w:fill="auto"/>
            <w:noWrap/>
            <w:vAlign w:val="bottom"/>
            <w:hideMark/>
          </w:tcPr>
          <w:p w:rsidR="00F83FBB" w:rsidRPr="00412299" w:rsidRDefault="00F83FBB"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37.090.080 </w:t>
            </w:r>
          </w:p>
        </w:tc>
      </w:tr>
      <w:tr w:rsidR="00F83FBB" w:rsidRPr="00D20C2C" w:rsidTr="00972554">
        <w:trPr>
          <w:trHeight w:val="300"/>
        </w:trPr>
        <w:tc>
          <w:tcPr>
            <w:tcW w:w="2346" w:type="pct"/>
            <w:shd w:val="clear" w:color="auto" w:fill="auto"/>
            <w:noWrap/>
            <w:vAlign w:val="bottom"/>
            <w:hideMark/>
          </w:tcPr>
          <w:p w:rsidR="00F83FBB" w:rsidRPr="007F42D8" w:rsidRDefault="00F83FBB" w:rsidP="007F42D8">
            <w:pPr>
              <w:spacing w:line="240" w:lineRule="auto"/>
              <w:rPr>
                <w:rFonts w:ascii="Calibri" w:hAnsi="Calibri"/>
                <w:color w:val="000000"/>
                <w:sz w:val="18"/>
                <w:szCs w:val="18"/>
                <w:lang w:eastAsia="sl-SI"/>
              </w:rPr>
            </w:pPr>
            <w:r w:rsidRPr="007F42D8">
              <w:rPr>
                <w:rFonts w:ascii="Calibri" w:hAnsi="Calibri"/>
                <w:color w:val="000000"/>
                <w:sz w:val="18"/>
                <w:szCs w:val="18"/>
                <w:lang w:eastAsia="sl-SI"/>
              </w:rPr>
              <w:t>208-Popravek vrednosti opreme in drugih opredmetenih osnovnih sredstev</w:t>
            </w:r>
          </w:p>
        </w:tc>
        <w:tc>
          <w:tcPr>
            <w:tcW w:w="770" w:type="pct"/>
            <w:shd w:val="clear" w:color="auto" w:fill="auto"/>
            <w:noWrap/>
            <w:vAlign w:val="bottom"/>
          </w:tcPr>
          <w:p w:rsidR="00F83FBB" w:rsidRPr="00412299" w:rsidRDefault="00F83FBB"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1.905.100.468 </w:t>
            </w:r>
          </w:p>
        </w:tc>
        <w:tc>
          <w:tcPr>
            <w:tcW w:w="770" w:type="pct"/>
            <w:shd w:val="clear" w:color="auto" w:fill="auto"/>
            <w:noWrap/>
            <w:vAlign w:val="bottom"/>
            <w:hideMark/>
          </w:tcPr>
          <w:p w:rsidR="00F83FBB" w:rsidRPr="007F42D8" w:rsidRDefault="00F83FBB" w:rsidP="007F42D8">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1.857.691.183 </w:t>
            </w:r>
          </w:p>
        </w:tc>
        <w:tc>
          <w:tcPr>
            <w:tcW w:w="461" w:type="pct"/>
            <w:shd w:val="clear" w:color="auto" w:fill="auto"/>
            <w:noWrap/>
            <w:vAlign w:val="bottom"/>
            <w:hideMark/>
          </w:tcPr>
          <w:p w:rsidR="00F83FBB" w:rsidRPr="00412299" w:rsidRDefault="00F83FBB" w:rsidP="00382B0F">
            <w:pPr>
              <w:spacing w:line="240" w:lineRule="auto"/>
              <w:jc w:val="right"/>
              <w:rPr>
                <w:rFonts w:ascii="Calibri" w:hAnsi="Calibri"/>
                <w:color w:val="000000"/>
                <w:sz w:val="18"/>
                <w:szCs w:val="18"/>
                <w:lang w:eastAsia="sl-SI"/>
              </w:rPr>
            </w:pPr>
            <w:r w:rsidRPr="00972554">
              <w:rPr>
                <w:rFonts w:ascii="Calibri" w:hAnsi="Calibri"/>
                <w:sz w:val="18"/>
                <w:szCs w:val="18"/>
              </w:rPr>
              <w:t>102,55</w:t>
            </w:r>
          </w:p>
        </w:tc>
        <w:tc>
          <w:tcPr>
            <w:tcW w:w="653" w:type="pct"/>
            <w:shd w:val="clear" w:color="auto" w:fill="auto"/>
            <w:noWrap/>
            <w:vAlign w:val="bottom"/>
            <w:hideMark/>
          </w:tcPr>
          <w:p w:rsidR="00F83FBB" w:rsidRPr="00412299" w:rsidRDefault="00F83FBB"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47.409.285 </w:t>
            </w:r>
          </w:p>
        </w:tc>
      </w:tr>
      <w:tr w:rsidR="00F83FBB" w:rsidRPr="00D20C2C" w:rsidTr="00972554">
        <w:trPr>
          <w:trHeight w:val="300"/>
        </w:trPr>
        <w:tc>
          <w:tcPr>
            <w:tcW w:w="2346" w:type="pct"/>
            <w:shd w:val="clear" w:color="auto" w:fill="auto"/>
            <w:noWrap/>
            <w:vAlign w:val="bottom"/>
            <w:hideMark/>
          </w:tcPr>
          <w:p w:rsidR="00F83FBB" w:rsidRPr="007F42D8" w:rsidRDefault="00F83FBB" w:rsidP="007F42D8">
            <w:pPr>
              <w:spacing w:line="240" w:lineRule="auto"/>
              <w:rPr>
                <w:rFonts w:ascii="Calibri" w:hAnsi="Calibri"/>
                <w:color w:val="000000"/>
                <w:sz w:val="18"/>
                <w:szCs w:val="18"/>
                <w:lang w:eastAsia="sl-SI"/>
              </w:rPr>
            </w:pPr>
            <w:r w:rsidRPr="007F42D8">
              <w:rPr>
                <w:rFonts w:ascii="Calibri" w:hAnsi="Calibri"/>
                <w:color w:val="000000"/>
                <w:sz w:val="18"/>
                <w:szCs w:val="18"/>
                <w:lang w:eastAsia="sl-SI"/>
              </w:rPr>
              <w:t>209-Zaloge</w:t>
            </w:r>
          </w:p>
        </w:tc>
        <w:tc>
          <w:tcPr>
            <w:tcW w:w="770" w:type="pct"/>
            <w:shd w:val="clear" w:color="auto" w:fill="auto"/>
            <w:noWrap/>
            <w:vAlign w:val="bottom"/>
          </w:tcPr>
          <w:p w:rsidR="00F83FBB" w:rsidRPr="00412299" w:rsidRDefault="00F83FBB"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66.678.329 </w:t>
            </w:r>
          </w:p>
        </w:tc>
        <w:tc>
          <w:tcPr>
            <w:tcW w:w="770" w:type="pct"/>
            <w:shd w:val="clear" w:color="auto" w:fill="auto"/>
            <w:noWrap/>
            <w:vAlign w:val="bottom"/>
            <w:hideMark/>
          </w:tcPr>
          <w:p w:rsidR="00F83FBB" w:rsidRPr="007F42D8" w:rsidRDefault="00F83FBB" w:rsidP="007F42D8">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76.677.101 </w:t>
            </w:r>
          </w:p>
        </w:tc>
        <w:tc>
          <w:tcPr>
            <w:tcW w:w="461" w:type="pct"/>
            <w:shd w:val="clear" w:color="auto" w:fill="auto"/>
            <w:noWrap/>
            <w:vAlign w:val="bottom"/>
            <w:hideMark/>
          </w:tcPr>
          <w:p w:rsidR="00F83FBB" w:rsidRPr="00412299" w:rsidRDefault="00F83FBB" w:rsidP="00382B0F">
            <w:pPr>
              <w:spacing w:line="240" w:lineRule="auto"/>
              <w:jc w:val="right"/>
              <w:rPr>
                <w:rFonts w:ascii="Calibri" w:hAnsi="Calibri"/>
                <w:color w:val="000000"/>
                <w:sz w:val="18"/>
                <w:szCs w:val="18"/>
                <w:lang w:eastAsia="sl-SI"/>
              </w:rPr>
            </w:pPr>
            <w:r w:rsidRPr="00972554">
              <w:rPr>
                <w:rFonts w:ascii="Calibri" w:hAnsi="Calibri"/>
                <w:sz w:val="18"/>
                <w:szCs w:val="18"/>
              </w:rPr>
              <w:t>86,96</w:t>
            </w:r>
          </w:p>
        </w:tc>
        <w:tc>
          <w:tcPr>
            <w:tcW w:w="653" w:type="pct"/>
            <w:shd w:val="clear" w:color="auto" w:fill="auto"/>
            <w:noWrap/>
            <w:vAlign w:val="bottom"/>
            <w:hideMark/>
          </w:tcPr>
          <w:p w:rsidR="00F83FBB" w:rsidRPr="00412299" w:rsidRDefault="00F83FBB"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-9.998.772 </w:t>
            </w:r>
          </w:p>
        </w:tc>
      </w:tr>
      <w:tr w:rsidR="00F83FBB" w:rsidRPr="00D20C2C" w:rsidTr="00972554">
        <w:trPr>
          <w:trHeight w:val="300"/>
        </w:trPr>
        <w:tc>
          <w:tcPr>
            <w:tcW w:w="2346" w:type="pct"/>
            <w:shd w:val="clear" w:color="auto" w:fill="auto"/>
            <w:noWrap/>
            <w:vAlign w:val="bottom"/>
            <w:hideMark/>
          </w:tcPr>
          <w:p w:rsidR="00F83FBB" w:rsidRPr="007F42D8" w:rsidRDefault="00F83FBB" w:rsidP="007F42D8">
            <w:pPr>
              <w:spacing w:line="240" w:lineRule="auto"/>
              <w:rPr>
                <w:rFonts w:ascii="Calibri" w:hAnsi="Calibri"/>
                <w:color w:val="000000"/>
                <w:sz w:val="18"/>
                <w:szCs w:val="18"/>
                <w:lang w:eastAsia="sl-SI"/>
              </w:rPr>
            </w:pPr>
            <w:r w:rsidRPr="007F42D8">
              <w:rPr>
                <w:rFonts w:ascii="Calibri" w:hAnsi="Calibri"/>
                <w:color w:val="000000"/>
                <w:sz w:val="18"/>
                <w:szCs w:val="18"/>
                <w:lang w:eastAsia="sl-SI"/>
              </w:rPr>
              <w:t>210-Dolgoročne finančne naložbe</w:t>
            </w:r>
          </w:p>
        </w:tc>
        <w:tc>
          <w:tcPr>
            <w:tcW w:w="770" w:type="pct"/>
            <w:shd w:val="clear" w:color="auto" w:fill="auto"/>
            <w:noWrap/>
            <w:vAlign w:val="bottom"/>
          </w:tcPr>
          <w:p w:rsidR="00F83FBB" w:rsidRPr="00412299" w:rsidRDefault="00F83FBB"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214.600.290 </w:t>
            </w:r>
          </w:p>
        </w:tc>
        <w:tc>
          <w:tcPr>
            <w:tcW w:w="770" w:type="pct"/>
            <w:shd w:val="clear" w:color="auto" w:fill="auto"/>
            <w:noWrap/>
            <w:vAlign w:val="bottom"/>
            <w:hideMark/>
          </w:tcPr>
          <w:p w:rsidR="00F83FBB" w:rsidRPr="007F42D8" w:rsidRDefault="00F83FBB" w:rsidP="007F42D8">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217.536.594 </w:t>
            </w:r>
          </w:p>
        </w:tc>
        <w:tc>
          <w:tcPr>
            <w:tcW w:w="461" w:type="pct"/>
            <w:shd w:val="clear" w:color="auto" w:fill="auto"/>
            <w:noWrap/>
            <w:vAlign w:val="bottom"/>
            <w:hideMark/>
          </w:tcPr>
          <w:p w:rsidR="00F83FBB" w:rsidRPr="00412299" w:rsidRDefault="00F83FBB" w:rsidP="00382B0F">
            <w:pPr>
              <w:spacing w:line="240" w:lineRule="auto"/>
              <w:jc w:val="right"/>
              <w:rPr>
                <w:rFonts w:ascii="Calibri" w:hAnsi="Calibri"/>
                <w:color w:val="000000"/>
                <w:sz w:val="18"/>
                <w:szCs w:val="18"/>
                <w:lang w:eastAsia="sl-SI"/>
              </w:rPr>
            </w:pPr>
            <w:r w:rsidRPr="00972554">
              <w:rPr>
                <w:rFonts w:ascii="Calibri" w:hAnsi="Calibri"/>
                <w:sz w:val="18"/>
                <w:szCs w:val="18"/>
              </w:rPr>
              <w:t>98,65</w:t>
            </w:r>
          </w:p>
        </w:tc>
        <w:tc>
          <w:tcPr>
            <w:tcW w:w="653" w:type="pct"/>
            <w:shd w:val="clear" w:color="auto" w:fill="auto"/>
            <w:noWrap/>
            <w:vAlign w:val="bottom"/>
            <w:hideMark/>
          </w:tcPr>
          <w:p w:rsidR="00F83FBB" w:rsidRPr="00412299" w:rsidRDefault="00F83FBB"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-2.936.304 </w:t>
            </w:r>
          </w:p>
        </w:tc>
      </w:tr>
      <w:tr w:rsidR="00F83FBB" w:rsidRPr="00D20C2C" w:rsidTr="00972554">
        <w:trPr>
          <w:trHeight w:val="300"/>
        </w:trPr>
        <w:tc>
          <w:tcPr>
            <w:tcW w:w="2346" w:type="pct"/>
            <w:shd w:val="clear" w:color="auto" w:fill="auto"/>
            <w:noWrap/>
            <w:vAlign w:val="bottom"/>
            <w:hideMark/>
          </w:tcPr>
          <w:p w:rsidR="00F83FBB" w:rsidRPr="007F42D8" w:rsidRDefault="00F83FBB" w:rsidP="007F42D8">
            <w:pPr>
              <w:spacing w:line="240" w:lineRule="auto"/>
              <w:rPr>
                <w:rFonts w:ascii="Calibri" w:hAnsi="Calibri"/>
                <w:color w:val="000000"/>
                <w:sz w:val="18"/>
                <w:szCs w:val="18"/>
                <w:lang w:eastAsia="sl-SI"/>
              </w:rPr>
            </w:pPr>
            <w:r w:rsidRPr="007F42D8">
              <w:rPr>
                <w:rFonts w:ascii="Calibri" w:hAnsi="Calibri"/>
                <w:color w:val="000000"/>
                <w:sz w:val="18"/>
                <w:szCs w:val="18"/>
                <w:lang w:eastAsia="sl-SI"/>
              </w:rPr>
              <w:t>211-Dolgoročno dana posojila in depoziti</w:t>
            </w:r>
          </w:p>
        </w:tc>
        <w:tc>
          <w:tcPr>
            <w:tcW w:w="770" w:type="pct"/>
            <w:shd w:val="clear" w:color="auto" w:fill="auto"/>
            <w:noWrap/>
            <w:vAlign w:val="bottom"/>
          </w:tcPr>
          <w:p w:rsidR="00F83FBB" w:rsidRPr="00116FC1" w:rsidRDefault="00F83FBB"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396.318.710 </w:t>
            </w:r>
          </w:p>
        </w:tc>
        <w:tc>
          <w:tcPr>
            <w:tcW w:w="770" w:type="pct"/>
            <w:shd w:val="clear" w:color="auto" w:fill="auto"/>
            <w:noWrap/>
            <w:vAlign w:val="bottom"/>
            <w:hideMark/>
          </w:tcPr>
          <w:p w:rsidR="00F83FBB" w:rsidRPr="007F42D8" w:rsidRDefault="00F83FBB" w:rsidP="007F42D8">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372.665.357 </w:t>
            </w:r>
          </w:p>
        </w:tc>
        <w:tc>
          <w:tcPr>
            <w:tcW w:w="461" w:type="pct"/>
            <w:shd w:val="clear" w:color="auto" w:fill="auto"/>
            <w:noWrap/>
            <w:vAlign w:val="bottom"/>
            <w:hideMark/>
          </w:tcPr>
          <w:p w:rsidR="00F83FBB" w:rsidRPr="00412299" w:rsidRDefault="00F83FBB" w:rsidP="00382B0F">
            <w:pPr>
              <w:spacing w:line="240" w:lineRule="auto"/>
              <w:jc w:val="right"/>
              <w:rPr>
                <w:rFonts w:ascii="Calibri" w:hAnsi="Calibri"/>
                <w:color w:val="000000"/>
                <w:sz w:val="18"/>
                <w:szCs w:val="18"/>
                <w:lang w:eastAsia="sl-SI"/>
              </w:rPr>
            </w:pPr>
            <w:r w:rsidRPr="00972554">
              <w:rPr>
                <w:rFonts w:ascii="Calibri" w:hAnsi="Calibri"/>
                <w:sz w:val="18"/>
                <w:szCs w:val="18"/>
              </w:rPr>
              <w:t>106,35</w:t>
            </w:r>
          </w:p>
        </w:tc>
        <w:tc>
          <w:tcPr>
            <w:tcW w:w="653" w:type="pct"/>
            <w:shd w:val="clear" w:color="auto" w:fill="auto"/>
            <w:noWrap/>
            <w:vAlign w:val="bottom"/>
            <w:hideMark/>
          </w:tcPr>
          <w:p w:rsidR="00F83FBB" w:rsidRPr="00412299" w:rsidRDefault="00F83FBB"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23.653.353 </w:t>
            </w:r>
          </w:p>
        </w:tc>
      </w:tr>
      <w:tr w:rsidR="00F83FBB" w:rsidRPr="00D20C2C" w:rsidTr="00972554">
        <w:trPr>
          <w:trHeight w:val="300"/>
        </w:trPr>
        <w:tc>
          <w:tcPr>
            <w:tcW w:w="2346" w:type="pct"/>
            <w:shd w:val="clear" w:color="auto" w:fill="auto"/>
            <w:noWrap/>
            <w:vAlign w:val="bottom"/>
            <w:hideMark/>
          </w:tcPr>
          <w:p w:rsidR="00F83FBB" w:rsidRPr="007F42D8" w:rsidRDefault="00F83FBB" w:rsidP="007F42D8">
            <w:pPr>
              <w:spacing w:line="240" w:lineRule="auto"/>
              <w:rPr>
                <w:rFonts w:ascii="Calibri" w:hAnsi="Calibri"/>
                <w:color w:val="000000"/>
                <w:sz w:val="18"/>
                <w:szCs w:val="18"/>
                <w:lang w:eastAsia="sl-SI"/>
              </w:rPr>
            </w:pPr>
            <w:r w:rsidRPr="007F42D8">
              <w:rPr>
                <w:rFonts w:ascii="Calibri" w:hAnsi="Calibri"/>
                <w:color w:val="000000"/>
                <w:sz w:val="18"/>
                <w:szCs w:val="18"/>
                <w:lang w:eastAsia="sl-SI"/>
              </w:rPr>
              <w:t>212-Dolgoročne terjatve iz poslovanja</w:t>
            </w:r>
          </w:p>
        </w:tc>
        <w:tc>
          <w:tcPr>
            <w:tcW w:w="770" w:type="pct"/>
            <w:shd w:val="clear" w:color="auto" w:fill="auto"/>
            <w:noWrap/>
            <w:vAlign w:val="bottom"/>
          </w:tcPr>
          <w:p w:rsidR="00F83FBB" w:rsidRPr="00412299" w:rsidRDefault="00F83FBB"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4.260.293 </w:t>
            </w:r>
          </w:p>
        </w:tc>
        <w:tc>
          <w:tcPr>
            <w:tcW w:w="770" w:type="pct"/>
            <w:shd w:val="clear" w:color="auto" w:fill="auto"/>
            <w:noWrap/>
            <w:vAlign w:val="bottom"/>
            <w:hideMark/>
          </w:tcPr>
          <w:p w:rsidR="00F83FBB" w:rsidRPr="007F42D8" w:rsidRDefault="00F83FBB" w:rsidP="007F42D8">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2.953.759 </w:t>
            </w:r>
          </w:p>
        </w:tc>
        <w:tc>
          <w:tcPr>
            <w:tcW w:w="461" w:type="pct"/>
            <w:shd w:val="clear" w:color="auto" w:fill="auto"/>
            <w:noWrap/>
            <w:vAlign w:val="bottom"/>
            <w:hideMark/>
          </w:tcPr>
          <w:p w:rsidR="00F83FBB" w:rsidRPr="00412299" w:rsidRDefault="00F83FBB" w:rsidP="00382B0F">
            <w:pPr>
              <w:spacing w:line="240" w:lineRule="auto"/>
              <w:jc w:val="right"/>
              <w:rPr>
                <w:rFonts w:ascii="Calibri" w:hAnsi="Calibri"/>
                <w:color w:val="000000"/>
                <w:sz w:val="18"/>
                <w:szCs w:val="18"/>
                <w:lang w:eastAsia="sl-SI"/>
              </w:rPr>
            </w:pPr>
            <w:r w:rsidRPr="00972554">
              <w:rPr>
                <w:rFonts w:ascii="Calibri" w:hAnsi="Calibri"/>
                <w:sz w:val="18"/>
                <w:szCs w:val="18"/>
              </w:rPr>
              <w:t>144,23</w:t>
            </w:r>
          </w:p>
        </w:tc>
        <w:tc>
          <w:tcPr>
            <w:tcW w:w="653" w:type="pct"/>
            <w:shd w:val="clear" w:color="auto" w:fill="auto"/>
            <w:noWrap/>
            <w:vAlign w:val="bottom"/>
            <w:hideMark/>
          </w:tcPr>
          <w:p w:rsidR="00F83FBB" w:rsidRPr="00412299" w:rsidRDefault="00F83FBB"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1.306.534 </w:t>
            </w:r>
          </w:p>
        </w:tc>
      </w:tr>
      <w:tr w:rsidR="00F83FBB" w:rsidRPr="00D20C2C" w:rsidTr="00972554">
        <w:trPr>
          <w:trHeight w:val="300"/>
        </w:trPr>
        <w:tc>
          <w:tcPr>
            <w:tcW w:w="2346" w:type="pct"/>
            <w:shd w:val="clear" w:color="auto" w:fill="auto"/>
            <w:noWrap/>
            <w:vAlign w:val="bottom"/>
            <w:hideMark/>
          </w:tcPr>
          <w:p w:rsidR="00F83FBB" w:rsidRPr="007F42D8" w:rsidRDefault="00F83FBB" w:rsidP="007F42D8">
            <w:pPr>
              <w:spacing w:line="240" w:lineRule="auto"/>
              <w:rPr>
                <w:rFonts w:ascii="Calibri" w:hAnsi="Calibri"/>
                <w:color w:val="000000"/>
                <w:sz w:val="18"/>
                <w:szCs w:val="18"/>
                <w:lang w:eastAsia="sl-SI"/>
              </w:rPr>
            </w:pPr>
            <w:r w:rsidRPr="007F42D8">
              <w:rPr>
                <w:rFonts w:ascii="Calibri" w:hAnsi="Calibri"/>
                <w:color w:val="000000"/>
                <w:sz w:val="18"/>
                <w:szCs w:val="18"/>
                <w:lang w:eastAsia="sl-SI"/>
              </w:rPr>
              <w:t>213-Denarna sredstva</w:t>
            </w:r>
          </w:p>
        </w:tc>
        <w:tc>
          <w:tcPr>
            <w:tcW w:w="770" w:type="pct"/>
            <w:shd w:val="clear" w:color="auto" w:fill="auto"/>
            <w:noWrap/>
            <w:vAlign w:val="bottom"/>
          </w:tcPr>
          <w:p w:rsidR="00F83FBB" w:rsidRPr="00412299" w:rsidRDefault="00F83FBB"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2.381.329 </w:t>
            </w:r>
          </w:p>
        </w:tc>
        <w:tc>
          <w:tcPr>
            <w:tcW w:w="770" w:type="pct"/>
            <w:shd w:val="clear" w:color="auto" w:fill="auto"/>
            <w:noWrap/>
            <w:vAlign w:val="bottom"/>
            <w:hideMark/>
          </w:tcPr>
          <w:p w:rsidR="00F83FBB" w:rsidRPr="007F42D8" w:rsidRDefault="00F83FBB" w:rsidP="007F42D8">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2.364.568 </w:t>
            </w:r>
          </w:p>
        </w:tc>
        <w:tc>
          <w:tcPr>
            <w:tcW w:w="461" w:type="pct"/>
            <w:shd w:val="clear" w:color="auto" w:fill="auto"/>
            <w:noWrap/>
            <w:vAlign w:val="bottom"/>
            <w:hideMark/>
          </w:tcPr>
          <w:p w:rsidR="00F83FBB" w:rsidRPr="00412299" w:rsidRDefault="00F83FBB" w:rsidP="00382B0F">
            <w:pPr>
              <w:spacing w:line="240" w:lineRule="auto"/>
              <w:jc w:val="right"/>
              <w:rPr>
                <w:rFonts w:ascii="Calibri" w:hAnsi="Calibri"/>
                <w:color w:val="000000"/>
                <w:sz w:val="18"/>
                <w:szCs w:val="18"/>
                <w:lang w:eastAsia="sl-SI"/>
              </w:rPr>
            </w:pPr>
            <w:r w:rsidRPr="00972554">
              <w:rPr>
                <w:rFonts w:ascii="Calibri" w:hAnsi="Calibri"/>
                <w:sz w:val="18"/>
                <w:szCs w:val="18"/>
              </w:rPr>
              <w:t>100,71</w:t>
            </w:r>
          </w:p>
        </w:tc>
        <w:tc>
          <w:tcPr>
            <w:tcW w:w="653" w:type="pct"/>
            <w:shd w:val="clear" w:color="auto" w:fill="auto"/>
            <w:noWrap/>
            <w:vAlign w:val="bottom"/>
            <w:hideMark/>
          </w:tcPr>
          <w:p w:rsidR="00F83FBB" w:rsidRPr="00412299" w:rsidRDefault="00F83FBB"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16.761 </w:t>
            </w:r>
          </w:p>
        </w:tc>
      </w:tr>
      <w:tr w:rsidR="00F83FBB" w:rsidRPr="00D20C2C" w:rsidTr="00972554">
        <w:trPr>
          <w:trHeight w:val="300"/>
        </w:trPr>
        <w:tc>
          <w:tcPr>
            <w:tcW w:w="2346" w:type="pct"/>
            <w:shd w:val="clear" w:color="auto" w:fill="auto"/>
            <w:noWrap/>
            <w:vAlign w:val="bottom"/>
            <w:hideMark/>
          </w:tcPr>
          <w:p w:rsidR="00F83FBB" w:rsidRPr="007F42D8" w:rsidRDefault="00F83FBB" w:rsidP="007F42D8">
            <w:pPr>
              <w:spacing w:line="240" w:lineRule="auto"/>
              <w:rPr>
                <w:rFonts w:ascii="Calibri" w:hAnsi="Calibri"/>
                <w:color w:val="000000"/>
                <w:sz w:val="18"/>
                <w:szCs w:val="18"/>
                <w:lang w:eastAsia="sl-SI"/>
              </w:rPr>
            </w:pPr>
            <w:r w:rsidRPr="007F42D8">
              <w:rPr>
                <w:rFonts w:ascii="Calibri" w:hAnsi="Calibri"/>
                <w:color w:val="000000"/>
                <w:sz w:val="18"/>
                <w:szCs w:val="18"/>
                <w:lang w:eastAsia="sl-SI"/>
              </w:rPr>
              <w:t>214-Kratkoročne terjatve</w:t>
            </w:r>
          </w:p>
        </w:tc>
        <w:tc>
          <w:tcPr>
            <w:tcW w:w="770" w:type="pct"/>
            <w:shd w:val="clear" w:color="auto" w:fill="auto"/>
            <w:noWrap/>
            <w:vAlign w:val="bottom"/>
          </w:tcPr>
          <w:p w:rsidR="00F83FBB" w:rsidRPr="00412299" w:rsidRDefault="00F83FBB"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299.995.031 </w:t>
            </w:r>
          </w:p>
        </w:tc>
        <w:tc>
          <w:tcPr>
            <w:tcW w:w="770" w:type="pct"/>
            <w:shd w:val="clear" w:color="auto" w:fill="auto"/>
            <w:noWrap/>
            <w:vAlign w:val="bottom"/>
            <w:hideMark/>
          </w:tcPr>
          <w:p w:rsidR="00F83FBB" w:rsidRPr="007F42D8" w:rsidRDefault="00F83FBB" w:rsidP="007F42D8">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300.222.704 </w:t>
            </w:r>
          </w:p>
        </w:tc>
        <w:tc>
          <w:tcPr>
            <w:tcW w:w="461" w:type="pct"/>
            <w:shd w:val="clear" w:color="auto" w:fill="auto"/>
            <w:noWrap/>
            <w:vAlign w:val="bottom"/>
            <w:hideMark/>
          </w:tcPr>
          <w:p w:rsidR="00F83FBB" w:rsidRPr="00412299" w:rsidRDefault="00F83FBB" w:rsidP="00382B0F">
            <w:pPr>
              <w:spacing w:line="240" w:lineRule="auto"/>
              <w:jc w:val="right"/>
              <w:rPr>
                <w:rFonts w:ascii="Calibri" w:hAnsi="Calibri"/>
                <w:color w:val="000000"/>
                <w:sz w:val="18"/>
                <w:szCs w:val="18"/>
                <w:lang w:eastAsia="sl-SI"/>
              </w:rPr>
            </w:pPr>
            <w:r w:rsidRPr="00972554">
              <w:rPr>
                <w:rFonts w:ascii="Calibri" w:hAnsi="Calibri"/>
                <w:sz w:val="18"/>
                <w:szCs w:val="18"/>
              </w:rPr>
              <w:t>99,92</w:t>
            </w:r>
          </w:p>
        </w:tc>
        <w:tc>
          <w:tcPr>
            <w:tcW w:w="653" w:type="pct"/>
            <w:shd w:val="clear" w:color="auto" w:fill="auto"/>
            <w:noWrap/>
            <w:vAlign w:val="bottom"/>
            <w:hideMark/>
          </w:tcPr>
          <w:p w:rsidR="00F83FBB" w:rsidRPr="00412299" w:rsidRDefault="00F83FBB"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-227.673 </w:t>
            </w:r>
          </w:p>
        </w:tc>
      </w:tr>
      <w:tr w:rsidR="00F83FBB" w:rsidRPr="00D20C2C" w:rsidTr="00972554">
        <w:trPr>
          <w:trHeight w:val="300"/>
        </w:trPr>
        <w:tc>
          <w:tcPr>
            <w:tcW w:w="2346" w:type="pct"/>
            <w:tcBorders>
              <w:bottom w:val="single" w:sz="4" w:space="0" w:color="auto"/>
            </w:tcBorders>
            <w:shd w:val="clear" w:color="auto" w:fill="auto"/>
            <w:noWrap/>
            <w:vAlign w:val="bottom"/>
            <w:hideMark/>
          </w:tcPr>
          <w:p w:rsidR="00F83FBB" w:rsidRPr="007F42D8" w:rsidRDefault="00F83FBB" w:rsidP="007F42D8">
            <w:pPr>
              <w:spacing w:line="240" w:lineRule="auto"/>
              <w:rPr>
                <w:rFonts w:ascii="Calibri" w:hAnsi="Calibri"/>
                <w:color w:val="000000"/>
                <w:sz w:val="18"/>
                <w:szCs w:val="18"/>
                <w:lang w:eastAsia="sl-SI"/>
              </w:rPr>
            </w:pPr>
            <w:r w:rsidRPr="007F42D8">
              <w:rPr>
                <w:rFonts w:ascii="Calibri" w:hAnsi="Calibri"/>
                <w:color w:val="000000"/>
                <w:sz w:val="18"/>
                <w:szCs w:val="18"/>
                <w:lang w:eastAsia="sl-SI"/>
              </w:rPr>
              <w:t>215-Druge terjatve</w:t>
            </w:r>
          </w:p>
        </w:tc>
        <w:tc>
          <w:tcPr>
            <w:tcW w:w="770" w:type="pct"/>
            <w:tcBorders>
              <w:bottom w:val="single" w:sz="4" w:space="0" w:color="auto"/>
            </w:tcBorders>
            <w:shd w:val="clear" w:color="auto" w:fill="auto"/>
            <w:noWrap/>
            <w:vAlign w:val="bottom"/>
          </w:tcPr>
          <w:p w:rsidR="00F83FBB" w:rsidRPr="00412299" w:rsidRDefault="00F83FBB"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107.405.731 </w:t>
            </w:r>
          </w:p>
        </w:tc>
        <w:tc>
          <w:tcPr>
            <w:tcW w:w="770" w:type="pct"/>
            <w:tcBorders>
              <w:bottom w:val="single" w:sz="4" w:space="0" w:color="auto"/>
            </w:tcBorders>
            <w:shd w:val="clear" w:color="auto" w:fill="auto"/>
            <w:noWrap/>
            <w:vAlign w:val="bottom"/>
            <w:hideMark/>
          </w:tcPr>
          <w:p w:rsidR="00F83FBB" w:rsidRPr="007F42D8" w:rsidRDefault="00F83FBB" w:rsidP="007F42D8">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110.395.682 </w:t>
            </w:r>
          </w:p>
        </w:tc>
        <w:tc>
          <w:tcPr>
            <w:tcW w:w="461" w:type="pct"/>
            <w:tcBorders>
              <w:bottom w:val="single" w:sz="4" w:space="0" w:color="auto"/>
            </w:tcBorders>
            <w:shd w:val="clear" w:color="auto" w:fill="auto"/>
            <w:noWrap/>
            <w:vAlign w:val="bottom"/>
            <w:hideMark/>
          </w:tcPr>
          <w:p w:rsidR="00F83FBB" w:rsidRPr="00412299" w:rsidRDefault="00F83FBB" w:rsidP="00382B0F">
            <w:pPr>
              <w:spacing w:line="240" w:lineRule="auto"/>
              <w:jc w:val="right"/>
              <w:rPr>
                <w:rFonts w:ascii="Calibri" w:hAnsi="Calibri"/>
                <w:color w:val="000000"/>
                <w:sz w:val="18"/>
                <w:szCs w:val="18"/>
                <w:lang w:eastAsia="sl-SI"/>
              </w:rPr>
            </w:pPr>
            <w:r w:rsidRPr="00972554">
              <w:rPr>
                <w:rFonts w:ascii="Calibri" w:hAnsi="Calibri"/>
                <w:sz w:val="18"/>
                <w:szCs w:val="18"/>
              </w:rPr>
              <w:t>97,29</w:t>
            </w:r>
          </w:p>
        </w:tc>
        <w:tc>
          <w:tcPr>
            <w:tcW w:w="653" w:type="pct"/>
            <w:tcBorders>
              <w:bottom w:val="single" w:sz="4" w:space="0" w:color="auto"/>
            </w:tcBorders>
            <w:shd w:val="clear" w:color="auto" w:fill="auto"/>
            <w:noWrap/>
            <w:vAlign w:val="bottom"/>
            <w:hideMark/>
          </w:tcPr>
          <w:p w:rsidR="00F83FBB" w:rsidRPr="00412299" w:rsidRDefault="00F83FBB"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-2.989.951 </w:t>
            </w:r>
          </w:p>
        </w:tc>
      </w:tr>
      <w:tr w:rsidR="00F83FBB" w:rsidRPr="00D20C2C" w:rsidTr="00972554">
        <w:trPr>
          <w:trHeight w:val="300"/>
        </w:trPr>
        <w:tc>
          <w:tcPr>
            <w:tcW w:w="2346" w:type="pct"/>
            <w:shd w:val="clear" w:color="auto" w:fill="92D050"/>
            <w:noWrap/>
            <w:vAlign w:val="bottom"/>
            <w:hideMark/>
          </w:tcPr>
          <w:p w:rsidR="00F83FBB" w:rsidRPr="007F42D8" w:rsidRDefault="00F83FBB" w:rsidP="007F42D8">
            <w:pPr>
              <w:spacing w:line="240" w:lineRule="auto"/>
              <w:rPr>
                <w:rFonts w:ascii="Calibri" w:hAnsi="Calibri"/>
                <w:b/>
                <w:i/>
                <w:color w:val="000000"/>
                <w:sz w:val="18"/>
                <w:szCs w:val="18"/>
                <w:lang w:eastAsia="sl-SI"/>
              </w:rPr>
            </w:pPr>
            <w:r w:rsidRPr="007F42D8">
              <w:rPr>
                <w:rFonts w:ascii="Calibri" w:hAnsi="Calibri"/>
                <w:b/>
                <w:i/>
                <w:color w:val="000000"/>
                <w:sz w:val="18"/>
                <w:szCs w:val="18"/>
                <w:lang w:eastAsia="sl-SI"/>
              </w:rPr>
              <w:t>216-Skupaj aktiva</w:t>
            </w:r>
          </w:p>
        </w:tc>
        <w:tc>
          <w:tcPr>
            <w:tcW w:w="770" w:type="pct"/>
            <w:shd w:val="clear" w:color="auto" w:fill="92D050"/>
            <w:noWrap/>
            <w:vAlign w:val="bottom"/>
          </w:tcPr>
          <w:p w:rsidR="00F83FBB" w:rsidRPr="00412299" w:rsidRDefault="00F83FBB" w:rsidP="00382B0F">
            <w:pPr>
              <w:spacing w:line="240" w:lineRule="auto"/>
              <w:jc w:val="right"/>
              <w:rPr>
                <w:rFonts w:ascii="Calibri" w:hAnsi="Calibri"/>
                <w:b/>
                <w:i/>
                <w:color w:val="000000"/>
                <w:sz w:val="18"/>
                <w:szCs w:val="18"/>
                <w:lang w:eastAsia="sl-SI"/>
              </w:rPr>
            </w:pPr>
            <w:r w:rsidRPr="00972554">
              <w:rPr>
                <w:rFonts w:ascii="Calibri" w:hAnsi="Calibri"/>
                <w:b/>
                <w:i/>
                <w:color w:val="000000"/>
                <w:sz w:val="18"/>
                <w:szCs w:val="18"/>
                <w:lang w:eastAsia="sl-SI"/>
              </w:rPr>
              <w:t xml:space="preserve">4.377.668.796 </w:t>
            </w:r>
          </w:p>
        </w:tc>
        <w:tc>
          <w:tcPr>
            <w:tcW w:w="770" w:type="pct"/>
            <w:shd w:val="clear" w:color="auto" w:fill="92D050"/>
            <w:noWrap/>
            <w:vAlign w:val="bottom"/>
            <w:hideMark/>
          </w:tcPr>
          <w:p w:rsidR="00F83FBB" w:rsidRPr="007F42D8" w:rsidRDefault="00F83FBB" w:rsidP="007F42D8">
            <w:pPr>
              <w:spacing w:line="240" w:lineRule="auto"/>
              <w:jc w:val="right"/>
              <w:rPr>
                <w:rFonts w:ascii="Calibri" w:hAnsi="Calibri"/>
                <w:b/>
                <w:i/>
                <w:color w:val="000000"/>
                <w:sz w:val="18"/>
                <w:szCs w:val="18"/>
                <w:lang w:eastAsia="sl-SI"/>
              </w:rPr>
            </w:pPr>
            <w:r w:rsidRPr="000F6B5B">
              <w:rPr>
                <w:rFonts w:ascii="Calibri" w:hAnsi="Calibri"/>
                <w:b/>
                <w:i/>
                <w:color w:val="000000"/>
                <w:sz w:val="18"/>
                <w:szCs w:val="18"/>
                <w:lang w:eastAsia="sl-SI"/>
              </w:rPr>
              <w:t xml:space="preserve">4.401.534.110 </w:t>
            </w:r>
          </w:p>
        </w:tc>
        <w:tc>
          <w:tcPr>
            <w:tcW w:w="461" w:type="pct"/>
            <w:shd w:val="clear" w:color="auto" w:fill="92D050"/>
            <w:noWrap/>
            <w:vAlign w:val="bottom"/>
            <w:hideMark/>
          </w:tcPr>
          <w:p w:rsidR="00F83FBB" w:rsidRPr="00412299" w:rsidRDefault="00F83FBB" w:rsidP="00382B0F">
            <w:pPr>
              <w:spacing w:line="240" w:lineRule="auto"/>
              <w:jc w:val="right"/>
              <w:rPr>
                <w:rFonts w:ascii="Calibri" w:hAnsi="Calibri"/>
                <w:b/>
                <w:i/>
                <w:color w:val="000000"/>
                <w:sz w:val="18"/>
                <w:szCs w:val="18"/>
                <w:lang w:eastAsia="sl-SI"/>
              </w:rPr>
            </w:pPr>
            <w:r w:rsidRPr="00972554">
              <w:rPr>
                <w:rFonts w:ascii="Calibri" w:hAnsi="Calibri"/>
                <w:b/>
                <w:i/>
                <w:color w:val="000000"/>
                <w:sz w:val="18"/>
                <w:szCs w:val="18"/>
                <w:lang w:eastAsia="sl-SI"/>
              </w:rPr>
              <w:t>99,46</w:t>
            </w:r>
          </w:p>
        </w:tc>
        <w:tc>
          <w:tcPr>
            <w:tcW w:w="653" w:type="pct"/>
            <w:shd w:val="clear" w:color="auto" w:fill="92D050"/>
            <w:noWrap/>
            <w:vAlign w:val="bottom"/>
            <w:hideMark/>
          </w:tcPr>
          <w:p w:rsidR="00F83FBB" w:rsidRPr="00412299" w:rsidRDefault="00F83FBB" w:rsidP="00412299">
            <w:pPr>
              <w:spacing w:line="240" w:lineRule="auto"/>
              <w:jc w:val="right"/>
              <w:rPr>
                <w:rFonts w:ascii="Calibri" w:hAnsi="Calibri"/>
                <w:b/>
                <w:i/>
                <w:color w:val="000000"/>
                <w:sz w:val="18"/>
                <w:szCs w:val="18"/>
                <w:lang w:eastAsia="sl-SI"/>
              </w:rPr>
            </w:pPr>
            <w:r w:rsidRPr="00972554">
              <w:rPr>
                <w:rFonts w:ascii="Calibri" w:hAnsi="Calibri"/>
                <w:b/>
                <w:i/>
                <w:color w:val="000000"/>
                <w:sz w:val="18"/>
                <w:szCs w:val="18"/>
                <w:lang w:eastAsia="sl-SI"/>
              </w:rPr>
              <w:t xml:space="preserve">-23.865.314 </w:t>
            </w:r>
          </w:p>
        </w:tc>
      </w:tr>
      <w:tr w:rsidR="00F83FBB" w:rsidRPr="00D20C2C" w:rsidTr="00972554">
        <w:trPr>
          <w:trHeight w:val="300"/>
        </w:trPr>
        <w:tc>
          <w:tcPr>
            <w:tcW w:w="2346" w:type="pct"/>
            <w:shd w:val="clear" w:color="auto" w:fill="auto"/>
            <w:noWrap/>
            <w:vAlign w:val="bottom"/>
            <w:hideMark/>
          </w:tcPr>
          <w:p w:rsidR="00F83FBB" w:rsidRPr="007F42D8" w:rsidRDefault="00F83FBB" w:rsidP="008A7BCE">
            <w:pPr>
              <w:spacing w:line="240" w:lineRule="auto"/>
              <w:rPr>
                <w:rFonts w:ascii="Calibri" w:hAnsi="Calibri"/>
                <w:color w:val="000000"/>
                <w:sz w:val="18"/>
                <w:szCs w:val="18"/>
                <w:lang w:eastAsia="sl-SI"/>
              </w:rPr>
            </w:pPr>
            <w:r w:rsidRPr="007F42D8">
              <w:rPr>
                <w:rFonts w:ascii="Calibri" w:hAnsi="Calibri"/>
                <w:color w:val="000000"/>
                <w:sz w:val="18"/>
                <w:szCs w:val="18"/>
                <w:lang w:eastAsia="sl-SI"/>
              </w:rPr>
              <w:t>217-Splošni sklad</w:t>
            </w:r>
          </w:p>
        </w:tc>
        <w:tc>
          <w:tcPr>
            <w:tcW w:w="770" w:type="pct"/>
            <w:shd w:val="clear" w:color="auto" w:fill="auto"/>
            <w:noWrap/>
            <w:vAlign w:val="bottom"/>
          </w:tcPr>
          <w:p w:rsidR="00F83FBB" w:rsidRPr="00412299" w:rsidRDefault="00F83FBB"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186.904.343 </w:t>
            </w:r>
          </w:p>
        </w:tc>
        <w:tc>
          <w:tcPr>
            <w:tcW w:w="770" w:type="pct"/>
            <w:shd w:val="clear" w:color="auto" w:fill="auto"/>
            <w:noWrap/>
            <w:vAlign w:val="bottom"/>
            <w:hideMark/>
          </w:tcPr>
          <w:p w:rsidR="00F83FBB" w:rsidRPr="007F42D8" w:rsidRDefault="00F83FBB" w:rsidP="007F42D8">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173.367.967 </w:t>
            </w:r>
          </w:p>
        </w:tc>
        <w:tc>
          <w:tcPr>
            <w:tcW w:w="461" w:type="pct"/>
            <w:shd w:val="clear" w:color="auto" w:fill="auto"/>
            <w:noWrap/>
            <w:vAlign w:val="bottom"/>
            <w:hideMark/>
          </w:tcPr>
          <w:p w:rsidR="00F83FBB" w:rsidRPr="00412299" w:rsidRDefault="00F83FBB" w:rsidP="00382B0F">
            <w:pPr>
              <w:spacing w:line="240" w:lineRule="auto"/>
              <w:jc w:val="right"/>
              <w:rPr>
                <w:rFonts w:ascii="Calibri" w:hAnsi="Calibri"/>
                <w:color w:val="000000"/>
                <w:sz w:val="18"/>
                <w:szCs w:val="18"/>
                <w:lang w:eastAsia="sl-SI"/>
              </w:rPr>
            </w:pPr>
            <w:r w:rsidRPr="00972554">
              <w:rPr>
                <w:rFonts w:ascii="Calibri" w:hAnsi="Calibri"/>
                <w:sz w:val="18"/>
                <w:szCs w:val="18"/>
              </w:rPr>
              <w:t>107,81</w:t>
            </w:r>
          </w:p>
        </w:tc>
        <w:tc>
          <w:tcPr>
            <w:tcW w:w="653" w:type="pct"/>
            <w:shd w:val="clear" w:color="auto" w:fill="auto"/>
            <w:noWrap/>
            <w:vAlign w:val="bottom"/>
            <w:hideMark/>
          </w:tcPr>
          <w:p w:rsidR="00F83FBB" w:rsidRPr="00412299" w:rsidRDefault="00F83FBB"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13.536.376 </w:t>
            </w:r>
          </w:p>
        </w:tc>
      </w:tr>
      <w:tr w:rsidR="00F83FBB" w:rsidRPr="00D20C2C" w:rsidTr="00972554">
        <w:trPr>
          <w:trHeight w:val="300"/>
        </w:trPr>
        <w:tc>
          <w:tcPr>
            <w:tcW w:w="2346" w:type="pct"/>
            <w:shd w:val="clear" w:color="auto" w:fill="auto"/>
            <w:noWrap/>
            <w:vAlign w:val="bottom"/>
            <w:hideMark/>
          </w:tcPr>
          <w:p w:rsidR="00F83FBB" w:rsidRPr="007F42D8" w:rsidRDefault="00F83FBB" w:rsidP="007F42D8">
            <w:pPr>
              <w:spacing w:line="240" w:lineRule="auto"/>
              <w:rPr>
                <w:rFonts w:ascii="Calibri" w:hAnsi="Calibri"/>
                <w:color w:val="000000"/>
                <w:sz w:val="18"/>
                <w:szCs w:val="18"/>
                <w:lang w:eastAsia="sl-SI"/>
              </w:rPr>
            </w:pPr>
            <w:r w:rsidRPr="007F42D8">
              <w:rPr>
                <w:rFonts w:ascii="Calibri" w:hAnsi="Calibri"/>
                <w:color w:val="000000"/>
                <w:sz w:val="18"/>
                <w:szCs w:val="18"/>
                <w:lang w:eastAsia="sl-SI"/>
              </w:rPr>
              <w:t>218-Sklad premoženja v javnih skladih in drugih pravnih osebah javnega prava, ki je v njihovi lasti</w:t>
            </w:r>
          </w:p>
        </w:tc>
        <w:tc>
          <w:tcPr>
            <w:tcW w:w="770" w:type="pct"/>
            <w:shd w:val="clear" w:color="auto" w:fill="auto"/>
            <w:noWrap/>
            <w:vAlign w:val="bottom"/>
          </w:tcPr>
          <w:p w:rsidR="00F83FBB" w:rsidRPr="00412299" w:rsidRDefault="00F83FBB"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1.006.293.534 </w:t>
            </w:r>
          </w:p>
        </w:tc>
        <w:tc>
          <w:tcPr>
            <w:tcW w:w="770" w:type="pct"/>
            <w:shd w:val="clear" w:color="auto" w:fill="auto"/>
            <w:noWrap/>
            <w:vAlign w:val="bottom"/>
            <w:hideMark/>
          </w:tcPr>
          <w:p w:rsidR="00F83FBB" w:rsidRPr="007F42D8" w:rsidRDefault="00F83FBB" w:rsidP="007F42D8">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1.018.376.340 </w:t>
            </w:r>
          </w:p>
        </w:tc>
        <w:tc>
          <w:tcPr>
            <w:tcW w:w="461" w:type="pct"/>
            <w:shd w:val="clear" w:color="auto" w:fill="auto"/>
            <w:noWrap/>
            <w:vAlign w:val="bottom"/>
            <w:hideMark/>
          </w:tcPr>
          <w:p w:rsidR="00F83FBB" w:rsidRPr="00412299" w:rsidRDefault="00F83FBB" w:rsidP="00382B0F">
            <w:pPr>
              <w:spacing w:line="240" w:lineRule="auto"/>
              <w:jc w:val="right"/>
              <w:rPr>
                <w:rFonts w:ascii="Calibri" w:hAnsi="Calibri"/>
                <w:color w:val="000000"/>
                <w:sz w:val="18"/>
                <w:szCs w:val="18"/>
                <w:lang w:eastAsia="sl-SI"/>
              </w:rPr>
            </w:pPr>
            <w:r w:rsidRPr="00972554">
              <w:rPr>
                <w:rFonts w:ascii="Calibri" w:hAnsi="Calibri"/>
                <w:sz w:val="18"/>
                <w:szCs w:val="18"/>
              </w:rPr>
              <w:t>98,81</w:t>
            </w:r>
          </w:p>
        </w:tc>
        <w:tc>
          <w:tcPr>
            <w:tcW w:w="653" w:type="pct"/>
            <w:shd w:val="clear" w:color="auto" w:fill="auto"/>
            <w:noWrap/>
            <w:vAlign w:val="bottom"/>
            <w:hideMark/>
          </w:tcPr>
          <w:p w:rsidR="00F83FBB" w:rsidRPr="00412299" w:rsidRDefault="00F83FBB"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-12.082.806 </w:t>
            </w:r>
          </w:p>
        </w:tc>
      </w:tr>
      <w:tr w:rsidR="00F83FBB" w:rsidRPr="00D20C2C" w:rsidTr="00972554">
        <w:trPr>
          <w:trHeight w:val="300"/>
        </w:trPr>
        <w:tc>
          <w:tcPr>
            <w:tcW w:w="2346" w:type="pct"/>
            <w:shd w:val="clear" w:color="auto" w:fill="auto"/>
            <w:noWrap/>
            <w:vAlign w:val="bottom"/>
            <w:hideMark/>
          </w:tcPr>
          <w:p w:rsidR="00F83FBB" w:rsidRPr="007F42D8" w:rsidRDefault="00F83FBB" w:rsidP="007F42D8">
            <w:pPr>
              <w:spacing w:line="240" w:lineRule="auto"/>
              <w:rPr>
                <w:rFonts w:ascii="Calibri" w:hAnsi="Calibri"/>
                <w:color w:val="000000"/>
                <w:sz w:val="18"/>
                <w:szCs w:val="18"/>
                <w:lang w:eastAsia="sl-SI"/>
              </w:rPr>
            </w:pPr>
            <w:r w:rsidRPr="007F42D8">
              <w:rPr>
                <w:rFonts w:ascii="Calibri" w:hAnsi="Calibri"/>
                <w:color w:val="000000"/>
                <w:sz w:val="18"/>
                <w:szCs w:val="18"/>
                <w:lang w:eastAsia="sl-SI"/>
              </w:rPr>
              <w:t>219-Obveznosti za sredstva prejeta v upravljanje</w:t>
            </w:r>
          </w:p>
        </w:tc>
        <w:tc>
          <w:tcPr>
            <w:tcW w:w="770" w:type="pct"/>
            <w:shd w:val="clear" w:color="auto" w:fill="auto"/>
            <w:noWrap/>
            <w:vAlign w:val="bottom"/>
          </w:tcPr>
          <w:p w:rsidR="00F83FBB" w:rsidRPr="00412299" w:rsidRDefault="00F83FBB"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2.499.393.558 </w:t>
            </w:r>
          </w:p>
        </w:tc>
        <w:tc>
          <w:tcPr>
            <w:tcW w:w="770" w:type="pct"/>
            <w:shd w:val="clear" w:color="auto" w:fill="auto"/>
            <w:noWrap/>
            <w:vAlign w:val="bottom"/>
            <w:hideMark/>
          </w:tcPr>
          <w:p w:rsidR="00F83FBB" w:rsidRPr="007F42D8" w:rsidRDefault="00F83FBB" w:rsidP="007F42D8">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2.590.368.053 </w:t>
            </w:r>
          </w:p>
        </w:tc>
        <w:tc>
          <w:tcPr>
            <w:tcW w:w="461" w:type="pct"/>
            <w:shd w:val="clear" w:color="auto" w:fill="auto"/>
            <w:noWrap/>
            <w:vAlign w:val="bottom"/>
            <w:hideMark/>
          </w:tcPr>
          <w:p w:rsidR="00F83FBB" w:rsidRPr="00412299" w:rsidRDefault="00F83FBB" w:rsidP="00382B0F">
            <w:pPr>
              <w:spacing w:line="240" w:lineRule="auto"/>
              <w:jc w:val="right"/>
              <w:rPr>
                <w:rFonts w:ascii="Calibri" w:hAnsi="Calibri"/>
                <w:color w:val="000000"/>
                <w:sz w:val="18"/>
                <w:szCs w:val="18"/>
                <w:lang w:eastAsia="sl-SI"/>
              </w:rPr>
            </w:pPr>
            <w:r w:rsidRPr="00972554">
              <w:rPr>
                <w:rFonts w:ascii="Calibri" w:hAnsi="Calibri"/>
                <w:sz w:val="18"/>
                <w:szCs w:val="18"/>
              </w:rPr>
              <w:t>96,49</w:t>
            </w:r>
          </w:p>
        </w:tc>
        <w:tc>
          <w:tcPr>
            <w:tcW w:w="653" w:type="pct"/>
            <w:shd w:val="clear" w:color="auto" w:fill="auto"/>
            <w:noWrap/>
            <w:vAlign w:val="bottom"/>
            <w:hideMark/>
          </w:tcPr>
          <w:p w:rsidR="00F83FBB" w:rsidRPr="00412299" w:rsidRDefault="00F83FBB"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-90.974.495 </w:t>
            </w:r>
          </w:p>
        </w:tc>
      </w:tr>
      <w:tr w:rsidR="00F83FBB" w:rsidRPr="00D20C2C" w:rsidTr="00972554">
        <w:trPr>
          <w:trHeight w:val="300"/>
        </w:trPr>
        <w:tc>
          <w:tcPr>
            <w:tcW w:w="2346" w:type="pct"/>
            <w:shd w:val="clear" w:color="auto" w:fill="auto"/>
            <w:noWrap/>
            <w:vAlign w:val="bottom"/>
            <w:hideMark/>
          </w:tcPr>
          <w:p w:rsidR="00F83FBB" w:rsidRPr="007F42D8" w:rsidRDefault="00F83FBB" w:rsidP="007F42D8">
            <w:pPr>
              <w:spacing w:line="240" w:lineRule="auto"/>
              <w:rPr>
                <w:rFonts w:ascii="Calibri" w:hAnsi="Calibri"/>
                <w:color w:val="000000"/>
                <w:sz w:val="18"/>
                <w:szCs w:val="18"/>
                <w:lang w:eastAsia="sl-SI"/>
              </w:rPr>
            </w:pPr>
            <w:r w:rsidRPr="007F42D8">
              <w:rPr>
                <w:rFonts w:ascii="Calibri" w:hAnsi="Calibri"/>
                <w:color w:val="000000"/>
                <w:sz w:val="18"/>
                <w:szCs w:val="18"/>
                <w:lang w:eastAsia="sl-SI"/>
              </w:rPr>
              <w:t>220-Rezervni sklad</w:t>
            </w:r>
          </w:p>
        </w:tc>
        <w:tc>
          <w:tcPr>
            <w:tcW w:w="770" w:type="pct"/>
            <w:shd w:val="clear" w:color="auto" w:fill="auto"/>
            <w:noWrap/>
            <w:vAlign w:val="bottom"/>
          </w:tcPr>
          <w:p w:rsidR="00F83FBB" w:rsidRPr="00412299" w:rsidRDefault="00F83FBB"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34.173.584 </w:t>
            </w:r>
          </w:p>
        </w:tc>
        <w:tc>
          <w:tcPr>
            <w:tcW w:w="770" w:type="pct"/>
            <w:shd w:val="clear" w:color="auto" w:fill="auto"/>
            <w:noWrap/>
            <w:vAlign w:val="bottom"/>
            <w:hideMark/>
          </w:tcPr>
          <w:p w:rsidR="00F83FBB" w:rsidRPr="007F42D8" w:rsidRDefault="00F83FBB" w:rsidP="007F42D8">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36.485.974 </w:t>
            </w:r>
          </w:p>
        </w:tc>
        <w:tc>
          <w:tcPr>
            <w:tcW w:w="461" w:type="pct"/>
            <w:shd w:val="clear" w:color="auto" w:fill="auto"/>
            <w:noWrap/>
            <w:vAlign w:val="bottom"/>
            <w:hideMark/>
          </w:tcPr>
          <w:p w:rsidR="00F83FBB" w:rsidRPr="00412299" w:rsidRDefault="00F83FBB" w:rsidP="00382B0F">
            <w:pPr>
              <w:spacing w:line="240" w:lineRule="auto"/>
              <w:jc w:val="right"/>
              <w:rPr>
                <w:rFonts w:ascii="Calibri" w:hAnsi="Calibri"/>
                <w:color w:val="000000"/>
                <w:sz w:val="18"/>
                <w:szCs w:val="18"/>
                <w:lang w:eastAsia="sl-SI"/>
              </w:rPr>
            </w:pPr>
            <w:r w:rsidRPr="00972554">
              <w:rPr>
                <w:rFonts w:ascii="Calibri" w:hAnsi="Calibri"/>
                <w:sz w:val="18"/>
                <w:szCs w:val="18"/>
              </w:rPr>
              <w:t>93,66</w:t>
            </w:r>
          </w:p>
        </w:tc>
        <w:tc>
          <w:tcPr>
            <w:tcW w:w="653" w:type="pct"/>
            <w:shd w:val="clear" w:color="auto" w:fill="auto"/>
            <w:noWrap/>
            <w:vAlign w:val="bottom"/>
            <w:hideMark/>
          </w:tcPr>
          <w:p w:rsidR="00F83FBB" w:rsidRPr="00412299" w:rsidRDefault="00F83FBB"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-2.312.390 </w:t>
            </w:r>
          </w:p>
        </w:tc>
      </w:tr>
      <w:tr w:rsidR="00F83FBB" w:rsidRPr="00D20C2C" w:rsidTr="00972554">
        <w:trPr>
          <w:trHeight w:val="300"/>
        </w:trPr>
        <w:tc>
          <w:tcPr>
            <w:tcW w:w="2346" w:type="pct"/>
            <w:shd w:val="clear" w:color="auto" w:fill="auto"/>
            <w:noWrap/>
            <w:vAlign w:val="bottom"/>
            <w:hideMark/>
          </w:tcPr>
          <w:p w:rsidR="00F83FBB" w:rsidRPr="007F42D8" w:rsidRDefault="00F83FBB" w:rsidP="007F42D8">
            <w:pPr>
              <w:spacing w:line="240" w:lineRule="auto"/>
              <w:rPr>
                <w:rFonts w:ascii="Calibri" w:hAnsi="Calibri"/>
                <w:color w:val="000000"/>
                <w:sz w:val="18"/>
                <w:szCs w:val="18"/>
                <w:lang w:eastAsia="sl-SI"/>
              </w:rPr>
            </w:pPr>
            <w:r w:rsidRPr="007F42D8">
              <w:rPr>
                <w:rFonts w:ascii="Calibri" w:hAnsi="Calibri"/>
                <w:color w:val="000000"/>
                <w:sz w:val="18"/>
                <w:szCs w:val="18"/>
                <w:lang w:eastAsia="sl-SI"/>
              </w:rPr>
              <w:t>221-Dolgoročno prejeta posojila</w:t>
            </w:r>
          </w:p>
        </w:tc>
        <w:tc>
          <w:tcPr>
            <w:tcW w:w="770" w:type="pct"/>
            <w:shd w:val="clear" w:color="auto" w:fill="auto"/>
            <w:noWrap/>
            <w:vAlign w:val="bottom"/>
          </w:tcPr>
          <w:p w:rsidR="00F83FBB" w:rsidRPr="00412299" w:rsidRDefault="00F83FBB"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104.863.233 </w:t>
            </w:r>
          </w:p>
        </w:tc>
        <w:tc>
          <w:tcPr>
            <w:tcW w:w="770" w:type="pct"/>
            <w:shd w:val="clear" w:color="auto" w:fill="auto"/>
            <w:noWrap/>
            <w:vAlign w:val="bottom"/>
            <w:hideMark/>
          </w:tcPr>
          <w:p w:rsidR="00F83FBB" w:rsidRPr="007F42D8" w:rsidRDefault="00F83FBB" w:rsidP="007F42D8">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114.531.222 </w:t>
            </w:r>
          </w:p>
        </w:tc>
        <w:tc>
          <w:tcPr>
            <w:tcW w:w="461" w:type="pct"/>
            <w:shd w:val="clear" w:color="auto" w:fill="auto"/>
            <w:noWrap/>
            <w:vAlign w:val="bottom"/>
            <w:hideMark/>
          </w:tcPr>
          <w:p w:rsidR="00F83FBB" w:rsidRPr="00412299" w:rsidRDefault="00F83FBB" w:rsidP="00382B0F">
            <w:pPr>
              <w:spacing w:line="240" w:lineRule="auto"/>
              <w:jc w:val="right"/>
              <w:rPr>
                <w:rFonts w:ascii="Calibri" w:hAnsi="Calibri"/>
                <w:color w:val="000000"/>
                <w:sz w:val="18"/>
                <w:szCs w:val="18"/>
                <w:lang w:eastAsia="sl-SI"/>
              </w:rPr>
            </w:pPr>
            <w:r w:rsidRPr="00972554">
              <w:rPr>
                <w:rFonts w:ascii="Calibri" w:hAnsi="Calibri"/>
                <w:sz w:val="18"/>
                <w:szCs w:val="18"/>
              </w:rPr>
              <w:t>91,56</w:t>
            </w:r>
          </w:p>
        </w:tc>
        <w:tc>
          <w:tcPr>
            <w:tcW w:w="653" w:type="pct"/>
            <w:shd w:val="clear" w:color="auto" w:fill="auto"/>
            <w:noWrap/>
            <w:vAlign w:val="bottom"/>
            <w:hideMark/>
          </w:tcPr>
          <w:p w:rsidR="00F83FBB" w:rsidRPr="00412299" w:rsidRDefault="00F83FBB"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-9.667.989 </w:t>
            </w:r>
          </w:p>
        </w:tc>
      </w:tr>
      <w:tr w:rsidR="00F83FBB" w:rsidRPr="00D20C2C" w:rsidTr="00972554">
        <w:trPr>
          <w:trHeight w:val="300"/>
        </w:trPr>
        <w:tc>
          <w:tcPr>
            <w:tcW w:w="2346" w:type="pct"/>
            <w:shd w:val="clear" w:color="auto" w:fill="auto"/>
            <w:noWrap/>
            <w:vAlign w:val="bottom"/>
            <w:hideMark/>
          </w:tcPr>
          <w:p w:rsidR="00F83FBB" w:rsidRPr="007F42D8" w:rsidRDefault="00F83FBB" w:rsidP="007F42D8">
            <w:pPr>
              <w:spacing w:line="240" w:lineRule="auto"/>
              <w:rPr>
                <w:rFonts w:ascii="Calibri" w:hAnsi="Calibri"/>
                <w:color w:val="000000"/>
                <w:sz w:val="18"/>
                <w:szCs w:val="18"/>
                <w:lang w:eastAsia="sl-SI"/>
              </w:rPr>
            </w:pPr>
            <w:r w:rsidRPr="007F42D8">
              <w:rPr>
                <w:rFonts w:ascii="Calibri" w:hAnsi="Calibri"/>
                <w:color w:val="000000"/>
                <w:sz w:val="18"/>
                <w:szCs w:val="18"/>
                <w:lang w:eastAsia="sl-SI"/>
              </w:rPr>
              <w:t>222-Dolgoročne obveznosti iz poslovanja</w:t>
            </w:r>
          </w:p>
        </w:tc>
        <w:tc>
          <w:tcPr>
            <w:tcW w:w="770" w:type="pct"/>
            <w:shd w:val="clear" w:color="auto" w:fill="auto"/>
            <w:noWrap/>
            <w:vAlign w:val="bottom"/>
          </w:tcPr>
          <w:p w:rsidR="00F83FBB" w:rsidRPr="00412299" w:rsidRDefault="00F83FBB"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13.323.197 </w:t>
            </w:r>
          </w:p>
        </w:tc>
        <w:tc>
          <w:tcPr>
            <w:tcW w:w="770" w:type="pct"/>
            <w:shd w:val="clear" w:color="auto" w:fill="auto"/>
            <w:noWrap/>
            <w:vAlign w:val="bottom"/>
            <w:hideMark/>
          </w:tcPr>
          <w:p w:rsidR="00F83FBB" w:rsidRPr="007F42D8" w:rsidRDefault="00F83FBB" w:rsidP="007F42D8">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11.815.951 </w:t>
            </w:r>
          </w:p>
        </w:tc>
        <w:tc>
          <w:tcPr>
            <w:tcW w:w="461" w:type="pct"/>
            <w:shd w:val="clear" w:color="auto" w:fill="auto"/>
            <w:noWrap/>
            <w:vAlign w:val="bottom"/>
            <w:hideMark/>
          </w:tcPr>
          <w:p w:rsidR="00F83FBB" w:rsidRPr="00412299" w:rsidRDefault="00F83FBB" w:rsidP="00382B0F">
            <w:pPr>
              <w:spacing w:line="240" w:lineRule="auto"/>
              <w:jc w:val="right"/>
              <w:rPr>
                <w:rFonts w:ascii="Calibri" w:hAnsi="Calibri"/>
                <w:color w:val="000000"/>
                <w:sz w:val="18"/>
                <w:szCs w:val="18"/>
                <w:lang w:eastAsia="sl-SI"/>
              </w:rPr>
            </w:pPr>
            <w:r w:rsidRPr="00972554">
              <w:rPr>
                <w:rFonts w:ascii="Calibri" w:hAnsi="Calibri"/>
                <w:sz w:val="18"/>
                <w:szCs w:val="18"/>
              </w:rPr>
              <w:t>112,76</w:t>
            </w:r>
          </w:p>
        </w:tc>
        <w:tc>
          <w:tcPr>
            <w:tcW w:w="653" w:type="pct"/>
            <w:shd w:val="clear" w:color="auto" w:fill="auto"/>
            <w:noWrap/>
            <w:vAlign w:val="bottom"/>
            <w:hideMark/>
          </w:tcPr>
          <w:p w:rsidR="00F83FBB" w:rsidRPr="00412299" w:rsidRDefault="00F83FBB"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1.507.246 </w:t>
            </w:r>
          </w:p>
        </w:tc>
      </w:tr>
      <w:tr w:rsidR="00F83FBB" w:rsidRPr="00D20C2C" w:rsidTr="00972554">
        <w:trPr>
          <w:trHeight w:val="300"/>
        </w:trPr>
        <w:tc>
          <w:tcPr>
            <w:tcW w:w="2346" w:type="pct"/>
            <w:shd w:val="clear" w:color="auto" w:fill="auto"/>
            <w:noWrap/>
            <w:vAlign w:val="bottom"/>
            <w:hideMark/>
          </w:tcPr>
          <w:p w:rsidR="00F83FBB" w:rsidRPr="007F42D8" w:rsidRDefault="00F83FBB" w:rsidP="007F42D8">
            <w:pPr>
              <w:spacing w:line="240" w:lineRule="auto"/>
              <w:rPr>
                <w:rFonts w:ascii="Calibri" w:hAnsi="Calibri"/>
                <w:color w:val="000000"/>
                <w:sz w:val="18"/>
                <w:szCs w:val="18"/>
                <w:lang w:eastAsia="sl-SI"/>
              </w:rPr>
            </w:pPr>
            <w:r w:rsidRPr="007F42D8">
              <w:rPr>
                <w:rFonts w:ascii="Calibri" w:hAnsi="Calibri"/>
                <w:color w:val="000000"/>
                <w:sz w:val="18"/>
                <w:szCs w:val="18"/>
                <w:lang w:eastAsia="sl-SI"/>
              </w:rPr>
              <w:t>223-Kratkoročne obveznosti</w:t>
            </w:r>
          </w:p>
        </w:tc>
        <w:tc>
          <w:tcPr>
            <w:tcW w:w="770" w:type="pct"/>
            <w:shd w:val="clear" w:color="auto" w:fill="auto"/>
            <w:noWrap/>
            <w:vAlign w:val="bottom"/>
          </w:tcPr>
          <w:p w:rsidR="00F83FBB" w:rsidRPr="00412299" w:rsidRDefault="00F83FBB"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510.085.101 </w:t>
            </w:r>
          </w:p>
        </w:tc>
        <w:tc>
          <w:tcPr>
            <w:tcW w:w="770" w:type="pct"/>
            <w:shd w:val="clear" w:color="auto" w:fill="auto"/>
            <w:noWrap/>
            <w:vAlign w:val="bottom"/>
            <w:hideMark/>
          </w:tcPr>
          <w:p w:rsidR="00F83FBB" w:rsidRPr="007F42D8" w:rsidRDefault="00F83FBB" w:rsidP="007F42D8">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451.556.765 </w:t>
            </w:r>
          </w:p>
        </w:tc>
        <w:tc>
          <w:tcPr>
            <w:tcW w:w="461" w:type="pct"/>
            <w:shd w:val="clear" w:color="auto" w:fill="auto"/>
            <w:noWrap/>
            <w:vAlign w:val="bottom"/>
            <w:hideMark/>
          </w:tcPr>
          <w:p w:rsidR="00F83FBB" w:rsidRPr="00412299" w:rsidRDefault="00F83FBB" w:rsidP="00382B0F">
            <w:pPr>
              <w:spacing w:line="240" w:lineRule="auto"/>
              <w:jc w:val="right"/>
              <w:rPr>
                <w:rFonts w:ascii="Calibri" w:hAnsi="Calibri"/>
                <w:color w:val="000000"/>
                <w:sz w:val="18"/>
                <w:szCs w:val="18"/>
                <w:lang w:eastAsia="sl-SI"/>
              </w:rPr>
            </w:pPr>
            <w:r w:rsidRPr="00972554">
              <w:rPr>
                <w:rFonts w:ascii="Calibri" w:hAnsi="Calibri"/>
                <w:sz w:val="18"/>
                <w:szCs w:val="18"/>
              </w:rPr>
              <w:t>112,96</w:t>
            </w:r>
          </w:p>
        </w:tc>
        <w:tc>
          <w:tcPr>
            <w:tcW w:w="653" w:type="pct"/>
            <w:shd w:val="clear" w:color="auto" w:fill="auto"/>
            <w:noWrap/>
            <w:vAlign w:val="bottom"/>
            <w:hideMark/>
          </w:tcPr>
          <w:p w:rsidR="00F83FBB" w:rsidRPr="00412299" w:rsidRDefault="00F83FBB"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58.528.336 </w:t>
            </w:r>
          </w:p>
        </w:tc>
      </w:tr>
      <w:tr w:rsidR="00F83FBB" w:rsidRPr="00D20C2C" w:rsidTr="00972554">
        <w:trPr>
          <w:trHeight w:val="300"/>
        </w:trPr>
        <w:tc>
          <w:tcPr>
            <w:tcW w:w="2346" w:type="pct"/>
            <w:tcBorders>
              <w:bottom w:val="single" w:sz="4" w:space="0" w:color="auto"/>
            </w:tcBorders>
            <w:shd w:val="clear" w:color="auto" w:fill="auto"/>
            <w:noWrap/>
            <w:vAlign w:val="bottom"/>
            <w:hideMark/>
          </w:tcPr>
          <w:p w:rsidR="00F83FBB" w:rsidRPr="007F42D8" w:rsidRDefault="00F83FBB" w:rsidP="007F42D8">
            <w:pPr>
              <w:spacing w:line="240" w:lineRule="auto"/>
              <w:rPr>
                <w:rFonts w:ascii="Calibri" w:hAnsi="Calibri"/>
                <w:color w:val="000000"/>
                <w:sz w:val="18"/>
                <w:szCs w:val="18"/>
                <w:lang w:eastAsia="sl-SI"/>
              </w:rPr>
            </w:pPr>
            <w:r w:rsidRPr="007F42D8">
              <w:rPr>
                <w:rFonts w:ascii="Calibri" w:hAnsi="Calibri"/>
                <w:color w:val="000000"/>
                <w:sz w:val="18"/>
                <w:szCs w:val="18"/>
                <w:lang w:eastAsia="sl-SI"/>
              </w:rPr>
              <w:t>224-Druge obveznosti</w:t>
            </w:r>
          </w:p>
        </w:tc>
        <w:tc>
          <w:tcPr>
            <w:tcW w:w="770" w:type="pct"/>
            <w:tcBorders>
              <w:bottom w:val="single" w:sz="4" w:space="0" w:color="auto"/>
            </w:tcBorders>
            <w:shd w:val="clear" w:color="auto" w:fill="auto"/>
            <w:noWrap/>
            <w:vAlign w:val="bottom"/>
          </w:tcPr>
          <w:p w:rsidR="00F83FBB" w:rsidRPr="00116FC1" w:rsidRDefault="00F83FBB"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22.632.246 </w:t>
            </w:r>
          </w:p>
        </w:tc>
        <w:tc>
          <w:tcPr>
            <w:tcW w:w="770" w:type="pct"/>
            <w:tcBorders>
              <w:bottom w:val="single" w:sz="4" w:space="0" w:color="auto"/>
            </w:tcBorders>
            <w:shd w:val="clear" w:color="auto" w:fill="auto"/>
            <w:noWrap/>
            <w:vAlign w:val="bottom"/>
            <w:hideMark/>
          </w:tcPr>
          <w:p w:rsidR="00F83FBB" w:rsidRPr="007F42D8" w:rsidRDefault="00F83FBB" w:rsidP="007F42D8">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5.031.838 </w:t>
            </w:r>
          </w:p>
        </w:tc>
        <w:tc>
          <w:tcPr>
            <w:tcW w:w="461" w:type="pct"/>
            <w:tcBorders>
              <w:bottom w:val="single" w:sz="4" w:space="0" w:color="auto"/>
            </w:tcBorders>
            <w:shd w:val="clear" w:color="auto" w:fill="auto"/>
            <w:noWrap/>
            <w:vAlign w:val="bottom"/>
            <w:hideMark/>
          </w:tcPr>
          <w:p w:rsidR="00F83FBB" w:rsidRPr="00412299" w:rsidRDefault="00F83FBB" w:rsidP="00382B0F">
            <w:pPr>
              <w:spacing w:line="240" w:lineRule="auto"/>
              <w:jc w:val="right"/>
              <w:rPr>
                <w:rFonts w:ascii="Calibri" w:hAnsi="Calibri"/>
                <w:color w:val="000000"/>
                <w:sz w:val="18"/>
                <w:szCs w:val="18"/>
                <w:lang w:eastAsia="sl-SI"/>
              </w:rPr>
            </w:pPr>
            <w:r w:rsidRPr="00972554">
              <w:rPr>
                <w:rFonts w:ascii="Calibri" w:hAnsi="Calibri"/>
                <w:sz w:val="18"/>
                <w:szCs w:val="18"/>
              </w:rPr>
              <w:t>449,78</w:t>
            </w:r>
          </w:p>
        </w:tc>
        <w:tc>
          <w:tcPr>
            <w:tcW w:w="653" w:type="pct"/>
            <w:tcBorders>
              <w:bottom w:val="single" w:sz="4" w:space="0" w:color="auto"/>
            </w:tcBorders>
            <w:shd w:val="clear" w:color="auto" w:fill="auto"/>
            <w:noWrap/>
            <w:vAlign w:val="bottom"/>
            <w:hideMark/>
          </w:tcPr>
          <w:p w:rsidR="00F83FBB" w:rsidRPr="00412299" w:rsidRDefault="00F83FBB"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17.600.408 </w:t>
            </w:r>
          </w:p>
        </w:tc>
      </w:tr>
      <w:tr w:rsidR="00F83FBB" w:rsidRPr="00D20C2C" w:rsidTr="00972554">
        <w:trPr>
          <w:trHeight w:val="300"/>
        </w:trPr>
        <w:tc>
          <w:tcPr>
            <w:tcW w:w="2346" w:type="pct"/>
            <w:shd w:val="clear" w:color="auto" w:fill="92D050"/>
            <w:noWrap/>
            <w:vAlign w:val="bottom"/>
            <w:hideMark/>
          </w:tcPr>
          <w:p w:rsidR="00F83FBB" w:rsidRPr="007F42D8" w:rsidRDefault="00F83FBB" w:rsidP="007F42D8">
            <w:pPr>
              <w:spacing w:line="240" w:lineRule="auto"/>
              <w:rPr>
                <w:rFonts w:ascii="Calibri" w:hAnsi="Calibri"/>
                <w:b/>
                <w:i/>
                <w:color w:val="000000"/>
                <w:sz w:val="18"/>
                <w:szCs w:val="18"/>
                <w:lang w:eastAsia="sl-SI"/>
              </w:rPr>
            </w:pPr>
            <w:r w:rsidRPr="007F42D8">
              <w:rPr>
                <w:rFonts w:ascii="Calibri" w:hAnsi="Calibri"/>
                <w:b/>
                <w:i/>
                <w:color w:val="000000"/>
                <w:sz w:val="18"/>
                <w:szCs w:val="18"/>
                <w:lang w:eastAsia="sl-SI"/>
              </w:rPr>
              <w:t>225-Skupaj pasiva</w:t>
            </w:r>
          </w:p>
        </w:tc>
        <w:tc>
          <w:tcPr>
            <w:tcW w:w="770" w:type="pct"/>
            <w:shd w:val="clear" w:color="auto" w:fill="92D050"/>
            <w:noWrap/>
            <w:vAlign w:val="bottom"/>
          </w:tcPr>
          <w:p w:rsidR="00F83FBB" w:rsidRPr="00412299" w:rsidRDefault="00F83FBB" w:rsidP="00382B0F">
            <w:pPr>
              <w:spacing w:line="240" w:lineRule="auto"/>
              <w:jc w:val="right"/>
              <w:rPr>
                <w:rFonts w:ascii="Calibri" w:hAnsi="Calibri"/>
                <w:b/>
                <w:i/>
                <w:color w:val="000000"/>
                <w:sz w:val="18"/>
                <w:szCs w:val="18"/>
                <w:lang w:eastAsia="sl-SI"/>
              </w:rPr>
            </w:pPr>
            <w:r w:rsidRPr="00972554">
              <w:rPr>
                <w:rFonts w:ascii="Calibri" w:hAnsi="Calibri"/>
                <w:b/>
                <w:i/>
                <w:color w:val="000000"/>
                <w:sz w:val="18"/>
                <w:szCs w:val="18"/>
                <w:lang w:eastAsia="sl-SI"/>
              </w:rPr>
              <w:t xml:space="preserve">4.377.668.796 </w:t>
            </w:r>
          </w:p>
        </w:tc>
        <w:tc>
          <w:tcPr>
            <w:tcW w:w="770" w:type="pct"/>
            <w:shd w:val="clear" w:color="auto" w:fill="92D050"/>
            <w:noWrap/>
            <w:vAlign w:val="bottom"/>
            <w:hideMark/>
          </w:tcPr>
          <w:p w:rsidR="00F83FBB" w:rsidRPr="007F42D8" w:rsidRDefault="00F83FBB" w:rsidP="007F42D8">
            <w:pPr>
              <w:spacing w:line="240" w:lineRule="auto"/>
              <w:jc w:val="right"/>
              <w:rPr>
                <w:rFonts w:ascii="Calibri" w:hAnsi="Calibri"/>
                <w:b/>
                <w:i/>
                <w:color w:val="000000"/>
                <w:sz w:val="18"/>
                <w:szCs w:val="18"/>
                <w:lang w:eastAsia="sl-SI"/>
              </w:rPr>
            </w:pPr>
            <w:r w:rsidRPr="000F6B5B">
              <w:rPr>
                <w:rFonts w:ascii="Calibri" w:hAnsi="Calibri"/>
                <w:b/>
                <w:i/>
                <w:color w:val="000000"/>
                <w:sz w:val="18"/>
                <w:szCs w:val="18"/>
                <w:lang w:eastAsia="sl-SI"/>
              </w:rPr>
              <w:t xml:space="preserve">4.401.534.110 </w:t>
            </w:r>
          </w:p>
        </w:tc>
        <w:tc>
          <w:tcPr>
            <w:tcW w:w="461" w:type="pct"/>
            <w:shd w:val="clear" w:color="auto" w:fill="92D050"/>
            <w:noWrap/>
            <w:vAlign w:val="bottom"/>
            <w:hideMark/>
          </w:tcPr>
          <w:p w:rsidR="00F83FBB" w:rsidRPr="00412299" w:rsidRDefault="00F83FBB" w:rsidP="00382B0F">
            <w:pPr>
              <w:spacing w:line="240" w:lineRule="auto"/>
              <w:jc w:val="right"/>
              <w:rPr>
                <w:rFonts w:ascii="Calibri" w:hAnsi="Calibri"/>
                <w:b/>
                <w:i/>
                <w:color w:val="000000"/>
                <w:sz w:val="18"/>
                <w:szCs w:val="18"/>
                <w:lang w:eastAsia="sl-SI"/>
              </w:rPr>
            </w:pPr>
            <w:r w:rsidRPr="00972554">
              <w:rPr>
                <w:rFonts w:ascii="Calibri" w:hAnsi="Calibri"/>
                <w:b/>
                <w:i/>
                <w:color w:val="000000"/>
                <w:sz w:val="18"/>
                <w:szCs w:val="18"/>
                <w:lang w:eastAsia="sl-SI"/>
              </w:rPr>
              <w:t>99,46</w:t>
            </w:r>
          </w:p>
        </w:tc>
        <w:tc>
          <w:tcPr>
            <w:tcW w:w="653" w:type="pct"/>
            <w:shd w:val="clear" w:color="auto" w:fill="92D050"/>
            <w:noWrap/>
            <w:vAlign w:val="bottom"/>
            <w:hideMark/>
          </w:tcPr>
          <w:p w:rsidR="00F83FBB" w:rsidRPr="00412299" w:rsidRDefault="00F83FBB" w:rsidP="00412299">
            <w:pPr>
              <w:spacing w:line="240" w:lineRule="auto"/>
              <w:jc w:val="right"/>
              <w:rPr>
                <w:rFonts w:ascii="Calibri" w:hAnsi="Calibri"/>
                <w:b/>
                <w:i/>
                <w:color w:val="000000"/>
                <w:sz w:val="18"/>
                <w:szCs w:val="18"/>
                <w:lang w:eastAsia="sl-SI"/>
              </w:rPr>
            </w:pPr>
            <w:r w:rsidRPr="00972554">
              <w:rPr>
                <w:rFonts w:ascii="Calibri" w:hAnsi="Calibri"/>
                <w:b/>
                <w:i/>
                <w:color w:val="000000"/>
                <w:sz w:val="18"/>
                <w:szCs w:val="18"/>
                <w:lang w:eastAsia="sl-SI"/>
              </w:rPr>
              <w:t xml:space="preserve">-23.865.314 </w:t>
            </w:r>
          </w:p>
        </w:tc>
      </w:tr>
    </w:tbl>
    <w:p w:rsidR="007F42D8" w:rsidRPr="007F42D8" w:rsidRDefault="007F42D8" w:rsidP="007F42D8"/>
    <w:p w:rsidR="00F5346C" w:rsidRDefault="00F5346C" w:rsidP="00F5346C">
      <w:r>
        <w:t xml:space="preserve">Analiza premoženja PPU državnega proračuna, ki je predstavljena v </w:t>
      </w:r>
      <w:r w:rsidR="00446FAE">
        <w:fldChar w:fldCharType="begin"/>
      </w:r>
      <w:r w:rsidR="00446FAE">
        <w:instrText xml:space="preserve"> REF _Ref390073693 \h </w:instrText>
      </w:r>
      <w:r w:rsidR="00446FAE">
        <w:fldChar w:fldCharType="separate"/>
      </w:r>
      <w:r w:rsidR="00CE55C4">
        <w:t xml:space="preserve">Tabela </w:t>
      </w:r>
      <w:r w:rsidR="00CE55C4">
        <w:rPr>
          <w:noProof/>
        </w:rPr>
        <w:t>12</w:t>
      </w:r>
      <w:r w:rsidR="00446FAE">
        <w:fldChar w:fldCharType="end"/>
      </w:r>
      <w:r w:rsidR="00446FAE">
        <w:t xml:space="preserve"> </w:t>
      </w:r>
      <w:r>
        <w:t xml:space="preserve">prikazuje število PU glede </w:t>
      </w:r>
      <w:proofErr w:type="gramStart"/>
      <w:r>
        <w:t>na</w:t>
      </w:r>
      <w:proofErr w:type="gramEnd"/>
      <w:r>
        <w:t xml:space="preserve"> vrednost bilančne vsote (razdeljena v 4 razrede) na dan 31.12.201</w:t>
      </w:r>
      <w:r w:rsidR="00BE6414">
        <w:t>8</w:t>
      </w:r>
      <w:r w:rsidR="0053047D">
        <w:t>.</w:t>
      </w:r>
    </w:p>
    <w:p w:rsidR="00F5346C" w:rsidRDefault="00F5346C" w:rsidP="00F5346C">
      <w:pPr>
        <w:pStyle w:val="Caption"/>
      </w:pPr>
    </w:p>
    <w:p w:rsidR="00F5346C" w:rsidRDefault="00F5346C" w:rsidP="00C97006">
      <w:pPr>
        <w:pStyle w:val="Caption"/>
      </w:pPr>
      <w:bookmarkStart w:id="78" w:name="_Ref390073693"/>
      <w:bookmarkStart w:id="79" w:name="_Toc49771334"/>
      <w:r>
        <w:t xml:space="preserve">Tabela </w:t>
      </w:r>
      <w:r>
        <w:fldChar w:fldCharType="begin"/>
      </w:r>
      <w:r>
        <w:instrText xml:space="preserve"> SEQ Tabela \* ARABIC </w:instrText>
      </w:r>
      <w:r>
        <w:fldChar w:fldCharType="separate"/>
      </w:r>
      <w:r w:rsidR="00CE55C4">
        <w:rPr>
          <w:noProof/>
        </w:rPr>
        <w:t>12</w:t>
      </w:r>
      <w:r>
        <w:fldChar w:fldCharType="end"/>
      </w:r>
      <w:bookmarkEnd w:id="78"/>
      <w:r>
        <w:t xml:space="preserve">: Število PPU državnega proračuna glede </w:t>
      </w:r>
      <w:proofErr w:type="gramStart"/>
      <w:r>
        <w:t>na</w:t>
      </w:r>
      <w:proofErr w:type="gramEnd"/>
      <w:r>
        <w:t xml:space="preserve"> vrednost bilančne vsote na dan 31.12.201</w:t>
      </w:r>
      <w:r w:rsidR="00BE6414">
        <w:t>8</w:t>
      </w:r>
      <w:bookmarkEnd w:id="7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387"/>
        <w:gridCol w:w="2090"/>
      </w:tblGrid>
      <w:tr w:rsidR="00F5346C" w:rsidRPr="008C7D08" w:rsidTr="009E39EA">
        <w:trPr>
          <w:tblHeader/>
        </w:trPr>
        <w:tc>
          <w:tcPr>
            <w:tcW w:w="1809" w:type="dxa"/>
            <w:shd w:val="pct25" w:color="auto" w:fill="auto"/>
          </w:tcPr>
          <w:p w:rsidR="00F5346C" w:rsidRPr="008C7D08" w:rsidRDefault="00F5346C" w:rsidP="003B58A5">
            <w:pPr>
              <w:jc w:val="center"/>
              <w:rPr>
                <w:rFonts w:cs="Arial"/>
                <w:b/>
                <w:color w:val="000000"/>
                <w:sz w:val="18"/>
                <w:szCs w:val="18"/>
              </w:rPr>
            </w:pPr>
            <w:r w:rsidRPr="008C7D08">
              <w:rPr>
                <w:rFonts w:cs="Arial"/>
                <w:b/>
                <w:color w:val="000000"/>
                <w:sz w:val="18"/>
                <w:szCs w:val="18"/>
              </w:rPr>
              <w:t>Razred</w:t>
            </w:r>
          </w:p>
        </w:tc>
        <w:tc>
          <w:tcPr>
            <w:tcW w:w="5387" w:type="dxa"/>
            <w:shd w:val="pct25" w:color="auto" w:fill="auto"/>
            <w:vAlign w:val="bottom"/>
          </w:tcPr>
          <w:p w:rsidR="00F5346C" w:rsidRPr="008C7D08" w:rsidRDefault="00F5346C" w:rsidP="003B58A5">
            <w:pPr>
              <w:jc w:val="center"/>
              <w:rPr>
                <w:rFonts w:cs="Arial"/>
                <w:b/>
                <w:color w:val="000000"/>
                <w:sz w:val="18"/>
                <w:szCs w:val="18"/>
              </w:rPr>
            </w:pPr>
            <w:r w:rsidRPr="008C7D08">
              <w:rPr>
                <w:rFonts w:cs="Arial"/>
                <w:b/>
                <w:color w:val="000000"/>
                <w:sz w:val="18"/>
                <w:szCs w:val="18"/>
              </w:rPr>
              <w:t>Znesek bilanč</w:t>
            </w:r>
            <w:r>
              <w:rPr>
                <w:rFonts w:cs="Arial"/>
                <w:b/>
                <w:color w:val="000000"/>
                <w:sz w:val="18"/>
                <w:szCs w:val="18"/>
              </w:rPr>
              <w:t>n</w:t>
            </w:r>
            <w:r w:rsidRPr="008C7D08">
              <w:rPr>
                <w:rFonts w:cs="Arial"/>
                <w:b/>
                <w:color w:val="000000"/>
                <w:sz w:val="18"/>
                <w:szCs w:val="18"/>
              </w:rPr>
              <w:t xml:space="preserve">e vsote </w:t>
            </w:r>
            <w:r w:rsidR="006932B0">
              <w:rPr>
                <w:rFonts w:cs="Arial"/>
                <w:b/>
                <w:color w:val="000000"/>
                <w:sz w:val="18"/>
                <w:szCs w:val="18"/>
              </w:rPr>
              <w:t>(</w:t>
            </w:r>
            <w:r w:rsidR="00317809">
              <w:rPr>
                <w:rFonts w:cs="Arial"/>
                <w:b/>
                <w:color w:val="000000"/>
                <w:sz w:val="18"/>
                <w:szCs w:val="18"/>
              </w:rPr>
              <w:t>€</w:t>
            </w:r>
            <w:r w:rsidR="006932B0">
              <w:rPr>
                <w:rFonts w:cs="Arial"/>
                <w:b/>
                <w:color w:val="000000"/>
                <w:sz w:val="18"/>
                <w:szCs w:val="18"/>
              </w:rPr>
              <w:t>)</w:t>
            </w:r>
          </w:p>
        </w:tc>
        <w:tc>
          <w:tcPr>
            <w:tcW w:w="2090" w:type="dxa"/>
            <w:shd w:val="pct25" w:color="auto" w:fill="auto"/>
            <w:vAlign w:val="bottom"/>
          </w:tcPr>
          <w:p w:rsidR="00F5346C" w:rsidRPr="008C7D08" w:rsidRDefault="00F5346C" w:rsidP="00681D0E">
            <w:pPr>
              <w:jc w:val="center"/>
              <w:rPr>
                <w:rFonts w:cs="Arial"/>
                <w:b/>
                <w:color w:val="000000"/>
                <w:sz w:val="18"/>
                <w:szCs w:val="18"/>
              </w:rPr>
            </w:pPr>
            <w:r>
              <w:rPr>
                <w:rFonts w:cs="Arial"/>
                <w:b/>
                <w:color w:val="000000"/>
                <w:sz w:val="18"/>
                <w:szCs w:val="18"/>
              </w:rPr>
              <w:t xml:space="preserve">Število </w:t>
            </w:r>
            <w:r w:rsidR="00A03F3A">
              <w:rPr>
                <w:rFonts w:cs="Arial"/>
                <w:b/>
                <w:color w:val="000000"/>
                <w:sz w:val="18"/>
                <w:szCs w:val="18"/>
              </w:rPr>
              <w:t>P</w:t>
            </w:r>
            <w:r>
              <w:rPr>
                <w:rFonts w:cs="Arial"/>
                <w:b/>
                <w:color w:val="000000"/>
                <w:sz w:val="18"/>
                <w:szCs w:val="18"/>
              </w:rPr>
              <w:t>PU</w:t>
            </w:r>
            <w:r w:rsidR="0098351D">
              <w:rPr>
                <w:rFonts w:cs="Arial"/>
                <w:b/>
                <w:color w:val="000000"/>
                <w:sz w:val="18"/>
                <w:szCs w:val="18"/>
              </w:rPr>
              <w:t xml:space="preserve"> (∑ </w:t>
            </w:r>
            <w:r w:rsidR="0020290F">
              <w:rPr>
                <w:rFonts w:cs="Arial"/>
                <w:b/>
                <w:color w:val="000000"/>
                <w:sz w:val="18"/>
                <w:szCs w:val="18"/>
              </w:rPr>
              <w:t>4</w:t>
            </w:r>
            <w:r w:rsidR="00BE6414">
              <w:rPr>
                <w:rFonts w:cs="Arial"/>
                <w:b/>
                <w:color w:val="000000"/>
                <w:sz w:val="18"/>
                <w:szCs w:val="18"/>
              </w:rPr>
              <w:t>14</w:t>
            </w:r>
            <w:r w:rsidR="0098351D">
              <w:rPr>
                <w:rFonts w:cs="Arial"/>
                <w:b/>
                <w:color w:val="000000"/>
                <w:sz w:val="18"/>
                <w:szCs w:val="18"/>
              </w:rPr>
              <w:t>)</w:t>
            </w:r>
          </w:p>
        </w:tc>
      </w:tr>
      <w:tr w:rsidR="00317809" w:rsidRPr="008C7D08" w:rsidTr="000F6B5B">
        <w:tc>
          <w:tcPr>
            <w:tcW w:w="1809" w:type="dxa"/>
            <w:shd w:val="pct25" w:color="auto" w:fill="auto"/>
          </w:tcPr>
          <w:p w:rsidR="00317809" w:rsidRPr="00F5346C" w:rsidRDefault="00317809" w:rsidP="003B58A5">
            <w:pPr>
              <w:jc w:val="center"/>
              <w:rPr>
                <w:rFonts w:ascii="Calibri" w:hAnsi="Calibri" w:cs="Arial"/>
                <w:color w:val="000000"/>
                <w:sz w:val="18"/>
                <w:szCs w:val="18"/>
              </w:rPr>
            </w:pPr>
            <w:r w:rsidRPr="00F5346C">
              <w:rPr>
                <w:rFonts w:ascii="Calibri" w:hAnsi="Calibri" w:cs="Arial"/>
                <w:color w:val="000000"/>
                <w:sz w:val="18"/>
                <w:szCs w:val="18"/>
              </w:rPr>
              <w:t>1</w:t>
            </w:r>
          </w:p>
        </w:tc>
        <w:tc>
          <w:tcPr>
            <w:tcW w:w="5387" w:type="dxa"/>
            <w:shd w:val="clear" w:color="auto" w:fill="auto"/>
            <w:vAlign w:val="bottom"/>
          </w:tcPr>
          <w:p w:rsidR="00317809" w:rsidRPr="00F5346C" w:rsidRDefault="00317809" w:rsidP="003B58A5">
            <w:pPr>
              <w:jc w:val="center"/>
              <w:rPr>
                <w:rFonts w:ascii="Calibri" w:hAnsi="Calibri" w:cs="Arial"/>
                <w:color w:val="000000"/>
                <w:sz w:val="18"/>
                <w:szCs w:val="18"/>
              </w:rPr>
            </w:pPr>
            <w:r w:rsidRPr="00F5346C">
              <w:rPr>
                <w:rFonts w:ascii="Calibri" w:hAnsi="Calibri" w:cs="Arial"/>
                <w:color w:val="000000"/>
                <w:sz w:val="18"/>
                <w:szCs w:val="18"/>
              </w:rPr>
              <w:t>0</w:t>
            </w:r>
            <w:r>
              <w:rPr>
                <w:rFonts w:ascii="Calibri" w:hAnsi="Calibri" w:cs="Arial"/>
                <w:color w:val="000000"/>
                <w:sz w:val="18"/>
                <w:szCs w:val="18"/>
              </w:rPr>
              <w:t xml:space="preserve"> </w:t>
            </w:r>
          </w:p>
        </w:tc>
        <w:tc>
          <w:tcPr>
            <w:tcW w:w="2090" w:type="dxa"/>
            <w:shd w:val="clear" w:color="auto" w:fill="auto"/>
          </w:tcPr>
          <w:p w:rsidR="00317809" w:rsidRPr="00F46CF0" w:rsidRDefault="00317809" w:rsidP="00F5346C">
            <w:pPr>
              <w:jc w:val="center"/>
              <w:rPr>
                <w:rFonts w:ascii="Calibri" w:hAnsi="Calibri" w:cs="Arial"/>
                <w:color w:val="000000"/>
                <w:sz w:val="18"/>
                <w:szCs w:val="18"/>
              </w:rPr>
            </w:pPr>
            <w:r w:rsidRPr="000F6B5B">
              <w:rPr>
                <w:rFonts w:ascii="Calibri" w:hAnsi="Calibri" w:cs="Arial"/>
                <w:color w:val="000000"/>
                <w:sz w:val="18"/>
                <w:szCs w:val="18"/>
                <w:lang w:val="sl-SI" w:eastAsia="sl-SI"/>
              </w:rPr>
              <w:t>0</w:t>
            </w:r>
          </w:p>
        </w:tc>
      </w:tr>
      <w:tr w:rsidR="00317809" w:rsidRPr="008C7D08" w:rsidTr="000F6B5B">
        <w:tc>
          <w:tcPr>
            <w:tcW w:w="1809" w:type="dxa"/>
            <w:shd w:val="pct25" w:color="auto" w:fill="auto"/>
          </w:tcPr>
          <w:p w:rsidR="00317809" w:rsidRPr="00F5346C" w:rsidRDefault="00317809" w:rsidP="003B58A5">
            <w:pPr>
              <w:jc w:val="center"/>
              <w:rPr>
                <w:rFonts w:ascii="Calibri" w:hAnsi="Calibri" w:cs="Arial"/>
                <w:color w:val="000000"/>
                <w:sz w:val="18"/>
                <w:szCs w:val="18"/>
              </w:rPr>
            </w:pPr>
            <w:r w:rsidRPr="00F5346C">
              <w:rPr>
                <w:rFonts w:ascii="Calibri" w:hAnsi="Calibri" w:cs="Arial"/>
                <w:color w:val="000000"/>
                <w:sz w:val="18"/>
                <w:szCs w:val="18"/>
              </w:rPr>
              <w:t>2</w:t>
            </w:r>
          </w:p>
        </w:tc>
        <w:tc>
          <w:tcPr>
            <w:tcW w:w="5387" w:type="dxa"/>
            <w:shd w:val="clear" w:color="auto" w:fill="auto"/>
            <w:vAlign w:val="bottom"/>
          </w:tcPr>
          <w:p w:rsidR="00317809" w:rsidRPr="00F5346C" w:rsidRDefault="00317809" w:rsidP="003B58A5">
            <w:pPr>
              <w:jc w:val="center"/>
              <w:rPr>
                <w:rFonts w:ascii="Calibri" w:hAnsi="Calibri" w:cs="Arial"/>
                <w:color w:val="000000"/>
                <w:sz w:val="18"/>
                <w:szCs w:val="18"/>
              </w:rPr>
            </w:pPr>
            <w:r w:rsidRPr="00F5346C">
              <w:rPr>
                <w:rFonts w:ascii="Calibri" w:hAnsi="Calibri" w:cs="Arial"/>
                <w:color w:val="000000"/>
                <w:sz w:val="18"/>
                <w:szCs w:val="18"/>
              </w:rPr>
              <w:t>0</w:t>
            </w:r>
            <w:r>
              <w:rPr>
                <w:rFonts w:ascii="Calibri" w:hAnsi="Calibri" w:cs="Arial"/>
                <w:color w:val="000000"/>
                <w:sz w:val="18"/>
                <w:szCs w:val="18"/>
              </w:rPr>
              <w:t xml:space="preserve"> </w:t>
            </w:r>
            <w:r w:rsidRPr="00F5346C">
              <w:rPr>
                <w:rFonts w:ascii="Calibri" w:hAnsi="Calibri" w:cs="Arial"/>
                <w:color w:val="000000"/>
                <w:sz w:val="18"/>
                <w:szCs w:val="18"/>
              </w:rPr>
              <w:t xml:space="preserve"> &lt; Bilančna vsota &lt; 100.000</w:t>
            </w:r>
            <w:r>
              <w:rPr>
                <w:rFonts w:ascii="Calibri" w:hAnsi="Calibri" w:cs="Arial"/>
                <w:color w:val="000000"/>
                <w:sz w:val="18"/>
                <w:szCs w:val="18"/>
              </w:rPr>
              <w:t xml:space="preserve"> </w:t>
            </w:r>
          </w:p>
        </w:tc>
        <w:tc>
          <w:tcPr>
            <w:tcW w:w="2090" w:type="dxa"/>
            <w:shd w:val="clear" w:color="auto" w:fill="auto"/>
          </w:tcPr>
          <w:p w:rsidR="00317809" w:rsidRPr="00F46CF0" w:rsidRDefault="00BE6414" w:rsidP="00F5346C">
            <w:pPr>
              <w:jc w:val="center"/>
              <w:rPr>
                <w:rFonts w:ascii="Calibri" w:hAnsi="Calibri" w:cs="Arial"/>
                <w:color w:val="000000"/>
                <w:sz w:val="18"/>
                <w:szCs w:val="18"/>
              </w:rPr>
            </w:pPr>
            <w:r>
              <w:rPr>
                <w:rFonts w:ascii="Calibri" w:hAnsi="Calibri" w:cs="Arial"/>
                <w:color w:val="000000"/>
                <w:sz w:val="18"/>
                <w:szCs w:val="18"/>
                <w:lang w:val="sl-SI" w:eastAsia="sl-SI"/>
              </w:rPr>
              <w:t>9</w:t>
            </w:r>
          </w:p>
        </w:tc>
      </w:tr>
      <w:tr w:rsidR="00317809" w:rsidRPr="008C7D08" w:rsidTr="000F6B5B">
        <w:tc>
          <w:tcPr>
            <w:tcW w:w="1809" w:type="dxa"/>
            <w:shd w:val="pct25" w:color="auto" w:fill="auto"/>
          </w:tcPr>
          <w:p w:rsidR="00317809" w:rsidRPr="00F5346C" w:rsidRDefault="00317809" w:rsidP="003B58A5">
            <w:pPr>
              <w:jc w:val="center"/>
              <w:rPr>
                <w:rFonts w:ascii="Calibri" w:hAnsi="Calibri" w:cs="Arial"/>
                <w:color w:val="000000"/>
                <w:sz w:val="18"/>
                <w:szCs w:val="18"/>
              </w:rPr>
            </w:pPr>
            <w:r w:rsidRPr="00F5346C">
              <w:rPr>
                <w:rFonts w:ascii="Calibri" w:hAnsi="Calibri" w:cs="Arial"/>
                <w:color w:val="000000"/>
                <w:sz w:val="18"/>
                <w:szCs w:val="18"/>
              </w:rPr>
              <w:t>3</w:t>
            </w:r>
          </w:p>
        </w:tc>
        <w:tc>
          <w:tcPr>
            <w:tcW w:w="5387" w:type="dxa"/>
            <w:shd w:val="clear" w:color="auto" w:fill="auto"/>
            <w:vAlign w:val="bottom"/>
          </w:tcPr>
          <w:p w:rsidR="00317809" w:rsidRPr="00F5346C" w:rsidRDefault="00317809" w:rsidP="003B58A5">
            <w:pPr>
              <w:jc w:val="center"/>
              <w:rPr>
                <w:rFonts w:ascii="Calibri" w:hAnsi="Calibri" w:cs="Arial"/>
                <w:color w:val="000000"/>
                <w:sz w:val="18"/>
                <w:szCs w:val="18"/>
              </w:rPr>
            </w:pPr>
            <w:r w:rsidRPr="00F5346C">
              <w:rPr>
                <w:rFonts w:ascii="Calibri" w:hAnsi="Calibri" w:cs="Arial"/>
                <w:color w:val="000000"/>
                <w:sz w:val="18"/>
                <w:szCs w:val="18"/>
              </w:rPr>
              <w:t>100.000</w:t>
            </w:r>
            <w:r>
              <w:rPr>
                <w:rFonts w:ascii="Calibri" w:hAnsi="Calibri" w:cs="Arial"/>
                <w:color w:val="000000"/>
                <w:sz w:val="18"/>
                <w:szCs w:val="18"/>
              </w:rPr>
              <w:t xml:space="preserve"> </w:t>
            </w:r>
            <w:r w:rsidRPr="00F5346C">
              <w:rPr>
                <w:rFonts w:ascii="Calibri" w:hAnsi="Calibri" w:cs="Arial"/>
                <w:color w:val="000000"/>
                <w:sz w:val="18"/>
                <w:szCs w:val="18"/>
              </w:rPr>
              <w:t xml:space="preserve"> &lt; Bilančna vsota &lt; 10.000.000</w:t>
            </w:r>
            <w:r>
              <w:rPr>
                <w:rFonts w:ascii="Calibri" w:hAnsi="Calibri" w:cs="Arial"/>
                <w:color w:val="000000"/>
                <w:sz w:val="18"/>
                <w:szCs w:val="18"/>
              </w:rPr>
              <w:t xml:space="preserve"> </w:t>
            </w:r>
          </w:p>
        </w:tc>
        <w:tc>
          <w:tcPr>
            <w:tcW w:w="2090" w:type="dxa"/>
            <w:shd w:val="clear" w:color="auto" w:fill="auto"/>
          </w:tcPr>
          <w:p w:rsidR="00317809" w:rsidRPr="00F46CF0" w:rsidRDefault="00317809" w:rsidP="00322A0C">
            <w:pPr>
              <w:jc w:val="center"/>
              <w:rPr>
                <w:rFonts w:ascii="Calibri" w:hAnsi="Calibri" w:cs="Arial"/>
                <w:color w:val="000000"/>
                <w:sz w:val="18"/>
                <w:szCs w:val="18"/>
              </w:rPr>
            </w:pPr>
            <w:r w:rsidRPr="000F6B5B">
              <w:rPr>
                <w:rFonts w:ascii="Calibri" w:hAnsi="Calibri" w:cs="Arial"/>
                <w:color w:val="000000"/>
                <w:sz w:val="18"/>
                <w:szCs w:val="18"/>
                <w:lang w:val="sl-SI" w:eastAsia="sl-SI"/>
              </w:rPr>
              <w:t>3</w:t>
            </w:r>
            <w:r w:rsidR="00BE6414">
              <w:rPr>
                <w:rFonts w:ascii="Calibri" w:hAnsi="Calibri" w:cs="Arial"/>
                <w:color w:val="000000"/>
                <w:sz w:val="18"/>
                <w:szCs w:val="18"/>
                <w:lang w:val="sl-SI" w:eastAsia="sl-SI"/>
              </w:rPr>
              <w:t>35</w:t>
            </w:r>
          </w:p>
        </w:tc>
      </w:tr>
      <w:tr w:rsidR="00317809" w:rsidRPr="008C7D08" w:rsidTr="000F6B5B">
        <w:tc>
          <w:tcPr>
            <w:tcW w:w="1809" w:type="dxa"/>
            <w:shd w:val="pct25" w:color="auto" w:fill="auto"/>
          </w:tcPr>
          <w:p w:rsidR="00317809" w:rsidRPr="00F5346C" w:rsidRDefault="00317809" w:rsidP="003B58A5">
            <w:pPr>
              <w:jc w:val="center"/>
              <w:rPr>
                <w:rFonts w:ascii="Calibri" w:hAnsi="Calibri" w:cs="Arial"/>
                <w:color w:val="000000"/>
                <w:sz w:val="18"/>
                <w:szCs w:val="18"/>
              </w:rPr>
            </w:pPr>
            <w:r w:rsidRPr="00F5346C">
              <w:rPr>
                <w:rFonts w:ascii="Calibri" w:hAnsi="Calibri" w:cs="Arial"/>
                <w:color w:val="000000"/>
                <w:sz w:val="18"/>
                <w:szCs w:val="18"/>
              </w:rPr>
              <w:t>4</w:t>
            </w:r>
          </w:p>
        </w:tc>
        <w:tc>
          <w:tcPr>
            <w:tcW w:w="5387" w:type="dxa"/>
            <w:shd w:val="clear" w:color="auto" w:fill="auto"/>
            <w:vAlign w:val="bottom"/>
          </w:tcPr>
          <w:p w:rsidR="00317809" w:rsidRPr="00F5346C" w:rsidRDefault="00317809" w:rsidP="003B58A5">
            <w:pPr>
              <w:jc w:val="center"/>
              <w:rPr>
                <w:rFonts w:ascii="Calibri" w:hAnsi="Calibri" w:cs="Arial"/>
                <w:color w:val="000000"/>
                <w:sz w:val="18"/>
                <w:szCs w:val="18"/>
              </w:rPr>
            </w:pPr>
            <w:r w:rsidRPr="00F5346C">
              <w:rPr>
                <w:rFonts w:ascii="Calibri" w:hAnsi="Calibri" w:cs="Arial"/>
                <w:color w:val="000000"/>
                <w:sz w:val="18"/>
                <w:szCs w:val="18"/>
              </w:rPr>
              <w:t>&gt; 10.000.000</w:t>
            </w:r>
            <w:r>
              <w:rPr>
                <w:rFonts w:ascii="Calibri" w:hAnsi="Calibri" w:cs="Arial"/>
                <w:color w:val="000000"/>
                <w:sz w:val="18"/>
                <w:szCs w:val="18"/>
              </w:rPr>
              <w:t xml:space="preserve"> </w:t>
            </w:r>
          </w:p>
        </w:tc>
        <w:tc>
          <w:tcPr>
            <w:tcW w:w="2090" w:type="dxa"/>
            <w:shd w:val="clear" w:color="auto" w:fill="auto"/>
          </w:tcPr>
          <w:p w:rsidR="00317809" w:rsidRPr="00F46CF0" w:rsidRDefault="00317809" w:rsidP="00322A0C">
            <w:pPr>
              <w:jc w:val="center"/>
              <w:rPr>
                <w:rFonts w:ascii="Calibri" w:hAnsi="Calibri" w:cs="Arial"/>
                <w:color w:val="000000"/>
                <w:sz w:val="18"/>
                <w:szCs w:val="18"/>
              </w:rPr>
            </w:pPr>
            <w:r w:rsidRPr="000F6B5B">
              <w:rPr>
                <w:rFonts w:ascii="Calibri" w:hAnsi="Calibri" w:cs="Arial"/>
                <w:color w:val="000000"/>
                <w:sz w:val="18"/>
                <w:szCs w:val="18"/>
                <w:lang w:val="sl-SI" w:eastAsia="sl-SI"/>
              </w:rPr>
              <w:t>7</w:t>
            </w:r>
            <w:r w:rsidR="00BE6414">
              <w:rPr>
                <w:rFonts w:ascii="Calibri" w:hAnsi="Calibri" w:cs="Arial"/>
                <w:color w:val="000000"/>
                <w:sz w:val="18"/>
                <w:szCs w:val="18"/>
                <w:lang w:val="sl-SI" w:eastAsia="sl-SI"/>
              </w:rPr>
              <w:t>0</w:t>
            </w:r>
          </w:p>
        </w:tc>
      </w:tr>
    </w:tbl>
    <w:p w:rsidR="00F5346C" w:rsidRDefault="00F5346C" w:rsidP="00FA1892"/>
    <w:p w:rsidR="00395D4C" w:rsidRDefault="00395D4C" w:rsidP="00FA1892">
      <w:r>
        <w:t xml:space="preserve">Povzetek razporeditve izbranih oblik premoženja in obveznosti </w:t>
      </w:r>
      <w:r w:rsidR="0020760E">
        <w:t>za izbrane skupine</w:t>
      </w:r>
      <w:r>
        <w:t xml:space="preserve"> SKD</w:t>
      </w:r>
      <w:r w:rsidR="00B66D50">
        <w:t xml:space="preserve"> na dan 31.12.201</w:t>
      </w:r>
      <w:r w:rsidR="00C8251A">
        <w:t>8</w:t>
      </w:r>
      <w:r w:rsidR="00B66D50">
        <w:t xml:space="preserve"> </w:t>
      </w:r>
      <w:r>
        <w:t xml:space="preserve"> prikazuje </w:t>
      </w:r>
      <w:r w:rsidR="00F54BA0">
        <w:fldChar w:fldCharType="begin"/>
      </w:r>
      <w:r w:rsidR="00F54BA0">
        <w:instrText xml:space="preserve"> REF _Ref390156174 \h </w:instrText>
      </w:r>
      <w:r w:rsidR="00F54BA0">
        <w:fldChar w:fldCharType="separate"/>
      </w:r>
      <w:r w:rsidR="00CE55C4">
        <w:t xml:space="preserve">Tabela </w:t>
      </w:r>
      <w:r w:rsidR="00CE55C4">
        <w:rPr>
          <w:noProof/>
        </w:rPr>
        <w:t>13</w:t>
      </w:r>
      <w:r w:rsidR="00F54BA0">
        <w:fldChar w:fldCharType="end"/>
      </w:r>
      <w:r w:rsidR="00A03F3A">
        <w:t>,</w:t>
      </w:r>
      <w:r w:rsidR="00F54BA0">
        <w:t xml:space="preserve"> iz katere je razvidno, da ima največji del dolgoročnih in kratkoročnih finančnih naložb dejavnost visokošolskega izobraževanja</w:t>
      </w:r>
      <w:r w:rsidR="00C27D3D">
        <w:t xml:space="preserve">. </w:t>
      </w:r>
      <w:proofErr w:type="gramStart"/>
      <w:r w:rsidR="00BA6184">
        <w:t>Dejavnosti visokošolskega izobraževanja in b</w:t>
      </w:r>
      <w:r w:rsidR="00574101">
        <w:t>olnišničn</w:t>
      </w:r>
      <w:r w:rsidR="00BA6184">
        <w:t>e</w:t>
      </w:r>
      <w:r w:rsidR="00574101">
        <w:t xml:space="preserve"> zdravstven</w:t>
      </w:r>
      <w:r w:rsidR="00BA6184">
        <w:t>e</w:t>
      </w:r>
      <w:r w:rsidR="00574101">
        <w:t xml:space="preserve"> dejavnost</w:t>
      </w:r>
      <w:r w:rsidR="00BA6184">
        <w:t>i</w:t>
      </w:r>
      <w:r w:rsidR="00574101">
        <w:t xml:space="preserve"> izkazuje</w:t>
      </w:r>
      <w:r w:rsidR="00BA6184">
        <w:t>ta</w:t>
      </w:r>
      <w:r w:rsidR="00574101">
        <w:t xml:space="preserve"> dolgoročne vire zadolževanja</w:t>
      </w:r>
      <w:r w:rsidR="00C27D3D">
        <w:t xml:space="preserve"> in </w:t>
      </w:r>
      <w:r w:rsidR="00073EF0">
        <w:t>sta m</w:t>
      </w:r>
      <w:r w:rsidR="00C27D3D">
        <w:t>ed izbranimi skupinami SKD tudi najbolj zadolžen</w:t>
      </w:r>
      <w:r w:rsidR="00073EF0">
        <w:t>i</w:t>
      </w:r>
      <w:r w:rsidR="00C27D3D">
        <w:t xml:space="preserve"> dejavnost</w:t>
      </w:r>
      <w:r w:rsidR="00073EF0">
        <w:t>i</w:t>
      </w:r>
      <w:r w:rsidR="00574101">
        <w:t>.</w:t>
      </w:r>
      <w:proofErr w:type="gramEnd"/>
    </w:p>
    <w:p w:rsidR="00395D4C" w:rsidRDefault="00395D4C" w:rsidP="00FA1892"/>
    <w:p w:rsidR="00B66D50" w:rsidRDefault="00B66D50" w:rsidP="00B66D50">
      <w:pPr>
        <w:pStyle w:val="Caption"/>
      </w:pPr>
      <w:bookmarkStart w:id="80" w:name="_Ref390156174"/>
      <w:bookmarkStart w:id="81" w:name="_Toc49771335"/>
      <w:r>
        <w:t xml:space="preserve">Tabela </w:t>
      </w:r>
      <w:r>
        <w:fldChar w:fldCharType="begin"/>
      </w:r>
      <w:r>
        <w:instrText xml:space="preserve"> SEQ Tabela \* ARABIC </w:instrText>
      </w:r>
      <w:r>
        <w:fldChar w:fldCharType="separate"/>
      </w:r>
      <w:r w:rsidR="00CE55C4">
        <w:rPr>
          <w:noProof/>
        </w:rPr>
        <w:t>13</w:t>
      </w:r>
      <w:r>
        <w:fldChar w:fldCharType="end"/>
      </w:r>
      <w:bookmarkEnd w:id="80"/>
      <w:r w:rsidR="00F54BA0">
        <w:t xml:space="preserve">: Prikaz dolgoročnih in kratkoročnih finančnih naložb ter dolgoročnih in kratkoročnih finančnih obveznosti po izbranih skupinah SKD </w:t>
      </w:r>
      <w:r w:rsidR="00771B6B">
        <w:t xml:space="preserve">za PPU državnega proračuna </w:t>
      </w:r>
      <w:proofErr w:type="gramStart"/>
      <w:r w:rsidR="00F54BA0">
        <w:t>na</w:t>
      </w:r>
      <w:proofErr w:type="gramEnd"/>
      <w:r w:rsidR="00F54BA0">
        <w:t xml:space="preserve"> dan 31.12.</w:t>
      </w:r>
      <w:r w:rsidR="00322A0C">
        <w:t>201</w:t>
      </w:r>
      <w:r w:rsidR="00C8251A">
        <w:t>8</w:t>
      </w:r>
      <w:bookmarkEnd w:id="81"/>
    </w:p>
    <w:tbl>
      <w:tblPr>
        <w:tblpPr w:leftFromText="141" w:rightFromText="141" w:vertAnchor="text" w:horzAnchor="margin" w:tblpXSpec="center" w:tblpY="200"/>
        <w:tblW w:w="5000" w:type="pct"/>
        <w:tblLayout w:type="fixed"/>
        <w:tblCellMar>
          <w:left w:w="70" w:type="dxa"/>
          <w:right w:w="70" w:type="dxa"/>
        </w:tblCellMar>
        <w:tblLook w:val="04A0" w:firstRow="1" w:lastRow="0" w:firstColumn="1" w:lastColumn="0" w:noHBand="0" w:noVBand="1"/>
      </w:tblPr>
      <w:tblGrid>
        <w:gridCol w:w="643"/>
        <w:gridCol w:w="1555"/>
        <w:gridCol w:w="1450"/>
        <w:gridCol w:w="1429"/>
        <w:gridCol w:w="1591"/>
        <w:gridCol w:w="1337"/>
        <w:gridCol w:w="1205"/>
      </w:tblGrid>
      <w:tr w:rsidR="00E1082E" w:rsidRPr="0046725A" w:rsidTr="00221DE5">
        <w:trPr>
          <w:cantSplit/>
          <w:trHeight w:val="697"/>
          <w:tblHeader/>
        </w:trPr>
        <w:tc>
          <w:tcPr>
            <w:tcW w:w="349" w:type="pct"/>
            <w:tcBorders>
              <w:top w:val="single" w:sz="4" w:space="0" w:color="auto"/>
              <w:left w:val="single" w:sz="4" w:space="0" w:color="auto"/>
              <w:bottom w:val="single" w:sz="4" w:space="0" w:color="auto"/>
              <w:right w:val="single" w:sz="4" w:space="0" w:color="auto"/>
            </w:tcBorders>
            <w:shd w:val="clear" w:color="244062" w:fill="BFBFBF"/>
            <w:noWrap/>
            <w:hideMark/>
          </w:tcPr>
          <w:p w:rsidR="00322A0C" w:rsidRPr="00322A0C" w:rsidRDefault="00322A0C" w:rsidP="00221DE5">
            <w:pPr>
              <w:spacing w:line="240" w:lineRule="auto"/>
              <w:jc w:val="center"/>
              <w:rPr>
                <w:rFonts w:ascii="Calibri" w:hAnsi="Calibri" w:cs="Arial"/>
                <w:b/>
                <w:bCs/>
                <w:sz w:val="18"/>
                <w:szCs w:val="18"/>
                <w:lang w:val="sl-SI" w:eastAsia="sl-SI"/>
              </w:rPr>
            </w:pPr>
            <w:r w:rsidRPr="00322A0C">
              <w:rPr>
                <w:rFonts w:ascii="Calibri" w:hAnsi="Calibri" w:cs="Arial"/>
                <w:b/>
                <w:bCs/>
                <w:sz w:val="18"/>
                <w:szCs w:val="18"/>
                <w:lang w:val="sl-SI" w:eastAsia="sl-SI"/>
              </w:rPr>
              <w:t>SKD</w:t>
            </w:r>
          </w:p>
        </w:tc>
        <w:tc>
          <w:tcPr>
            <w:tcW w:w="844" w:type="pct"/>
            <w:tcBorders>
              <w:top w:val="single" w:sz="4" w:space="0" w:color="auto"/>
              <w:left w:val="nil"/>
              <w:bottom w:val="single" w:sz="4" w:space="0" w:color="auto"/>
              <w:right w:val="single" w:sz="4" w:space="0" w:color="auto"/>
            </w:tcBorders>
            <w:shd w:val="clear" w:color="244062" w:fill="BFBFBF"/>
            <w:hideMark/>
          </w:tcPr>
          <w:p w:rsidR="00322A0C" w:rsidRPr="00322A0C" w:rsidRDefault="00322A0C" w:rsidP="00221DE5">
            <w:pPr>
              <w:spacing w:line="240" w:lineRule="auto"/>
              <w:jc w:val="center"/>
              <w:rPr>
                <w:rFonts w:ascii="Calibri" w:hAnsi="Calibri" w:cs="Arial"/>
                <w:b/>
                <w:bCs/>
                <w:sz w:val="18"/>
                <w:szCs w:val="18"/>
                <w:lang w:val="sl-SI" w:eastAsia="sl-SI"/>
              </w:rPr>
            </w:pPr>
            <w:r w:rsidRPr="00322A0C">
              <w:rPr>
                <w:rFonts w:ascii="Calibri" w:hAnsi="Calibri" w:cs="Arial"/>
                <w:b/>
                <w:bCs/>
                <w:sz w:val="18"/>
                <w:szCs w:val="18"/>
                <w:lang w:val="sl-SI" w:eastAsia="sl-SI"/>
              </w:rPr>
              <w:t>Naložbe v delnice v državi in tujini</w:t>
            </w:r>
          </w:p>
        </w:tc>
        <w:tc>
          <w:tcPr>
            <w:tcW w:w="787" w:type="pct"/>
            <w:tcBorders>
              <w:top w:val="single" w:sz="4" w:space="0" w:color="auto"/>
              <w:left w:val="nil"/>
              <w:bottom w:val="single" w:sz="4" w:space="0" w:color="auto"/>
              <w:right w:val="single" w:sz="4" w:space="0" w:color="auto"/>
            </w:tcBorders>
            <w:shd w:val="clear" w:color="244062" w:fill="BFBFBF"/>
            <w:hideMark/>
          </w:tcPr>
          <w:p w:rsidR="00322A0C" w:rsidRPr="00322A0C" w:rsidRDefault="00322A0C" w:rsidP="00221DE5">
            <w:pPr>
              <w:spacing w:line="240" w:lineRule="auto"/>
              <w:jc w:val="center"/>
              <w:rPr>
                <w:rFonts w:ascii="Calibri" w:hAnsi="Calibri" w:cs="Arial"/>
                <w:b/>
                <w:bCs/>
                <w:sz w:val="18"/>
                <w:szCs w:val="18"/>
                <w:lang w:val="sl-SI" w:eastAsia="sl-SI"/>
              </w:rPr>
            </w:pPr>
            <w:r w:rsidRPr="00322A0C">
              <w:rPr>
                <w:rFonts w:ascii="Calibri" w:hAnsi="Calibri" w:cs="Arial"/>
                <w:b/>
                <w:bCs/>
                <w:sz w:val="18"/>
                <w:szCs w:val="18"/>
                <w:lang w:val="sl-SI" w:eastAsia="sl-SI"/>
              </w:rPr>
              <w:t>Druge dolgočne kapitalske naložbe v državi in tujini</w:t>
            </w:r>
          </w:p>
        </w:tc>
        <w:tc>
          <w:tcPr>
            <w:tcW w:w="776" w:type="pct"/>
            <w:tcBorders>
              <w:top w:val="single" w:sz="4" w:space="0" w:color="auto"/>
              <w:left w:val="nil"/>
              <w:bottom w:val="single" w:sz="4" w:space="0" w:color="auto"/>
              <w:right w:val="single" w:sz="4" w:space="0" w:color="auto"/>
            </w:tcBorders>
            <w:shd w:val="clear" w:color="244062" w:fill="BFBFBF"/>
            <w:hideMark/>
          </w:tcPr>
          <w:p w:rsidR="00322A0C" w:rsidRPr="00322A0C" w:rsidRDefault="00322A0C" w:rsidP="00221DE5">
            <w:pPr>
              <w:spacing w:line="240" w:lineRule="auto"/>
              <w:jc w:val="center"/>
              <w:rPr>
                <w:rFonts w:ascii="Calibri" w:hAnsi="Calibri" w:cs="Arial"/>
                <w:b/>
                <w:bCs/>
                <w:sz w:val="18"/>
                <w:szCs w:val="18"/>
                <w:lang w:val="sl-SI" w:eastAsia="sl-SI"/>
              </w:rPr>
            </w:pPr>
            <w:r w:rsidRPr="00322A0C">
              <w:rPr>
                <w:rFonts w:ascii="Calibri" w:hAnsi="Calibri" w:cs="Arial"/>
                <w:b/>
                <w:bCs/>
                <w:sz w:val="18"/>
                <w:szCs w:val="18"/>
                <w:lang w:val="sl-SI" w:eastAsia="sl-SI"/>
              </w:rPr>
              <w:t>Kratkoročne finančne naložbe</w:t>
            </w:r>
          </w:p>
        </w:tc>
        <w:tc>
          <w:tcPr>
            <w:tcW w:w="864" w:type="pct"/>
            <w:tcBorders>
              <w:top w:val="single" w:sz="4" w:space="0" w:color="auto"/>
              <w:left w:val="nil"/>
              <w:bottom w:val="single" w:sz="4" w:space="0" w:color="auto"/>
              <w:right w:val="single" w:sz="4" w:space="0" w:color="auto"/>
            </w:tcBorders>
            <w:shd w:val="clear" w:color="244062" w:fill="BFBFBF"/>
            <w:hideMark/>
          </w:tcPr>
          <w:p w:rsidR="00322A0C" w:rsidRPr="00322A0C" w:rsidRDefault="00322A0C" w:rsidP="00221DE5">
            <w:pPr>
              <w:spacing w:line="240" w:lineRule="auto"/>
              <w:jc w:val="center"/>
              <w:rPr>
                <w:rFonts w:ascii="Calibri" w:hAnsi="Calibri" w:cs="Arial"/>
                <w:b/>
                <w:bCs/>
                <w:sz w:val="18"/>
                <w:szCs w:val="18"/>
                <w:lang w:val="sl-SI" w:eastAsia="sl-SI"/>
              </w:rPr>
            </w:pPr>
            <w:r w:rsidRPr="00322A0C">
              <w:rPr>
                <w:rFonts w:ascii="Calibri" w:hAnsi="Calibri" w:cs="Arial"/>
                <w:b/>
                <w:bCs/>
                <w:sz w:val="18"/>
                <w:szCs w:val="18"/>
                <w:lang w:val="sl-SI" w:eastAsia="sl-SI"/>
              </w:rPr>
              <w:t>Kratkoročni krediti, prejeti na podlagi posojilnih pogodb -  od uporabnikov EKN</w:t>
            </w:r>
          </w:p>
        </w:tc>
        <w:tc>
          <w:tcPr>
            <w:tcW w:w="726" w:type="pct"/>
            <w:tcBorders>
              <w:top w:val="single" w:sz="4" w:space="0" w:color="auto"/>
              <w:left w:val="nil"/>
              <w:bottom w:val="single" w:sz="4" w:space="0" w:color="auto"/>
              <w:right w:val="single" w:sz="4" w:space="0" w:color="auto"/>
            </w:tcBorders>
            <w:shd w:val="clear" w:color="244062" w:fill="BFBFBF"/>
            <w:hideMark/>
          </w:tcPr>
          <w:p w:rsidR="00322A0C" w:rsidRPr="00322A0C" w:rsidRDefault="0014246F" w:rsidP="00221DE5">
            <w:pPr>
              <w:spacing w:line="240" w:lineRule="auto"/>
              <w:jc w:val="center"/>
              <w:rPr>
                <w:rFonts w:ascii="Calibri" w:hAnsi="Calibri" w:cs="Arial"/>
                <w:b/>
                <w:bCs/>
                <w:sz w:val="18"/>
                <w:szCs w:val="18"/>
                <w:lang w:val="sl-SI" w:eastAsia="sl-SI"/>
              </w:rPr>
            </w:pPr>
            <w:r>
              <w:rPr>
                <w:rFonts w:ascii="Calibri" w:hAnsi="Calibri" w:cs="Arial"/>
                <w:b/>
                <w:bCs/>
                <w:sz w:val="18"/>
                <w:szCs w:val="18"/>
                <w:lang w:val="sl-SI" w:eastAsia="sl-SI"/>
              </w:rPr>
              <w:t>K</w:t>
            </w:r>
            <w:r w:rsidRPr="00322A0C">
              <w:rPr>
                <w:rFonts w:ascii="Calibri" w:hAnsi="Calibri" w:cs="Arial"/>
                <w:b/>
                <w:bCs/>
                <w:sz w:val="18"/>
                <w:szCs w:val="18"/>
                <w:lang w:val="sl-SI" w:eastAsia="sl-SI"/>
              </w:rPr>
              <w:t>ratkoročne obveznosti do financerjev</w:t>
            </w:r>
          </w:p>
        </w:tc>
        <w:tc>
          <w:tcPr>
            <w:tcW w:w="654" w:type="pct"/>
            <w:tcBorders>
              <w:top w:val="single" w:sz="4" w:space="0" w:color="auto"/>
              <w:left w:val="nil"/>
              <w:bottom w:val="single" w:sz="4" w:space="0" w:color="auto"/>
              <w:right w:val="single" w:sz="4" w:space="0" w:color="auto"/>
            </w:tcBorders>
            <w:shd w:val="clear" w:color="244062" w:fill="BFBFBF"/>
            <w:hideMark/>
          </w:tcPr>
          <w:p w:rsidR="00322A0C" w:rsidRPr="00322A0C" w:rsidRDefault="0014246F" w:rsidP="00221DE5">
            <w:pPr>
              <w:spacing w:line="240" w:lineRule="auto"/>
              <w:jc w:val="center"/>
              <w:rPr>
                <w:rFonts w:ascii="Calibri" w:hAnsi="Calibri" w:cs="Arial"/>
                <w:b/>
                <w:bCs/>
                <w:sz w:val="18"/>
                <w:szCs w:val="18"/>
                <w:lang w:val="sl-SI" w:eastAsia="sl-SI"/>
              </w:rPr>
            </w:pPr>
            <w:r>
              <w:rPr>
                <w:rFonts w:ascii="Calibri" w:hAnsi="Calibri" w:cs="Arial"/>
                <w:b/>
                <w:bCs/>
                <w:sz w:val="18"/>
                <w:szCs w:val="18"/>
                <w:lang w:val="sl-SI" w:eastAsia="sl-SI"/>
              </w:rPr>
              <w:t>D</w:t>
            </w:r>
            <w:r w:rsidRPr="00322A0C">
              <w:rPr>
                <w:rFonts w:ascii="Calibri" w:hAnsi="Calibri" w:cs="Arial"/>
                <w:b/>
                <w:bCs/>
                <w:sz w:val="18"/>
                <w:szCs w:val="18"/>
                <w:lang w:val="sl-SI" w:eastAsia="sl-SI"/>
              </w:rPr>
              <w:t>olgoročne finančne obveznosti</w:t>
            </w:r>
          </w:p>
        </w:tc>
      </w:tr>
      <w:tr w:rsidR="00E1082E" w:rsidRPr="0046725A" w:rsidTr="00221DE5">
        <w:trPr>
          <w:cantSplit/>
          <w:trHeight w:val="285"/>
        </w:trPr>
        <w:tc>
          <w:tcPr>
            <w:tcW w:w="349" w:type="pct"/>
            <w:tcBorders>
              <w:top w:val="nil"/>
              <w:left w:val="single" w:sz="4" w:space="0" w:color="auto"/>
              <w:bottom w:val="single" w:sz="4" w:space="0" w:color="auto"/>
              <w:right w:val="single" w:sz="4" w:space="0" w:color="auto"/>
            </w:tcBorders>
            <w:shd w:val="clear" w:color="B8CCE4" w:fill="FFFFFF"/>
            <w:noWrap/>
            <w:vAlign w:val="bottom"/>
          </w:tcPr>
          <w:p w:rsidR="00322A0C" w:rsidRPr="00322A0C" w:rsidRDefault="00322A0C" w:rsidP="00322A0C">
            <w:pPr>
              <w:spacing w:line="240" w:lineRule="auto"/>
              <w:jc w:val="right"/>
              <w:rPr>
                <w:rFonts w:ascii="Calibri" w:hAnsi="Calibri" w:cs="Arial"/>
                <w:sz w:val="18"/>
                <w:szCs w:val="18"/>
                <w:lang w:val="sl-SI" w:eastAsia="sl-SI"/>
              </w:rPr>
            </w:pPr>
          </w:p>
        </w:tc>
        <w:tc>
          <w:tcPr>
            <w:tcW w:w="844" w:type="pct"/>
            <w:tcBorders>
              <w:top w:val="nil"/>
              <w:left w:val="nil"/>
              <w:bottom w:val="single" w:sz="4" w:space="0" w:color="auto"/>
              <w:right w:val="single" w:sz="4" w:space="0" w:color="auto"/>
            </w:tcBorders>
            <w:shd w:val="clear" w:color="B8CCE4" w:fill="FFFFFF"/>
            <w:noWrap/>
            <w:vAlign w:val="bottom"/>
          </w:tcPr>
          <w:p w:rsidR="00322A0C" w:rsidRPr="00322A0C" w:rsidRDefault="00322A0C" w:rsidP="00221DE5">
            <w:pPr>
              <w:spacing w:line="240" w:lineRule="auto"/>
              <w:jc w:val="center"/>
              <w:rPr>
                <w:rFonts w:ascii="Calibri" w:hAnsi="Calibri" w:cs="Arial"/>
                <w:sz w:val="18"/>
                <w:szCs w:val="18"/>
                <w:lang w:val="sl-SI" w:eastAsia="sl-SI"/>
              </w:rPr>
            </w:pPr>
            <w:r w:rsidRPr="00322A0C">
              <w:rPr>
                <w:rFonts w:ascii="Calibri" w:hAnsi="Calibri" w:cs="Arial"/>
                <w:sz w:val="18"/>
                <w:szCs w:val="18"/>
                <w:lang w:val="sl-SI" w:eastAsia="sl-SI"/>
              </w:rPr>
              <w:t>(</w:t>
            </w:r>
            <w:r w:rsidR="00F454FD">
              <w:rPr>
                <w:rFonts w:ascii="Calibri" w:hAnsi="Calibri" w:cs="Arial"/>
                <w:sz w:val="18"/>
                <w:szCs w:val="18"/>
                <w:lang w:val="sl-SI" w:eastAsia="sl-SI"/>
              </w:rPr>
              <w:t>€</w:t>
            </w:r>
            <w:r w:rsidRPr="00322A0C">
              <w:rPr>
                <w:rFonts w:ascii="Calibri" w:hAnsi="Calibri" w:cs="Arial"/>
                <w:sz w:val="18"/>
                <w:szCs w:val="18"/>
                <w:lang w:val="sl-SI" w:eastAsia="sl-SI"/>
              </w:rPr>
              <w:t>)</w:t>
            </w:r>
          </w:p>
        </w:tc>
        <w:tc>
          <w:tcPr>
            <w:tcW w:w="787" w:type="pct"/>
            <w:tcBorders>
              <w:top w:val="nil"/>
              <w:left w:val="nil"/>
              <w:bottom w:val="single" w:sz="4" w:space="0" w:color="auto"/>
              <w:right w:val="single" w:sz="4" w:space="0" w:color="auto"/>
            </w:tcBorders>
            <w:shd w:val="clear" w:color="B8CCE4" w:fill="FFFFFF"/>
            <w:noWrap/>
            <w:vAlign w:val="bottom"/>
          </w:tcPr>
          <w:p w:rsidR="00322A0C" w:rsidRPr="00322A0C" w:rsidRDefault="00322A0C" w:rsidP="00221DE5">
            <w:pPr>
              <w:spacing w:line="240" w:lineRule="auto"/>
              <w:jc w:val="center"/>
              <w:rPr>
                <w:rFonts w:ascii="Calibri" w:hAnsi="Calibri" w:cs="Arial"/>
                <w:sz w:val="18"/>
                <w:szCs w:val="18"/>
                <w:lang w:val="sl-SI" w:eastAsia="sl-SI"/>
              </w:rPr>
            </w:pPr>
            <w:r w:rsidRPr="00322A0C">
              <w:rPr>
                <w:rFonts w:ascii="Calibri" w:hAnsi="Calibri" w:cs="Arial"/>
                <w:sz w:val="18"/>
                <w:szCs w:val="18"/>
                <w:lang w:val="sl-SI" w:eastAsia="sl-SI"/>
              </w:rPr>
              <w:t>(</w:t>
            </w:r>
            <w:r w:rsidR="00F454FD">
              <w:rPr>
                <w:rFonts w:ascii="Calibri" w:hAnsi="Calibri" w:cs="Arial"/>
                <w:sz w:val="18"/>
                <w:szCs w:val="18"/>
                <w:lang w:val="sl-SI" w:eastAsia="sl-SI"/>
              </w:rPr>
              <w:t>€</w:t>
            </w:r>
            <w:r w:rsidRPr="00322A0C">
              <w:rPr>
                <w:rFonts w:ascii="Calibri" w:hAnsi="Calibri" w:cs="Arial"/>
                <w:sz w:val="18"/>
                <w:szCs w:val="18"/>
                <w:lang w:val="sl-SI" w:eastAsia="sl-SI"/>
              </w:rPr>
              <w:t>)</w:t>
            </w:r>
          </w:p>
        </w:tc>
        <w:tc>
          <w:tcPr>
            <w:tcW w:w="776" w:type="pct"/>
            <w:tcBorders>
              <w:top w:val="nil"/>
              <w:left w:val="nil"/>
              <w:bottom w:val="single" w:sz="4" w:space="0" w:color="auto"/>
              <w:right w:val="single" w:sz="4" w:space="0" w:color="auto"/>
            </w:tcBorders>
            <w:shd w:val="clear" w:color="B8CCE4" w:fill="FFFFFF"/>
            <w:noWrap/>
            <w:vAlign w:val="bottom"/>
          </w:tcPr>
          <w:p w:rsidR="00322A0C" w:rsidRPr="00322A0C" w:rsidRDefault="00322A0C" w:rsidP="00221DE5">
            <w:pPr>
              <w:spacing w:line="240" w:lineRule="auto"/>
              <w:jc w:val="center"/>
              <w:rPr>
                <w:rFonts w:ascii="Calibri" w:hAnsi="Calibri" w:cs="Arial"/>
                <w:sz w:val="18"/>
                <w:szCs w:val="18"/>
                <w:lang w:val="sl-SI" w:eastAsia="sl-SI"/>
              </w:rPr>
            </w:pPr>
            <w:r w:rsidRPr="00322A0C">
              <w:rPr>
                <w:rFonts w:ascii="Calibri" w:hAnsi="Calibri" w:cs="Arial"/>
                <w:sz w:val="18"/>
                <w:szCs w:val="18"/>
                <w:lang w:val="sl-SI" w:eastAsia="sl-SI"/>
              </w:rPr>
              <w:t>(</w:t>
            </w:r>
            <w:r w:rsidR="00F454FD">
              <w:rPr>
                <w:rFonts w:ascii="Calibri" w:hAnsi="Calibri" w:cs="Arial"/>
                <w:sz w:val="18"/>
                <w:szCs w:val="18"/>
                <w:lang w:val="sl-SI" w:eastAsia="sl-SI"/>
              </w:rPr>
              <w:t>€</w:t>
            </w:r>
            <w:r w:rsidRPr="00322A0C">
              <w:rPr>
                <w:rFonts w:ascii="Calibri" w:hAnsi="Calibri" w:cs="Arial"/>
                <w:sz w:val="18"/>
                <w:szCs w:val="18"/>
                <w:lang w:val="sl-SI" w:eastAsia="sl-SI"/>
              </w:rPr>
              <w:t>)</w:t>
            </w:r>
          </w:p>
        </w:tc>
        <w:tc>
          <w:tcPr>
            <w:tcW w:w="864" w:type="pct"/>
            <w:tcBorders>
              <w:top w:val="nil"/>
              <w:left w:val="nil"/>
              <w:bottom w:val="single" w:sz="4" w:space="0" w:color="auto"/>
              <w:right w:val="single" w:sz="4" w:space="0" w:color="auto"/>
            </w:tcBorders>
            <w:shd w:val="clear" w:color="B8CCE4" w:fill="FFFFFF"/>
            <w:noWrap/>
            <w:vAlign w:val="bottom"/>
          </w:tcPr>
          <w:p w:rsidR="00322A0C" w:rsidRPr="00322A0C" w:rsidRDefault="00322A0C" w:rsidP="00221DE5">
            <w:pPr>
              <w:spacing w:line="240" w:lineRule="auto"/>
              <w:jc w:val="center"/>
              <w:rPr>
                <w:rFonts w:ascii="Calibri" w:hAnsi="Calibri" w:cs="Arial"/>
                <w:sz w:val="18"/>
                <w:szCs w:val="18"/>
                <w:lang w:val="sl-SI" w:eastAsia="sl-SI"/>
              </w:rPr>
            </w:pPr>
            <w:r w:rsidRPr="00322A0C">
              <w:rPr>
                <w:rFonts w:ascii="Calibri" w:hAnsi="Calibri" w:cs="Arial"/>
                <w:sz w:val="18"/>
                <w:szCs w:val="18"/>
                <w:lang w:val="sl-SI" w:eastAsia="sl-SI"/>
              </w:rPr>
              <w:t>(</w:t>
            </w:r>
            <w:r w:rsidR="00F454FD">
              <w:rPr>
                <w:rFonts w:ascii="Calibri" w:hAnsi="Calibri" w:cs="Arial"/>
                <w:sz w:val="18"/>
                <w:szCs w:val="18"/>
                <w:lang w:val="sl-SI" w:eastAsia="sl-SI"/>
              </w:rPr>
              <w:t>€</w:t>
            </w:r>
            <w:r w:rsidRPr="00322A0C">
              <w:rPr>
                <w:rFonts w:ascii="Calibri" w:hAnsi="Calibri" w:cs="Arial"/>
                <w:sz w:val="18"/>
                <w:szCs w:val="18"/>
                <w:lang w:val="sl-SI" w:eastAsia="sl-SI"/>
              </w:rPr>
              <w:t>)</w:t>
            </w:r>
          </w:p>
        </w:tc>
        <w:tc>
          <w:tcPr>
            <w:tcW w:w="726" w:type="pct"/>
            <w:tcBorders>
              <w:top w:val="nil"/>
              <w:left w:val="nil"/>
              <w:bottom w:val="single" w:sz="4" w:space="0" w:color="auto"/>
              <w:right w:val="single" w:sz="4" w:space="0" w:color="auto"/>
            </w:tcBorders>
            <w:shd w:val="clear" w:color="B8CCE4" w:fill="FFFFFF"/>
            <w:noWrap/>
            <w:vAlign w:val="bottom"/>
          </w:tcPr>
          <w:p w:rsidR="00322A0C" w:rsidRPr="00322A0C" w:rsidRDefault="00322A0C" w:rsidP="00221DE5">
            <w:pPr>
              <w:spacing w:line="240" w:lineRule="auto"/>
              <w:jc w:val="center"/>
              <w:rPr>
                <w:rFonts w:ascii="Calibri" w:hAnsi="Calibri" w:cs="Arial"/>
                <w:sz w:val="18"/>
                <w:szCs w:val="18"/>
                <w:lang w:val="sl-SI" w:eastAsia="sl-SI"/>
              </w:rPr>
            </w:pPr>
            <w:r w:rsidRPr="00322A0C">
              <w:rPr>
                <w:rFonts w:ascii="Calibri" w:hAnsi="Calibri" w:cs="Arial"/>
                <w:sz w:val="18"/>
                <w:szCs w:val="18"/>
                <w:lang w:val="sl-SI" w:eastAsia="sl-SI"/>
              </w:rPr>
              <w:t>(</w:t>
            </w:r>
            <w:r w:rsidR="00F454FD">
              <w:rPr>
                <w:rFonts w:ascii="Calibri" w:hAnsi="Calibri" w:cs="Arial"/>
                <w:sz w:val="18"/>
                <w:szCs w:val="18"/>
                <w:lang w:val="sl-SI" w:eastAsia="sl-SI"/>
              </w:rPr>
              <w:t>€</w:t>
            </w:r>
            <w:r w:rsidRPr="00322A0C">
              <w:rPr>
                <w:rFonts w:ascii="Calibri" w:hAnsi="Calibri" w:cs="Arial"/>
                <w:sz w:val="18"/>
                <w:szCs w:val="18"/>
                <w:lang w:val="sl-SI" w:eastAsia="sl-SI"/>
              </w:rPr>
              <w:t>)</w:t>
            </w:r>
          </w:p>
        </w:tc>
        <w:tc>
          <w:tcPr>
            <w:tcW w:w="654" w:type="pct"/>
            <w:tcBorders>
              <w:top w:val="nil"/>
              <w:left w:val="nil"/>
              <w:bottom w:val="single" w:sz="4" w:space="0" w:color="auto"/>
              <w:right w:val="single" w:sz="4" w:space="0" w:color="auto"/>
            </w:tcBorders>
            <w:shd w:val="clear" w:color="B8CCE4" w:fill="FFFFFF"/>
            <w:noWrap/>
            <w:vAlign w:val="bottom"/>
          </w:tcPr>
          <w:p w:rsidR="00322A0C" w:rsidRPr="00322A0C" w:rsidRDefault="00322A0C" w:rsidP="00221DE5">
            <w:pPr>
              <w:spacing w:line="240" w:lineRule="auto"/>
              <w:jc w:val="center"/>
              <w:rPr>
                <w:rFonts w:ascii="Calibri" w:hAnsi="Calibri" w:cs="Arial"/>
                <w:sz w:val="18"/>
                <w:szCs w:val="18"/>
                <w:lang w:val="sl-SI" w:eastAsia="sl-SI"/>
              </w:rPr>
            </w:pPr>
            <w:r w:rsidRPr="00322A0C">
              <w:rPr>
                <w:rFonts w:ascii="Calibri" w:hAnsi="Calibri" w:cs="Arial"/>
                <w:sz w:val="18"/>
                <w:szCs w:val="18"/>
                <w:lang w:val="sl-SI" w:eastAsia="sl-SI"/>
              </w:rPr>
              <w:t>(</w:t>
            </w:r>
            <w:r w:rsidR="00F454FD">
              <w:rPr>
                <w:rFonts w:ascii="Calibri" w:hAnsi="Calibri" w:cs="Arial"/>
                <w:sz w:val="18"/>
                <w:szCs w:val="18"/>
                <w:lang w:val="sl-SI" w:eastAsia="sl-SI"/>
              </w:rPr>
              <w:t>€</w:t>
            </w:r>
            <w:r w:rsidRPr="00322A0C">
              <w:rPr>
                <w:rFonts w:ascii="Calibri" w:hAnsi="Calibri" w:cs="Arial"/>
                <w:sz w:val="18"/>
                <w:szCs w:val="18"/>
                <w:lang w:val="sl-SI" w:eastAsia="sl-SI"/>
              </w:rPr>
              <w:t>)</w:t>
            </w:r>
          </w:p>
        </w:tc>
      </w:tr>
      <w:tr w:rsidR="00C8251A" w:rsidRPr="0046725A" w:rsidTr="00972554">
        <w:trPr>
          <w:trHeight w:val="285"/>
        </w:trPr>
        <w:tc>
          <w:tcPr>
            <w:tcW w:w="349" w:type="pct"/>
            <w:tcBorders>
              <w:top w:val="nil"/>
              <w:left w:val="single" w:sz="4" w:space="0" w:color="auto"/>
              <w:bottom w:val="single" w:sz="4" w:space="0" w:color="auto"/>
              <w:right w:val="single" w:sz="4" w:space="0" w:color="auto"/>
            </w:tcBorders>
            <w:shd w:val="clear" w:color="B8CCE4" w:fill="FFFFFF"/>
            <w:noWrap/>
            <w:vAlign w:val="bottom"/>
            <w:hideMark/>
          </w:tcPr>
          <w:p w:rsidR="00C8251A" w:rsidRPr="00322A0C" w:rsidRDefault="00C8251A" w:rsidP="00322A0C">
            <w:pPr>
              <w:spacing w:line="240" w:lineRule="auto"/>
              <w:jc w:val="right"/>
              <w:rPr>
                <w:rFonts w:ascii="Calibri" w:hAnsi="Calibri" w:cs="Arial"/>
                <w:sz w:val="18"/>
                <w:szCs w:val="18"/>
                <w:lang w:val="sl-SI" w:eastAsia="sl-SI"/>
              </w:rPr>
            </w:pPr>
            <w:r w:rsidRPr="00322A0C">
              <w:rPr>
                <w:rFonts w:ascii="Calibri" w:hAnsi="Calibri" w:cs="Arial"/>
                <w:sz w:val="18"/>
                <w:szCs w:val="18"/>
                <w:lang w:val="sl-SI" w:eastAsia="sl-SI"/>
              </w:rPr>
              <w:t>85.310</w:t>
            </w:r>
          </w:p>
        </w:tc>
        <w:tc>
          <w:tcPr>
            <w:tcW w:w="844" w:type="pct"/>
            <w:tcBorders>
              <w:top w:val="nil"/>
              <w:left w:val="nil"/>
              <w:bottom w:val="single" w:sz="4" w:space="0" w:color="auto"/>
              <w:right w:val="single" w:sz="4" w:space="0" w:color="auto"/>
            </w:tcBorders>
            <w:shd w:val="clear" w:color="B8CCE4" w:fill="FFFFFF"/>
            <w:noWrap/>
            <w:vAlign w:val="bottom"/>
            <w:hideMark/>
          </w:tcPr>
          <w:p w:rsidR="00C8251A" w:rsidRPr="00972554" w:rsidRDefault="00C8251A" w:rsidP="00116FC1">
            <w:pPr>
              <w:spacing w:line="240" w:lineRule="auto"/>
              <w:jc w:val="right"/>
              <w:rPr>
                <w:rFonts w:ascii="Calibri" w:hAnsi="Calibri" w:cs="Calibri"/>
                <w:color w:val="000000"/>
                <w:sz w:val="18"/>
                <w:szCs w:val="18"/>
                <w:lang w:val="sl-SI" w:eastAsia="sl-SI"/>
              </w:rPr>
            </w:pPr>
            <w:r w:rsidRPr="00972554">
              <w:rPr>
                <w:rFonts w:ascii="Calibri" w:hAnsi="Calibri"/>
                <w:sz w:val="18"/>
                <w:szCs w:val="18"/>
              </w:rPr>
              <w:t xml:space="preserve">417,29 </w:t>
            </w:r>
          </w:p>
        </w:tc>
        <w:tc>
          <w:tcPr>
            <w:tcW w:w="787" w:type="pct"/>
            <w:tcBorders>
              <w:top w:val="nil"/>
              <w:left w:val="nil"/>
              <w:bottom w:val="single" w:sz="4" w:space="0" w:color="auto"/>
              <w:right w:val="single" w:sz="4" w:space="0" w:color="auto"/>
            </w:tcBorders>
            <w:shd w:val="clear" w:color="B8CCE4" w:fill="FFFFFF"/>
            <w:noWrap/>
            <w:vAlign w:val="bottom"/>
            <w:hideMark/>
          </w:tcPr>
          <w:p w:rsidR="00C8251A" w:rsidRPr="00972554" w:rsidRDefault="00C8251A" w:rsidP="00972554">
            <w:pPr>
              <w:spacing w:line="240" w:lineRule="auto"/>
              <w:jc w:val="right"/>
              <w:rPr>
                <w:rFonts w:ascii="Calibri" w:hAnsi="Calibri" w:cs="Calibri"/>
                <w:color w:val="000000"/>
                <w:sz w:val="18"/>
                <w:szCs w:val="18"/>
                <w:lang w:val="sl-SI" w:eastAsia="sl-SI"/>
              </w:rPr>
            </w:pPr>
            <w:r w:rsidRPr="00972554">
              <w:rPr>
                <w:rFonts w:ascii="Calibri" w:hAnsi="Calibri"/>
                <w:sz w:val="18"/>
                <w:szCs w:val="18"/>
              </w:rPr>
              <w:t xml:space="preserve">0,00 </w:t>
            </w:r>
          </w:p>
        </w:tc>
        <w:tc>
          <w:tcPr>
            <w:tcW w:w="776" w:type="pct"/>
            <w:tcBorders>
              <w:top w:val="nil"/>
              <w:left w:val="nil"/>
              <w:bottom w:val="single" w:sz="4" w:space="0" w:color="auto"/>
              <w:right w:val="single" w:sz="4" w:space="0" w:color="auto"/>
            </w:tcBorders>
            <w:shd w:val="clear" w:color="B8CCE4" w:fill="FFFFFF"/>
            <w:noWrap/>
            <w:vAlign w:val="bottom"/>
            <w:hideMark/>
          </w:tcPr>
          <w:p w:rsidR="00C8251A" w:rsidRPr="00972554" w:rsidRDefault="00C8251A" w:rsidP="00972554">
            <w:pPr>
              <w:spacing w:line="240" w:lineRule="auto"/>
              <w:jc w:val="right"/>
              <w:rPr>
                <w:rFonts w:ascii="Calibri" w:hAnsi="Calibri" w:cs="Calibri"/>
                <w:color w:val="000000"/>
                <w:sz w:val="18"/>
                <w:szCs w:val="18"/>
                <w:lang w:val="sl-SI" w:eastAsia="sl-SI"/>
              </w:rPr>
            </w:pPr>
            <w:r w:rsidRPr="00972554">
              <w:rPr>
                <w:rFonts w:ascii="Calibri" w:hAnsi="Calibri"/>
                <w:sz w:val="18"/>
                <w:szCs w:val="18"/>
              </w:rPr>
              <w:t xml:space="preserve">49.524,35 </w:t>
            </w:r>
          </w:p>
        </w:tc>
        <w:tc>
          <w:tcPr>
            <w:tcW w:w="864" w:type="pct"/>
            <w:tcBorders>
              <w:top w:val="nil"/>
              <w:left w:val="nil"/>
              <w:bottom w:val="single" w:sz="4" w:space="0" w:color="auto"/>
              <w:right w:val="single" w:sz="4" w:space="0" w:color="auto"/>
            </w:tcBorders>
            <w:shd w:val="clear" w:color="B8CCE4" w:fill="FFFFFF"/>
            <w:noWrap/>
            <w:vAlign w:val="bottom"/>
            <w:hideMark/>
          </w:tcPr>
          <w:p w:rsidR="00C8251A" w:rsidRPr="00972554" w:rsidRDefault="00C8251A" w:rsidP="00972554">
            <w:pPr>
              <w:spacing w:line="240" w:lineRule="auto"/>
              <w:jc w:val="right"/>
              <w:rPr>
                <w:rFonts w:ascii="Calibri" w:hAnsi="Calibri" w:cs="Calibri"/>
                <w:color w:val="000000"/>
                <w:sz w:val="18"/>
                <w:szCs w:val="18"/>
                <w:lang w:val="sl-SI" w:eastAsia="sl-SI"/>
              </w:rPr>
            </w:pPr>
            <w:r w:rsidRPr="00972554">
              <w:rPr>
                <w:rFonts w:ascii="Calibri" w:hAnsi="Calibri"/>
                <w:sz w:val="18"/>
                <w:szCs w:val="18"/>
              </w:rPr>
              <w:t xml:space="preserve">0,00 </w:t>
            </w:r>
          </w:p>
        </w:tc>
        <w:tc>
          <w:tcPr>
            <w:tcW w:w="726" w:type="pct"/>
            <w:tcBorders>
              <w:top w:val="nil"/>
              <w:left w:val="nil"/>
              <w:bottom w:val="single" w:sz="4" w:space="0" w:color="auto"/>
              <w:right w:val="single" w:sz="4" w:space="0" w:color="auto"/>
            </w:tcBorders>
            <w:shd w:val="clear" w:color="B8CCE4" w:fill="FFFFFF"/>
            <w:noWrap/>
            <w:vAlign w:val="bottom"/>
            <w:hideMark/>
          </w:tcPr>
          <w:p w:rsidR="00C8251A" w:rsidRPr="00972554" w:rsidRDefault="00C8251A" w:rsidP="00972554">
            <w:pPr>
              <w:spacing w:line="240" w:lineRule="auto"/>
              <w:jc w:val="right"/>
              <w:rPr>
                <w:rFonts w:ascii="Calibri" w:hAnsi="Calibri" w:cs="Calibri"/>
                <w:color w:val="000000"/>
                <w:sz w:val="18"/>
                <w:szCs w:val="18"/>
                <w:lang w:val="sl-SI" w:eastAsia="sl-SI"/>
              </w:rPr>
            </w:pPr>
            <w:r w:rsidRPr="00972554">
              <w:rPr>
                <w:rFonts w:ascii="Calibri" w:hAnsi="Calibri"/>
                <w:sz w:val="18"/>
                <w:szCs w:val="18"/>
              </w:rPr>
              <w:t xml:space="preserve">0,00 </w:t>
            </w:r>
          </w:p>
        </w:tc>
        <w:tc>
          <w:tcPr>
            <w:tcW w:w="654" w:type="pct"/>
            <w:tcBorders>
              <w:top w:val="nil"/>
              <w:left w:val="nil"/>
              <w:bottom w:val="single" w:sz="4" w:space="0" w:color="auto"/>
              <w:right w:val="single" w:sz="4" w:space="0" w:color="auto"/>
            </w:tcBorders>
            <w:shd w:val="clear" w:color="B8CCE4" w:fill="FFFFFF"/>
            <w:noWrap/>
            <w:vAlign w:val="bottom"/>
            <w:hideMark/>
          </w:tcPr>
          <w:p w:rsidR="00C8251A" w:rsidRPr="00972554" w:rsidRDefault="00C8251A" w:rsidP="00972554">
            <w:pPr>
              <w:spacing w:line="240" w:lineRule="auto"/>
              <w:jc w:val="right"/>
              <w:rPr>
                <w:rFonts w:ascii="Calibri" w:hAnsi="Calibri" w:cs="Calibri"/>
                <w:color w:val="000000"/>
                <w:sz w:val="18"/>
                <w:szCs w:val="18"/>
                <w:lang w:val="sl-SI" w:eastAsia="sl-SI"/>
              </w:rPr>
            </w:pPr>
            <w:r w:rsidRPr="00972554">
              <w:rPr>
                <w:rFonts w:ascii="Calibri" w:hAnsi="Calibri"/>
                <w:sz w:val="18"/>
                <w:szCs w:val="18"/>
              </w:rPr>
              <w:t xml:space="preserve">0,00 </w:t>
            </w:r>
          </w:p>
        </w:tc>
      </w:tr>
      <w:tr w:rsidR="00C8251A" w:rsidRPr="0046725A" w:rsidTr="00972554">
        <w:trPr>
          <w:trHeight w:val="285"/>
        </w:trPr>
        <w:tc>
          <w:tcPr>
            <w:tcW w:w="349" w:type="pct"/>
            <w:tcBorders>
              <w:top w:val="nil"/>
              <w:left w:val="single" w:sz="4" w:space="0" w:color="auto"/>
              <w:bottom w:val="single" w:sz="4" w:space="0" w:color="auto"/>
              <w:right w:val="single" w:sz="4" w:space="0" w:color="auto"/>
            </w:tcBorders>
            <w:shd w:val="clear" w:color="95B3D7" w:fill="FFFFFF"/>
            <w:noWrap/>
            <w:vAlign w:val="bottom"/>
            <w:hideMark/>
          </w:tcPr>
          <w:p w:rsidR="00C8251A" w:rsidRPr="00322A0C" w:rsidRDefault="00C8251A" w:rsidP="00322A0C">
            <w:pPr>
              <w:spacing w:line="240" w:lineRule="auto"/>
              <w:jc w:val="right"/>
              <w:rPr>
                <w:rFonts w:ascii="Calibri" w:hAnsi="Calibri" w:cs="Arial"/>
                <w:sz w:val="18"/>
                <w:szCs w:val="18"/>
                <w:lang w:val="sl-SI" w:eastAsia="sl-SI"/>
              </w:rPr>
            </w:pPr>
            <w:r w:rsidRPr="00322A0C">
              <w:rPr>
                <w:rFonts w:ascii="Calibri" w:hAnsi="Calibri" w:cs="Arial"/>
                <w:sz w:val="18"/>
                <w:szCs w:val="18"/>
                <w:lang w:val="sl-SI" w:eastAsia="sl-SI"/>
              </w:rPr>
              <w:t>85.320</w:t>
            </w:r>
          </w:p>
        </w:tc>
        <w:tc>
          <w:tcPr>
            <w:tcW w:w="844" w:type="pct"/>
            <w:tcBorders>
              <w:top w:val="nil"/>
              <w:left w:val="nil"/>
              <w:bottom w:val="single" w:sz="4" w:space="0" w:color="auto"/>
              <w:right w:val="single" w:sz="4" w:space="0" w:color="auto"/>
            </w:tcBorders>
            <w:shd w:val="clear" w:color="95B3D7" w:fill="FFFFFF"/>
            <w:noWrap/>
            <w:vAlign w:val="bottom"/>
            <w:hideMark/>
          </w:tcPr>
          <w:p w:rsidR="00C8251A" w:rsidRPr="00972554" w:rsidRDefault="00C8251A" w:rsidP="00116FC1">
            <w:pPr>
              <w:spacing w:line="240" w:lineRule="auto"/>
              <w:jc w:val="right"/>
              <w:rPr>
                <w:rFonts w:ascii="Calibri" w:hAnsi="Calibri" w:cs="Calibri"/>
                <w:color w:val="000000"/>
                <w:sz w:val="18"/>
                <w:szCs w:val="18"/>
                <w:lang w:val="sl-SI" w:eastAsia="sl-SI"/>
              </w:rPr>
            </w:pPr>
            <w:r w:rsidRPr="00972554">
              <w:rPr>
                <w:rFonts w:ascii="Calibri" w:hAnsi="Calibri"/>
                <w:sz w:val="18"/>
                <w:szCs w:val="18"/>
              </w:rPr>
              <w:t xml:space="preserve">1.387,04 </w:t>
            </w:r>
          </w:p>
        </w:tc>
        <w:tc>
          <w:tcPr>
            <w:tcW w:w="787" w:type="pct"/>
            <w:tcBorders>
              <w:top w:val="nil"/>
              <w:left w:val="nil"/>
              <w:bottom w:val="single" w:sz="4" w:space="0" w:color="auto"/>
              <w:right w:val="single" w:sz="4" w:space="0" w:color="auto"/>
            </w:tcBorders>
            <w:shd w:val="clear" w:color="95B3D7" w:fill="FFFFFF"/>
            <w:noWrap/>
            <w:vAlign w:val="bottom"/>
            <w:hideMark/>
          </w:tcPr>
          <w:p w:rsidR="00C8251A" w:rsidRPr="00972554" w:rsidRDefault="00C8251A" w:rsidP="00972554">
            <w:pPr>
              <w:spacing w:line="240" w:lineRule="auto"/>
              <w:jc w:val="right"/>
              <w:rPr>
                <w:rFonts w:ascii="Calibri" w:hAnsi="Calibri" w:cs="Calibri"/>
                <w:color w:val="000000"/>
                <w:sz w:val="18"/>
                <w:szCs w:val="18"/>
                <w:lang w:val="sl-SI" w:eastAsia="sl-SI"/>
              </w:rPr>
            </w:pPr>
            <w:r w:rsidRPr="00972554">
              <w:rPr>
                <w:rFonts w:ascii="Calibri" w:hAnsi="Calibri"/>
                <w:sz w:val="18"/>
                <w:szCs w:val="18"/>
              </w:rPr>
              <w:t xml:space="preserve">1.000,00 </w:t>
            </w:r>
          </w:p>
        </w:tc>
        <w:tc>
          <w:tcPr>
            <w:tcW w:w="776" w:type="pct"/>
            <w:tcBorders>
              <w:top w:val="nil"/>
              <w:left w:val="nil"/>
              <w:bottom w:val="single" w:sz="4" w:space="0" w:color="auto"/>
              <w:right w:val="single" w:sz="4" w:space="0" w:color="auto"/>
            </w:tcBorders>
            <w:shd w:val="clear" w:color="95B3D7" w:fill="FFFFFF"/>
            <w:noWrap/>
            <w:vAlign w:val="bottom"/>
            <w:hideMark/>
          </w:tcPr>
          <w:p w:rsidR="00C8251A" w:rsidRPr="00972554" w:rsidRDefault="00C8251A" w:rsidP="00972554">
            <w:pPr>
              <w:spacing w:line="240" w:lineRule="auto"/>
              <w:jc w:val="right"/>
              <w:rPr>
                <w:rFonts w:ascii="Calibri" w:hAnsi="Calibri" w:cs="Calibri"/>
                <w:color w:val="000000"/>
                <w:sz w:val="18"/>
                <w:szCs w:val="18"/>
                <w:lang w:val="sl-SI" w:eastAsia="sl-SI"/>
              </w:rPr>
            </w:pPr>
            <w:r w:rsidRPr="00972554">
              <w:rPr>
                <w:rFonts w:ascii="Calibri" w:hAnsi="Calibri"/>
                <w:sz w:val="18"/>
                <w:szCs w:val="18"/>
              </w:rPr>
              <w:t xml:space="preserve">32.726,11 </w:t>
            </w:r>
          </w:p>
        </w:tc>
        <w:tc>
          <w:tcPr>
            <w:tcW w:w="864" w:type="pct"/>
            <w:tcBorders>
              <w:top w:val="nil"/>
              <w:left w:val="nil"/>
              <w:bottom w:val="single" w:sz="4" w:space="0" w:color="auto"/>
              <w:right w:val="single" w:sz="4" w:space="0" w:color="auto"/>
            </w:tcBorders>
            <w:shd w:val="clear" w:color="95B3D7" w:fill="FFFFFF"/>
            <w:noWrap/>
            <w:vAlign w:val="bottom"/>
            <w:hideMark/>
          </w:tcPr>
          <w:p w:rsidR="00C8251A" w:rsidRPr="00972554" w:rsidRDefault="00C8251A" w:rsidP="00972554">
            <w:pPr>
              <w:spacing w:line="240" w:lineRule="auto"/>
              <w:jc w:val="right"/>
              <w:rPr>
                <w:rFonts w:ascii="Calibri" w:hAnsi="Calibri" w:cs="Calibri"/>
                <w:color w:val="000000"/>
                <w:sz w:val="18"/>
                <w:szCs w:val="18"/>
                <w:lang w:val="sl-SI" w:eastAsia="sl-SI"/>
              </w:rPr>
            </w:pPr>
            <w:r w:rsidRPr="00972554">
              <w:rPr>
                <w:rFonts w:ascii="Calibri" w:hAnsi="Calibri"/>
                <w:sz w:val="18"/>
                <w:szCs w:val="18"/>
              </w:rPr>
              <w:t xml:space="preserve">0,00 </w:t>
            </w:r>
          </w:p>
        </w:tc>
        <w:tc>
          <w:tcPr>
            <w:tcW w:w="726" w:type="pct"/>
            <w:tcBorders>
              <w:top w:val="nil"/>
              <w:left w:val="nil"/>
              <w:bottom w:val="single" w:sz="4" w:space="0" w:color="auto"/>
              <w:right w:val="single" w:sz="4" w:space="0" w:color="auto"/>
            </w:tcBorders>
            <w:shd w:val="clear" w:color="95B3D7" w:fill="FFFFFF"/>
            <w:noWrap/>
            <w:vAlign w:val="bottom"/>
            <w:hideMark/>
          </w:tcPr>
          <w:p w:rsidR="00C8251A" w:rsidRPr="00972554" w:rsidRDefault="00C8251A" w:rsidP="00972554">
            <w:pPr>
              <w:spacing w:line="240" w:lineRule="auto"/>
              <w:jc w:val="right"/>
              <w:rPr>
                <w:rFonts w:ascii="Calibri" w:hAnsi="Calibri" w:cs="Calibri"/>
                <w:color w:val="000000"/>
                <w:sz w:val="18"/>
                <w:szCs w:val="18"/>
                <w:lang w:val="sl-SI" w:eastAsia="sl-SI"/>
              </w:rPr>
            </w:pPr>
            <w:r w:rsidRPr="00972554">
              <w:rPr>
                <w:rFonts w:ascii="Calibri" w:hAnsi="Calibri"/>
                <w:sz w:val="18"/>
                <w:szCs w:val="18"/>
              </w:rPr>
              <w:t xml:space="preserve">50.000,00 </w:t>
            </w:r>
          </w:p>
        </w:tc>
        <w:tc>
          <w:tcPr>
            <w:tcW w:w="654" w:type="pct"/>
            <w:tcBorders>
              <w:top w:val="nil"/>
              <w:left w:val="nil"/>
              <w:bottom w:val="single" w:sz="4" w:space="0" w:color="auto"/>
              <w:right w:val="single" w:sz="4" w:space="0" w:color="auto"/>
            </w:tcBorders>
            <w:shd w:val="clear" w:color="95B3D7" w:fill="FFFFFF"/>
            <w:noWrap/>
            <w:vAlign w:val="bottom"/>
            <w:hideMark/>
          </w:tcPr>
          <w:p w:rsidR="00C8251A" w:rsidRPr="00972554" w:rsidRDefault="00C8251A" w:rsidP="00972554">
            <w:pPr>
              <w:spacing w:line="240" w:lineRule="auto"/>
              <w:jc w:val="right"/>
              <w:rPr>
                <w:rFonts w:ascii="Calibri" w:hAnsi="Calibri" w:cs="Calibri"/>
                <w:color w:val="000000"/>
                <w:sz w:val="18"/>
                <w:szCs w:val="18"/>
                <w:lang w:val="sl-SI" w:eastAsia="sl-SI"/>
              </w:rPr>
            </w:pPr>
            <w:r w:rsidRPr="00972554">
              <w:rPr>
                <w:rFonts w:ascii="Calibri" w:hAnsi="Calibri"/>
                <w:sz w:val="18"/>
                <w:szCs w:val="18"/>
              </w:rPr>
              <w:t xml:space="preserve">0,00 </w:t>
            </w:r>
          </w:p>
        </w:tc>
      </w:tr>
      <w:tr w:rsidR="00C8251A" w:rsidRPr="0046725A" w:rsidTr="00972554">
        <w:trPr>
          <w:trHeight w:val="285"/>
        </w:trPr>
        <w:tc>
          <w:tcPr>
            <w:tcW w:w="349" w:type="pct"/>
            <w:tcBorders>
              <w:top w:val="nil"/>
              <w:left w:val="single" w:sz="4" w:space="0" w:color="auto"/>
              <w:bottom w:val="single" w:sz="4" w:space="0" w:color="auto"/>
              <w:right w:val="single" w:sz="4" w:space="0" w:color="auto"/>
            </w:tcBorders>
            <w:shd w:val="clear" w:color="B8CCE4" w:fill="FFFFFF"/>
            <w:noWrap/>
            <w:vAlign w:val="bottom"/>
            <w:hideMark/>
          </w:tcPr>
          <w:p w:rsidR="00C8251A" w:rsidRPr="00322A0C" w:rsidRDefault="00C8251A" w:rsidP="00322A0C">
            <w:pPr>
              <w:spacing w:line="240" w:lineRule="auto"/>
              <w:jc w:val="right"/>
              <w:rPr>
                <w:rFonts w:ascii="Calibri" w:hAnsi="Calibri" w:cs="Arial"/>
                <w:sz w:val="18"/>
                <w:szCs w:val="18"/>
                <w:lang w:val="sl-SI" w:eastAsia="sl-SI"/>
              </w:rPr>
            </w:pPr>
            <w:r w:rsidRPr="00322A0C">
              <w:rPr>
                <w:rFonts w:ascii="Calibri" w:hAnsi="Calibri" w:cs="Arial"/>
                <w:sz w:val="18"/>
                <w:szCs w:val="18"/>
                <w:lang w:val="sl-SI" w:eastAsia="sl-SI"/>
              </w:rPr>
              <w:t>85.422</w:t>
            </w:r>
          </w:p>
        </w:tc>
        <w:tc>
          <w:tcPr>
            <w:tcW w:w="844" w:type="pct"/>
            <w:tcBorders>
              <w:top w:val="nil"/>
              <w:left w:val="nil"/>
              <w:bottom w:val="single" w:sz="4" w:space="0" w:color="auto"/>
              <w:right w:val="single" w:sz="4" w:space="0" w:color="auto"/>
            </w:tcBorders>
            <w:shd w:val="clear" w:color="B8CCE4" w:fill="FFFFFF"/>
            <w:noWrap/>
            <w:vAlign w:val="bottom"/>
            <w:hideMark/>
          </w:tcPr>
          <w:p w:rsidR="00C8251A" w:rsidRPr="00972554" w:rsidRDefault="00C8251A" w:rsidP="00116FC1">
            <w:pPr>
              <w:spacing w:line="240" w:lineRule="auto"/>
              <w:jc w:val="right"/>
              <w:rPr>
                <w:rFonts w:ascii="Calibri" w:hAnsi="Calibri" w:cs="Calibri"/>
                <w:color w:val="000000"/>
                <w:sz w:val="18"/>
                <w:szCs w:val="18"/>
                <w:lang w:val="sl-SI" w:eastAsia="sl-SI"/>
              </w:rPr>
            </w:pPr>
            <w:r w:rsidRPr="00972554">
              <w:rPr>
                <w:rFonts w:ascii="Calibri" w:hAnsi="Calibri"/>
                <w:sz w:val="18"/>
                <w:szCs w:val="18"/>
              </w:rPr>
              <w:t xml:space="preserve">4.154,36 </w:t>
            </w:r>
          </w:p>
        </w:tc>
        <w:tc>
          <w:tcPr>
            <w:tcW w:w="787" w:type="pct"/>
            <w:tcBorders>
              <w:top w:val="nil"/>
              <w:left w:val="nil"/>
              <w:bottom w:val="single" w:sz="4" w:space="0" w:color="auto"/>
              <w:right w:val="single" w:sz="4" w:space="0" w:color="auto"/>
            </w:tcBorders>
            <w:shd w:val="clear" w:color="B8CCE4" w:fill="FFFFFF"/>
            <w:noWrap/>
            <w:vAlign w:val="bottom"/>
            <w:hideMark/>
          </w:tcPr>
          <w:p w:rsidR="00C8251A" w:rsidRPr="00972554" w:rsidRDefault="00C8251A" w:rsidP="00972554">
            <w:pPr>
              <w:spacing w:line="240" w:lineRule="auto"/>
              <w:jc w:val="right"/>
              <w:rPr>
                <w:rFonts w:ascii="Calibri" w:hAnsi="Calibri" w:cs="Calibri"/>
                <w:color w:val="000000"/>
                <w:sz w:val="18"/>
                <w:szCs w:val="18"/>
                <w:lang w:val="sl-SI" w:eastAsia="sl-SI"/>
              </w:rPr>
            </w:pPr>
            <w:r w:rsidRPr="00972554">
              <w:rPr>
                <w:rFonts w:ascii="Calibri" w:hAnsi="Calibri"/>
                <w:sz w:val="18"/>
                <w:szCs w:val="18"/>
              </w:rPr>
              <w:t xml:space="preserve">496.806,38 </w:t>
            </w:r>
          </w:p>
        </w:tc>
        <w:tc>
          <w:tcPr>
            <w:tcW w:w="776" w:type="pct"/>
            <w:tcBorders>
              <w:top w:val="nil"/>
              <w:left w:val="nil"/>
              <w:bottom w:val="single" w:sz="4" w:space="0" w:color="auto"/>
              <w:right w:val="single" w:sz="4" w:space="0" w:color="auto"/>
            </w:tcBorders>
            <w:shd w:val="clear" w:color="B8CCE4" w:fill="FFFFFF"/>
            <w:noWrap/>
            <w:vAlign w:val="bottom"/>
            <w:hideMark/>
          </w:tcPr>
          <w:p w:rsidR="00C8251A" w:rsidRPr="00972554" w:rsidRDefault="00C8251A" w:rsidP="00972554">
            <w:pPr>
              <w:spacing w:line="240" w:lineRule="auto"/>
              <w:jc w:val="right"/>
              <w:rPr>
                <w:rFonts w:ascii="Calibri" w:hAnsi="Calibri" w:cs="Calibri"/>
                <w:color w:val="000000"/>
                <w:sz w:val="18"/>
                <w:szCs w:val="18"/>
                <w:lang w:val="sl-SI" w:eastAsia="sl-SI"/>
              </w:rPr>
            </w:pPr>
            <w:r w:rsidRPr="00972554">
              <w:rPr>
                <w:rFonts w:ascii="Calibri" w:hAnsi="Calibri"/>
                <w:sz w:val="18"/>
                <w:szCs w:val="18"/>
              </w:rPr>
              <w:t xml:space="preserve">581.865,75 </w:t>
            </w:r>
          </w:p>
        </w:tc>
        <w:tc>
          <w:tcPr>
            <w:tcW w:w="864" w:type="pct"/>
            <w:tcBorders>
              <w:top w:val="nil"/>
              <w:left w:val="nil"/>
              <w:bottom w:val="single" w:sz="4" w:space="0" w:color="auto"/>
              <w:right w:val="single" w:sz="4" w:space="0" w:color="auto"/>
            </w:tcBorders>
            <w:shd w:val="clear" w:color="B8CCE4" w:fill="FFFFFF"/>
            <w:noWrap/>
            <w:vAlign w:val="bottom"/>
            <w:hideMark/>
          </w:tcPr>
          <w:p w:rsidR="00C8251A" w:rsidRPr="00972554" w:rsidRDefault="00C8251A" w:rsidP="00972554">
            <w:pPr>
              <w:spacing w:line="240" w:lineRule="auto"/>
              <w:jc w:val="right"/>
              <w:rPr>
                <w:rFonts w:ascii="Calibri" w:hAnsi="Calibri" w:cs="Calibri"/>
                <w:color w:val="000000"/>
                <w:sz w:val="18"/>
                <w:szCs w:val="18"/>
                <w:lang w:val="sl-SI" w:eastAsia="sl-SI"/>
              </w:rPr>
            </w:pPr>
            <w:r w:rsidRPr="00972554">
              <w:rPr>
                <w:rFonts w:ascii="Calibri" w:hAnsi="Calibri"/>
                <w:sz w:val="18"/>
                <w:szCs w:val="18"/>
              </w:rPr>
              <w:t xml:space="preserve">0,00 </w:t>
            </w:r>
          </w:p>
        </w:tc>
        <w:tc>
          <w:tcPr>
            <w:tcW w:w="726" w:type="pct"/>
            <w:tcBorders>
              <w:top w:val="nil"/>
              <w:left w:val="nil"/>
              <w:bottom w:val="single" w:sz="4" w:space="0" w:color="auto"/>
              <w:right w:val="single" w:sz="4" w:space="0" w:color="auto"/>
            </w:tcBorders>
            <w:shd w:val="clear" w:color="B8CCE4" w:fill="FFFFFF"/>
            <w:noWrap/>
            <w:vAlign w:val="bottom"/>
            <w:hideMark/>
          </w:tcPr>
          <w:p w:rsidR="00C8251A" w:rsidRPr="00972554" w:rsidRDefault="00C8251A" w:rsidP="00972554">
            <w:pPr>
              <w:spacing w:line="240" w:lineRule="auto"/>
              <w:jc w:val="right"/>
              <w:rPr>
                <w:rFonts w:ascii="Calibri" w:hAnsi="Calibri" w:cs="Calibri"/>
                <w:color w:val="000000"/>
                <w:sz w:val="18"/>
                <w:szCs w:val="18"/>
                <w:lang w:val="sl-SI" w:eastAsia="sl-SI"/>
              </w:rPr>
            </w:pPr>
            <w:r w:rsidRPr="00972554">
              <w:rPr>
                <w:rFonts w:ascii="Calibri" w:hAnsi="Calibri"/>
                <w:sz w:val="18"/>
                <w:szCs w:val="18"/>
              </w:rPr>
              <w:t xml:space="preserve">968.476,16 </w:t>
            </w:r>
          </w:p>
        </w:tc>
        <w:tc>
          <w:tcPr>
            <w:tcW w:w="654" w:type="pct"/>
            <w:tcBorders>
              <w:top w:val="nil"/>
              <w:left w:val="nil"/>
              <w:bottom w:val="single" w:sz="4" w:space="0" w:color="auto"/>
              <w:right w:val="single" w:sz="4" w:space="0" w:color="auto"/>
            </w:tcBorders>
            <w:shd w:val="clear" w:color="B8CCE4" w:fill="FFFFFF"/>
            <w:noWrap/>
            <w:vAlign w:val="bottom"/>
            <w:hideMark/>
          </w:tcPr>
          <w:p w:rsidR="00C8251A" w:rsidRPr="00972554" w:rsidRDefault="00C8251A" w:rsidP="00972554">
            <w:pPr>
              <w:spacing w:line="240" w:lineRule="auto"/>
              <w:jc w:val="right"/>
              <w:rPr>
                <w:rFonts w:ascii="Calibri" w:hAnsi="Calibri" w:cs="Calibri"/>
                <w:color w:val="000000"/>
                <w:sz w:val="18"/>
                <w:szCs w:val="18"/>
                <w:lang w:val="sl-SI" w:eastAsia="sl-SI"/>
              </w:rPr>
            </w:pPr>
            <w:r w:rsidRPr="00972554">
              <w:rPr>
                <w:rFonts w:ascii="Calibri" w:hAnsi="Calibri"/>
                <w:sz w:val="18"/>
                <w:szCs w:val="18"/>
              </w:rPr>
              <w:t xml:space="preserve">14.645.731,62 </w:t>
            </w:r>
          </w:p>
        </w:tc>
      </w:tr>
      <w:tr w:rsidR="00C8251A" w:rsidRPr="0046725A" w:rsidTr="00972554">
        <w:trPr>
          <w:trHeight w:val="285"/>
        </w:trPr>
        <w:tc>
          <w:tcPr>
            <w:tcW w:w="349" w:type="pct"/>
            <w:tcBorders>
              <w:top w:val="nil"/>
              <w:left w:val="single" w:sz="4" w:space="0" w:color="auto"/>
              <w:bottom w:val="single" w:sz="4" w:space="0" w:color="auto"/>
              <w:right w:val="single" w:sz="4" w:space="0" w:color="auto"/>
            </w:tcBorders>
            <w:shd w:val="clear" w:color="95B3D7" w:fill="FFFFFF"/>
            <w:noWrap/>
            <w:vAlign w:val="bottom"/>
            <w:hideMark/>
          </w:tcPr>
          <w:p w:rsidR="00C8251A" w:rsidRPr="00322A0C" w:rsidRDefault="00C8251A" w:rsidP="00322A0C">
            <w:pPr>
              <w:spacing w:line="240" w:lineRule="auto"/>
              <w:jc w:val="right"/>
              <w:rPr>
                <w:rFonts w:ascii="Calibri" w:hAnsi="Calibri" w:cs="Arial"/>
                <w:sz w:val="18"/>
                <w:szCs w:val="18"/>
                <w:lang w:val="sl-SI" w:eastAsia="sl-SI"/>
              </w:rPr>
            </w:pPr>
            <w:r w:rsidRPr="00322A0C">
              <w:rPr>
                <w:rFonts w:ascii="Calibri" w:hAnsi="Calibri" w:cs="Arial"/>
                <w:sz w:val="18"/>
                <w:szCs w:val="18"/>
                <w:lang w:val="sl-SI" w:eastAsia="sl-SI"/>
              </w:rPr>
              <w:t>86.100</w:t>
            </w:r>
          </w:p>
        </w:tc>
        <w:tc>
          <w:tcPr>
            <w:tcW w:w="844" w:type="pct"/>
            <w:tcBorders>
              <w:top w:val="nil"/>
              <w:left w:val="nil"/>
              <w:bottom w:val="single" w:sz="4" w:space="0" w:color="auto"/>
              <w:right w:val="single" w:sz="4" w:space="0" w:color="auto"/>
            </w:tcBorders>
            <w:shd w:val="clear" w:color="95B3D7" w:fill="FFFFFF"/>
            <w:noWrap/>
            <w:vAlign w:val="bottom"/>
            <w:hideMark/>
          </w:tcPr>
          <w:p w:rsidR="00C8251A" w:rsidRPr="00972554" w:rsidRDefault="00C8251A" w:rsidP="00116FC1">
            <w:pPr>
              <w:spacing w:line="240" w:lineRule="auto"/>
              <w:jc w:val="right"/>
              <w:rPr>
                <w:rFonts w:ascii="Calibri" w:hAnsi="Calibri" w:cs="Calibri"/>
                <w:color w:val="000000"/>
                <w:sz w:val="18"/>
                <w:szCs w:val="18"/>
                <w:lang w:val="sl-SI" w:eastAsia="sl-SI"/>
              </w:rPr>
            </w:pPr>
            <w:r w:rsidRPr="00972554">
              <w:rPr>
                <w:rFonts w:ascii="Calibri" w:hAnsi="Calibri"/>
                <w:sz w:val="18"/>
                <w:szCs w:val="18"/>
              </w:rPr>
              <w:t xml:space="preserve">122.080,05 </w:t>
            </w:r>
          </w:p>
        </w:tc>
        <w:tc>
          <w:tcPr>
            <w:tcW w:w="787" w:type="pct"/>
            <w:tcBorders>
              <w:top w:val="nil"/>
              <w:left w:val="nil"/>
              <w:bottom w:val="single" w:sz="4" w:space="0" w:color="auto"/>
              <w:right w:val="single" w:sz="4" w:space="0" w:color="auto"/>
            </w:tcBorders>
            <w:shd w:val="clear" w:color="95B3D7" w:fill="FFFFFF"/>
            <w:noWrap/>
            <w:vAlign w:val="bottom"/>
            <w:hideMark/>
          </w:tcPr>
          <w:p w:rsidR="00C8251A" w:rsidRPr="00972554" w:rsidRDefault="00C8251A" w:rsidP="00972554">
            <w:pPr>
              <w:spacing w:line="240" w:lineRule="auto"/>
              <w:jc w:val="right"/>
              <w:rPr>
                <w:rFonts w:ascii="Calibri" w:hAnsi="Calibri" w:cs="Calibri"/>
                <w:color w:val="000000"/>
                <w:sz w:val="18"/>
                <w:szCs w:val="18"/>
                <w:lang w:val="sl-SI" w:eastAsia="sl-SI"/>
              </w:rPr>
            </w:pPr>
            <w:r w:rsidRPr="00972554">
              <w:rPr>
                <w:rFonts w:ascii="Calibri" w:hAnsi="Calibri"/>
                <w:sz w:val="18"/>
                <w:szCs w:val="18"/>
              </w:rPr>
              <w:t xml:space="preserve">6.093,06 </w:t>
            </w:r>
          </w:p>
        </w:tc>
        <w:tc>
          <w:tcPr>
            <w:tcW w:w="776" w:type="pct"/>
            <w:tcBorders>
              <w:top w:val="nil"/>
              <w:left w:val="nil"/>
              <w:bottom w:val="single" w:sz="4" w:space="0" w:color="auto"/>
              <w:right w:val="single" w:sz="4" w:space="0" w:color="auto"/>
            </w:tcBorders>
            <w:shd w:val="clear" w:color="95B3D7" w:fill="FFFFFF"/>
            <w:noWrap/>
            <w:vAlign w:val="bottom"/>
            <w:hideMark/>
          </w:tcPr>
          <w:p w:rsidR="00C8251A" w:rsidRPr="00972554" w:rsidRDefault="00C8251A" w:rsidP="00972554">
            <w:pPr>
              <w:spacing w:line="240" w:lineRule="auto"/>
              <w:jc w:val="right"/>
              <w:rPr>
                <w:rFonts w:ascii="Calibri" w:hAnsi="Calibri" w:cs="Calibri"/>
                <w:color w:val="000000"/>
                <w:sz w:val="18"/>
                <w:szCs w:val="18"/>
                <w:lang w:val="sl-SI" w:eastAsia="sl-SI"/>
              </w:rPr>
            </w:pPr>
            <w:r w:rsidRPr="00972554">
              <w:rPr>
                <w:rFonts w:ascii="Calibri" w:hAnsi="Calibri"/>
                <w:sz w:val="18"/>
                <w:szCs w:val="18"/>
              </w:rPr>
              <w:t xml:space="preserve">0,00 </w:t>
            </w:r>
          </w:p>
        </w:tc>
        <w:tc>
          <w:tcPr>
            <w:tcW w:w="864" w:type="pct"/>
            <w:tcBorders>
              <w:top w:val="nil"/>
              <w:left w:val="nil"/>
              <w:bottom w:val="single" w:sz="4" w:space="0" w:color="auto"/>
              <w:right w:val="single" w:sz="4" w:space="0" w:color="auto"/>
            </w:tcBorders>
            <w:shd w:val="clear" w:color="95B3D7" w:fill="FFFFFF"/>
            <w:noWrap/>
            <w:vAlign w:val="bottom"/>
            <w:hideMark/>
          </w:tcPr>
          <w:p w:rsidR="00C8251A" w:rsidRPr="00972554" w:rsidRDefault="00C8251A" w:rsidP="00972554">
            <w:pPr>
              <w:spacing w:line="240" w:lineRule="auto"/>
              <w:jc w:val="right"/>
              <w:rPr>
                <w:rFonts w:ascii="Calibri" w:hAnsi="Calibri" w:cs="Calibri"/>
                <w:color w:val="000000"/>
                <w:sz w:val="18"/>
                <w:szCs w:val="18"/>
                <w:lang w:val="sl-SI" w:eastAsia="sl-SI"/>
              </w:rPr>
            </w:pPr>
            <w:r w:rsidRPr="00972554">
              <w:rPr>
                <w:rFonts w:ascii="Calibri" w:hAnsi="Calibri"/>
                <w:sz w:val="18"/>
                <w:szCs w:val="18"/>
              </w:rPr>
              <w:t xml:space="preserve">53.958,00 </w:t>
            </w:r>
          </w:p>
        </w:tc>
        <w:tc>
          <w:tcPr>
            <w:tcW w:w="726" w:type="pct"/>
            <w:tcBorders>
              <w:top w:val="nil"/>
              <w:left w:val="nil"/>
              <w:bottom w:val="single" w:sz="4" w:space="0" w:color="auto"/>
              <w:right w:val="single" w:sz="4" w:space="0" w:color="auto"/>
            </w:tcBorders>
            <w:shd w:val="clear" w:color="95B3D7" w:fill="FFFFFF"/>
            <w:noWrap/>
            <w:vAlign w:val="bottom"/>
            <w:hideMark/>
          </w:tcPr>
          <w:p w:rsidR="00C8251A" w:rsidRPr="00972554" w:rsidRDefault="00C8251A" w:rsidP="00972554">
            <w:pPr>
              <w:spacing w:line="240" w:lineRule="auto"/>
              <w:jc w:val="right"/>
              <w:rPr>
                <w:rFonts w:ascii="Calibri" w:hAnsi="Calibri" w:cs="Calibri"/>
                <w:color w:val="000000"/>
                <w:sz w:val="18"/>
                <w:szCs w:val="18"/>
                <w:lang w:val="sl-SI" w:eastAsia="sl-SI"/>
              </w:rPr>
            </w:pPr>
            <w:r w:rsidRPr="00972554">
              <w:rPr>
                <w:rFonts w:ascii="Calibri" w:hAnsi="Calibri"/>
                <w:sz w:val="18"/>
                <w:szCs w:val="18"/>
              </w:rPr>
              <w:t xml:space="preserve">0,00 </w:t>
            </w:r>
          </w:p>
        </w:tc>
        <w:tc>
          <w:tcPr>
            <w:tcW w:w="654" w:type="pct"/>
            <w:tcBorders>
              <w:top w:val="nil"/>
              <w:left w:val="nil"/>
              <w:bottom w:val="single" w:sz="4" w:space="0" w:color="auto"/>
              <w:right w:val="single" w:sz="4" w:space="0" w:color="auto"/>
            </w:tcBorders>
            <w:shd w:val="clear" w:color="95B3D7" w:fill="FFFFFF"/>
            <w:noWrap/>
            <w:vAlign w:val="bottom"/>
            <w:hideMark/>
          </w:tcPr>
          <w:p w:rsidR="00C8251A" w:rsidRPr="00972554" w:rsidRDefault="00C8251A" w:rsidP="00972554">
            <w:pPr>
              <w:spacing w:line="240" w:lineRule="auto"/>
              <w:jc w:val="right"/>
              <w:rPr>
                <w:rFonts w:ascii="Calibri" w:hAnsi="Calibri" w:cs="Calibri"/>
                <w:color w:val="000000"/>
                <w:sz w:val="18"/>
                <w:szCs w:val="18"/>
                <w:lang w:val="sl-SI" w:eastAsia="sl-SI"/>
              </w:rPr>
            </w:pPr>
            <w:r w:rsidRPr="00972554">
              <w:rPr>
                <w:rFonts w:ascii="Calibri" w:hAnsi="Calibri"/>
                <w:sz w:val="18"/>
                <w:szCs w:val="18"/>
              </w:rPr>
              <w:t xml:space="preserve">11.726.667,95 </w:t>
            </w:r>
          </w:p>
        </w:tc>
      </w:tr>
      <w:tr w:rsidR="00C8251A" w:rsidRPr="0046725A" w:rsidTr="00972554">
        <w:trPr>
          <w:trHeight w:val="285"/>
        </w:trPr>
        <w:tc>
          <w:tcPr>
            <w:tcW w:w="349" w:type="pct"/>
            <w:tcBorders>
              <w:top w:val="nil"/>
              <w:left w:val="single" w:sz="4" w:space="0" w:color="auto"/>
              <w:bottom w:val="single" w:sz="4" w:space="0" w:color="auto"/>
              <w:right w:val="single" w:sz="4" w:space="0" w:color="auto"/>
            </w:tcBorders>
            <w:shd w:val="clear" w:color="B8CCE4" w:fill="FFFFFF"/>
            <w:noWrap/>
            <w:vAlign w:val="bottom"/>
            <w:hideMark/>
          </w:tcPr>
          <w:p w:rsidR="00C8251A" w:rsidRPr="00322A0C" w:rsidRDefault="00C8251A" w:rsidP="00322A0C">
            <w:pPr>
              <w:spacing w:line="240" w:lineRule="auto"/>
              <w:jc w:val="right"/>
              <w:rPr>
                <w:rFonts w:ascii="Calibri" w:hAnsi="Calibri" w:cs="Arial"/>
                <w:sz w:val="18"/>
                <w:szCs w:val="18"/>
                <w:lang w:val="sl-SI" w:eastAsia="sl-SI"/>
              </w:rPr>
            </w:pPr>
            <w:r w:rsidRPr="00322A0C">
              <w:rPr>
                <w:rFonts w:ascii="Calibri" w:hAnsi="Calibri" w:cs="Arial"/>
                <w:sz w:val="18"/>
                <w:szCs w:val="18"/>
                <w:lang w:val="sl-SI" w:eastAsia="sl-SI"/>
              </w:rPr>
              <w:t>87.300</w:t>
            </w:r>
          </w:p>
        </w:tc>
        <w:tc>
          <w:tcPr>
            <w:tcW w:w="844" w:type="pct"/>
            <w:tcBorders>
              <w:top w:val="nil"/>
              <w:left w:val="nil"/>
              <w:bottom w:val="single" w:sz="4" w:space="0" w:color="auto"/>
              <w:right w:val="single" w:sz="4" w:space="0" w:color="auto"/>
            </w:tcBorders>
            <w:shd w:val="clear" w:color="B8CCE4" w:fill="FFFFFF"/>
            <w:noWrap/>
            <w:vAlign w:val="bottom"/>
            <w:hideMark/>
          </w:tcPr>
          <w:p w:rsidR="00C8251A" w:rsidRPr="00972554" w:rsidRDefault="00C8251A" w:rsidP="00116FC1">
            <w:pPr>
              <w:spacing w:line="240" w:lineRule="auto"/>
              <w:jc w:val="right"/>
              <w:rPr>
                <w:rFonts w:ascii="Calibri" w:hAnsi="Calibri" w:cs="Calibri"/>
                <w:color w:val="000000"/>
                <w:sz w:val="18"/>
                <w:szCs w:val="18"/>
                <w:lang w:val="sl-SI" w:eastAsia="sl-SI"/>
              </w:rPr>
            </w:pPr>
            <w:r w:rsidRPr="00972554">
              <w:rPr>
                <w:rFonts w:ascii="Calibri" w:hAnsi="Calibri"/>
                <w:sz w:val="18"/>
                <w:szCs w:val="18"/>
              </w:rPr>
              <w:t xml:space="preserve">47.355,58 </w:t>
            </w:r>
          </w:p>
        </w:tc>
        <w:tc>
          <w:tcPr>
            <w:tcW w:w="787" w:type="pct"/>
            <w:tcBorders>
              <w:top w:val="nil"/>
              <w:left w:val="nil"/>
              <w:bottom w:val="single" w:sz="4" w:space="0" w:color="auto"/>
              <w:right w:val="single" w:sz="4" w:space="0" w:color="auto"/>
            </w:tcBorders>
            <w:shd w:val="clear" w:color="B8CCE4" w:fill="FFFFFF"/>
            <w:noWrap/>
            <w:vAlign w:val="bottom"/>
            <w:hideMark/>
          </w:tcPr>
          <w:p w:rsidR="00C8251A" w:rsidRPr="00972554" w:rsidRDefault="00C8251A" w:rsidP="00972554">
            <w:pPr>
              <w:spacing w:line="240" w:lineRule="auto"/>
              <w:jc w:val="right"/>
              <w:rPr>
                <w:rFonts w:ascii="Calibri" w:hAnsi="Calibri" w:cs="Calibri"/>
                <w:color w:val="000000"/>
                <w:sz w:val="18"/>
                <w:szCs w:val="18"/>
                <w:lang w:val="sl-SI" w:eastAsia="sl-SI"/>
              </w:rPr>
            </w:pPr>
            <w:r w:rsidRPr="00972554">
              <w:rPr>
                <w:rFonts w:ascii="Calibri" w:hAnsi="Calibri"/>
                <w:sz w:val="18"/>
                <w:szCs w:val="18"/>
              </w:rPr>
              <w:t xml:space="preserve">0,00 </w:t>
            </w:r>
          </w:p>
        </w:tc>
        <w:tc>
          <w:tcPr>
            <w:tcW w:w="776" w:type="pct"/>
            <w:tcBorders>
              <w:top w:val="nil"/>
              <w:left w:val="nil"/>
              <w:bottom w:val="single" w:sz="4" w:space="0" w:color="auto"/>
              <w:right w:val="single" w:sz="4" w:space="0" w:color="auto"/>
            </w:tcBorders>
            <w:shd w:val="clear" w:color="B8CCE4" w:fill="FFFFFF"/>
            <w:noWrap/>
            <w:vAlign w:val="bottom"/>
            <w:hideMark/>
          </w:tcPr>
          <w:p w:rsidR="00C8251A" w:rsidRPr="00972554" w:rsidRDefault="00C8251A" w:rsidP="00972554">
            <w:pPr>
              <w:spacing w:line="240" w:lineRule="auto"/>
              <w:jc w:val="right"/>
              <w:rPr>
                <w:rFonts w:ascii="Calibri" w:hAnsi="Calibri" w:cs="Calibri"/>
                <w:color w:val="000000"/>
                <w:sz w:val="18"/>
                <w:szCs w:val="18"/>
                <w:lang w:val="sl-SI" w:eastAsia="sl-SI"/>
              </w:rPr>
            </w:pPr>
            <w:r w:rsidRPr="00972554">
              <w:rPr>
                <w:rFonts w:ascii="Calibri" w:hAnsi="Calibri"/>
                <w:sz w:val="18"/>
                <w:szCs w:val="18"/>
              </w:rPr>
              <w:t xml:space="preserve">45.509,00 </w:t>
            </w:r>
          </w:p>
        </w:tc>
        <w:tc>
          <w:tcPr>
            <w:tcW w:w="864" w:type="pct"/>
            <w:tcBorders>
              <w:top w:val="nil"/>
              <w:left w:val="nil"/>
              <w:bottom w:val="single" w:sz="4" w:space="0" w:color="auto"/>
              <w:right w:val="single" w:sz="4" w:space="0" w:color="auto"/>
            </w:tcBorders>
            <w:shd w:val="clear" w:color="B8CCE4" w:fill="FFFFFF"/>
            <w:noWrap/>
            <w:vAlign w:val="bottom"/>
            <w:hideMark/>
          </w:tcPr>
          <w:p w:rsidR="00C8251A" w:rsidRPr="00972554" w:rsidRDefault="00C8251A" w:rsidP="00972554">
            <w:pPr>
              <w:spacing w:line="240" w:lineRule="auto"/>
              <w:jc w:val="right"/>
              <w:rPr>
                <w:rFonts w:ascii="Calibri" w:hAnsi="Calibri" w:cs="Calibri"/>
                <w:color w:val="000000"/>
                <w:sz w:val="18"/>
                <w:szCs w:val="18"/>
                <w:lang w:val="sl-SI" w:eastAsia="sl-SI"/>
              </w:rPr>
            </w:pPr>
            <w:r w:rsidRPr="00972554">
              <w:rPr>
                <w:rFonts w:ascii="Calibri" w:hAnsi="Calibri"/>
                <w:sz w:val="18"/>
                <w:szCs w:val="18"/>
              </w:rPr>
              <w:t xml:space="preserve">0,00 </w:t>
            </w:r>
          </w:p>
        </w:tc>
        <w:tc>
          <w:tcPr>
            <w:tcW w:w="726" w:type="pct"/>
            <w:tcBorders>
              <w:top w:val="nil"/>
              <w:left w:val="nil"/>
              <w:bottom w:val="single" w:sz="4" w:space="0" w:color="auto"/>
              <w:right w:val="single" w:sz="4" w:space="0" w:color="auto"/>
            </w:tcBorders>
            <w:shd w:val="clear" w:color="B8CCE4" w:fill="FFFFFF"/>
            <w:noWrap/>
            <w:vAlign w:val="bottom"/>
            <w:hideMark/>
          </w:tcPr>
          <w:p w:rsidR="00C8251A" w:rsidRPr="00972554" w:rsidRDefault="00C8251A" w:rsidP="00972554">
            <w:pPr>
              <w:spacing w:line="240" w:lineRule="auto"/>
              <w:jc w:val="right"/>
              <w:rPr>
                <w:rFonts w:ascii="Calibri" w:hAnsi="Calibri" w:cs="Calibri"/>
                <w:color w:val="000000"/>
                <w:sz w:val="18"/>
                <w:szCs w:val="18"/>
                <w:lang w:val="sl-SI" w:eastAsia="sl-SI"/>
              </w:rPr>
            </w:pPr>
            <w:r w:rsidRPr="00972554">
              <w:rPr>
                <w:rFonts w:ascii="Calibri" w:hAnsi="Calibri"/>
                <w:sz w:val="18"/>
                <w:szCs w:val="18"/>
              </w:rPr>
              <w:t xml:space="preserve">333.333,00 </w:t>
            </w:r>
          </w:p>
        </w:tc>
        <w:tc>
          <w:tcPr>
            <w:tcW w:w="654" w:type="pct"/>
            <w:tcBorders>
              <w:top w:val="nil"/>
              <w:left w:val="nil"/>
              <w:bottom w:val="single" w:sz="4" w:space="0" w:color="auto"/>
              <w:right w:val="single" w:sz="4" w:space="0" w:color="auto"/>
            </w:tcBorders>
            <w:shd w:val="clear" w:color="B8CCE4" w:fill="FFFFFF"/>
            <w:noWrap/>
            <w:vAlign w:val="bottom"/>
            <w:hideMark/>
          </w:tcPr>
          <w:p w:rsidR="00C8251A" w:rsidRPr="00972554" w:rsidRDefault="00C8251A" w:rsidP="00972554">
            <w:pPr>
              <w:spacing w:line="240" w:lineRule="auto"/>
              <w:jc w:val="right"/>
              <w:rPr>
                <w:rFonts w:ascii="Calibri" w:hAnsi="Calibri" w:cs="Calibri"/>
                <w:color w:val="000000"/>
                <w:sz w:val="18"/>
                <w:szCs w:val="18"/>
                <w:lang w:val="sl-SI" w:eastAsia="sl-SI"/>
              </w:rPr>
            </w:pPr>
            <w:r w:rsidRPr="00972554">
              <w:rPr>
                <w:rFonts w:ascii="Calibri" w:hAnsi="Calibri"/>
                <w:sz w:val="18"/>
                <w:szCs w:val="18"/>
              </w:rPr>
              <w:t xml:space="preserve">5.366.896,02 </w:t>
            </w:r>
          </w:p>
        </w:tc>
      </w:tr>
    </w:tbl>
    <w:p w:rsidR="00506B25" w:rsidRDefault="00506B25" w:rsidP="00FA1892"/>
    <w:p w:rsidR="004512B8" w:rsidRDefault="0020760E" w:rsidP="004512B8">
      <w:r>
        <w:t>Povzetek izkazanih presežkov prihodkov nad odhodki oziroma presežkov odhodkov nad prihodki  za izbrane skupine SKD na dan 31.12.</w:t>
      </w:r>
      <w:r w:rsidR="00C95EA1">
        <w:t xml:space="preserve">2018 </w:t>
      </w:r>
      <w:r>
        <w:t>prikazuje</w:t>
      </w:r>
      <w:r w:rsidR="00C011A0">
        <w:t xml:space="preserve"> </w:t>
      </w:r>
      <w:r w:rsidR="002D6B97">
        <w:t>(</w:t>
      </w:r>
      <w:r w:rsidR="00C011A0">
        <w:fldChar w:fldCharType="begin"/>
      </w:r>
      <w:r w:rsidR="00C011A0">
        <w:instrText xml:space="preserve"> REF _Ref390174791 \h </w:instrText>
      </w:r>
      <w:r w:rsidR="00C011A0">
        <w:fldChar w:fldCharType="separate"/>
      </w:r>
      <w:r w:rsidR="00CE55C4">
        <w:t xml:space="preserve">Slika </w:t>
      </w:r>
      <w:r w:rsidR="00CE55C4">
        <w:rPr>
          <w:noProof/>
        </w:rPr>
        <w:t>10</w:t>
      </w:r>
      <w:r w:rsidR="00C011A0">
        <w:fldChar w:fldCharType="end"/>
      </w:r>
      <w:r w:rsidR="002D6B97">
        <w:t>)</w:t>
      </w:r>
      <w:r>
        <w:t>, da izkazuje najvišjo vrednost presežka prihodkov nad odhodki dejavnost visokošolskega izobraževanja</w:t>
      </w:r>
      <w:r w:rsidR="00B93230">
        <w:t>, b</w:t>
      </w:r>
      <w:r>
        <w:t>olnišnična zdravstvena dejavnost pa izkazuje najvišjo vrednost presežka odhodkov nad prihodki.</w:t>
      </w:r>
      <w:bookmarkStart w:id="82" w:name="_Ref390174791"/>
    </w:p>
    <w:p w:rsidR="004512B8" w:rsidRDefault="004512B8">
      <w:pPr>
        <w:spacing w:line="240" w:lineRule="auto"/>
        <w:jc w:val="left"/>
      </w:pPr>
      <w:r>
        <w:br w:type="page"/>
      </w:r>
    </w:p>
    <w:p w:rsidR="0020760E" w:rsidRDefault="0020760E" w:rsidP="004512B8">
      <w:bookmarkStart w:id="83" w:name="_Toc49771355"/>
      <w:r>
        <w:lastRenderedPageBreak/>
        <w:t xml:space="preserve">Slika </w:t>
      </w:r>
      <w:r>
        <w:fldChar w:fldCharType="begin"/>
      </w:r>
      <w:r>
        <w:instrText xml:space="preserve"> SEQ Slika \* ARABIC </w:instrText>
      </w:r>
      <w:r>
        <w:fldChar w:fldCharType="separate"/>
      </w:r>
      <w:r w:rsidR="00CE55C4">
        <w:rPr>
          <w:noProof/>
        </w:rPr>
        <w:t>10</w:t>
      </w:r>
      <w:r>
        <w:fldChar w:fldCharType="end"/>
      </w:r>
      <w:bookmarkEnd w:id="82"/>
      <w:r w:rsidR="00B93230">
        <w:t>:</w:t>
      </w:r>
      <w:r w:rsidR="00284C86">
        <w:t xml:space="preserve"> Prikaz presežkov prihodkov nad odhodki oziroma presežkov odhodkov nad </w:t>
      </w:r>
      <w:proofErr w:type="gramStart"/>
      <w:r w:rsidR="00284C86">
        <w:t>prihodki  po</w:t>
      </w:r>
      <w:proofErr w:type="gramEnd"/>
      <w:r w:rsidR="00284C86">
        <w:t xml:space="preserve"> izbranih skupinah SKD</w:t>
      </w:r>
      <w:r w:rsidR="00506B25">
        <w:rPr>
          <w:rStyle w:val="FootnoteReference"/>
        </w:rPr>
        <w:footnoteReference w:id="4"/>
      </w:r>
      <w:r w:rsidR="00284C86">
        <w:t xml:space="preserve"> za PPU državnega proračuna na dan 31.12.201</w:t>
      </w:r>
      <w:r w:rsidR="00C95EA1">
        <w:t>8</w:t>
      </w:r>
      <w:r w:rsidR="00C27D3D">
        <w:t xml:space="preserve"> v</w:t>
      </w:r>
      <w:r w:rsidR="00284C86">
        <w:t xml:space="preserve"> (</w:t>
      </w:r>
      <w:r w:rsidR="000D1328">
        <w:t>€</w:t>
      </w:r>
      <w:r w:rsidR="00284C86">
        <w:t>)</w:t>
      </w:r>
      <w:bookmarkEnd w:id="83"/>
    </w:p>
    <w:p w:rsidR="00322437" w:rsidRDefault="00322437" w:rsidP="00322437">
      <w:pPr>
        <w:spacing w:line="240" w:lineRule="auto"/>
      </w:pPr>
      <w:r>
        <w:rPr>
          <w:noProof/>
          <w:lang w:val="sl-SI" w:eastAsia="sl-SI"/>
        </w:rPr>
        <w:drawing>
          <wp:inline distT="0" distB="0" distL="0" distR="0" wp14:anchorId="1E5CC8AD" wp14:editId="688B586E">
            <wp:extent cx="5574182" cy="1843430"/>
            <wp:effectExtent l="0" t="0" r="7620" b="4445"/>
            <wp:docPr id="5" name="Picture 5" descr="Prikaz dobička/izgube SKD  za PPUD na dan 31.12.2018 v (€)" title="Prikaz presežkov prihodkov nad odhodki oziroma presežkov odhodkov nad prihodki  po izbranih skupinah SKD  za PPU državnega proračuna na dan 31.12.2018 v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74185" cy="1843431"/>
                    </a:xfrm>
                    <a:prstGeom prst="rect">
                      <a:avLst/>
                    </a:prstGeom>
                    <a:noFill/>
                  </pic:spPr>
                </pic:pic>
              </a:graphicData>
            </a:graphic>
          </wp:inline>
        </w:drawing>
      </w:r>
    </w:p>
    <w:p w:rsidR="008D22AE" w:rsidRDefault="008D22AE" w:rsidP="00CF6BD8">
      <w:pPr>
        <w:spacing w:line="240" w:lineRule="auto"/>
        <w:jc w:val="center"/>
      </w:pPr>
    </w:p>
    <w:p w:rsidR="00150664" w:rsidRDefault="00150664" w:rsidP="00FD376A">
      <w:proofErr w:type="gramStart"/>
      <w:r>
        <w:t>Podrobna analiza strukture porazde</w:t>
      </w:r>
      <w:r w:rsidR="006A06A6">
        <w:t>litve premoženja in obveznosti P</w:t>
      </w:r>
      <w:r>
        <w:t xml:space="preserve">PU državnega proračuna je prikazana v </w:t>
      </w:r>
      <w:r w:rsidR="00FD376A">
        <w:t>Tabela 14</w:t>
      </w:r>
      <w:r w:rsidR="00446FAE">
        <w:t xml:space="preserve"> </w:t>
      </w:r>
      <w:r>
        <w:t xml:space="preserve">(za </w:t>
      </w:r>
      <w:r w:rsidR="0020760E">
        <w:t>3</w:t>
      </w:r>
      <w:r>
        <w:t xml:space="preserve"> PPU državnega proračuna z največjo vrednostjo).</w:t>
      </w:r>
      <w:proofErr w:type="gramEnd"/>
    </w:p>
    <w:p w:rsidR="00150664" w:rsidRDefault="00150664" w:rsidP="00FA1892"/>
    <w:p w:rsidR="00150664" w:rsidRDefault="00150664" w:rsidP="00150664">
      <w:pPr>
        <w:pStyle w:val="Caption"/>
      </w:pPr>
      <w:bookmarkStart w:id="84" w:name="_Ref389640343"/>
      <w:bookmarkStart w:id="85" w:name="_Toc49771336"/>
      <w:r>
        <w:t xml:space="preserve">Tabela </w:t>
      </w:r>
      <w:r>
        <w:fldChar w:fldCharType="begin"/>
      </w:r>
      <w:r>
        <w:instrText xml:space="preserve"> SEQ Tabela \* ARABIC </w:instrText>
      </w:r>
      <w:r>
        <w:fldChar w:fldCharType="separate"/>
      </w:r>
      <w:r w:rsidR="00CE55C4">
        <w:rPr>
          <w:noProof/>
        </w:rPr>
        <w:t>14</w:t>
      </w:r>
      <w:r>
        <w:fldChar w:fldCharType="end"/>
      </w:r>
      <w:bookmarkEnd w:id="84"/>
      <w:r>
        <w:t xml:space="preserve">: </w:t>
      </w:r>
      <w:r w:rsidR="0005765C">
        <w:t xml:space="preserve">Struktura porazdelitve premoženja PPU državnega proračuna po PU </w:t>
      </w:r>
      <w:proofErr w:type="gramStart"/>
      <w:r w:rsidR="0005765C">
        <w:t>na</w:t>
      </w:r>
      <w:proofErr w:type="gramEnd"/>
      <w:r w:rsidR="0005765C">
        <w:t xml:space="preserve"> dan 31.12.201</w:t>
      </w:r>
      <w:r w:rsidR="00383A06">
        <w:t>8</w:t>
      </w:r>
      <w:bookmarkEnd w:id="85"/>
    </w:p>
    <w:p w:rsidR="00FA1892" w:rsidRDefault="00FA1892" w:rsidP="00FA1892"/>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82"/>
        <w:gridCol w:w="1843"/>
        <w:gridCol w:w="1417"/>
      </w:tblGrid>
      <w:tr w:rsidR="005C06FA" w:rsidRPr="00972554" w:rsidTr="005C06FA">
        <w:trPr>
          <w:trHeight w:val="300"/>
          <w:tblHeader/>
        </w:trPr>
        <w:tc>
          <w:tcPr>
            <w:tcW w:w="5882" w:type="dxa"/>
            <w:shd w:val="pct25" w:color="auto" w:fill="auto"/>
            <w:noWrap/>
            <w:vAlign w:val="bottom"/>
          </w:tcPr>
          <w:p w:rsidR="005C06FA" w:rsidRPr="00382B0F" w:rsidRDefault="005C06FA" w:rsidP="001F6A16">
            <w:pPr>
              <w:spacing w:line="240" w:lineRule="auto"/>
              <w:rPr>
                <w:rFonts w:ascii="Calibri" w:hAnsi="Calibri"/>
                <w:b/>
                <w:bCs/>
                <w:color w:val="000000"/>
                <w:sz w:val="18"/>
                <w:szCs w:val="18"/>
                <w:lang w:eastAsia="sl-SI"/>
              </w:rPr>
            </w:pPr>
          </w:p>
        </w:tc>
        <w:tc>
          <w:tcPr>
            <w:tcW w:w="3260" w:type="dxa"/>
            <w:gridSpan w:val="2"/>
            <w:shd w:val="pct25" w:color="auto" w:fill="auto"/>
            <w:noWrap/>
            <w:vAlign w:val="bottom"/>
          </w:tcPr>
          <w:p w:rsidR="005C06FA" w:rsidRPr="00412299" w:rsidRDefault="005C06FA" w:rsidP="00382B0F">
            <w:pPr>
              <w:spacing w:line="240" w:lineRule="auto"/>
              <w:jc w:val="center"/>
              <w:rPr>
                <w:rFonts w:ascii="Calibri" w:hAnsi="Calibri"/>
                <w:b/>
                <w:bCs/>
                <w:sz w:val="18"/>
                <w:szCs w:val="18"/>
                <w:lang w:eastAsia="sl-SI"/>
              </w:rPr>
            </w:pPr>
            <w:r w:rsidRPr="00382B0F">
              <w:rPr>
                <w:rFonts w:ascii="Calibri" w:hAnsi="Calibri"/>
                <w:b/>
                <w:bCs/>
                <w:sz w:val="18"/>
                <w:szCs w:val="18"/>
                <w:lang w:eastAsia="sl-SI"/>
              </w:rPr>
              <w:t>Stanje na dan 31.12.201</w:t>
            </w:r>
            <w:r w:rsidR="00383A06" w:rsidRPr="00382B0F">
              <w:rPr>
                <w:rFonts w:ascii="Calibri" w:hAnsi="Calibri"/>
                <w:b/>
                <w:bCs/>
                <w:sz w:val="18"/>
                <w:szCs w:val="18"/>
                <w:lang w:eastAsia="sl-SI"/>
              </w:rPr>
              <w:t>8</w:t>
            </w:r>
          </w:p>
        </w:tc>
      </w:tr>
      <w:tr w:rsidR="005C06FA" w:rsidRPr="00972554" w:rsidTr="005C06FA">
        <w:trPr>
          <w:trHeight w:val="300"/>
          <w:tblHeader/>
        </w:trPr>
        <w:tc>
          <w:tcPr>
            <w:tcW w:w="5882" w:type="dxa"/>
            <w:shd w:val="pct25" w:color="auto" w:fill="auto"/>
            <w:noWrap/>
            <w:vAlign w:val="bottom"/>
          </w:tcPr>
          <w:p w:rsidR="005C06FA" w:rsidRPr="00972554" w:rsidRDefault="005C06FA" w:rsidP="001F6A16">
            <w:pPr>
              <w:spacing w:line="240" w:lineRule="auto"/>
              <w:rPr>
                <w:rFonts w:ascii="Calibri" w:hAnsi="Calibri"/>
                <w:b/>
                <w:bCs/>
                <w:color w:val="000000"/>
                <w:sz w:val="18"/>
                <w:szCs w:val="18"/>
                <w:lang w:eastAsia="sl-SI"/>
              </w:rPr>
            </w:pPr>
            <w:r w:rsidRPr="00972554">
              <w:rPr>
                <w:rFonts w:ascii="Calibri" w:hAnsi="Calibri"/>
                <w:b/>
                <w:bCs/>
                <w:color w:val="000000"/>
                <w:sz w:val="18"/>
                <w:szCs w:val="18"/>
                <w:lang w:eastAsia="sl-SI"/>
              </w:rPr>
              <w:t>Oznaka in naziv AOP/ PU z največjo vrednostjo</w:t>
            </w:r>
          </w:p>
        </w:tc>
        <w:tc>
          <w:tcPr>
            <w:tcW w:w="1843" w:type="dxa"/>
            <w:shd w:val="pct25" w:color="auto" w:fill="auto"/>
            <w:noWrap/>
            <w:vAlign w:val="bottom"/>
          </w:tcPr>
          <w:p w:rsidR="005C06FA" w:rsidRPr="00972554" w:rsidRDefault="00ED5290" w:rsidP="001F6A16">
            <w:pPr>
              <w:spacing w:line="240" w:lineRule="auto"/>
              <w:jc w:val="center"/>
              <w:rPr>
                <w:rFonts w:ascii="Calibri" w:hAnsi="Calibri"/>
                <w:b/>
                <w:bCs/>
                <w:color w:val="000000"/>
                <w:sz w:val="18"/>
                <w:szCs w:val="18"/>
                <w:lang w:eastAsia="sl-SI"/>
              </w:rPr>
            </w:pPr>
            <w:r w:rsidRPr="00972554">
              <w:rPr>
                <w:rFonts w:ascii="Calibri" w:hAnsi="Calibri"/>
                <w:b/>
                <w:bCs/>
                <w:color w:val="000000"/>
                <w:sz w:val="18"/>
                <w:szCs w:val="18"/>
                <w:lang w:eastAsia="sl-SI"/>
              </w:rPr>
              <w:t>(</w:t>
            </w:r>
            <w:r w:rsidR="00C119DA">
              <w:rPr>
                <w:rFonts w:ascii="Calibri" w:hAnsi="Calibri"/>
                <w:b/>
                <w:bCs/>
                <w:color w:val="000000"/>
                <w:sz w:val="18"/>
                <w:szCs w:val="18"/>
                <w:lang w:eastAsia="sl-SI"/>
              </w:rPr>
              <w:t>€</w:t>
            </w:r>
            <w:r w:rsidRPr="00972554">
              <w:rPr>
                <w:rFonts w:ascii="Calibri" w:hAnsi="Calibri"/>
                <w:b/>
                <w:bCs/>
                <w:color w:val="000000"/>
                <w:sz w:val="18"/>
                <w:szCs w:val="18"/>
                <w:lang w:eastAsia="sl-SI"/>
              </w:rPr>
              <w:t>)</w:t>
            </w:r>
          </w:p>
        </w:tc>
        <w:tc>
          <w:tcPr>
            <w:tcW w:w="1417" w:type="dxa"/>
            <w:shd w:val="pct25" w:color="auto" w:fill="auto"/>
            <w:noWrap/>
            <w:vAlign w:val="bottom"/>
          </w:tcPr>
          <w:p w:rsidR="005C06FA" w:rsidRPr="00972554" w:rsidRDefault="00C119DA" w:rsidP="001F6A16">
            <w:pPr>
              <w:spacing w:line="240" w:lineRule="auto"/>
              <w:jc w:val="center"/>
              <w:rPr>
                <w:rFonts w:ascii="Calibri" w:hAnsi="Calibri"/>
                <w:b/>
                <w:bCs/>
                <w:sz w:val="18"/>
                <w:szCs w:val="18"/>
                <w:lang w:eastAsia="sl-SI"/>
              </w:rPr>
            </w:pPr>
            <w:r>
              <w:rPr>
                <w:rFonts w:ascii="Calibri" w:hAnsi="Calibri"/>
                <w:b/>
                <w:bCs/>
                <w:sz w:val="18"/>
                <w:szCs w:val="18"/>
                <w:lang w:eastAsia="sl-SI"/>
              </w:rPr>
              <w:t>%</w:t>
            </w:r>
          </w:p>
        </w:tc>
      </w:tr>
      <w:tr w:rsidR="005C06FA" w:rsidRPr="00972554" w:rsidTr="005C06FA">
        <w:trPr>
          <w:trHeight w:val="300"/>
          <w:tblHeader/>
        </w:trPr>
        <w:tc>
          <w:tcPr>
            <w:tcW w:w="5882" w:type="dxa"/>
            <w:shd w:val="pct25" w:color="auto" w:fill="auto"/>
            <w:noWrap/>
            <w:vAlign w:val="bottom"/>
          </w:tcPr>
          <w:p w:rsidR="005C06FA" w:rsidRPr="00972554" w:rsidRDefault="005C06FA" w:rsidP="001F6A16">
            <w:pPr>
              <w:spacing w:line="240" w:lineRule="auto"/>
              <w:jc w:val="center"/>
              <w:rPr>
                <w:rFonts w:ascii="Calibri" w:hAnsi="Calibri"/>
                <w:b/>
                <w:bCs/>
                <w:color w:val="000000"/>
                <w:sz w:val="18"/>
                <w:szCs w:val="18"/>
                <w:lang w:eastAsia="sl-SI"/>
              </w:rPr>
            </w:pPr>
            <w:r w:rsidRPr="00972554">
              <w:rPr>
                <w:rFonts w:ascii="Calibri" w:hAnsi="Calibri"/>
                <w:b/>
                <w:bCs/>
                <w:color w:val="000000"/>
                <w:sz w:val="18"/>
                <w:szCs w:val="18"/>
                <w:lang w:eastAsia="sl-SI"/>
              </w:rPr>
              <w:t>1</w:t>
            </w:r>
          </w:p>
        </w:tc>
        <w:tc>
          <w:tcPr>
            <w:tcW w:w="1843" w:type="dxa"/>
            <w:shd w:val="pct25" w:color="auto" w:fill="auto"/>
            <w:noWrap/>
            <w:vAlign w:val="bottom"/>
          </w:tcPr>
          <w:p w:rsidR="005C06FA" w:rsidRPr="00972554" w:rsidRDefault="005C06FA" w:rsidP="001F6A16">
            <w:pPr>
              <w:spacing w:line="240" w:lineRule="auto"/>
              <w:jc w:val="center"/>
              <w:rPr>
                <w:rFonts w:ascii="Calibri" w:hAnsi="Calibri"/>
                <w:b/>
                <w:bCs/>
                <w:color w:val="000000"/>
                <w:sz w:val="18"/>
                <w:szCs w:val="18"/>
                <w:lang w:eastAsia="sl-SI"/>
              </w:rPr>
            </w:pPr>
            <w:r w:rsidRPr="00972554">
              <w:rPr>
                <w:rFonts w:ascii="Calibri" w:hAnsi="Calibri"/>
                <w:b/>
                <w:bCs/>
                <w:color w:val="000000"/>
                <w:sz w:val="18"/>
                <w:szCs w:val="18"/>
                <w:lang w:eastAsia="sl-SI"/>
              </w:rPr>
              <w:t>2</w:t>
            </w:r>
          </w:p>
        </w:tc>
        <w:tc>
          <w:tcPr>
            <w:tcW w:w="1417" w:type="dxa"/>
            <w:shd w:val="pct25" w:color="auto" w:fill="auto"/>
            <w:noWrap/>
            <w:vAlign w:val="bottom"/>
          </w:tcPr>
          <w:p w:rsidR="005C06FA" w:rsidRPr="00972554" w:rsidRDefault="005C06FA" w:rsidP="001F6A16">
            <w:pPr>
              <w:spacing w:line="240" w:lineRule="auto"/>
              <w:jc w:val="center"/>
              <w:rPr>
                <w:rFonts w:ascii="Calibri" w:hAnsi="Calibri"/>
                <w:b/>
                <w:bCs/>
                <w:sz w:val="18"/>
                <w:szCs w:val="18"/>
                <w:lang w:eastAsia="sl-SI"/>
              </w:rPr>
            </w:pPr>
            <w:r w:rsidRPr="00972554">
              <w:rPr>
                <w:rFonts w:ascii="Calibri" w:hAnsi="Calibri"/>
                <w:b/>
                <w:bCs/>
                <w:sz w:val="18"/>
                <w:szCs w:val="18"/>
                <w:lang w:eastAsia="sl-SI"/>
              </w:rPr>
              <w:t>3</w:t>
            </w:r>
          </w:p>
        </w:tc>
      </w:tr>
      <w:tr w:rsidR="000F5112" w:rsidRPr="00972554" w:rsidTr="00972554">
        <w:trPr>
          <w:trHeight w:val="300"/>
        </w:trPr>
        <w:tc>
          <w:tcPr>
            <w:tcW w:w="5882" w:type="dxa"/>
            <w:shd w:val="clear" w:color="auto" w:fill="auto"/>
            <w:noWrap/>
            <w:hideMark/>
          </w:tcPr>
          <w:p w:rsidR="000F5112" w:rsidRPr="00412299" w:rsidRDefault="000F5112" w:rsidP="006932B0">
            <w:pPr>
              <w:spacing w:line="240" w:lineRule="auto"/>
              <w:jc w:val="left"/>
              <w:rPr>
                <w:rFonts w:ascii="Calibri" w:hAnsi="Calibri"/>
                <w:b/>
                <w:bCs/>
                <w:sz w:val="18"/>
                <w:szCs w:val="18"/>
                <w:lang w:eastAsia="sl-SI"/>
              </w:rPr>
            </w:pPr>
            <w:r w:rsidRPr="00972554">
              <w:rPr>
                <w:rFonts w:ascii="Calibri" w:hAnsi="Calibri"/>
                <w:b/>
                <w:sz w:val="18"/>
                <w:szCs w:val="18"/>
              </w:rPr>
              <w:t xml:space="preserve">200-Sedanja vrednost neopredmetenih sredstev in dolgoročnih aktivnih časovnih razmejitev </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b/>
                <w:bCs/>
                <w:sz w:val="18"/>
                <w:szCs w:val="18"/>
                <w:lang w:eastAsia="sl-SI"/>
              </w:rPr>
            </w:pPr>
            <w:r w:rsidRPr="00972554">
              <w:rPr>
                <w:rFonts w:ascii="Calibri" w:hAnsi="Calibri"/>
                <w:b/>
                <w:sz w:val="18"/>
                <w:szCs w:val="18"/>
              </w:rPr>
              <w:t xml:space="preserve">35.096.132 </w:t>
            </w:r>
          </w:p>
        </w:tc>
        <w:tc>
          <w:tcPr>
            <w:tcW w:w="1417" w:type="dxa"/>
            <w:shd w:val="clear" w:color="auto" w:fill="FFFFFF"/>
            <w:noWrap/>
            <w:vAlign w:val="bottom"/>
            <w:hideMark/>
          </w:tcPr>
          <w:p w:rsidR="000F5112" w:rsidRPr="00382B0F" w:rsidRDefault="000F5112" w:rsidP="00412299">
            <w:pPr>
              <w:spacing w:line="240" w:lineRule="auto"/>
              <w:jc w:val="right"/>
              <w:rPr>
                <w:rFonts w:ascii="Calibri" w:hAnsi="Calibri"/>
                <w:b/>
                <w:bCs/>
                <w:sz w:val="18"/>
                <w:szCs w:val="18"/>
                <w:lang w:eastAsia="sl-SI"/>
              </w:rPr>
            </w:pPr>
          </w:p>
        </w:tc>
      </w:tr>
      <w:tr w:rsidR="000F5112" w:rsidRPr="00972554" w:rsidTr="00972554">
        <w:trPr>
          <w:trHeight w:val="300"/>
        </w:trPr>
        <w:tc>
          <w:tcPr>
            <w:tcW w:w="5882" w:type="dxa"/>
            <w:shd w:val="clear" w:color="auto" w:fill="auto"/>
            <w:noWrap/>
            <w:hideMark/>
          </w:tcPr>
          <w:p w:rsidR="000F5112" w:rsidRPr="00412299" w:rsidRDefault="000F5112"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ONKOLOŠKI INŠTITUT LJUBLJANA</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sz w:val="18"/>
                <w:szCs w:val="18"/>
                <w:lang w:eastAsia="sl-SI"/>
              </w:rPr>
            </w:pPr>
            <w:r w:rsidRPr="00972554">
              <w:rPr>
                <w:rFonts w:ascii="Calibri" w:hAnsi="Calibri"/>
                <w:sz w:val="18"/>
                <w:szCs w:val="18"/>
              </w:rPr>
              <w:t xml:space="preserve">3.956.180 </w:t>
            </w:r>
          </w:p>
        </w:tc>
        <w:tc>
          <w:tcPr>
            <w:tcW w:w="1417" w:type="dxa"/>
            <w:shd w:val="clear" w:color="auto" w:fill="FFFFFF"/>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11,27</w:t>
            </w:r>
          </w:p>
        </w:tc>
      </w:tr>
      <w:tr w:rsidR="000F5112" w:rsidRPr="00972554" w:rsidTr="00972554">
        <w:trPr>
          <w:trHeight w:val="300"/>
        </w:trPr>
        <w:tc>
          <w:tcPr>
            <w:tcW w:w="5882" w:type="dxa"/>
            <w:shd w:val="clear" w:color="auto" w:fill="auto"/>
            <w:noWrap/>
            <w:hideMark/>
          </w:tcPr>
          <w:p w:rsidR="000F5112" w:rsidRPr="00412299" w:rsidRDefault="000F5112"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NACIONALNI INŠTITUT ZA JAVNO ZDRAVJE</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sz w:val="18"/>
                <w:szCs w:val="18"/>
                <w:lang w:eastAsia="sl-SI"/>
              </w:rPr>
            </w:pPr>
            <w:r w:rsidRPr="00972554">
              <w:rPr>
                <w:rFonts w:ascii="Calibri" w:hAnsi="Calibri"/>
                <w:sz w:val="18"/>
                <w:szCs w:val="18"/>
              </w:rPr>
              <w:t xml:space="preserve">3.937.554 </w:t>
            </w:r>
          </w:p>
        </w:tc>
        <w:tc>
          <w:tcPr>
            <w:tcW w:w="1417" w:type="dxa"/>
            <w:shd w:val="clear" w:color="auto" w:fill="FFFFFF"/>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11,22</w:t>
            </w:r>
          </w:p>
        </w:tc>
      </w:tr>
      <w:tr w:rsidR="000F5112" w:rsidRPr="00972554" w:rsidTr="00972554">
        <w:trPr>
          <w:trHeight w:val="300"/>
        </w:trPr>
        <w:tc>
          <w:tcPr>
            <w:tcW w:w="5882" w:type="dxa"/>
            <w:shd w:val="clear" w:color="auto" w:fill="auto"/>
            <w:noWrap/>
            <w:hideMark/>
          </w:tcPr>
          <w:p w:rsidR="000F5112" w:rsidRPr="00972554" w:rsidRDefault="000F5112" w:rsidP="00382B0F">
            <w:pPr>
              <w:spacing w:line="240" w:lineRule="auto"/>
              <w:ind w:firstLineChars="100" w:firstLine="180"/>
              <w:jc w:val="left"/>
              <w:rPr>
                <w:rFonts w:ascii="Calibri" w:hAnsi="Calibri"/>
                <w:sz w:val="18"/>
                <w:szCs w:val="18"/>
                <w:lang w:eastAsia="sl-SI"/>
              </w:rPr>
            </w:pPr>
            <w:r w:rsidRPr="002B775E">
              <w:rPr>
                <w:rFonts w:ascii="Calibri" w:hAnsi="Calibri"/>
                <w:sz w:val="18"/>
                <w:szCs w:val="18"/>
              </w:rPr>
              <w:t>RTV SLOVENIJA</w:t>
            </w:r>
          </w:p>
        </w:tc>
        <w:tc>
          <w:tcPr>
            <w:tcW w:w="1843" w:type="dxa"/>
            <w:shd w:val="clear" w:color="auto" w:fill="auto"/>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 xml:space="preserve">2.790.023 </w:t>
            </w:r>
          </w:p>
        </w:tc>
        <w:tc>
          <w:tcPr>
            <w:tcW w:w="1417" w:type="dxa"/>
            <w:shd w:val="clear" w:color="auto" w:fill="FFFFFF"/>
            <w:noWrap/>
            <w:vAlign w:val="bottom"/>
            <w:hideMark/>
          </w:tcPr>
          <w:p w:rsidR="000F5112" w:rsidRPr="00412299" w:rsidRDefault="000F5112" w:rsidP="00116FC1">
            <w:pPr>
              <w:spacing w:line="240" w:lineRule="auto"/>
              <w:jc w:val="right"/>
              <w:rPr>
                <w:rFonts w:ascii="Calibri" w:hAnsi="Calibri"/>
                <w:sz w:val="18"/>
                <w:szCs w:val="18"/>
                <w:lang w:eastAsia="sl-SI"/>
              </w:rPr>
            </w:pPr>
            <w:r w:rsidRPr="00972554">
              <w:rPr>
                <w:rFonts w:ascii="Calibri" w:hAnsi="Calibri"/>
                <w:sz w:val="18"/>
                <w:szCs w:val="18"/>
              </w:rPr>
              <w:t>7,95</w:t>
            </w:r>
          </w:p>
        </w:tc>
      </w:tr>
      <w:tr w:rsidR="000F5112" w:rsidRPr="00972554" w:rsidTr="00972554">
        <w:trPr>
          <w:trHeight w:val="300"/>
        </w:trPr>
        <w:tc>
          <w:tcPr>
            <w:tcW w:w="5882" w:type="dxa"/>
            <w:shd w:val="clear" w:color="auto" w:fill="auto"/>
            <w:noWrap/>
            <w:hideMark/>
          </w:tcPr>
          <w:p w:rsidR="000F5112" w:rsidRPr="00412299" w:rsidRDefault="000F5112"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201-Nabavna vrednost neopredmetenih sredstev in dolgoročnih aktivnih časovnih razmejitev </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b/>
                <w:bCs/>
                <w:sz w:val="18"/>
                <w:szCs w:val="18"/>
                <w:lang w:eastAsia="sl-SI"/>
              </w:rPr>
            </w:pPr>
            <w:r w:rsidRPr="00972554">
              <w:rPr>
                <w:rFonts w:ascii="Calibri" w:hAnsi="Calibri"/>
                <w:b/>
                <w:sz w:val="18"/>
                <w:szCs w:val="18"/>
              </w:rPr>
              <w:t xml:space="preserve">180.920.898 </w:t>
            </w:r>
          </w:p>
        </w:tc>
        <w:tc>
          <w:tcPr>
            <w:tcW w:w="1417" w:type="dxa"/>
            <w:shd w:val="clear" w:color="auto" w:fill="FFFFFF"/>
            <w:noWrap/>
            <w:vAlign w:val="bottom"/>
            <w:hideMark/>
          </w:tcPr>
          <w:p w:rsidR="000F5112" w:rsidRPr="00382B0F" w:rsidRDefault="000F5112" w:rsidP="00412299">
            <w:pPr>
              <w:spacing w:line="240" w:lineRule="auto"/>
              <w:jc w:val="right"/>
              <w:rPr>
                <w:rFonts w:ascii="Calibri" w:hAnsi="Calibri"/>
                <w:b/>
                <w:bCs/>
                <w:sz w:val="18"/>
                <w:szCs w:val="18"/>
                <w:lang w:eastAsia="sl-SI"/>
              </w:rPr>
            </w:pPr>
          </w:p>
        </w:tc>
      </w:tr>
      <w:tr w:rsidR="000F5112" w:rsidRPr="00972554" w:rsidTr="00972554">
        <w:trPr>
          <w:trHeight w:val="300"/>
        </w:trPr>
        <w:tc>
          <w:tcPr>
            <w:tcW w:w="5882" w:type="dxa"/>
            <w:shd w:val="clear" w:color="auto" w:fill="auto"/>
            <w:noWrap/>
            <w:hideMark/>
          </w:tcPr>
          <w:p w:rsidR="000F5112" w:rsidRPr="00412299" w:rsidRDefault="000F5112"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Slovenski filmski center, javna agencija </w:t>
            </w:r>
            <w:r w:rsidRPr="002B775E">
              <w:rPr>
                <w:rFonts w:ascii="Calibri" w:hAnsi="Calibri"/>
                <w:sz w:val="18"/>
                <w:szCs w:val="18"/>
              </w:rPr>
              <w:t>RS</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sz w:val="18"/>
                <w:szCs w:val="18"/>
                <w:lang w:eastAsia="sl-SI"/>
              </w:rPr>
            </w:pPr>
            <w:r w:rsidRPr="00972554">
              <w:rPr>
                <w:rFonts w:ascii="Calibri" w:hAnsi="Calibri"/>
                <w:sz w:val="18"/>
                <w:szCs w:val="18"/>
              </w:rPr>
              <w:t xml:space="preserve">36.590.035 </w:t>
            </w:r>
          </w:p>
        </w:tc>
        <w:tc>
          <w:tcPr>
            <w:tcW w:w="1417" w:type="dxa"/>
            <w:shd w:val="clear" w:color="auto" w:fill="FFFFFF"/>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20,22</w:t>
            </w:r>
          </w:p>
        </w:tc>
      </w:tr>
      <w:tr w:rsidR="000F5112" w:rsidRPr="00972554" w:rsidTr="00972554">
        <w:trPr>
          <w:trHeight w:val="300"/>
        </w:trPr>
        <w:tc>
          <w:tcPr>
            <w:tcW w:w="5882" w:type="dxa"/>
            <w:shd w:val="clear" w:color="auto" w:fill="auto"/>
            <w:noWrap/>
            <w:hideMark/>
          </w:tcPr>
          <w:p w:rsidR="000F5112" w:rsidRPr="00412299" w:rsidRDefault="000F5112"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NACIONALNI INŠTITUT ZA JAVNO ZDRAVJE</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sz w:val="18"/>
                <w:szCs w:val="18"/>
                <w:lang w:eastAsia="sl-SI"/>
              </w:rPr>
            </w:pPr>
            <w:r w:rsidRPr="00972554">
              <w:rPr>
                <w:rFonts w:ascii="Calibri" w:hAnsi="Calibri"/>
                <w:sz w:val="18"/>
                <w:szCs w:val="18"/>
              </w:rPr>
              <w:t xml:space="preserve">13.725.016 </w:t>
            </w:r>
          </w:p>
        </w:tc>
        <w:tc>
          <w:tcPr>
            <w:tcW w:w="1417" w:type="dxa"/>
            <w:shd w:val="clear" w:color="auto" w:fill="FFFFFF"/>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7,59</w:t>
            </w:r>
          </w:p>
        </w:tc>
      </w:tr>
      <w:tr w:rsidR="000F5112" w:rsidRPr="00972554" w:rsidTr="00972554">
        <w:trPr>
          <w:trHeight w:val="300"/>
        </w:trPr>
        <w:tc>
          <w:tcPr>
            <w:tcW w:w="5882" w:type="dxa"/>
            <w:shd w:val="clear" w:color="auto" w:fill="auto"/>
            <w:noWrap/>
            <w:hideMark/>
          </w:tcPr>
          <w:p w:rsidR="000F5112" w:rsidRPr="00412299" w:rsidRDefault="000F5112"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UNIVERZITETNI KLINIČNI CENTER LJUBLJANA</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sz w:val="18"/>
                <w:szCs w:val="18"/>
                <w:lang w:eastAsia="sl-SI"/>
              </w:rPr>
            </w:pPr>
            <w:r w:rsidRPr="00972554">
              <w:rPr>
                <w:rFonts w:ascii="Calibri" w:hAnsi="Calibri"/>
                <w:sz w:val="18"/>
                <w:szCs w:val="18"/>
              </w:rPr>
              <w:t xml:space="preserve">13.437.348 </w:t>
            </w:r>
          </w:p>
        </w:tc>
        <w:tc>
          <w:tcPr>
            <w:tcW w:w="1417" w:type="dxa"/>
            <w:shd w:val="clear" w:color="auto" w:fill="FFFFFF"/>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7,43</w:t>
            </w:r>
          </w:p>
        </w:tc>
      </w:tr>
      <w:tr w:rsidR="000F5112" w:rsidRPr="00972554" w:rsidTr="00972554">
        <w:trPr>
          <w:trHeight w:val="300"/>
        </w:trPr>
        <w:tc>
          <w:tcPr>
            <w:tcW w:w="5882" w:type="dxa"/>
            <w:shd w:val="clear" w:color="auto" w:fill="auto"/>
            <w:noWrap/>
            <w:hideMark/>
          </w:tcPr>
          <w:p w:rsidR="000F5112" w:rsidRPr="00412299" w:rsidRDefault="000F5112"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202-Popravki vrednosti neopredmetenih sredstev </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b/>
                <w:bCs/>
                <w:sz w:val="18"/>
                <w:szCs w:val="18"/>
                <w:lang w:eastAsia="sl-SI"/>
              </w:rPr>
            </w:pPr>
            <w:r w:rsidRPr="00972554">
              <w:rPr>
                <w:rFonts w:ascii="Calibri" w:hAnsi="Calibri"/>
                <w:b/>
                <w:sz w:val="18"/>
                <w:szCs w:val="18"/>
              </w:rPr>
              <w:t xml:space="preserve">145.824.766 </w:t>
            </w:r>
          </w:p>
        </w:tc>
        <w:tc>
          <w:tcPr>
            <w:tcW w:w="1417" w:type="dxa"/>
            <w:shd w:val="clear" w:color="auto" w:fill="FFFFFF"/>
            <w:noWrap/>
            <w:vAlign w:val="bottom"/>
            <w:hideMark/>
          </w:tcPr>
          <w:p w:rsidR="000F5112" w:rsidRPr="00382B0F" w:rsidRDefault="000F5112" w:rsidP="00412299">
            <w:pPr>
              <w:spacing w:line="240" w:lineRule="auto"/>
              <w:jc w:val="right"/>
              <w:rPr>
                <w:rFonts w:ascii="Calibri" w:hAnsi="Calibri"/>
                <w:b/>
                <w:bCs/>
                <w:sz w:val="18"/>
                <w:szCs w:val="18"/>
                <w:lang w:eastAsia="sl-SI"/>
              </w:rPr>
            </w:pPr>
          </w:p>
        </w:tc>
      </w:tr>
      <w:tr w:rsidR="000F5112" w:rsidRPr="00972554" w:rsidTr="00972554">
        <w:trPr>
          <w:trHeight w:val="300"/>
        </w:trPr>
        <w:tc>
          <w:tcPr>
            <w:tcW w:w="5882" w:type="dxa"/>
            <w:shd w:val="clear" w:color="auto" w:fill="auto"/>
            <w:noWrap/>
            <w:hideMark/>
          </w:tcPr>
          <w:p w:rsidR="000F5112" w:rsidRPr="00972554" w:rsidRDefault="000F5112"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Slovenski filmski center, javna agencija </w:t>
            </w:r>
            <w:r w:rsidRPr="002B775E">
              <w:rPr>
                <w:rFonts w:ascii="Calibri" w:hAnsi="Calibri"/>
                <w:sz w:val="18"/>
                <w:szCs w:val="18"/>
              </w:rPr>
              <w:t>RS</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sz w:val="18"/>
                <w:szCs w:val="18"/>
                <w:lang w:eastAsia="sl-SI"/>
              </w:rPr>
            </w:pPr>
            <w:r w:rsidRPr="00972554">
              <w:rPr>
                <w:rFonts w:ascii="Calibri" w:hAnsi="Calibri"/>
                <w:sz w:val="18"/>
                <w:szCs w:val="18"/>
              </w:rPr>
              <w:t xml:space="preserve">34.511.712 </w:t>
            </w:r>
          </w:p>
        </w:tc>
        <w:tc>
          <w:tcPr>
            <w:tcW w:w="1417" w:type="dxa"/>
            <w:shd w:val="clear" w:color="auto" w:fill="FFFFFF"/>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23,67</w:t>
            </w:r>
          </w:p>
        </w:tc>
      </w:tr>
      <w:tr w:rsidR="000F5112" w:rsidRPr="00972554" w:rsidTr="00972554">
        <w:trPr>
          <w:trHeight w:val="300"/>
        </w:trPr>
        <w:tc>
          <w:tcPr>
            <w:tcW w:w="5882" w:type="dxa"/>
            <w:shd w:val="clear" w:color="auto" w:fill="auto"/>
            <w:noWrap/>
            <w:hideMark/>
          </w:tcPr>
          <w:p w:rsidR="000F5112" w:rsidRPr="00412299" w:rsidRDefault="000F5112"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UNIVERZITETNI KLINIČNI CENTER LJUBLJANA</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sz w:val="18"/>
                <w:szCs w:val="18"/>
                <w:lang w:eastAsia="sl-SI"/>
              </w:rPr>
            </w:pPr>
            <w:r w:rsidRPr="00972554">
              <w:rPr>
                <w:rFonts w:ascii="Calibri" w:hAnsi="Calibri"/>
                <w:sz w:val="18"/>
                <w:szCs w:val="18"/>
              </w:rPr>
              <w:t xml:space="preserve">11.095.999 </w:t>
            </w:r>
          </w:p>
        </w:tc>
        <w:tc>
          <w:tcPr>
            <w:tcW w:w="1417" w:type="dxa"/>
            <w:shd w:val="clear" w:color="auto" w:fill="FFFFFF"/>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7,61</w:t>
            </w:r>
          </w:p>
        </w:tc>
      </w:tr>
      <w:tr w:rsidR="000F5112" w:rsidRPr="00972554" w:rsidTr="00972554">
        <w:trPr>
          <w:trHeight w:val="300"/>
        </w:trPr>
        <w:tc>
          <w:tcPr>
            <w:tcW w:w="5882" w:type="dxa"/>
            <w:shd w:val="clear" w:color="auto" w:fill="auto"/>
            <w:noWrap/>
            <w:hideMark/>
          </w:tcPr>
          <w:p w:rsidR="000F5112" w:rsidRPr="00412299" w:rsidRDefault="000F5112" w:rsidP="00382B0F">
            <w:pPr>
              <w:spacing w:line="240" w:lineRule="auto"/>
              <w:ind w:firstLineChars="100" w:firstLine="180"/>
              <w:jc w:val="left"/>
              <w:rPr>
                <w:rFonts w:ascii="Calibri" w:hAnsi="Calibri"/>
                <w:sz w:val="18"/>
                <w:szCs w:val="18"/>
                <w:lang w:eastAsia="sl-SI"/>
              </w:rPr>
            </w:pPr>
            <w:r w:rsidRPr="002B775E">
              <w:rPr>
                <w:rFonts w:ascii="Calibri" w:hAnsi="Calibri"/>
                <w:sz w:val="18"/>
                <w:szCs w:val="18"/>
              </w:rPr>
              <w:t>RTV SLOVENIJA</w:t>
            </w:r>
          </w:p>
        </w:tc>
        <w:tc>
          <w:tcPr>
            <w:tcW w:w="1843" w:type="dxa"/>
            <w:shd w:val="clear" w:color="auto" w:fill="auto"/>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 xml:space="preserve">10.510.938 </w:t>
            </w:r>
          </w:p>
        </w:tc>
        <w:tc>
          <w:tcPr>
            <w:tcW w:w="1417" w:type="dxa"/>
            <w:shd w:val="clear" w:color="auto" w:fill="FFFFFF"/>
            <w:noWrap/>
            <w:vAlign w:val="bottom"/>
            <w:hideMark/>
          </w:tcPr>
          <w:p w:rsidR="000F5112" w:rsidRPr="00412299" w:rsidRDefault="000F5112" w:rsidP="00116FC1">
            <w:pPr>
              <w:spacing w:line="240" w:lineRule="auto"/>
              <w:jc w:val="right"/>
              <w:rPr>
                <w:rFonts w:ascii="Calibri" w:hAnsi="Calibri"/>
                <w:sz w:val="18"/>
                <w:szCs w:val="18"/>
                <w:lang w:eastAsia="sl-SI"/>
              </w:rPr>
            </w:pPr>
            <w:r w:rsidRPr="00972554">
              <w:rPr>
                <w:rFonts w:ascii="Calibri" w:hAnsi="Calibri"/>
                <w:sz w:val="18"/>
                <w:szCs w:val="18"/>
              </w:rPr>
              <w:t>7,21</w:t>
            </w:r>
          </w:p>
        </w:tc>
      </w:tr>
      <w:tr w:rsidR="000F5112" w:rsidRPr="00972554" w:rsidTr="00972554">
        <w:trPr>
          <w:trHeight w:val="300"/>
        </w:trPr>
        <w:tc>
          <w:tcPr>
            <w:tcW w:w="5882" w:type="dxa"/>
            <w:shd w:val="clear" w:color="auto" w:fill="auto"/>
            <w:noWrap/>
            <w:hideMark/>
          </w:tcPr>
          <w:p w:rsidR="000F5112" w:rsidRPr="00412299" w:rsidRDefault="000F5112"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203-Sedanja vrednost nepremičnin </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b/>
                <w:bCs/>
                <w:sz w:val="18"/>
                <w:szCs w:val="18"/>
                <w:lang w:eastAsia="sl-SI"/>
              </w:rPr>
            </w:pPr>
            <w:r w:rsidRPr="00972554">
              <w:rPr>
                <w:rFonts w:ascii="Calibri" w:hAnsi="Calibri"/>
                <w:b/>
                <w:sz w:val="18"/>
                <w:szCs w:val="18"/>
              </w:rPr>
              <w:t xml:space="preserve">2.824.643.389 </w:t>
            </w:r>
          </w:p>
        </w:tc>
        <w:tc>
          <w:tcPr>
            <w:tcW w:w="1417" w:type="dxa"/>
            <w:shd w:val="clear" w:color="auto" w:fill="FFFFFF"/>
            <w:noWrap/>
            <w:vAlign w:val="bottom"/>
            <w:hideMark/>
          </w:tcPr>
          <w:p w:rsidR="000F5112" w:rsidRPr="00382B0F" w:rsidRDefault="000F5112" w:rsidP="00412299">
            <w:pPr>
              <w:spacing w:line="240" w:lineRule="auto"/>
              <w:jc w:val="right"/>
              <w:rPr>
                <w:rFonts w:ascii="Calibri" w:hAnsi="Calibri"/>
                <w:b/>
                <w:bCs/>
                <w:sz w:val="18"/>
                <w:szCs w:val="18"/>
                <w:lang w:eastAsia="sl-SI"/>
              </w:rPr>
            </w:pPr>
          </w:p>
        </w:tc>
      </w:tr>
      <w:tr w:rsidR="000F5112" w:rsidRPr="00972554" w:rsidTr="00972554">
        <w:trPr>
          <w:trHeight w:val="300"/>
        </w:trPr>
        <w:tc>
          <w:tcPr>
            <w:tcW w:w="5882" w:type="dxa"/>
            <w:shd w:val="clear" w:color="auto" w:fill="auto"/>
            <w:noWrap/>
            <w:hideMark/>
          </w:tcPr>
          <w:p w:rsidR="000F5112" w:rsidRPr="00412299" w:rsidRDefault="000F5112"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SKLAD KMETIJSKIH ZEMLJIŠČ IN GOZDOV </w:t>
            </w:r>
            <w:r w:rsidRPr="002B775E">
              <w:rPr>
                <w:rFonts w:ascii="Calibri" w:hAnsi="Calibri"/>
                <w:sz w:val="18"/>
                <w:szCs w:val="18"/>
              </w:rPr>
              <w:t>RS</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sz w:val="18"/>
                <w:szCs w:val="18"/>
                <w:lang w:eastAsia="sl-SI"/>
              </w:rPr>
            </w:pPr>
            <w:r w:rsidRPr="00972554">
              <w:rPr>
                <w:rFonts w:ascii="Calibri" w:hAnsi="Calibri"/>
                <w:sz w:val="18"/>
                <w:szCs w:val="18"/>
              </w:rPr>
              <w:t xml:space="preserve">449.244.611 </w:t>
            </w:r>
          </w:p>
        </w:tc>
        <w:tc>
          <w:tcPr>
            <w:tcW w:w="1417" w:type="dxa"/>
            <w:shd w:val="clear" w:color="auto" w:fill="FFFFFF"/>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15,90</w:t>
            </w:r>
          </w:p>
        </w:tc>
      </w:tr>
      <w:tr w:rsidR="000F5112" w:rsidRPr="00972554" w:rsidTr="00972554">
        <w:trPr>
          <w:trHeight w:val="300"/>
        </w:trPr>
        <w:tc>
          <w:tcPr>
            <w:tcW w:w="5882" w:type="dxa"/>
            <w:shd w:val="clear" w:color="auto" w:fill="auto"/>
            <w:noWrap/>
            <w:hideMark/>
          </w:tcPr>
          <w:p w:rsidR="000F5112" w:rsidRPr="00972554" w:rsidRDefault="000F5112"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UNIVERZITETNI KLINIČNI CENTER LJUBLJANA</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sz w:val="18"/>
                <w:szCs w:val="18"/>
                <w:lang w:eastAsia="sl-SI"/>
              </w:rPr>
            </w:pPr>
            <w:r w:rsidRPr="00972554">
              <w:rPr>
                <w:rFonts w:ascii="Calibri" w:hAnsi="Calibri"/>
                <w:sz w:val="18"/>
                <w:szCs w:val="18"/>
              </w:rPr>
              <w:t xml:space="preserve">215.182.447 </w:t>
            </w:r>
          </w:p>
        </w:tc>
        <w:tc>
          <w:tcPr>
            <w:tcW w:w="1417" w:type="dxa"/>
            <w:shd w:val="clear" w:color="auto" w:fill="FFFFFF"/>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7,62</w:t>
            </w:r>
          </w:p>
        </w:tc>
      </w:tr>
      <w:tr w:rsidR="000F5112" w:rsidRPr="00972554" w:rsidTr="00972554">
        <w:trPr>
          <w:trHeight w:val="300"/>
        </w:trPr>
        <w:tc>
          <w:tcPr>
            <w:tcW w:w="5882" w:type="dxa"/>
            <w:shd w:val="clear" w:color="auto" w:fill="auto"/>
            <w:noWrap/>
            <w:hideMark/>
          </w:tcPr>
          <w:p w:rsidR="000F5112" w:rsidRPr="00412299" w:rsidRDefault="000F5112"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STANOVANJSKI SKLAD </w:t>
            </w:r>
            <w:r w:rsidRPr="002B775E">
              <w:rPr>
                <w:rFonts w:ascii="Calibri" w:hAnsi="Calibri"/>
                <w:sz w:val="18"/>
                <w:szCs w:val="18"/>
              </w:rPr>
              <w:t>RS</w:t>
            </w:r>
            <w:r w:rsidRPr="00972554">
              <w:rPr>
                <w:rFonts w:ascii="Calibri" w:hAnsi="Calibri"/>
                <w:sz w:val="18"/>
                <w:szCs w:val="18"/>
              </w:rPr>
              <w:t>, javni sklad</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sz w:val="18"/>
                <w:szCs w:val="18"/>
                <w:lang w:eastAsia="sl-SI"/>
              </w:rPr>
            </w:pPr>
            <w:r w:rsidRPr="00972554">
              <w:rPr>
                <w:rFonts w:ascii="Calibri" w:hAnsi="Calibri"/>
                <w:sz w:val="18"/>
                <w:szCs w:val="18"/>
              </w:rPr>
              <w:t xml:space="preserve">180.191.057 </w:t>
            </w:r>
          </w:p>
        </w:tc>
        <w:tc>
          <w:tcPr>
            <w:tcW w:w="1417" w:type="dxa"/>
            <w:shd w:val="clear" w:color="auto" w:fill="FFFFFF"/>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6,38</w:t>
            </w:r>
          </w:p>
        </w:tc>
      </w:tr>
      <w:tr w:rsidR="000F5112" w:rsidRPr="00972554" w:rsidTr="00972554">
        <w:trPr>
          <w:trHeight w:val="300"/>
        </w:trPr>
        <w:tc>
          <w:tcPr>
            <w:tcW w:w="5882" w:type="dxa"/>
            <w:shd w:val="clear" w:color="auto" w:fill="auto"/>
            <w:noWrap/>
            <w:hideMark/>
          </w:tcPr>
          <w:p w:rsidR="000F5112" w:rsidRPr="00412299" w:rsidRDefault="000F5112"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204-Nabavna vrednost nepremičnin </w:t>
            </w:r>
          </w:p>
        </w:tc>
        <w:tc>
          <w:tcPr>
            <w:tcW w:w="1843" w:type="dxa"/>
            <w:shd w:val="clear" w:color="auto" w:fill="auto"/>
            <w:noWrap/>
            <w:vAlign w:val="bottom"/>
            <w:hideMark/>
          </w:tcPr>
          <w:p w:rsidR="000F5112" w:rsidRPr="00116FC1" w:rsidRDefault="000F5112" w:rsidP="00382B0F">
            <w:pPr>
              <w:spacing w:line="240" w:lineRule="auto"/>
              <w:jc w:val="right"/>
              <w:rPr>
                <w:rFonts w:ascii="Calibri" w:hAnsi="Calibri"/>
                <w:b/>
                <w:bCs/>
                <w:sz w:val="18"/>
                <w:szCs w:val="18"/>
                <w:lang w:eastAsia="sl-SI"/>
              </w:rPr>
            </w:pPr>
            <w:r w:rsidRPr="00972554">
              <w:rPr>
                <w:rFonts w:ascii="Calibri" w:hAnsi="Calibri"/>
                <w:b/>
                <w:sz w:val="18"/>
                <w:szCs w:val="18"/>
              </w:rPr>
              <w:t xml:space="preserve">4.354.450.956 </w:t>
            </w:r>
          </w:p>
        </w:tc>
        <w:tc>
          <w:tcPr>
            <w:tcW w:w="1417" w:type="dxa"/>
            <w:shd w:val="clear" w:color="auto" w:fill="FFFFFF"/>
            <w:noWrap/>
            <w:vAlign w:val="bottom"/>
            <w:hideMark/>
          </w:tcPr>
          <w:p w:rsidR="000F5112" w:rsidRPr="00382B0F" w:rsidRDefault="000F5112" w:rsidP="00412299">
            <w:pPr>
              <w:spacing w:line="240" w:lineRule="auto"/>
              <w:jc w:val="right"/>
              <w:rPr>
                <w:rFonts w:ascii="Calibri" w:hAnsi="Calibri"/>
                <w:b/>
                <w:bCs/>
                <w:sz w:val="18"/>
                <w:szCs w:val="18"/>
                <w:lang w:eastAsia="sl-SI"/>
              </w:rPr>
            </w:pPr>
          </w:p>
        </w:tc>
      </w:tr>
      <w:tr w:rsidR="000F5112" w:rsidRPr="00972554" w:rsidTr="00972554">
        <w:trPr>
          <w:trHeight w:val="300"/>
        </w:trPr>
        <w:tc>
          <w:tcPr>
            <w:tcW w:w="5882" w:type="dxa"/>
            <w:shd w:val="clear" w:color="auto" w:fill="auto"/>
            <w:noWrap/>
            <w:hideMark/>
          </w:tcPr>
          <w:p w:rsidR="000F5112" w:rsidRPr="00412299" w:rsidRDefault="000F5112"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SKLAD KMETIJSKIH ZEMLJIŠČ IN GOZDOV </w:t>
            </w:r>
            <w:r w:rsidRPr="002B775E">
              <w:rPr>
                <w:rFonts w:ascii="Calibri" w:hAnsi="Calibri"/>
                <w:sz w:val="18"/>
                <w:szCs w:val="18"/>
              </w:rPr>
              <w:t>RS</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sz w:val="18"/>
                <w:szCs w:val="18"/>
                <w:lang w:eastAsia="sl-SI"/>
              </w:rPr>
            </w:pPr>
            <w:r w:rsidRPr="00972554">
              <w:rPr>
                <w:rFonts w:ascii="Calibri" w:hAnsi="Calibri"/>
                <w:sz w:val="18"/>
                <w:szCs w:val="18"/>
              </w:rPr>
              <w:t xml:space="preserve">450.062.325 </w:t>
            </w:r>
          </w:p>
        </w:tc>
        <w:tc>
          <w:tcPr>
            <w:tcW w:w="1417" w:type="dxa"/>
            <w:shd w:val="clear" w:color="auto" w:fill="FFFFFF"/>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10,34</w:t>
            </w:r>
          </w:p>
        </w:tc>
      </w:tr>
      <w:tr w:rsidR="000F5112" w:rsidRPr="00972554" w:rsidTr="00972554">
        <w:trPr>
          <w:trHeight w:val="300"/>
        </w:trPr>
        <w:tc>
          <w:tcPr>
            <w:tcW w:w="5882" w:type="dxa"/>
            <w:shd w:val="clear" w:color="auto" w:fill="auto"/>
            <w:noWrap/>
            <w:hideMark/>
          </w:tcPr>
          <w:p w:rsidR="000F5112" w:rsidRPr="00412299" w:rsidRDefault="000F5112"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UNIVERZITETNI KLINIČNI CENTER LJUBLJANA</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sz w:val="18"/>
                <w:szCs w:val="18"/>
                <w:lang w:eastAsia="sl-SI"/>
              </w:rPr>
            </w:pPr>
            <w:r w:rsidRPr="00972554">
              <w:rPr>
                <w:rFonts w:ascii="Calibri" w:hAnsi="Calibri"/>
                <w:sz w:val="18"/>
                <w:szCs w:val="18"/>
              </w:rPr>
              <w:t xml:space="preserve">326.409.170 </w:t>
            </w:r>
          </w:p>
        </w:tc>
        <w:tc>
          <w:tcPr>
            <w:tcW w:w="1417" w:type="dxa"/>
            <w:shd w:val="clear" w:color="auto" w:fill="FFFFFF"/>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7,50</w:t>
            </w:r>
          </w:p>
        </w:tc>
      </w:tr>
      <w:tr w:rsidR="000F5112" w:rsidRPr="00972554" w:rsidTr="00972554">
        <w:trPr>
          <w:trHeight w:val="300"/>
        </w:trPr>
        <w:tc>
          <w:tcPr>
            <w:tcW w:w="5882" w:type="dxa"/>
            <w:shd w:val="clear" w:color="auto" w:fill="auto"/>
            <w:noWrap/>
            <w:hideMark/>
          </w:tcPr>
          <w:p w:rsidR="000F5112" w:rsidRPr="00412299" w:rsidRDefault="000F5112"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STANOVANJSKI SKLAD </w:t>
            </w:r>
            <w:r w:rsidRPr="002B775E">
              <w:rPr>
                <w:rFonts w:ascii="Calibri" w:hAnsi="Calibri"/>
                <w:sz w:val="18"/>
                <w:szCs w:val="18"/>
              </w:rPr>
              <w:t>RS</w:t>
            </w:r>
            <w:r w:rsidRPr="00972554">
              <w:rPr>
                <w:rFonts w:ascii="Calibri" w:hAnsi="Calibri"/>
                <w:sz w:val="18"/>
                <w:szCs w:val="18"/>
              </w:rPr>
              <w:t>, javni sklad</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sz w:val="18"/>
                <w:szCs w:val="18"/>
                <w:lang w:eastAsia="sl-SI"/>
              </w:rPr>
            </w:pPr>
            <w:r w:rsidRPr="00972554">
              <w:rPr>
                <w:rFonts w:ascii="Calibri" w:hAnsi="Calibri"/>
                <w:sz w:val="18"/>
                <w:szCs w:val="18"/>
              </w:rPr>
              <w:t xml:space="preserve">235.962.054 </w:t>
            </w:r>
          </w:p>
        </w:tc>
        <w:tc>
          <w:tcPr>
            <w:tcW w:w="1417" w:type="dxa"/>
            <w:shd w:val="clear" w:color="auto" w:fill="FFFFFF"/>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5,42</w:t>
            </w:r>
          </w:p>
        </w:tc>
      </w:tr>
      <w:tr w:rsidR="000F5112" w:rsidRPr="00972554" w:rsidTr="00972554">
        <w:trPr>
          <w:trHeight w:val="300"/>
        </w:trPr>
        <w:tc>
          <w:tcPr>
            <w:tcW w:w="5882" w:type="dxa"/>
            <w:shd w:val="clear" w:color="auto" w:fill="auto"/>
            <w:noWrap/>
            <w:hideMark/>
          </w:tcPr>
          <w:p w:rsidR="000F5112" w:rsidRPr="00412299" w:rsidRDefault="000F5112" w:rsidP="00F454FD">
            <w:pPr>
              <w:spacing w:line="240" w:lineRule="auto"/>
              <w:jc w:val="left"/>
              <w:rPr>
                <w:rFonts w:ascii="Calibri" w:hAnsi="Calibri"/>
                <w:b/>
                <w:bCs/>
                <w:sz w:val="18"/>
                <w:szCs w:val="18"/>
                <w:lang w:eastAsia="sl-SI"/>
              </w:rPr>
            </w:pPr>
            <w:r w:rsidRPr="00972554">
              <w:rPr>
                <w:rFonts w:ascii="Calibri" w:hAnsi="Calibri"/>
                <w:b/>
                <w:sz w:val="18"/>
                <w:szCs w:val="18"/>
              </w:rPr>
              <w:lastRenderedPageBreak/>
              <w:t xml:space="preserve">205-Popravek vrednosti nepremičnin </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b/>
                <w:bCs/>
                <w:sz w:val="18"/>
                <w:szCs w:val="18"/>
                <w:lang w:eastAsia="sl-SI"/>
              </w:rPr>
            </w:pPr>
            <w:r w:rsidRPr="00972554">
              <w:rPr>
                <w:rFonts w:ascii="Calibri" w:hAnsi="Calibri"/>
                <w:b/>
                <w:sz w:val="18"/>
                <w:szCs w:val="18"/>
              </w:rPr>
              <w:t xml:space="preserve">1.529.807.567 </w:t>
            </w:r>
          </w:p>
        </w:tc>
        <w:tc>
          <w:tcPr>
            <w:tcW w:w="1417" w:type="dxa"/>
            <w:shd w:val="clear" w:color="auto" w:fill="FFFFFF"/>
            <w:noWrap/>
            <w:vAlign w:val="bottom"/>
          </w:tcPr>
          <w:p w:rsidR="000F5112" w:rsidRPr="00382B0F" w:rsidRDefault="000F5112" w:rsidP="00412299">
            <w:pPr>
              <w:spacing w:line="240" w:lineRule="auto"/>
              <w:jc w:val="right"/>
              <w:rPr>
                <w:rFonts w:ascii="Calibri" w:hAnsi="Calibri"/>
                <w:b/>
                <w:bCs/>
                <w:sz w:val="18"/>
                <w:szCs w:val="18"/>
                <w:lang w:eastAsia="sl-SI"/>
              </w:rPr>
            </w:pPr>
          </w:p>
        </w:tc>
      </w:tr>
      <w:tr w:rsidR="000F5112" w:rsidRPr="00972554" w:rsidTr="00972554">
        <w:trPr>
          <w:trHeight w:val="300"/>
        </w:trPr>
        <w:tc>
          <w:tcPr>
            <w:tcW w:w="5882" w:type="dxa"/>
            <w:shd w:val="clear" w:color="auto" w:fill="auto"/>
            <w:noWrap/>
            <w:hideMark/>
          </w:tcPr>
          <w:p w:rsidR="000F5112" w:rsidRPr="00972554" w:rsidRDefault="000F5112"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UNIVERZITETNI KLINIČNI CENTER LJUBLJANA</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sz w:val="18"/>
                <w:szCs w:val="18"/>
                <w:lang w:eastAsia="sl-SI"/>
              </w:rPr>
            </w:pPr>
            <w:r w:rsidRPr="00972554">
              <w:rPr>
                <w:rFonts w:ascii="Calibri" w:hAnsi="Calibri"/>
                <w:sz w:val="18"/>
                <w:szCs w:val="18"/>
              </w:rPr>
              <w:t xml:space="preserve">111.226.723 </w:t>
            </w:r>
          </w:p>
        </w:tc>
        <w:tc>
          <w:tcPr>
            <w:tcW w:w="1417" w:type="dxa"/>
            <w:shd w:val="clear" w:color="auto" w:fill="FFFFFF"/>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7,27</w:t>
            </w:r>
          </w:p>
        </w:tc>
      </w:tr>
      <w:tr w:rsidR="000F5112" w:rsidRPr="00972554" w:rsidTr="00972554">
        <w:trPr>
          <w:trHeight w:val="300"/>
        </w:trPr>
        <w:tc>
          <w:tcPr>
            <w:tcW w:w="5882" w:type="dxa"/>
            <w:shd w:val="clear" w:color="auto" w:fill="auto"/>
            <w:noWrap/>
            <w:hideMark/>
          </w:tcPr>
          <w:p w:rsidR="000F5112" w:rsidRPr="00412299" w:rsidRDefault="000F5112"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UNIVERZITETNI KLINIČNI CENTER MARIBOR</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sz w:val="18"/>
                <w:szCs w:val="18"/>
                <w:lang w:eastAsia="sl-SI"/>
              </w:rPr>
            </w:pPr>
            <w:r w:rsidRPr="00972554">
              <w:rPr>
                <w:rFonts w:ascii="Calibri" w:hAnsi="Calibri"/>
                <w:sz w:val="18"/>
                <w:szCs w:val="18"/>
              </w:rPr>
              <w:t xml:space="preserve">63.227.615 </w:t>
            </w:r>
          </w:p>
        </w:tc>
        <w:tc>
          <w:tcPr>
            <w:tcW w:w="1417" w:type="dxa"/>
            <w:shd w:val="clear" w:color="auto" w:fill="FFFFFF"/>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4,13</w:t>
            </w:r>
          </w:p>
        </w:tc>
      </w:tr>
      <w:tr w:rsidR="000F5112" w:rsidRPr="00972554" w:rsidTr="00972554">
        <w:trPr>
          <w:trHeight w:val="300"/>
        </w:trPr>
        <w:tc>
          <w:tcPr>
            <w:tcW w:w="5882" w:type="dxa"/>
            <w:shd w:val="clear" w:color="auto" w:fill="auto"/>
            <w:noWrap/>
            <w:hideMark/>
          </w:tcPr>
          <w:p w:rsidR="000F5112" w:rsidRPr="00412299" w:rsidRDefault="000F5112"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STANOVANJSKI SKLAD </w:t>
            </w:r>
            <w:r w:rsidRPr="002B775E">
              <w:rPr>
                <w:rFonts w:ascii="Calibri" w:hAnsi="Calibri"/>
                <w:sz w:val="18"/>
                <w:szCs w:val="18"/>
              </w:rPr>
              <w:t>RS</w:t>
            </w:r>
            <w:r w:rsidRPr="00972554">
              <w:rPr>
                <w:rFonts w:ascii="Calibri" w:hAnsi="Calibri"/>
                <w:sz w:val="18"/>
                <w:szCs w:val="18"/>
              </w:rPr>
              <w:t>, javni sklad</w:t>
            </w:r>
          </w:p>
        </w:tc>
        <w:tc>
          <w:tcPr>
            <w:tcW w:w="1843" w:type="dxa"/>
            <w:shd w:val="clear" w:color="auto" w:fill="auto"/>
            <w:noWrap/>
            <w:vAlign w:val="bottom"/>
            <w:hideMark/>
          </w:tcPr>
          <w:p w:rsidR="000F5112" w:rsidRPr="00116FC1" w:rsidRDefault="000F5112" w:rsidP="00382B0F">
            <w:pPr>
              <w:spacing w:line="240" w:lineRule="auto"/>
              <w:jc w:val="right"/>
              <w:rPr>
                <w:rFonts w:ascii="Calibri" w:hAnsi="Calibri"/>
                <w:sz w:val="18"/>
                <w:szCs w:val="18"/>
                <w:lang w:eastAsia="sl-SI"/>
              </w:rPr>
            </w:pPr>
            <w:r w:rsidRPr="00972554">
              <w:rPr>
                <w:rFonts w:ascii="Calibri" w:hAnsi="Calibri"/>
                <w:sz w:val="18"/>
                <w:szCs w:val="18"/>
              </w:rPr>
              <w:t xml:space="preserve">55.770.997 </w:t>
            </w:r>
          </w:p>
        </w:tc>
        <w:tc>
          <w:tcPr>
            <w:tcW w:w="1417" w:type="dxa"/>
            <w:shd w:val="clear" w:color="auto" w:fill="FFFFFF"/>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3,65</w:t>
            </w:r>
          </w:p>
        </w:tc>
      </w:tr>
      <w:tr w:rsidR="000F5112" w:rsidRPr="00972554" w:rsidTr="00972554">
        <w:trPr>
          <w:trHeight w:val="300"/>
        </w:trPr>
        <w:tc>
          <w:tcPr>
            <w:tcW w:w="5882" w:type="dxa"/>
            <w:shd w:val="clear" w:color="auto" w:fill="auto"/>
            <w:noWrap/>
            <w:hideMark/>
          </w:tcPr>
          <w:p w:rsidR="000F5112" w:rsidRPr="00412299" w:rsidRDefault="000F5112"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206-Sedanja vrednost opreme in drugih opredmetenih osnovnih sredstev </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b/>
                <w:bCs/>
                <w:sz w:val="18"/>
                <w:szCs w:val="18"/>
                <w:lang w:eastAsia="sl-SI"/>
              </w:rPr>
            </w:pPr>
            <w:r w:rsidRPr="00972554">
              <w:rPr>
                <w:rFonts w:ascii="Calibri" w:hAnsi="Calibri"/>
                <w:b/>
                <w:sz w:val="18"/>
                <w:szCs w:val="18"/>
              </w:rPr>
              <w:t xml:space="preserve">426.289.562 </w:t>
            </w:r>
          </w:p>
        </w:tc>
        <w:tc>
          <w:tcPr>
            <w:tcW w:w="1417" w:type="dxa"/>
            <w:shd w:val="clear" w:color="auto" w:fill="FFFFFF"/>
            <w:noWrap/>
            <w:vAlign w:val="bottom"/>
            <w:hideMark/>
          </w:tcPr>
          <w:p w:rsidR="000F5112" w:rsidRPr="00382B0F" w:rsidRDefault="000F5112" w:rsidP="00412299">
            <w:pPr>
              <w:spacing w:line="240" w:lineRule="auto"/>
              <w:jc w:val="right"/>
              <w:rPr>
                <w:rFonts w:ascii="Calibri" w:hAnsi="Calibri"/>
                <w:b/>
                <w:bCs/>
                <w:sz w:val="18"/>
                <w:szCs w:val="18"/>
                <w:lang w:eastAsia="sl-SI"/>
              </w:rPr>
            </w:pPr>
          </w:p>
        </w:tc>
      </w:tr>
      <w:tr w:rsidR="000F5112" w:rsidRPr="00972554" w:rsidTr="00972554">
        <w:trPr>
          <w:trHeight w:val="300"/>
        </w:trPr>
        <w:tc>
          <w:tcPr>
            <w:tcW w:w="5882" w:type="dxa"/>
            <w:shd w:val="clear" w:color="auto" w:fill="auto"/>
            <w:noWrap/>
            <w:hideMark/>
          </w:tcPr>
          <w:p w:rsidR="000F5112" w:rsidRPr="00412299" w:rsidRDefault="000F5112" w:rsidP="00382B0F">
            <w:pPr>
              <w:spacing w:line="240" w:lineRule="auto"/>
              <w:ind w:firstLineChars="100" w:firstLine="180"/>
              <w:jc w:val="left"/>
              <w:rPr>
                <w:rFonts w:ascii="Calibri" w:hAnsi="Calibri"/>
                <w:sz w:val="18"/>
                <w:szCs w:val="18"/>
                <w:lang w:eastAsia="sl-SI"/>
              </w:rPr>
            </w:pPr>
            <w:r w:rsidRPr="002B775E">
              <w:rPr>
                <w:rFonts w:ascii="Calibri" w:hAnsi="Calibri"/>
                <w:sz w:val="18"/>
                <w:szCs w:val="18"/>
              </w:rPr>
              <w:t>NARODNA GALERIJA</w:t>
            </w:r>
          </w:p>
        </w:tc>
        <w:tc>
          <w:tcPr>
            <w:tcW w:w="1843" w:type="dxa"/>
            <w:shd w:val="clear" w:color="auto" w:fill="auto"/>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 xml:space="preserve">51.425.057 </w:t>
            </w:r>
          </w:p>
        </w:tc>
        <w:tc>
          <w:tcPr>
            <w:tcW w:w="1417" w:type="dxa"/>
            <w:shd w:val="clear" w:color="auto" w:fill="FFFFFF"/>
            <w:noWrap/>
            <w:vAlign w:val="bottom"/>
            <w:hideMark/>
          </w:tcPr>
          <w:p w:rsidR="000F5112" w:rsidRPr="00412299" w:rsidRDefault="000F5112" w:rsidP="00116FC1">
            <w:pPr>
              <w:spacing w:line="240" w:lineRule="auto"/>
              <w:jc w:val="right"/>
              <w:rPr>
                <w:rFonts w:ascii="Calibri" w:hAnsi="Calibri"/>
                <w:sz w:val="18"/>
                <w:szCs w:val="18"/>
                <w:lang w:eastAsia="sl-SI"/>
              </w:rPr>
            </w:pPr>
            <w:r w:rsidRPr="00972554">
              <w:rPr>
                <w:rFonts w:ascii="Calibri" w:hAnsi="Calibri"/>
                <w:sz w:val="18"/>
                <w:szCs w:val="18"/>
              </w:rPr>
              <w:t>12,06</w:t>
            </w:r>
          </w:p>
        </w:tc>
      </w:tr>
      <w:tr w:rsidR="000F5112" w:rsidRPr="00972554" w:rsidTr="00972554">
        <w:trPr>
          <w:trHeight w:val="300"/>
        </w:trPr>
        <w:tc>
          <w:tcPr>
            <w:tcW w:w="5882" w:type="dxa"/>
            <w:shd w:val="clear" w:color="auto" w:fill="auto"/>
            <w:noWrap/>
            <w:hideMark/>
          </w:tcPr>
          <w:p w:rsidR="000F5112" w:rsidRPr="00412299" w:rsidRDefault="000F5112"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UNIVERZITETNI KLINIČNI CENTER LJUBLJANA</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sz w:val="18"/>
                <w:szCs w:val="18"/>
                <w:lang w:eastAsia="sl-SI"/>
              </w:rPr>
            </w:pPr>
            <w:r w:rsidRPr="00972554">
              <w:rPr>
                <w:rFonts w:ascii="Calibri" w:hAnsi="Calibri"/>
                <w:sz w:val="18"/>
                <w:szCs w:val="18"/>
              </w:rPr>
              <w:t xml:space="preserve">32.951.982 </w:t>
            </w:r>
          </w:p>
        </w:tc>
        <w:tc>
          <w:tcPr>
            <w:tcW w:w="1417" w:type="dxa"/>
            <w:shd w:val="clear" w:color="auto" w:fill="FFFFFF"/>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7,73</w:t>
            </w:r>
          </w:p>
        </w:tc>
      </w:tr>
      <w:tr w:rsidR="000F5112" w:rsidRPr="00972554" w:rsidTr="00972554">
        <w:trPr>
          <w:trHeight w:val="300"/>
        </w:trPr>
        <w:tc>
          <w:tcPr>
            <w:tcW w:w="5882" w:type="dxa"/>
            <w:shd w:val="clear" w:color="auto" w:fill="auto"/>
            <w:noWrap/>
            <w:hideMark/>
          </w:tcPr>
          <w:p w:rsidR="000F5112" w:rsidRPr="00412299" w:rsidRDefault="000F5112" w:rsidP="00382B0F">
            <w:pPr>
              <w:spacing w:line="240" w:lineRule="auto"/>
              <w:ind w:firstLineChars="100" w:firstLine="180"/>
              <w:jc w:val="left"/>
              <w:rPr>
                <w:rFonts w:ascii="Calibri" w:hAnsi="Calibri"/>
                <w:sz w:val="18"/>
                <w:szCs w:val="18"/>
                <w:lang w:eastAsia="sl-SI"/>
              </w:rPr>
            </w:pPr>
            <w:r w:rsidRPr="002B775E">
              <w:rPr>
                <w:rFonts w:ascii="Calibri" w:hAnsi="Calibri"/>
                <w:sz w:val="18"/>
                <w:szCs w:val="18"/>
              </w:rPr>
              <w:t>RTV SLOVENIJA</w:t>
            </w:r>
          </w:p>
        </w:tc>
        <w:tc>
          <w:tcPr>
            <w:tcW w:w="1843" w:type="dxa"/>
            <w:shd w:val="clear" w:color="auto" w:fill="auto"/>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 xml:space="preserve">28.114.080 </w:t>
            </w:r>
          </w:p>
        </w:tc>
        <w:tc>
          <w:tcPr>
            <w:tcW w:w="1417" w:type="dxa"/>
            <w:shd w:val="clear" w:color="auto" w:fill="FFFFFF"/>
            <w:noWrap/>
            <w:vAlign w:val="bottom"/>
            <w:hideMark/>
          </w:tcPr>
          <w:p w:rsidR="000F5112" w:rsidRPr="00412299" w:rsidRDefault="000F5112" w:rsidP="00116FC1">
            <w:pPr>
              <w:spacing w:line="240" w:lineRule="auto"/>
              <w:jc w:val="right"/>
              <w:rPr>
                <w:rFonts w:ascii="Calibri" w:hAnsi="Calibri"/>
                <w:sz w:val="18"/>
                <w:szCs w:val="18"/>
                <w:lang w:eastAsia="sl-SI"/>
              </w:rPr>
            </w:pPr>
            <w:r w:rsidRPr="00972554">
              <w:rPr>
                <w:rFonts w:ascii="Calibri" w:hAnsi="Calibri"/>
                <w:sz w:val="18"/>
                <w:szCs w:val="18"/>
              </w:rPr>
              <w:t>6,60</w:t>
            </w:r>
          </w:p>
        </w:tc>
      </w:tr>
      <w:tr w:rsidR="000F5112" w:rsidRPr="00972554" w:rsidTr="00972554">
        <w:trPr>
          <w:trHeight w:val="300"/>
        </w:trPr>
        <w:tc>
          <w:tcPr>
            <w:tcW w:w="5882" w:type="dxa"/>
            <w:shd w:val="clear" w:color="auto" w:fill="auto"/>
            <w:noWrap/>
            <w:hideMark/>
          </w:tcPr>
          <w:p w:rsidR="000F5112" w:rsidRPr="00972554" w:rsidRDefault="000F5112"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207-Nabavna vrednost opreme in drugih opredmetenih osnovnih sredstev </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b/>
                <w:bCs/>
                <w:sz w:val="18"/>
                <w:szCs w:val="18"/>
                <w:lang w:eastAsia="sl-SI"/>
              </w:rPr>
            </w:pPr>
            <w:r w:rsidRPr="00972554">
              <w:rPr>
                <w:rFonts w:ascii="Calibri" w:hAnsi="Calibri"/>
                <w:b/>
                <w:sz w:val="18"/>
                <w:szCs w:val="18"/>
              </w:rPr>
              <w:t xml:space="preserve">2.331.390.030 </w:t>
            </w:r>
          </w:p>
        </w:tc>
        <w:tc>
          <w:tcPr>
            <w:tcW w:w="1417" w:type="dxa"/>
            <w:shd w:val="clear" w:color="auto" w:fill="FFFFFF"/>
            <w:noWrap/>
            <w:vAlign w:val="bottom"/>
            <w:hideMark/>
          </w:tcPr>
          <w:p w:rsidR="000F5112" w:rsidRPr="00382B0F" w:rsidRDefault="000F5112" w:rsidP="00412299">
            <w:pPr>
              <w:spacing w:line="240" w:lineRule="auto"/>
              <w:jc w:val="right"/>
              <w:rPr>
                <w:rFonts w:ascii="Calibri" w:hAnsi="Calibri"/>
                <w:b/>
                <w:bCs/>
                <w:sz w:val="18"/>
                <w:szCs w:val="18"/>
                <w:lang w:eastAsia="sl-SI"/>
              </w:rPr>
            </w:pPr>
          </w:p>
        </w:tc>
      </w:tr>
      <w:tr w:rsidR="000F5112" w:rsidRPr="00972554" w:rsidTr="00972554">
        <w:trPr>
          <w:trHeight w:val="300"/>
        </w:trPr>
        <w:tc>
          <w:tcPr>
            <w:tcW w:w="5882" w:type="dxa"/>
            <w:shd w:val="clear" w:color="auto" w:fill="auto"/>
            <w:noWrap/>
            <w:hideMark/>
          </w:tcPr>
          <w:p w:rsidR="000F5112" w:rsidRPr="00412299" w:rsidRDefault="000F5112"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UNIVERZITETNI KLINIČNI CENTER LJUBLJANA</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sz w:val="18"/>
                <w:szCs w:val="18"/>
                <w:lang w:eastAsia="sl-SI"/>
              </w:rPr>
            </w:pPr>
            <w:r w:rsidRPr="00972554">
              <w:rPr>
                <w:rFonts w:ascii="Calibri" w:hAnsi="Calibri"/>
                <w:sz w:val="18"/>
                <w:szCs w:val="18"/>
              </w:rPr>
              <w:t xml:space="preserve">217.036.511 </w:t>
            </w:r>
          </w:p>
        </w:tc>
        <w:tc>
          <w:tcPr>
            <w:tcW w:w="1417" w:type="dxa"/>
            <w:shd w:val="clear" w:color="auto" w:fill="FFFFFF"/>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9,31</w:t>
            </w:r>
          </w:p>
        </w:tc>
      </w:tr>
      <w:tr w:rsidR="000F5112" w:rsidRPr="00972554" w:rsidTr="00972554">
        <w:trPr>
          <w:trHeight w:val="300"/>
        </w:trPr>
        <w:tc>
          <w:tcPr>
            <w:tcW w:w="5882" w:type="dxa"/>
            <w:shd w:val="clear" w:color="auto" w:fill="auto"/>
            <w:noWrap/>
            <w:hideMark/>
          </w:tcPr>
          <w:p w:rsidR="000F5112" w:rsidRPr="00412299" w:rsidRDefault="000F5112" w:rsidP="00382B0F">
            <w:pPr>
              <w:spacing w:line="240" w:lineRule="auto"/>
              <w:ind w:firstLineChars="100" w:firstLine="180"/>
              <w:jc w:val="left"/>
              <w:rPr>
                <w:rFonts w:ascii="Calibri" w:hAnsi="Calibri"/>
                <w:sz w:val="18"/>
                <w:szCs w:val="18"/>
                <w:lang w:eastAsia="sl-SI"/>
              </w:rPr>
            </w:pPr>
            <w:r w:rsidRPr="002B775E">
              <w:rPr>
                <w:rFonts w:ascii="Calibri" w:hAnsi="Calibri"/>
                <w:sz w:val="18"/>
                <w:szCs w:val="18"/>
              </w:rPr>
              <w:t>RTV SLOVENIJA</w:t>
            </w:r>
          </w:p>
        </w:tc>
        <w:tc>
          <w:tcPr>
            <w:tcW w:w="1843" w:type="dxa"/>
            <w:shd w:val="clear" w:color="auto" w:fill="auto"/>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 xml:space="preserve">178.961.431 </w:t>
            </w:r>
          </w:p>
        </w:tc>
        <w:tc>
          <w:tcPr>
            <w:tcW w:w="1417" w:type="dxa"/>
            <w:shd w:val="clear" w:color="auto" w:fill="FFFFFF"/>
            <w:noWrap/>
            <w:vAlign w:val="bottom"/>
            <w:hideMark/>
          </w:tcPr>
          <w:p w:rsidR="000F5112" w:rsidRPr="00412299" w:rsidRDefault="000F5112" w:rsidP="00116FC1">
            <w:pPr>
              <w:spacing w:line="240" w:lineRule="auto"/>
              <w:jc w:val="right"/>
              <w:rPr>
                <w:rFonts w:ascii="Calibri" w:hAnsi="Calibri"/>
                <w:sz w:val="18"/>
                <w:szCs w:val="18"/>
                <w:lang w:eastAsia="sl-SI"/>
              </w:rPr>
            </w:pPr>
            <w:r w:rsidRPr="00972554">
              <w:rPr>
                <w:rFonts w:ascii="Calibri" w:hAnsi="Calibri"/>
                <w:sz w:val="18"/>
                <w:szCs w:val="18"/>
              </w:rPr>
              <w:t>7,68</w:t>
            </w:r>
          </w:p>
        </w:tc>
      </w:tr>
      <w:tr w:rsidR="000F5112" w:rsidRPr="00972554" w:rsidTr="00972554">
        <w:trPr>
          <w:trHeight w:val="300"/>
        </w:trPr>
        <w:tc>
          <w:tcPr>
            <w:tcW w:w="5882" w:type="dxa"/>
            <w:shd w:val="clear" w:color="auto" w:fill="auto"/>
            <w:noWrap/>
            <w:hideMark/>
          </w:tcPr>
          <w:p w:rsidR="000F5112" w:rsidRPr="00412299" w:rsidRDefault="000F5112"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UNIVERZITETNI KLINIČNI CENTER MARIBOR</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sz w:val="18"/>
                <w:szCs w:val="18"/>
                <w:lang w:eastAsia="sl-SI"/>
              </w:rPr>
            </w:pPr>
            <w:r w:rsidRPr="00972554">
              <w:rPr>
                <w:rFonts w:ascii="Calibri" w:hAnsi="Calibri"/>
                <w:sz w:val="18"/>
                <w:szCs w:val="18"/>
              </w:rPr>
              <w:t xml:space="preserve">112.549.881 </w:t>
            </w:r>
          </w:p>
        </w:tc>
        <w:tc>
          <w:tcPr>
            <w:tcW w:w="1417" w:type="dxa"/>
            <w:shd w:val="clear" w:color="auto" w:fill="FFFFFF"/>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4,83</w:t>
            </w:r>
          </w:p>
        </w:tc>
      </w:tr>
      <w:tr w:rsidR="000F5112" w:rsidRPr="00972554" w:rsidTr="00972554">
        <w:trPr>
          <w:trHeight w:val="300"/>
        </w:trPr>
        <w:tc>
          <w:tcPr>
            <w:tcW w:w="5882" w:type="dxa"/>
            <w:shd w:val="clear" w:color="auto" w:fill="auto"/>
            <w:noWrap/>
            <w:hideMark/>
          </w:tcPr>
          <w:p w:rsidR="000F5112" w:rsidRPr="00972554" w:rsidRDefault="000F5112"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208-Popravek vrednosti opreme in drugih opredmetenih osnovnih sredstev </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b/>
                <w:bCs/>
                <w:sz w:val="18"/>
                <w:szCs w:val="18"/>
                <w:lang w:eastAsia="sl-SI"/>
              </w:rPr>
            </w:pPr>
            <w:r w:rsidRPr="00972554">
              <w:rPr>
                <w:rFonts w:ascii="Calibri" w:hAnsi="Calibri"/>
                <w:b/>
                <w:sz w:val="18"/>
                <w:szCs w:val="18"/>
              </w:rPr>
              <w:t xml:space="preserve">1.905.100.468 </w:t>
            </w:r>
          </w:p>
        </w:tc>
        <w:tc>
          <w:tcPr>
            <w:tcW w:w="1417" w:type="dxa"/>
            <w:shd w:val="clear" w:color="auto" w:fill="FFFFFF"/>
            <w:noWrap/>
            <w:vAlign w:val="bottom"/>
            <w:hideMark/>
          </w:tcPr>
          <w:p w:rsidR="000F5112" w:rsidRPr="00382B0F" w:rsidRDefault="000F5112" w:rsidP="00412299">
            <w:pPr>
              <w:spacing w:line="240" w:lineRule="auto"/>
              <w:jc w:val="right"/>
              <w:rPr>
                <w:rFonts w:ascii="Calibri" w:hAnsi="Calibri"/>
                <w:b/>
                <w:bCs/>
                <w:sz w:val="18"/>
                <w:szCs w:val="18"/>
                <w:lang w:eastAsia="sl-SI"/>
              </w:rPr>
            </w:pPr>
          </w:p>
        </w:tc>
      </w:tr>
      <w:tr w:rsidR="000F5112" w:rsidRPr="00972554" w:rsidTr="00972554">
        <w:trPr>
          <w:trHeight w:val="300"/>
        </w:trPr>
        <w:tc>
          <w:tcPr>
            <w:tcW w:w="5882" w:type="dxa"/>
            <w:shd w:val="clear" w:color="auto" w:fill="auto"/>
            <w:noWrap/>
            <w:hideMark/>
          </w:tcPr>
          <w:p w:rsidR="000F5112" w:rsidRPr="00412299" w:rsidRDefault="000F5112"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UNIVERZITETNI KLINIČNI CENTER LJUBLJANA</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sz w:val="18"/>
                <w:szCs w:val="18"/>
                <w:lang w:eastAsia="sl-SI"/>
              </w:rPr>
            </w:pPr>
            <w:r w:rsidRPr="00972554">
              <w:rPr>
                <w:rFonts w:ascii="Calibri" w:hAnsi="Calibri"/>
                <w:sz w:val="18"/>
                <w:szCs w:val="18"/>
              </w:rPr>
              <w:t xml:space="preserve">184.084.529 </w:t>
            </w:r>
          </w:p>
        </w:tc>
        <w:tc>
          <w:tcPr>
            <w:tcW w:w="1417" w:type="dxa"/>
            <w:shd w:val="clear" w:color="auto" w:fill="FFFFFF"/>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9,66</w:t>
            </w:r>
          </w:p>
        </w:tc>
      </w:tr>
      <w:tr w:rsidR="000F5112" w:rsidRPr="00972554" w:rsidTr="00972554">
        <w:trPr>
          <w:trHeight w:val="300"/>
        </w:trPr>
        <w:tc>
          <w:tcPr>
            <w:tcW w:w="5882" w:type="dxa"/>
            <w:shd w:val="clear" w:color="auto" w:fill="auto"/>
            <w:noWrap/>
            <w:hideMark/>
          </w:tcPr>
          <w:p w:rsidR="000F5112" w:rsidRPr="00412299" w:rsidRDefault="000F5112" w:rsidP="00382B0F">
            <w:pPr>
              <w:spacing w:line="240" w:lineRule="auto"/>
              <w:ind w:firstLineChars="100" w:firstLine="180"/>
              <w:jc w:val="left"/>
              <w:rPr>
                <w:rFonts w:ascii="Calibri" w:hAnsi="Calibri"/>
                <w:sz w:val="18"/>
                <w:szCs w:val="18"/>
                <w:lang w:eastAsia="sl-SI"/>
              </w:rPr>
            </w:pPr>
            <w:r w:rsidRPr="002B775E">
              <w:rPr>
                <w:rFonts w:ascii="Calibri" w:hAnsi="Calibri"/>
                <w:sz w:val="18"/>
                <w:szCs w:val="18"/>
              </w:rPr>
              <w:t>RTV SLOVENIJA</w:t>
            </w:r>
          </w:p>
        </w:tc>
        <w:tc>
          <w:tcPr>
            <w:tcW w:w="1843" w:type="dxa"/>
            <w:shd w:val="clear" w:color="auto" w:fill="auto"/>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 xml:space="preserve">150.847.351 </w:t>
            </w:r>
          </w:p>
        </w:tc>
        <w:tc>
          <w:tcPr>
            <w:tcW w:w="1417" w:type="dxa"/>
            <w:shd w:val="clear" w:color="auto" w:fill="FFFFFF"/>
            <w:noWrap/>
            <w:vAlign w:val="bottom"/>
            <w:hideMark/>
          </w:tcPr>
          <w:p w:rsidR="000F5112" w:rsidRPr="00412299" w:rsidRDefault="000F5112" w:rsidP="00116FC1">
            <w:pPr>
              <w:spacing w:line="240" w:lineRule="auto"/>
              <w:jc w:val="right"/>
              <w:rPr>
                <w:rFonts w:ascii="Calibri" w:hAnsi="Calibri"/>
                <w:sz w:val="18"/>
                <w:szCs w:val="18"/>
                <w:lang w:eastAsia="sl-SI"/>
              </w:rPr>
            </w:pPr>
            <w:r w:rsidRPr="00972554">
              <w:rPr>
                <w:rFonts w:ascii="Calibri" w:hAnsi="Calibri"/>
                <w:sz w:val="18"/>
                <w:szCs w:val="18"/>
              </w:rPr>
              <w:t>7,92</w:t>
            </w:r>
          </w:p>
        </w:tc>
      </w:tr>
      <w:tr w:rsidR="000F5112" w:rsidRPr="00972554" w:rsidTr="00972554">
        <w:trPr>
          <w:trHeight w:val="300"/>
        </w:trPr>
        <w:tc>
          <w:tcPr>
            <w:tcW w:w="5882" w:type="dxa"/>
            <w:shd w:val="clear" w:color="auto" w:fill="auto"/>
            <w:noWrap/>
            <w:hideMark/>
          </w:tcPr>
          <w:p w:rsidR="000F5112" w:rsidRPr="00412299" w:rsidRDefault="000F5112"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UNIVERZITETNI KLINIČNI CENTER MARIBOR</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sz w:val="18"/>
                <w:szCs w:val="18"/>
                <w:lang w:eastAsia="sl-SI"/>
              </w:rPr>
            </w:pPr>
            <w:r w:rsidRPr="00972554">
              <w:rPr>
                <w:rFonts w:ascii="Calibri" w:hAnsi="Calibri"/>
                <w:sz w:val="18"/>
                <w:szCs w:val="18"/>
              </w:rPr>
              <w:t xml:space="preserve">99.284.252 </w:t>
            </w:r>
          </w:p>
        </w:tc>
        <w:tc>
          <w:tcPr>
            <w:tcW w:w="1417" w:type="dxa"/>
            <w:shd w:val="clear" w:color="auto" w:fill="FFFFFF"/>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5,21</w:t>
            </w:r>
          </w:p>
        </w:tc>
      </w:tr>
      <w:tr w:rsidR="000F5112" w:rsidRPr="00972554" w:rsidTr="00972554">
        <w:trPr>
          <w:trHeight w:val="300"/>
        </w:trPr>
        <w:tc>
          <w:tcPr>
            <w:tcW w:w="5882" w:type="dxa"/>
            <w:shd w:val="clear" w:color="auto" w:fill="auto"/>
            <w:noWrap/>
            <w:hideMark/>
          </w:tcPr>
          <w:p w:rsidR="000F5112" w:rsidRPr="00412299" w:rsidRDefault="000F5112"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209-Zaloge </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b/>
                <w:bCs/>
                <w:sz w:val="18"/>
                <w:szCs w:val="18"/>
                <w:lang w:eastAsia="sl-SI"/>
              </w:rPr>
            </w:pPr>
            <w:r w:rsidRPr="00972554">
              <w:rPr>
                <w:rFonts w:ascii="Calibri" w:hAnsi="Calibri"/>
                <w:b/>
                <w:sz w:val="18"/>
                <w:szCs w:val="18"/>
              </w:rPr>
              <w:t xml:space="preserve">66.678.329 </w:t>
            </w:r>
          </w:p>
        </w:tc>
        <w:tc>
          <w:tcPr>
            <w:tcW w:w="1417" w:type="dxa"/>
            <w:shd w:val="clear" w:color="auto" w:fill="FFFFFF"/>
            <w:noWrap/>
            <w:vAlign w:val="bottom"/>
            <w:hideMark/>
          </w:tcPr>
          <w:p w:rsidR="000F5112" w:rsidRPr="00382B0F" w:rsidRDefault="000F5112" w:rsidP="00412299">
            <w:pPr>
              <w:spacing w:line="240" w:lineRule="auto"/>
              <w:jc w:val="right"/>
              <w:rPr>
                <w:rFonts w:ascii="Calibri" w:hAnsi="Calibri"/>
                <w:b/>
                <w:bCs/>
                <w:sz w:val="18"/>
                <w:szCs w:val="18"/>
                <w:lang w:eastAsia="sl-SI"/>
              </w:rPr>
            </w:pPr>
          </w:p>
        </w:tc>
      </w:tr>
      <w:tr w:rsidR="000F5112" w:rsidRPr="00972554" w:rsidTr="00972554">
        <w:trPr>
          <w:trHeight w:val="300"/>
        </w:trPr>
        <w:tc>
          <w:tcPr>
            <w:tcW w:w="5882" w:type="dxa"/>
            <w:shd w:val="clear" w:color="auto" w:fill="auto"/>
            <w:noWrap/>
            <w:hideMark/>
          </w:tcPr>
          <w:p w:rsidR="000F5112" w:rsidRPr="00412299" w:rsidRDefault="000F5112"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UNIVERZITETNI KLINIČNI CENTER LJUBLJANA</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sz w:val="18"/>
                <w:szCs w:val="18"/>
                <w:lang w:eastAsia="sl-SI"/>
              </w:rPr>
            </w:pPr>
            <w:r w:rsidRPr="00972554">
              <w:rPr>
                <w:rFonts w:ascii="Calibri" w:hAnsi="Calibri"/>
                <w:sz w:val="18"/>
                <w:szCs w:val="18"/>
              </w:rPr>
              <w:t xml:space="preserve">15.068.535 </w:t>
            </w:r>
          </w:p>
        </w:tc>
        <w:tc>
          <w:tcPr>
            <w:tcW w:w="1417" w:type="dxa"/>
            <w:shd w:val="clear" w:color="auto" w:fill="FFFFFF"/>
            <w:noWrap/>
            <w:vAlign w:val="bottom"/>
            <w:hideMark/>
          </w:tcPr>
          <w:p w:rsidR="000F5112" w:rsidRPr="00116FC1" w:rsidRDefault="000F5112" w:rsidP="00412299">
            <w:pPr>
              <w:spacing w:line="240" w:lineRule="auto"/>
              <w:jc w:val="right"/>
              <w:rPr>
                <w:rFonts w:ascii="Calibri" w:hAnsi="Calibri"/>
                <w:sz w:val="18"/>
                <w:szCs w:val="18"/>
                <w:lang w:eastAsia="sl-SI"/>
              </w:rPr>
            </w:pPr>
            <w:r w:rsidRPr="00972554">
              <w:rPr>
                <w:rFonts w:ascii="Calibri" w:hAnsi="Calibri"/>
                <w:sz w:val="18"/>
                <w:szCs w:val="18"/>
              </w:rPr>
              <w:t>22,60</w:t>
            </w:r>
          </w:p>
        </w:tc>
      </w:tr>
      <w:tr w:rsidR="000F5112" w:rsidRPr="00972554" w:rsidTr="00972554">
        <w:trPr>
          <w:trHeight w:val="300"/>
        </w:trPr>
        <w:tc>
          <w:tcPr>
            <w:tcW w:w="5882" w:type="dxa"/>
            <w:shd w:val="clear" w:color="auto" w:fill="auto"/>
            <w:noWrap/>
            <w:hideMark/>
          </w:tcPr>
          <w:p w:rsidR="000F5112" w:rsidRPr="00412299" w:rsidRDefault="000F5112"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STANOVANJSKI SKLAD </w:t>
            </w:r>
            <w:r w:rsidRPr="002B775E">
              <w:rPr>
                <w:rFonts w:ascii="Calibri" w:hAnsi="Calibri"/>
                <w:sz w:val="18"/>
                <w:szCs w:val="18"/>
              </w:rPr>
              <w:t>RS</w:t>
            </w:r>
            <w:r w:rsidRPr="00972554">
              <w:rPr>
                <w:rFonts w:ascii="Calibri" w:hAnsi="Calibri"/>
                <w:sz w:val="18"/>
                <w:szCs w:val="18"/>
              </w:rPr>
              <w:t>, javni sklad</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sz w:val="18"/>
                <w:szCs w:val="18"/>
                <w:lang w:eastAsia="sl-SI"/>
              </w:rPr>
            </w:pPr>
            <w:r w:rsidRPr="00972554">
              <w:rPr>
                <w:rFonts w:ascii="Calibri" w:hAnsi="Calibri"/>
                <w:sz w:val="18"/>
                <w:szCs w:val="18"/>
              </w:rPr>
              <w:t xml:space="preserve">13.430.705 </w:t>
            </w:r>
          </w:p>
        </w:tc>
        <w:tc>
          <w:tcPr>
            <w:tcW w:w="1417" w:type="dxa"/>
            <w:shd w:val="clear" w:color="auto" w:fill="FFFFFF"/>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20,14</w:t>
            </w:r>
          </w:p>
        </w:tc>
      </w:tr>
      <w:tr w:rsidR="000F5112" w:rsidRPr="00972554" w:rsidTr="00972554">
        <w:trPr>
          <w:trHeight w:val="300"/>
        </w:trPr>
        <w:tc>
          <w:tcPr>
            <w:tcW w:w="5882" w:type="dxa"/>
            <w:shd w:val="clear" w:color="auto" w:fill="auto"/>
            <w:noWrap/>
            <w:hideMark/>
          </w:tcPr>
          <w:p w:rsidR="000F5112" w:rsidRPr="00412299" w:rsidRDefault="000F5112"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UNIVERZITETNI KLINIČNI CENTER MARIBOR</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sz w:val="18"/>
                <w:szCs w:val="18"/>
                <w:lang w:eastAsia="sl-SI"/>
              </w:rPr>
            </w:pPr>
            <w:r w:rsidRPr="00972554">
              <w:rPr>
                <w:rFonts w:ascii="Calibri" w:hAnsi="Calibri"/>
                <w:sz w:val="18"/>
                <w:szCs w:val="18"/>
              </w:rPr>
              <w:t xml:space="preserve">7.589.985 </w:t>
            </w:r>
          </w:p>
        </w:tc>
        <w:tc>
          <w:tcPr>
            <w:tcW w:w="1417" w:type="dxa"/>
            <w:shd w:val="clear" w:color="auto" w:fill="FFFFFF"/>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11,38</w:t>
            </w:r>
          </w:p>
        </w:tc>
      </w:tr>
      <w:tr w:rsidR="000F5112" w:rsidRPr="00972554" w:rsidTr="00972554">
        <w:trPr>
          <w:trHeight w:val="300"/>
        </w:trPr>
        <w:tc>
          <w:tcPr>
            <w:tcW w:w="5882" w:type="dxa"/>
            <w:shd w:val="clear" w:color="auto" w:fill="auto"/>
            <w:noWrap/>
            <w:hideMark/>
          </w:tcPr>
          <w:p w:rsidR="000F5112" w:rsidRPr="00972554" w:rsidRDefault="000F5112"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210-Dolgoročne finančne naložbe </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b/>
                <w:bCs/>
                <w:sz w:val="18"/>
                <w:szCs w:val="18"/>
                <w:lang w:eastAsia="sl-SI"/>
              </w:rPr>
            </w:pPr>
            <w:r w:rsidRPr="00972554">
              <w:rPr>
                <w:rFonts w:ascii="Calibri" w:hAnsi="Calibri"/>
                <w:b/>
                <w:sz w:val="18"/>
                <w:szCs w:val="18"/>
              </w:rPr>
              <w:t xml:space="preserve">214.600.290 </w:t>
            </w:r>
          </w:p>
        </w:tc>
        <w:tc>
          <w:tcPr>
            <w:tcW w:w="1417" w:type="dxa"/>
            <w:shd w:val="clear" w:color="auto" w:fill="FFFFFF"/>
            <w:noWrap/>
            <w:vAlign w:val="bottom"/>
            <w:hideMark/>
          </w:tcPr>
          <w:p w:rsidR="000F5112" w:rsidRPr="00382B0F" w:rsidRDefault="000F5112" w:rsidP="00412299">
            <w:pPr>
              <w:spacing w:line="240" w:lineRule="auto"/>
              <w:jc w:val="right"/>
              <w:rPr>
                <w:rFonts w:ascii="Calibri" w:hAnsi="Calibri"/>
                <w:b/>
                <w:bCs/>
                <w:sz w:val="18"/>
                <w:szCs w:val="18"/>
                <w:lang w:eastAsia="sl-SI"/>
              </w:rPr>
            </w:pPr>
          </w:p>
        </w:tc>
      </w:tr>
      <w:tr w:rsidR="000F5112" w:rsidRPr="00972554" w:rsidTr="00972554">
        <w:trPr>
          <w:trHeight w:val="300"/>
        </w:trPr>
        <w:tc>
          <w:tcPr>
            <w:tcW w:w="5882" w:type="dxa"/>
            <w:shd w:val="clear" w:color="auto" w:fill="auto"/>
            <w:noWrap/>
            <w:hideMark/>
          </w:tcPr>
          <w:p w:rsidR="000F5112" w:rsidRPr="00412299" w:rsidRDefault="000F5112"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SKLAD </w:t>
            </w:r>
            <w:r w:rsidRPr="002B775E">
              <w:rPr>
                <w:rFonts w:ascii="Calibri" w:hAnsi="Calibri"/>
                <w:sz w:val="18"/>
                <w:szCs w:val="18"/>
              </w:rPr>
              <w:t>RS</w:t>
            </w:r>
            <w:r w:rsidRPr="00972554">
              <w:rPr>
                <w:rFonts w:ascii="Calibri" w:hAnsi="Calibri"/>
                <w:sz w:val="18"/>
                <w:szCs w:val="18"/>
              </w:rPr>
              <w:t xml:space="preserve"> ZA NASLEDSTVO, javni sklad</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sz w:val="18"/>
                <w:szCs w:val="18"/>
                <w:lang w:eastAsia="sl-SI"/>
              </w:rPr>
            </w:pPr>
            <w:r w:rsidRPr="00972554">
              <w:rPr>
                <w:rFonts w:ascii="Calibri" w:hAnsi="Calibri"/>
                <w:sz w:val="18"/>
                <w:szCs w:val="18"/>
              </w:rPr>
              <w:t xml:space="preserve">117.857.416 </w:t>
            </w:r>
          </w:p>
        </w:tc>
        <w:tc>
          <w:tcPr>
            <w:tcW w:w="1417" w:type="dxa"/>
            <w:shd w:val="clear" w:color="auto" w:fill="FFFFFF"/>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54,92</w:t>
            </w:r>
          </w:p>
        </w:tc>
      </w:tr>
      <w:tr w:rsidR="000F5112" w:rsidRPr="00972554" w:rsidTr="00972554">
        <w:trPr>
          <w:trHeight w:val="300"/>
        </w:trPr>
        <w:tc>
          <w:tcPr>
            <w:tcW w:w="5882" w:type="dxa"/>
            <w:shd w:val="clear" w:color="auto" w:fill="auto"/>
            <w:noWrap/>
            <w:hideMark/>
          </w:tcPr>
          <w:p w:rsidR="000F5112" w:rsidRPr="00412299" w:rsidRDefault="000F5112" w:rsidP="00382B0F">
            <w:pPr>
              <w:spacing w:line="240" w:lineRule="auto"/>
              <w:ind w:firstLineChars="100" w:firstLine="180"/>
              <w:jc w:val="left"/>
              <w:rPr>
                <w:rFonts w:ascii="Calibri" w:hAnsi="Calibri"/>
                <w:sz w:val="18"/>
                <w:szCs w:val="18"/>
                <w:lang w:eastAsia="sl-SI"/>
              </w:rPr>
            </w:pPr>
            <w:r w:rsidRPr="002B775E">
              <w:rPr>
                <w:rFonts w:ascii="Calibri" w:hAnsi="Calibri"/>
                <w:sz w:val="18"/>
                <w:szCs w:val="18"/>
              </w:rPr>
              <w:t>SKLAD NEK</w:t>
            </w:r>
          </w:p>
        </w:tc>
        <w:tc>
          <w:tcPr>
            <w:tcW w:w="1843" w:type="dxa"/>
            <w:shd w:val="clear" w:color="auto" w:fill="auto"/>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 xml:space="preserve">53.877.153 </w:t>
            </w:r>
          </w:p>
        </w:tc>
        <w:tc>
          <w:tcPr>
            <w:tcW w:w="1417" w:type="dxa"/>
            <w:shd w:val="clear" w:color="auto" w:fill="FFFFFF"/>
            <w:noWrap/>
            <w:vAlign w:val="bottom"/>
            <w:hideMark/>
          </w:tcPr>
          <w:p w:rsidR="000F5112" w:rsidRPr="00412299" w:rsidRDefault="000F5112" w:rsidP="00116FC1">
            <w:pPr>
              <w:spacing w:line="240" w:lineRule="auto"/>
              <w:jc w:val="right"/>
              <w:rPr>
                <w:rFonts w:ascii="Calibri" w:hAnsi="Calibri"/>
                <w:sz w:val="18"/>
                <w:szCs w:val="18"/>
                <w:lang w:eastAsia="sl-SI"/>
              </w:rPr>
            </w:pPr>
            <w:r w:rsidRPr="00972554">
              <w:rPr>
                <w:rFonts w:ascii="Calibri" w:hAnsi="Calibri"/>
                <w:sz w:val="18"/>
                <w:szCs w:val="18"/>
              </w:rPr>
              <w:t>25,11</w:t>
            </w:r>
          </w:p>
        </w:tc>
      </w:tr>
      <w:tr w:rsidR="000F5112" w:rsidRPr="00972554" w:rsidTr="00972554">
        <w:trPr>
          <w:trHeight w:val="300"/>
        </w:trPr>
        <w:tc>
          <w:tcPr>
            <w:tcW w:w="5882" w:type="dxa"/>
            <w:shd w:val="clear" w:color="auto" w:fill="auto"/>
            <w:noWrap/>
            <w:hideMark/>
          </w:tcPr>
          <w:p w:rsidR="000F5112" w:rsidRPr="00412299" w:rsidRDefault="000F5112"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STANOVANJSKI SKLAD </w:t>
            </w:r>
            <w:r w:rsidRPr="002B775E">
              <w:rPr>
                <w:rFonts w:ascii="Calibri" w:hAnsi="Calibri"/>
                <w:sz w:val="18"/>
                <w:szCs w:val="18"/>
              </w:rPr>
              <w:t>RS</w:t>
            </w:r>
            <w:r w:rsidRPr="00972554">
              <w:rPr>
                <w:rFonts w:ascii="Calibri" w:hAnsi="Calibri"/>
                <w:sz w:val="18"/>
                <w:szCs w:val="18"/>
              </w:rPr>
              <w:t>, javni sklad</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sz w:val="18"/>
                <w:szCs w:val="18"/>
                <w:lang w:eastAsia="sl-SI"/>
              </w:rPr>
            </w:pPr>
            <w:r w:rsidRPr="00972554">
              <w:rPr>
                <w:rFonts w:ascii="Calibri" w:hAnsi="Calibri"/>
                <w:sz w:val="18"/>
                <w:szCs w:val="18"/>
              </w:rPr>
              <w:t xml:space="preserve">27.630.642 </w:t>
            </w:r>
          </w:p>
        </w:tc>
        <w:tc>
          <w:tcPr>
            <w:tcW w:w="1417" w:type="dxa"/>
            <w:shd w:val="clear" w:color="auto" w:fill="FFFFFF"/>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12,88</w:t>
            </w:r>
          </w:p>
        </w:tc>
      </w:tr>
      <w:tr w:rsidR="000F5112" w:rsidRPr="00972554" w:rsidTr="00972554">
        <w:trPr>
          <w:trHeight w:val="300"/>
        </w:trPr>
        <w:tc>
          <w:tcPr>
            <w:tcW w:w="5882" w:type="dxa"/>
            <w:shd w:val="clear" w:color="auto" w:fill="auto"/>
            <w:noWrap/>
            <w:hideMark/>
          </w:tcPr>
          <w:p w:rsidR="000F5112" w:rsidRPr="00412299" w:rsidRDefault="000F5112"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211-Dolgoročno dana posojila in depoziti </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b/>
                <w:bCs/>
                <w:sz w:val="18"/>
                <w:szCs w:val="18"/>
                <w:lang w:eastAsia="sl-SI"/>
              </w:rPr>
            </w:pPr>
            <w:r w:rsidRPr="00972554">
              <w:rPr>
                <w:rFonts w:ascii="Calibri" w:hAnsi="Calibri"/>
                <w:b/>
                <w:sz w:val="18"/>
                <w:szCs w:val="18"/>
              </w:rPr>
              <w:t xml:space="preserve">396.318.710 </w:t>
            </w:r>
          </w:p>
        </w:tc>
        <w:tc>
          <w:tcPr>
            <w:tcW w:w="1417" w:type="dxa"/>
            <w:shd w:val="clear" w:color="auto" w:fill="FFFFFF"/>
            <w:noWrap/>
            <w:vAlign w:val="bottom"/>
            <w:hideMark/>
          </w:tcPr>
          <w:p w:rsidR="000F5112" w:rsidRPr="00382B0F" w:rsidRDefault="000F5112" w:rsidP="00412299">
            <w:pPr>
              <w:spacing w:line="240" w:lineRule="auto"/>
              <w:jc w:val="right"/>
              <w:rPr>
                <w:rFonts w:ascii="Calibri" w:hAnsi="Calibri"/>
                <w:b/>
                <w:bCs/>
                <w:sz w:val="18"/>
                <w:szCs w:val="18"/>
                <w:lang w:eastAsia="sl-SI"/>
              </w:rPr>
            </w:pPr>
          </w:p>
        </w:tc>
      </w:tr>
      <w:tr w:rsidR="000F5112" w:rsidRPr="00972554" w:rsidTr="00972554">
        <w:trPr>
          <w:trHeight w:val="300"/>
        </w:trPr>
        <w:tc>
          <w:tcPr>
            <w:tcW w:w="5882" w:type="dxa"/>
            <w:shd w:val="clear" w:color="auto" w:fill="auto"/>
            <w:noWrap/>
            <w:hideMark/>
          </w:tcPr>
          <w:p w:rsidR="000F5112" w:rsidRPr="00972554" w:rsidRDefault="000F5112"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Eko sklad, Slovenski okoljski javni sklad</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sz w:val="18"/>
                <w:szCs w:val="18"/>
                <w:lang w:eastAsia="sl-SI"/>
              </w:rPr>
            </w:pPr>
            <w:r w:rsidRPr="00972554">
              <w:rPr>
                <w:rFonts w:ascii="Calibri" w:hAnsi="Calibri"/>
                <w:sz w:val="18"/>
                <w:szCs w:val="18"/>
              </w:rPr>
              <w:t xml:space="preserve">101.128.396 </w:t>
            </w:r>
          </w:p>
        </w:tc>
        <w:tc>
          <w:tcPr>
            <w:tcW w:w="1417" w:type="dxa"/>
            <w:shd w:val="clear" w:color="auto" w:fill="FFFFFF"/>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25,52</w:t>
            </w:r>
          </w:p>
        </w:tc>
      </w:tr>
      <w:tr w:rsidR="000F5112" w:rsidRPr="00972554" w:rsidTr="00972554">
        <w:trPr>
          <w:trHeight w:val="300"/>
        </w:trPr>
        <w:tc>
          <w:tcPr>
            <w:tcW w:w="5882" w:type="dxa"/>
            <w:shd w:val="clear" w:color="auto" w:fill="auto"/>
            <w:noWrap/>
            <w:hideMark/>
          </w:tcPr>
          <w:p w:rsidR="000F5112" w:rsidRPr="00412299" w:rsidRDefault="000F5112" w:rsidP="00382B0F">
            <w:pPr>
              <w:spacing w:line="240" w:lineRule="auto"/>
              <w:ind w:firstLineChars="100" w:firstLine="180"/>
              <w:jc w:val="left"/>
              <w:rPr>
                <w:rFonts w:ascii="Calibri" w:hAnsi="Calibri"/>
                <w:sz w:val="18"/>
                <w:szCs w:val="18"/>
                <w:lang w:eastAsia="sl-SI"/>
              </w:rPr>
            </w:pPr>
            <w:r w:rsidRPr="002B775E">
              <w:rPr>
                <w:rFonts w:ascii="Calibri" w:hAnsi="Calibri"/>
                <w:sz w:val="18"/>
                <w:szCs w:val="18"/>
              </w:rPr>
              <w:t>SKLAD NEK</w:t>
            </w:r>
          </w:p>
        </w:tc>
        <w:tc>
          <w:tcPr>
            <w:tcW w:w="1843" w:type="dxa"/>
            <w:shd w:val="clear" w:color="auto" w:fill="auto"/>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 xml:space="preserve">96.955.541 </w:t>
            </w:r>
          </w:p>
        </w:tc>
        <w:tc>
          <w:tcPr>
            <w:tcW w:w="1417" w:type="dxa"/>
            <w:shd w:val="clear" w:color="auto" w:fill="FFFFFF"/>
            <w:noWrap/>
            <w:vAlign w:val="bottom"/>
            <w:hideMark/>
          </w:tcPr>
          <w:p w:rsidR="000F5112" w:rsidRPr="00412299" w:rsidRDefault="000F5112" w:rsidP="00116FC1">
            <w:pPr>
              <w:spacing w:line="240" w:lineRule="auto"/>
              <w:jc w:val="right"/>
              <w:rPr>
                <w:rFonts w:ascii="Calibri" w:hAnsi="Calibri"/>
                <w:sz w:val="18"/>
                <w:szCs w:val="18"/>
                <w:lang w:eastAsia="sl-SI"/>
              </w:rPr>
            </w:pPr>
            <w:r w:rsidRPr="00972554">
              <w:rPr>
                <w:rFonts w:ascii="Calibri" w:hAnsi="Calibri"/>
                <w:sz w:val="18"/>
                <w:szCs w:val="18"/>
              </w:rPr>
              <w:t>24,46</w:t>
            </w:r>
          </w:p>
        </w:tc>
      </w:tr>
      <w:tr w:rsidR="000F5112" w:rsidRPr="00972554" w:rsidTr="00972554">
        <w:trPr>
          <w:trHeight w:val="300"/>
        </w:trPr>
        <w:tc>
          <w:tcPr>
            <w:tcW w:w="5882" w:type="dxa"/>
            <w:shd w:val="clear" w:color="auto" w:fill="auto"/>
            <w:noWrap/>
            <w:hideMark/>
          </w:tcPr>
          <w:p w:rsidR="000F5112" w:rsidRPr="00412299" w:rsidRDefault="000F5112"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JAVNI SKLAD </w:t>
            </w:r>
            <w:r w:rsidRPr="002B775E">
              <w:rPr>
                <w:rFonts w:ascii="Calibri" w:hAnsi="Calibri"/>
                <w:sz w:val="18"/>
                <w:szCs w:val="18"/>
              </w:rPr>
              <w:t>RS</w:t>
            </w:r>
            <w:r w:rsidRPr="00972554">
              <w:rPr>
                <w:rFonts w:ascii="Calibri" w:hAnsi="Calibri"/>
                <w:sz w:val="18"/>
                <w:szCs w:val="18"/>
              </w:rPr>
              <w:t xml:space="preserve"> ZA REGIONALNI RAZVOJ IN RAZVOJ PODEŽELJA</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sz w:val="18"/>
                <w:szCs w:val="18"/>
                <w:lang w:eastAsia="sl-SI"/>
              </w:rPr>
            </w:pPr>
            <w:r w:rsidRPr="00972554">
              <w:rPr>
                <w:rFonts w:ascii="Calibri" w:hAnsi="Calibri"/>
                <w:sz w:val="18"/>
                <w:szCs w:val="18"/>
              </w:rPr>
              <w:t xml:space="preserve">93.929.052 </w:t>
            </w:r>
          </w:p>
        </w:tc>
        <w:tc>
          <w:tcPr>
            <w:tcW w:w="1417" w:type="dxa"/>
            <w:shd w:val="clear" w:color="auto" w:fill="FFFFFF"/>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23,70</w:t>
            </w:r>
          </w:p>
        </w:tc>
      </w:tr>
      <w:tr w:rsidR="000F5112" w:rsidRPr="00972554" w:rsidTr="00972554">
        <w:trPr>
          <w:trHeight w:val="300"/>
        </w:trPr>
        <w:tc>
          <w:tcPr>
            <w:tcW w:w="5882" w:type="dxa"/>
            <w:shd w:val="clear" w:color="auto" w:fill="auto"/>
            <w:noWrap/>
            <w:hideMark/>
          </w:tcPr>
          <w:p w:rsidR="000F5112" w:rsidRPr="00412299" w:rsidRDefault="000F5112"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212-Dolgoročne terjatve iz poslovanja </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b/>
                <w:bCs/>
                <w:sz w:val="18"/>
                <w:szCs w:val="18"/>
                <w:lang w:eastAsia="sl-SI"/>
              </w:rPr>
            </w:pPr>
            <w:r w:rsidRPr="00972554">
              <w:rPr>
                <w:rFonts w:ascii="Calibri" w:hAnsi="Calibri"/>
                <w:b/>
                <w:sz w:val="18"/>
                <w:szCs w:val="18"/>
              </w:rPr>
              <w:t xml:space="preserve">4.260.293 </w:t>
            </w:r>
          </w:p>
        </w:tc>
        <w:tc>
          <w:tcPr>
            <w:tcW w:w="1417" w:type="dxa"/>
            <w:shd w:val="clear" w:color="auto" w:fill="FFFFFF"/>
            <w:noWrap/>
            <w:vAlign w:val="bottom"/>
            <w:hideMark/>
          </w:tcPr>
          <w:p w:rsidR="000F5112" w:rsidRPr="00382B0F" w:rsidRDefault="000F5112" w:rsidP="00412299">
            <w:pPr>
              <w:spacing w:line="240" w:lineRule="auto"/>
              <w:jc w:val="right"/>
              <w:rPr>
                <w:rFonts w:ascii="Calibri" w:hAnsi="Calibri"/>
                <w:b/>
                <w:bCs/>
                <w:sz w:val="18"/>
                <w:szCs w:val="18"/>
                <w:lang w:eastAsia="sl-SI"/>
              </w:rPr>
            </w:pPr>
          </w:p>
        </w:tc>
      </w:tr>
      <w:tr w:rsidR="000F5112" w:rsidRPr="00972554" w:rsidTr="00972554">
        <w:trPr>
          <w:trHeight w:val="300"/>
        </w:trPr>
        <w:tc>
          <w:tcPr>
            <w:tcW w:w="5882" w:type="dxa"/>
            <w:shd w:val="clear" w:color="auto" w:fill="auto"/>
            <w:noWrap/>
            <w:hideMark/>
          </w:tcPr>
          <w:p w:rsidR="000F5112" w:rsidRPr="00412299" w:rsidRDefault="000F5112"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Univerzitetni rehabilitacijski inštitut </w:t>
            </w:r>
            <w:r w:rsidRPr="002B775E">
              <w:rPr>
                <w:rFonts w:ascii="Calibri" w:hAnsi="Calibri"/>
                <w:sz w:val="18"/>
                <w:szCs w:val="18"/>
              </w:rPr>
              <w:t>RS</w:t>
            </w:r>
            <w:r w:rsidRPr="00972554">
              <w:rPr>
                <w:rFonts w:ascii="Calibri" w:hAnsi="Calibri"/>
                <w:sz w:val="18"/>
                <w:szCs w:val="18"/>
              </w:rPr>
              <w:t xml:space="preserve"> - Soča</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sz w:val="18"/>
                <w:szCs w:val="18"/>
                <w:lang w:eastAsia="sl-SI"/>
              </w:rPr>
            </w:pPr>
            <w:r w:rsidRPr="00972554">
              <w:rPr>
                <w:rFonts w:ascii="Calibri" w:hAnsi="Calibri"/>
                <w:sz w:val="18"/>
                <w:szCs w:val="18"/>
              </w:rPr>
              <w:t xml:space="preserve">1.062.656 </w:t>
            </w:r>
          </w:p>
        </w:tc>
        <w:tc>
          <w:tcPr>
            <w:tcW w:w="1417" w:type="dxa"/>
            <w:shd w:val="clear" w:color="auto" w:fill="FFFFFF"/>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24,94</w:t>
            </w:r>
          </w:p>
        </w:tc>
      </w:tr>
      <w:tr w:rsidR="000F5112" w:rsidRPr="00972554" w:rsidTr="00972554">
        <w:trPr>
          <w:trHeight w:val="300"/>
        </w:trPr>
        <w:tc>
          <w:tcPr>
            <w:tcW w:w="5882" w:type="dxa"/>
            <w:shd w:val="clear" w:color="auto" w:fill="auto"/>
            <w:noWrap/>
            <w:hideMark/>
          </w:tcPr>
          <w:p w:rsidR="000F5112" w:rsidRPr="00116FC1" w:rsidRDefault="000F5112"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JAVNI SKLAD </w:t>
            </w:r>
            <w:r w:rsidRPr="002B775E">
              <w:rPr>
                <w:rFonts w:ascii="Calibri" w:hAnsi="Calibri"/>
                <w:sz w:val="18"/>
                <w:szCs w:val="18"/>
              </w:rPr>
              <w:t>RS</w:t>
            </w:r>
            <w:r w:rsidRPr="00972554">
              <w:rPr>
                <w:rFonts w:ascii="Calibri" w:hAnsi="Calibri"/>
                <w:sz w:val="18"/>
                <w:szCs w:val="18"/>
              </w:rPr>
              <w:t xml:space="preserve"> ZA PODJETNIŠTVO</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sz w:val="18"/>
                <w:szCs w:val="18"/>
                <w:lang w:eastAsia="sl-SI"/>
              </w:rPr>
            </w:pPr>
            <w:r w:rsidRPr="00972554">
              <w:rPr>
                <w:rFonts w:ascii="Calibri" w:hAnsi="Calibri"/>
                <w:sz w:val="18"/>
                <w:szCs w:val="18"/>
              </w:rPr>
              <w:t xml:space="preserve">481.079 </w:t>
            </w:r>
          </w:p>
        </w:tc>
        <w:tc>
          <w:tcPr>
            <w:tcW w:w="1417" w:type="dxa"/>
            <w:shd w:val="clear" w:color="auto" w:fill="FFFFFF"/>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11,29</w:t>
            </w:r>
          </w:p>
        </w:tc>
      </w:tr>
      <w:tr w:rsidR="000F5112" w:rsidRPr="00972554" w:rsidTr="00972554">
        <w:trPr>
          <w:trHeight w:val="300"/>
        </w:trPr>
        <w:tc>
          <w:tcPr>
            <w:tcW w:w="5882" w:type="dxa"/>
            <w:shd w:val="clear" w:color="auto" w:fill="auto"/>
            <w:noWrap/>
            <w:hideMark/>
          </w:tcPr>
          <w:p w:rsidR="000F5112" w:rsidRPr="00412299" w:rsidRDefault="000F5112"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Biotehniški center Naklo</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sz w:val="18"/>
                <w:szCs w:val="18"/>
                <w:lang w:eastAsia="sl-SI"/>
              </w:rPr>
            </w:pPr>
            <w:r w:rsidRPr="00972554">
              <w:rPr>
                <w:rFonts w:ascii="Calibri" w:hAnsi="Calibri"/>
                <w:sz w:val="18"/>
                <w:szCs w:val="18"/>
              </w:rPr>
              <w:t xml:space="preserve">421.441 </w:t>
            </w:r>
          </w:p>
        </w:tc>
        <w:tc>
          <w:tcPr>
            <w:tcW w:w="1417" w:type="dxa"/>
            <w:shd w:val="clear" w:color="auto" w:fill="FFFFFF"/>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9,89</w:t>
            </w:r>
          </w:p>
        </w:tc>
      </w:tr>
      <w:tr w:rsidR="000F5112" w:rsidRPr="00972554" w:rsidTr="00972554">
        <w:trPr>
          <w:trHeight w:val="300"/>
        </w:trPr>
        <w:tc>
          <w:tcPr>
            <w:tcW w:w="5882" w:type="dxa"/>
            <w:shd w:val="clear" w:color="auto" w:fill="auto"/>
            <w:noWrap/>
            <w:hideMark/>
          </w:tcPr>
          <w:p w:rsidR="000F5112" w:rsidRPr="00412299" w:rsidRDefault="000F5112"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213-Denarna sredstva </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b/>
                <w:bCs/>
                <w:sz w:val="18"/>
                <w:szCs w:val="18"/>
                <w:lang w:eastAsia="sl-SI"/>
              </w:rPr>
            </w:pPr>
            <w:r w:rsidRPr="00972554">
              <w:rPr>
                <w:rFonts w:ascii="Calibri" w:hAnsi="Calibri"/>
                <w:b/>
                <w:sz w:val="18"/>
                <w:szCs w:val="18"/>
              </w:rPr>
              <w:t xml:space="preserve">2.381.329 </w:t>
            </w:r>
          </w:p>
        </w:tc>
        <w:tc>
          <w:tcPr>
            <w:tcW w:w="1417" w:type="dxa"/>
            <w:shd w:val="clear" w:color="auto" w:fill="FFFFFF"/>
            <w:noWrap/>
            <w:vAlign w:val="bottom"/>
            <w:hideMark/>
          </w:tcPr>
          <w:p w:rsidR="000F5112" w:rsidRPr="00382B0F" w:rsidRDefault="000F5112" w:rsidP="00412299">
            <w:pPr>
              <w:spacing w:line="240" w:lineRule="auto"/>
              <w:jc w:val="right"/>
              <w:rPr>
                <w:rFonts w:ascii="Calibri" w:hAnsi="Calibri"/>
                <w:b/>
                <w:bCs/>
                <w:sz w:val="18"/>
                <w:szCs w:val="18"/>
                <w:lang w:eastAsia="sl-SI"/>
              </w:rPr>
            </w:pPr>
          </w:p>
        </w:tc>
      </w:tr>
      <w:tr w:rsidR="000F5112" w:rsidRPr="00972554" w:rsidTr="00972554">
        <w:trPr>
          <w:trHeight w:val="300"/>
        </w:trPr>
        <w:tc>
          <w:tcPr>
            <w:tcW w:w="5882" w:type="dxa"/>
            <w:shd w:val="clear" w:color="auto" w:fill="auto"/>
            <w:noWrap/>
            <w:hideMark/>
          </w:tcPr>
          <w:p w:rsidR="000F5112" w:rsidRPr="00412299" w:rsidRDefault="000F5112"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SKLAD </w:t>
            </w:r>
            <w:r w:rsidRPr="002B775E">
              <w:rPr>
                <w:rFonts w:ascii="Calibri" w:hAnsi="Calibri"/>
                <w:sz w:val="18"/>
                <w:szCs w:val="18"/>
              </w:rPr>
              <w:t>RS</w:t>
            </w:r>
            <w:r w:rsidRPr="00972554">
              <w:rPr>
                <w:rFonts w:ascii="Calibri" w:hAnsi="Calibri"/>
                <w:sz w:val="18"/>
                <w:szCs w:val="18"/>
              </w:rPr>
              <w:t xml:space="preserve"> ZA NASLEDSTVO, javni sklad</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sz w:val="18"/>
                <w:szCs w:val="18"/>
                <w:lang w:eastAsia="sl-SI"/>
              </w:rPr>
            </w:pPr>
            <w:r w:rsidRPr="00972554">
              <w:rPr>
                <w:rFonts w:ascii="Calibri" w:hAnsi="Calibri"/>
                <w:sz w:val="18"/>
                <w:szCs w:val="18"/>
              </w:rPr>
              <w:t xml:space="preserve">1.927.853 </w:t>
            </w:r>
          </w:p>
        </w:tc>
        <w:tc>
          <w:tcPr>
            <w:tcW w:w="1417" w:type="dxa"/>
            <w:shd w:val="clear" w:color="auto" w:fill="FFFFFF"/>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80,96</w:t>
            </w:r>
          </w:p>
        </w:tc>
      </w:tr>
      <w:tr w:rsidR="000F5112" w:rsidRPr="00972554" w:rsidTr="00972554">
        <w:trPr>
          <w:trHeight w:val="300"/>
        </w:trPr>
        <w:tc>
          <w:tcPr>
            <w:tcW w:w="5882" w:type="dxa"/>
            <w:shd w:val="clear" w:color="auto" w:fill="auto"/>
            <w:noWrap/>
            <w:hideMark/>
          </w:tcPr>
          <w:p w:rsidR="000F5112" w:rsidRPr="00412299" w:rsidRDefault="000F5112"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ŠOLSKI CENTER SLOVENJ GRADEC</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sz w:val="18"/>
                <w:szCs w:val="18"/>
                <w:lang w:eastAsia="sl-SI"/>
              </w:rPr>
            </w:pPr>
            <w:r w:rsidRPr="00972554">
              <w:rPr>
                <w:rFonts w:ascii="Calibri" w:hAnsi="Calibri"/>
                <w:sz w:val="18"/>
                <w:szCs w:val="18"/>
              </w:rPr>
              <w:t xml:space="preserve">45.544 </w:t>
            </w:r>
          </w:p>
        </w:tc>
        <w:tc>
          <w:tcPr>
            <w:tcW w:w="1417" w:type="dxa"/>
            <w:shd w:val="clear" w:color="auto" w:fill="FFFFFF"/>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1,91</w:t>
            </w:r>
          </w:p>
        </w:tc>
      </w:tr>
      <w:tr w:rsidR="000F5112" w:rsidRPr="00972554" w:rsidTr="00972554">
        <w:trPr>
          <w:trHeight w:val="300"/>
        </w:trPr>
        <w:tc>
          <w:tcPr>
            <w:tcW w:w="5882" w:type="dxa"/>
            <w:shd w:val="clear" w:color="auto" w:fill="auto"/>
            <w:noWrap/>
            <w:hideMark/>
          </w:tcPr>
          <w:p w:rsidR="000F5112" w:rsidRPr="00412299" w:rsidRDefault="000F5112"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UNIVERZA V LJUBLJANI, TEOLOŠKA FAKULTETA</w:t>
            </w:r>
          </w:p>
        </w:tc>
        <w:tc>
          <w:tcPr>
            <w:tcW w:w="1843" w:type="dxa"/>
            <w:shd w:val="clear" w:color="auto" w:fill="auto"/>
            <w:noWrap/>
            <w:vAlign w:val="bottom"/>
            <w:hideMark/>
          </w:tcPr>
          <w:p w:rsidR="000F5112" w:rsidRPr="00116FC1" w:rsidRDefault="000F5112" w:rsidP="00382B0F">
            <w:pPr>
              <w:spacing w:line="240" w:lineRule="auto"/>
              <w:jc w:val="right"/>
              <w:rPr>
                <w:rFonts w:ascii="Calibri" w:hAnsi="Calibri"/>
                <w:sz w:val="18"/>
                <w:szCs w:val="18"/>
                <w:lang w:eastAsia="sl-SI"/>
              </w:rPr>
            </w:pPr>
            <w:r w:rsidRPr="00972554">
              <w:rPr>
                <w:rFonts w:ascii="Calibri" w:hAnsi="Calibri"/>
                <w:sz w:val="18"/>
                <w:szCs w:val="18"/>
              </w:rPr>
              <w:t xml:space="preserve">30.147 </w:t>
            </w:r>
          </w:p>
        </w:tc>
        <w:tc>
          <w:tcPr>
            <w:tcW w:w="1417" w:type="dxa"/>
            <w:shd w:val="clear" w:color="auto" w:fill="FFFFFF"/>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1,27</w:t>
            </w:r>
          </w:p>
        </w:tc>
      </w:tr>
      <w:tr w:rsidR="000F5112" w:rsidRPr="00972554" w:rsidTr="00972554">
        <w:trPr>
          <w:trHeight w:val="300"/>
        </w:trPr>
        <w:tc>
          <w:tcPr>
            <w:tcW w:w="5882" w:type="dxa"/>
            <w:shd w:val="clear" w:color="auto" w:fill="auto"/>
            <w:noWrap/>
            <w:hideMark/>
          </w:tcPr>
          <w:p w:rsidR="000F5112" w:rsidRPr="00412299" w:rsidRDefault="000F5112"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214-Kratkoročne terjatve </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b/>
                <w:bCs/>
                <w:sz w:val="18"/>
                <w:szCs w:val="18"/>
                <w:lang w:eastAsia="sl-SI"/>
              </w:rPr>
            </w:pPr>
            <w:r w:rsidRPr="00972554">
              <w:rPr>
                <w:rFonts w:ascii="Calibri" w:hAnsi="Calibri"/>
                <w:b/>
                <w:sz w:val="18"/>
                <w:szCs w:val="18"/>
              </w:rPr>
              <w:t xml:space="preserve">299.995.031 </w:t>
            </w:r>
          </w:p>
        </w:tc>
        <w:tc>
          <w:tcPr>
            <w:tcW w:w="1417" w:type="dxa"/>
            <w:shd w:val="clear" w:color="auto" w:fill="FFFFFF"/>
            <w:noWrap/>
            <w:vAlign w:val="bottom"/>
            <w:hideMark/>
          </w:tcPr>
          <w:p w:rsidR="000F5112" w:rsidRPr="00382B0F" w:rsidRDefault="000F5112" w:rsidP="00412299">
            <w:pPr>
              <w:spacing w:line="240" w:lineRule="auto"/>
              <w:jc w:val="right"/>
              <w:rPr>
                <w:rFonts w:ascii="Calibri" w:hAnsi="Calibri"/>
                <w:b/>
                <w:bCs/>
                <w:sz w:val="18"/>
                <w:szCs w:val="18"/>
                <w:lang w:eastAsia="sl-SI"/>
              </w:rPr>
            </w:pPr>
          </w:p>
        </w:tc>
      </w:tr>
      <w:tr w:rsidR="000F5112" w:rsidRPr="00972554" w:rsidTr="00972554">
        <w:trPr>
          <w:trHeight w:val="300"/>
        </w:trPr>
        <w:tc>
          <w:tcPr>
            <w:tcW w:w="5882" w:type="dxa"/>
            <w:shd w:val="clear" w:color="auto" w:fill="auto"/>
            <w:noWrap/>
            <w:hideMark/>
          </w:tcPr>
          <w:p w:rsidR="000F5112" w:rsidRPr="00412299" w:rsidRDefault="000F5112"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Javni štipendijski, razvojni, invalidski in preživninski sklad </w:t>
            </w:r>
            <w:r w:rsidRPr="002B775E">
              <w:rPr>
                <w:rFonts w:ascii="Calibri" w:hAnsi="Calibri"/>
                <w:sz w:val="18"/>
                <w:szCs w:val="18"/>
              </w:rPr>
              <w:t>RS</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sz w:val="18"/>
                <w:szCs w:val="18"/>
                <w:lang w:eastAsia="sl-SI"/>
              </w:rPr>
            </w:pPr>
            <w:r w:rsidRPr="00972554">
              <w:rPr>
                <w:rFonts w:ascii="Calibri" w:hAnsi="Calibri"/>
                <w:sz w:val="18"/>
                <w:szCs w:val="18"/>
              </w:rPr>
              <w:t xml:space="preserve">94.983.947 </w:t>
            </w:r>
          </w:p>
        </w:tc>
        <w:tc>
          <w:tcPr>
            <w:tcW w:w="1417" w:type="dxa"/>
            <w:shd w:val="clear" w:color="auto" w:fill="FFFFFF"/>
            <w:noWrap/>
            <w:vAlign w:val="bottom"/>
            <w:hideMark/>
          </w:tcPr>
          <w:p w:rsidR="000F5112" w:rsidRPr="00116FC1" w:rsidRDefault="000F5112" w:rsidP="00412299">
            <w:pPr>
              <w:spacing w:line="240" w:lineRule="auto"/>
              <w:jc w:val="right"/>
              <w:rPr>
                <w:rFonts w:ascii="Calibri" w:hAnsi="Calibri"/>
                <w:sz w:val="18"/>
                <w:szCs w:val="18"/>
                <w:lang w:eastAsia="sl-SI"/>
              </w:rPr>
            </w:pPr>
            <w:r w:rsidRPr="00972554">
              <w:rPr>
                <w:rFonts w:ascii="Calibri" w:hAnsi="Calibri"/>
                <w:sz w:val="18"/>
                <w:szCs w:val="18"/>
              </w:rPr>
              <w:t>31,66</w:t>
            </w:r>
          </w:p>
        </w:tc>
      </w:tr>
      <w:tr w:rsidR="000F5112" w:rsidRPr="00972554" w:rsidTr="00972554">
        <w:trPr>
          <w:trHeight w:val="300"/>
        </w:trPr>
        <w:tc>
          <w:tcPr>
            <w:tcW w:w="5882" w:type="dxa"/>
            <w:shd w:val="clear" w:color="auto" w:fill="auto"/>
            <w:noWrap/>
            <w:hideMark/>
          </w:tcPr>
          <w:p w:rsidR="000F5112" w:rsidRPr="00412299" w:rsidRDefault="000F5112" w:rsidP="00382B0F">
            <w:pPr>
              <w:spacing w:line="240" w:lineRule="auto"/>
              <w:ind w:firstLineChars="100" w:firstLine="180"/>
              <w:jc w:val="left"/>
              <w:rPr>
                <w:rFonts w:ascii="Calibri" w:hAnsi="Calibri"/>
                <w:sz w:val="18"/>
                <w:szCs w:val="18"/>
                <w:lang w:eastAsia="sl-SI"/>
              </w:rPr>
            </w:pPr>
            <w:r w:rsidRPr="002B775E">
              <w:rPr>
                <w:rFonts w:ascii="Calibri" w:hAnsi="Calibri"/>
                <w:sz w:val="18"/>
                <w:szCs w:val="18"/>
              </w:rPr>
              <w:t>SKLAD NEK</w:t>
            </w:r>
          </w:p>
        </w:tc>
        <w:tc>
          <w:tcPr>
            <w:tcW w:w="1843" w:type="dxa"/>
            <w:shd w:val="clear" w:color="auto" w:fill="auto"/>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 xml:space="preserve">35.855.955 </w:t>
            </w:r>
          </w:p>
        </w:tc>
        <w:tc>
          <w:tcPr>
            <w:tcW w:w="1417" w:type="dxa"/>
            <w:shd w:val="clear" w:color="auto" w:fill="FFFFFF"/>
            <w:noWrap/>
            <w:vAlign w:val="bottom"/>
            <w:hideMark/>
          </w:tcPr>
          <w:p w:rsidR="000F5112" w:rsidRPr="00412299" w:rsidRDefault="000F5112" w:rsidP="00116FC1">
            <w:pPr>
              <w:spacing w:line="240" w:lineRule="auto"/>
              <w:jc w:val="right"/>
              <w:rPr>
                <w:rFonts w:ascii="Calibri" w:hAnsi="Calibri"/>
                <w:sz w:val="18"/>
                <w:szCs w:val="18"/>
                <w:lang w:eastAsia="sl-SI"/>
              </w:rPr>
            </w:pPr>
            <w:r w:rsidRPr="00972554">
              <w:rPr>
                <w:rFonts w:ascii="Calibri" w:hAnsi="Calibri"/>
                <w:sz w:val="18"/>
                <w:szCs w:val="18"/>
              </w:rPr>
              <w:t>11,95</w:t>
            </w:r>
          </w:p>
        </w:tc>
      </w:tr>
      <w:tr w:rsidR="000F5112" w:rsidRPr="00972554" w:rsidTr="00972554">
        <w:trPr>
          <w:trHeight w:val="300"/>
        </w:trPr>
        <w:tc>
          <w:tcPr>
            <w:tcW w:w="5882" w:type="dxa"/>
            <w:shd w:val="clear" w:color="auto" w:fill="auto"/>
            <w:noWrap/>
            <w:hideMark/>
          </w:tcPr>
          <w:p w:rsidR="000F5112" w:rsidRPr="00412299" w:rsidRDefault="000F5112"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JAVNI SKLAD </w:t>
            </w:r>
            <w:r w:rsidRPr="002B775E">
              <w:rPr>
                <w:rFonts w:ascii="Calibri" w:hAnsi="Calibri"/>
                <w:sz w:val="18"/>
                <w:szCs w:val="18"/>
              </w:rPr>
              <w:t>RS</w:t>
            </w:r>
            <w:r w:rsidRPr="00972554">
              <w:rPr>
                <w:rFonts w:ascii="Calibri" w:hAnsi="Calibri"/>
                <w:sz w:val="18"/>
                <w:szCs w:val="18"/>
              </w:rPr>
              <w:t xml:space="preserve"> ZA PODJETNIŠTVO</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sz w:val="18"/>
                <w:szCs w:val="18"/>
                <w:lang w:eastAsia="sl-SI"/>
              </w:rPr>
            </w:pPr>
            <w:r w:rsidRPr="00972554">
              <w:rPr>
                <w:rFonts w:ascii="Calibri" w:hAnsi="Calibri"/>
                <w:sz w:val="18"/>
                <w:szCs w:val="18"/>
              </w:rPr>
              <w:t xml:space="preserve">27.651.194 </w:t>
            </w:r>
          </w:p>
        </w:tc>
        <w:tc>
          <w:tcPr>
            <w:tcW w:w="1417" w:type="dxa"/>
            <w:shd w:val="clear" w:color="auto" w:fill="FFFFFF"/>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9,22</w:t>
            </w:r>
          </w:p>
        </w:tc>
      </w:tr>
      <w:tr w:rsidR="000F5112" w:rsidRPr="00972554" w:rsidTr="00972554">
        <w:trPr>
          <w:trHeight w:val="300"/>
        </w:trPr>
        <w:tc>
          <w:tcPr>
            <w:tcW w:w="5882" w:type="dxa"/>
            <w:shd w:val="clear" w:color="auto" w:fill="auto"/>
            <w:noWrap/>
            <w:hideMark/>
          </w:tcPr>
          <w:p w:rsidR="000F5112" w:rsidRPr="00412299" w:rsidRDefault="000F5112"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215-Druge terjatve </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b/>
                <w:bCs/>
                <w:sz w:val="18"/>
                <w:szCs w:val="18"/>
                <w:lang w:eastAsia="sl-SI"/>
              </w:rPr>
            </w:pPr>
            <w:r w:rsidRPr="00972554">
              <w:rPr>
                <w:rFonts w:ascii="Calibri" w:hAnsi="Calibri"/>
                <w:b/>
                <w:sz w:val="18"/>
                <w:szCs w:val="18"/>
              </w:rPr>
              <w:t xml:space="preserve">107.405.731 </w:t>
            </w:r>
          </w:p>
        </w:tc>
        <w:tc>
          <w:tcPr>
            <w:tcW w:w="1417" w:type="dxa"/>
            <w:shd w:val="clear" w:color="auto" w:fill="FFFFFF"/>
            <w:noWrap/>
            <w:vAlign w:val="bottom"/>
            <w:hideMark/>
          </w:tcPr>
          <w:p w:rsidR="000F5112" w:rsidRPr="00382B0F" w:rsidRDefault="000F5112" w:rsidP="00412299">
            <w:pPr>
              <w:spacing w:line="240" w:lineRule="auto"/>
              <w:jc w:val="right"/>
              <w:rPr>
                <w:rFonts w:ascii="Calibri" w:hAnsi="Calibri"/>
                <w:b/>
                <w:bCs/>
                <w:sz w:val="18"/>
                <w:szCs w:val="18"/>
                <w:lang w:eastAsia="sl-SI"/>
              </w:rPr>
            </w:pPr>
          </w:p>
        </w:tc>
      </w:tr>
      <w:tr w:rsidR="000F5112" w:rsidRPr="00972554" w:rsidTr="00972554">
        <w:trPr>
          <w:trHeight w:val="300"/>
        </w:trPr>
        <w:tc>
          <w:tcPr>
            <w:tcW w:w="5882" w:type="dxa"/>
            <w:shd w:val="clear" w:color="auto" w:fill="auto"/>
            <w:noWrap/>
            <w:hideMark/>
          </w:tcPr>
          <w:p w:rsidR="000F5112" w:rsidRPr="00412299" w:rsidRDefault="000F5112"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lastRenderedPageBreak/>
              <w:t xml:space="preserve">JAVNI SKLAD </w:t>
            </w:r>
            <w:r w:rsidRPr="002B775E">
              <w:rPr>
                <w:rFonts w:ascii="Calibri" w:hAnsi="Calibri"/>
                <w:sz w:val="18"/>
                <w:szCs w:val="18"/>
              </w:rPr>
              <w:t>RS</w:t>
            </w:r>
            <w:r w:rsidRPr="00972554">
              <w:rPr>
                <w:rFonts w:ascii="Calibri" w:hAnsi="Calibri"/>
                <w:sz w:val="18"/>
                <w:szCs w:val="18"/>
              </w:rPr>
              <w:t xml:space="preserve"> ZA REGIONALNI RAZVOJ IN RAZVOJ PODEŽELJA</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sz w:val="18"/>
                <w:szCs w:val="18"/>
                <w:lang w:eastAsia="sl-SI"/>
              </w:rPr>
            </w:pPr>
            <w:r w:rsidRPr="00972554">
              <w:rPr>
                <w:rFonts w:ascii="Calibri" w:hAnsi="Calibri"/>
                <w:sz w:val="18"/>
                <w:szCs w:val="18"/>
              </w:rPr>
              <w:t xml:space="preserve">37.839.128 </w:t>
            </w:r>
          </w:p>
        </w:tc>
        <w:tc>
          <w:tcPr>
            <w:tcW w:w="1417" w:type="dxa"/>
            <w:shd w:val="clear" w:color="auto" w:fill="FFFFFF"/>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35,23</w:t>
            </w:r>
          </w:p>
        </w:tc>
      </w:tr>
      <w:tr w:rsidR="000F5112" w:rsidRPr="00972554" w:rsidTr="00972554">
        <w:trPr>
          <w:trHeight w:val="300"/>
        </w:trPr>
        <w:tc>
          <w:tcPr>
            <w:tcW w:w="5882" w:type="dxa"/>
            <w:shd w:val="clear" w:color="auto" w:fill="auto"/>
            <w:noWrap/>
            <w:hideMark/>
          </w:tcPr>
          <w:p w:rsidR="000F5112" w:rsidRPr="00412299" w:rsidRDefault="000F5112"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Eko sklad, Slovenski okoljski javni sklad</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sz w:val="18"/>
                <w:szCs w:val="18"/>
                <w:lang w:eastAsia="sl-SI"/>
              </w:rPr>
            </w:pPr>
            <w:r w:rsidRPr="00972554">
              <w:rPr>
                <w:rFonts w:ascii="Calibri" w:hAnsi="Calibri"/>
                <w:sz w:val="18"/>
                <w:szCs w:val="18"/>
              </w:rPr>
              <w:t xml:space="preserve">35.064.677 </w:t>
            </w:r>
          </w:p>
        </w:tc>
        <w:tc>
          <w:tcPr>
            <w:tcW w:w="1417" w:type="dxa"/>
            <w:shd w:val="clear" w:color="auto" w:fill="FFFFFF"/>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32,65</w:t>
            </w:r>
          </w:p>
        </w:tc>
      </w:tr>
      <w:tr w:rsidR="000F5112" w:rsidRPr="00972554" w:rsidTr="00972554">
        <w:trPr>
          <w:trHeight w:val="300"/>
        </w:trPr>
        <w:tc>
          <w:tcPr>
            <w:tcW w:w="5882" w:type="dxa"/>
            <w:shd w:val="clear" w:color="auto" w:fill="auto"/>
            <w:noWrap/>
            <w:hideMark/>
          </w:tcPr>
          <w:p w:rsidR="000F5112" w:rsidRPr="00412299" w:rsidRDefault="000F5112"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STANOVANJSKI SKLAD </w:t>
            </w:r>
            <w:r w:rsidRPr="002B775E">
              <w:rPr>
                <w:rFonts w:ascii="Calibri" w:hAnsi="Calibri"/>
                <w:sz w:val="18"/>
                <w:szCs w:val="18"/>
              </w:rPr>
              <w:t>RS</w:t>
            </w:r>
            <w:r w:rsidRPr="00972554">
              <w:rPr>
                <w:rFonts w:ascii="Calibri" w:hAnsi="Calibri"/>
                <w:sz w:val="18"/>
                <w:szCs w:val="18"/>
              </w:rPr>
              <w:t>, javni sklad</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sz w:val="18"/>
                <w:szCs w:val="18"/>
                <w:lang w:eastAsia="sl-SI"/>
              </w:rPr>
            </w:pPr>
            <w:r w:rsidRPr="00972554">
              <w:rPr>
                <w:rFonts w:ascii="Calibri" w:hAnsi="Calibri"/>
                <w:sz w:val="18"/>
                <w:szCs w:val="18"/>
              </w:rPr>
              <w:t xml:space="preserve">20.162.633 </w:t>
            </w:r>
          </w:p>
        </w:tc>
        <w:tc>
          <w:tcPr>
            <w:tcW w:w="1417" w:type="dxa"/>
            <w:shd w:val="clear" w:color="auto" w:fill="FFFFFF"/>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18,77</w:t>
            </w:r>
          </w:p>
        </w:tc>
      </w:tr>
      <w:tr w:rsidR="000F5112" w:rsidRPr="00972554" w:rsidTr="00972554">
        <w:trPr>
          <w:trHeight w:val="300"/>
        </w:trPr>
        <w:tc>
          <w:tcPr>
            <w:tcW w:w="5882" w:type="dxa"/>
            <w:shd w:val="clear" w:color="auto" w:fill="92D050"/>
            <w:noWrap/>
            <w:hideMark/>
          </w:tcPr>
          <w:p w:rsidR="000F5112" w:rsidRPr="00412299" w:rsidRDefault="000F5112" w:rsidP="00F454FD">
            <w:pPr>
              <w:spacing w:line="240" w:lineRule="auto"/>
              <w:jc w:val="left"/>
              <w:rPr>
                <w:rFonts w:ascii="Calibri" w:hAnsi="Calibri"/>
                <w:b/>
                <w:bCs/>
                <w:i/>
                <w:sz w:val="18"/>
                <w:szCs w:val="18"/>
                <w:lang w:eastAsia="sl-SI"/>
              </w:rPr>
            </w:pPr>
            <w:r w:rsidRPr="00972554">
              <w:rPr>
                <w:rFonts w:ascii="Calibri" w:hAnsi="Calibri"/>
                <w:b/>
                <w:sz w:val="18"/>
                <w:szCs w:val="18"/>
              </w:rPr>
              <w:t xml:space="preserve">216-Skupaj aktiva </w:t>
            </w:r>
          </w:p>
        </w:tc>
        <w:tc>
          <w:tcPr>
            <w:tcW w:w="1843" w:type="dxa"/>
            <w:shd w:val="clear" w:color="auto" w:fill="92D050"/>
            <w:noWrap/>
            <w:vAlign w:val="bottom"/>
            <w:hideMark/>
          </w:tcPr>
          <w:p w:rsidR="000F5112" w:rsidRPr="00412299" w:rsidRDefault="000F5112" w:rsidP="00382B0F">
            <w:pPr>
              <w:spacing w:line="240" w:lineRule="auto"/>
              <w:jc w:val="right"/>
              <w:rPr>
                <w:rFonts w:ascii="Calibri" w:hAnsi="Calibri"/>
                <w:b/>
                <w:bCs/>
                <w:i/>
                <w:sz w:val="18"/>
                <w:szCs w:val="18"/>
                <w:lang w:eastAsia="sl-SI"/>
              </w:rPr>
            </w:pPr>
            <w:r w:rsidRPr="00972554">
              <w:rPr>
                <w:rFonts w:ascii="Calibri" w:hAnsi="Calibri"/>
                <w:b/>
                <w:sz w:val="18"/>
                <w:szCs w:val="18"/>
              </w:rPr>
              <w:t xml:space="preserve">4.377.668.796 </w:t>
            </w:r>
          </w:p>
        </w:tc>
        <w:tc>
          <w:tcPr>
            <w:tcW w:w="1417" w:type="dxa"/>
            <w:shd w:val="clear" w:color="auto" w:fill="92D050"/>
            <w:noWrap/>
            <w:vAlign w:val="bottom"/>
            <w:hideMark/>
          </w:tcPr>
          <w:p w:rsidR="000F5112" w:rsidRPr="00382B0F" w:rsidRDefault="000F5112" w:rsidP="00412299">
            <w:pPr>
              <w:spacing w:line="240" w:lineRule="auto"/>
              <w:jc w:val="right"/>
              <w:rPr>
                <w:rFonts w:ascii="Calibri" w:hAnsi="Calibri"/>
                <w:b/>
                <w:bCs/>
                <w:i/>
                <w:sz w:val="18"/>
                <w:szCs w:val="18"/>
                <w:lang w:eastAsia="sl-SI"/>
              </w:rPr>
            </w:pPr>
          </w:p>
        </w:tc>
      </w:tr>
      <w:tr w:rsidR="000F5112" w:rsidRPr="00972554" w:rsidTr="00972554">
        <w:trPr>
          <w:trHeight w:val="300"/>
        </w:trPr>
        <w:tc>
          <w:tcPr>
            <w:tcW w:w="5882" w:type="dxa"/>
            <w:shd w:val="clear" w:color="auto" w:fill="auto"/>
            <w:noWrap/>
            <w:hideMark/>
          </w:tcPr>
          <w:p w:rsidR="000F5112" w:rsidRPr="00412299" w:rsidRDefault="000F5112"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SKLAD KMETIJSKIH ZEMLJIŠČ IN GOZDOV </w:t>
            </w:r>
            <w:r w:rsidRPr="002B775E">
              <w:rPr>
                <w:rFonts w:ascii="Calibri" w:hAnsi="Calibri"/>
                <w:sz w:val="18"/>
                <w:szCs w:val="18"/>
              </w:rPr>
              <w:t>RS</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sz w:val="18"/>
                <w:szCs w:val="18"/>
                <w:lang w:eastAsia="sl-SI"/>
              </w:rPr>
            </w:pPr>
            <w:r w:rsidRPr="00972554">
              <w:rPr>
                <w:rFonts w:ascii="Calibri" w:hAnsi="Calibri"/>
                <w:sz w:val="18"/>
                <w:szCs w:val="18"/>
              </w:rPr>
              <w:t xml:space="preserve">452.466.683 </w:t>
            </w:r>
          </w:p>
        </w:tc>
        <w:tc>
          <w:tcPr>
            <w:tcW w:w="1417" w:type="dxa"/>
            <w:shd w:val="clear" w:color="auto" w:fill="FFFFFF"/>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10,34</w:t>
            </w:r>
          </w:p>
        </w:tc>
      </w:tr>
      <w:tr w:rsidR="000F5112" w:rsidRPr="00972554" w:rsidTr="00972554">
        <w:trPr>
          <w:trHeight w:val="300"/>
        </w:trPr>
        <w:tc>
          <w:tcPr>
            <w:tcW w:w="5882" w:type="dxa"/>
            <w:shd w:val="clear" w:color="auto" w:fill="auto"/>
            <w:noWrap/>
            <w:hideMark/>
          </w:tcPr>
          <w:p w:rsidR="000F5112" w:rsidRPr="00412299" w:rsidRDefault="000F5112"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UNIVERZITETNI KLINIČNI CENTER LJUBLJANA</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sz w:val="18"/>
                <w:szCs w:val="18"/>
                <w:lang w:eastAsia="sl-SI"/>
              </w:rPr>
            </w:pPr>
            <w:r w:rsidRPr="00972554">
              <w:rPr>
                <w:rFonts w:ascii="Calibri" w:hAnsi="Calibri"/>
                <w:sz w:val="18"/>
                <w:szCs w:val="18"/>
              </w:rPr>
              <w:t xml:space="preserve">271.874.650 </w:t>
            </w:r>
          </w:p>
        </w:tc>
        <w:tc>
          <w:tcPr>
            <w:tcW w:w="1417" w:type="dxa"/>
            <w:shd w:val="clear" w:color="auto" w:fill="FFFFFF"/>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6,21</w:t>
            </w:r>
          </w:p>
        </w:tc>
      </w:tr>
      <w:tr w:rsidR="000F5112" w:rsidRPr="00972554" w:rsidTr="00972554">
        <w:trPr>
          <w:trHeight w:val="300"/>
        </w:trPr>
        <w:tc>
          <w:tcPr>
            <w:tcW w:w="5882" w:type="dxa"/>
            <w:shd w:val="clear" w:color="auto" w:fill="auto"/>
            <w:noWrap/>
            <w:hideMark/>
          </w:tcPr>
          <w:p w:rsidR="000F5112" w:rsidRPr="00412299" w:rsidRDefault="000F5112"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STANOVANJSKI SKLAD </w:t>
            </w:r>
            <w:r w:rsidRPr="002B775E">
              <w:rPr>
                <w:rFonts w:ascii="Calibri" w:hAnsi="Calibri"/>
                <w:sz w:val="18"/>
                <w:szCs w:val="18"/>
              </w:rPr>
              <w:t>RS</w:t>
            </w:r>
            <w:r w:rsidRPr="00972554">
              <w:rPr>
                <w:rFonts w:ascii="Calibri" w:hAnsi="Calibri"/>
                <w:sz w:val="18"/>
                <w:szCs w:val="18"/>
              </w:rPr>
              <w:t>, javni sklad</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sz w:val="18"/>
                <w:szCs w:val="18"/>
                <w:lang w:eastAsia="sl-SI"/>
              </w:rPr>
            </w:pPr>
            <w:r w:rsidRPr="00972554">
              <w:rPr>
                <w:rFonts w:ascii="Calibri" w:hAnsi="Calibri"/>
                <w:sz w:val="18"/>
                <w:szCs w:val="18"/>
              </w:rPr>
              <w:t xml:space="preserve">269.940.051 </w:t>
            </w:r>
          </w:p>
        </w:tc>
        <w:tc>
          <w:tcPr>
            <w:tcW w:w="1417" w:type="dxa"/>
            <w:shd w:val="clear" w:color="auto" w:fill="FFFFFF"/>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6,17</w:t>
            </w:r>
          </w:p>
        </w:tc>
      </w:tr>
      <w:tr w:rsidR="000F5112" w:rsidRPr="00972554" w:rsidTr="00972554">
        <w:trPr>
          <w:trHeight w:val="300"/>
        </w:trPr>
        <w:tc>
          <w:tcPr>
            <w:tcW w:w="5882" w:type="dxa"/>
            <w:shd w:val="clear" w:color="auto" w:fill="auto"/>
            <w:noWrap/>
            <w:hideMark/>
          </w:tcPr>
          <w:p w:rsidR="000F5112" w:rsidRPr="00116FC1" w:rsidRDefault="000F5112"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217-Splošni sklad </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b/>
                <w:bCs/>
                <w:sz w:val="18"/>
                <w:szCs w:val="18"/>
                <w:lang w:eastAsia="sl-SI"/>
              </w:rPr>
            </w:pPr>
            <w:r w:rsidRPr="00972554">
              <w:rPr>
                <w:rFonts w:ascii="Calibri" w:hAnsi="Calibri"/>
                <w:b/>
                <w:sz w:val="18"/>
                <w:szCs w:val="18"/>
              </w:rPr>
              <w:t xml:space="preserve">186.904.343 </w:t>
            </w:r>
          </w:p>
        </w:tc>
        <w:tc>
          <w:tcPr>
            <w:tcW w:w="1417" w:type="dxa"/>
            <w:shd w:val="clear" w:color="auto" w:fill="FFFFFF"/>
            <w:noWrap/>
            <w:vAlign w:val="bottom"/>
            <w:hideMark/>
          </w:tcPr>
          <w:p w:rsidR="000F5112" w:rsidRPr="00382B0F" w:rsidRDefault="000F5112" w:rsidP="00412299">
            <w:pPr>
              <w:spacing w:line="240" w:lineRule="auto"/>
              <w:jc w:val="right"/>
              <w:rPr>
                <w:rFonts w:ascii="Calibri" w:hAnsi="Calibri"/>
                <w:b/>
                <w:bCs/>
                <w:sz w:val="18"/>
                <w:szCs w:val="18"/>
                <w:lang w:eastAsia="sl-SI"/>
              </w:rPr>
            </w:pPr>
          </w:p>
        </w:tc>
      </w:tr>
      <w:tr w:rsidR="000F5112" w:rsidRPr="00972554" w:rsidTr="00972554">
        <w:trPr>
          <w:trHeight w:val="300"/>
        </w:trPr>
        <w:tc>
          <w:tcPr>
            <w:tcW w:w="5882" w:type="dxa"/>
            <w:shd w:val="clear" w:color="auto" w:fill="auto"/>
            <w:noWrap/>
            <w:hideMark/>
          </w:tcPr>
          <w:p w:rsidR="000F5112" w:rsidRPr="00412299" w:rsidRDefault="000F5112" w:rsidP="00382B0F">
            <w:pPr>
              <w:spacing w:line="240" w:lineRule="auto"/>
              <w:ind w:firstLineChars="100" w:firstLine="180"/>
              <w:jc w:val="left"/>
              <w:rPr>
                <w:rFonts w:ascii="Calibri" w:hAnsi="Calibri"/>
                <w:sz w:val="18"/>
                <w:szCs w:val="18"/>
                <w:lang w:eastAsia="sl-SI"/>
              </w:rPr>
            </w:pPr>
            <w:r w:rsidRPr="002B775E">
              <w:rPr>
                <w:rFonts w:ascii="Calibri" w:hAnsi="Calibri"/>
                <w:sz w:val="18"/>
                <w:szCs w:val="18"/>
              </w:rPr>
              <w:t>SKLAD NEK</w:t>
            </w:r>
          </w:p>
        </w:tc>
        <w:tc>
          <w:tcPr>
            <w:tcW w:w="1843" w:type="dxa"/>
            <w:shd w:val="clear" w:color="auto" w:fill="auto"/>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 xml:space="preserve">185.819.220 </w:t>
            </w:r>
          </w:p>
        </w:tc>
        <w:tc>
          <w:tcPr>
            <w:tcW w:w="1417" w:type="dxa"/>
            <w:shd w:val="clear" w:color="auto" w:fill="FFFFFF"/>
            <w:noWrap/>
            <w:vAlign w:val="bottom"/>
            <w:hideMark/>
          </w:tcPr>
          <w:p w:rsidR="000F5112" w:rsidRPr="00412299" w:rsidRDefault="000F5112" w:rsidP="00116FC1">
            <w:pPr>
              <w:spacing w:line="240" w:lineRule="auto"/>
              <w:jc w:val="right"/>
              <w:rPr>
                <w:rFonts w:ascii="Calibri" w:hAnsi="Calibri"/>
                <w:sz w:val="18"/>
                <w:szCs w:val="18"/>
                <w:lang w:eastAsia="sl-SI"/>
              </w:rPr>
            </w:pPr>
            <w:r w:rsidRPr="00972554">
              <w:rPr>
                <w:rFonts w:ascii="Calibri" w:hAnsi="Calibri"/>
                <w:sz w:val="18"/>
                <w:szCs w:val="18"/>
              </w:rPr>
              <w:t>99,42</w:t>
            </w:r>
          </w:p>
        </w:tc>
      </w:tr>
      <w:tr w:rsidR="000F5112" w:rsidRPr="00972554" w:rsidTr="00972554">
        <w:trPr>
          <w:trHeight w:val="300"/>
        </w:trPr>
        <w:tc>
          <w:tcPr>
            <w:tcW w:w="5882" w:type="dxa"/>
            <w:shd w:val="clear" w:color="auto" w:fill="auto"/>
            <w:noWrap/>
            <w:hideMark/>
          </w:tcPr>
          <w:p w:rsidR="000F5112" w:rsidRPr="00412299" w:rsidRDefault="000F5112"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AGENCIJA ZA TRG VREDNOSTNIH PAPIRJEV</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sz w:val="18"/>
                <w:szCs w:val="18"/>
                <w:lang w:eastAsia="sl-SI"/>
              </w:rPr>
            </w:pPr>
            <w:r w:rsidRPr="00972554">
              <w:rPr>
                <w:rFonts w:ascii="Calibri" w:hAnsi="Calibri"/>
                <w:sz w:val="18"/>
                <w:szCs w:val="18"/>
              </w:rPr>
              <w:t xml:space="preserve">1.085.123 </w:t>
            </w:r>
          </w:p>
        </w:tc>
        <w:tc>
          <w:tcPr>
            <w:tcW w:w="1417" w:type="dxa"/>
            <w:shd w:val="clear" w:color="auto" w:fill="FFFFFF"/>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0,58</w:t>
            </w:r>
          </w:p>
        </w:tc>
      </w:tr>
      <w:tr w:rsidR="000F5112" w:rsidRPr="00972554" w:rsidTr="00972554">
        <w:trPr>
          <w:trHeight w:val="300"/>
        </w:trPr>
        <w:tc>
          <w:tcPr>
            <w:tcW w:w="5882" w:type="dxa"/>
            <w:shd w:val="clear" w:color="auto" w:fill="auto"/>
            <w:noWrap/>
            <w:hideMark/>
          </w:tcPr>
          <w:p w:rsidR="000F5112" w:rsidRPr="00412299" w:rsidRDefault="000F5112"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218-Sklad premoženja v javnih skladih in drugih pravnih osebah javnega prava, ki je v njihovi lasti </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b/>
                <w:bCs/>
                <w:sz w:val="18"/>
                <w:szCs w:val="18"/>
                <w:lang w:eastAsia="sl-SI"/>
              </w:rPr>
            </w:pPr>
            <w:r w:rsidRPr="00972554">
              <w:rPr>
                <w:rFonts w:ascii="Calibri" w:hAnsi="Calibri"/>
                <w:b/>
                <w:sz w:val="18"/>
                <w:szCs w:val="18"/>
              </w:rPr>
              <w:t xml:space="preserve">1.006.293.534 </w:t>
            </w:r>
          </w:p>
        </w:tc>
        <w:tc>
          <w:tcPr>
            <w:tcW w:w="1417" w:type="dxa"/>
            <w:shd w:val="clear" w:color="auto" w:fill="FFFFFF"/>
            <w:noWrap/>
            <w:vAlign w:val="bottom"/>
            <w:hideMark/>
          </w:tcPr>
          <w:p w:rsidR="000F5112" w:rsidRPr="00382B0F" w:rsidRDefault="000F5112" w:rsidP="00412299">
            <w:pPr>
              <w:spacing w:line="240" w:lineRule="auto"/>
              <w:jc w:val="right"/>
              <w:rPr>
                <w:rFonts w:ascii="Calibri" w:hAnsi="Calibri"/>
                <w:b/>
                <w:bCs/>
                <w:sz w:val="18"/>
                <w:szCs w:val="18"/>
                <w:lang w:eastAsia="sl-SI"/>
              </w:rPr>
            </w:pPr>
          </w:p>
        </w:tc>
      </w:tr>
      <w:tr w:rsidR="000F5112" w:rsidRPr="00972554" w:rsidTr="00972554">
        <w:trPr>
          <w:trHeight w:val="300"/>
        </w:trPr>
        <w:tc>
          <w:tcPr>
            <w:tcW w:w="5882" w:type="dxa"/>
            <w:shd w:val="clear" w:color="auto" w:fill="auto"/>
            <w:noWrap/>
            <w:hideMark/>
          </w:tcPr>
          <w:p w:rsidR="000F5112" w:rsidRPr="00412299" w:rsidRDefault="000F5112"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STANOVANJSKI SKLAD </w:t>
            </w:r>
            <w:r w:rsidRPr="002B775E">
              <w:rPr>
                <w:rFonts w:ascii="Calibri" w:hAnsi="Calibri"/>
                <w:sz w:val="18"/>
                <w:szCs w:val="18"/>
              </w:rPr>
              <w:t>RS</w:t>
            </w:r>
            <w:r w:rsidRPr="00972554">
              <w:rPr>
                <w:rFonts w:ascii="Calibri" w:hAnsi="Calibri"/>
                <w:sz w:val="18"/>
                <w:szCs w:val="18"/>
              </w:rPr>
              <w:t>, javni sklad</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sz w:val="18"/>
                <w:szCs w:val="18"/>
                <w:lang w:eastAsia="sl-SI"/>
              </w:rPr>
            </w:pPr>
            <w:r w:rsidRPr="00972554">
              <w:rPr>
                <w:rFonts w:ascii="Calibri" w:hAnsi="Calibri"/>
                <w:sz w:val="18"/>
                <w:szCs w:val="18"/>
              </w:rPr>
              <w:t xml:space="preserve">254.220.461 </w:t>
            </w:r>
          </w:p>
        </w:tc>
        <w:tc>
          <w:tcPr>
            <w:tcW w:w="1417" w:type="dxa"/>
            <w:shd w:val="clear" w:color="auto" w:fill="FFFFFF"/>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25,26</w:t>
            </w:r>
          </w:p>
        </w:tc>
      </w:tr>
      <w:tr w:rsidR="000F5112" w:rsidRPr="00972554" w:rsidTr="00972554">
        <w:trPr>
          <w:trHeight w:val="300"/>
        </w:trPr>
        <w:tc>
          <w:tcPr>
            <w:tcW w:w="5882" w:type="dxa"/>
            <w:shd w:val="clear" w:color="auto" w:fill="auto"/>
            <w:noWrap/>
            <w:hideMark/>
          </w:tcPr>
          <w:p w:rsidR="000F5112" w:rsidRPr="00412299" w:rsidRDefault="000F5112"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SKLAD </w:t>
            </w:r>
            <w:r w:rsidRPr="002B775E">
              <w:rPr>
                <w:rFonts w:ascii="Calibri" w:hAnsi="Calibri"/>
                <w:sz w:val="18"/>
                <w:szCs w:val="18"/>
              </w:rPr>
              <w:t>RS</w:t>
            </w:r>
            <w:r w:rsidRPr="00972554">
              <w:rPr>
                <w:rFonts w:ascii="Calibri" w:hAnsi="Calibri"/>
                <w:sz w:val="18"/>
                <w:szCs w:val="18"/>
              </w:rPr>
              <w:t xml:space="preserve"> ZA NASLEDSTVO, javni sklad</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sz w:val="18"/>
                <w:szCs w:val="18"/>
                <w:lang w:eastAsia="sl-SI"/>
              </w:rPr>
            </w:pPr>
            <w:r w:rsidRPr="00972554">
              <w:rPr>
                <w:rFonts w:ascii="Calibri" w:hAnsi="Calibri"/>
                <w:sz w:val="18"/>
                <w:szCs w:val="18"/>
              </w:rPr>
              <w:t xml:space="preserve">119.656.702 </w:t>
            </w:r>
          </w:p>
        </w:tc>
        <w:tc>
          <w:tcPr>
            <w:tcW w:w="1417" w:type="dxa"/>
            <w:shd w:val="clear" w:color="auto" w:fill="FFFFFF"/>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11,89</w:t>
            </w:r>
          </w:p>
        </w:tc>
      </w:tr>
      <w:tr w:rsidR="000F5112" w:rsidRPr="00972554" w:rsidTr="00972554">
        <w:trPr>
          <w:trHeight w:val="300"/>
        </w:trPr>
        <w:tc>
          <w:tcPr>
            <w:tcW w:w="5882" w:type="dxa"/>
            <w:shd w:val="clear" w:color="auto" w:fill="auto"/>
            <w:noWrap/>
            <w:hideMark/>
          </w:tcPr>
          <w:p w:rsidR="000F5112" w:rsidRPr="00412299" w:rsidRDefault="000F5112"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JAVNI SKLAD </w:t>
            </w:r>
            <w:r w:rsidRPr="002B775E">
              <w:rPr>
                <w:rFonts w:ascii="Calibri" w:hAnsi="Calibri"/>
                <w:sz w:val="18"/>
                <w:szCs w:val="18"/>
              </w:rPr>
              <w:t>RS</w:t>
            </w:r>
            <w:r w:rsidRPr="00972554">
              <w:rPr>
                <w:rFonts w:ascii="Calibri" w:hAnsi="Calibri"/>
                <w:sz w:val="18"/>
                <w:szCs w:val="18"/>
              </w:rPr>
              <w:t xml:space="preserve"> ZA REGIONALNI RAZVOJ IN RAZVOJ PODEŽELJA</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sz w:val="18"/>
                <w:szCs w:val="18"/>
                <w:lang w:eastAsia="sl-SI"/>
              </w:rPr>
            </w:pPr>
            <w:r w:rsidRPr="00972554">
              <w:rPr>
                <w:rFonts w:ascii="Calibri" w:hAnsi="Calibri"/>
                <w:sz w:val="18"/>
                <w:szCs w:val="18"/>
              </w:rPr>
              <w:t xml:space="preserve">96.317.035 </w:t>
            </w:r>
          </w:p>
        </w:tc>
        <w:tc>
          <w:tcPr>
            <w:tcW w:w="1417" w:type="dxa"/>
            <w:shd w:val="clear" w:color="auto" w:fill="FFFFFF"/>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9,57</w:t>
            </w:r>
          </w:p>
        </w:tc>
      </w:tr>
      <w:tr w:rsidR="000F5112" w:rsidRPr="00972554" w:rsidTr="00972554">
        <w:trPr>
          <w:trHeight w:val="300"/>
        </w:trPr>
        <w:tc>
          <w:tcPr>
            <w:tcW w:w="5882" w:type="dxa"/>
            <w:shd w:val="clear" w:color="auto" w:fill="auto"/>
            <w:noWrap/>
            <w:hideMark/>
          </w:tcPr>
          <w:p w:rsidR="000F5112" w:rsidRPr="00412299" w:rsidRDefault="000F5112"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219-Obveznosti za sredstva prejeta v upravljanje </w:t>
            </w:r>
          </w:p>
        </w:tc>
        <w:tc>
          <w:tcPr>
            <w:tcW w:w="1843" w:type="dxa"/>
            <w:shd w:val="clear" w:color="auto" w:fill="auto"/>
            <w:noWrap/>
            <w:vAlign w:val="bottom"/>
            <w:hideMark/>
          </w:tcPr>
          <w:p w:rsidR="000F5112" w:rsidRPr="00116FC1" w:rsidRDefault="000F5112" w:rsidP="00382B0F">
            <w:pPr>
              <w:spacing w:line="240" w:lineRule="auto"/>
              <w:jc w:val="right"/>
              <w:rPr>
                <w:rFonts w:ascii="Calibri" w:hAnsi="Calibri"/>
                <w:b/>
                <w:bCs/>
                <w:sz w:val="18"/>
                <w:szCs w:val="18"/>
                <w:lang w:eastAsia="sl-SI"/>
              </w:rPr>
            </w:pPr>
            <w:r w:rsidRPr="00972554">
              <w:rPr>
                <w:rFonts w:ascii="Calibri" w:hAnsi="Calibri"/>
                <w:b/>
                <w:sz w:val="18"/>
                <w:szCs w:val="18"/>
              </w:rPr>
              <w:t xml:space="preserve">2.499.393.558 </w:t>
            </w:r>
          </w:p>
        </w:tc>
        <w:tc>
          <w:tcPr>
            <w:tcW w:w="1417" w:type="dxa"/>
            <w:shd w:val="clear" w:color="auto" w:fill="FFFFFF"/>
            <w:noWrap/>
            <w:vAlign w:val="bottom"/>
            <w:hideMark/>
          </w:tcPr>
          <w:p w:rsidR="000F5112" w:rsidRPr="00382B0F" w:rsidRDefault="000F5112" w:rsidP="00412299">
            <w:pPr>
              <w:spacing w:line="240" w:lineRule="auto"/>
              <w:jc w:val="right"/>
              <w:rPr>
                <w:rFonts w:ascii="Calibri" w:hAnsi="Calibri"/>
                <w:b/>
                <w:bCs/>
                <w:sz w:val="18"/>
                <w:szCs w:val="18"/>
                <w:lang w:eastAsia="sl-SI"/>
              </w:rPr>
            </w:pPr>
          </w:p>
        </w:tc>
      </w:tr>
      <w:tr w:rsidR="000F5112" w:rsidRPr="00972554" w:rsidTr="00972554">
        <w:trPr>
          <w:trHeight w:val="300"/>
        </w:trPr>
        <w:tc>
          <w:tcPr>
            <w:tcW w:w="5882" w:type="dxa"/>
            <w:shd w:val="clear" w:color="auto" w:fill="auto"/>
            <w:noWrap/>
            <w:hideMark/>
          </w:tcPr>
          <w:p w:rsidR="000F5112" w:rsidRPr="00412299" w:rsidRDefault="000F5112"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SKLAD KMETIJSKIH ZEMLJIŠČ IN GOZDOV </w:t>
            </w:r>
            <w:r w:rsidRPr="002B775E">
              <w:rPr>
                <w:rFonts w:ascii="Calibri" w:hAnsi="Calibri"/>
                <w:sz w:val="18"/>
                <w:szCs w:val="18"/>
              </w:rPr>
              <w:t>RS</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sz w:val="18"/>
                <w:szCs w:val="18"/>
                <w:lang w:eastAsia="sl-SI"/>
              </w:rPr>
            </w:pPr>
            <w:r w:rsidRPr="00972554">
              <w:rPr>
                <w:rFonts w:ascii="Calibri" w:hAnsi="Calibri"/>
                <w:sz w:val="18"/>
                <w:szCs w:val="18"/>
              </w:rPr>
              <w:t xml:space="preserve">450.516.935 </w:t>
            </w:r>
          </w:p>
        </w:tc>
        <w:tc>
          <w:tcPr>
            <w:tcW w:w="1417" w:type="dxa"/>
            <w:shd w:val="clear" w:color="auto" w:fill="FFFFFF"/>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18,03</w:t>
            </w:r>
          </w:p>
        </w:tc>
      </w:tr>
      <w:tr w:rsidR="000F5112" w:rsidRPr="00972554" w:rsidTr="00972554">
        <w:trPr>
          <w:trHeight w:val="300"/>
        </w:trPr>
        <w:tc>
          <w:tcPr>
            <w:tcW w:w="5882" w:type="dxa"/>
            <w:shd w:val="clear" w:color="auto" w:fill="auto"/>
            <w:noWrap/>
            <w:hideMark/>
          </w:tcPr>
          <w:p w:rsidR="000F5112" w:rsidRPr="00412299" w:rsidRDefault="000F5112"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UNIVERZITETNI KLINIČNI CENTER LJUBLJANA</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sz w:val="18"/>
                <w:szCs w:val="18"/>
                <w:lang w:eastAsia="sl-SI"/>
              </w:rPr>
            </w:pPr>
            <w:r w:rsidRPr="00972554">
              <w:rPr>
                <w:rFonts w:ascii="Calibri" w:hAnsi="Calibri"/>
                <w:sz w:val="18"/>
                <w:szCs w:val="18"/>
              </w:rPr>
              <w:t xml:space="preserve">180.600.828 </w:t>
            </w:r>
          </w:p>
        </w:tc>
        <w:tc>
          <w:tcPr>
            <w:tcW w:w="1417" w:type="dxa"/>
            <w:shd w:val="clear" w:color="auto" w:fill="FFFFFF"/>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7,23</w:t>
            </w:r>
          </w:p>
        </w:tc>
      </w:tr>
      <w:tr w:rsidR="000F5112" w:rsidRPr="00972554" w:rsidTr="00972554">
        <w:trPr>
          <w:trHeight w:val="300"/>
        </w:trPr>
        <w:tc>
          <w:tcPr>
            <w:tcW w:w="5882" w:type="dxa"/>
            <w:shd w:val="clear" w:color="auto" w:fill="auto"/>
            <w:noWrap/>
            <w:hideMark/>
          </w:tcPr>
          <w:p w:rsidR="000F5112" w:rsidRPr="00412299" w:rsidRDefault="000F5112"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UNIVERZITETNI KLINIČNI CENTER MARIBOR</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sz w:val="18"/>
                <w:szCs w:val="18"/>
                <w:lang w:eastAsia="sl-SI"/>
              </w:rPr>
            </w:pPr>
            <w:r w:rsidRPr="00972554">
              <w:rPr>
                <w:rFonts w:ascii="Calibri" w:hAnsi="Calibri"/>
                <w:sz w:val="18"/>
                <w:szCs w:val="18"/>
              </w:rPr>
              <w:t xml:space="preserve">78.408.429 </w:t>
            </w:r>
          </w:p>
        </w:tc>
        <w:tc>
          <w:tcPr>
            <w:tcW w:w="1417" w:type="dxa"/>
            <w:shd w:val="clear" w:color="auto" w:fill="FFFFFF"/>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3,14</w:t>
            </w:r>
          </w:p>
        </w:tc>
      </w:tr>
      <w:tr w:rsidR="000F5112" w:rsidRPr="00972554" w:rsidTr="00972554">
        <w:trPr>
          <w:trHeight w:val="300"/>
        </w:trPr>
        <w:tc>
          <w:tcPr>
            <w:tcW w:w="5882" w:type="dxa"/>
            <w:shd w:val="clear" w:color="auto" w:fill="auto"/>
            <w:noWrap/>
            <w:hideMark/>
          </w:tcPr>
          <w:p w:rsidR="000F5112" w:rsidRPr="00412299" w:rsidRDefault="000F5112"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220-Rezervni sklad </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b/>
                <w:bCs/>
                <w:sz w:val="18"/>
                <w:szCs w:val="18"/>
                <w:lang w:eastAsia="sl-SI"/>
              </w:rPr>
            </w:pPr>
            <w:r w:rsidRPr="00972554">
              <w:rPr>
                <w:rFonts w:ascii="Calibri" w:hAnsi="Calibri"/>
                <w:b/>
                <w:sz w:val="18"/>
                <w:szCs w:val="18"/>
              </w:rPr>
              <w:t xml:space="preserve">34.173.584 </w:t>
            </w:r>
          </w:p>
        </w:tc>
        <w:tc>
          <w:tcPr>
            <w:tcW w:w="1417" w:type="dxa"/>
            <w:shd w:val="clear" w:color="auto" w:fill="FFFFFF"/>
            <w:noWrap/>
            <w:vAlign w:val="bottom"/>
            <w:hideMark/>
          </w:tcPr>
          <w:p w:rsidR="000F5112" w:rsidRPr="00382B0F" w:rsidRDefault="000F5112" w:rsidP="00412299">
            <w:pPr>
              <w:spacing w:line="240" w:lineRule="auto"/>
              <w:jc w:val="right"/>
              <w:rPr>
                <w:rFonts w:ascii="Calibri" w:hAnsi="Calibri"/>
                <w:b/>
                <w:bCs/>
                <w:sz w:val="18"/>
                <w:szCs w:val="18"/>
                <w:lang w:eastAsia="sl-SI"/>
              </w:rPr>
            </w:pPr>
          </w:p>
        </w:tc>
      </w:tr>
      <w:tr w:rsidR="000F5112" w:rsidRPr="00972554" w:rsidTr="00972554">
        <w:trPr>
          <w:trHeight w:val="300"/>
        </w:trPr>
        <w:tc>
          <w:tcPr>
            <w:tcW w:w="5882" w:type="dxa"/>
            <w:shd w:val="clear" w:color="auto" w:fill="auto"/>
            <w:noWrap/>
            <w:hideMark/>
          </w:tcPr>
          <w:p w:rsidR="000F5112" w:rsidRPr="00116FC1" w:rsidRDefault="000F5112"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JAVNI SKLAD </w:t>
            </w:r>
            <w:r w:rsidRPr="002B775E">
              <w:rPr>
                <w:rFonts w:ascii="Calibri" w:hAnsi="Calibri"/>
                <w:sz w:val="18"/>
                <w:szCs w:val="18"/>
              </w:rPr>
              <w:t>RS</w:t>
            </w:r>
            <w:r w:rsidRPr="00972554">
              <w:rPr>
                <w:rFonts w:ascii="Calibri" w:hAnsi="Calibri"/>
                <w:sz w:val="18"/>
                <w:szCs w:val="18"/>
              </w:rPr>
              <w:t xml:space="preserve"> ZA REGIONALNI RAZVOJ IN RAZVOJ PODEŽELJA</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sz w:val="18"/>
                <w:szCs w:val="18"/>
                <w:lang w:eastAsia="sl-SI"/>
              </w:rPr>
            </w:pPr>
            <w:r w:rsidRPr="00972554">
              <w:rPr>
                <w:rFonts w:ascii="Calibri" w:hAnsi="Calibri"/>
                <w:sz w:val="18"/>
                <w:szCs w:val="18"/>
              </w:rPr>
              <w:t xml:space="preserve">14.031.286 </w:t>
            </w:r>
          </w:p>
        </w:tc>
        <w:tc>
          <w:tcPr>
            <w:tcW w:w="1417" w:type="dxa"/>
            <w:shd w:val="clear" w:color="auto" w:fill="FFFFFF"/>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41,06</w:t>
            </w:r>
          </w:p>
        </w:tc>
      </w:tr>
      <w:tr w:rsidR="000F5112" w:rsidRPr="00972554" w:rsidTr="00972554">
        <w:trPr>
          <w:trHeight w:val="300"/>
        </w:trPr>
        <w:tc>
          <w:tcPr>
            <w:tcW w:w="5882" w:type="dxa"/>
            <w:shd w:val="clear" w:color="auto" w:fill="auto"/>
            <w:noWrap/>
            <w:hideMark/>
          </w:tcPr>
          <w:p w:rsidR="000F5112" w:rsidRPr="00412299" w:rsidRDefault="000F5112"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Eko sklad, Slovenski okoljski javni sklad</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sz w:val="18"/>
                <w:szCs w:val="18"/>
                <w:lang w:eastAsia="sl-SI"/>
              </w:rPr>
            </w:pPr>
            <w:r w:rsidRPr="00972554">
              <w:rPr>
                <w:rFonts w:ascii="Calibri" w:hAnsi="Calibri"/>
                <w:sz w:val="18"/>
                <w:szCs w:val="18"/>
              </w:rPr>
              <w:t xml:space="preserve">11.494.055 </w:t>
            </w:r>
          </w:p>
        </w:tc>
        <w:tc>
          <w:tcPr>
            <w:tcW w:w="1417" w:type="dxa"/>
            <w:shd w:val="clear" w:color="auto" w:fill="FFFFFF"/>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33,63</w:t>
            </w:r>
          </w:p>
        </w:tc>
      </w:tr>
      <w:tr w:rsidR="000F5112" w:rsidRPr="00972554" w:rsidTr="00972554">
        <w:trPr>
          <w:trHeight w:val="300"/>
        </w:trPr>
        <w:tc>
          <w:tcPr>
            <w:tcW w:w="5882" w:type="dxa"/>
            <w:shd w:val="clear" w:color="auto" w:fill="auto"/>
            <w:noWrap/>
            <w:hideMark/>
          </w:tcPr>
          <w:p w:rsidR="000F5112" w:rsidRPr="00412299" w:rsidRDefault="000F5112"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JAVNI SKLAD </w:t>
            </w:r>
            <w:r w:rsidRPr="002B775E">
              <w:rPr>
                <w:rFonts w:ascii="Calibri" w:hAnsi="Calibri"/>
                <w:sz w:val="18"/>
                <w:szCs w:val="18"/>
              </w:rPr>
              <w:t>RS</w:t>
            </w:r>
            <w:r w:rsidRPr="00972554">
              <w:rPr>
                <w:rFonts w:ascii="Calibri" w:hAnsi="Calibri"/>
                <w:sz w:val="18"/>
                <w:szCs w:val="18"/>
              </w:rPr>
              <w:t xml:space="preserve"> ZA PODJETNIŠTVO</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sz w:val="18"/>
                <w:szCs w:val="18"/>
                <w:lang w:eastAsia="sl-SI"/>
              </w:rPr>
            </w:pPr>
            <w:r w:rsidRPr="00972554">
              <w:rPr>
                <w:rFonts w:ascii="Calibri" w:hAnsi="Calibri"/>
                <w:sz w:val="18"/>
                <w:szCs w:val="18"/>
              </w:rPr>
              <w:t xml:space="preserve">5.186.246 </w:t>
            </w:r>
          </w:p>
        </w:tc>
        <w:tc>
          <w:tcPr>
            <w:tcW w:w="1417" w:type="dxa"/>
            <w:shd w:val="clear" w:color="auto" w:fill="FFFFFF"/>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15,18</w:t>
            </w:r>
          </w:p>
        </w:tc>
      </w:tr>
      <w:tr w:rsidR="000F5112" w:rsidRPr="00972554" w:rsidTr="00972554">
        <w:trPr>
          <w:trHeight w:val="300"/>
        </w:trPr>
        <w:tc>
          <w:tcPr>
            <w:tcW w:w="5882" w:type="dxa"/>
            <w:shd w:val="clear" w:color="auto" w:fill="auto"/>
            <w:noWrap/>
            <w:hideMark/>
          </w:tcPr>
          <w:p w:rsidR="000F5112" w:rsidRPr="00412299" w:rsidRDefault="000F5112"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221-Dolgoročno prejeta posojila </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b/>
                <w:bCs/>
                <w:sz w:val="18"/>
                <w:szCs w:val="18"/>
                <w:lang w:eastAsia="sl-SI"/>
              </w:rPr>
            </w:pPr>
            <w:r w:rsidRPr="00972554">
              <w:rPr>
                <w:rFonts w:ascii="Calibri" w:hAnsi="Calibri"/>
                <w:b/>
                <w:sz w:val="18"/>
                <w:szCs w:val="18"/>
              </w:rPr>
              <w:t xml:space="preserve">104.863.233 </w:t>
            </w:r>
          </w:p>
        </w:tc>
        <w:tc>
          <w:tcPr>
            <w:tcW w:w="1417" w:type="dxa"/>
            <w:shd w:val="clear" w:color="auto" w:fill="FFFFFF"/>
            <w:noWrap/>
            <w:vAlign w:val="bottom"/>
            <w:hideMark/>
          </w:tcPr>
          <w:p w:rsidR="000F5112" w:rsidRPr="00382B0F" w:rsidRDefault="000F5112" w:rsidP="00412299">
            <w:pPr>
              <w:spacing w:line="240" w:lineRule="auto"/>
              <w:jc w:val="right"/>
              <w:rPr>
                <w:rFonts w:ascii="Calibri" w:hAnsi="Calibri"/>
                <w:b/>
                <w:bCs/>
                <w:sz w:val="18"/>
                <w:szCs w:val="18"/>
                <w:lang w:eastAsia="sl-SI"/>
              </w:rPr>
            </w:pPr>
          </w:p>
        </w:tc>
      </w:tr>
      <w:tr w:rsidR="000F5112" w:rsidRPr="00972554" w:rsidTr="00972554">
        <w:trPr>
          <w:trHeight w:val="300"/>
        </w:trPr>
        <w:tc>
          <w:tcPr>
            <w:tcW w:w="5882" w:type="dxa"/>
            <w:shd w:val="clear" w:color="auto" w:fill="auto"/>
            <w:noWrap/>
            <w:hideMark/>
          </w:tcPr>
          <w:p w:rsidR="000F5112" w:rsidRPr="00412299" w:rsidRDefault="000F5112"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Eko sklad, Slovenski okoljski javni sklad</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sz w:val="18"/>
                <w:szCs w:val="18"/>
                <w:lang w:eastAsia="sl-SI"/>
              </w:rPr>
            </w:pPr>
            <w:r w:rsidRPr="00972554">
              <w:rPr>
                <w:rFonts w:ascii="Calibri" w:hAnsi="Calibri"/>
                <w:sz w:val="18"/>
                <w:szCs w:val="18"/>
              </w:rPr>
              <w:t xml:space="preserve">51.000.000 </w:t>
            </w:r>
          </w:p>
        </w:tc>
        <w:tc>
          <w:tcPr>
            <w:tcW w:w="1417" w:type="dxa"/>
            <w:shd w:val="clear" w:color="auto" w:fill="FFFFFF"/>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48,63</w:t>
            </w:r>
          </w:p>
        </w:tc>
      </w:tr>
      <w:tr w:rsidR="000F5112" w:rsidRPr="00972554" w:rsidTr="00972554">
        <w:trPr>
          <w:trHeight w:val="300"/>
        </w:trPr>
        <w:tc>
          <w:tcPr>
            <w:tcW w:w="5882" w:type="dxa"/>
            <w:shd w:val="clear" w:color="auto" w:fill="auto"/>
            <w:noWrap/>
            <w:hideMark/>
          </w:tcPr>
          <w:p w:rsidR="000F5112" w:rsidRPr="00412299" w:rsidRDefault="000F5112"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JAVNI SKLAD </w:t>
            </w:r>
            <w:r w:rsidRPr="002B775E">
              <w:rPr>
                <w:rFonts w:ascii="Calibri" w:hAnsi="Calibri"/>
                <w:sz w:val="18"/>
                <w:szCs w:val="18"/>
              </w:rPr>
              <w:t>RS</w:t>
            </w:r>
            <w:r w:rsidRPr="00972554">
              <w:rPr>
                <w:rFonts w:ascii="Calibri" w:hAnsi="Calibri"/>
                <w:sz w:val="18"/>
                <w:szCs w:val="18"/>
              </w:rPr>
              <w:t xml:space="preserve"> ZA REGIONALNI RAZVOJ IN RAZVOJ PODEŽELJA</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sz w:val="18"/>
                <w:szCs w:val="18"/>
                <w:lang w:eastAsia="sl-SI"/>
              </w:rPr>
            </w:pPr>
            <w:r w:rsidRPr="00972554">
              <w:rPr>
                <w:rFonts w:ascii="Calibri" w:hAnsi="Calibri"/>
                <w:sz w:val="18"/>
                <w:szCs w:val="18"/>
              </w:rPr>
              <w:t xml:space="preserve">22.133.452 </w:t>
            </w:r>
          </w:p>
        </w:tc>
        <w:tc>
          <w:tcPr>
            <w:tcW w:w="1417" w:type="dxa"/>
            <w:shd w:val="clear" w:color="auto" w:fill="FFFFFF"/>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21,11</w:t>
            </w:r>
          </w:p>
        </w:tc>
      </w:tr>
      <w:tr w:rsidR="000F5112" w:rsidRPr="00972554" w:rsidTr="00972554">
        <w:trPr>
          <w:trHeight w:val="300"/>
        </w:trPr>
        <w:tc>
          <w:tcPr>
            <w:tcW w:w="5882" w:type="dxa"/>
            <w:shd w:val="clear" w:color="auto" w:fill="auto"/>
            <w:noWrap/>
            <w:hideMark/>
          </w:tcPr>
          <w:p w:rsidR="000F5112" w:rsidRPr="00412299" w:rsidRDefault="000F5112"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UNIVERZA V LJUBLJANI</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sz w:val="18"/>
                <w:szCs w:val="18"/>
                <w:lang w:eastAsia="sl-SI"/>
              </w:rPr>
            </w:pPr>
            <w:r w:rsidRPr="00972554">
              <w:rPr>
                <w:rFonts w:ascii="Calibri" w:hAnsi="Calibri"/>
                <w:sz w:val="18"/>
                <w:szCs w:val="18"/>
              </w:rPr>
              <w:t xml:space="preserve">7.269.278 </w:t>
            </w:r>
          </w:p>
        </w:tc>
        <w:tc>
          <w:tcPr>
            <w:tcW w:w="1417" w:type="dxa"/>
            <w:shd w:val="clear" w:color="auto" w:fill="FFFFFF"/>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6,93</w:t>
            </w:r>
          </w:p>
        </w:tc>
      </w:tr>
      <w:tr w:rsidR="000F5112" w:rsidRPr="00972554" w:rsidTr="00972554">
        <w:trPr>
          <w:trHeight w:val="300"/>
        </w:trPr>
        <w:tc>
          <w:tcPr>
            <w:tcW w:w="5882" w:type="dxa"/>
            <w:shd w:val="clear" w:color="auto" w:fill="auto"/>
            <w:noWrap/>
            <w:hideMark/>
          </w:tcPr>
          <w:p w:rsidR="000F5112" w:rsidRPr="00116FC1" w:rsidRDefault="000F5112"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222-Dolgoročne obveznosti iz poslovanja </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b/>
                <w:bCs/>
                <w:sz w:val="18"/>
                <w:szCs w:val="18"/>
                <w:lang w:eastAsia="sl-SI"/>
              </w:rPr>
            </w:pPr>
            <w:r w:rsidRPr="00972554">
              <w:rPr>
                <w:rFonts w:ascii="Calibri" w:hAnsi="Calibri"/>
                <w:b/>
                <w:sz w:val="18"/>
                <w:szCs w:val="18"/>
              </w:rPr>
              <w:t xml:space="preserve">13.323.197 </w:t>
            </w:r>
          </w:p>
        </w:tc>
        <w:tc>
          <w:tcPr>
            <w:tcW w:w="1417" w:type="dxa"/>
            <w:shd w:val="clear" w:color="auto" w:fill="FFFFFF"/>
            <w:noWrap/>
            <w:vAlign w:val="bottom"/>
            <w:hideMark/>
          </w:tcPr>
          <w:p w:rsidR="000F5112" w:rsidRPr="00382B0F" w:rsidRDefault="000F5112" w:rsidP="00412299">
            <w:pPr>
              <w:spacing w:line="240" w:lineRule="auto"/>
              <w:jc w:val="right"/>
              <w:rPr>
                <w:rFonts w:ascii="Calibri" w:hAnsi="Calibri"/>
                <w:b/>
                <w:bCs/>
                <w:sz w:val="18"/>
                <w:szCs w:val="18"/>
                <w:lang w:eastAsia="sl-SI"/>
              </w:rPr>
            </w:pPr>
          </w:p>
        </w:tc>
      </w:tr>
      <w:tr w:rsidR="000F5112" w:rsidRPr="00972554" w:rsidTr="00972554">
        <w:trPr>
          <w:trHeight w:val="300"/>
        </w:trPr>
        <w:tc>
          <w:tcPr>
            <w:tcW w:w="5882" w:type="dxa"/>
            <w:shd w:val="clear" w:color="auto" w:fill="auto"/>
            <w:noWrap/>
            <w:hideMark/>
          </w:tcPr>
          <w:p w:rsidR="000F5112" w:rsidRPr="00412299" w:rsidRDefault="000F5112" w:rsidP="00382B0F">
            <w:pPr>
              <w:spacing w:line="240" w:lineRule="auto"/>
              <w:ind w:firstLineChars="100" w:firstLine="180"/>
              <w:jc w:val="left"/>
              <w:rPr>
                <w:rFonts w:ascii="Calibri" w:hAnsi="Calibri"/>
                <w:sz w:val="18"/>
                <w:szCs w:val="18"/>
                <w:lang w:eastAsia="sl-SI"/>
              </w:rPr>
            </w:pPr>
            <w:r w:rsidRPr="002B775E">
              <w:rPr>
                <w:rFonts w:ascii="Calibri" w:hAnsi="Calibri"/>
                <w:sz w:val="18"/>
                <w:szCs w:val="18"/>
              </w:rPr>
              <w:t>CENTER RS ZA MOBILNOST</w:t>
            </w:r>
          </w:p>
        </w:tc>
        <w:tc>
          <w:tcPr>
            <w:tcW w:w="1843" w:type="dxa"/>
            <w:shd w:val="clear" w:color="auto" w:fill="auto"/>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 xml:space="preserve">4.523.466 </w:t>
            </w:r>
          </w:p>
        </w:tc>
        <w:tc>
          <w:tcPr>
            <w:tcW w:w="1417" w:type="dxa"/>
            <w:shd w:val="clear" w:color="auto" w:fill="FFFFFF"/>
            <w:noWrap/>
            <w:vAlign w:val="bottom"/>
            <w:hideMark/>
          </w:tcPr>
          <w:p w:rsidR="000F5112" w:rsidRPr="00412299" w:rsidRDefault="000F5112" w:rsidP="00116FC1">
            <w:pPr>
              <w:spacing w:line="240" w:lineRule="auto"/>
              <w:jc w:val="right"/>
              <w:rPr>
                <w:rFonts w:ascii="Calibri" w:hAnsi="Calibri"/>
                <w:sz w:val="18"/>
                <w:szCs w:val="18"/>
                <w:lang w:eastAsia="sl-SI"/>
              </w:rPr>
            </w:pPr>
            <w:r w:rsidRPr="00972554">
              <w:rPr>
                <w:rFonts w:ascii="Calibri" w:hAnsi="Calibri"/>
                <w:sz w:val="18"/>
                <w:szCs w:val="18"/>
              </w:rPr>
              <w:t>33,95</w:t>
            </w:r>
          </w:p>
        </w:tc>
      </w:tr>
      <w:tr w:rsidR="000F5112" w:rsidRPr="00972554" w:rsidTr="00972554">
        <w:trPr>
          <w:trHeight w:val="300"/>
        </w:trPr>
        <w:tc>
          <w:tcPr>
            <w:tcW w:w="5882" w:type="dxa"/>
            <w:shd w:val="clear" w:color="auto" w:fill="auto"/>
            <w:noWrap/>
            <w:hideMark/>
          </w:tcPr>
          <w:p w:rsidR="000F5112" w:rsidRPr="00412299" w:rsidRDefault="000F5112"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STANOVANJSKI SKLAD </w:t>
            </w:r>
            <w:r w:rsidRPr="002B775E">
              <w:rPr>
                <w:rFonts w:ascii="Calibri" w:hAnsi="Calibri"/>
                <w:sz w:val="18"/>
                <w:szCs w:val="18"/>
              </w:rPr>
              <w:t>RS</w:t>
            </w:r>
            <w:r w:rsidRPr="00972554">
              <w:rPr>
                <w:rFonts w:ascii="Calibri" w:hAnsi="Calibri"/>
                <w:sz w:val="18"/>
                <w:szCs w:val="18"/>
              </w:rPr>
              <w:t>, javni sklad</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sz w:val="18"/>
                <w:szCs w:val="18"/>
                <w:lang w:eastAsia="sl-SI"/>
              </w:rPr>
            </w:pPr>
            <w:r w:rsidRPr="00972554">
              <w:rPr>
                <w:rFonts w:ascii="Calibri" w:hAnsi="Calibri"/>
                <w:sz w:val="18"/>
                <w:szCs w:val="18"/>
              </w:rPr>
              <w:t xml:space="preserve">2.178.282 </w:t>
            </w:r>
          </w:p>
        </w:tc>
        <w:tc>
          <w:tcPr>
            <w:tcW w:w="1417" w:type="dxa"/>
            <w:shd w:val="clear" w:color="auto" w:fill="FFFFFF"/>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16,35</w:t>
            </w:r>
          </w:p>
        </w:tc>
      </w:tr>
      <w:tr w:rsidR="000F5112" w:rsidRPr="00972554" w:rsidTr="00972554">
        <w:trPr>
          <w:trHeight w:val="300"/>
        </w:trPr>
        <w:tc>
          <w:tcPr>
            <w:tcW w:w="5882" w:type="dxa"/>
            <w:shd w:val="clear" w:color="auto" w:fill="auto"/>
            <w:noWrap/>
            <w:hideMark/>
          </w:tcPr>
          <w:p w:rsidR="000F5112" w:rsidRPr="00412299" w:rsidRDefault="000F5112"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Eko sklad, Slovenski okoljski javni sklad</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sz w:val="18"/>
                <w:szCs w:val="18"/>
                <w:lang w:eastAsia="sl-SI"/>
              </w:rPr>
            </w:pPr>
            <w:r w:rsidRPr="00972554">
              <w:rPr>
                <w:rFonts w:ascii="Calibri" w:hAnsi="Calibri"/>
                <w:sz w:val="18"/>
                <w:szCs w:val="18"/>
              </w:rPr>
              <w:t xml:space="preserve">1.770.553 </w:t>
            </w:r>
          </w:p>
        </w:tc>
        <w:tc>
          <w:tcPr>
            <w:tcW w:w="1417" w:type="dxa"/>
            <w:shd w:val="clear" w:color="auto" w:fill="FFFFFF"/>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13,29</w:t>
            </w:r>
          </w:p>
        </w:tc>
      </w:tr>
      <w:tr w:rsidR="000F5112" w:rsidRPr="00972554" w:rsidTr="00972554">
        <w:trPr>
          <w:trHeight w:val="300"/>
        </w:trPr>
        <w:tc>
          <w:tcPr>
            <w:tcW w:w="5882" w:type="dxa"/>
            <w:shd w:val="clear" w:color="auto" w:fill="auto"/>
            <w:noWrap/>
            <w:hideMark/>
          </w:tcPr>
          <w:p w:rsidR="000F5112" w:rsidRPr="00412299" w:rsidRDefault="000F5112"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223-Kratkoročne obveznosti </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b/>
                <w:bCs/>
                <w:sz w:val="18"/>
                <w:szCs w:val="18"/>
                <w:lang w:eastAsia="sl-SI"/>
              </w:rPr>
            </w:pPr>
            <w:r w:rsidRPr="00972554">
              <w:rPr>
                <w:rFonts w:ascii="Calibri" w:hAnsi="Calibri"/>
                <w:b/>
                <w:sz w:val="18"/>
                <w:szCs w:val="18"/>
              </w:rPr>
              <w:t xml:space="preserve">510.085.101 </w:t>
            </w:r>
          </w:p>
        </w:tc>
        <w:tc>
          <w:tcPr>
            <w:tcW w:w="1417" w:type="dxa"/>
            <w:shd w:val="clear" w:color="auto" w:fill="FFFFFF"/>
            <w:noWrap/>
            <w:vAlign w:val="bottom"/>
            <w:hideMark/>
          </w:tcPr>
          <w:p w:rsidR="000F5112" w:rsidRPr="00382B0F" w:rsidRDefault="000F5112" w:rsidP="00412299">
            <w:pPr>
              <w:spacing w:line="240" w:lineRule="auto"/>
              <w:jc w:val="right"/>
              <w:rPr>
                <w:rFonts w:ascii="Calibri" w:hAnsi="Calibri"/>
                <w:b/>
                <w:bCs/>
                <w:sz w:val="18"/>
                <w:szCs w:val="18"/>
                <w:lang w:eastAsia="sl-SI"/>
              </w:rPr>
            </w:pPr>
          </w:p>
        </w:tc>
      </w:tr>
      <w:tr w:rsidR="000F5112" w:rsidRPr="00972554" w:rsidTr="00972554">
        <w:trPr>
          <w:trHeight w:val="300"/>
        </w:trPr>
        <w:tc>
          <w:tcPr>
            <w:tcW w:w="5882" w:type="dxa"/>
            <w:shd w:val="clear" w:color="auto" w:fill="auto"/>
            <w:noWrap/>
            <w:hideMark/>
          </w:tcPr>
          <w:p w:rsidR="000F5112" w:rsidRPr="00412299" w:rsidRDefault="000F5112"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UNIVERZITETNI KLINIČNI CENTER LJUBLJANA</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sz w:val="18"/>
                <w:szCs w:val="18"/>
                <w:lang w:eastAsia="sl-SI"/>
              </w:rPr>
            </w:pPr>
            <w:r w:rsidRPr="00972554">
              <w:rPr>
                <w:rFonts w:ascii="Calibri" w:hAnsi="Calibri"/>
                <w:sz w:val="18"/>
                <w:szCs w:val="18"/>
              </w:rPr>
              <w:t xml:space="preserve">91.219.346 </w:t>
            </w:r>
          </w:p>
        </w:tc>
        <w:tc>
          <w:tcPr>
            <w:tcW w:w="1417" w:type="dxa"/>
            <w:shd w:val="clear" w:color="auto" w:fill="FFFFFF"/>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17,88</w:t>
            </w:r>
          </w:p>
        </w:tc>
      </w:tr>
      <w:tr w:rsidR="000F5112" w:rsidRPr="00972554" w:rsidTr="00972554">
        <w:trPr>
          <w:trHeight w:val="300"/>
        </w:trPr>
        <w:tc>
          <w:tcPr>
            <w:tcW w:w="5882" w:type="dxa"/>
            <w:shd w:val="clear" w:color="auto" w:fill="auto"/>
            <w:noWrap/>
            <w:hideMark/>
          </w:tcPr>
          <w:p w:rsidR="000F5112" w:rsidRPr="00412299" w:rsidRDefault="000F5112"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UNIVERZITETNI KLINIČNI CENTER MARIBOR</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sz w:val="18"/>
                <w:szCs w:val="18"/>
                <w:lang w:eastAsia="sl-SI"/>
              </w:rPr>
            </w:pPr>
            <w:r w:rsidRPr="00972554">
              <w:rPr>
                <w:rFonts w:ascii="Calibri" w:hAnsi="Calibri"/>
                <w:sz w:val="18"/>
                <w:szCs w:val="18"/>
              </w:rPr>
              <w:t xml:space="preserve">26.029.680 </w:t>
            </w:r>
          </w:p>
        </w:tc>
        <w:tc>
          <w:tcPr>
            <w:tcW w:w="1417" w:type="dxa"/>
            <w:shd w:val="clear" w:color="auto" w:fill="FFFFFF"/>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5,10</w:t>
            </w:r>
          </w:p>
        </w:tc>
      </w:tr>
      <w:tr w:rsidR="000F5112" w:rsidRPr="00972554" w:rsidTr="00972554">
        <w:trPr>
          <w:trHeight w:val="300"/>
        </w:trPr>
        <w:tc>
          <w:tcPr>
            <w:tcW w:w="5882" w:type="dxa"/>
            <w:shd w:val="clear" w:color="auto" w:fill="auto"/>
            <w:noWrap/>
            <w:hideMark/>
          </w:tcPr>
          <w:p w:rsidR="000F5112" w:rsidRPr="00412299" w:rsidRDefault="000F5112"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ZAVOD </w:t>
            </w:r>
            <w:r w:rsidRPr="002B775E">
              <w:rPr>
                <w:rFonts w:ascii="Calibri" w:hAnsi="Calibri"/>
                <w:sz w:val="18"/>
                <w:szCs w:val="18"/>
              </w:rPr>
              <w:t>RS</w:t>
            </w:r>
            <w:r w:rsidRPr="00972554">
              <w:rPr>
                <w:rFonts w:ascii="Calibri" w:hAnsi="Calibri"/>
                <w:sz w:val="18"/>
                <w:szCs w:val="18"/>
              </w:rPr>
              <w:t xml:space="preserve"> ZA ZAPOSLOVANJE</w:t>
            </w:r>
          </w:p>
        </w:tc>
        <w:tc>
          <w:tcPr>
            <w:tcW w:w="1843" w:type="dxa"/>
            <w:shd w:val="clear" w:color="auto" w:fill="auto"/>
            <w:noWrap/>
            <w:vAlign w:val="bottom"/>
            <w:hideMark/>
          </w:tcPr>
          <w:p w:rsidR="000F5112" w:rsidRPr="00116FC1" w:rsidRDefault="000F5112" w:rsidP="00382B0F">
            <w:pPr>
              <w:spacing w:line="240" w:lineRule="auto"/>
              <w:jc w:val="right"/>
              <w:rPr>
                <w:rFonts w:ascii="Calibri" w:hAnsi="Calibri"/>
                <w:sz w:val="18"/>
                <w:szCs w:val="18"/>
                <w:lang w:eastAsia="sl-SI"/>
              </w:rPr>
            </w:pPr>
            <w:r w:rsidRPr="00972554">
              <w:rPr>
                <w:rFonts w:ascii="Calibri" w:hAnsi="Calibri"/>
                <w:sz w:val="18"/>
                <w:szCs w:val="18"/>
              </w:rPr>
              <w:t xml:space="preserve">23.212.711 </w:t>
            </w:r>
          </w:p>
        </w:tc>
        <w:tc>
          <w:tcPr>
            <w:tcW w:w="1417" w:type="dxa"/>
            <w:shd w:val="clear" w:color="auto" w:fill="FFFFFF"/>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4,55</w:t>
            </w:r>
          </w:p>
        </w:tc>
      </w:tr>
      <w:tr w:rsidR="000F5112" w:rsidRPr="00972554" w:rsidTr="00972554">
        <w:trPr>
          <w:trHeight w:val="300"/>
        </w:trPr>
        <w:tc>
          <w:tcPr>
            <w:tcW w:w="5882" w:type="dxa"/>
            <w:shd w:val="clear" w:color="auto" w:fill="auto"/>
            <w:noWrap/>
            <w:hideMark/>
          </w:tcPr>
          <w:p w:rsidR="000F5112" w:rsidRPr="00412299" w:rsidRDefault="000F5112"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224-Druge obveznosti </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b/>
                <w:bCs/>
                <w:sz w:val="18"/>
                <w:szCs w:val="18"/>
                <w:lang w:eastAsia="sl-SI"/>
              </w:rPr>
            </w:pPr>
            <w:r w:rsidRPr="00972554">
              <w:rPr>
                <w:rFonts w:ascii="Calibri" w:hAnsi="Calibri"/>
                <w:b/>
                <w:sz w:val="18"/>
                <w:szCs w:val="18"/>
              </w:rPr>
              <w:t xml:space="preserve">22.632.246 </w:t>
            </w:r>
          </w:p>
        </w:tc>
        <w:tc>
          <w:tcPr>
            <w:tcW w:w="1417" w:type="dxa"/>
            <w:shd w:val="clear" w:color="auto" w:fill="FFFFFF"/>
            <w:noWrap/>
            <w:vAlign w:val="bottom"/>
            <w:hideMark/>
          </w:tcPr>
          <w:p w:rsidR="000F5112" w:rsidRPr="00382B0F" w:rsidRDefault="000F5112" w:rsidP="00412299">
            <w:pPr>
              <w:spacing w:line="240" w:lineRule="auto"/>
              <w:jc w:val="right"/>
              <w:rPr>
                <w:rFonts w:ascii="Calibri" w:hAnsi="Calibri"/>
                <w:b/>
                <w:bCs/>
                <w:sz w:val="18"/>
                <w:szCs w:val="18"/>
                <w:lang w:eastAsia="sl-SI"/>
              </w:rPr>
            </w:pPr>
          </w:p>
        </w:tc>
      </w:tr>
      <w:tr w:rsidR="000F5112" w:rsidRPr="00972554" w:rsidTr="00972554">
        <w:trPr>
          <w:trHeight w:val="300"/>
        </w:trPr>
        <w:tc>
          <w:tcPr>
            <w:tcW w:w="5882" w:type="dxa"/>
            <w:shd w:val="clear" w:color="auto" w:fill="auto"/>
            <w:noWrap/>
            <w:hideMark/>
          </w:tcPr>
          <w:p w:rsidR="000F5112" w:rsidRPr="00412299" w:rsidRDefault="000F5112"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Eko sklad, Slovenski okoljski javni sklad</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sz w:val="18"/>
                <w:szCs w:val="18"/>
                <w:lang w:eastAsia="sl-SI"/>
              </w:rPr>
            </w:pPr>
            <w:r w:rsidRPr="00972554">
              <w:rPr>
                <w:rFonts w:ascii="Calibri" w:hAnsi="Calibri"/>
                <w:sz w:val="18"/>
                <w:szCs w:val="18"/>
              </w:rPr>
              <w:t xml:space="preserve">17.209.230 </w:t>
            </w:r>
          </w:p>
        </w:tc>
        <w:tc>
          <w:tcPr>
            <w:tcW w:w="1417" w:type="dxa"/>
            <w:shd w:val="clear" w:color="auto" w:fill="FFFFFF"/>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76,04</w:t>
            </w:r>
          </w:p>
        </w:tc>
      </w:tr>
      <w:tr w:rsidR="000F5112" w:rsidRPr="00972554" w:rsidTr="00972554">
        <w:trPr>
          <w:trHeight w:val="300"/>
        </w:trPr>
        <w:tc>
          <w:tcPr>
            <w:tcW w:w="5882" w:type="dxa"/>
            <w:shd w:val="clear" w:color="auto" w:fill="auto"/>
            <w:noWrap/>
            <w:hideMark/>
          </w:tcPr>
          <w:p w:rsidR="000F5112" w:rsidRPr="00412299" w:rsidRDefault="000F5112" w:rsidP="00382B0F">
            <w:pPr>
              <w:spacing w:line="240" w:lineRule="auto"/>
              <w:ind w:firstLineChars="100" w:firstLine="180"/>
              <w:jc w:val="left"/>
              <w:rPr>
                <w:rFonts w:ascii="Calibri" w:hAnsi="Calibri"/>
                <w:sz w:val="18"/>
                <w:szCs w:val="18"/>
                <w:lang w:eastAsia="sl-SI"/>
              </w:rPr>
            </w:pPr>
            <w:r w:rsidRPr="002B775E">
              <w:rPr>
                <w:rFonts w:ascii="Calibri" w:hAnsi="Calibri"/>
                <w:sz w:val="18"/>
                <w:szCs w:val="18"/>
              </w:rPr>
              <w:t>CENTER RS ZA MOBILNOST</w:t>
            </w:r>
          </w:p>
        </w:tc>
        <w:tc>
          <w:tcPr>
            <w:tcW w:w="1843" w:type="dxa"/>
            <w:shd w:val="clear" w:color="auto" w:fill="auto"/>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 xml:space="preserve">1.507.054 </w:t>
            </w:r>
          </w:p>
        </w:tc>
        <w:tc>
          <w:tcPr>
            <w:tcW w:w="1417" w:type="dxa"/>
            <w:shd w:val="clear" w:color="auto" w:fill="FFFFFF"/>
            <w:noWrap/>
            <w:vAlign w:val="bottom"/>
            <w:hideMark/>
          </w:tcPr>
          <w:p w:rsidR="000F5112" w:rsidRPr="00412299" w:rsidRDefault="000F5112" w:rsidP="00116FC1">
            <w:pPr>
              <w:spacing w:line="240" w:lineRule="auto"/>
              <w:jc w:val="right"/>
              <w:rPr>
                <w:rFonts w:ascii="Calibri" w:hAnsi="Calibri"/>
                <w:sz w:val="18"/>
                <w:szCs w:val="18"/>
                <w:lang w:eastAsia="sl-SI"/>
              </w:rPr>
            </w:pPr>
            <w:r w:rsidRPr="00972554">
              <w:rPr>
                <w:rFonts w:ascii="Calibri" w:hAnsi="Calibri"/>
                <w:sz w:val="18"/>
                <w:szCs w:val="18"/>
              </w:rPr>
              <w:t>6,66</w:t>
            </w:r>
          </w:p>
        </w:tc>
      </w:tr>
      <w:tr w:rsidR="000F5112" w:rsidRPr="00972554" w:rsidTr="00972554">
        <w:trPr>
          <w:trHeight w:val="300"/>
        </w:trPr>
        <w:tc>
          <w:tcPr>
            <w:tcW w:w="5882" w:type="dxa"/>
            <w:shd w:val="clear" w:color="auto" w:fill="auto"/>
            <w:noWrap/>
            <w:hideMark/>
          </w:tcPr>
          <w:p w:rsidR="000F5112" w:rsidRPr="00412299" w:rsidRDefault="000F5112"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ZAVOD </w:t>
            </w:r>
            <w:r w:rsidRPr="002B775E">
              <w:rPr>
                <w:rFonts w:ascii="Calibri" w:hAnsi="Calibri"/>
                <w:sz w:val="18"/>
                <w:szCs w:val="18"/>
              </w:rPr>
              <w:t>RS</w:t>
            </w:r>
            <w:r w:rsidRPr="00972554">
              <w:rPr>
                <w:rFonts w:ascii="Calibri" w:hAnsi="Calibri"/>
                <w:sz w:val="18"/>
                <w:szCs w:val="18"/>
              </w:rPr>
              <w:t xml:space="preserve"> ZA ZAPOSLOVANJE</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sz w:val="18"/>
                <w:szCs w:val="18"/>
                <w:lang w:eastAsia="sl-SI"/>
              </w:rPr>
            </w:pPr>
            <w:r w:rsidRPr="00972554">
              <w:rPr>
                <w:rFonts w:ascii="Calibri" w:hAnsi="Calibri"/>
                <w:sz w:val="18"/>
                <w:szCs w:val="18"/>
              </w:rPr>
              <w:t xml:space="preserve">1.282.449 </w:t>
            </w:r>
          </w:p>
        </w:tc>
        <w:tc>
          <w:tcPr>
            <w:tcW w:w="1417" w:type="dxa"/>
            <w:shd w:val="clear" w:color="auto" w:fill="FFFFFF"/>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5,67</w:t>
            </w:r>
          </w:p>
        </w:tc>
      </w:tr>
      <w:tr w:rsidR="000F5112" w:rsidRPr="00972554" w:rsidTr="00972554">
        <w:trPr>
          <w:trHeight w:val="300"/>
        </w:trPr>
        <w:tc>
          <w:tcPr>
            <w:tcW w:w="5882" w:type="dxa"/>
            <w:shd w:val="clear" w:color="auto" w:fill="92D050"/>
            <w:noWrap/>
            <w:hideMark/>
          </w:tcPr>
          <w:p w:rsidR="000F5112" w:rsidRPr="00412299" w:rsidRDefault="000F5112" w:rsidP="00F454FD">
            <w:pPr>
              <w:spacing w:line="240" w:lineRule="auto"/>
              <w:jc w:val="left"/>
              <w:rPr>
                <w:rFonts w:ascii="Calibri" w:hAnsi="Calibri"/>
                <w:b/>
                <w:bCs/>
                <w:i/>
                <w:sz w:val="18"/>
                <w:szCs w:val="18"/>
                <w:lang w:eastAsia="sl-SI"/>
              </w:rPr>
            </w:pPr>
            <w:r w:rsidRPr="00972554">
              <w:rPr>
                <w:rFonts w:ascii="Calibri" w:hAnsi="Calibri"/>
                <w:b/>
                <w:sz w:val="18"/>
                <w:szCs w:val="18"/>
              </w:rPr>
              <w:t xml:space="preserve">225-Skupaj pasiva </w:t>
            </w:r>
          </w:p>
        </w:tc>
        <w:tc>
          <w:tcPr>
            <w:tcW w:w="1843" w:type="dxa"/>
            <w:shd w:val="clear" w:color="auto" w:fill="92D050"/>
            <w:noWrap/>
            <w:vAlign w:val="bottom"/>
            <w:hideMark/>
          </w:tcPr>
          <w:p w:rsidR="000F5112" w:rsidRPr="00412299" w:rsidRDefault="000F5112" w:rsidP="00382B0F">
            <w:pPr>
              <w:spacing w:line="240" w:lineRule="auto"/>
              <w:jc w:val="right"/>
              <w:rPr>
                <w:rFonts w:ascii="Calibri" w:hAnsi="Calibri"/>
                <w:b/>
                <w:bCs/>
                <w:i/>
                <w:sz w:val="18"/>
                <w:szCs w:val="18"/>
                <w:lang w:eastAsia="sl-SI"/>
              </w:rPr>
            </w:pPr>
            <w:r w:rsidRPr="00972554">
              <w:rPr>
                <w:rFonts w:ascii="Calibri" w:hAnsi="Calibri"/>
                <w:b/>
                <w:sz w:val="18"/>
                <w:szCs w:val="18"/>
              </w:rPr>
              <w:t xml:space="preserve">4.377.668.796 </w:t>
            </w:r>
          </w:p>
        </w:tc>
        <w:tc>
          <w:tcPr>
            <w:tcW w:w="1417" w:type="dxa"/>
            <w:shd w:val="clear" w:color="auto" w:fill="92D050"/>
            <w:noWrap/>
            <w:vAlign w:val="bottom"/>
            <w:hideMark/>
          </w:tcPr>
          <w:p w:rsidR="000F5112" w:rsidRPr="00382B0F" w:rsidRDefault="000F5112" w:rsidP="00412299">
            <w:pPr>
              <w:spacing w:line="240" w:lineRule="auto"/>
              <w:jc w:val="right"/>
              <w:rPr>
                <w:rFonts w:ascii="Calibri" w:hAnsi="Calibri"/>
                <w:b/>
                <w:bCs/>
                <w:i/>
                <w:sz w:val="18"/>
                <w:szCs w:val="18"/>
                <w:lang w:eastAsia="sl-SI"/>
              </w:rPr>
            </w:pPr>
          </w:p>
        </w:tc>
      </w:tr>
      <w:tr w:rsidR="000F5112" w:rsidRPr="00972554" w:rsidTr="00972554">
        <w:trPr>
          <w:trHeight w:val="300"/>
        </w:trPr>
        <w:tc>
          <w:tcPr>
            <w:tcW w:w="5882" w:type="dxa"/>
            <w:shd w:val="clear" w:color="auto" w:fill="auto"/>
            <w:noWrap/>
            <w:hideMark/>
          </w:tcPr>
          <w:p w:rsidR="000F5112" w:rsidRPr="00116FC1" w:rsidRDefault="000F5112"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SKLAD KMETIJSKIH ZEMLJIŠČ IN GOZDOV </w:t>
            </w:r>
            <w:r w:rsidRPr="002B775E">
              <w:rPr>
                <w:rFonts w:ascii="Calibri" w:hAnsi="Calibri"/>
                <w:sz w:val="18"/>
                <w:szCs w:val="18"/>
              </w:rPr>
              <w:t>RS</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sz w:val="18"/>
                <w:szCs w:val="18"/>
                <w:lang w:eastAsia="sl-SI"/>
              </w:rPr>
            </w:pPr>
            <w:r w:rsidRPr="00972554">
              <w:rPr>
                <w:rFonts w:ascii="Calibri" w:hAnsi="Calibri"/>
                <w:sz w:val="18"/>
                <w:szCs w:val="18"/>
              </w:rPr>
              <w:t xml:space="preserve">452.466.683 </w:t>
            </w:r>
          </w:p>
        </w:tc>
        <w:tc>
          <w:tcPr>
            <w:tcW w:w="1417" w:type="dxa"/>
            <w:shd w:val="clear" w:color="auto" w:fill="FFFFFF"/>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10,34</w:t>
            </w:r>
          </w:p>
        </w:tc>
      </w:tr>
      <w:tr w:rsidR="000F5112" w:rsidRPr="00972554" w:rsidTr="00972554">
        <w:trPr>
          <w:trHeight w:val="300"/>
        </w:trPr>
        <w:tc>
          <w:tcPr>
            <w:tcW w:w="5882" w:type="dxa"/>
            <w:shd w:val="clear" w:color="auto" w:fill="auto"/>
            <w:noWrap/>
            <w:hideMark/>
          </w:tcPr>
          <w:p w:rsidR="000F5112" w:rsidRPr="00412299" w:rsidRDefault="000F5112"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UNIVERZITETNI KLINIČNI CENTER LJUBLJANA</w:t>
            </w:r>
          </w:p>
        </w:tc>
        <w:tc>
          <w:tcPr>
            <w:tcW w:w="1843" w:type="dxa"/>
            <w:shd w:val="clear" w:color="auto" w:fill="auto"/>
            <w:noWrap/>
            <w:vAlign w:val="bottom"/>
            <w:hideMark/>
          </w:tcPr>
          <w:p w:rsidR="000F5112" w:rsidRPr="00412299" w:rsidRDefault="000F5112" w:rsidP="00382B0F">
            <w:pPr>
              <w:spacing w:line="240" w:lineRule="auto"/>
              <w:jc w:val="right"/>
              <w:rPr>
                <w:rFonts w:ascii="Calibri" w:hAnsi="Calibri"/>
                <w:sz w:val="18"/>
                <w:szCs w:val="18"/>
                <w:lang w:eastAsia="sl-SI"/>
              </w:rPr>
            </w:pPr>
            <w:r w:rsidRPr="00972554">
              <w:rPr>
                <w:rFonts w:ascii="Calibri" w:hAnsi="Calibri"/>
                <w:sz w:val="18"/>
                <w:szCs w:val="18"/>
              </w:rPr>
              <w:t xml:space="preserve">271.874.650 </w:t>
            </w:r>
          </w:p>
        </w:tc>
        <w:tc>
          <w:tcPr>
            <w:tcW w:w="1417" w:type="dxa"/>
            <w:shd w:val="clear" w:color="auto" w:fill="FFFFFF"/>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6,21</w:t>
            </w:r>
          </w:p>
        </w:tc>
      </w:tr>
      <w:tr w:rsidR="000F5112" w:rsidRPr="00972554" w:rsidTr="00972554">
        <w:trPr>
          <w:trHeight w:val="300"/>
        </w:trPr>
        <w:tc>
          <w:tcPr>
            <w:tcW w:w="5882" w:type="dxa"/>
            <w:shd w:val="clear" w:color="auto" w:fill="auto"/>
            <w:noWrap/>
            <w:hideMark/>
          </w:tcPr>
          <w:p w:rsidR="000F5112" w:rsidRPr="00412299" w:rsidRDefault="000F5112"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lastRenderedPageBreak/>
              <w:t xml:space="preserve">STANOVANJSKI SKLAD </w:t>
            </w:r>
            <w:r w:rsidRPr="002B775E">
              <w:rPr>
                <w:rFonts w:ascii="Calibri" w:hAnsi="Calibri"/>
                <w:sz w:val="18"/>
                <w:szCs w:val="18"/>
              </w:rPr>
              <w:t>RS</w:t>
            </w:r>
            <w:r w:rsidRPr="00972554">
              <w:rPr>
                <w:rFonts w:ascii="Calibri" w:hAnsi="Calibri"/>
                <w:sz w:val="18"/>
                <w:szCs w:val="18"/>
              </w:rPr>
              <w:t>, javni sklad</w:t>
            </w:r>
          </w:p>
        </w:tc>
        <w:tc>
          <w:tcPr>
            <w:tcW w:w="1843" w:type="dxa"/>
            <w:shd w:val="clear" w:color="auto" w:fill="auto"/>
            <w:noWrap/>
            <w:vAlign w:val="bottom"/>
            <w:hideMark/>
          </w:tcPr>
          <w:p w:rsidR="000F5112" w:rsidRPr="00116FC1" w:rsidRDefault="000F5112" w:rsidP="00382B0F">
            <w:pPr>
              <w:spacing w:line="240" w:lineRule="auto"/>
              <w:jc w:val="right"/>
              <w:rPr>
                <w:rFonts w:ascii="Calibri" w:hAnsi="Calibri"/>
                <w:sz w:val="18"/>
                <w:szCs w:val="18"/>
                <w:lang w:eastAsia="sl-SI"/>
              </w:rPr>
            </w:pPr>
            <w:r w:rsidRPr="00972554">
              <w:rPr>
                <w:rFonts w:ascii="Calibri" w:hAnsi="Calibri"/>
                <w:sz w:val="18"/>
                <w:szCs w:val="18"/>
              </w:rPr>
              <w:t xml:space="preserve">269.940.051 </w:t>
            </w:r>
          </w:p>
        </w:tc>
        <w:tc>
          <w:tcPr>
            <w:tcW w:w="1417" w:type="dxa"/>
            <w:shd w:val="clear" w:color="auto" w:fill="FFFFFF"/>
            <w:noWrap/>
            <w:vAlign w:val="bottom"/>
            <w:hideMark/>
          </w:tcPr>
          <w:p w:rsidR="000F5112" w:rsidRPr="00412299" w:rsidRDefault="000F5112" w:rsidP="00412299">
            <w:pPr>
              <w:spacing w:line="240" w:lineRule="auto"/>
              <w:jc w:val="right"/>
              <w:rPr>
                <w:rFonts w:ascii="Calibri" w:hAnsi="Calibri"/>
                <w:sz w:val="18"/>
                <w:szCs w:val="18"/>
                <w:lang w:eastAsia="sl-SI"/>
              </w:rPr>
            </w:pPr>
            <w:r w:rsidRPr="00972554">
              <w:rPr>
                <w:rFonts w:ascii="Calibri" w:hAnsi="Calibri"/>
                <w:sz w:val="18"/>
                <w:szCs w:val="18"/>
              </w:rPr>
              <w:t>6,17</w:t>
            </w:r>
          </w:p>
        </w:tc>
      </w:tr>
    </w:tbl>
    <w:p w:rsidR="00B67E7D" w:rsidRDefault="00B67E7D" w:rsidP="00B67E7D">
      <w:pPr>
        <w:pStyle w:val="Heading1"/>
        <w:numPr>
          <w:ilvl w:val="0"/>
          <w:numId w:val="0"/>
        </w:numPr>
        <w:ind w:left="432" w:hanging="432"/>
      </w:pPr>
    </w:p>
    <w:p w:rsidR="00B67E7D" w:rsidRDefault="00B67E7D">
      <w:pPr>
        <w:spacing w:line="240" w:lineRule="auto"/>
        <w:jc w:val="left"/>
        <w:rPr>
          <w:b/>
          <w:bCs/>
          <w:kern w:val="32"/>
          <w:sz w:val="28"/>
          <w:szCs w:val="32"/>
        </w:rPr>
      </w:pPr>
      <w:r>
        <w:br w:type="page"/>
      </w:r>
    </w:p>
    <w:p w:rsidR="008D0B31" w:rsidRDefault="008D0B31" w:rsidP="008F0A8D">
      <w:pPr>
        <w:pStyle w:val="Heading1"/>
      </w:pPr>
      <w:bookmarkStart w:id="86" w:name="_Toc49771315"/>
      <w:r>
        <w:lastRenderedPageBreak/>
        <w:t>PREMOŽENJSKE BILANCE OBČIN</w:t>
      </w:r>
      <w:bookmarkEnd w:id="86"/>
    </w:p>
    <w:p w:rsidR="008D0B31" w:rsidRDefault="008D0B31" w:rsidP="008D0B31">
      <w:pPr>
        <w:pStyle w:val="Heading2"/>
        <w:spacing w:line="360" w:lineRule="auto"/>
      </w:pPr>
      <w:bookmarkStart w:id="87" w:name="_Toc49771316"/>
      <w:r>
        <w:t>Obseg konsolidacije</w:t>
      </w:r>
      <w:bookmarkEnd w:id="87"/>
    </w:p>
    <w:p w:rsidR="008D0B31" w:rsidRDefault="008D0B31" w:rsidP="008D0B31">
      <w:proofErr w:type="gramStart"/>
      <w:r>
        <w:t>Premoženjske bilance občin je pripravilo 21</w:t>
      </w:r>
      <w:r w:rsidR="003F5EEE">
        <w:t>2</w:t>
      </w:r>
      <w:r>
        <w:t xml:space="preserve"> občin.</w:t>
      </w:r>
      <w:proofErr w:type="gramEnd"/>
      <w:r>
        <w:t xml:space="preserve"> </w:t>
      </w:r>
      <w:proofErr w:type="gramStart"/>
      <w:r>
        <w:t xml:space="preserve">V konsolidacijo premoženjskih bilanc občin je bilo vključenih </w:t>
      </w:r>
      <w:r w:rsidR="00513A81">
        <w:t>2</w:t>
      </w:r>
      <w:r w:rsidR="00B52A31">
        <w:t>293</w:t>
      </w:r>
      <w:r w:rsidR="00513A81">
        <w:t xml:space="preserve"> </w:t>
      </w:r>
      <w:r>
        <w:t>PU občinskih proračunov (</w:t>
      </w:r>
      <w:r w:rsidR="005D1D8C">
        <w:t>12</w:t>
      </w:r>
      <w:r w:rsidR="00B52A31">
        <w:t>3</w:t>
      </w:r>
      <w:r w:rsidR="00CD4BFC">
        <w:t>5</w:t>
      </w:r>
      <w:r w:rsidR="005D1D8C">
        <w:t xml:space="preserve"> </w:t>
      </w:r>
      <w:r>
        <w:t xml:space="preserve">NPU in </w:t>
      </w:r>
      <w:r w:rsidR="005D1D8C">
        <w:t>105</w:t>
      </w:r>
      <w:r w:rsidR="00B52A31">
        <w:t>8</w:t>
      </w:r>
      <w:r w:rsidR="005D1D8C">
        <w:t xml:space="preserve"> </w:t>
      </w:r>
      <w:r>
        <w:t xml:space="preserve">PPU), (glej podpoglavje </w:t>
      </w:r>
      <w:r>
        <w:fldChar w:fldCharType="begin"/>
      </w:r>
      <w:r>
        <w:instrText xml:space="preserve"> REF _Ref389037018 \w \h </w:instrText>
      </w:r>
      <w:r>
        <w:fldChar w:fldCharType="separate"/>
      </w:r>
      <w:r w:rsidR="00CE55C4">
        <w:t>2.1</w:t>
      </w:r>
      <w:r>
        <w:fldChar w:fldCharType="end"/>
      </w:r>
      <w:r>
        <w:t>).</w:t>
      </w:r>
      <w:proofErr w:type="gramEnd"/>
      <w:r>
        <w:t xml:space="preserve"> </w:t>
      </w:r>
    </w:p>
    <w:p w:rsidR="008D0B31" w:rsidRDefault="008D0B31" w:rsidP="008D0B31">
      <w:pPr>
        <w:pStyle w:val="Heading2"/>
      </w:pPr>
      <w:bookmarkStart w:id="88" w:name="_Toc484772538"/>
      <w:bookmarkStart w:id="89" w:name="_Toc49771317"/>
      <w:bookmarkEnd w:id="88"/>
      <w:r>
        <w:t>Rezultat konsolidacije</w:t>
      </w:r>
      <w:bookmarkEnd w:id="89"/>
    </w:p>
    <w:p w:rsidR="008D0B31" w:rsidRPr="00D37616" w:rsidRDefault="008D0B31" w:rsidP="008D0B31">
      <w:pPr>
        <w:pStyle w:val="Caption"/>
        <w:rPr>
          <w:b w:val="0"/>
          <w:bCs w:val="0"/>
          <w:szCs w:val="24"/>
        </w:rPr>
      </w:pPr>
      <w:r w:rsidRPr="00D37616">
        <w:rPr>
          <w:bCs w:val="0"/>
          <w:szCs w:val="24"/>
        </w:rPr>
        <w:t xml:space="preserve">Bilančna </w:t>
      </w:r>
      <w:r>
        <w:rPr>
          <w:bCs w:val="0"/>
          <w:szCs w:val="24"/>
        </w:rPr>
        <w:t>vsota premoženjskih bilanc občin</w:t>
      </w:r>
      <w:r w:rsidRPr="00D37616">
        <w:rPr>
          <w:bCs w:val="0"/>
          <w:szCs w:val="24"/>
        </w:rPr>
        <w:t xml:space="preserve"> na dan 31.12.201</w:t>
      </w:r>
      <w:r w:rsidR="00052705">
        <w:rPr>
          <w:bCs w:val="0"/>
          <w:szCs w:val="24"/>
        </w:rPr>
        <w:t>8</w:t>
      </w:r>
      <w:r w:rsidRPr="00D37616">
        <w:rPr>
          <w:bCs w:val="0"/>
          <w:szCs w:val="24"/>
        </w:rPr>
        <w:t xml:space="preserve"> znaša </w:t>
      </w:r>
      <w:r w:rsidR="00052705">
        <w:rPr>
          <w:bCs w:val="0"/>
          <w:szCs w:val="24"/>
        </w:rPr>
        <w:t>15</w:t>
      </w:r>
      <w:proofErr w:type="gramStart"/>
      <w:r w:rsidR="00052705">
        <w:rPr>
          <w:bCs w:val="0"/>
          <w:szCs w:val="24"/>
        </w:rPr>
        <w:t>,11</w:t>
      </w:r>
      <w:proofErr w:type="gramEnd"/>
      <w:r w:rsidRPr="00100D6D">
        <w:rPr>
          <w:bCs w:val="0"/>
          <w:szCs w:val="24"/>
        </w:rPr>
        <w:t xml:space="preserve"> mrd. </w:t>
      </w:r>
      <w:r w:rsidR="00DD265F">
        <w:rPr>
          <w:bCs w:val="0"/>
          <w:szCs w:val="24"/>
        </w:rPr>
        <w:t>€</w:t>
      </w:r>
      <w:r w:rsidR="003A2B05">
        <w:rPr>
          <w:bCs w:val="0"/>
          <w:szCs w:val="24"/>
        </w:rPr>
        <w:t xml:space="preserve"> </w:t>
      </w:r>
      <w:r w:rsidRPr="00100D6D">
        <w:rPr>
          <w:b w:val="0"/>
          <w:bCs w:val="0"/>
          <w:szCs w:val="24"/>
        </w:rPr>
        <w:t>in se je glede na stanje, izkazano na dan 31.12.201</w:t>
      </w:r>
      <w:r w:rsidR="00052705">
        <w:rPr>
          <w:b w:val="0"/>
          <w:bCs w:val="0"/>
          <w:szCs w:val="24"/>
        </w:rPr>
        <w:t>7</w:t>
      </w:r>
      <w:r w:rsidRPr="00100D6D">
        <w:rPr>
          <w:b w:val="0"/>
          <w:bCs w:val="0"/>
          <w:szCs w:val="24"/>
        </w:rPr>
        <w:t xml:space="preserve">, </w:t>
      </w:r>
      <w:r w:rsidRPr="00100D6D">
        <w:rPr>
          <w:bCs w:val="0"/>
          <w:szCs w:val="24"/>
        </w:rPr>
        <w:t>v letu 201</w:t>
      </w:r>
      <w:r w:rsidR="00052705">
        <w:rPr>
          <w:bCs w:val="0"/>
          <w:szCs w:val="24"/>
        </w:rPr>
        <w:t>8</w:t>
      </w:r>
      <w:r w:rsidRPr="00100D6D">
        <w:rPr>
          <w:bCs w:val="0"/>
          <w:szCs w:val="24"/>
        </w:rPr>
        <w:t xml:space="preserve"> povečala za </w:t>
      </w:r>
      <w:r w:rsidR="00052705">
        <w:rPr>
          <w:bCs w:val="0"/>
          <w:szCs w:val="24"/>
        </w:rPr>
        <w:t>4,08</w:t>
      </w:r>
      <w:r w:rsidR="00DD265F">
        <w:rPr>
          <w:bCs w:val="0"/>
          <w:szCs w:val="24"/>
        </w:rPr>
        <w:t>%</w:t>
      </w:r>
      <w:r w:rsidRPr="00100D6D">
        <w:rPr>
          <w:bCs w:val="0"/>
          <w:szCs w:val="24"/>
        </w:rPr>
        <w:t xml:space="preserve"> oziroma </w:t>
      </w:r>
      <w:r w:rsidR="00052705">
        <w:rPr>
          <w:bCs w:val="0"/>
          <w:szCs w:val="24"/>
        </w:rPr>
        <w:t>592,8</w:t>
      </w:r>
      <w:r w:rsidRPr="00100D6D">
        <w:rPr>
          <w:bCs w:val="0"/>
          <w:szCs w:val="24"/>
        </w:rPr>
        <w:t xml:space="preserve"> </w:t>
      </w:r>
      <w:r w:rsidR="00164BD8">
        <w:rPr>
          <w:bCs w:val="0"/>
          <w:szCs w:val="24"/>
        </w:rPr>
        <w:t>mio</w:t>
      </w:r>
      <w:r w:rsidRPr="00100D6D">
        <w:rPr>
          <w:bCs w:val="0"/>
          <w:szCs w:val="24"/>
        </w:rPr>
        <w:t xml:space="preserve">. </w:t>
      </w:r>
      <w:r w:rsidR="00DD265F">
        <w:rPr>
          <w:bCs w:val="0"/>
          <w:szCs w:val="24"/>
        </w:rPr>
        <w:t>€</w:t>
      </w:r>
      <w:r w:rsidRPr="00100D6D">
        <w:rPr>
          <w:bCs w:val="0"/>
          <w:szCs w:val="24"/>
        </w:rPr>
        <w:t>.</w:t>
      </w:r>
    </w:p>
    <w:p w:rsidR="008D0B31" w:rsidRDefault="008D0B31" w:rsidP="008D0B31">
      <w:pPr>
        <w:pStyle w:val="Caption"/>
      </w:pPr>
    </w:p>
    <w:p w:rsidR="008D0B31" w:rsidRDefault="001F6A16" w:rsidP="001F6A16">
      <w:pPr>
        <w:pStyle w:val="Caption"/>
      </w:pPr>
      <w:bookmarkStart w:id="90" w:name="_Toc49771337"/>
      <w:r>
        <w:t xml:space="preserve">Tabela </w:t>
      </w:r>
      <w:r>
        <w:fldChar w:fldCharType="begin"/>
      </w:r>
      <w:r>
        <w:instrText xml:space="preserve"> SEQ Tabela \* ARABIC </w:instrText>
      </w:r>
      <w:r>
        <w:fldChar w:fldCharType="separate"/>
      </w:r>
      <w:r w:rsidR="00CE55C4">
        <w:rPr>
          <w:noProof/>
        </w:rPr>
        <w:t>15</w:t>
      </w:r>
      <w:r>
        <w:fldChar w:fldCharType="end"/>
      </w:r>
      <w:r>
        <w:t xml:space="preserve">: </w:t>
      </w:r>
      <w:r w:rsidR="00832C1C">
        <w:t xml:space="preserve">Stanje </w:t>
      </w:r>
      <w:r>
        <w:t xml:space="preserve">premoženja občin </w:t>
      </w:r>
      <w:proofErr w:type="gramStart"/>
      <w:r>
        <w:t>na</w:t>
      </w:r>
      <w:proofErr w:type="gramEnd"/>
      <w:r>
        <w:t xml:space="preserve"> dan 31.12.201</w:t>
      </w:r>
      <w:r w:rsidR="00052705">
        <w:t>8</w:t>
      </w:r>
      <w:r>
        <w:t xml:space="preserve"> in na dan 31.12.201</w:t>
      </w:r>
      <w:r w:rsidR="00052705">
        <w:t>7</w:t>
      </w:r>
      <w:r w:rsidR="00832C1C">
        <w:t xml:space="preserve"> skupaj s spremembo</w:t>
      </w:r>
      <w:bookmarkEnd w:id="90"/>
    </w:p>
    <w:p w:rsidR="008D0B31" w:rsidRDefault="008D0B31" w:rsidP="00007D5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46"/>
        <w:gridCol w:w="1547"/>
        <w:gridCol w:w="1549"/>
        <w:gridCol w:w="704"/>
        <w:gridCol w:w="1264"/>
      </w:tblGrid>
      <w:tr w:rsidR="00541BFF" w:rsidRPr="00CC6CE6" w:rsidTr="0036160C">
        <w:trPr>
          <w:trHeight w:val="300"/>
          <w:tblHeader/>
        </w:trPr>
        <w:tc>
          <w:tcPr>
            <w:tcW w:w="2251" w:type="pct"/>
            <w:shd w:val="pct25" w:color="auto" w:fill="auto"/>
            <w:noWrap/>
            <w:vAlign w:val="bottom"/>
          </w:tcPr>
          <w:p w:rsidR="00541BFF" w:rsidRPr="00631979" w:rsidRDefault="00541BFF" w:rsidP="00541BFF">
            <w:pPr>
              <w:spacing w:line="240" w:lineRule="auto"/>
              <w:jc w:val="left"/>
              <w:rPr>
                <w:rFonts w:ascii="Calibri" w:hAnsi="Calibri"/>
                <w:b/>
                <w:color w:val="000000"/>
                <w:sz w:val="18"/>
                <w:szCs w:val="18"/>
                <w:lang w:val="sl-SI" w:eastAsia="sl-SI"/>
              </w:rPr>
            </w:pPr>
          </w:p>
        </w:tc>
        <w:tc>
          <w:tcPr>
            <w:tcW w:w="840" w:type="pct"/>
            <w:shd w:val="pct25" w:color="auto" w:fill="auto"/>
            <w:noWrap/>
            <w:vAlign w:val="bottom"/>
          </w:tcPr>
          <w:p w:rsidR="00541BFF" w:rsidRPr="00631979" w:rsidRDefault="00541BFF" w:rsidP="00F454FD">
            <w:pPr>
              <w:spacing w:line="240" w:lineRule="auto"/>
              <w:jc w:val="center"/>
              <w:rPr>
                <w:rFonts w:ascii="Calibri" w:hAnsi="Calibri"/>
                <w:b/>
                <w:color w:val="000000"/>
                <w:sz w:val="18"/>
                <w:szCs w:val="18"/>
                <w:lang w:val="sl-SI" w:eastAsia="sl-SI"/>
              </w:rPr>
            </w:pPr>
            <w:r w:rsidRPr="00631979">
              <w:rPr>
                <w:rFonts w:ascii="Calibri" w:hAnsi="Calibri"/>
                <w:b/>
                <w:color w:val="000000"/>
                <w:sz w:val="18"/>
                <w:szCs w:val="18"/>
                <w:lang w:val="sl-SI" w:eastAsia="sl-SI"/>
              </w:rPr>
              <w:t>Stanje 31.12.201</w:t>
            </w:r>
            <w:r w:rsidR="00052705">
              <w:rPr>
                <w:rFonts w:ascii="Calibri" w:hAnsi="Calibri"/>
                <w:b/>
                <w:color w:val="000000"/>
                <w:sz w:val="18"/>
                <w:szCs w:val="18"/>
                <w:lang w:val="sl-SI" w:eastAsia="sl-SI"/>
              </w:rPr>
              <w:t>8</w:t>
            </w:r>
          </w:p>
        </w:tc>
        <w:tc>
          <w:tcPr>
            <w:tcW w:w="841" w:type="pct"/>
            <w:shd w:val="pct25" w:color="auto" w:fill="auto"/>
            <w:noWrap/>
            <w:vAlign w:val="bottom"/>
          </w:tcPr>
          <w:p w:rsidR="00541BFF" w:rsidRPr="00631979" w:rsidRDefault="00541BFF" w:rsidP="00842A83">
            <w:pPr>
              <w:spacing w:line="240" w:lineRule="auto"/>
              <w:jc w:val="center"/>
              <w:rPr>
                <w:rFonts w:ascii="Calibri" w:hAnsi="Calibri"/>
                <w:b/>
                <w:color w:val="000000"/>
                <w:sz w:val="18"/>
                <w:szCs w:val="18"/>
                <w:lang w:val="sl-SI" w:eastAsia="sl-SI"/>
              </w:rPr>
            </w:pPr>
            <w:r w:rsidRPr="00631979">
              <w:rPr>
                <w:rFonts w:ascii="Calibri" w:hAnsi="Calibri"/>
                <w:b/>
                <w:color w:val="000000"/>
                <w:sz w:val="18"/>
                <w:szCs w:val="18"/>
                <w:lang w:val="sl-SI" w:eastAsia="sl-SI"/>
              </w:rPr>
              <w:t>Stanje 31.12.201</w:t>
            </w:r>
            <w:r w:rsidR="00052705">
              <w:rPr>
                <w:rFonts w:ascii="Calibri" w:hAnsi="Calibri"/>
                <w:b/>
                <w:color w:val="000000"/>
                <w:sz w:val="18"/>
                <w:szCs w:val="18"/>
                <w:lang w:val="sl-SI" w:eastAsia="sl-SI"/>
              </w:rPr>
              <w:t>7</w:t>
            </w:r>
          </w:p>
        </w:tc>
        <w:tc>
          <w:tcPr>
            <w:tcW w:w="382" w:type="pct"/>
            <w:shd w:val="pct25" w:color="auto" w:fill="auto"/>
            <w:noWrap/>
            <w:vAlign w:val="bottom"/>
          </w:tcPr>
          <w:p w:rsidR="00541BFF" w:rsidRPr="00631979" w:rsidRDefault="00541BFF" w:rsidP="00541BFF">
            <w:pPr>
              <w:spacing w:line="240" w:lineRule="auto"/>
              <w:jc w:val="center"/>
              <w:rPr>
                <w:rFonts w:ascii="Calibri" w:hAnsi="Calibri"/>
                <w:b/>
                <w:color w:val="000000"/>
                <w:sz w:val="18"/>
                <w:szCs w:val="18"/>
                <w:lang w:val="sl-SI" w:eastAsia="sl-SI"/>
              </w:rPr>
            </w:pPr>
            <w:r w:rsidRPr="00631979">
              <w:rPr>
                <w:rFonts w:ascii="Calibri" w:hAnsi="Calibri"/>
                <w:b/>
                <w:color w:val="000000"/>
                <w:sz w:val="18"/>
                <w:szCs w:val="18"/>
                <w:lang w:val="sl-SI" w:eastAsia="sl-SI"/>
              </w:rPr>
              <w:t>Indeks</w:t>
            </w:r>
          </w:p>
        </w:tc>
        <w:tc>
          <w:tcPr>
            <w:tcW w:w="686" w:type="pct"/>
            <w:shd w:val="pct25" w:color="auto" w:fill="auto"/>
            <w:noWrap/>
            <w:vAlign w:val="bottom"/>
          </w:tcPr>
          <w:p w:rsidR="00541BFF" w:rsidRPr="00631979" w:rsidRDefault="00541BFF" w:rsidP="00382B0F">
            <w:pPr>
              <w:spacing w:line="240" w:lineRule="auto"/>
              <w:jc w:val="center"/>
              <w:rPr>
                <w:rFonts w:ascii="Calibri" w:hAnsi="Calibri"/>
                <w:b/>
                <w:color w:val="000000"/>
                <w:sz w:val="18"/>
                <w:szCs w:val="18"/>
                <w:lang w:val="sl-SI" w:eastAsia="sl-SI"/>
              </w:rPr>
            </w:pPr>
            <w:r w:rsidRPr="00631979">
              <w:rPr>
                <w:rFonts w:ascii="Calibri" w:hAnsi="Calibri"/>
                <w:b/>
                <w:color w:val="000000"/>
                <w:sz w:val="18"/>
                <w:szCs w:val="18"/>
                <w:lang w:val="sl-SI" w:eastAsia="sl-SI"/>
              </w:rPr>
              <w:t>Sprememba 201</w:t>
            </w:r>
            <w:r w:rsidR="00052705">
              <w:rPr>
                <w:rFonts w:ascii="Calibri" w:hAnsi="Calibri"/>
                <w:b/>
                <w:color w:val="000000"/>
                <w:sz w:val="18"/>
                <w:szCs w:val="18"/>
                <w:lang w:val="sl-SI" w:eastAsia="sl-SI"/>
              </w:rPr>
              <w:t>8</w:t>
            </w:r>
            <w:r w:rsidRPr="00631979">
              <w:rPr>
                <w:rFonts w:ascii="Calibri" w:hAnsi="Calibri"/>
                <w:b/>
                <w:color w:val="000000"/>
                <w:sz w:val="18"/>
                <w:szCs w:val="18"/>
                <w:lang w:val="sl-SI" w:eastAsia="sl-SI"/>
              </w:rPr>
              <w:t>-201</w:t>
            </w:r>
            <w:r w:rsidR="00052705">
              <w:rPr>
                <w:rFonts w:ascii="Calibri" w:hAnsi="Calibri"/>
                <w:b/>
                <w:color w:val="000000"/>
                <w:sz w:val="18"/>
                <w:szCs w:val="18"/>
                <w:lang w:val="sl-SI" w:eastAsia="sl-SI"/>
              </w:rPr>
              <w:t>7</w:t>
            </w:r>
          </w:p>
        </w:tc>
      </w:tr>
      <w:tr w:rsidR="00541BFF" w:rsidRPr="00CC6CE6" w:rsidTr="0036160C">
        <w:trPr>
          <w:trHeight w:val="300"/>
          <w:tblHeader/>
        </w:trPr>
        <w:tc>
          <w:tcPr>
            <w:tcW w:w="2251" w:type="pct"/>
            <w:shd w:val="pct25" w:color="auto" w:fill="auto"/>
            <w:noWrap/>
            <w:vAlign w:val="bottom"/>
          </w:tcPr>
          <w:p w:rsidR="00541BFF" w:rsidRPr="00631979" w:rsidRDefault="00541BFF" w:rsidP="00541BFF">
            <w:pPr>
              <w:spacing w:line="240" w:lineRule="auto"/>
              <w:jc w:val="left"/>
              <w:rPr>
                <w:rFonts w:ascii="Calibri" w:hAnsi="Calibri"/>
                <w:b/>
                <w:color w:val="000000"/>
                <w:sz w:val="18"/>
                <w:szCs w:val="18"/>
                <w:lang w:val="sl-SI" w:eastAsia="sl-SI"/>
              </w:rPr>
            </w:pPr>
            <w:r w:rsidRPr="00631979">
              <w:rPr>
                <w:rFonts w:ascii="Calibri" w:hAnsi="Calibri"/>
                <w:b/>
                <w:color w:val="000000"/>
                <w:sz w:val="18"/>
                <w:szCs w:val="18"/>
                <w:lang w:val="sl-SI" w:eastAsia="sl-SI"/>
              </w:rPr>
              <w:t>Oznaka in naziv AOP</w:t>
            </w:r>
          </w:p>
        </w:tc>
        <w:tc>
          <w:tcPr>
            <w:tcW w:w="840" w:type="pct"/>
            <w:shd w:val="pct25" w:color="auto" w:fill="auto"/>
            <w:noWrap/>
            <w:vAlign w:val="bottom"/>
          </w:tcPr>
          <w:p w:rsidR="00541BFF" w:rsidRPr="00631979" w:rsidRDefault="00541BFF" w:rsidP="00541BFF">
            <w:pPr>
              <w:spacing w:line="240" w:lineRule="auto"/>
              <w:jc w:val="center"/>
              <w:rPr>
                <w:rFonts w:ascii="Calibri" w:hAnsi="Calibri"/>
                <w:b/>
                <w:color w:val="000000"/>
                <w:sz w:val="18"/>
                <w:szCs w:val="18"/>
                <w:lang w:val="sl-SI" w:eastAsia="sl-SI"/>
              </w:rPr>
            </w:pPr>
            <w:r w:rsidRPr="00631979">
              <w:rPr>
                <w:rFonts w:ascii="Calibri" w:hAnsi="Calibri"/>
                <w:b/>
                <w:color w:val="000000"/>
                <w:sz w:val="18"/>
                <w:szCs w:val="18"/>
                <w:lang w:val="sl-SI" w:eastAsia="sl-SI"/>
              </w:rPr>
              <w:t>(</w:t>
            </w:r>
            <w:r w:rsidR="00DD265F">
              <w:rPr>
                <w:rFonts w:ascii="Calibri" w:hAnsi="Calibri"/>
                <w:b/>
                <w:color w:val="000000"/>
                <w:sz w:val="18"/>
                <w:szCs w:val="18"/>
                <w:lang w:val="sl-SI" w:eastAsia="sl-SI"/>
              </w:rPr>
              <w:t>€</w:t>
            </w:r>
            <w:r w:rsidRPr="00631979">
              <w:rPr>
                <w:rFonts w:ascii="Calibri" w:hAnsi="Calibri"/>
                <w:b/>
                <w:color w:val="000000"/>
                <w:sz w:val="18"/>
                <w:szCs w:val="18"/>
                <w:lang w:val="sl-SI" w:eastAsia="sl-SI"/>
              </w:rPr>
              <w:t>)</w:t>
            </w:r>
          </w:p>
        </w:tc>
        <w:tc>
          <w:tcPr>
            <w:tcW w:w="841" w:type="pct"/>
            <w:shd w:val="pct25" w:color="auto" w:fill="auto"/>
            <w:noWrap/>
            <w:vAlign w:val="bottom"/>
          </w:tcPr>
          <w:p w:rsidR="00541BFF" w:rsidRPr="00631979" w:rsidRDefault="00541BFF" w:rsidP="00541BFF">
            <w:pPr>
              <w:spacing w:line="240" w:lineRule="auto"/>
              <w:jc w:val="center"/>
              <w:rPr>
                <w:rFonts w:ascii="Calibri" w:hAnsi="Calibri"/>
                <w:b/>
                <w:color w:val="000000"/>
                <w:sz w:val="18"/>
                <w:szCs w:val="18"/>
                <w:lang w:val="sl-SI" w:eastAsia="sl-SI"/>
              </w:rPr>
            </w:pPr>
            <w:r w:rsidRPr="00631979">
              <w:rPr>
                <w:rFonts w:ascii="Calibri" w:hAnsi="Calibri"/>
                <w:b/>
                <w:color w:val="000000"/>
                <w:sz w:val="18"/>
                <w:szCs w:val="18"/>
                <w:lang w:val="sl-SI" w:eastAsia="sl-SI"/>
              </w:rPr>
              <w:t>(</w:t>
            </w:r>
            <w:r w:rsidR="00DD265F">
              <w:rPr>
                <w:rFonts w:ascii="Calibri" w:hAnsi="Calibri"/>
                <w:b/>
                <w:color w:val="000000"/>
                <w:sz w:val="18"/>
                <w:szCs w:val="18"/>
                <w:lang w:val="sl-SI" w:eastAsia="sl-SI"/>
              </w:rPr>
              <w:t>€</w:t>
            </w:r>
            <w:r w:rsidRPr="00631979">
              <w:rPr>
                <w:rFonts w:ascii="Calibri" w:hAnsi="Calibri"/>
                <w:b/>
                <w:color w:val="000000"/>
                <w:sz w:val="18"/>
                <w:szCs w:val="18"/>
                <w:lang w:val="sl-SI" w:eastAsia="sl-SI"/>
              </w:rPr>
              <w:t>)</w:t>
            </w:r>
          </w:p>
        </w:tc>
        <w:tc>
          <w:tcPr>
            <w:tcW w:w="382" w:type="pct"/>
            <w:shd w:val="pct25" w:color="auto" w:fill="auto"/>
            <w:noWrap/>
            <w:vAlign w:val="bottom"/>
          </w:tcPr>
          <w:p w:rsidR="00541BFF" w:rsidRPr="00631979" w:rsidRDefault="00DD265F" w:rsidP="00541BFF">
            <w:pPr>
              <w:spacing w:line="240" w:lineRule="auto"/>
              <w:jc w:val="center"/>
              <w:rPr>
                <w:rFonts w:ascii="Calibri" w:hAnsi="Calibri"/>
                <w:b/>
                <w:color w:val="000000"/>
                <w:sz w:val="18"/>
                <w:szCs w:val="18"/>
                <w:lang w:val="sl-SI" w:eastAsia="sl-SI"/>
              </w:rPr>
            </w:pPr>
            <w:r>
              <w:rPr>
                <w:rFonts w:ascii="Calibri" w:hAnsi="Calibri"/>
                <w:b/>
                <w:color w:val="000000"/>
                <w:sz w:val="18"/>
                <w:szCs w:val="18"/>
                <w:lang w:val="sl-SI" w:eastAsia="sl-SI"/>
              </w:rPr>
              <w:t>%</w:t>
            </w:r>
          </w:p>
        </w:tc>
        <w:tc>
          <w:tcPr>
            <w:tcW w:w="686" w:type="pct"/>
            <w:shd w:val="pct25" w:color="auto" w:fill="auto"/>
            <w:noWrap/>
            <w:vAlign w:val="bottom"/>
          </w:tcPr>
          <w:p w:rsidR="00541BFF" w:rsidRPr="00631979" w:rsidRDefault="0053047D" w:rsidP="00541BFF">
            <w:pPr>
              <w:spacing w:line="240" w:lineRule="auto"/>
              <w:jc w:val="center"/>
              <w:rPr>
                <w:rFonts w:ascii="Calibri" w:hAnsi="Calibri"/>
                <w:b/>
                <w:color w:val="000000"/>
                <w:sz w:val="18"/>
                <w:szCs w:val="18"/>
                <w:lang w:val="sl-SI" w:eastAsia="sl-SI"/>
              </w:rPr>
            </w:pPr>
            <w:r>
              <w:rPr>
                <w:rFonts w:ascii="Calibri" w:hAnsi="Calibri"/>
                <w:b/>
                <w:color w:val="000000"/>
                <w:sz w:val="18"/>
                <w:szCs w:val="18"/>
                <w:lang w:val="sl-SI" w:eastAsia="sl-SI"/>
              </w:rPr>
              <w:t>(</w:t>
            </w:r>
            <w:r w:rsidR="00DD265F">
              <w:rPr>
                <w:rFonts w:ascii="Calibri" w:hAnsi="Calibri"/>
                <w:b/>
                <w:color w:val="000000"/>
                <w:sz w:val="18"/>
                <w:szCs w:val="18"/>
                <w:lang w:val="sl-SI" w:eastAsia="sl-SI"/>
              </w:rPr>
              <w:t>€</w:t>
            </w:r>
            <w:r>
              <w:rPr>
                <w:rFonts w:ascii="Calibri" w:hAnsi="Calibri"/>
                <w:b/>
                <w:color w:val="000000"/>
                <w:sz w:val="18"/>
                <w:szCs w:val="18"/>
                <w:lang w:val="sl-SI" w:eastAsia="sl-SI"/>
              </w:rPr>
              <w:t>)</w:t>
            </w:r>
          </w:p>
        </w:tc>
      </w:tr>
      <w:tr w:rsidR="00541BFF" w:rsidRPr="00CC6CE6" w:rsidTr="0036160C">
        <w:trPr>
          <w:trHeight w:val="300"/>
          <w:tblHeader/>
        </w:trPr>
        <w:tc>
          <w:tcPr>
            <w:tcW w:w="2251" w:type="pct"/>
            <w:shd w:val="pct25" w:color="auto" w:fill="auto"/>
            <w:noWrap/>
            <w:vAlign w:val="bottom"/>
          </w:tcPr>
          <w:p w:rsidR="00541BFF" w:rsidRPr="00631979" w:rsidRDefault="00541BFF" w:rsidP="00541BFF">
            <w:pPr>
              <w:spacing w:line="240" w:lineRule="auto"/>
              <w:jc w:val="center"/>
              <w:rPr>
                <w:rFonts w:ascii="Calibri" w:hAnsi="Calibri"/>
                <w:b/>
                <w:color w:val="000000"/>
                <w:sz w:val="18"/>
                <w:szCs w:val="18"/>
                <w:lang w:val="sl-SI" w:eastAsia="sl-SI"/>
              </w:rPr>
            </w:pPr>
            <w:r w:rsidRPr="00631979">
              <w:rPr>
                <w:rFonts w:ascii="Calibri" w:hAnsi="Calibri"/>
                <w:b/>
                <w:color w:val="000000"/>
                <w:sz w:val="18"/>
                <w:szCs w:val="18"/>
                <w:lang w:val="sl-SI" w:eastAsia="sl-SI"/>
              </w:rPr>
              <w:t>1</w:t>
            </w:r>
          </w:p>
        </w:tc>
        <w:tc>
          <w:tcPr>
            <w:tcW w:w="840" w:type="pct"/>
            <w:shd w:val="pct25" w:color="auto" w:fill="auto"/>
            <w:noWrap/>
            <w:vAlign w:val="bottom"/>
          </w:tcPr>
          <w:p w:rsidR="00541BFF" w:rsidRPr="00631979" w:rsidRDefault="00541BFF" w:rsidP="00541BFF">
            <w:pPr>
              <w:spacing w:line="240" w:lineRule="auto"/>
              <w:jc w:val="center"/>
              <w:rPr>
                <w:rFonts w:ascii="Calibri" w:hAnsi="Calibri"/>
                <w:b/>
                <w:color w:val="000000"/>
                <w:sz w:val="18"/>
                <w:szCs w:val="18"/>
                <w:lang w:val="sl-SI" w:eastAsia="sl-SI"/>
              </w:rPr>
            </w:pPr>
            <w:r w:rsidRPr="00631979">
              <w:rPr>
                <w:rFonts w:ascii="Calibri" w:hAnsi="Calibri"/>
                <w:b/>
                <w:color w:val="000000"/>
                <w:sz w:val="18"/>
                <w:szCs w:val="18"/>
                <w:lang w:val="sl-SI" w:eastAsia="sl-SI"/>
              </w:rPr>
              <w:t>2</w:t>
            </w:r>
          </w:p>
        </w:tc>
        <w:tc>
          <w:tcPr>
            <w:tcW w:w="841" w:type="pct"/>
            <w:shd w:val="pct25" w:color="auto" w:fill="auto"/>
            <w:noWrap/>
            <w:vAlign w:val="bottom"/>
          </w:tcPr>
          <w:p w:rsidR="00541BFF" w:rsidRPr="00631979" w:rsidRDefault="00541BFF" w:rsidP="00541BFF">
            <w:pPr>
              <w:spacing w:line="240" w:lineRule="auto"/>
              <w:jc w:val="center"/>
              <w:rPr>
                <w:rFonts w:ascii="Calibri" w:hAnsi="Calibri"/>
                <w:b/>
                <w:color w:val="000000"/>
                <w:sz w:val="18"/>
                <w:szCs w:val="18"/>
                <w:lang w:val="sl-SI" w:eastAsia="sl-SI"/>
              </w:rPr>
            </w:pPr>
            <w:r>
              <w:rPr>
                <w:rFonts w:ascii="Calibri" w:hAnsi="Calibri"/>
                <w:b/>
                <w:color w:val="000000"/>
                <w:sz w:val="18"/>
                <w:szCs w:val="18"/>
                <w:lang w:val="sl-SI" w:eastAsia="sl-SI"/>
              </w:rPr>
              <w:t>3</w:t>
            </w:r>
          </w:p>
        </w:tc>
        <w:tc>
          <w:tcPr>
            <w:tcW w:w="382" w:type="pct"/>
            <w:shd w:val="pct25" w:color="auto" w:fill="auto"/>
            <w:noWrap/>
            <w:vAlign w:val="bottom"/>
          </w:tcPr>
          <w:p w:rsidR="00541BFF" w:rsidRPr="00631979" w:rsidRDefault="00541BFF" w:rsidP="00D754F8">
            <w:pPr>
              <w:spacing w:line="240" w:lineRule="auto"/>
              <w:jc w:val="center"/>
              <w:rPr>
                <w:rFonts w:ascii="Calibri" w:hAnsi="Calibri"/>
                <w:b/>
                <w:color w:val="000000"/>
                <w:sz w:val="18"/>
                <w:szCs w:val="18"/>
                <w:lang w:val="sl-SI" w:eastAsia="sl-SI"/>
              </w:rPr>
            </w:pPr>
            <w:r>
              <w:rPr>
                <w:rFonts w:ascii="Calibri" w:hAnsi="Calibri"/>
                <w:b/>
                <w:color w:val="000000"/>
                <w:sz w:val="18"/>
                <w:szCs w:val="18"/>
                <w:lang w:val="sl-SI" w:eastAsia="sl-SI"/>
              </w:rPr>
              <w:t>4=2/3</w:t>
            </w:r>
          </w:p>
        </w:tc>
        <w:tc>
          <w:tcPr>
            <w:tcW w:w="686" w:type="pct"/>
            <w:shd w:val="pct25" w:color="auto" w:fill="auto"/>
            <w:noWrap/>
            <w:vAlign w:val="bottom"/>
          </w:tcPr>
          <w:p w:rsidR="00541BFF" w:rsidRPr="00631979" w:rsidRDefault="00541BFF" w:rsidP="00541BFF">
            <w:pPr>
              <w:spacing w:line="240" w:lineRule="auto"/>
              <w:jc w:val="center"/>
              <w:rPr>
                <w:rFonts w:ascii="Calibri" w:hAnsi="Calibri"/>
                <w:b/>
                <w:color w:val="000000"/>
                <w:sz w:val="18"/>
                <w:szCs w:val="18"/>
                <w:lang w:val="sl-SI" w:eastAsia="sl-SI"/>
              </w:rPr>
            </w:pPr>
            <w:r>
              <w:rPr>
                <w:rFonts w:ascii="Calibri" w:hAnsi="Calibri"/>
                <w:b/>
                <w:color w:val="000000"/>
                <w:sz w:val="18"/>
                <w:szCs w:val="18"/>
                <w:lang w:val="sl-SI" w:eastAsia="sl-SI"/>
              </w:rPr>
              <w:t>5=2-3</w:t>
            </w:r>
          </w:p>
        </w:tc>
      </w:tr>
      <w:tr w:rsidR="00052705" w:rsidRPr="00CC6CE6" w:rsidTr="0036160C">
        <w:trPr>
          <w:trHeight w:val="300"/>
        </w:trPr>
        <w:tc>
          <w:tcPr>
            <w:tcW w:w="2251" w:type="pct"/>
            <w:shd w:val="clear" w:color="auto" w:fill="auto"/>
            <w:noWrap/>
            <w:vAlign w:val="bottom"/>
            <w:hideMark/>
          </w:tcPr>
          <w:p w:rsidR="00052705" w:rsidRPr="00CC6CE6" w:rsidRDefault="00052705" w:rsidP="001F6A16">
            <w:pPr>
              <w:spacing w:line="240" w:lineRule="auto"/>
              <w:rPr>
                <w:rFonts w:ascii="Calibri" w:hAnsi="Calibri"/>
                <w:color w:val="000000"/>
                <w:sz w:val="18"/>
                <w:szCs w:val="18"/>
                <w:lang w:eastAsia="sl-SI"/>
              </w:rPr>
            </w:pPr>
            <w:r w:rsidRPr="00CC6CE6">
              <w:rPr>
                <w:rFonts w:ascii="Calibri" w:hAnsi="Calibri"/>
                <w:color w:val="000000"/>
                <w:sz w:val="18"/>
                <w:szCs w:val="18"/>
                <w:lang w:eastAsia="sl-SI"/>
              </w:rPr>
              <w:t>500-Sedanja vrednost neopredmetenih sredstev in dolgoročnih aktivnih časovnih razmejitev</w:t>
            </w:r>
          </w:p>
        </w:tc>
        <w:tc>
          <w:tcPr>
            <w:tcW w:w="840" w:type="pct"/>
            <w:shd w:val="clear" w:color="auto" w:fill="auto"/>
            <w:noWrap/>
            <w:vAlign w:val="bottom"/>
            <w:hideMark/>
          </w:tcPr>
          <w:p w:rsidR="00052705" w:rsidRPr="00412299" w:rsidRDefault="00052705"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29.005.150 </w:t>
            </w:r>
          </w:p>
        </w:tc>
        <w:tc>
          <w:tcPr>
            <w:tcW w:w="841" w:type="pct"/>
            <w:shd w:val="clear" w:color="auto" w:fill="auto"/>
            <w:noWrap/>
            <w:vAlign w:val="bottom"/>
            <w:hideMark/>
          </w:tcPr>
          <w:p w:rsidR="00052705" w:rsidRPr="00CC6CE6" w:rsidRDefault="00052705" w:rsidP="001F6A16">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28.407.749 </w:t>
            </w:r>
          </w:p>
        </w:tc>
        <w:tc>
          <w:tcPr>
            <w:tcW w:w="382" w:type="pct"/>
            <w:shd w:val="clear" w:color="auto" w:fill="auto"/>
            <w:noWrap/>
            <w:vAlign w:val="bottom"/>
            <w:hideMark/>
          </w:tcPr>
          <w:p w:rsidR="00052705" w:rsidRPr="00412299" w:rsidRDefault="00052705" w:rsidP="00382B0F">
            <w:pPr>
              <w:spacing w:line="240" w:lineRule="auto"/>
              <w:jc w:val="right"/>
              <w:rPr>
                <w:rFonts w:ascii="Calibri" w:hAnsi="Calibri"/>
                <w:color w:val="000000"/>
                <w:sz w:val="18"/>
                <w:szCs w:val="18"/>
                <w:lang w:eastAsia="sl-SI"/>
              </w:rPr>
            </w:pPr>
            <w:r w:rsidRPr="00972554">
              <w:rPr>
                <w:rFonts w:ascii="Calibri" w:hAnsi="Calibri"/>
                <w:sz w:val="18"/>
                <w:szCs w:val="18"/>
              </w:rPr>
              <w:t>102,10</w:t>
            </w:r>
          </w:p>
        </w:tc>
        <w:tc>
          <w:tcPr>
            <w:tcW w:w="686" w:type="pct"/>
            <w:shd w:val="clear" w:color="auto" w:fill="auto"/>
            <w:noWrap/>
            <w:vAlign w:val="bottom"/>
            <w:hideMark/>
          </w:tcPr>
          <w:p w:rsidR="00052705" w:rsidRPr="00412299" w:rsidRDefault="00052705"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597.401 </w:t>
            </w:r>
          </w:p>
        </w:tc>
      </w:tr>
      <w:tr w:rsidR="00052705" w:rsidRPr="00CC6CE6" w:rsidTr="0036160C">
        <w:trPr>
          <w:trHeight w:val="300"/>
        </w:trPr>
        <w:tc>
          <w:tcPr>
            <w:tcW w:w="2251" w:type="pct"/>
            <w:shd w:val="clear" w:color="auto" w:fill="auto"/>
            <w:noWrap/>
            <w:vAlign w:val="bottom"/>
            <w:hideMark/>
          </w:tcPr>
          <w:p w:rsidR="00052705" w:rsidRPr="00CC6CE6" w:rsidRDefault="00052705" w:rsidP="001F6A16">
            <w:pPr>
              <w:spacing w:line="240" w:lineRule="auto"/>
              <w:rPr>
                <w:rFonts w:ascii="Calibri" w:hAnsi="Calibri"/>
                <w:color w:val="000000"/>
                <w:sz w:val="18"/>
                <w:szCs w:val="18"/>
                <w:lang w:eastAsia="sl-SI"/>
              </w:rPr>
            </w:pPr>
            <w:r w:rsidRPr="00CC6CE6">
              <w:rPr>
                <w:rFonts w:ascii="Calibri" w:hAnsi="Calibri"/>
                <w:color w:val="000000"/>
                <w:sz w:val="18"/>
                <w:szCs w:val="18"/>
                <w:lang w:eastAsia="sl-SI"/>
              </w:rPr>
              <w:t>501-Nabavna vrednost neopredmetenih sredstev in dolgoročnih aktivnih časovnih razmejitev</w:t>
            </w:r>
          </w:p>
        </w:tc>
        <w:tc>
          <w:tcPr>
            <w:tcW w:w="840" w:type="pct"/>
            <w:shd w:val="clear" w:color="auto" w:fill="auto"/>
            <w:noWrap/>
            <w:vAlign w:val="bottom"/>
            <w:hideMark/>
          </w:tcPr>
          <w:p w:rsidR="00052705" w:rsidRPr="00412299" w:rsidRDefault="00052705"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100.937.056 </w:t>
            </w:r>
          </w:p>
        </w:tc>
        <w:tc>
          <w:tcPr>
            <w:tcW w:w="841" w:type="pct"/>
            <w:shd w:val="clear" w:color="auto" w:fill="auto"/>
            <w:noWrap/>
            <w:vAlign w:val="bottom"/>
            <w:hideMark/>
          </w:tcPr>
          <w:p w:rsidR="00052705" w:rsidRPr="00CC6CE6" w:rsidRDefault="00052705" w:rsidP="001F6A16">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96.740.391 </w:t>
            </w:r>
          </w:p>
        </w:tc>
        <w:tc>
          <w:tcPr>
            <w:tcW w:w="382" w:type="pct"/>
            <w:shd w:val="clear" w:color="auto" w:fill="auto"/>
            <w:noWrap/>
            <w:vAlign w:val="bottom"/>
            <w:hideMark/>
          </w:tcPr>
          <w:p w:rsidR="00052705" w:rsidRPr="00412299" w:rsidRDefault="00052705" w:rsidP="00382B0F">
            <w:pPr>
              <w:spacing w:line="240" w:lineRule="auto"/>
              <w:jc w:val="right"/>
              <w:rPr>
                <w:rFonts w:ascii="Calibri" w:hAnsi="Calibri"/>
                <w:color w:val="000000"/>
                <w:sz w:val="18"/>
                <w:szCs w:val="18"/>
                <w:lang w:eastAsia="sl-SI"/>
              </w:rPr>
            </w:pPr>
            <w:r w:rsidRPr="00972554">
              <w:rPr>
                <w:rFonts w:ascii="Calibri" w:hAnsi="Calibri"/>
                <w:sz w:val="18"/>
                <w:szCs w:val="18"/>
              </w:rPr>
              <w:t>104,34</w:t>
            </w:r>
          </w:p>
        </w:tc>
        <w:tc>
          <w:tcPr>
            <w:tcW w:w="686" w:type="pct"/>
            <w:shd w:val="clear" w:color="auto" w:fill="auto"/>
            <w:noWrap/>
            <w:vAlign w:val="bottom"/>
            <w:hideMark/>
          </w:tcPr>
          <w:p w:rsidR="00052705" w:rsidRPr="00412299" w:rsidRDefault="00052705"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4.196.665 </w:t>
            </w:r>
          </w:p>
        </w:tc>
      </w:tr>
      <w:tr w:rsidR="00052705" w:rsidRPr="00CC6CE6" w:rsidTr="0036160C">
        <w:trPr>
          <w:trHeight w:val="300"/>
        </w:trPr>
        <w:tc>
          <w:tcPr>
            <w:tcW w:w="2251" w:type="pct"/>
            <w:shd w:val="clear" w:color="auto" w:fill="auto"/>
            <w:noWrap/>
            <w:vAlign w:val="bottom"/>
            <w:hideMark/>
          </w:tcPr>
          <w:p w:rsidR="00052705" w:rsidRPr="00CC6CE6" w:rsidRDefault="00052705" w:rsidP="001F6A16">
            <w:pPr>
              <w:spacing w:line="240" w:lineRule="auto"/>
              <w:rPr>
                <w:rFonts w:ascii="Calibri" w:hAnsi="Calibri"/>
                <w:color w:val="000000"/>
                <w:sz w:val="18"/>
                <w:szCs w:val="18"/>
                <w:lang w:eastAsia="sl-SI"/>
              </w:rPr>
            </w:pPr>
            <w:r w:rsidRPr="00CC6CE6">
              <w:rPr>
                <w:rFonts w:ascii="Calibri" w:hAnsi="Calibri"/>
                <w:color w:val="000000"/>
                <w:sz w:val="18"/>
                <w:szCs w:val="18"/>
                <w:lang w:eastAsia="sl-SI"/>
              </w:rPr>
              <w:t>502-Popravki vrednosti neopredmetenih sredstev</w:t>
            </w:r>
          </w:p>
        </w:tc>
        <w:tc>
          <w:tcPr>
            <w:tcW w:w="840" w:type="pct"/>
            <w:shd w:val="clear" w:color="auto" w:fill="auto"/>
            <w:noWrap/>
            <w:vAlign w:val="bottom"/>
            <w:hideMark/>
          </w:tcPr>
          <w:p w:rsidR="00052705" w:rsidRPr="00412299" w:rsidRDefault="00052705"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71.931.906 </w:t>
            </w:r>
          </w:p>
        </w:tc>
        <w:tc>
          <w:tcPr>
            <w:tcW w:w="841" w:type="pct"/>
            <w:shd w:val="clear" w:color="auto" w:fill="auto"/>
            <w:noWrap/>
            <w:vAlign w:val="bottom"/>
            <w:hideMark/>
          </w:tcPr>
          <w:p w:rsidR="00052705" w:rsidRPr="00CC6CE6" w:rsidRDefault="00052705" w:rsidP="001F6A16">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68.332.642 </w:t>
            </w:r>
          </w:p>
        </w:tc>
        <w:tc>
          <w:tcPr>
            <w:tcW w:w="382" w:type="pct"/>
            <w:shd w:val="clear" w:color="auto" w:fill="auto"/>
            <w:noWrap/>
            <w:vAlign w:val="bottom"/>
            <w:hideMark/>
          </w:tcPr>
          <w:p w:rsidR="00052705" w:rsidRPr="00412299" w:rsidRDefault="00052705" w:rsidP="00382B0F">
            <w:pPr>
              <w:spacing w:line="240" w:lineRule="auto"/>
              <w:jc w:val="right"/>
              <w:rPr>
                <w:rFonts w:ascii="Calibri" w:hAnsi="Calibri"/>
                <w:color w:val="000000"/>
                <w:sz w:val="18"/>
                <w:szCs w:val="18"/>
                <w:lang w:eastAsia="sl-SI"/>
              </w:rPr>
            </w:pPr>
            <w:r w:rsidRPr="00972554">
              <w:rPr>
                <w:rFonts w:ascii="Calibri" w:hAnsi="Calibri"/>
                <w:sz w:val="18"/>
                <w:szCs w:val="18"/>
              </w:rPr>
              <w:t>105,27</w:t>
            </w:r>
          </w:p>
        </w:tc>
        <w:tc>
          <w:tcPr>
            <w:tcW w:w="686" w:type="pct"/>
            <w:shd w:val="clear" w:color="auto" w:fill="auto"/>
            <w:noWrap/>
            <w:vAlign w:val="bottom"/>
            <w:hideMark/>
          </w:tcPr>
          <w:p w:rsidR="00052705" w:rsidRPr="00412299" w:rsidRDefault="00052705"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3.599.264 </w:t>
            </w:r>
          </w:p>
        </w:tc>
      </w:tr>
      <w:tr w:rsidR="00052705" w:rsidRPr="00CC6CE6" w:rsidTr="0036160C">
        <w:trPr>
          <w:trHeight w:val="300"/>
        </w:trPr>
        <w:tc>
          <w:tcPr>
            <w:tcW w:w="2251" w:type="pct"/>
            <w:shd w:val="clear" w:color="auto" w:fill="auto"/>
            <w:noWrap/>
            <w:vAlign w:val="bottom"/>
            <w:hideMark/>
          </w:tcPr>
          <w:p w:rsidR="00052705" w:rsidRPr="00CC6CE6" w:rsidRDefault="00052705" w:rsidP="001F6A16">
            <w:pPr>
              <w:spacing w:line="240" w:lineRule="auto"/>
              <w:rPr>
                <w:rFonts w:ascii="Calibri" w:hAnsi="Calibri"/>
                <w:color w:val="000000"/>
                <w:sz w:val="18"/>
                <w:szCs w:val="18"/>
                <w:lang w:eastAsia="sl-SI"/>
              </w:rPr>
            </w:pPr>
            <w:r w:rsidRPr="00CC6CE6">
              <w:rPr>
                <w:rFonts w:ascii="Calibri" w:hAnsi="Calibri"/>
                <w:color w:val="000000"/>
                <w:sz w:val="18"/>
                <w:szCs w:val="18"/>
                <w:lang w:eastAsia="sl-SI"/>
              </w:rPr>
              <w:t>503-Sedanja vrednost nepremičnin</w:t>
            </w:r>
          </w:p>
        </w:tc>
        <w:tc>
          <w:tcPr>
            <w:tcW w:w="840" w:type="pct"/>
            <w:shd w:val="clear" w:color="auto" w:fill="auto"/>
            <w:noWrap/>
            <w:vAlign w:val="bottom"/>
            <w:hideMark/>
          </w:tcPr>
          <w:p w:rsidR="00052705" w:rsidRPr="00412299" w:rsidRDefault="00052705"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12.772.201.728 </w:t>
            </w:r>
          </w:p>
        </w:tc>
        <w:tc>
          <w:tcPr>
            <w:tcW w:w="841" w:type="pct"/>
            <w:shd w:val="clear" w:color="auto" w:fill="auto"/>
            <w:noWrap/>
            <w:vAlign w:val="bottom"/>
            <w:hideMark/>
          </w:tcPr>
          <w:p w:rsidR="00052705" w:rsidRPr="00CC6CE6" w:rsidRDefault="00052705" w:rsidP="001F6A16">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12.084.128.952 </w:t>
            </w:r>
          </w:p>
        </w:tc>
        <w:tc>
          <w:tcPr>
            <w:tcW w:w="382" w:type="pct"/>
            <w:shd w:val="clear" w:color="auto" w:fill="auto"/>
            <w:noWrap/>
            <w:vAlign w:val="bottom"/>
            <w:hideMark/>
          </w:tcPr>
          <w:p w:rsidR="00052705" w:rsidRPr="00412299" w:rsidRDefault="00052705" w:rsidP="00382B0F">
            <w:pPr>
              <w:spacing w:line="240" w:lineRule="auto"/>
              <w:jc w:val="right"/>
              <w:rPr>
                <w:rFonts w:ascii="Calibri" w:hAnsi="Calibri"/>
                <w:color w:val="000000"/>
                <w:sz w:val="18"/>
                <w:szCs w:val="18"/>
                <w:lang w:eastAsia="sl-SI"/>
              </w:rPr>
            </w:pPr>
            <w:r w:rsidRPr="00972554">
              <w:rPr>
                <w:rFonts w:ascii="Calibri" w:hAnsi="Calibri"/>
                <w:sz w:val="18"/>
                <w:szCs w:val="18"/>
              </w:rPr>
              <w:t>105,69</w:t>
            </w:r>
          </w:p>
        </w:tc>
        <w:tc>
          <w:tcPr>
            <w:tcW w:w="686" w:type="pct"/>
            <w:shd w:val="clear" w:color="auto" w:fill="auto"/>
            <w:noWrap/>
            <w:vAlign w:val="bottom"/>
            <w:hideMark/>
          </w:tcPr>
          <w:p w:rsidR="00052705" w:rsidRPr="00412299" w:rsidRDefault="00052705"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688.072.776 </w:t>
            </w:r>
          </w:p>
        </w:tc>
      </w:tr>
      <w:tr w:rsidR="00052705" w:rsidRPr="00CC6CE6" w:rsidTr="0036160C">
        <w:trPr>
          <w:trHeight w:val="300"/>
        </w:trPr>
        <w:tc>
          <w:tcPr>
            <w:tcW w:w="2251" w:type="pct"/>
            <w:shd w:val="clear" w:color="auto" w:fill="auto"/>
            <w:noWrap/>
            <w:vAlign w:val="bottom"/>
            <w:hideMark/>
          </w:tcPr>
          <w:p w:rsidR="00052705" w:rsidRPr="00CC6CE6" w:rsidRDefault="00052705" w:rsidP="001F6A16">
            <w:pPr>
              <w:spacing w:line="240" w:lineRule="auto"/>
              <w:rPr>
                <w:rFonts w:ascii="Calibri" w:hAnsi="Calibri"/>
                <w:color w:val="000000"/>
                <w:sz w:val="18"/>
                <w:szCs w:val="18"/>
                <w:lang w:eastAsia="sl-SI"/>
              </w:rPr>
            </w:pPr>
            <w:r w:rsidRPr="00CC6CE6">
              <w:rPr>
                <w:rFonts w:ascii="Calibri" w:hAnsi="Calibri"/>
                <w:color w:val="000000"/>
                <w:sz w:val="18"/>
                <w:szCs w:val="18"/>
                <w:lang w:eastAsia="sl-SI"/>
              </w:rPr>
              <w:t>504-Nabavna vrednost nepremičnin</w:t>
            </w:r>
          </w:p>
        </w:tc>
        <w:tc>
          <w:tcPr>
            <w:tcW w:w="840" w:type="pct"/>
            <w:shd w:val="clear" w:color="auto" w:fill="auto"/>
            <w:noWrap/>
            <w:vAlign w:val="bottom"/>
            <w:hideMark/>
          </w:tcPr>
          <w:p w:rsidR="00052705" w:rsidRPr="00412299" w:rsidRDefault="00052705"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17.454.228.358 </w:t>
            </w:r>
          </w:p>
        </w:tc>
        <w:tc>
          <w:tcPr>
            <w:tcW w:w="841" w:type="pct"/>
            <w:shd w:val="clear" w:color="auto" w:fill="auto"/>
            <w:noWrap/>
            <w:vAlign w:val="bottom"/>
            <w:hideMark/>
          </w:tcPr>
          <w:p w:rsidR="00052705" w:rsidRPr="00CC6CE6" w:rsidRDefault="00052705" w:rsidP="001F6A16">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16.440.357.815 </w:t>
            </w:r>
          </w:p>
        </w:tc>
        <w:tc>
          <w:tcPr>
            <w:tcW w:w="382" w:type="pct"/>
            <w:shd w:val="clear" w:color="auto" w:fill="auto"/>
            <w:noWrap/>
            <w:vAlign w:val="bottom"/>
            <w:hideMark/>
          </w:tcPr>
          <w:p w:rsidR="00052705" w:rsidRPr="00412299" w:rsidRDefault="00052705" w:rsidP="00382B0F">
            <w:pPr>
              <w:spacing w:line="240" w:lineRule="auto"/>
              <w:jc w:val="right"/>
              <w:rPr>
                <w:rFonts w:ascii="Calibri" w:hAnsi="Calibri"/>
                <w:color w:val="000000"/>
                <w:sz w:val="18"/>
                <w:szCs w:val="18"/>
                <w:lang w:eastAsia="sl-SI"/>
              </w:rPr>
            </w:pPr>
            <w:r w:rsidRPr="00972554">
              <w:rPr>
                <w:rFonts w:ascii="Calibri" w:hAnsi="Calibri"/>
                <w:sz w:val="18"/>
                <w:szCs w:val="18"/>
              </w:rPr>
              <w:t>106,17</w:t>
            </w:r>
          </w:p>
        </w:tc>
        <w:tc>
          <w:tcPr>
            <w:tcW w:w="686" w:type="pct"/>
            <w:shd w:val="clear" w:color="auto" w:fill="auto"/>
            <w:noWrap/>
            <w:vAlign w:val="bottom"/>
            <w:hideMark/>
          </w:tcPr>
          <w:p w:rsidR="00052705" w:rsidRPr="00412299" w:rsidRDefault="00052705"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1.013.870.543 </w:t>
            </w:r>
          </w:p>
        </w:tc>
      </w:tr>
      <w:tr w:rsidR="00052705" w:rsidRPr="00CC6CE6" w:rsidTr="0036160C">
        <w:trPr>
          <w:trHeight w:val="300"/>
        </w:trPr>
        <w:tc>
          <w:tcPr>
            <w:tcW w:w="2251" w:type="pct"/>
            <w:shd w:val="clear" w:color="auto" w:fill="auto"/>
            <w:noWrap/>
            <w:vAlign w:val="bottom"/>
            <w:hideMark/>
          </w:tcPr>
          <w:p w:rsidR="00052705" w:rsidRPr="00CC6CE6" w:rsidRDefault="00052705" w:rsidP="001F6A16">
            <w:pPr>
              <w:spacing w:line="240" w:lineRule="auto"/>
              <w:rPr>
                <w:rFonts w:ascii="Calibri" w:hAnsi="Calibri"/>
                <w:color w:val="000000"/>
                <w:sz w:val="18"/>
                <w:szCs w:val="18"/>
                <w:lang w:eastAsia="sl-SI"/>
              </w:rPr>
            </w:pPr>
            <w:r w:rsidRPr="00CC6CE6">
              <w:rPr>
                <w:rFonts w:ascii="Calibri" w:hAnsi="Calibri"/>
                <w:color w:val="000000"/>
                <w:sz w:val="18"/>
                <w:szCs w:val="18"/>
                <w:lang w:eastAsia="sl-SI"/>
              </w:rPr>
              <w:t>505-Popravek vrednosti nepremičnin</w:t>
            </w:r>
          </w:p>
        </w:tc>
        <w:tc>
          <w:tcPr>
            <w:tcW w:w="840" w:type="pct"/>
            <w:shd w:val="clear" w:color="auto" w:fill="auto"/>
            <w:noWrap/>
            <w:vAlign w:val="bottom"/>
            <w:hideMark/>
          </w:tcPr>
          <w:p w:rsidR="00052705" w:rsidRPr="00412299" w:rsidRDefault="00052705"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4.682.026.630 </w:t>
            </w:r>
          </w:p>
        </w:tc>
        <w:tc>
          <w:tcPr>
            <w:tcW w:w="841" w:type="pct"/>
            <w:shd w:val="clear" w:color="auto" w:fill="auto"/>
            <w:noWrap/>
            <w:vAlign w:val="bottom"/>
            <w:hideMark/>
          </w:tcPr>
          <w:p w:rsidR="00052705" w:rsidRPr="00CC6CE6" w:rsidRDefault="00052705" w:rsidP="001F6A16">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4.356.228.863 </w:t>
            </w:r>
          </w:p>
        </w:tc>
        <w:tc>
          <w:tcPr>
            <w:tcW w:w="382" w:type="pct"/>
            <w:shd w:val="clear" w:color="auto" w:fill="auto"/>
            <w:noWrap/>
            <w:vAlign w:val="bottom"/>
            <w:hideMark/>
          </w:tcPr>
          <w:p w:rsidR="00052705" w:rsidRPr="00412299" w:rsidRDefault="00052705" w:rsidP="00382B0F">
            <w:pPr>
              <w:spacing w:line="240" w:lineRule="auto"/>
              <w:jc w:val="right"/>
              <w:rPr>
                <w:rFonts w:ascii="Calibri" w:hAnsi="Calibri"/>
                <w:color w:val="000000"/>
                <w:sz w:val="18"/>
                <w:szCs w:val="18"/>
                <w:lang w:eastAsia="sl-SI"/>
              </w:rPr>
            </w:pPr>
            <w:r w:rsidRPr="00972554">
              <w:rPr>
                <w:rFonts w:ascii="Calibri" w:hAnsi="Calibri"/>
                <w:sz w:val="18"/>
                <w:szCs w:val="18"/>
              </w:rPr>
              <w:t>107,48</w:t>
            </w:r>
          </w:p>
        </w:tc>
        <w:tc>
          <w:tcPr>
            <w:tcW w:w="686" w:type="pct"/>
            <w:shd w:val="clear" w:color="auto" w:fill="auto"/>
            <w:noWrap/>
            <w:vAlign w:val="bottom"/>
            <w:hideMark/>
          </w:tcPr>
          <w:p w:rsidR="00052705" w:rsidRPr="00412299" w:rsidRDefault="00052705"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325.797.767 </w:t>
            </w:r>
          </w:p>
        </w:tc>
      </w:tr>
      <w:tr w:rsidR="00052705" w:rsidRPr="00CC6CE6" w:rsidTr="0036160C">
        <w:trPr>
          <w:trHeight w:val="300"/>
        </w:trPr>
        <w:tc>
          <w:tcPr>
            <w:tcW w:w="2251" w:type="pct"/>
            <w:shd w:val="clear" w:color="auto" w:fill="auto"/>
            <w:noWrap/>
            <w:vAlign w:val="bottom"/>
            <w:hideMark/>
          </w:tcPr>
          <w:p w:rsidR="00052705" w:rsidRPr="00CC6CE6" w:rsidRDefault="00052705" w:rsidP="001F6A16">
            <w:pPr>
              <w:spacing w:line="240" w:lineRule="auto"/>
              <w:rPr>
                <w:rFonts w:ascii="Calibri" w:hAnsi="Calibri"/>
                <w:color w:val="000000"/>
                <w:sz w:val="18"/>
                <w:szCs w:val="18"/>
                <w:lang w:eastAsia="sl-SI"/>
              </w:rPr>
            </w:pPr>
            <w:r w:rsidRPr="00CC6CE6">
              <w:rPr>
                <w:rFonts w:ascii="Calibri" w:hAnsi="Calibri"/>
                <w:color w:val="000000"/>
                <w:sz w:val="18"/>
                <w:szCs w:val="18"/>
                <w:lang w:eastAsia="sl-SI"/>
              </w:rPr>
              <w:t>506-Sedanja vrednost opreme in drugih opredmetenih osnovnih sredstev</w:t>
            </w:r>
          </w:p>
        </w:tc>
        <w:tc>
          <w:tcPr>
            <w:tcW w:w="840" w:type="pct"/>
            <w:shd w:val="clear" w:color="auto" w:fill="auto"/>
            <w:noWrap/>
            <w:vAlign w:val="bottom"/>
            <w:hideMark/>
          </w:tcPr>
          <w:p w:rsidR="00052705" w:rsidRPr="00412299" w:rsidRDefault="00052705"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529.511.523 </w:t>
            </w:r>
          </w:p>
        </w:tc>
        <w:tc>
          <w:tcPr>
            <w:tcW w:w="841" w:type="pct"/>
            <w:shd w:val="clear" w:color="auto" w:fill="auto"/>
            <w:noWrap/>
            <w:vAlign w:val="bottom"/>
            <w:hideMark/>
          </w:tcPr>
          <w:p w:rsidR="00052705" w:rsidRPr="00CC6CE6" w:rsidRDefault="00052705" w:rsidP="001F6A16">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563.761.359 </w:t>
            </w:r>
          </w:p>
        </w:tc>
        <w:tc>
          <w:tcPr>
            <w:tcW w:w="382" w:type="pct"/>
            <w:shd w:val="clear" w:color="auto" w:fill="auto"/>
            <w:noWrap/>
            <w:vAlign w:val="bottom"/>
            <w:hideMark/>
          </w:tcPr>
          <w:p w:rsidR="00052705" w:rsidRPr="00412299" w:rsidRDefault="00052705" w:rsidP="00382B0F">
            <w:pPr>
              <w:spacing w:line="240" w:lineRule="auto"/>
              <w:jc w:val="right"/>
              <w:rPr>
                <w:rFonts w:ascii="Calibri" w:hAnsi="Calibri"/>
                <w:color w:val="000000"/>
                <w:sz w:val="18"/>
                <w:szCs w:val="18"/>
                <w:lang w:eastAsia="sl-SI"/>
              </w:rPr>
            </w:pPr>
            <w:r w:rsidRPr="00972554">
              <w:rPr>
                <w:rFonts w:ascii="Calibri" w:hAnsi="Calibri"/>
                <w:sz w:val="18"/>
                <w:szCs w:val="18"/>
              </w:rPr>
              <w:t>93,92</w:t>
            </w:r>
          </w:p>
        </w:tc>
        <w:tc>
          <w:tcPr>
            <w:tcW w:w="686" w:type="pct"/>
            <w:shd w:val="clear" w:color="auto" w:fill="auto"/>
            <w:noWrap/>
            <w:vAlign w:val="bottom"/>
            <w:hideMark/>
          </w:tcPr>
          <w:p w:rsidR="00052705" w:rsidRPr="00116FC1" w:rsidRDefault="00052705"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-34.249.836 </w:t>
            </w:r>
          </w:p>
        </w:tc>
      </w:tr>
      <w:tr w:rsidR="00052705" w:rsidRPr="00CC6CE6" w:rsidTr="0036160C">
        <w:trPr>
          <w:trHeight w:val="300"/>
        </w:trPr>
        <w:tc>
          <w:tcPr>
            <w:tcW w:w="2251" w:type="pct"/>
            <w:shd w:val="clear" w:color="auto" w:fill="auto"/>
            <w:noWrap/>
            <w:vAlign w:val="bottom"/>
            <w:hideMark/>
          </w:tcPr>
          <w:p w:rsidR="00052705" w:rsidRPr="00CC6CE6" w:rsidRDefault="00052705" w:rsidP="001F6A16">
            <w:pPr>
              <w:spacing w:line="240" w:lineRule="auto"/>
              <w:rPr>
                <w:rFonts w:ascii="Calibri" w:hAnsi="Calibri"/>
                <w:color w:val="000000"/>
                <w:sz w:val="18"/>
                <w:szCs w:val="18"/>
                <w:lang w:eastAsia="sl-SI"/>
              </w:rPr>
            </w:pPr>
            <w:r w:rsidRPr="00CC6CE6">
              <w:rPr>
                <w:rFonts w:ascii="Calibri" w:hAnsi="Calibri"/>
                <w:color w:val="000000"/>
                <w:sz w:val="18"/>
                <w:szCs w:val="18"/>
                <w:lang w:eastAsia="sl-SI"/>
              </w:rPr>
              <w:t>507-Nabavna vrednost opreme in drugih opredmetenih osnovnih sredstev</w:t>
            </w:r>
          </w:p>
        </w:tc>
        <w:tc>
          <w:tcPr>
            <w:tcW w:w="840" w:type="pct"/>
            <w:shd w:val="clear" w:color="auto" w:fill="auto"/>
            <w:noWrap/>
            <w:vAlign w:val="bottom"/>
            <w:hideMark/>
          </w:tcPr>
          <w:p w:rsidR="00052705" w:rsidRPr="00412299" w:rsidRDefault="00052705"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2.056.341.719 </w:t>
            </w:r>
          </w:p>
        </w:tc>
        <w:tc>
          <w:tcPr>
            <w:tcW w:w="841" w:type="pct"/>
            <w:shd w:val="clear" w:color="auto" w:fill="auto"/>
            <w:noWrap/>
            <w:vAlign w:val="bottom"/>
            <w:hideMark/>
          </w:tcPr>
          <w:p w:rsidR="00052705" w:rsidRPr="00CC6CE6" w:rsidRDefault="00052705" w:rsidP="001F6A16">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2.009.220.535 </w:t>
            </w:r>
          </w:p>
        </w:tc>
        <w:tc>
          <w:tcPr>
            <w:tcW w:w="382" w:type="pct"/>
            <w:shd w:val="clear" w:color="auto" w:fill="auto"/>
            <w:noWrap/>
            <w:vAlign w:val="bottom"/>
            <w:hideMark/>
          </w:tcPr>
          <w:p w:rsidR="00052705" w:rsidRPr="00412299" w:rsidRDefault="00052705" w:rsidP="00382B0F">
            <w:pPr>
              <w:spacing w:line="240" w:lineRule="auto"/>
              <w:jc w:val="right"/>
              <w:rPr>
                <w:rFonts w:ascii="Calibri" w:hAnsi="Calibri"/>
                <w:color w:val="000000"/>
                <w:sz w:val="18"/>
                <w:szCs w:val="18"/>
                <w:lang w:eastAsia="sl-SI"/>
              </w:rPr>
            </w:pPr>
            <w:r w:rsidRPr="00972554">
              <w:rPr>
                <w:rFonts w:ascii="Calibri" w:hAnsi="Calibri"/>
                <w:sz w:val="18"/>
                <w:szCs w:val="18"/>
              </w:rPr>
              <w:t>102,35</w:t>
            </w:r>
          </w:p>
        </w:tc>
        <w:tc>
          <w:tcPr>
            <w:tcW w:w="686" w:type="pct"/>
            <w:shd w:val="clear" w:color="auto" w:fill="auto"/>
            <w:noWrap/>
            <w:vAlign w:val="bottom"/>
            <w:hideMark/>
          </w:tcPr>
          <w:p w:rsidR="00052705" w:rsidRPr="00412299" w:rsidRDefault="00052705"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47.121.184 </w:t>
            </w:r>
          </w:p>
        </w:tc>
      </w:tr>
      <w:tr w:rsidR="00052705" w:rsidRPr="00CC6CE6" w:rsidTr="0036160C">
        <w:trPr>
          <w:trHeight w:val="300"/>
        </w:trPr>
        <w:tc>
          <w:tcPr>
            <w:tcW w:w="2251" w:type="pct"/>
            <w:shd w:val="clear" w:color="auto" w:fill="auto"/>
            <w:noWrap/>
            <w:vAlign w:val="bottom"/>
            <w:hideMark/>
          </w:tcPr>
          <w:p w:rsidR="00052705" w:rsidRPr="00CC6CE6" w:rsidRDefault="00052705" w:rsidP="001F6A16">
            <w:pPr>
              <w:spacing w:line="240" w:lineRule="auto"/>
              <w:rPr>
                <w:rFonts w:ascii="Calibri" w:hAnsi="Calibri"/>
                <w:color w:val="000000"/>
                <w:sz w:val="18"/>
                <w:szCs w:val="18"/>
                <w:lang w:eastAsia="sl-SI"/>
              </w:rPr>
            </w:pPr>
            <w:r w:rsidRPr="00CC6CE6">
              <w:rPr>
                <w:rFonts w:ascii="Calibri" w:hAnsi="Calibri"/>
                <w:color w:val="000000"/>
                <w:sz w:val="18"/>
                <w:szCs w:val="18"/>
                <w:lang w:eastAsia="sl-SI"/>
              </w:rPr>
              <w:t>508-Popravek vrednosti opreme in drugih opredmetenih osnovnih sredstev</w:t>
            </w:r>
          </w:p>
        </w:tc>
        <w:tc>
          <w:tcPr>
            <w:tcW w:w="840" w:type="pct"/>
            <w:shd w:val="clear" w:color="auto" w:fill="auto"/>
            <w:noWrap/>
            <w:vAlign w:val="bottom"/>
            <w:hideMark/>
          </w:tcPr>
          <w:p w:rsidR="00052705" w:rsidRPr="00412299" w:rsidRDefault="00052705"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1.526.830.196 </w:t>
            </w:r>
          </w:p>
        </w:tc>
        <w:tc>
          <w:tcPr>
            <w:tcW w:w="841" w:type="pct"/>
            <w:shd w:val="clear" w:color="auto" w:fill="auto"/>
            <w:noWrap/>
            <w:vAlign w:val="bottom"/>
            <w:hideMark/>
          </w:tcPr>
          <w:p w:rsidR="00052705" w:rsidRPr="00CC6CE6" w:rsidRDefault="00052705" w:rsidP="001F6A16">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1.445.459.176 </w:t>
            </w:r>
          </w:p>
        </w:tc>
        <w:tc>
          <w:tcPr>
            <w:tcW w:w="382" w:type="pct"/>
            <w:shd w:val="clear" w:color="auto" w:fill="auto"/>
            <w:noWrap/>
            <w:vAlign w:val="bottom"/>
            <w:hideMark/>
          </w:tcPr>
          <w:p w:rsidR="00052705" w:rsidRPr="00412299" w:rsidRDefault="00052705" w:rsidP="00382B0F">
            <w:pPr>
              <w:spacing w:line="240" w:lineRule="auto"/>
              <w:jc w:val="right"/>
              <w:rPr>
                <w:rFonts w:ascii="Calibri" w:hAnsi="Calibri"/>
                <w:color w:val="000000"/>
                <w:sz w:val="18"/>
                <w:szCs w:val="18"/>
                <w:lang w:eastAsia="sl-SI"/>
              </w:rPr>
            </w:pPr>
            <w:r w:rsidRPr="00972554">
              <w:rPr>
                <w:rFonts w:ascii="Calibri" w:hAnsi="Calibri"/>
                <w:sz w:val="18"/>
                <w:szCs w:val="18"/>
              </w:rPr>
              <w:t>105,63</w:t>
            </w:r>
          </w:p>
        </w:tc>
        <w:tc>
          <w:tcPr>
            <w:tcW w:w="686" w:type="pct"/>
            <w:shd w:val="clear" w:color="auto" w:fill="auto"/>
            <w:noWrap/>
            <w:vAlign w:val="bottom"/>
            <w:hideMark/>
          </w:tcPr>
          <w:p w:rsidR="00052705" w:rsidRPr="00412299" w:rsidRDefault="00052705"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81.371.020 </w:t>
            </w:r>
          </w:p>
        </w:tc>
      </w:tr>
      <w:tr w:rsidR="00052705" w:rsidRPr="00CC6CE6" w:rsidTr="0036160C">
        <w:trPr>
          <w:trHeight w:val="300"/>
        </w:trPr>
        <w:tc>
          <w:tcPr>
            <w:tcW w:w="2251" w:type="pct"/>
            <w:shd w:val="clear" w:color="auto" w:fill="auto"/>
            <w:noWrap/>
            <w:vAlign w:val="bottom"/>
            <w:hideMark/>
          </w:tcPr>
          <w:p w:rsidR="00052705" w:rsidRPr="00CC6CE6" w:rsidRDefault="00052705" w:rsidP="001F6A16">
            <w:pPr>
              <w:spacing w:line="240" w:lineRule="auto"/>
              <w:rPr>
                <w:rFonts w:ascii="Calibri" w:hAnsi="Calibri"/>
                <w:color w:val="000000"/>
                <w:sz w:val="18"/>
                <w:szCs w:val="18"/>
                <w:lang w:eastAsia="sl-SI"/>
              </w:rPr>
            </w:pPr>
            <w:r w:rsidRPr="00CC6CE6">
              <w:rPr>
                <w:rFonts w:ascii="Calibri" w:hAnsi="Calibri"/>
                <w:color w:val="000000"/>
                <w:sz w:val="18"/>
                <w:szCs w:val="18"/>
                <w:lang w:eastAsia="sl-SI"/>
              </w:rPr>
              <w:t>509-Terjatve za sredstva dana v upravljanje</w:t>
            </w:r>
          </w:p>
        </w:tc>
        <w:tc>
          <w:tcPr>
            <w:tcW w:w="840" w:type="pct"/>
            <w:shd w:val="clear" w:color="auto" w:fill="auto"/>
            <w:noWrap/>
            <w:vAlign w:val="bottom"/>
            <w:hideMark/>
          </w:tcPr>
          <w:p w:rsidR="00052705" w:rsidRPr="00412299" w:rsidRDefault="00052705"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29.218.769 </w:t>
            </w:r>
          </w:p>
        </w:tc>
        <w:tc>
          <w:tcPr>
            <w:tcW w:w="841" w:type="pct"/>
            <w:shd w:val="clear" w:color="auto" w:fill="auto"/>
            <w:noWrap/>
            <w:vAlign w:val="bottom"/>
            <w:hideMark/>
          </w:tcPr>
          <w:p w:rsidR="00052705" w:rsidRPr="00CC6CE6" w:rsidRDefault="00052705" w:rsidP="001F6A16">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30.954.093 </w:t>
            </w:r>
          </w:p>
        </w:tc>
        <w:tc>
          <w:tcPr>
            <w:tcW w:w="382" w:type="pct"/>
            <w:shd w:val="clear" w:color="auto" w:fill="auto"/>
            <w:noWrap/>
            <w:vAlign w:val="bottom"/>
            <w:hideMark/>
          </w:tcPr>
          <w:p w:rsidR="00052705" w:rsidRPr="00412299" w:rsidRDefault="00052705" w:rsidP="00382B0F">
            <w:pPr>
              <w:spacing w:line="240" w:lineRule="auto"/>
              <w:jc w:val="right"/>
              <w:rPr>
                <w:rFonts w:ascii="Calibri" w:hAnsi="Calibri"/>
                <w:color w:val="000000"/>
                <w:sz w:val="18"/>
                <w:szCs w:val="18"/>
                <w:lang w:eastAsia="sl-SI"/>
              </w:rPr>
            </w:pPr>
            <w:r w:rsidRPr="00972554">
              <w:rPr>
                <w:rFonts w:ascii="Calibri" w:hAnsi="Calibri"/>
                <w:sz w:val="18"/>
                <w:szCs w:val="18"/>
              </w:rPr>
              <w:t>94,39</w:t>
            </w:r>
          </w:p>
        </w:tc>
        <w:tc>
          <w:tcPr>
            <w:tcW w:w="686" w:type="pct"/>
            <w:shd w:val="clear" w:color="auto" w:fill="auto"/>
            <w:noWrap/>
            <w:vAlign w:val="bottom"/>
            <w:hideMark/>
          </w:tcPr>
          <w:p w:rsidR="00052705" w:rsidRPr="00412299" w:rsidRDefault="00052705"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-1.735.324 </w:t>
            </w:r>
          </w:p>
        </w:tc>
      </w:tr>
      <w:tr w:rsidR="00052705" w:rsidRPr="00CC6CE6" w:rsidTr="0036160C">
        <w:trPr>
          <w:trHeight w:val="300"/>
        </w:trPr>
        <w:tc>
          <w:tcPr>
            <w:tcW w:w="2251" w:type="pct"/>
            <w:shd w:val="clear" w:color="auto" w:fill="auto"/>
            <w:noWrap/>
            <w:vAlign w:val="bottom"/>
            <w:hideMark/>
          </w:tcPr>
          <w:p w:rsidR="00052705" w:rsidRPr="00CC6CE6" w:rsidRDefault="00052705" w:rsidP="001F6A16">
            <w:pPr>
              <w:spacing w:line="240" w:lineRule="auto"/>
              <w:rPr>
                <w:rFonts w:ascii="Calibri" w:hAnsi="Calibri"/>
                <w:color w:val="000000"/>
                <w:sz w:val="18"/>
                <w:szCs w:val="18"/>
                <w:lang w:eastAsia="sl-SI"/>
              </w:rPr>
            </w:pPr>
            <w:r w:rsidRPr="00CC6CE6">
              <w:rPr>
                <w:rFonts w:ascii="Calibri" w:hAnsi="Calibri"/>
                <w:color w:val="000000"/>
                <w:sz w:val="18"/>
                <w:szCs w:val="18"/>
                <w:lang w:eastAsia="sl-SI"/>
              </w:rPr>
              <w:t>510-Terjatve za sredstva dana v upravljanje drugim v lasti države</w:t>
            </w:r>
          </w:p>
        </w:tc>
        <w:tc>
          <w:tcPr>
            <w:tcW w:w="840" w:type="pct"/>
            <w:shd w:val="clear" w:color="auto" w:fill="auto"/>
            <w:noWrap/>
            <w:vAlign w:val="bottom"/>
            <w:hideMark/>
          </w:tcPr>
          <w:p w:rsidR="00052705" w:rsidRPr="00412299" w:rsidRDefault="00052705"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2.651.378 </w:t>
            </w:r>
          </w:p>
        </w:tc>
        <w:tc>
          <w:tcPr>
            <w:tcW w:w="841" w:type="pct"/>
            <w:shd w:val="clear" w:color="auto" w:fill="auto"/>
            <w:noWrap/>
            <w:vAlign w:val="bottom"/>
            <w:hideMark/>
          </w:tcPr>
          <w:p w:rsidR="00052705" w:rsidRPr="00CC6CE6" w:rsidRDefault="00052705" w:rsidP="001F6A16">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3.763.192 </w:t>
            </w:r>
          </w:p>
        </w:tc>
        <w:tc>
          <w:tcPr>
            <w:tcW w:w="382" w:type="pct"/>
            <w:shd w:val="clear" w:color="auto" w:fill="auto"/>
            <w:noWrap/>
            <w:vAlign w:val="bottom"/>
            <w:hideMark/>
          </w:tcPr>
          <w:p w:rsidR="00052705" w:rsidRPr="00412299" w:rsidRDefault="00052705" w:rsidP="00382B0F">
            <w:pPr>
              <w:spacing w:line="240" w:lineRule="auto"/>
              <w:jc w:val="right"/>
              <w:rPr>
                <w:rFonts w:ascii="Calibri" w:hAnsi="Calibri"/>
                <w:color w:val="000000"/>
                <w:sz w:val="18"/>
                <w:szCs w:val="18"/>
                <w:lang w:eastAsia="sl-SI"/>
              </w:rPr>
            </w:pPr>
            <w:r w:rsidRPr="00972554">
              <w:rPr>
                <w:rFonts w:ascii="Calibri" w:hAnsi="Calibri"/>
                <w:sz w:val="18"/>
                <w:szCs w:val="18"/>
              </w:rPr>
              <w:t>70,46</w:t>
            </w:r>
          </w:p>
        </w:tc>
        <w:tc>
          <w:tcPr>
            <w:tcW w:w="686" w:type="pct"/>
            <w:shd w:val="clear" w:color="auto" w:fill="auto"/>
            <w:noWrap/>
            <w:vAlign w:val="bottom"/>
            <w:hideMark/>
          </w:tcPr>
          <w:p w:rsidR="00052705" w:rsidRPr="00412299" w:rsidRDefault="00052705"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-1.111.814 </w:t>
            </w:r>
          </w:p>
        </w:tc>
      </w:tr>
      <w:tr w:rsidR="00052705" w:rsidRPr="00CC6CE6" w:rsidTr="0036160C">
        <w:trPr>
          <w:trHeight w:val="300"/>
        </w:trPr>
        <w:tc>
          <w:tcPr>
            <w:tcW w:w="2251" w:type="pct"/>
            <w:shd w:val="clear" w:color="auto" w:fill="auto"/>
            <w:noWrap/>
            <w:vAlign w:val="bottom"/>
            <w:hideMark/>
          </w:tcPr>
          <w:p w:rsidR="00052705" w:rsidRPr="00CC6CE6" w:rsidRDefault="00052705" w:rsidP="001F6A16">
            <w:pPr>
              <w:spacing w:line="240" w:lineRule="auto"/>
              <w:rPr>
                <w:rFonts w:ascii="Calibri" w:hAnsi="Calibri"/>
                <w:color w:val="000000"/>
                <w:sz w:val="18"/>
                <w:szCs w:val="18"/>
                <w:lang w:eastAsia="sl-SI"/>
              </w:rPr>
            </w:pPr>
            <w:r w:rsidRPr="00CC6CE6">
              <w:rPr>
                <w:rFonts w:ascii="Calibri" w:hAnsi="Calibri"/>
                <w:color w:val="000000"/>
                <w:sz w:val="18"/>
                <w:szCs w:val="18"/>
                <w:lang w:eastAsia="sl-SI"/>
              </w:rPr>
              <w:t>511-Terjatve za sredstva dana v upravljanje drugim v lasti občine</w:t>
            </w:r>
          </w:p>
        </w:tc>
        <w:tc>
          <w:tcPr>
            <w:tcW w:w="840" w:type="pct"/>
            <w:shd w:val="clear" w:color="auto" w:fill="auto"/>
            <w:noWrap/>
            <w:vAlign w:val="bottom"/>
            <w:hideMark/>
          </w:tcPr>
          <w:p w:rsidR="00052705" w:rsidRPr="00412299" w:rsidRDefault="00052705"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26.567.391 </w:t>
            </w:r>
          </w:p>
        </w:tc>
        <w:tc>
          <w:tcPr>
            <w:tcW w:w="841" w:type="pct"/>
            <w:shd w:val="clear" w:color="auto" w:fill="auto"/>
            <w:noWrap/>
            <w:vAlign w:val="bottom"/>
            <w:hideMark/>
          </w:tcPr>
          <w:p w:rsidR="00052705" w:rsidRPr="00CC6CE6" w:rsidRDefault="00052705" w:rsidP="001F6A16">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27.190.901 </w:t>
            </w:r>
          </w:p>
        </w:tc>
        <w:tc>
          <w:tcPr>
            <w:tcW w:w="382" w:type="pct"/>
            <w:shd w:val="clear" w:color="auto" w:fill="auto"/>
            <w:noWrap/>
            <w:vAlign w:val="bottom"/>
            <w:hideMark/>
          </w:tcPr>
          <w:p w:rsidR="00052705" w:rsidRPr="00412299" w:rsidRDefault="00052705" w:rsidP="00382B0F">
            <w:pPr>
              <w:spacing w:line="240" w:lineRule="auto"/>
              <w:jc w:val="right"/>
              <w:rPr>
                <w:rFonts w:ascii="Calibri" w:hAnsi="Calibri"/>
                <w:color w:val="000000"/>
                <w:sz w:val="18"/>
                <w:szCs w:val="18"/>
                <w:lang w:eastAsia="sl-SI"/>
              </w:rPr>
            </w:pPr>
            <w:r w:rsidRPr="00972554">
              <w:rPr>
                <w:rFonts w:ascii="Calibri" w:hAnsi="Calibri"/>
                <w:sz w:val="18"/>
                <w:szCs w:val="18"/>
              </w:rPr>
              <w:t>97,71</w:t>
            </w:r>
          </w:p>
        </w:tc>
        <w:tc>
          <w:tcPr>
            <w:tcW w:w="686" w:type="pct"/>
            <w:shd w:val="clear" w:color="auto" w:fill="auto"/>
            <w:noWrap/>
            <w:vAlign w:val="bottom"/>
            <w:hideMark/>
          </w:tcPr>
          <w:p w:rsidR="00052705" w:rsidRPr="00412299" w:rsidRDefault="00052705"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-623.510 </w:t>
            </w:r>
          </w:p>
        </w:tc>
      </w:tr>
      <w:tr w:rsidR="00052705" w:rsidRPr="00CC6CE6" w:rsidTr="0036160C">
        <w:trPr>
          <w:trHeight w:val="300"/>
        </w:trPr>
        <w:tc>
          <w:tcPr>
            <w:tcW w:w="2251" w:type="pct"/>
            <w:shd w:val="clear" w:color="auto" w:fill="auto"/>
            <w:noWrap/>
            <w:vAlign w:val="bottom"/>
            <w:hideMark/>
          </w:tcPr>
          <w:p w:rsidR="00052705" w:rsidRPr="00CC6CE6" w:rsidRDefault="00052705" w:rsidP="001F6A16">
            <w:pPr>
              <w:spacing w:line="240" w:lineRule="auto"/>
              <w:rPr>
                <w:rFonts w:ascii="Calibri" w:hAnsi="Calibri"/>
                <w:color w:val="000000"/>
                <w:sz w:val="18"/>
                <w:szCs w:val="18"/>
                <w:lang w:eastAsia="sl-SI"/>
              </w:rPr>
            </w:pPr>
            <w:r w:rsidRPr="00CC6CE6">
              <w:rPr>
                <w:rFonts w:ascii="Calibri" w:hAnsi="Calibri"/>
                <w:color w:val="000000"/>
                <w:sz w:val="18"/>
                <w:szCs w:val="18"/>
                <w:lang w:eastAsia="sl-SI"/>
              </w:rPr>
              <w:t>512-Zaloge</w:t>
            </w:r>
          </w:p>
        </w:tc>
        <w:tc>
          <w:tcPr>
            <w:tcW w:w="840" w:type="pct"/>
            <w:shd w:val="clear" w:color="auto" w:fill="auto"/>
            <w:noWrap/>
            <w:vAlign w:val="bottom"/>
            <w:hideMark/>
          </w:tcPr>
          <w:p w:rsidR="00052705" w:rsidRPr="00412299" w:rsidRDefault="00052705"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55.286.621 </w:t>
            </w:r>
          </w:p>
        </w:tc>
        <w:tc>
          <w:tcPr>
            <w:tcW w:w="841" w:type="pct"/>
            <w:shd w:val="clear" w:color="auto" w:fill="auto"/>
            <w:noWrap/>
            <w:vAlign w:val="bottom"/>
            <w:hideMark/>
          </w:tcPr>
          <w:p w:rsidR="00052705" w:rsidRPr="00CC6CE6" w:rsidRDefault="00052705" w:rsidP="001F6A16">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54.250.264 </w:t>
            </w:r>
          </w:p>
        </w:tc>
        <w:tc>
          <w:tcPr>
            <w:tcW w:w="382" w:type="pct"/>
            <w:shd w:val="clear" w:color="auto" w:fill="auto"/>
            <w:noWrap/>
            <w:vAlign w:val="bottom"/>
            <w:hideMark/>
          </w:tcPr>
          <w:p w:rsidR="00052705" w:rsidRPr="00412299" w:rsidRDefault="00052705" w:rsidP="00382B0F">
            <w:pPr>
              <w:spacing w:line="240" w:lineRule="auto"/>
              <w:jc w:val="right"/>
              <w:rPr>
                <w:rFonts w:ascii="Calibri" w:hAnsi="Calibri"/>
                <w:color w:val="000000"/>
                <w:sz w:val="18"/>
                <w:szCs w:val="18"/>
                <w:lang w:eastAsia="sl-SI"/>
              </w:rPr>
            </w:pPr>
            <w:r w:rsidRPr="00972554">
              <w:rPr>
                <w:rFonts w:ascii="Calibri" w:hAnsi="Calibri"/>
                <w:sz w:val="18"/>
                <w:szCs w:val="18"/>
              </w:rPr>
              <w:t>101,91</w:t>
            </w:r>
          </w:p>
        </w:tc>
        <w:tc>
          <w:tcPr>
            <w:tcW w:w="686" w:type="pct"/>
            <w:shd w:val="clear" w:color="auto" w:fill="auto"/>
            <w:noWrap/>
            <w:vAlign w:val="bottom"/>
            <w:hideMark/>
          </w:tcPr>
          <w:p w:rsidR="00052705" w:rsidRPr="00412299" w:rsidRDefault="00052705"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1.036.357 </w:t>
            </w:r>
          </w:p>
        </w:tc>
      </w:tr>
      <w:tr w:rsidR="00052705" w:rsidRPr="00CC6CE6" w:rsidTr="0036160C">
        <w:trPr>
          <w:trHeight w:val="300"/>
        </w:trPr>
        <w:tc>
          <w:tcPr>
            <w:tcW w:w="2251" w:type="pct"/>
            <w:shd w:val="clear" w:color="auto" w:fill="auto"/>
            <w:noWrap/>
            <w:vAlign w:val="bottom"/>
            <w:hideMark/>
          </w:tcPr>
          <w:p w:rsidR="00052705" w:rsidRPr="00CC6CE6" w:rsidRDefault="00052705" w:rsidP="001F6A16">
            <w:pPr>
              <w:spacing w:line="240" w:lineRule="auto"/>
              <w:rPr>
                <w:rFonts w:ascii="Calibri" w:hAnsi="Calibri"/>
                <w:color w:val="000000"/>
                <w:sz w:val="18"/>
                <w:szCs w:val="18"/>
                <w:lang w:eastAsia="sl-SI"/>
              </w:rPr>
            </w:pPr>
            <w:r w:rsidRPr="00CC6CE6">
              <w:rPr>
                <w:rFonts w:ascii="Calibri" w:hAnsi="Calibri"/>
                <w:color w:val="000000"/>
                <w:sz w:val="18"/>
                <w:szCs w:val="18"/>
                <w:lang w:eastAsia="sl-SI"/>
              </w:rPr>
              <w:t>513-Dolgoročne finančne naložbe</w:t>
            </w:r>
          </w:p>
        </w:tc>
        <w:tc>
          <w:tcPr>
            <w:tcW w:w="840" w:type="pct"/>
            <w:shd w:val="clear" w:color="auto" w:fill="auto"/>
            <w:noWrap/>
            <w:vAlign w:val="bottom"/>
            <w:hideMark/>
          </w:tcPr>
          <w:p w:rsidR="00052705" w:rsidRPr="00412299" w:rsidRDefault="00052705"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579.397.436 </w:t>
            </w:r>
          </w:p>
        </w:tc>
        <w:tc>
          <w:tcPr>
            <w:tcW w:w="841" w:type="pct"/>
            <w:shd w:val="clear" w:color="auto" w:fill="auto"/>
            <w:noWrap/>
            <w:vAlign w:val="bottom"/>
            <w:hideMark/>
          </w:tcPr>
          <w:p w:rsidR="00052705" w:rsidRPr="00CC6CE6" w:rsidRDefault="00052705" w:rsidP="001F6A16">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577.051.563 </w:t>
            </w:r>
          </w:p>
        </w:tc>
        <w:tc>
          <w:tcPr>
            <w:tcW w:w="382" w:type="pct"/>
            <w:shd w:val="clear" w:color="auto" w:fill="auto"/>
            <w:noWrap/>
            <w:vAlign w:val="bottom"/>
            <w:hideMark/>
          </w:tcPr>
          <w:p w:rsidR="00052705" w:rsidRPr="00412299" w:rsidRDefault="00052705" w:rsidP="00382B0F">
            <w:pPr>
              <w:spacing w:line="240" w:lineRule="auto"/>
              <w:jc w:val="right"/>
              <w:rPr>
                <w:rFonts w:ascii="Calibri" w:hAnsi="Calibri"/>
                <w:color w:val="000000"/>
                <w:sz w:val="18"/>
                <w:szCs w:val="18"/>
                <w:lang w:eastAsia="sl-SI"/>
              </w:rPr>
            </w:pPr>
            <w:r w:rsidRPr="00972554">
              <w:rPr>
                <w:rFonts w:ascii="Calibri" w:hAnsi="Calibri"/>
                <w:sz w:val="18"/>
                <w:szCs w:val="18"/>
              </w:rPr>
              <w:t>100,41</w:t>
            </w:r>
          </w:p>
        </w:tc>
        <w:tc>
          <w:tcPr>
            <w:tcW w:w="686" w:type="pct"/>
            <w:shd w:val="clear" w:color="auto" w:fill="auto"/>
            <w:noWrap/>
            <w:vAlign w:val="bottom"/>
            <w:hideMark/>
          </w:tcPr>
          <w:p w:rsidR="00052705" w:rsidRPr="00412299" w:rsidRDefault="00052705"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2.345.873 </w:t>
            </w:r>
          </w:p>
        </w:tc>
      </w:tr>
      <w:tr w:rsidR="00052705" w:rsidRPr="00CC6CE6" w:rsidTr="0036160C">
        <w:trPr>
          <w:trHeight w:val="300"/>
        </w:trPr>
        <w:tc>
          <w:tcPr>
            <w:tcW w:w="2251" w:type="pct"/>
            <w:shd w:val="clear" w:color="auto" w:fill="auto"/>
            <w:noWrap/>
            <w:vAlign w:val="bottom"/>
            <w:hideMark/>
          </w:tcPr>
          <w:p w:rsidR="00052705" w:rsidRPr="00CC6CE6" w:rsidRDefault="00052705" w:rsidP="001F6A16">
            <w:pPr>
              <w:spacing w:line="240" w:lineRule="auto"/>
              <w:rPr>
                <w:rFonts w:ascii="Calibri" w:hAnsi="Calibri"/>
                <w:color w:val="000000"/>
                <w:sz w:val="18"/>
                <w:szCs w:val="18"/>
                <w:lang w:eastAsia="sl-SI"/>
              </w:rPr>
            </w:pPr>
            <w:r w:rsidRPr="00CC6CE6">
              <w:rPr>
                <w:rFonts w:ascii="Calibri" w:hAnsi="Calibri"/>
                <w:color w:val="000000"/>
                <w:sz w:val="18"/>
                <w:szCs w:val="18"/>
                <w:lang w:eastAsia="sl-SI"/>
              </w:rPr>
              <w:t>514-Dolgoročno dana posojila in depoziti</w:t>
            </w:r>
          </w:p>
        </w:tc>
        <w:tc>
          <w:tcPr>
            <w:tcW w:w="840" w:type="pct"/>
            <w:shd w:val="clear" w:color="auto" w:fill="auto"/>
            <w:noWrap/>
            <w:vAlign w:val="bottom"/>
            <w:hideMark/>
          </w:tcPr>
          <w:p w:rsidR="00052705" w:rsidRPr="00412299" w:rsidRDefault="00052705"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12.112.320 </w:t>
            </w:r>
          </w:p>
        </w:tc>
        <w:tc>
          <w:tcPr>
            <w:tcW w:w="841" w:type="pct"/>
            <w:shd w:val="clear" w:color="auto" w:fill="auto"/>
            <w:noWrap/>
            <w:vAlign w:val="bottom"/>
            <w:hideMark/>
          </w:tcPr>
          <w:p w:rsidR="00052705" w:rsidRPr="00CC6CE6" w:rsidRDefault="00052705" w:rsidP="001F6A16">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12.521.053 </w:t>
            </w:r>
          </w:p>
        </w:tc>
        <w:tc>
          <w:tcPr>
            <w:tcW w:w="382" w:type="pct"/>
            <w:shd w:val="clear" w:color="auto" w:fill="auto"/>
            <w:noWrap/>
            <w:vAlign w:val="bottom"/>
            <w:hideMark/>
          </w:tcPr>
          <w:p w:rsidR="00052705" w:rsidRPr="00412299" w:rsidRDefault="00052705" w:rsidP="00382B0F">
            <w:pPr>
              <w:spacing w:line="240" w:lineRule="auto"/>
              <w:jc w:val="right"/>
              <w:rPr>
                <w:rFonts w:ascii="Calibri" w:hAnsi="Calibri"/>
                <w:color w:val="000000"/>
                <w:sz w:val="18"/>
                <w:szCs w:val="18"/>
                <w:lang w:eastAsia="sl-SI"/>
              </w:rPr>
            </w:pPr>
            <w:r w:rsidRPr="00972554">
              <w:rPr>
                <w:rFonts w:ascii="Calibri" w:hAnsi="Calibri"/>
                <w:sz w:val="18"/>
                <w:szCs w:val="18"/>
              </w:rPr>
              <w:t>96,74</w:t>
            </w:r>
          </w:p>
        </w:tc>
        <w:tc>
          <w:tcPr>
            <w:tcW w:w="686" w:type="pct"/>
            <w:shd w:val="clear" w:color="auto" w:fill="auto"/>
            <w:noWrap/>
            <w:vAlign w:val="bottom"/>
            <w:hideMark/>
          </w:tcPr>
          <w:p w:rsidR="00052705" w:rsidRPr="00412299" w:rsidRDefault="00052705"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-408.733 </w:t>
            </w:r>
          </w:p>
        </w:tc>
      </w:tr>
      <w:tr w:rsidR="00052705" w:rsidRPr="00CC6CE6" w:rsidTr="0036160C">
        <w:trPr>
          <w:trHeight w:val="300"/>
        </w:trPr>
        <w:tc>
          <w:tcPr>
            <w:tcW w:w="2251" w:type="pct"/>
            <w:shd w:val="clear" w:color="auto" w:fill="auto"/>
            <w:noWrap/>
            <w:vAlign w:val="bottom"/>
            <w:hideMark/>
          </w:tcPr>
          <w:p w:rsidR="00052705" w:rsidRPr="00CC6CE6" w:rsidRDefault="00052705" w:rsidP="001F6A16">
            <w:pPr>
              <w:spacing w:line="240" w:lineRule="auto"/>
              <w:rPr>
                <w:rFonts w:ascii="Calibri" w:hAnsi="Calibri"/>
                <w:color w:val="000000"/>
                <w:sz w:val="18"/>
                <w:szCs w:val="18"/>
                <w:lang w:eastAsia="sl-SI"/>
              </w:rPr>
            </w:pPr>
            <w:r w:rsidRPr="00CC6CE6">
              <w:rPr>
                <w:rFonts w:ascii="Calibri" w:hAnsi="Calibri"/>
                <w:color w:val="000000"/>
                <w:sz w:val="18"/>
                <w:szCs w:val="18"/>
                <w:lang w:eastAsia="sl-SI"/>
              </w:rPr>
              <w:t>515-Dolgoročne terjatve iz poslovanja</w:t>
            </w:r>
          </w:p>
        </w:tc>
        <w:tc>
          <w:tcPr>
            <w:tcW w:w="840" w:type="pct"/>
            <w:shd w:val="clear" w:color="auto" w:fill="auto"/>
            <w:noWrap/>
            <w:vAlign w:val="bottom"/>
            <w:hideMark/>
          </w:tcPr>
          <w:p w:rsidR="00052705" w:rsidRPr="00412299" w:rsidRDefault="00052705"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77.469.473 </w:t>
            </w:r>
          </w:p>
        </w:tc>
        <w:tc>
          <w:tcPr>
            <w:tcW w:w="841" w:type="pct"/>
            <w:shd w:val="clear" w:color="auto" w:fill="auto"/>
            <w:noWrap/>
            <w:vAlign w:val="bottom"/>
            <w:hideMark/>
          </w:tcPr>
          <w:p w:rsidR="00052705" w:rsidRPr="00CC6CE6" w:rsidRDefault="00052705" w:rsidP="001F6A16">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93.854.984 </w:t>
            </w:r>
          </w:p>
        </w:tc>
        <w:tc>
          <w:tcPr>
            <w:tcW w:w="382" w:type="pct"/>
            <w:shd w:val="clear" w:color="auto" w:fill="auto"/>
            <w:noWrap/>
            <w:vAlign w:val="bottom"/>
            <w:hideMark/>
          </w:tcPr>
          <w:p w:rsidR="00052705" w:rsidRPr="00412299" w:rsidRDefault="00052705" w:rsidP="00382B0F">
            <w:pPr>
              <w:spacing w:line="240" w:lineRule="auto"/>
              <w:jc w:val="right"/>
              <w:rPr>
                <w:rFonts w:ascii="Calibri" w:hAnsi="Calibri"/>
                <w:color w:val="000000"/>
                <w:sz w:val="18"/>
                <w:szCs w:val="18"/>
                <w:lang w:eastAsia="sl-SI"/>
              </w:rPr>
            </w:pPr>
            <w:r w:rsidRPr="00972554">
              <w:rPr>
                <w:rFonts w:ascii="Calibri" w:hAnsi="Calibri"/>
                <w:sz w:val="18"/>
                <w:szCs w:val="18"/>
              </w:rPr>
              <w:t>82,54</w:t>
            </w:r>
          </w:p>
        </w:tc>
        <w:tc>
          <w:tcPr>
            <w:tcW w:w="686" w:type="pct"/>
            <w:shd w:val="clear" w:color="auto" w:fill="auto"/>
            <w:noWrap/>
            <w:vAlign w:val="bottom"/>
            <w:hideMark/>
          </w:tcPr>
          <w:p w:rsidR="00052705" w:rsidRPr="00412299" w:rsidRDefault="00052705"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-16.385.511 </w:t>
            </w:r>
          </w:p>
        </w:tc>
      </w:tr>
      <w:tr w:rsidR="00052705" w:rsidRPr="00CC6CE6" w:rsidTr="0036160C">
        <w:trPr>
          <w:trHeight w:val="300"/>
        </w:trPr>
        <w:tc>
          <w:tcPr>
            <w:tcW w:w="2251" w:type="pct"/>
            <w:shd w:val="clear" w:color="auto" w:fill="auto"/>
            <w:noWrap/>
            <w:vAlign w:val="bottom"/>
            <w:hideMark/>
          </w:tcPr>
          <w:p w:rsidR="00052705" w:rsidRPr="00CC6CE6" w:rsidRDefault="00052705" w:rsidP="001F6A16">
            <w:pPr>
              <w:spacing w:line="240" w:lineRule="auto"/>
              <w:rPr>
                <w:rFonts w:ascii="Calibri" w:hAnsi="Calibri"/>
                <w:color w:val="000000"/>
                <w:sz w:val="18"/>
                <w:szCs w:val="18"/>
                <w:lang w:eastAsia="sl-SI"/>
              </w:rPr>
            </w:pPr>
            <w:r w:rsidRPr="00CC6CE6">
              <w:rPr>
                <w:rFonts w:ascii="Calibri" w:hAnsi="Calibri"/>
                <w:color w:val="000000"/>
                <w:sz w:val="18"/>
                <w:szCs w:val="18"/>
                <w:lang w:eastAsia="sl-SI"/>
              </w:rPr>
              <w:t>516-Denarna sredstva</w:t>
            </w:r>
          </w:p>
        </w:tc>
        <w:tc>
          <w:tcPr>
            <w:tcW w:w="840" w:type="pct"/>
            <w:shd w:val="clear" w:color="auto" w:fill="auto"/>
            <w:noWrap/>
            <w:vAlign w:val="bottom"/>
            <w:hideMark/>
          </w:tcPr>
          <w:p w:rsidR="00052705" w:rsidRPr="00412299" w:rsidRDefault="00052705"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283.714.147 </w:t>
            </w:r>
          </w:p>
        </w:tc>
        <w:tc>
          <w:tcPr>
            <w:tcW w:w="841" w:type="pct"/>
            <w:shd w:val="clear" w:color="auto" w:fill="auto"/>
            <w:noWrap/>
            <w:vAlign w:val="bottom"/>
            <w:hideMark/>
          </w:tcPr>
          <w:p w:rsidR="00052705" w:rsidRPr="00CC6CE6" w:rsidRDefault="00052705" w:rsidP="001F6A16">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311.131.259 </w:t>
            </w:r>
          </w:p>
        </w:tc>
        <w:tc>
          <w:tcPr>
            <w:tcW w:w="382" w:type="pct"/>
            <w:shd w:val="clear" w:color="auto" w:fill="auto"/>
            <w:noWrap/>
            <w:vAlign w:val="bottom"/>
            <w:hideMark/>
          </w:tcPr>
          <w:p w:rsidR="00052705" w:rsidRPr="00412299" w:rsidRDefault="00052705" w:rsidP="00382B0F">
            <w:pPr>
              <w:spacing w:line="240" w:lineRule="auto"/>
              <w:jc w:val="right"/>
              <w:rPr>
                <w:rFonts w:ascii="Calibri" w:hAnsi="Calibri"/>
                <w:color w:val="000000"/>
                <w:sz w:val="18"/>
                <w:szCs w:val="18"/>
                <w:lang w:eastAsia="sl-SI"/>
              </w:rPr>
            </w:pPr>
            <w:r w:rsidRPr="00972554">
              <w:rPr>
                <w:rFonts w:ascii="Calibri" w:hAnsi="Calibri"/>
                <w:sz w:val="18"/>
                <w:szCs w:val="18"/>
              </w:rPr>
              <w:t>91,19</w:t>
            </w:r>
          </w:p>
        </w:tc>
        <w:tc>
          <w:tcPr>
            <w:tcW w:w="686" w:type="pct"/>
            <w:shd w:val="clear" w:color="auto" w:fill="auto"/>
            <w:noWrap/>
            <w:vAlign w:val="bottom"/>
            <w:hideMark/>
          </w:tcPr>
          <w:p w:rsidR="00052705" w:rsidRPr="00412299" w:rsidRDefault="00052705"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-27.417.112 </w:t>
            </w:r>
          </w:p>
        </w:tc>
      </w:tr>
      <w:tr w:rsidR="00052705" w:rsidRPr="00CC6CE6" w:rsidTr="0036160C">
        <w:trPr>
          <w:trHeight w:val="300"/>
        </w:trPr>
        <w:tc>
          <w:tcPr>
            <w:tcW w:w="2251" w:type="pct"/>
            <w:shd w:val="clear" w:color="auto" w:fill="auto"/>
            <w:noWrap/>
            <w:vAlign w:val="bottom"/>
            <w:hideMark/>
          </w:tcPr>
          <w:p w:rsidR="00052705" w:rsidRPr="00CC6CE6" w:rsidRDefault="00052705" w:rsidP="001F6A16">
            <w:pPr>
              <w:spacing w:line="240" w:lineRule="auto"/>
              <w:rPr>
                <w:rFonts w:ascii="Calibri" w:hAnsi="Calibri"/>
                <w:color w:val="000000"/>
                <w:sz w:val="18"/>
                <w:szCs w:val="18"/>
                <w:lang w:eastAsia="sl-SI"/>
              </w:rPr>
            </w:pPr>
            <w:r w:rsidRPr="00CC6CE6">
              <w:rPr>
                <w:rFonts w:ascii="Calibri" w:hAnsi="Calibri"/>
                <w:color w:val="000000"/>
                <w:sz w:val="18"/>
                <w:szCs w:val="18"/>
                <w:lang w:eastAsia="sl-SI"/>
              </w:rPr>
              <w:t>517-Kratkoročne terjatve</w:t>
            </w:r>
          </w:p>
        </w:tc>
        <w:tc>
          <w:tcPr>
            <w:tcW w:w="840" w:type="pct"/>
            <w:shd w:val="clear" w:color="auto" w:fill="auto"/>
            <w:noWrap/>
            <w:vAlign w:val="bottom"/>
            <w:hideMark/>
          </w:tcPr>
          <w:p w:rsidR="00052705" w:rsidRPr="00412299" w:rsidRDefault="00052705"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532.487.968 </w:t>
            </w:r>
          </w:p>
        </w:tc>
        <w:tc>
          <w:tcPr>
            <w:tcW w:w="841" w:type="pct"/>
            <w:shd w:val="clear" w:color="auto" w:fill="auto"/>
            <w:noWrap/>
            <w:vAlign w:val="bottom"/>
            <w:hideMark/>
          </w:tcPr>
          <w:p w:rsidR="00052705" w:rsidRPr="00CC6CE6" w:rsidRDefault="00052705" w:rsidP="001F6A16">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583.280.038 </w:t>
            </w:r>
          </w:p>
        </w:tc>
        <w:tc>
          <w:tcPr>
            <w:tcW w:w="382" w:type="pct"/>
            <w:shd w:val="clear" w:color="auto" w:fill="auto"/>
            <w:noWrap/>
            <w:vAlign w:val="bottom"/>
            <w:hideMark/>
          </w:tcPr>
          <w:p w:rsidR="00052705" w:rsidRPr="00412299" w:rsidRDefault="00052705" w:rsidP="00382B0F">
            <w:pPr>
              <w:spacing w:line="240" w:lineRule="auto"/>
              <w:jc w:val="right"/>
              <w:rPr>
                <w:rFonts w:ascii="Calibri" w:hAnsi="Calibri"/>
                <w:color w:val="000000"/>
                <w:sz w:val="18"/>
                <w:szCs w:val="18"/>
                <w:lang w:eastAsia="sl-SI"/>
              </w:rPr>
            </w:pPr>
            <w:r w:rsidRPr="00972554">
              <w:rPr>
                <w:rFonts w:ascii="Calibri" w:hAnsi="Calibri"/>
                <w:sz w:val="18"/>
                <w:szCs w:val="18"/>
              </w:rPr>
              <w:t>91,29</w:t>
            </w:r>
          </w:p>
        </w:tc>
        <w:tc>
          <w:tcPr>
            <w:tcW w:w="686" w:type="pct"/>
            <w:shd w:val="clear" w:color="auto" w:fill="auto"/>
            <w:noWrap/>
            <w:vAlign w:val="bottom"/>
            <w:hideMark/>
          </w:tcPr>
          <w:p w:rsidR="00052705" w:rsidRPr="00412299" w:rsidRDefault="00052705"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-50.792.070 </w:t>
            </w:r>
          </w:p>
        </w:tc>
      </w:tr>
      <w:tr w:rsidR="00052705" w:rsidRPr="00CC6CE6" w:rsidTr="0036160C">
        <w:trPr>
          <w:trHeight w:val="300"/>
        </w:trPr>
        <w:tc>
          <w:tcPr>
            <w:tcW w:w="2251" w:type="pct"/>
            <w:tcBorders>
              <w:bottom w:val="single" w:sz="4" w:space="0" w:color="auto"/>
            </w:tcBorders>
            <w:shd w:val="clear" w:color="auto" w:fill="auto"/>
            <w:noWrap/>
            <w:vAlign w:val="bottom"/>
            <w:hideMark/>
          </w:tcPr>
          <w:p w:rsidR="00052705" w:rsidRPr="00CC6CE6" w:rsidRDefault="00052705" w:rsidP="001F6A16">
            <w:pPr>
              <w:spacing w:line="240" w:lineRule="auto"/>
              <w:rPr>
                <w:rFonts w:ascii="Calibri" w:hAnsi="Calibri"/>
                <w:color w:val="000000"/>
                <w:sz w:val="18"/>
                <w:szCs w:val="18"/>
                <w:lang w:eastAsia="sl-SI"/>
              </w:rPr>
            </w:pPr>
            <w:r w:rsidRPr="00CC6CE6">
              <w:rPr>
                <w:rFonts w:ascii="Calibri" w:hAnsi="Calibri"/>
                <w:color w:val="000000"/>
                <w:sz w:val="18"/>
                <w:szCs w:val="18"/>
                <w:lang w:eastAsia="sl-SI"/>
              </w:rPr>
              <w:t>518-Druge terjatve</w:t>
            </w:r>
          </w:p>
        </w:tc>
        <w:tc>
          <w:tcPr>
            <w:tcW w:w="840" w:type="pct"/>
            <w:tcBorders>
              <w:bottom w:val="single" w:sz="4" w:space="0" w:color="auto"/>
            </w:tcBorders>
            <w:shd w:val="clear" w:color="auto" w:fill="auto"/>
            <w:noWrap/>
            <w:vAlign w:val="bottom"/>
            <w:hideMark/>
          </w:tcPr>
          <w:p w:rsidR="00052705" w:rsidRPr="00412299" w:rsidRDefault="00052705"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206.935.661 </w:t>
            </w:r>
          </w:p>
        </w:tc>
        <w:tc>
          <w:tcPr>
            <w:tcW w:w="841" w:type="pct"/>
            <w:tcBorders>
              <w:bottom w:val="single" w:sz="4" w:space="0" w:color="auto"/>
            </w:tcBorders>
            <w:shd w:val="clear" w:color="auto" w:fill="auto"/>
            <w:noWrap/>
            <w:vAlign w:val="bottom"/>
            <w:hideMark/>
          </w:tcPr>
          <w:p w:rsidR="00052705" w:rsidRPr="00CC6CE6" w:rsidRDefault="00052705" w:rsidP="001F6A16">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175.185.463 </w:t>
            </w:r>
          </w:p>
        </w:tc>
        <w:tc>
          <w:tcPr>
            <w:tcW w:w="382" w:type="pct"/>
            <w:tcBorders>
              <w:bottom w:val="single" w:sz="4" w:space="0" w:color="auto"/>
            </w:tcBorders>
            <w:shd w:val="clear" w:color="auto" w:fill="auto"/>
            <w:noWrap/>
            <w:vAlign w:val="bottom"/>
            <w:hideMark/>
          </w:tcPr>
          <w:p w:rsidR="00052705" w:rsidRPr="00412299" w:rsidRDefault="00052705" w:rsidP="00382B0F">
            <w:pPr>
              <w:spacing w:line="240" w:lineRule="auto"/>
              <w:jc w:val="right"/>
              <w:rPr>
                <w:rFonts w:ascii="Calibri" w:hAnsi="Calibri"/>
                <w:color w:val="000000"/>
                <w:sz w:val="18"/>
                <w:szCs w:val="18"/>
                <w:lang w:eastAsia="sl-SI"/>
              </w:rPr>
            </w:pPr>
            <w:r w:rsidRPr="00972554">
              <w:rPr>
                <w:rFonts w:ascii="Calibri" w:hAnsi="Calibri"/>
                <w:sz w:val="18"/>
                <w:szCs w:val="18"/>
              </w:rPr>
              <w:t>118,12</w:t>
            </w:r>
          </w:p>
        </w:tc>
        <w:tc>
          <w:tcPr>
            <w:tcW w:w="686" w:type="pct"/>
            <w:tcBorders>
              <w:bottom w:val="single" w:sz="4" w:space="0" w:color="auto"/>
            </w:tcBorders>
            <w:shd w:val="clear" w:color="auto" w:fill="auto"/>
            <w:noWrap/>
            <w:vAlign w:val="bottom"/>
            <w:hideMark/>
          </w:tcPr>
          <w:p w:rsidR="00052705" w:rsidRPr="00412299" w:rsidRDefault="00052705"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31.750.198 </w:t>
            </w:r>
          </w:p>
        </w:tc>
      </w:tr>
      <w:tr w:rsidR="00052705" w:rsidRPr="00CC6CE6" w:rsidTr="0036160C">
        <w:trPr>
          <w:trHeight w:val="300"/>
        </w:trPr>
        <w:tc>
          <w:tcPr>
            <w:tcW w:w="2251" w:type="pct"/>
            <w:shd w:val="clear" w:color="auto" w:fill="92D050"/>
            <w:noWrap/>
            <w:vAlign w:val="bottom"/>
            <w:hideMark/>
          </w:tcPr>
          <w:p w:rsidR="00052705" w:rsidRPr="00541BFF" w:rsidRDefault="00052705" w:rsidP="001F6A16">
            <w:pPr>
              <w:spacing w:line="240" w:lineRule="auto"/>
              <w:rPr>
                <w:rFonts w:ascii="Calibri" w:hAnsi="Calibri"/>
                <w:b/>
                <w:i/>
                <w:color w:val="000000"/>
                <w:sz w:val="18"/>
                <w:szCs w:val="18"/>
                <w:lang w:eastAsia="sl-SI"/>
              </w:rPr>
            </w:pPr>
            <w:r w:rsidRPr="00541BFF">
              <w:rPr>
                <w:rFonts w:ascii="Calibri" w:hAnsi="Calibri"/>
                <w:b/>
                <w:i/>
                <w:color w:val="000000"/>
                <w:sz w:val="18"/>
                <w:szCs w:val="18"/>
                <w:lang w:eastAsia="sl-SI"/>
              </w:rPr>
              <w:t>519-Skupaj aktiva</w:t>
            </w:r>
          </w:p>
        </w:tc>
        <w:tc>
          <w:tcPr>
            <w:tcW w:w="840" w:type="pct"/>
            <w:shd w:val="clear" w:color="auto" w:fill="92D050"/>
            <w:noWrap/>
            <w:vAlign w:val="bottom"/>
            <w:hideMark/>
          </w:tcPr>
          <w:p w:rsidR="00052705" w:rsidRPr="00412299" w:rsidRDefault="00052705" w:rsidP="00382B0F">
            <w:pPr>
              <w:spacing w:line="240" w:lineRule="auto"/>
              <w:jc w:val="right"/>
              <w:rPr>
                <w:rFonts w:ascii="Calibri" w:hAnsi="Calibri"/>
                <w:b/>
                <w:i/>
                <w:color w:val="000000"/>
                <w:sz w:val="18"/>
                <w:szCs w:val="18"/>
                <w:lang w:eastAsia="sl-SI"/>
              </w:rPr>
            </w:pPr>
            <w:r w:rsidRPr="00972554">
              <w:rPr>
                <w:rFonts w:ascii="Calibri" w:hAnsi="Calibri"/>
                <w:b/>
                <w:i/>
                <w:sz w:val="18"/>
                <w:szCs w:val="18"/>
              </w:rPr>
              <w:t xml:space="preserve">15.107.340.796 </w:t>
            </w:r>
          </w:p>
        </w:tc>
        <w:tc>
          <w:tcPr>
            <w:tcW w:w="841" w:type="pct"/>
            <w:shd w:val="clear" w:color="auto" w:fill="92D050"/>
            <w:noWrap/>
            <w:vAlign w:val="bottom"/>
            <w:hideMark/>
          </w:tcPr>
          <w:p w:rsidR="00052705" w:rsidRPr="00541BFF" w:rsidRDefault="00052705" w:rsidP="001F6A16">
            <w:pPr>
              <w:spacing w:line="240" w:lineRule="auto"/>
              <w:jc w:val="right"/>
              <w:rPr>
                <w:rFonts w:ascii="Calibri" w:hAnsi="Calibri"/>
                <w:b/>
                <w:i/>
                <w:color w:val="000000"/>
                <w:sz w:val="18"/>
                <w:szCs w:val="18"/>
                <w:lang w:eastAsia="sl-SI"/>
              </w:rPr>
            </w:pPr>
            <w:r w:rsidRPr="000F6B5B">
              <w:rPr>
                <w:rFonts w:ascii="Calibri" w:hAnsi="Calibri"/>
                <w:b/>
                <w:i/>
                <w:color w:val="000000"/>
                <w:sz w:val="18"/>
                <w:szCs w:val="18"/>
                <w:lang w:eastAsia="sl-SI"/>
              </w:rPr>
              <w:t xml:space="preserve">14.514.526.777 </w:t>
            </w:r>
          </w:p>
        </w:tc>
        <w:tc>
          <w:tcPr>
            <w:tcW w:w="382" w:type="pct"/>
            <w:shd w:val="clear" w:color="auto" w:fill="92D050"/>
            <w:noWrap/>
            <w:vAlign w:val="bottom"/>
            <w:hideMark/>
          </w:tcPr>
          <w:p w:rsidR="00052705" w:rsidRPr="00412299" w:rsidRDefault="00052705" w:rsidP="00382B0F">
            <w:pPr>
              <w:spacing w:line="240" w:lineRule="auto"/>
              <w:jc w:val="right"/>
              <w:rPr>
                <w:rFonts w:ascii="Calibri" w:hAnsi="Calibri"/>
                <w:b/>
                <w:i/>
                <w:color w:val="000000"/>
                <w:sz w:val="18"/>
                <w:szCs w:val="18"/>
                <w:lang w:eastAsia="sl-SI"/>
              </w:rPr>
            </w:pPr>
            <w:r w:rsidRPr="00972554">
              <w:rPr>
                <w:rFonts w:ascii="Calibri" w:hAnsi="Calibri"/>
                <w:b/>
                <w:i/>
                <w:sz w:val="18"/>
                <w:szCs w:val="18"/>
              </w:rPr>
              <w:t>104,08</w:t>
            </w:r>
          </w:p>
        </w:tc>
        <w:tc>
          <w:tcPr>
            <w:tcW w:w="686" w:type="pct"/>
            <w:shd w:val="clear" w:color="auto" w:fill="92D050"/>
            <w:noWrap/>
            <w:vAlign w:val="bottom"/>
            <w:hideMark/>
          </w:tcPr>
          <w:p w:rsidR="00052705" w:rsidRPr="00412299" w:rsidRDefault="00052705" w:rsidP="00412299">
            <w:pPr>
              <w:spacing w:line="240" w:lineRule="auto"/>
              <w:jc w:val="right"/>
              <w:rPr>
                <w:rFonts w:ascii="Calibri" w:hAnsi="Calibri"/>
                <w:b/>
                <w:i/>
                <w:color w:val="000000"/>
                <w:sz w:val="18"/>
                <w:szCs w:val="18"/>
                <w:lang w:eastAsia="sl-SI"/>
              </w:rPr>
            </w:pPr>
            <w:r w:rsidRPr="00972554">
              <w:rPr>
                <w:rFonts w:ascii="Calibri" w:hAnsi="Calibri"/>
                <w:b/>
                <w:i/>
                <w:sz w:val="18"/>
                <w:szCs w:val="18"/>
              </w:rPr>
              <w:t xml:space="preserve">592.814.019 </w:t>
            </w:r>
          </w:p>
        </w:tc>
      </w:tr>
      <w:tr w:rsidR="00052705" w:rsidRPr="00CC6CE6" w:rsidTr="0036160C">
        <w:trPr>
          <w:trHeight w:val="300"/>
        </w:trPr>
        <w:tc>
          <w:tcPr>
            <w:tcW w:w="2251" w:type="pct"/>
            <w:shd w:val="clear" w:color="auto" w:fill="auto"/>
            <w:noWrap/>
            <w:vAlign w:val="bottom"/>
            <w:hideMark/>
          </w:tcPr>
          <w:p w:rsidR="00052705" w:rsidRPr="00CC6CE6" w:rsidRDefault="00052705" w:rsidP="001F6A16">
            <w:pPr>
              <w:spacing w:line="240" w:lineRule="auto"/>
              <w:rPr>
                <w:rFonts w:ascii="Calibri" w:hAnsi="Calibri"/>
                <w:color w:val="000000"/>
                <w:sz w:val="18"/>
                <w:szCs w:val="18"/>
                <w:lang w:eastAsia="sl-SI"/>
              </w:rPr>
            </w:pPr>
            <w:r w:rsidRPr="00CC6CE6">
              <w:rPr>
                <w:rFonts w:ascii="Calibri" w:hAnsi="Calibri"/>
                <w:color w:val="000000"/>
                <w:sz w:val="18"/>
                <w:szCs w:val="18"/>
                <w:lang w:eastAsia="sl-SI"/>
              </w:rPr>
              <w:t>520-Splošni sklad</w:t>
            </w:r>
          </w:p>
        </w:tc>
        <w:tc>
          <w:tcPr>
            <w:tcW w:w="840" w:type="pct"/>
            <w:shd w:val="clear" w:color="auto" w:fill="auto"/>
            <w:noWrap/>
            <w:vAlign w:val="bottom"/>
            <w:hideMark/>
          </w:tcPr>
          <w:p w:rsidR="00052705" w:rsidRPr="00412299" w:rsidRDefault="00052705"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13.771.928.718 </w:t>
            </w:r>
          </w:p>
        </w:tc>
        <w:tc>
          <w:tcPr>
            <w:tcW w:w="841" w:type="pct"/>
            <w:shd w:val="clear" w:color="auto" w:fill="auto"/>
            <w:noWrap/>
            <w:vAlign w:val="bottom"/>
            <w:hideMark/>
          </w:tcPr>
          <w:p w:rsidR="00052705" w:rsidRPr="00CC6CE6" w:rsidRDefault="00052705" w:rsidP="001F6A16">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13.214.011.069 </w:t>
            </w:r>
          </w:p>
        </w:tc>
        <w:tc>
          <w:tcPr>
            <w:tcW w:w="382" w:type="pct"/>
            <w:shd w:val="clear" w:color="auto" w:fill="auto"/>
            <w:noWrap/>
            <w:vAlign w:val="bottom"/>
            <w:hideMark/>
          </w:tcPr>
          <w:p w:rsidR="00052705" w:rsidRPr="00412299" w:rsidRDefault="00052705" w:rsidP="00382B0F">
            <w:pPr>
              <w:spacing w:line="240" w:lineRule="auto"/>
              <w:jc w:val="right"/>
              <w:rPr>
                <w:rFonts w:ascii="Calibri" w:hAnsi="Calibri"/>
                <w:color w:val="000000"/>
                <w:sz w:val="18"/>
                <w:szCs w:val="18"/>
                <w:lang w:eastAsia="sl-SI"/>
              </w:rPr>
            </w:pPr>
            <w:r w:rsidRPr="00972554">
              <w:rPr>
                <w:rFonts w:ascii="Calibri" w:hAnsi="Calibri"/>
                <w:sz w:val="18"/>
                <w:szCs w:val="18"/>
              </w:rPr>
              <w:t>104,22</w:t>
            </w:r>
          </w:p>
        </w:tc>
        <w:tc>
          <w:tcPr>
            <w:tcW w:w="686" w:type="pct"/>
            <w:shd w:val="clear" w:color="auto" w:fill="auto"/>
            <w:noWrap/>
            <w:vAlign w:val="bottom"/>
            <w:hideMark/>
          </w:tcPr>
          <w:p w:rsidR="00052705" w:rsidRPr="00412299" w:rsidRDefault="00052705"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557.917.649 </w:t>
            </w:r>
          </w:p>
        </w:tc>
      </w:tr>
      <w:tr w:rsidR="00052705" w:rsidRPr="00CC6CE6" w:rsidTr="0036160C">
        <w:trPr>
          <w:trHeight w:val="300"/>
        </w:trPr>
        <w:tc>
          <w:tcPr>
            <w:tcW w:w="2251" w:type="pct"/>
            <w:shd w:val="clear" w:color="auto" w:fill="auto"/>
            <w:noWrap/>
            <w:vAlign w:val="bottom"/>
            <w:hideMark/>
          </w:tcPr>
          <w:p w:rsidR="00052705" w:rsidRPr="00CC6CE6" w:rsidRDefault="00052705" w:rsidP="001F6A16">
            <w:pPr>
              <w:spacing w:line="240" w:lineRule="auto"/>
              <w:rPr>
                <w:rFonts w:ascii="Calibri" w:hAnsi="Calibri"/>
                <w:color w:val="000000"/>
                <w:sz w:val="18"/>
                <w:szCs w:val="18"/>
                <w:lang w:eastAsia="sl-SI"/>
              </w:rPr>
            </w:pPr>
            <w:r w:rsidRPr="00CC6CE6">
              <w:rPr>
                <w:rFonts w:ascii="Calibri" w:hAnsi="Calibri"/>
                <w:color w:val="000000"/>
                <w:sz w:val="18"/>
                <w:szCs w:val="18"/>
                <w:lang w:eastAsia="sl-SI"/>
              </w:rPr>
              <w:t>521-Rezervni sklad</w:t>
            </w:r>
          </w:p>
        </w:tc>
        <w:tc>
          <w:tcPr>
            <w:tcW w:w="840" w:type="pct"/>
            <w:shd w:val="clear" w:color="auto" w:fill="auto"/>
            <w:noWrap/>
            <w:vAlign w:val="bottom"/>
            <w:hideMark/>
          </w:tcPr>
          <w:p w:rsidR="00052705" w:rsidRPr="00116FC1" w:rsidRDefault="00052705"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16.949.059 </w:t>
            </w:r>
          </w:p>
        </w:tc>
        <w:tc>
          <w:tcPr>
            <w:tcW w:w="841" w:type="pct"/>
            <w:shd w:val="clear" w:color="auto" w:fill="auto"/>
            <w:noWrap/>
            <w:vAlign w:val="bottom"/>
            <w:hideMark/>
          </w:tcPr>
          <w:p w:rsidR="00052705" w:rsidRPr="00CC6CE6" w:rsidRDefault="00052705" w:rsidP="001F6A16">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16.106.041 </w:t>
            </w:r>
          </w:p>
        </w:tc>
        <w:tc>
          <w:tcPr>
            <w:tcW w:w="382" w:type="pct"/>
            <w:shd w:val="clear" w:color="auto" w:fill="auto"/>
            <w:noWrap/>
            <w:vAlign w:val="bottom"/>
            <w:hideMark/>
          </w:tcPr>
          <w:p w:rsidR="00052705" w:rsidRPr="00412299" w:rsidRDefault="00052705" w:rsidP="00382B0F">
            <w:pPr>
              <w:spacing w:line="240" w:lineRule="auto"/>
              <w:jc w:val="right"/>
              <w:rPr>
                <w:rFonts w:ascii="Calibri" w:hAnsi="Calibri"/>
                <w:color w:val="000000"/>
                <w:sz w:val="18"/>
                <w:szCs w:val="18"/>
                <w:lang w:eastAsia="sl-SI"/>
              </w:rPr>
            </w:pPr>
            <w:r w:rsidRPr="00972554">
              <w:rPr>
                <w:rFonts w:ascii="Calibri" w:hAnsi="Calibri"/>
                <w:sz w:val="18"/>
                <w:szCs w:val="18"/>
              </w:rPr>
              <w:t>105,23</w:t>
            </w:r>
          </w:p>
        </w:tc>
        <w:tc>
          <w:tcPr>
            <w:tcW w:w="686" w:type="pct"/>
            <w:shd w:val="clear" w:color="auto" w:fill="auto"/>
            <w:noWrap/>
            <w:vAlign w:val="bottom"/>
            <w:hideMark/>
          </w:tcPr>
          <w:p w:rsidR="00052705" w:rsidRPr="00412299" w:rsidRDefault="00052705"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843.018 </w:t>
            </w:r>
          </w:p>
        </w:tc>
      </w:tr>
      <w:tr w:rsidR="00052705" w:rsidRPr="00CC6CE6" w:rsidTr="0036160C">
        <w:trPr>
          <w:trHeight w:val="300"/>
        </w:trPr>
        <w:tc>
          <w:tcPr>
            <w:tcW w:w="2251" w:type="pct"/>
            <w:shd w:val="clear" w:color="auto" w:fill="auto"/>
            <w:noWrap/>
            <w:vAlign w:val="bottom"/>
            <w:hideMark/>
          </w:tcPr>
          <w:p w:rsidR="00052705" w:rsidRPr="00CC6CE6" w:rsidRDefault="00052705" w:rsidP="001F6A16">
            <w:pPr>
              <w:spacing w:line="240" w:lineRule="auto"/>
              <w:rPr>
                <w:rFonts w:ascii="Calibri" w:hAnsi="Calibri"/>
                <w:color w:val="000000"/>
                <w:sz w:val="18"/>
                <w:szCs w:val="18"/>
                <w:lang w:eastAsia="sl-SI"/>
              </w:rPr>
            </w:pPr>
            <w:r w:rsidRPr="00CC6CE6">
              <w:rPr>
                <w:rFonts w:ascii="Calibri" w:hAnsi="Calibri"/>
                <w:color w:val="000000"/>
                <w:sz w:val="18"/>
                <w:szCs w:val="18"/>
                <w:lang w:eastAsia="sl-SI"/>
              </w:rPr>
              <w:t>522-Dolgoročno prejeta posojila</w:t>
            </w:r>
          </w:p>
        </w:tc>
        <w:tc>
          <w:tcPr>
            <w:tcW w:w="840" w:type="pct"/>
            <w:shd w:val="clear" w:color="auto" w:fill="auto"/>
            <w:noWrap/>
            <w:vAlign w:val="bottom"/>
            <w:hideMark/>
          </w:tcPr>
          <w:p w:rsidR="00052705" w:rsidRPr="00412299" w:rsidRDefault="00052705"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587.738.333 </w:t>
            </w:r>
          </w:p>
        </w:tc>
        <w:tc>
          <w:tcPr>
            <w:tcW w:w="841" w:type="pct"/>
            <w:shd w:val="clear" w:color="auto" w:fill="auto"/>
            <w:noWrap/>
            <w:vAlign w:val="bottom"/>
            <w:hideMark/>
          </w:tcPr>
          <w:p w:rsidR="00052705" w:rsidRPr="00CC6CE6" w:rsidRDefault="00052705" w:rsidP="001F6A16">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593.106.610 </w:t>
            </w:r>
          </w:p>
        </w:tc>
        <w:tc>
          <w:tcPr>
            <w:tcW w:w="382" w:type="pct"/>
            <w:shd w:val="clear" w:color="auto" w:fill="auto"/>
            <w:noWrap/>
            <w:vAlign w:val="bottom"/>
            <w:hideMark/>
          </w:tcPr>
          <w:p w:rsidR="00052705" w:rsidRPr="00412299" w:rsidRDefault="00052705" w:rsidP="00382B0F">
            <w:pPr>
              <w:spacing w:line="240" w:lineRule="auto"/>
              <w:jc w:val="right"/>
              <w:rPr>
                <w:rFonts w:ascii="Calibri" w:hAnsi="Calibri"/>
                <w:color w:val="000000"/>
                <w:sz w:val="18"/>
                <w:szCs w:val="18"/>
                <w:lang w:eastAsia="sl-SI"/>
              </w:rPr>
            </w:pPr>
            <w:r w:rsidRPr="00972554">
              <w:rPr>
                <w:rFonts w:ascii="Calibri" w:hAnsi="Calibri"/>
                <w:sz w:val="18"/>
                <w:szCs w:val="18"/>
              </w:rPr>
              <w:t>99,09</w:t>
            </w:r>
          </w:p>
        </w:tc>
        <w:tc>
          <w:tcPr>
            <w:tcW w:w="686" w:type="pct"/>
            <w:shd w:val="clear" w:color="auto" w:fill="auto"/>
            <w:noWrap/>
            <w:vAlign w:val="bottom"/>
            <w:hideMark/>
          </w:tcPr>
          <w:p w:rsidR="00052705" w:rsidRPr="00412299" w:rsidRDefault="00052705"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-5.368.277 </w:t>
            </w:r>
          </w:p>
        </w:tc>
      </w:tr>
      <w:tr w:rsidR="00052705" w:rsidRPr="00CC6CE6" w:rsidTr="0036160C">
        <w:trPr>
          <w:trHeight w:val="300"/>
        </w:trPr>
        <w:tc>
          <w:tcPr>
            <w:tcW w:w="2251" w:type="pct"/>
            <w:shd w:val="clear" w:color="auto" w:fill="auto"/>
            <w:noWrap/>
            <w:vAlign w:val="bottom"/>
            <w:hideMark/>
          </w:tcPr>
          <w:p w:rsidR="00052705" w:rsidRPr="00CC6CE6" w:rsidRDefault="00052705" w:rsidP="001F6A16">
            <w:pPr>
              <w:spacing w:line="240" w:lineRule="auto"/>
              <w:rPr>
                <w:rFonts w:ascii="Calibri" w:hAnsi="Calibri"/>
                <w:color w:val="000000"/>
                <w:sz w:val="18"/>
                <w:szCs w:val="18"/>
                <w:lang w:eastAsia="sl-SI"/>
              </w:rPr>
            </w:pPr>
            <w:r w:rsidRPr="00CC6CE6">
              <w:rPr>
                <w:rFonts w:ascii="Calibri" w:hAnsi="Calibri"/>
                <w:color w:val="000000"/>
                <w:sz w:val="18"/>
                <w:szCs w:val="18"/>
                <w:lang w:eastAsia="sl-SI"/>
              </w:rPr>
              <w:t>523-Dolgoročne obveznosti iz poslovanja</w:t>
            </w:r>
          </w:p>
        </w:tc>
        <w:tc>
          <w:tcPr>
            <w:tcW w:w="840" w:type="pct"/>
            <w:shd w:val="clear" w:color="auto" w:fill="auto"/>
            <w:noWrap/>
            <w:vAlign w:val="bottom"/>
            <w:hideMark/>
          </w:tcPr>
          <w:p w:rsidR="00052705" w:rsidRPr="00412299" w:rsidRDefault="00052705"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95.936.678 </w:t>
            </w:r>
          </w:p>
        </w:tc>
        <w:tc>
          <w:tcPr>
            <w:tcW w:w="841" w:type="pct"/>
            <w:shd w:val="clear" w:color="auto" w:fill="auto"/>
            <w:noWrap/>
            <w:vAlign w:val="bottom"/>
            <w:hideMark/>
          </w:tcPr>
          <w:p w:rsidR="00052705" w:rsidRPr="00CC6CE6" w:rsidRDefault="00052705" w:rsidP="001F6A16">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116.600.400 </w:t>
            </w:r>
          </w:p>
        </w:tc>
        <w:tc>
          <w:tcPr>
            <w:tcW w:w="382" w:type="pct"/>
            <w:shd w:val="clear" w:color="auto" w:fill="auto"/>
            <w:noWrap/>
            <w:vAlign w:val="bottom"/>
            <w:hideMark/>
          </w:tcPr>
          <w:p w:rsidR="00052705" w:rsidRPr="00412299" w:rsidRDefault="00052705" w:rsidP="00382B0F">
            <w:pPr>
              <w:spacing w:line="240" w:lineRule="auto"/>
              <w:jc w:val="right"/>
              <w:rPr>
                <w:rFonts w:ascii="Calibri" w:hAnsi="Calibri"/>
                <w:color w:val="000000"/>
                <w:sz w:val="18"/>
                <w:szCs w:val="18"/>
                <w:lang w:eastAsia="sl-SI"/>
              </w:rPr>
            </w:pPr>
            <w:r w:rsidRPr="00972554">
              <w:rPr>
                <w:rFonts w:ascii="Calibri" w:hAnsi="Calibri"/>
                <w:sz w:val="18"/>
                <w:szCs w:val="18"/>
              </w:rPr>
              <w:t>82,28</w:t>
            </w:r>
          </w:p>
        </w:tc>
        <w:tc>
          <w:tcPr>
            <w:tcW w:w="686" w:type="pct"/>
            <w:shd w:val="clear" w:color="auto" w:fill="auto"/>
            <w:noWrap/>
            <w:vAlign w:val="bottom"/>
            <w:hideMark/>
          </w:tcPr>
          <w:p w:rsidR="00052705" w:rsidRPr="00412299" w:rsidRDefault="00052705"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-20.663.722 </w:t>
            </w:r>
          </w:p>
        </w:tc>
      </w:tr>
      <w:tr w:rsidR="00052705" w:rsidRPr="00CC6CE6" w:rsidTr="0036160C">
        <w:trPr>
          <w:trHeight w:val="300"/>
        </w:trPr>
        <w:tc>
          <w:tcPr>
            <w:tcW w:w="2251" w:type="pct"/>
            <w:shd w:val="clear" w:color="auto" w:fill="auto"/>
            <w:noWrap/>
            <w:vAlign w:val="bottom"/>
            <w:hideMark/>
          </w:tcPr>
          <w:p w:rsidR="00052705" w:rsidRPr="00CC6CE6" w:rsidRDefault="00052705" w:rsidP="001F6A16">
            <w:pPr>
              <w:spacing w:line="240" w:lineRule="auto"/>
              <w:rPr>
                <w:rFonts w:ascii="Calibri" w:hAnsi="Calibri"/>
                <w:color w:val="000000"/>
                <w:sz w:val="18"/>
                <w:szCs w:val="18"/>
                <w:lang w:eastAsia="sl-SI"/>
              </w:rPr>
            </w:pPr>
            <w:r w:rsidRPr="00CC6CE6">
              <w:rPr>
                <w:rFonts w:ascii="Calibri" w:hAnsi="Calibri"/>
                <w:color w:val="000000"/>
                <w:sz w:val="18"/>
                <w:szCs w:val="18"/>
                <w:lang w:eastAsia="sl-SI"/>
              </w:rPr>
              <w:t>524-Kratkoročne obveznosti</w:t>
            </w:r>
          </w:p>
        </w:tc>
        <w:tc>
          <w:tcPr>
            <w:tcW w:w="840" w:type="pct"/>
            <w:shd w:val="clear" w:color="auto" w:fill="auto"/>
            <w:noWrap/>
            <w:vAlign w:val="bottom"/>
            <w:hideMark/>
          </w:tcPr>
          <w:p w:rsidR="00052705" w:rsidRPr="00412299" w:rsidRDefault="00052705"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440.601.432 </w:t>
            </w:r>
          </w:p>
        </w:tc>
        <w:tc>
          <w:tcPr>
            <w:tcW w:w="841" w:type="pct"/>
            <w:shd w:val="clear" w:color="auto" w:fill="auto"/>
            <w:noWrap/>
            <w:vAlign w:val="bottom"/>
            <w:hideMark/>
          </w:tcPr>
          <w:p w:rsidR="00052705" w:rsidRPr="00CC6CE6" w:rsidRDefault="00052705" w:rsidP="001F6A16">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399.503.685 </w:t>
            </w:r>
          </w:p>
        </w:tc>
        <w:tc>
          <w:tcPr>
            <w:tcW w:w="382" w:type="pct"/>
            <w:shd w:val="clear" w:color="auto" w:fill="auto"/>
            <w:noWrap/>
            <w:vAlign w:val="bottom"/>
            <w:hideMark/>
          </w:tcPr>
          <w:p w:rsidR="00052705" w:rsidRPr="00412299" w:rsidRDefault="00052705" w:rsidP="00382B0F">
            <w:pPr>
              <w:spacing w:line="240" w:lineRule="auto"/>
              <w:jc w:val="right"/>
              <w:rPr>
                <w:rFonts w:ascii="Calibri" w:hAnsi="Calibri"/>
                <w:color w:val="000000"/>
                <w:sz w:val="18"/>
                <w:szCs w:val="18"/>
                <w:lang w:eastAsia="sl-SI"/>
              </w:rPr>
            </w:pPr>
            <w:r w:rsidRPr="00972554">
              <w:rPr>
                <w:rFonts w:ascii="Calibri" w:hAnsi="Calibri"/>
                <w:sz w:val="18"/>
                <w:szCs w:val="18"/>
              </w:rPr>
              <w:t>110,29</w:t>
            </w:r>
          </w:p>
        </w:tc>
        <w:tc>
          <w:tcPr>
            <w:tcW w:w="686" w:type="pct"/>
            <w:shd w:val="clear" w:color="auto" w:fill="auto"/>
            <w:noWrap/>
            <w:vAlign w:val="bottom"/>
            <w:hideMark/>
          </w:tcPr>
          <w:p w:rsidR="00052705" w:rsidRPr="00412299" w:rsidRDefault="00052705" w:rsidP="00412299">
            <w:pPr>
              <w:spacing w:line="240" w:lineRule="auto"/>
              <w:jc w:val="right"/>
              <w:rPr>
                <w:rFonts w:ascii="Calibri" w:hAnsi="Calibri"/>
                <w:sz w:val="18"/>
                <w:szCs w:val="18"/>
              </w:rPr>
            </w:pPr>
            <w:r w:rsidRPr="00972554">
              <w:rPr>
                <w:rFonts w:ascii="Calibri" w:hAnsi="Calibri"/>
                <w:sz w:val="18"/>
                <w:szCs w:val="18"/>
              </w:rPr>
              <w:t xml:space="preserve">41.097.747 </w:t>
            </w:r>
          </w:p>
        </w:tc>
      </w:tr>
      <w:tr w:rsidR="00052705" w:rsidRPr="00CC6CE6" w:rsidTr="0036160C">
        <w:trPr>
          <w:trHeight w:val="300"/>
        </w:trPr>
        <w:tc>
          <w:tcPr>
            <w:tcW w:w="2251" w:type="pct"/>
            <w:tcBorders>
              <w:bottom w:val="single" w:sz="4" w:space="0" w:color="auto"/>
            </w:tcBorders>
            <w:shd w:val="clear" w:color="auto" w:fill="auto"/>
            <w:noWrap/>
            <w:vAlign w:val="bottom"/>
            <w:hideMark/>
          </w:tcPr>
          <w:p w:rsidR="00052705" w:rsidRPr="00CC6CE6" w:rsidRDefault="00052705" w:rsidP="001F6A16">
            <w:pPr>
              <w:spacing w:line="240" w:lineRule="auto"/>
              <w:rPr>
                <w:rFonts w:ascii="Calibri" w:hAnsi="Calibri"/>
                <w:color w:val="000000"/>
                <w:sz w:val="18"/>
                <w:szCs w:val="18"/>
                <w:lang w:eastAsia="sl-SI"/>
              </w:rPr>
            </w:pPr>
            <w:r w:rsidRPr="00CC6CE6">
              <w:rPr>
                <w:rFonts w:ascii="Calibri" w:hAnsi="Calibri"/>
                <w:color w:val="000000"/>
                <w:sz w:val="18"/>
                <w:szCs w:val="18"/>
                <w:lang w:eastAsia="sl-SI"/>
              </w:rPr>
              <w:lastRenderedPageBreak/>
              <w:t>525-Druge obveznosti</w:t>
            </w:r>
          </w:p>
        </w:tc>
        <w:tc>
          <w:tcPr>
            <w:tcW w:w="840" w:type="pct"/>
            <w:tcBorders>
              <w:bottom w:val="single" w:sz="4" w:space="0" w:color="auto"/>
            </w:tcBorders>
            <w:shd w:val="clear" w:color="auto" w:fill="auto"/>
            <w:noWrap/>
            <w:vAlign w:val="bottom"/>
            <w:hideMark/>
          </w:tcPr>
          <w:p w:rsidR="00052705" w:rsidRPr="00412299" w:rsidRDefault="00052705"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194.186.576 </w:t>
            </w:r>
          </w:p>
        </w:tc>
        <w:tc>
          <w:tcPr>
            <w:tcW w:w="841" w:type="pct"/>
            <w:tcBorders>
              <w:bottom w:val="single" w:sz="4" w:space="0" w:color="auto"/>
            </w:tcBorders>
            <w:shd w:val="clear" w:color="auto" w:fill="auto"/>
            <w:noWrap/>
            <w:vAlign w:val="bottom"/>
            <w:hideMark/>
          </w:tcPr>
          <w:p w:rsidR="00052705" w:rsidRPr="00CC6CE6" w:rsidRDefault="00052705" w:rsidP="001F6A16">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175.198.972 </w:t>
            </w:r>
          </w:p>
        </w:tc>
        <w:tc>
          <w:tcPr>
            <w:tcW w:w="382" w:type="pct"/>
            <w:tcBorders>
              <w:bottom w:val="single" w:sz="4" w:space="0" w:color="auto"/>
            </w:tcBorders>
            <w:shd w:val="clear" w:color="auto" w:fill="auto"/>
            <w:noWrap/>
            <w:vAlign w:val="bottom"/>
            <w:hideMark/>
          </w:tcPr>
          <w:p w:rsidR="00052705" w:rsidRPr="00412299" w:rsidRDefault="00052705" w:rsidP="00382B0F">
            <w:pPr>
              <w:spacing w:line="240" w:lineRule="auto"/>
              <w:jc w:val="right"/>
              <w:rPr>
                <w:rFonts w:ascii="Calibri" w:hAnsi="Calibri"/>
                <w:color w:val="000000"/>
                <w:sz w:val="18"/>
                <w:szCs w:val="18"/>
                <w:lang w:eastAsia="sl-SI"/>
              </w:rPr>
            </w:pPr>
            <w:r w:rsidRPr="00972554">
              <w:rPr>
                <w:rFonts w:ascii="Calibri" w:hAnsi="Calibri"/>
                <w:sz w:val="18"/>
                <w:szCs w:val="18"/>
              </w:rPr>
              <w:t>110,84</w:t>
            </w:r>
          </w:p>
        </w:tc>
        <w:tc>
          <w:tcPr>
            <w:tcW w:w="686" w:type="pct"/>
            <w:tcBorders>
              <w:bottom w:val="single" w:sz="4" w:space="0" w:color="auto"/>
            </w:tcBorders>
            <w:shd w:val="clear" w:color="auto" w:fill="auto"/>
            <w:noWrap/>
            <w:vAlign w:val="bottom"/>
            <w:hideMark/>
          </w:tcPr>
          <w:p w:rsidR="00052705" w:rsidRPr="00412299" w:rsidRDefault="00052705" w:rsidP="00412299">
            <w:pPr>
              <w:spacing w:line="240" w:lineRule="auto"/>
              <w:jc w:val="right"/>
              <w:rPr>
                <w:rFonts w:ascii="Calibri" w:hAnsi="Calibri"/>
                <w:sz w:val="18"/>
                <w:szCs w:val="18"/>
              </w:rPr>
            </w:pPr>
            <w:r w:rsidRPr="00972554">
              <w:rPr>
                <w:rFonts w:ascii="Calibri" w:hAnsi="Calibri"/>
                <w:sz w:val="18"/>
                <w:szCs w:val="18"/>
              </w:rPr>
              <w:t xml:space="preserve">18.987.604 </w:t>
            </w:r>
          </w:p>
        </w:tc>
      </w:tr>
      <w:tr w:rsidR="00052705" w:rsidRPr="00541BFF" w:rsidTr="0036160C">
        <w:trPr>
          <w:trHeight w:val="300"/>
        </w:trPr>
        <w:tc>
          <w:tcPr>
            <w:tcW w:w="2251" w:type="pct"/>
            <w:shd w:val="clear" w:color="auto" w:fill="92D050"/>
            <w:noWrap/>
            <w:vAlign w:val="bottom"/>
            <w:hideMark/>
          </w:tcPr>
          <w:p w:rsidR="00052705" w:rsidRPr="00541BFF" w:rsidRDefault="00052705" w:rsidP="001F6A16">
            <w:pPr>
              <w:spacing w:line="240" w:lineRule="auto"/>
              <w:rPr>
                <w:rFonts w:ascii="Calibri" w:hAnsi="Calibri"/>
                <w:b/>
                <w:i/>
                <w:color w:val="000000"/>
                <w:sz w:val="18"/>
                <w:szCs w:val="18"/>
                <w:lang w:eastAsia="sl-SI"/>
              </w:rPr>
            </w:pPr>
            <w:r w:rsidRPr="00541BFF">
              <w:rPr>
                <w:rFonts w:ascii="Calibri" w:hAnsi="Calibri"/>
                <w:b/>
                <w:i/>
                <w:color w:val="000000"/>
                <w:sz w:val="18"/>
                <w:szCs w:val="18"/>
                <w:lang w:eastAsia="sl-SI"/>
              </w:rPr>
              <w:t>526-Skupaj pasiva</w:t>
            </w:r>
          </w:p>
        </w:tc>
        <w:tc>
          <w:tcPr>
            <w:tcW w:w="840" w:type="pct"/>
            <w:shd w:val="clear" w:color="auto" w:fill="92D050"/>
            <w:noWrap/>
            <w:vAlign w:val="bottom"/>
            <w:hideMark/>
          </w:tcPr>
          <w:p w:rsidR="00052705" w:rsidRPr="00412299" w:rsidRDefault="00052705" w:rsidP="00382B0F">
            <w:pPr>
              <w:spacing w:line="240" w:lineRule="auto"/>
              <w:jc w:val="right"/>
              <w:rPr>
                <w:rFonts w:ascii="Calibri" w:hAnsi="Calibri"/>
                <w:b/>
                <w:i/>
                <w:color w:val="000000"/>
                <w:sz w:val="18"/>
                <w:szCs w:val="18"/>
                <w:lang w:eastAsia="sl-SI"/>
              </w:rPr>
            </w:pPr>
            <w:r w:rsidRPr="00972554">
              <w:rPr>
                <w:rFonts w:ascii="Calibri" w:hAnsi="Calibri"/>
                <w:b/>
                <w:i/>
                <w:sz w:val="18"/>
                <w:szCs w:val="18"/>
              </w:rPr>
              <w:t xml:space="preserve">15.107.340.796 </w:t>
            </w:r>
          </w:p>
        </w:tc>
        <w:tc>
          <w:tcPr>
            <w:tcW w:w="841" w:type="pct"/>
            <w:shd w:val="clear" w:color="auto" w:fill="92D050"/>
            <w:noWrap/>
            <w:vAlign w:val="bottom"/>
            <w:hideMark/>
          </w:tcPr>
          <w:p w:rsidR="00052705" w:rsidRPr="00541BFF" w:rsidRDefault="00052705" w:rsidP="001F6A16">
            <w:pPr>
              <w:spacing w:line="240" w:lineRule="auto"/>
              <w:jc w:val="right"/>
              <w:rPr>
                <w:rFonts w:ascii="Calibri" w:hAnsi="Calibri"/>
                <w:b/>
                <w:i/>
                <w:color w:val="000000"/>
                <w:sz w:val="18"/>
                <w:szCs w:val="18"/>
                <w:lang w:eastAsia="sl-SI"/>
              </w:rPr>
            </w:pPr>
            <w:r w:rsidRPr="000F6B5B">
              <w:rPr>
                <w:rFonts w:ascii="Calibri" w:hAnsi="Calibri"/>
                <w:b/>
                <w:i/>
                <w:color w:val="000000"/>
                <w:sz w:val="18"/>
                <w:szCs w:val="18"/>
                <w:lang w:eastAsia="sl-SI"/>
              </w:rPr>
              <w:t xml:space="preserve">14.514.526.777 </w:t>
            </w:r>
          </w:p>
        </w:tc>
        <w:tc>
          <w:tcPr>
            <w:tcW w:w="382" w:type="pct"/>
            <w:shd w:val="clear" w:color="auto" w:fill="92D050"/>
            <w:noWrap/>
            <w:vAlign w:val="bottom"/>
            <w:hideMark/>
          </w:tcPr>
          <w:p w:rsidR="00052705" w:rsidRPr="00412299" w:rsidRDefault="00052705" w:rsidP="00382B0F">
            <w:pPr>
              <w:spacing w:line="240" w:lineRule="auto"/>
              <w:jc w:val="right"/>
              <w:rPr>
                <w:rFonts w:ascii="Calibri" w:hAnsi="Calibri"/>
                <w:b/>
                <w:i/>
                <w:color w:val="000000"/>
                <w:sz w:val="18"/>
                <w:szCs w:val="18"/>
                <w:lang w:eastAsia="sl-SI"/>
              </w:rPr>
            </w:pPr>
            <w:r w:rsidRPr="00972554">
              <w:rPr>
                <w:rFonts w:ascii="Calibri" w:hAnsi="Calibri"/>
                <w:b/>
                <w:i/>
                <w:sz w:val="18"/>
                <w:szCs w:val="18"/>
              </w:rPr>
              <w:t>104,08</w:t>
            </w:r>
          </w:p>
        </w:tc>
        <w:tc>
          <w:tcPr>
            <w:tcW w:w="686" w:type="pct"/>
            <w:shd w:val="clear" w:color="auto" w:fill="92D050"/>
            <w:noWrap/>
            <w:vAlign w:val="bottom"/>
            <w:hideMark/>
          </w:tcPr>
          <w:p w:rsidR="00052705" w:rsidRPr="00412299" w:rsidRDefault="00052705" w:rsidP="00412299">
            <w:pPr>
              <w:spacing w:line="240" w:lineRule="auto"/>
              <w:jc w:val="right"/>
              <w:rPr>
                <w:rFonts w:ascii="Calibri" w:hAnsi="Calibri"/>
                <w:b/>
                <w:i/>
                <w:color w:val="000000"/>
                <w:sz w:val="18"/>
                <w:szCs w:val="18"/>
                <w:lang w:eastAsia="sl-SI"/>
              </w:rPr>
            </w:pPr>
            <w:r w:rsidRPr="00972554">
              <w:rPr>
                <w:rFonts w:ascii="Calibri" w:hAnsi="Calibri"/>
                <w:b/>
                <w:i/>
                <w:sz w:val="18"/>
                <w:szCs w:val="18"/>
              </w:rPr>
              <w:t xml:space="preserve">592.814.019 </w:t>
            </w:r>
          </w:p>
        </w:tc>
      </w:tr>
    </w:tbl>
    <w:p w:rsidR="008D0B31" w:rsidRDefault="008D0B31" w:rsidP="00007D56"/>
    <w:p w:rsidR="007644E1" w:rsidRDefault="007644E1" w:rsidP="007644E1">
      <w:proofErr w:type="gramStart"/>
      <w:r w:rsidRPr="00C61053">
        <w:rPr>
          <w:b/>
        </w:rPr>
        <w:t xml:space="preserve">Med aktivnimi postavkami </w:t>
      </w:r>
      <w:r w:rsidR="00752EEC">
        <w:rPr>
          <w:b/>
        </w:rPr>
        <w:t xml:space="preserve">vseh </w:t>
      </w:r>
      <w:r>
        <w:rPr>
          <w:b/>
        </w:rPr>
        <w:t xml:space="preserve">premoženjskih bilanc </w:t>
      </w:r>
      <w:r w:rsidRPr="00C61053">
        <w:rPr>
          <w:b/>
        </w:rPr>
        <w:t>občin imajo največji delež v premoženju nepremičnine (</w:t>
      </w:r>
      <w:r w:rsidR="00B45A7A">
        <w:rPr>
          <w:b/>
        </w:rPr>
        <w:t>8</w:t>
      </w:r>
      <w:r w:rsidR="00107DDE">
        <w:rPr>
          <w:b/>
        </w:rPr>
        <w:t>4</w:t>
      </w:r>
      <w:r w:rsidR="00216659">
        <w:rPr>
          <w:b/>
        </w:rPr>
        <w:t>%</w:t>
      </w:r>
      <w:r w:rsidRPr="00C61053">
        <w:rPr>
          <w:b/>
        </w:rPr>
        <w:t>).</w:t>
      </w:r>
      <w:proofErr w:type="gramEnd"/>
      <w:r>
        <w:t xml:space="preserve"> </w:t>
      </w:r>
      <w:proofErr w:type="gramStart"/>
      <w:r>
        <w:t xml:space="preserve">Podroben prikaz posameznih deležev prikazuje </w:t>
      </w:r>
      <w:r>
        <w:fldChar w:fldCharType="begin"/>
      </w:r>
      <w:r>
        <w:instrText xml:space="preserve"> REF _Ref389650075 \h </w:instrText>
      </w:r>
      <w:r>
        <w:fldChar w:fldCharType="separate"/>
      </w:r>
      <w:r w:rsidR="00CE55C4">
        <w:t xml:space="preserve">Slika </w:t>
      </w:r>
      <w:r w:rsidR="00CE55C4">
        <w:rPr>
          <w:noProof/>
        </w:rPr>
        <w:t>11</w:t>
      </w:r>
      <w:r>
        <w:fldChar w:fldCharType="end"/>
      </w:r>
      <w:r>
        <w:t>.</w:t>
      </w:r>
      <w:proofErr w:type="gramEnd"/>
    </w:p>
    <w:p w:rsidR="007644E1" w:rsidRDefault="007644E1" w:rsidP="007644E1"/>
    <w:p w:rsidR="007644E1" w:rsidRDefault="007644E1" w:rsidP="007644E1">
      <w:pPr>
        <w:pStyle w:val="Caption"/>
      </w:pPr>
      <w:bookmarkStart w:id="91" w:name="_Ref389650075"/>
      <w:bookmarkStart w:id="92" w:name="_Toc49771356"/>
      <w:r>
        <w:t xml:space="preserve">Slika </w:t>
      </w:r>
      <w:r>
        <w:fldChar w:fldCharType="begin"/>
      </w:r>
      <w:r>
        <w:instrText xml:space="preserve"> SEQ Slika \* ARABIC </w:instrText>
      </w:r>
      <w:r>
        <w:fldChar w:fldCharType="separate"/>
      </w:r>
      <w:r w:rsidR="00CE55C4">
        <w:rPr>
          <w:noProof/>
        </w:rPr>
        <w:t>11</w:t>
      </w:r>
      <w:r>
        <w:fldChar w:fldCharType="end"/>
      </w:r>
      <w:bookmarkEnd w:id="91"/>
      <w:r>
        <w:t>: Del</w:t>
      </w:r>
      <w:r w:rsidR="001A0C1A">
        <w:t xml:space="preserve">ež aktivnih postavk </w:t>
      </w:r>
      <w:r w:rsidR="00752EEC">
        <w:t xml:space="preserve">vseh </w:t>
      </w:r>
      <w:r w:rsidR="001A0C1A">
        <w:t>premoženjskih</w:t>
      </w:r>
      <w:r>
        <w:t xml:space="preserve"> </w:t>
      </w:r>
      <w:r w:rsidR="001A0C1A">
        <w:t xml:space="preserve">bilanc </w:t>
      </w:r>
      <w:r>
        <w:t xml:space="preserve">občin v bilančni vsoti </w:t>
      </w:r>
      <w:proofErr w:type="gramStart"/>
      <w:r>
        <w:t>na</w:t>
      </w:r>
      <w:proofErr w:type="gramEnd"/>
      <w:r>
        <w:t xml:space="preserve"> dan 31.12.201</w:t>
      </w:r>
      <w:r w:rsidR="00107DDE">
        <w:t>8</w:t>
      </w:r>
      <w:bookmarkEnd w:id="92"/>
    </w:p>
    <w:p w:rsidR="00107DDE" w:rsidRDefault="00107DDE" w:rsidP="006E57DC"/>
    <w:p w:rsidR="00107DDE" w:rsidRDefault="00107DDE" w:rsidP="006E57DC"/>
    <w:p w:rsidR="00107DDE" w:rsidRDefault="00CF6BD8" w:rsidP="00782DC7">
      <w:pPr>
        <w:spacing w:line="240" w:lineRule="auto"/>
        <w:jc w:val="center"/>
      </w:pPr>
      <w:r>
        <w:rPr>
          <w:noProof/>
          <w:lang w:val="sl-SI" w:eastAsia="sl-SI"/>
        </w:rPr>
        <w:drawing>
          <wp:inline distT="0" distB="0" distL="0" distR="0" wp14:anchorId="071B7241" wp14:editId="42FAECFF">
            <wp:extent cx="4998720" cy="2092325"/>
            <wp:effectExtent l="0" t="0" r="0" b="3175"/>
            <wp:docPr id="277" name="Picture 277" descr="Delež aktivnih postavk PBO 2018" title="Delež aktivnih postavk vseh premoženjskih bilanc občin v bilančni vsoti na dan 31.12.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98720" cy="2092325"/>
                    </a:xfrm>
                    <a:prstGeom prst="rect">
                      <a:avLst/>
                    </a:prstGeom>
                    <a:noFill/>
                  </pic:spPr>
                </pic:pic>
              </a:graphicData>
            </a:graphic>
          </wp:inline>
        </w:drawing>
      </w:r>
    </w:p>
    <w:p w:rsidR="006E57DC" w:rsidRDefault="006E57DC" w:rsidP="006E57DC">
      <w:proofErr w:type="gramStart"/>
      <w:r w:rsidRPr="00C61053">
        <w:rPr>
          <w:b/>
        </w:rPr>
        <w:t xml:space="preserve">Med </w:t>
      </w:r>
      <w:r>
        <w:rPr>
          <w:b/>
        </w:rPr>
        <w:t>pasivnimi</w:t>
      </w:r>
      <w:r w:rsidRPr="00C61053">
        <w:rPr>
          <w:b/>
        </w:rPr>
        <w:t xml:space="preserve"> postavkami </w:t>
      </w:r>
      <w:r w:rsidR="00752EEC">
        <w:rPr>
          <w:b/>
        </w:rPr>
        <w:t xml:space="preserve">vseh </w:t>
      </w:r>
      <w:r>
        <w:rPr>
          <w:b/>
        </w:rPr>
        <w:t xml:space="preserve">premoženjskih bilanc </w:t>
      </w:r>
      <w:r w:rsidR="00752EEC">
        <w:rPr>
          <w:b/>
        </w:rPr>
        <w:t>občin ima</w:t>
      </w:r>
      <w:r w:rsidRPr="00C61053">
        <w:rPr>
          <w:b/>
        </w:rPr>
        <w:t xml:space="preserve"> največji delež </w:t>
      </w:r>
      <w:r w:rsidR="00752EEC">
        <w:rPr>
          <w:b/>
        </w:rPr>
        <w:t>splošni sklad</w:t>
      </w:r>
      <w:r w:rsidRPr="00C61053">
        <w:rPr>
          <w:b/>
        </w:rPr>
        <w:t xml:space="preserve"> (</w:t>
      </w:r>
      <w:r w:rsidR="00AF3E8C">
        <w:rPr>
          <w:b/>
        </w:rPr>
        <w:t>91</w:t>
      </w:r>
      <w:r w:rsidR="00216659">
        <w:rPr>
          <w:b/>
        </w:rPr>
        <w:t>%</w:t>
      </w:r>
      <w:r w:rsidRPr="00C61053">
        <w:rPr>
          <w:b/>
        </w:rPr>
        <w:t>).</w:t>
      </w:r>
      <w:proofErr w:type="gramEnd"/>
      <w:r>
        <w:t xml:space="preserve"> </w:t>
      </w:r>
      <w:proofErr w:type="gramStart"/>
      <w:r>
        <w:t xml:space="preserve">Podroben prikaz posameznih deležev prikazuje </w:t>
      </w:r>
      <w:r w:rsidRPr="00283A45">
        <w:fldChar w:fldCharType="begin"/>
      </w:r>
      <w:r w:rsidRPr="00283A45">
        <w:instrText xml:space="preserve"> REF _Ref389650444 \h </w:instrText>
      </w:r>
      <w:r w:rsidR="00283A45" w:rsidRPr="00283A45">
        <w:instrText xml:space="preserve"> \* MERGEFORMAT </w:instrText>
      </w:r>
      <w:r w:rsidRPr="00283A45">
        <w:fldChar w:fldCharType="separate"/>
      </w:r>
      <w:r w:rsidR="00CE55C4" w:rsidRPr="00CE55C4">
        <w:t xml:space="preserve">Slika </w:t>
      </w:r>
      <w:r w:rsidR="00CE55C4" w:rsidRPr="00CE55C4">
        <w:rPr>
          <w:noProof/>
        </w:rPr>
        <w:t>12</w:t>
      </w:r>
      <w:r w:rsidRPr="00283A45">
        <w:fldChar w:fldCharType="end"/>
      </w:r>
      <w:r w:rsidR="00752EEC" w:rsidRPr="00283A45">
        <w:t>.</w:t>
      </w:r>
      <w:proofErr w:type="gramEnd"/>
    </w:p>
    <w:p w:rsidR="00CF6BD8" w:rsidRDefault="00CF6BD8" w:rsidP="00976B52">
      <w:pPr>
        <w:rPr>
          <w:b/>
        </w:rPr>
      </w:pPr>
      <w:bookmarkStart w:id="93" w:name="_Ref389650444"/>
    </w:p>
    <w:p w:rsidR="00976B52" w:rsidRPr="00976B52" w:rsidRDefault="006E57DC" w:rsidP="00B67E7D">
      <w:pPr>
        <w:spacing w:line="240" w:lineRule="auto"/>
        <w:jc w:val="left"/>
        <w:rPr>
          <w:b/>
        </w:rPr>
      </w:pPr>
      <w:bookmarkStart w:id="94" w:name="_Toc49771357"/>
      <w:r w:rsidRPr="00976B52">
        <w:rPr>
          <w:b/>
        </w:rPr>
        <w:t xml:space="preserve">Slika </w:t>
      </w:r>
      <w:r w:rsidRPr="00976B52">
        <w:rPr>
          <w:b/>
        </w:rPr>
        <w:fldChar w:fldCharType="begin"/>
      </w:r>
      <w:r w:rsidRPr="00976B52">
        <w:rPr>
          <w:b/>
        </w:rPr>
        <w:instrText xml:space="preserve"> SEQ Slika \* ARABIC </w:instrText>
      </w:r>
      <w:r w:rsidRPr="00976B52">
        <w:rPr>
          <w:b/>
        </w:rPr>
        <w:fldChar w:fldCharType="separate"/>
      </w:r>
      <w:r w:rsidR="00CE55C4">
        <w:rPr>
          <w:b/>
          <w:noProof/>
        </w:rPr>
        <w:t>12</w:t>
      </w:r>
      <w:r w:rsidRPr="00976B52">
        <w:rPr>
          <w:b/>
        </w:rPr>
        <w:fldChar w:fldCharType="end"/>
      </w:r>
      <w:bookmarkEnd w:id="93"/>
      <w:r w:rsidRPr="00976B52">
        <w:rPr>
          <w:b/>
        </w:rPr>
        <w:t xml:space="preserve">: Delež pasivnih postavk </w:t>
      </w:r>
      <w:r w:rsidR="00752EEC" w:rsidRPr="00976B52">
        <w:rPr>
          <w:b/>
        </w:rPr>
        <w:t xml:space="preserve">vseh </w:t>
      </w:r>
      <w:r w:rsidRPr="00976B52">
        <w:rPr>
          <w:b/>
        </w:rPr>
        <w:t xml:space="preserve">premoženjskih bilanc občin v bilančni vsoti </w:t>
      </w:r>
      <w:proofErr w:type="gramStart"/>
      <w:r w:rsidRPr="00976B52">
        <w:rPr>
          <w:b/>
        </w:rPr>
        <w:t>na</w:t>
      </w:r>
      <w:proofErr w:type="gramEnd"/>
      <w:r w:rsidRPr="00976B52">
        <w:rPr>
          <w:b/>
        </w:rPr>
        <w:t xml:space="preserve"> dan 31.12.201</w:t>
      </w:r>
      <w:r w:rsidR="00107DDE">
        <w:rPr>
          <w:b/>
        </w:rPr>
        <w:t>8</w:t>
      </w:r>
      <w:bookmarkEnd w:id="94"/>
    </w:p>
    <w:p w:rsidR="00976B52" w:rsidRDefault="00976B52" w:rsidP="0022473A">
      <w:pPr>
        <w:pStyle w:val="Caption"/>
        <w:rPr>
          <w:b w:val="0"/>
        </w:rPr>
      </w:pPr>
    </w:p>
    <w:p w:rsidR="00E119F6" w:rsidRDefault="00CF6BD8" w:rsidP="00CF6BD8">
      <w:pPr>
        <w:pStyle w:val="Caption"/>
        <w:spacing w:line="240" w:lineRule="auto"/>
        <w:jc w:val="center"/>
        <w:rPr>
          <w:b w:val="0"/>
        </w:rPr>
      </w:pPr>
      <w:r>
        <w:rPr>
          <w:b w:val="0"/>
          <w:noProof/>
          <w:lang w:val="sl-SI" w:eastAsia="sl-SI"/>
        </w:rPr>
        <w:drawing>
          <wp:inline distT="0" distB="0" distL="0" distR="0">
            <wp:extent cx="4991735" cy="2036445"/>
            <wp:effectExtent l="0" t="0" r="0" b="1905"/>
            <wp:docPr id="278" name="Picture 278" descr="Delež pasivnih postavk PBO 2018" title="Delež aktivnih postavk vseh premoženjskih bilanc občin v bilančni vsoti na dan 31.12.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991735" cy="2036445"/>
                    </a:xfrm>
                    <a:prstGeom prst="rect">
                      <a:avLst/>
                    </a:prstGeom>
                    <a:noFill/>
                  </pic:spPr>
                </pic:pic>
              </a:graphicData>
            </a:graphic>
          </wp:inline>
        </w:drawing>
      </w:r>
    </w:p>
    <w:p w:rsidR="00CE55C4" w:rsidRPr="00CE55C4" w:rsidRDefault="0022473A" w:rsidP="00847472">
      <w:pPr>
        <w:pStyle w:val="Caption"/>
        <w:rPr>
          <w:b w:val="0"/>
        </w:rPr>
      </w:pPr>
      <w:r>
        <w:rPr>
          <w:b w:val="0"/>
        </w:rPr>
        <w:t>Porazdelitev premoženja</w:t>
      </w:r>
      <w:r w:rsidR="00847472">
        <w:rPr>
          <w:b w:val="0"/>
        </w:rPr>
        <w:t xml:space="preserve"> občin</w:t>
      </w:r>
      <w:r>
        <w:rPr>
          <w:b w:val="0"/>
        </w:rPr>
        <w:t xml:space="preserve"> med NPU in PPU občinskih proračunov </w:t>
      </w:r>
      <w:proofErr w:type="gramStart"/>
      <w:r>
        <w:rPr>
          <w:b w:val="0"/>
        </w:rPr>
        <w:t>na</w:t>
      </w:r>
      <w:proofErr w:type="gramEnd"/>
      <w:r>
        <w:rPr>
          <w:b w:val="0"/>
        </w:rPr>
        <w:t xml:space="preserve"> dan 31.12.201</w:t>
      </w:r>
      <w:r w:rsidR="00107DDE">
        <w:rPr>
          <w:b w:val="0"/>
        </w:rPr>
        <w:t>8</w:t>
      </w:r>
      <w:r>
        <w:rPr>
          <w:b w:val="0"/>
        </w:rPr>
        <w:t xml:space="preserve"> prikazuje</w:t>
      </w:r>
      <w:r w:rsidR="00847472">
        <w:rPr>
          <w:b w:val="0"/>
        </w:rPr>
        <w:t xml:space="preserve"> </w:t>
      </w:r>
      <w:r w:rsidR="00847472" w:rsidRPr="00847472">
        <w:rPr>
          <w:b w:val="0"/>
        </w:rPr>
        <w:fldChar w:fldCharType="begin"/>
      </w:r>
      <w:r w:rsidR="00847472" w:rsidRPr="00847472">
        <w:rPr>
          <w:b w:val="0"/>
        </w:rPr>
        <w:instrText xml:space="preserve"> REF _Ref389653024 \h  \* MERGEFORMAT </w:instrText>
      </w:r>
      <w:r w:rsidR="00847472" w:rsidRPr="00847472">
        <w:rPr>
          <w:b w:val="0"/>
        </w:rPr>
      </w:r>
      <w:r w:rsidR="00847472" w:rsidRPr="00847472">
        <w:rPr>
          <w:b w:val="0"/>
        </w:rPr>
        <w:fldChar w:fldCharType="separate"/>
      </w:r>
    </w:p>
    <w:p w:rsidR="0022473A" w:rsidRPr="00F918A3" w:rsidRDefault="00CE55C4" w:rsidP="0022473A">
      <w:pPr>
        <w:pStyle w:val="Caption"/>
        <w:rPr>
          <w:b w:val="0"/>
        </w:rPr>
      </w:pPr>
      <w:proofErr w:type="gramStart"/>
      <w:r>
        <w:t>Tabela</w:t>
      </w:r>
      <w:r w:rsidRPr="00CE55C4">
        <w:rPr>
          <w:b w:val="0"/>
          <w:noProof/>
        </w:rPr>
        <w:t xml:space="preserve"> </w:t>
      </w:r>
      <w:r>
        <w:rPr>
          <w:noProof/>
        </w:rPr>
        <w:t>16</w:t>
      </w:r>
      <w:r w:rsidR="00847472" w:rsidRPr="00847472">
        <w:rPr>
          <w:b w:val="0"/>
        </w:rPr>
        <w:fldChar w:fldCharType="end"/>
      </w:r>
      <w:r w:rsidR="0053047D">
        <w:rPr>
          <w:b w:val="0"/>
        </w:rPr>
        <w:t>.</w:t>
      </w:r>
      <w:proofErr w:type="gramEnd"/>
      <w:r w:rsidR="0022473A">
        <w:rPr>
          <w:b w:val="0"/>
        </w:rPr>
        <w:t xml:space="preserve"> </w:t>
      </w:r>
    </w:p>
    <w:p w:rsidR="00107DDE" w:rsidRDefault="00107DDE" w:rsidP="00847472">
      <w:pPr>
        <w:pStyle w:val="Caption"/>
      </w:pPr>
      <w:bookmarkStart w:id="95" w:name="_Ref389653024"/>
    </w:p>
    <w:p w:rsidR="00B67E7D" w:rsidRDefault="00B67E7D">
      <w:pPr>
        <w:spacing w:line="240" w:lineRule="auto"/>
        <w:jc w:val="left"/>
        <w:rPr>
          <w:b/>
          <w:bCs/>
          <w:szCs w:val="20"/>
        </w:rPr>
      </w:pPr>
      <w:r>
        <w:br w:type="page"/>
      </w:r>
    </w:p>
    <w:p w:rsidR="00847472" w:rsidRDefault="00847472" w:rsidP="00847472">
      <w:pPr>
        <w:pStyle w:val="Caption"/>
      </w:pPr>
      <w:bookmarkStart w:id="96" w:name="_Toc49771338"/>
      <w:r>
        <w:lastRenderedPageBreak/>
        <w:t xml:space="preserve">Tabela </w:t>
      </w:r>
      <w:r>
        <w:fldChar w:fldCharType="begin"/>
      </w:r>
      <w:r>
        <w:instrText xml:space="preserve"> SEQ Tabela \* ARABIC </w:instrText>
      </w:r>
      <w:r>
        <w:fldChar w:fldCharType="separate"/>
      </w:r>
      <w:r w:rsidR="00CE55C4">
        <w:rPr>
          <w:noProof/>
        </w:rPr>
        <w:t>16</w:t>
      </w:r>
      <w:r>
        <w:fldChar w:fldCharType="end"/>
      </w:r>
      <w:bookmarkEnd w:id="95"/>
      <w:r>
        <w:t xml:space="preserve">: Porazdelitev premoženja občin med NPU in PPU občinskih proračunov </w:t>
      </w:r>
      <w:proofErr w:type="gramStart"/>
      <w:r>
        <w:t>na</w:t>
      </w:r>
      <w:proofErr w:type="gramEnd"/>
      <w:r>
        <w:t xml:space="preserve"> dan 31.12.201</w:t>
      </w:r>
      <w:r w:rsidR="00052705">
        <w:t>8</w:t>
      </w:r>
      <w:bookmarkEnd w:id="96"/>
    </w:p>
    <w:p w:rsidR="00C95B45" w:rsidRDefault="00C95B45" w:rsidP="00C95B4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75"/>
        <w:gridCol w:w="1558"/>
        <w:gridCol w:w="777"/>
      </w:tblGrid>
      <w:tr w:rsidR="00C95B45" w:rsidRPr="00972554" w:rsidTr="00C95B45">
        <w:trPr>
          <w:trHeight w:val="300"/>
          <w:tblHeader/>
        </w:trPr>
        <w:tc>
          <w:tcPr>
            <w:tcW w:w="3732" w:type="pct"/>
            <w:shd w:val="pct25" w:color="auto" w:fill="auto"/>
            <w:noWrap/>
            <w:vAlign w:val="bottom"/>
          </w:tcPr>
          <w:p w:rsidR="00C95B45" w:rsidRPr="00972554" w:rsidRDefault="00C95B45" w:rsidP="006B2DAF">
            <w:pPr>
              <w:spacing w:line="240" w:lineRule="auto"/>
              <w:rPr>
                <w:rFonts w:ascii="Calibri" w:hAnsi="Calibri"/>
                <w:b/>
                <w:bCs/>
                <w:color w:val="000000"/>
                <w:sz w:val="18"/>
                <w:szCs w:val="18"/>
                <w:lang w:eastAsia="sl-SI"/>
              </w:rPr>
            </w:pPr>
          </w:p>
        </w:tc>
        <w:tc>
          <w:tcPr>
            <w:tcW w:w="1268" w:type="pct"/>
            <w:gridSpan w:val="2"/>
            <w:shd w:val="pct25" w:color="auto" w:fill="auto"/>
            <w:noWrap/>
            <w:vAlign w:val="bottom"/>
          </w:tcPr>
          <w:p w:rsidR="00C95B45" w:rsidRPr="00972554" w:rsidRDefault="00C95B45" w:rsidP="00382B0F">
            <w:pPr>
              <w:spacing w:line="240" w:lineRule="auto"/>
              <w:jc w:val="right"/>
              <w:rPr>
                <w:rFonts w:ascii="Calibri" w:hAnsi="Calibri"/>
                <w:b/>
                <w:bCs/>
                <w:sz w:val="18"/>
                <w:szCs w:val="18"/>
                <w:lang w:eastAsia="sl-SI"/>
              </w:rPr>
            </w:pPr>
            <w:r w:rsidRPr="00972554">
              <w:rPr>
                <w:rFonts w:ascii="Calibri" w:hAnsi="Calibri"/>
                <w:b/>
                <w:bCs/>
                <w:sz w:val="18"/>
                <w:szCs w:val="18"/>
                <w:lang w:eastAsia="sl-SI"/>
              </w:rPr>
              <w:t>Stanje na dan 31.12.201</w:t>
            </w:r>
            <w:r w:rsidR="00052705" w:rsidRPr="00972554">
              <w:rPr>
                <w:rFonts w:ascii="Calibri" w:hAnsi="Calibri"/>
                <w:b/>
                <w:bCs/>
                <w:sz w:val="18"/>
                <w:szCs w:val="18"/>
                <w:lang w:eastAsia="sl-SI"/>
              </w:rPr>
              <w:t>8</w:t>
            </w:r>
          </w:p>
        </w:tc>
      </w:tr>
      <w:tr w:rsidR="00C95B45" w:rsidRPr="00972554" w:rsidTr="00367CF5">
        <w:trPr>
          <w:trHeight w:val="300"/>
          <w:tblHeader/>
        </w:trPr>
        <w:tc>
          <w:tcPr>
            <w:tcW w:w="3732" w:type="pct"/>
            <w:shd w:val="pct25" w:color="auto" w:fill="auto"/>
            <w:noWrap/>
            <w:vAlign w:val="bottom"/>
          </w:tcPr>
          <w:p w:rsidR="00C95B45" w:rsidRPr="00972554" w:rsidRDefault="00C95B45" w:rsidP="006B2DAF">
            <w:pPr>
              <w:spacing w:line="240" w:lineRule="auto"/>
              <w:rPr>
                <w:rFonts w:ascii="Calibri" w:hAnsi="Calibri"/>
                <w:b/>
                <w:bCs/>
                <w:color w:val="000000"/>
                <w:sz w:val="18"/>
                <w:szCs w:val="18"/>
                <w:lang w:eastAsia="sl-SI"/>
              </w:rPr>
            </w:pPr>
            <w:r w:rsidRPr="00972554">
              <w:rPr>
                <w:rFonts w:ascii="Calibri" w:hAnsi="Calibri"/>
                <w:b/>
                <w:bCs/>
                <w:color w:val="000000"/>
                <w:sz w:val="18"/>
                <w:szCs w:val="18"/>
                <w:lang w:eastAsia="sl-SI"/>
              </w:rPr>
              <w:t>Oznaka in naziv AOP</w:t>
            </w:r>
          </w:p>
        </w:tc>
        <w:tc>
          <w:tcPr>
            <w:tcW w:w="846" w:type="pct"/>
            <w:shd w:val="pct25" w:color="auto" w:fill="auto"/>
            <w:noWrap/>
            <w:vAlign w:val="bottom"/>
          </w:tcPr>
          <w:p w:rsidR="00C95B45" w:rsidRPr="00972554" w:rsidRDefault="00C95B45" w:rsidP="006B2DAF">
            <w:pPr>
              <w:spacing w:line="240" w:lineRule="auto"/>
              <w:jc w:val="center"/>
              <w:rPr>
                <w:rFonts w:ascii="Calibri" w:hAnsi="Calibri"/>
                <w:b/>
                <w:bCs/>
                <w:color w:val="000000"/>
                <w:sz w:val="18"/>
                <w:szCs w:val="18"/>
                <w:lang w:eastAsia="sl-SI"/>
              </w:rPr>
            </w:pPr>
            <w:r w:rsidRPr="00972554">
              <w:rPr>
                <w:rFonts w:ascii="Calibri" w:hAnsi="Calibri"/>
                <w:b/>
                <w:bCs/>
                <w:color w:val="000000"/>
                <w:sz w:val="18"/>
                <w:szCs w:val="18"/>
                <w:lang w:eastAsia="sl-SI"/>
              </w:rPr>
              <w:t>(</w:t>
            </w:r>
            <w:r w:rsidR="007309FF" w:rsidRPr="00972554">
              <w:rPr>
                <w:rFonts w:ascii="Calibri" w:hAnsi="Calibri"/>
                <w:b/>
                <w:bCs/>
                <w:color w:val="000000"/>
                <w:sz w:val="18"/>
                <w:szCs w:val="18"/>
                <w:lang w:eastAsia="sl-SI"/>
              </w:rPr>
              <w:t>€</w:t>
            </w:r>
            <w:r w:rsidRPr="00972554">
              <w:rPr>
                <w:rFonts w:ascii="Calibri" w:hAnsi="Calibri"/>
                <w:b/>
                <w:bCs/>
                <w:color w:val="000000"/>
                <w:sz w:val="18"/>
                <w:szCs w:val="18"/>
                <w:lang w:eastAsia="sl-SI"/>
              </w:rPr>
              <w:t>)</w:t>
            </w:r>
          </w:p>
        </w:tc>
        <w:tc>
          <w:tcPr>
            <w:tcW w:w="422" w:type="pct"/>
            <w:shd w:val="pct25" w:color="auto" w:fill="auto"/>
            <w:noWrap/>
            <w:vAlign w:val="bottom"/>
          </w:tcPr>
          <w:p w:rsidR="00C95B45" w:rsidRPr="00972554" w:rsidRDefault="007309FF" w:rsidP="006B2DAF">
            <w:pPr>
              <w:spacing w:line="240" w:lineRule="auto"/>
              <w:jc w:val="center"/>
              <w:rPr>
                <w:rFonts w:ascii="Calibri" w:hAnsi="Calibri"/>
                <w:b/>
                <w:bCs/>
                <w:sz w:val="18"/>
                <w:szCs w:val="18"/>
                <w:lang w:eastAsia="sl-SI"/>
              </w:rPr>
            </w:pPr>
            <w:r w:rsidRPr="00972554">
              <w:rPr>
                <w:rFonts w:ascii="Calibri" w:hAnsi="Calibri"/>
                <w:b/>
                <w:bCs/>
                <w:sz w:val="18"/>
                <w:szCs w:val="18"/>
                <w:lang w:eastAsia="sl-SI"/>
              </w:rPr>
              <w:t>%</w:t>
            </w:r>
          </w:p>
        </w:tc>
      </w:tr>
      <w:tr w:rsidR="00C95B45" w:rsidRPr="00972554" w:rsidTr="00367CF5">
        <w:trPr>
          <w:trHeight w:val="300"/>
          <w:tblHeader/>
        </w:trPr>
        <w:tc>
          <w:tcPr>
            <w:tcW w:w="3732" w:type="pct"/>
            <w:shd w:val="pct25" w:color="auto" w:fill="auto"/>
            <w:noWrap/>
            <w:vAlign w:val="bottom"/>
          </w:tcPr>
          <w:p w:rsidR="00C95B45" w:rsidRPr="00972554" w:rsidRDefault="00C95B45" w:rsidP="006B2DAF">
            <w:pPr>
              <w:spacing w:line="240" w:lineRule="auto"/>
              <w:jc w:val="center"/>
              <w:rPr>
                <w:rFonts w:ascii="Calibri" w:hAnsi="Calibri"/>
                <w:b/>
                <w:bCs/>
                <w:color w:val="000000"/>
                <w:sz w:val="18"/>
                <w:szCs w:val="18"/>
                <w:lang w:eastAsia="sl-SI"/>
              </w:rPr>
            </w:pPr>
            <w:r w:rsidRPr="00972554">
              <w:rPr>
                <w:rFonts w:ascii="Calibri" w:hAnsi="Calibri"/>
                <w:b/>
                <w:bCs/>
                <w:color w:val="000000"/>
                <w:sz w:val="18"/>
                <w:szCs w:val="18"/>
                <w:lang w:eastAsia="sl-SI"/>
              </w:rPr>
              <w:t>1</w:t>
            </w:r>
          </w:p>
        </w:tc>
        <w:tc>
          <w:tcPr>
            <w:tcW w:w="846" w:type="pct"/>
            <w:shd w:val="pct25" w:color="auto" w:fill="auto"/>
            <w:noWrap/>
            <w:vAlign w:val="bottom"/>
          </w:tcPr>
          <w:p w:rsidR="00C95B45" w:rsidRPr="00972554" w:rsidRDefault="00C95B45" w:rsidP="006B2DAF">
            <w:pPr>
              <w:spacing w:line="240" w:lineRule="auto"/>
              <w:jc w:val="center"/>
              <w:rPr>
                <w:rFonts w:ascii="Calibri" w:hAnsi="Calibri"/>
                <w:b/>
                <w:bCs/>
                <w:color w:val="000000"/>
                <w:sz w:val="18"/>
                <w:szCs w:val="18"/>
                <w:lang w:eastAsia="sl-SI"/>
              </w:rPr>
            </w:pPr>
            <w:r w:rsidRPr="00972554">
              <w:rPr>
                <w:rFonts w:ascii="Calibri" w:hAnsi="Calibri"/>
                <w:b/>
                <w:bCs/>
                <w:color w:val="000000"/>
                <w:sz w:val="18"/>
                <w:szCs w:val="18"/>
                <w:lang w:eastAsia="sl-SI"/>
              </w:rPr>
              <w:t>2</w:t>
            </w:r>
          </w:p>
        </w:tc>
        <w:tc>
          <w:tcPr>
            <w:tcW w:w="422" w:type="pct"/>
            <w:shd w:val="pct25" w:color="auto" w:fill="auto"/>
            <w:noWrap/>
            <w:vAlign w:val="bottom"/>
          </w:tcPr>
          <w:p w:rsidR="00C95B45" w:rsidRPr="00972554" w:rsidRDefault="00C95B45" w:rsidP="006B2DAF">
            <w:pPr>
              <w:spacing w:line="240" w:lineRule="auto"/>
              <w:jc w:val="center"/>
              <w:rPr>
                <w:rFonts w:ascii="Calibri" w:hAnsi="Calibri"/>
                <w:b/>
                <w:bCs/>
                <w:sz w:val="18"/>
                <w:szCs w:val="18"/>
                <w:lang w:eastAsia="sl-SI"/>
              </w:rPr>
            </w:pPr>
            <w:r w:rsidRPr="00972554">
              <w:rPr>
                <w:rFonts w:ascii="Calibri" w:hAnsi="Calibri"/>
                <w:b/>
                <w:bCs/>
                <w:sz w:val="18"/>
                <w:szCs w:val="18"/>
                <w:lang w:eastAsia="sl-SI"/>
              </w:rPr>
              <w:t>3</w:t>
            </w:r>
          </w:p>
        </w:tc>
      </w:tr>
      <w:tr w:rsidR="00F20C58" w:rsidRPr="00972554" w:rsidTr="00972554">
        <w:trPr>
          <w:trHeight w:val="300"/>
        </w:trPr>
        <w:tc>
          <w:tcPr>
            <w:tcW w:w="3732" w:type="pct"/>
            <w:shd w:val="clear" w:color="auto" w:fill="auto"/>
            <w:noWrap/>
            <w:hideMark/>
          </w:tcPr>
          <w:p w:rsidR="00F20C58" w:rsidRPr="00116FC1" w:rsidRDefault="00F20C58" w:rsidP="006B2DAF">
            <w:pPr>
              <w:spacing w:line="240" w:lineRule="auto"/>
              <w:rPr>
                <w:rFonts w:ascii="Calibri" w:hAnsi="Calibri"/>
                <w:b/>
                <w:bCs/>
                <w:sz w:val="18"/>
                <w:szCs w:val="18"/>
                <w:lang w:eastAsia="sl-SI"/>
              </w:rPr>
            </w:pPr>
            <w:r w:rsidRPr="00972554">
              <w:rPr>
                <w:rFonts w:ascii="Calibri" w:hAnsi="Calibri"/>
                <w:b/>
                <w:sz w:val="18"/>
                <w:szCs w:val="18"/>
              </w:rPr>
              <w:t>500-Sedanja vrednost neopredmetenih sredstev in dolgoročnih aktivnih časovnih razmejitev</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b/>
                <w:bCs/>
                <w:sz w:val="18"/>
                <w:szCs w:val="18"/>
                <w:lang w:eastAsia="sl-SI"/>
              </w:rPr>
            </w:pPr>
            <w:r w:rsidRPr="00972554">
              <w:rPr>
                <w:rFonts w:ascii="Calibri" w:hAnsi="Calibri"/>
                <w:b/>
                <w:sz w:val="18"/>
                <w:szCs w:val="18"/>
              </w:rPr>
              <w:t xml:space="preserve">29.005.150 </w:t>
            </w:r>
          </w:p>
        </w:tc>
        <w:tc>
          <w:tcPr>
            <w:tcW w:w="422" w:type="pct"/>
            <w:shd w:val="clear" w:color="auto" w:fill="FFFFFF"/>
            <w:noWrap/>
            <w:vAlign w:val="bottom"/>
            <w:hideMark/>
          </w:tcPr>
          <w:p w:rsidR="00F20C58" w:rsidRPr="00116FC1" w:rsidRDefault="00F20C58" w:rsidP="00412299">
            <w:pPr>
              <w:spacing w:line="240" w:lineRule="auto"/>
              <w:jc w:val="right"/>
              <w:rPr>
                <w:rFonts w:ascii="Calibri" w:hAnsi="Calibri"/>
                <w:b/>
                <w:bCs/>
                <w:sz w:val="18"/>
                <w:szCs w:val="18"/>
                <w:lang w:eastAsia="sl-SI"/>
              </w:rPr>
            </w:pPr>
          </w:p>
        </w:tc>
      </w:tr>
      <w:tr w:rsidR="00F20C58" w:rsidRPr="00972554" w:rsidTr="00972554">
        <w:trPr>
          <w:trHeight w:val="300"/>
        </w:trPr>
        <w:tc>
          <w:tcPr>
            <w:tcW w:w="3732" w:type="pct"/>
            <w:shd w:val="clear" w:color="auto" w:fill="auto"/>
            <w:noWrap/>
            <w:hideMark/>
          </w:tcPr>
          <w:p w:rsidR="00F20C58" w:rsidRPr="00412299" w:rsidRDefault="0036160C" w:rsidP="00972554">
            <w:pPr>
              <w:spacing w:line="240" w:lineRule="auto"/>
              <w:ind w:firstLineChars="100" w:firstLine="180"/>
              <w:jc w:val="left"/>
              <w:rPr>
                <w:rFonts w:ascii="Calibri" w:hAnsi="Calibri"/>
                <w:sz w:val="18"/>
                <w:szCs w:val="18"/>
                <w:lang w:eastAsia="sl-SI"/>
              </w:rPr>
            </w:pPr>
            <w:r>
              <w:rPr>
                <w:rFonts w:ascii="Calibri" w:hAnsi="Calibri"/>
                <w:sz w:val="18"/>
                <w:szCs w:val="18"/>
              </w:rPr>
              <w:t>NPU</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sz w:val="18"/>
                <w:szCs w:val="18"/>
                <w:lang w:eastAsia="sl-SI"/>
              </w:rPr>
            </w:pPr>
            <w:r w:rsidRPr="00972554">
              <w:rPr>
                <w:rFonts w:ascii="Calibri" w:hAnsi="Calibri"/>
                <w:sz w:val="18"/>
                <w:szCs w:val="18"/>
              </w:rPr>
              <w:t xml:space="preserve">17.916.034 </w:t>
            </w:r>
          </w:p>
        </w:tc>
        <w:tc>
          <w:tcPr>
            <w:tcW w:w="422" w:type="pct"/>
            <w:shd w:val="clear" w:color="auto" w:fill="FFFFFF"/>
            <w:noWrap/>
            <w:vAlign w:val="bottom"/>
            <w:hideMark/>
          </w:tcPr>
          <w:p w:rsidR="00F20C58" w:rsidRPr="00412299" w:rsidRDefault="00F20C58" w:rsidP="00412299">
            <w:pPr>
              <w:spacing w:line="240" w:lineRule="auto"/>
              <w:jc w:val="right"/>
              <w:rPr>
                <w:rFonts w:ascii="Calibri" w:hAnsi="Calibri"/>
                <w:sz w:val="18"/>
                <w:szCs w:val="18"/>
                <w:lang w:eastAsia="sl-SI"/>
              </w:rPr>
            </w:pPr>
            <w:r w:rsidRPr="00972554">
              <w:rPr>
                <w:rFonts w:ascii="Calibri" w:hAnsi="Calibri"/>
                <w:sz w:val="18"/>
                <w:szCs w:val="18"/>
              </w:rPr>
              <w:t>61,77</w:t>
            </w:r>
          </w:p>
        </w:tc>
      </w:tr>
      <w:tr w:rsidR="00F20C58" w:rsidRPr="00972554" w:rsidTr="00972554">
        <w:trPr>
          <w:trHeight w:val="300"/>
        </w:trPr>
        <w:tc>
          <w:tcPr>
            <w:tcW w:w="3732" w:type="pct"/>
            <w:shd w:val="clear" w:color="auto" w:fill="auto"/>
            <w:noWrap/>
            <w:hideMark/>
          </w:tcPr>
          <w:p w:rsidR="00F20C58" w:rsidRPr="00412299" w:rsidRDefault="0036160C" w:rsidP="00972554">
            <w:pPr>
              <w:spacing w:line="240" w:lineRule="auto"/>
              <w:ind w:firstLineChars="100" w:firstLine="180"/>
              <w:jc w:val="left"/>
              <w:rPr>
                <w:rFonts w:ascii="Calibri" w:hAnsi="Calibri"/>
                <w:sz w:val="18"/>
                <w:szCs w:val="18"/>
                <w:lang w:eastAsia="sl-SI"/>
              </w:rPr>
            </w:pPr>
            <w:r>
              <w:rPr>
                <w:rFonts w:ascii="Calibri" w:hAnsi="Calibri"/>
                <w:sz w:val="18"/>
                <w:szCs w:val="18"/>
              </w:rPr>
              <w:t>PPU</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sz w:val="18"/>
                <w:szCs w:val="18"/>
                <w:lang w:eastAsia="sl-SI"/>
              </w:rPr>
            </w:pPr>
            <w:r w:rsidRPr="00972554">
              <w:rPr>
                <w:rFonts w:ascii="Calibri" w:hAnsi="Calibri"/>
                <w:sz w:val="18"/>
                <w:szCs w:val="18"/>
              </w:rPr>
              <w:t xml:space="preserve">11.089.116 </w:t>
            </w:r>
          </w:p>
        </w:tc>
        <w:tc>
          <w:tcPr>
            <w:tcW w:w="422" w:type="pct"/>
            <w:shd w:val="clear" w:color="auto" w:fill="FFFFFF"/>
            <w:noWrap/>
            <w:vAlign w:val="bottom"/>
            <w:hideMark/>
          </w:tcPr>
          <w:p w:rsidR="00F20C58" w:rsidRPr="00412299" w:rsidRDefault="00F20C58" w:rsidP="00412299">
            <w:pPr>
              <w:spacing w:line="240" w:lineRule="auto"/>
              <w:jc w:val="right"/>
              <w:rPr>
                <w:rFonts w:ascii="Calibri" w:hAnsi="Calibri"/>
                <w:sz w:val="18"/>
                <w:szCs w:val="18"/>
                <w:lang w:eastAsia="sl-SI"/>
              </w:rPr>
            </w:pPr>
            <w:r w:rsidRPr="00972554">
              <w:rPr>
                <w:rFonts w:ascii="Calibri" w:hAnsi="Calibri"/>
                <w:sz w:val="18"/>
                <w:szCs w:val="18"/>
              </w:rPr>
              <w:t>38,23</w:t>
            </w:r>
          </w:p>
        </w:tc>
      </w:tr>
      <w:tr w:rsidR="00F20C58" w:rsidRPr="00972554" w:rsidTr="00972554">
        <w:trPr>
          <w:trHeight w:val="300"/>
        </w:trPr>
        <w:tc>
          <w:tcPr>
            <w:tcW w:w="3732" w:type="pct"/>
            <w:shd w:val="clear" w:color="auto" w:fill="auto"/>
            <w:noWrap/>
            <w:hideMark/>
          </w:tcPr>
          <w:p w:rsidR="00F20C58" w:rsidRPr="00972554" w:rsidRDefault="00F20C58" w:rsidP="006B2DAF">
            <w:pPr>
              <w:spacing w:line="240" w:lineRule="auto"/>
              <w:rPr>
                <w:rFonts w:ascii="Calibri" w:hAnsi="Calibri"/>
                <w:b/>
                <w:bCs/>
                <w:sz w:val="18"/>
                <w:szCs w:val="18"/>
                <w:lang w:eastAsia="sl-SI"/>
              </w:rPr>
            </w:pPr>
            <w:r w:rsidRPr="00972554">
              <w:rPr>
                <w:rFonts w:ascii="Calibri" w:hAnsi="Calibri"/>
                <w:b/>
                <w:sz w:val="18"/>
                <w:szCs w:val="18"/>
              </w:rPr>
              <w:t>501-Nabavna vrednost neopredmetenih sredstev in dolgoročnih aktivnih časovnih razmejitev</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b/>
                <w:bCs/>
                <w:sz w:val="18"/>
                <w:szCs w:val="18"/>
                <w:lang w:eastAsia="sl-SI"/>
              </w:rPr>
            </w:pPr>
            <w:r w:rsidRPr="00972554">
              <w:rPr>
                <w:rFonts w:ascii="Calibri" w:hAnsi="Calibri"/>
                <w:b/>
                <w:sz w:val="18"/>
                <w:szCs w:val="18"/>
              </w:rPr>
              <w:t xml:space="preserve">100.937.056 </w:t>
            </w:r>
          </w:p>
        </w:tc>
        <w:tc>
          <w:tcPr>
            <w:tcW w:w="422" w:type="pct"/>
            <w:shd w:val="clear" w:color="auto" w:fill="FFFFFF"/>
            <w:noWrap/>
            <w:vAlign w:val="bottom"/>
            <w:hideMark/>
          </w:tcPr>
          <w:p w:rsidR="00F20C58" w:rsidRPr="00116FC1" w:rsidRDefault="00F20C58" w:rsidP="00412299">
            <w:pPr>
              <w:spacing w:line="240" w:lineRule="auto"/>
              <w:jc w:val="right"/>
              <w:rPr>
                <w:rFonts w:ascii="Calibri" w:hAnsi="Calibri"/>
                <w:b/>
                <w:bCs/>
                <w:sz w:val="18"/>
                <w:szCs w:val="18"/>
                <w:lang w:eastAsia="sl-SI"/>
              </w:rPr>
            </w:pPr>
          </w:p>
        </w:tc>
      </w:tr>
      <w:tr w:rsidR="00F20C58" w:rsidRPr="00972554" w:rsidTr="00972554">
        <w:trPr>
          <w:trHeight w:val="300"/>
        </w:trPr>
        <w:tc>
          <w:tcPr>
            <w:tcW w:w="3732" w:type="pct"/>
            <w:shd w:val="clear" w:color="auto" w:fill="auto"/>
            <w:noWrap/>
            <w:hideMark/>
          </w:tcPr>
          <w:p w:rsidR="00F20C58" w:rsidRPr="00412299" w:rsidRDefault="0036160C" w:rsidP="00972554">
            <w:pPr>
              <w:spacing w:line="240" w:lineRule="auto"/>
              <w:ind w:firstLineChars="100" w:firstLine="180"/>
              <w:rPr>
                <w:rFonts w:ascii="Calibri" w:hAnsi="Calibri"/>
                <w:sz w:val="18"/>
                <w:szCs w:val="18"/>
                <w:lang w:eastAsia="sl-SI"/>
              </w:rPr>
            </w:pPr>
            <w:r>
              <w:rPr>
                <w:rFonts w:ascii="Calibri" w:hAnsi="Calibri"/>
                <w:sz w:val="18"/>
                <w:szCs w:val="18"/>
              </w:rPr>
              <w:t>NPU</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sz w:val="18"/>
                <w:szCs w:val="18"/>
                <w:lang w:eastAsia="sl-SI"/>
              </w:rPr>
            </w:pPr>
            <w:r w:rsidRPr="00972554">
              <w:rPr>
                <w:rFonts w:ascii="Calibri" w:hAnsi="Calibri"/>
                <w:sz w:val="18"/>
                <w:szCs w:val="18"/>
              </w:rPr>
              <w:t xml:space="preserve">65.092.993 </w:t>
            </w:r>
          </w:p>
        </w:tc>
        <w:tc>
          <w:tcPr>
            <w:tcW w:w="422" w:type="pct"/>
            <w:shd w:val="clear" w:color="auto" w:fill="FFFFFF"/>
            <w:noWrap/>
            <w:vAlign w:val="bottom"/>
            <w:hideMark/>
          </w:tcPr>
          <w:p w:rsidR="00F20C58" w:rsidRPr="00412299" w:rsidRDefault="00F20C58" w:rsidP="00412299">
            <w:pPr>
              <w:spacing w:line="240" w:lineRule="auto"/>
              <w:jc w:val="right"/>
              <w:rPr>
                <w:rFonts w:ascii="Calibri" w:hAnsi="Calibri"/>
                <w:sz w:val="18"/>
                <w:szCs w:val="18"/>
                <w:lang w:eastAsia="sl-SI"/>
              </w:rPr>
            </w:pPr>
            <w:r w:rsidRPr="00972554">
              <w:rPr>
                <w:rFonts w:ascii="Calibri" w:hAnsi="Calibri"/>
                <w:sz w:val="18"/>
                <w:szCs w:val="18"/>
              </w:rPr>
              <w:t>64,49</w:t>
            </w:r>
          </w:p>
        </w:tc>
      </w:tr>
      <w:tr w:rsidR="00F20C58" w:rsidRPr="00972554" w:rsidTr="00972554">
        <w:trPr>
          <w:trHeight w:val="300"/>
        </w:trPr>
        <w:tc>
          <w:tcPr>
            <w:tcW w:w="3732" w:type="pct"/>
            <w:shd w:val="clear" w:color="auto" w:fill="auto"/>
            <w:noWrap/>
            <w:hideMark/>
          </w:tcPr>
          <w:p w:rsidR="00F20C58" w:rsidRPr="00412299" w:rsidRDefault="0036160C" w:rsidP="00972554">
            <w:pPr>
              <w:spacing w:line="240" w:lineRule="auto"/>
              <w:ind w:firstLineChars="100" w:firstLine="180"/>
              <w:rPr>
                <w:rFonts w:ascii="Calibri" w:hAnsi="Calibri"/>
                <w:sz w:val="18"/>
                <w:szCs w:val="18"/>
                <w:lang w:eastAsia="sl-SI"/>
              </w:rPr>
            </w:pPr>
            <w:r>
              <w:rPr>
                <w:rFonts w:ascii="Calibri" w:hAnsi="Calibri"/>
                <w:sz w:val="18"/>
                <w:szCs w:val="18"/>
              </w:rPr>
              <w:t>PPU</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sz w:val="18"/>
                <w:szCs w:val="18"/>
                <w:lang w:eastAsia="sl-SI"/>
              </w:rPr>
            </w:pPr>
            <w:r w:rsidRPr="00972554">
              <w:rPr>
                <w:rFonts w:ascii="Calibri" w:hAnsi="Calibri"/>
                <w:sz w:val="18"/>
                <w:szCs w:val="18"/>
              </w:rPr>
              <w:t xml:space="preserve">35.844.063 </w:t>
            </w:r>
          </w:p>
        </w:tc>
        <w:tc>
          <w:tcPr>
            <w:tcW w:w="422" w:type="pct"/>
            <w:shd w:val="clear" w:color="auto" w:fill="FFFFFF"/>
            <w:noWrap/>
            <w:vAlign w:val="bottom"/>
            <w:hideMark/>
          </w:tcPr>
          <w:p w:rsidR="00F20C58" w:rsidRPr="00412299" w:rsidRDefault="00F20C58" w:rsidP="00412299">
            <w:pPr>
              <w:spacing w:line="240" w:lineRule="auto"/>
              <w:jc w:val="right"/>
              <w:rPr>
                <w:rFonts w:ascii="Calibri" w:hAnsi="Calibri"/>
                <w:sz w:val="18"/>
                <w:szCs w:val="18"/>
                <w:lang w:eastAsia="sl-SI"/>
              </w:rPr>
            </w:pPr>
            <w:r w:rsidRPr="00972554">
              <w:rPr>
                <w:rFonts w:ascii="Calibri" w:hAnsi="Calibri"/>
                <w:sz w:val="18"/>
                <w:szCs w:val="18"/>
              </w:rPr>
              <w:t>35,51</w:t>
            </w:r>
          </w:p>
        </w:tc>
      </w:tr>
      <w:tr w:rsidR="00F20C58" w:rsidRPr="00972554" w:rsidTr="00972554">
        <w:trPr>
          <w:trHeight w:val="300"/>
        </w:trPr>
        <w:tc>
          <w:tcPr>
            <w:tcW w:w="3732" w:type="pct"/>
            <w:shd w:val="clear" w:color="auto" w:fill="auto"/>
            <w:noWrap/>
            <w:hideMark/>
          </w:tcPr>
          <w:p w:rsidR="00F20C58" w:rsidRPr="00116FC1" w:rsidRDefault="00F20C58" w:rsidP="006B2DAF">
            <w:pPr>
              <w:spacing w:line="240" w:lineRule="auto"/>
              <w:rPr>
                <w:rFonts w:ascii="Calibri" w:hAnsi="Calibri"/>
                <w:b/>
                <w:bCs/>
                <w:sz w:val="18"/>
                <w:szCs w:val="18"/>
                <w:lang w:eastAsia="sl-SI"/>
              </w:rPr>
            </w:pPr>
            <w:r w:rsidRPr="00972554">
              <w:rPr>
                <w:rFonts w:ascii="Calibri" w:hAnsi="Calibri"/>
                <w:b/>
                <w:sz w:val="18"/>
                <w:szCs w:val="18"/>
              </w:rPr>
              <w:t>502-Popravki vrednosti neopredmetenih sredstev</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b/>
                <w:bCs/>
                <w:sz w:val="18"/>
                <w:szCs w:val="18"/>
                <w:lang w:eastAsia="sl-SI"/>
              </w:rPr>
            </w:pPr>
            <w:r w:rsidRPr="00972554">
              <w:rPr>
                <w:rFonts w:ascii="Calibri" w:hAnsi="Calibri"/>
                <w:b/>
                <w:sz w:val="18"/>
                <w:szCs w:val="18"/>
              </w:rPr>
              <w:t xml:space="preserve">71.931.906 </w:t>
            </w:r>
          </w:p>
        </w:tc>
        <w:tc>
          <w:tcPr>
            <w:tcW w:w="422" w:type="pct"/>
            <w:shd w:val="clear" w:color="auto" w:fill="FFFFFF"/>
            <w:noWrap/>
            <w:vAlign w:val="bottom"/>
            <w:hideMark/>
          </w:tcPr>
          <w:p w:rsidR="00F20C58" w:rsidRPr="00116FC1" w:rsidRDefault="00F20C58" w:rsidP="00412299">
            <w:pPr>
              <w:spacing w:line="240" w:lineRule="auto"/>
              <w:jc w:val="right"/>
              <w:rPr>
                <w:rFonts w:ascii="Calibri" w:hAnsi="Calibri"/>
                <w:b/>
                <w:bCs/>
                <w:sz w:val="18"/>
                <w:szCs w:val="18"/>
                <w:lang w:eastAsia="sl-SI"/>
              </w:rPr>
            </w:pPr>
          </w:p>
        </w:tc>
      </w:tr>
      <w:tr w:rsidR="00F20C58" w:rsidRPr="00972554" w:rsidTr="00972554">
        <w:trPr>
          <w:trHeight w:val="300"/>
        </w:trPr>
        <w:tc>
          <w:tcPr>
            <w:tcW w:w="3732" w:type="pct"/>
            <w:shd w:val="clear" w:color="auto" w:fill="auto"/>
            <w:noWrap/>
            <w:hideMark/>
          </w:tcPr>
          <w:p w:rsidR="00F20C58" w:rsidRPr="00412299" w:rsidRDefault="0036160C" w:rsidP="00972554">
            <w:pPr>
              <w:spacing w:line="240" w:lineRule="auto"/>
              <w:ind w:firstLineChars="100" w:firstLine="180"/>
              <w:rPr>
                <w:rFonts w:ascii="Calibri" w:hAnsi="Calibri"/>
                <w:sz w:val="18"/>
                <w:szCs w:val="18"/>
                <w:lang w:eastAsia="sl-SI"/>
              </w:rPr>
            </w:pPr>
            <w:r>
              <w:rPr>
                <w:rFonts w:ascii="Calibri" w:hAnsi="Calibri"/>
                <w:sz w:val="18"/>
                <w:szCs w:val="18"/>
              </w:rPr>
              <w:t>NPU</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sz w:val="18"/>
                <w:szCs w:val="18"/>
                <w:lang w:eastAsia="sl-SI"/>
              </w:rPr>
            </w:pPr>
            <w:r w:rsidRPr="00972554">
              <w:rPr>
                <w:rFonts w:ascii="Calibri" w:hAnsi="Calibri"/>
                <w:sz w:val="18"/>
                <w:szCs w:val="18"/>
              </w:rPr>
              <w:t xml:space="preserve">47.176.959 </w:t>
            </w:r>
          </w:p>
        </w:tc>
        <w:tc>
          <w:tcPr>
            <w:tcW w:w="422" w:type="pct"/>
            <w:shd w:val="clear" w:color="auto" w:fill="FFFFFF"/>
            <w:noWrap/>
            <w:vAlign w:val="bottom"/>
            <w:hideMark/>
          </w:tcPr>
          <w:p w:rsidR="00F20C58" w:rsidRPr="00412299" w:rsidRDefault="00F20C58" w:rsidP="00412299">
            <w:pPr>
              <w:spacing w:line="240" w:lineRule="auto"/>
              <w:jc w:val="right"/>
              <w:rPr>
                <w:rFonts w:ascii="Calibri" w:hAnsi="Calibri"/>
                <w:sz w:val="18"/>
                <w:szCs w:val="18"/>
                <w:lang w:eastAsia="sl-SI"/>
              </w:rPr>
            </w:pPr>
            <w:r w:rsidRPr="00972554">
              <w:rPr>
                <w:rFonts w:ascii="Calibri" w:hAnsi="Calibri"/>
                <w:sz w:val="18"/>
                <w:szCs w:val="18"/>
              </w:rPr>
              <w:t>65,59</w:t>
            </w:r>
          </w:p>
        </w:tc>
      </w:tr>
      <w:tr w:rsidR="00F20C58" w:rsidRPr="00972554" w:rsidTr="00972554">
        <w:trPr>
          <w:trHeight w:val="300"/>
        </w:trPr>
        <w:tc>
          <w:tcPr>
            <w:tcW w:w="3732" w:type="pct"/>
            <w:shd w:val="clear" w:color="auto" w:fill="auto"/>
            <w:noWrap/>
            <w:hideMark/>
          </w:tcPr>
          <w:p w:rsidR="00F20C58" w:rsidRPr="00412299" w:rsidRDefault="0036160C" w:rsidP="00972554">
            <w:pPr>
              <w:spacing w:line="240" w:lineRule="auto"/>
              <w:ind w:firstLineChars="100" w:firstLine="180"/>
              <w:rPr>
                <w:rFonts w:ascii="Calibri" w:hAnsi="Calibri"/>
                <w:sz w:val="18"/>
                <w:szCs w:val="18"/>
                <w:lang w:eastAsia="sl-SI"/>
              </w:rPr>
            </w:pPr>
            <w:r>
              <w:rPr>
                <w:rFonts w:ascii="Calibri" w:hAnsi="Calibri"/>
                <w:sz w:val="18"/>
                <w:szCs w:val="18"/>
              </w:rPr>
              <w:t>PPU</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sz w:val="18"/>
                <w:szCs w:val="18"/>
                <w:lang w:eastAsia="sl-SI"/>
              </w:rPr>
            </w:pPr>
            <w:r w:rsidRPr="00972554">
              <w:rPr>
                <w:rFonts w:ascii="Calibri" w:hAnsi="Calibri"/>
                <w:sz w:val="18"/>
                <w:szCs w:val="18"/>
              </w:rPr>
              <w:t xml:space="preserve">24.754.947 </w:t>
            </w:r>
          </w:p>
        </w:tc>
        <w:tc>
          <w:tcPr>
            <w:tcW w:w="422" w:type="pct"/>
            <w:shd w:val="clear" w:color="auto" w:fill="FFFFFF"/>
            <w:noWrap/>
            <w:vAlign w:val="bottom"/>
            <w:hideMark/>
          </w:tcPr>
          <w:p w:rsidR="00F20C58" w:rsidRPr="00412299" w:rsidRDefault="00F20C58" w:rsidP="00412299">
            <w:pPr>
              <w:spacing w:line="240" w:lineRule="auto"/>
              <w:jc w:val="right"/>
              <w:rPr>
                <w:rFonts w:ascii="Calibri" w:hAnsi="Calibri"/>
                <w:sz w:val="18"/>
                <w:szCs w:val="18"/>
                <w:lang w:eastAsia="sl-SI"/>
              </w:rPr>
            </w:pPr>
            <w:r w:rsidRPr="00972554">
              <w:rPr>
                <w:rFonts w:ascii="Calibri" w:hAnsi="Calibri"/>
                <w:sz w:val="18"/>
                <w:szCs w:val="18"/>
              </w:rPr>
              <w:t>34,41</w:t>
            </w:r>
          </w:p>
        </w:tc>
      </w:tr>
      <w:tr w:rsidR="00F20C58" w:rsidRPr="00972554" w:rsidTr="00972554">
        <w:trPr>
          <w:trHeight w:val="300"/>
        </w:trPr>
        <w:tc>
          <w:tcPr>
            <w:tcW w:w="3732" w:type="pct"/>
            <w:shd w:val="clear" w:color="auto" w:fill="auto"/>
            <w:noWrap/>
            <w:hideMark/>
          </w:tcPr>
          <w:p w:rsidR="00F20C58" w:rsidRPr="00412299" w:rsidRDefault="00F20C58" w:rsidP="006B2DAF">
            <w:pPr>
              <w:spacing w:line="240" w:lineRule="auto"/>
              <w:rPr>
                <w:rFonts w:ascii="Calibri" w:hAnsi="Calibri"/>
                <w:b/>
                <w:bCs/>
                <w:sz w:val="18"/>
                <w:szCs w:val="18"/>
                <w:lang w:eastAsia="sl-SI"/>
              </w:rPr>
            </w:pPr>
            <w:r w:rsidRPr="00972554">
              <w:rPr>
                <w:rFonts w:ascii="Calibri" w:hAnsi="Calibri"/>
                <w:b/>
                <w:sz w:val="18"/>
                <w:szCs w:val="18"/>
              </w:rPr>
              <w:t>503-Sedanja vrednost nepremičnin</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b/>
                <w:bCs/>
                <w:sz w:val="18"/>
                <w:szCs w:val="18"/>
                <w:lang w:eastAsia="sl-SI"/>
              </w:rPr>
            </w:pPr>
            <w:r w:rsidRPr="00972554">
              <w:rPr>
                <w:rFonts w:ascii="Calibri" w:hAnsi="Calibri"/>
                <w:b/>
                <w:sz w:val="18"/>
                <w:szCs w:val="18"/>
              </w:rPr>
              <w:t xml:space="preserve">12.772.201.728 </w:t>
            </w:r>
          </w:p>
        </w:tc>
        <w:tc>
          <w:tcPr>
            <w:tcW w:w="422" w:type="pct"/>
            <w:shd w:val="clear" w:color="auto" w:fill="FFFFFF"/>
            <w:noWrap/>
            <w:vAlign w:val="bottom"/>
            <w:hideMark/>
          </w:tcPr>
          <w:p w:rsidR="00F20C58" w:rsidRPr="00116FC1" w:rsidRDefault="00F20C58" w:rsidP="00412299">
            <w:pPr>
              <w:spacing w:line="240" w:lineRule="auto"/>
              <w:jc w:val="right"/>
              <w:rPr>
                <w:rFonts w:ascii="Calibri" w:hAnsi="Calibri"/>
                <w:b/>
                <w:bCs/>
                <w:sz w:val="18"/>
                <w:szCs w:val="18"/>
                <w:lang w:eastAsia="sl-SI"/>
              </w:rPr>
            </w:pPr>
          </w:p>
        </w:tc>
      </w:tr>
      <w:tr w:rsidR="00F20C58" w:rsidRPr="00972554" w:rsidTr="00972554">
        <w:trPr>
          <w:trHeight w:val="300"/>
        </w:trPr>
        <w:tc>
          <w:tcPr>
            <w:tcW w:w="3732" w:type="pct"/>
            <w:shd w:val="clear" w:color="auto" w:fill="auto"/>
            <w:noWrap/>
            <w:hideMark/>
          </w:tcPr>
          <w:p w:rsidR="00F20C58" w:rsidRPr="00412299" w:rsidRDefault="0036160C" w:rsidP="00972554">
            <w:pPr>
              <w:spacing w:line="240" w:lineRule="auto"/>
              <w:ind w:firstLineChars="100" w:firstLine="180"/>
              <w:rPr>
                <w:rFonts w:ascii="Calibri" w:hAnsi="Calibri"/>
                <w:sz w:val="18"/>
                <w:szCs w:val="18"/>
                <w:lang w:eastAsia="sl-SI"/>
              </w:rPr>
            </w:pPr>
            <w:r>
              <w:rPr>
                <w:rFonts w:ascii="Calibri" w:hAnsi="Calibri"/>
                <w:sz w:val="18"/>
                <w:szCs w:val="18"/>
              </w:rPr>
              <w:t>NPU</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sz w:val="18"/>
                <w:szCs w:val="18"/>
                <w:lang w:eastAsia="sl-SI"/>
              </w:rPr>
            </w:pPr>
            <w:r w:rsidRPr="00972554">
              <w:rPr>
                <w:rFonts w:ascii="Calibri" w:hAnsi="Calibri"/>
                <w:sz w:val="18"/>
                <w:szCs w:val="18"/>
              </w:rPr>
              <w:t xml:space="preserve">9.962.122.070 </w:t>
            </w:r>
          </w:p>
        </w:tc>
        <w:tc>
          <w:tcPr>
            <w:tcW w:w="422" w:type="pct"/>
            <w:shd w:val="clear" w:color="auto" w:fill="FFFFFF"/>
            <w:noWrap/>
            <w:vAlign w:val="bottom"/>
            <w:hideMark/>
          </w:tcPr>
          <w:p w:rsidR="00F20C58" w:rsidRPr="00412299" w:rsidRDefault="00F20C58" w:rsidP="00412299">
            <w:pPr>
              <w:spacing w:line="240" w:lineRule="auto"/>
              <w:jc w:val="right"/>
              <w:rPr>
                <w:rFonts w:ascii="Calibri" w:hAnsi="Calibri"/>
                <w:sz w:val="18"/>
                <w:szCs w:val="18"/>
                <w:lang w:eastAsia="sl-SI"/>
              </w:rPr>
            </w:pPr>
            <w:r w:rsidRPr="00972554">
              <w:rPr>
                <w:rFonts w:ascii="Calibri" w:hAnsi="Calibri"/>
                <w:sz w:val="18"/>
                <w:szCs w:val="18"/>
              </w:rPr>
              <w:t>78,00</w:t>
            </w:r>
          </w:p>
        </w:tc>
      </w:tr>
      <w:tr w:rsidR="00F20C58" w:rsidRPr="00972554" w:rsidTr="00972554">
        <w:trPr>
          <w:trHeight w:val="300"/>
        </w:trPr>
        <w:tc>
          <w:tcPr>
            <w:tcW w:w="3732" w:type="pct"/>
            <w:shd w:val="clear" w:color="auto" w:fill="auto"/>
            <w:noWrap/>
            <w:hideMark/>
          </w:tcPr>
          <w:p w:rsidR="00F20C58" w:rsidRPr="00412299" w:rsidRDefault="0036160C" w:rsidP="00972554">
            <w:pPr>
              <w:spacing w:line="240" w:lineRule="auto"/>
              <w:ind w:firstLineChars="100" w:firstLine="180"/>
              <w:rPr>
                <w:rFonts w:ascii="Calibri" w:hAnsi="Calibri"/>
                <w:sz w:val="18"/>
                <w:szCs w:val="18"/>
                <w:lang w:eastAsia="sl-SI"/>
              </w:rPr>
            </w:pPr>
            <w:r>
              <w:rPr>
                <w:rFonts w:ascii="Calibri" w:hAnsi="Calibri"/>
                <w:sz w:val="18"/>
                <w:szCs w:val="18"/>
              </w:rPr>
              <w:t>PPU</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sz w:val="18"/>
                <w:szCs w:val="18"/>
                <w:lang w:eastAsia="sl-SI"/>
              </w:rPr>
            </w:pPr>
            <w:r w:rsidRPr="00972554">
              <w:rPr>
                <w:rFonts w:ascii="Calibri" w:hAnsi="Calibri"/>
                <w:sz w:val="18"/>
                <w:szCs w:val="18"/>
              </w:rPr>
              <w:t xml:space="preserve">2.810.079.658 </w:t>
            </w:r>
          </w:p>
        </w:tc>
        <w:tc>
          <w:tcPr>
            <w:tcW w:w="422" w:type="pct"/>
            <w:shd w:val="clear" w:color="auto" w:fill="FFFFFF"/>
            <w:noWrap/>
            <w:vAlign w:val="bottom"/>
            <w:hideMark/>
          </w:tcPr>
          <w:p w:rsidR="00F20C58" w:rsidRPr="00412299" w:rsidRDefault="00F20C58" w:rsidP="00412299">
            <w:pPr>
              <w:spacing w:line="240" w:lineRule="auto"/>
              <w:jc w:val="right"/>
              <w:rPr>
                <w:rFonts w:ascii="Calibri" w:hAnsi="Calibri"/>
                <w:sz w:val="18"/>
                <w:szCs w:val="18"/>
                <w:lang w:eastAsia="sl-SI"/>
              </w:rPr>
            </w:pPr>
            <w:r w:rsidRPr="00972554">
              <w:rPr>
                <w:rFonts w:ascii="Calibri" w:hAnsi="Calibri"/>
                <w:sz w:val="18"/>
                <w:szCs w:val="18"/>
              </w:rPr>
              <w:t>22,00</w:t>
            </w:r>
          </w:p>
        </w:tc>
      </w:tr>
      <w:tr w:rsidR="00F20C58" w:rsidRPr="00972554" w:rsidTr="00972554">
        <w:trPr>
          <w:trHeight w:val="300"/>
        </w:trPr>
        <w:tc>
          <w:tcPr>
            <w:tcW w:w="3732" w:type="pct"/>
            <w:shd w:val="clear" w:color="auto" w:fill="auto"/>
            <w:noWrap/>
            <w:hideMark/>
          </w:tcPr>
          <w:p w:rsidR="00F20C58" w:rsidRPr="00412299" w:rsidRDefault="00F20C58" w:rsidP="006B2DAF">
            <w:pPr>
              <w:spacing w:line="240" w:lineRule="auto"/>
              <w:rPr>
                <w:rFonts w:ascii="Calibri" w:hAnsi="Calibri"/>
                <w:b/>
                <w:bCs/>
                <w:sz w:val="18"/>
                <w:szCs w:val="18"/>
                <w:lang w:eastAsia="sl-SI"/>
              </w:rPr>
            </w:pPr>
            <w:r w:rsidRPr="00972554">
              <w:rPr>
                <w:rFonts w:ascii="Calibri" w:hAnsi="Calibri"/>
                <w:b/>
                <w:sz w:val="18"/>
                <w:szCs w:val="18"/>
              </w:rPr>
              <w:t>504-Nabavna vrednost nepremičnin</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b/>
                <w:bCs/>
                <w:sz w:val="18"/>
                <w:szCs w:val="18"/>
                <w:lang w:eastAsia="sl-SI"/>
              </w:rPr>
            </w:pPr>
            <w:r w:rsidRPr="00972554">
              <w:rPr>
                <w:rFonts w:ascii="Calibri" w:hAnsi="Calibri"/>
                <w:b/>
                <w:sz w:val="18"/>
                <w:szCs w:val="18"/>
              </w:rPr>
              <w:t xml:space="preserve">17.454.228.358 </w:t>
            </w:r>
          </w:p>
        </w:tc>
        <w:tc>
          <w:tcPr>
            <w:tcW w:w="422" w:type="pct"/>
            <w:shd w:val="clear" w:color="auto" w:fill="FFFFFF"/>
            <w:noWrap/>
            <w:vAlign w:val="bottom"/>
            <w:hideMark/>
          </w:tcPr>
          <w:p w:rsidR="00F20C58" w:rsidRPr="00116FC1" w:rsidRDefault="00F20C58" w:rsidP="00412299">
            <w:pPr>
              <w:spacing w:line="240" w:lineRule="auto"/>
              <w:jc w:val="right"/>
              <w:rPr>
                <w:rFonts w:ascii="Calibri" w:hAnsi="Calibri"/>
                <w:b/>
                <w:bCs/>
                <w:sz w:val="18"/>
                <w:szCs w:val="18"/>
                <w:lang w:eastAsia="sl-SI"/>
              </w:rPr>
            </w:pPr>
          </w:p>
        </w:tc>
      </w:tr>
      <w:tr w:rsidR="00F20C58" w:rsidRPr="00972554" w:rsidTr="00972554">
        <w:trPr>
          <w:trHeight w:val="300"/>
        </w:trPr>
        <w:tc>
          <w:tcPr>
            <w:tcW w:w="3732" w:type="pct"/>
            <w:shd w:val="clear" w:color="auto" w:fill="auto"/>
            <w:noWrap/>
            <w:hideMark/>
          </w:tcPr>
          <w:p w:rsidR="00F20C58" w:rsidRPr="00412299" w:rsidRDefault="0036160C" w:rsidP="00972554">
            <w:pPr>
              <w:spacing w:line="240" w:lineRule="auto"/>
              <w:ind w:firstLineChars="100" w:firstLine="180"/>
              <w:rPr>
                <w:rFonts w:ascii="Calibri" w:hAnsi="Calibri"/>
                <w:sz w:val="18"/>
                <w:szCs w:val="18"/>
                <w:lang w:eastAsia="sl-SI"/>
              </w:rPr>
            </w:pPr>
            <w:r>
              <w:rPr>
                <w:rFonts w:ascii="Calibri" w:hAnsi="Calibri"/>
                <w:sz w:val="18"/>
                <w:szCs w:val="18"/>
              </w:rPr>
              <w:t>NPU</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sz w:val="18"/>
                <w:szCs w:val="18"/>
                <w:lang w:eastAsia="sl-SI"/>
              </w:rPr>
            </w:pPr>
            <w:r w:rsidRPr="00972554">
              <w:rPr>
                <w:rFonts w:ascii="Calibri" w:hAnsi="Calibri"/>
                <w:sz w:val="18"/>
                <w:szCs w:val="18"/>
              </w:rPr>
              <w:t xml:space="preserve">13.128.777.663 </w:t>
            </w:r>
          </w:p>
        </w:tc>
        <w:tc>
          <w:tcPr>
            <w:tcW w:w="422" w:type="pct"/>
            <w:shd w:val="clear" w:color="auto" w:fill="FFFFFF"/>
            <w:noWrap/>
            <w:vAlign w:val="bottom"/>
            <w:hideMark/>
          </w:tcPr>
          <w:p w:rsidR="00F20C58" w:rsidRPr="00412299" w:rsidRDefault="00F20C58" w:rsidP="00412299">
            <w:pPr>
              <w:spacing w:line="240" w:lineRule="auto"/>
              <w:jc w:val="right"/>
              <w:rPr>
                <w:rFonts w:ascii="Calibri" w:hAnsi="Calibri"/>
                <w:sz w:val="18"/>
                <w:szCs w:val="18"/>
                <w:lang w:eastAsia="sl-SI"/>
              </w:rPr>
            </w:pPr>
            <w:r w:rsidRPr="00972554">
              <w:rPr>
                <w:rFonts w:ascii="Calibri" w:hAnsi="Calibri"/>
                <w:sz w:val="18"/>
                <w:szCs w:val="18"/>
              </w:rPr>
              <w:t>75,22</w:t>
            </w:r>
          </w:p>
        </w:tc>
      </w:tr>
      <w:tr w:rsidR="00F20C58" w:rsidRPr="00972554" w:rsidTr="00972554">
        <w:trPr>
          <w:trHeight w:val="300"/>
        </w:trPr>
        <w:tc>
          <w:tcPr>
            <w:tcW w:w="3732" w:type="pct"/>
            <w:shd w:val="clear" w:color="auto" w:fill="auto"/>
            <w:noWrap/>
            <w:hideMark/>
          </w:tcPr>
          <w:p w:rsidR="00F20C58" w:rsidRPr="00412299" w:rsidRDefault="0036160C" w:rsidP="00972554">
            <w:pPr>
              <w:spacing w:line="240" w:lineRule="auto"/>
              <w:ind w:firstLineChars="100" w:firstLine="180"/>
              <w:rPr>
                <w:rFonts w:ascii="Calibri" w:hAnsi="Calibri"/>
                <w:sz w:val="18"/>
                <w:szCs w:val="18"/>
                <w:lang w:eastAsia="sl-SI"/>
              </w:rPr>
            </w:pPr>
            <w:r>
              <w:rPr>
                <w:rFonts w:ascii="Calibri" w:hAnsi="Calibri"/>
                <w:sz w:val="18"/>
                <w:szCs w:val="18"/>
              </w:rPr>
              <w:t>PPU</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sz w:val="18"/>
                <w:szCs w:val="18"/>
                <w:lang w:eastAsia="sl-SI"/>
              </w:rPr>
            </w:pPr>
            <w:r w:rsidRPr="00972554">
              <w:rPr>
                <w:rFonts w:ascii="Calibri" w:hAnsi="Calibri"/>
                <w:sz w:val="18"/>
                <w:szCs w:val="18"/>
              </w:rPr>
              <w:t xml:space="preserve">4.325.450.695 </w:t>
            </w:r>
          </w:p>
        </w:tc>
        <w:tc>
          <w:tcPr>
            <w:tcW w:w="422" w:type="pct"/>
            <w:shd w:val="clear" w:color="auto" w:fill="FFFFFF"/>
            <w:noWrap/>
            <w:vAlign w:val="bottom"/>
            <w:hideMark/>
          </w:tcPr>
          <w:p w:rsidR="00F20C58" w:rsidRPr="00412299" w:rsidRDefault="00F20C58" w:rsidP="00412299">
            <w:pPr>
              <w:spacing w:line="240" w:lineRule="auto"/>
              <w:jc w:val="right"/>
              <w:rPr>
                <w:rFonts w:ascii="Calibri" w:hAnsi="Calibri"/>
                <w:sz w:val="18"/>
                <w:szCs w:val="18"/>
                <w:lang w:eastAsia="sl-SI"/>
              </w:rPr>
            </w:pPr>
            <w:r w:rsidRPr="00972554">
              <w:rPr>
                <w:rFonts w:ascii="Calibri" w:hAnsi="Calibri"/>
                <w:sz w:val="18"/>
                <w:szCs w:val="18"/>
              </w:rPr>
              <w:t>24,78</w:t>
            </w:r>
          </w:p>
        </w:tc>
      </w:tr>
      <w:tr w:rsidR="00F20C58" w:rsidRPr="00972554" w:rsidTr="00972554">
        <w:trPr>
          <w:trHeight w:val="300"/>
        </w:trPr>
        <w:tc>
          <w:tcPr>
            <w:tcW w:w="3732" w:type="pct"/>
            <w:shd w:val="clear" w:color="auto" w:fill="auto"/>
            <w:noWrap/>
            <w:hideMark/>
          </w:tcPr>
          <w:p w:rsidR="00F20C58" w:rsidRPr="00412299" w:rsidRDefault="00F20C58" w:rsidP="006B2DAF">
            <w:pPr>
              <w:spacing w:line="240" w:lineRule="auto"/>
              <w:rPr>
                <w:rFonts w:ascii="Calibri" w:hAnsi="Calibri"/>
                <w:b/>
                <w:bCs/>
                <w:sz w:val="18"/>
                <w:szCs w:val="18"/>
                <w:lang w:eastAsia="sl-SI"/>
              </w:rPr>
            </w:pPr>
            <w:r w:rsidRPr="00972554">
              <w:rPr>
                <w:rFonts w:ascii="Calibri" w:hAnsi="Calibri"/>
                <w:b/>
                <w:sz w:val="18"/>
                <w:szCs w:val="18"/>
              </w:rPr>
              <w:t>505-Popravek vrednosti nepremičnin</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b/>
                <w:bCs/>
                <w:sz w:val="18"/>
                <w:szCs w:val="18"/>
                <w:lang w:eastAsia="sl-SI"/>
              </w:rPr>
            </w:pPr>
            <w:r w:rsidRPr="00972554">
              <w:rPr>
                <w:rFonts w:ascii="Calibri" w:hAnsi="Calibri"/>
                <w:b/>
                <w:sz w:val="18"/>
                <w:szCs w:val="18"/>
              </w:rPr>
              <w:t xml:space="preserve">4.682.026.630 </w:t>
            </w:r>
          </w:p>
        </w:tc>
        <w:tc>
          <w:tcPr>
            <w:tcW w:w="422" w:type="pct"/>
            <w:shd w:val="clear" w:color="auto" w:fill="FFFFFF"/>
            <w:noWrap/>
            <w:vAlign w:val="bottom"/>
            <w:hideMark/>
          </w:tcPr>
          <w:p w:rsidR="00F20C58" w:rsidRPr="00116FC1" w:rsidRDefault="00F20C58" w:rsidP="00412299">
            <w:pPr>
              <w:spacing w:line="240" w:lineRule="auto"/>
              <w:jc w:val="right"/>
              <w:rPr>
                <w:rFonts w:ascii="Calibri" w:hAnsi="Calibri"/>
                <w:b/>
                <w:bCs/>
                <w:sz w:val="18"/>
                <w:szCs w:val="18"/>
                <w:lang w:eastAsia="sl-SI"/>
              </w:rPr>
            </w:pPr>
          </w:p>
        </w:tc>
      </w:tr>
      <w:tr w:rsidR="00F20C58" w:rsidRPr="00972554" w:rsidTr="00972554">
        <w:trPr>
          <w:trHeight w:val="300"/>
        </w:trPr>
        <w:tc>
          <w:tcPr>
            <w:tcW w:w="3732" w:type="pct"/>
            <w:shd w:val="clear" w:color="auto" w:fill="auto"/>
            <w:noWrap/>
            <w:hideMark/>
          </w:tcPr>
          <w:p w:rsidR="00F20C58" w:rsidRPr="00412299" w:rsidRDefault="0036160C" w:rsidP="00972554">
            <w:pPr>
              <w:spacing w:line="240" w:lineRule="auto"/>
              <w:ind w:firstLineChars="100" w:firstLine="180"/>
              <w:rPr>
                <w:rFonts w:ascii="Calibri" w:hAnsi="Calibri"/>
                <w:sz w:val="18"/>
                <w:szCs w:val="18"/>
                <w:lang w:eastAsia="sl-SI"/>
              </w:rPr>
            </w:pPr>
            <w:r>
              <w:rPr>
                <w:rFonts w:ascii="Calibri" w:hAnsi="Calibri"/>
                <w:sz w:val="18"/>
                <w:szCs w:val="18"/>
              </w:rPr>
              <w:t>NPU</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sz w:val="18"/>
                <w:szCs w:val="18"/>
                <w:lang w:eastAsia="sl-SI"/>
              </w:rPr>
            </w:pPr>
            <w:r w:rsidRPr="00972554">
              <w:rPr>
                <w:rFonts w:ascii="Calibri" w:hAnsi="Calibri"/>
                <w:sz w:val="18"/>
                <w:szCs w:val="18"/>
              </w:rPr>
              <w:t xml:space="preserve">3.166.655.593 </w:t>
            </w:r>
          </w:p>
        </w:tc>
        <w:tc>
          <w:tcPr>
            <w:tcW w:w="422" w:type="pct"/>
            <w:shd w:val="clear" w:color="auto" w:fill="FFFFFF"/>
            <w:noWrap/>
            <w:vAlign w:val="bottom"/>
            <w:hideMark/>
          </w:tcPr>
          <w:p w:rsidR="00F20C58" w:rsidRPr="00412299" w:rsidRDefault="00F20C58" w:rsidP="00412299">
            <w:pPr>
              <w:spacing w:line="240" w:lineRule="auto"/>
              <w:jc w:val="right"/>
              <w:rPr>
                <w:rFonts w:ascii="Calibri" w:hAnsi="Calibri"/>
                <w:sz w:val="18"/>
                <w:szCs w:val="18"/>
                <w:lang w:eastAsia="sl-SI"/>
              </w:rPr>
            </w:pPr>
            <w:r w:rsidRPr="00972554">
              <w:rPr>
                <w:rFonts w:ascii="Calibri" w:hAnsi="Calibri"/>
                <w:sz w:val="18"/>
                <w:szCs w:val="18"/>
              </w:rPr>
              <w:t>67,63</w:t>
            </w:r>
          </w:p>
        </w:tc>
      </w:tr>
      <w:tr w:rsidR="00F20C58" w:rsidRPr="00972554" w:rsidTr="00972554">
        <w:trPr>
          <w:trHeight w:val="300"/>
        </w:trPr>
        <w:tc>
          <w:tcPr>
            <w:tcW w:w="3732" w:type="pct"/>
            <w:shd w:val="clear" w:color="auto" w:fill="auto"/>
            <w:noWrap/>
            <w:hideMark/>
          </w:tcPr>
          <w:p w:rsidR="00F20C58" w:rsidRPr="00412299" w:rsidRDefault="0036160C" w:rsidP="00972554">
            <w:pPr>
              <w:spacing w:line="240" w:lineRule="auto"/>
              <w:ind w:firstLineChars="100" w:firstLine="180"/>
              <w:rPr>
                <w:rFonts w:ascii="Calibri" w:hAnsi="Calibri"/>
                <w:sz w:val="18"/>
                <w:szCs w:val="18"/>
                <w:lang w:eastAsia="sl-SI"/>
              </w:rPr>
            </w:pPr>
            <w:r>
              <w:rPr>
                <w:rFonts w:ascii="Calibri" w:hAnsi="Calibri"/>
                <w:sz w:val="18"/>
                <w:szCs w:val="18"/>
              </w:rPr>
              <w:t>PPU</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sz w:val="18"/>
                <w:szCs w:val="18"/>
                <w:lang w:eastAsia="sl-SI"/>
              </w:rPr>
            </w:pPr>
            <w:r w:rsidRPr="00972554">
              <w:rPr>
                <w:rFonts w:ascii="Calibri" w:hAnsi="Calibri"/>
                <w:sz w:val="18"/>
                <w:szCs w:val="18"/>
              </w:rPr>
              <w:t xml:space="preserve">1.515.371.037 </w:t>
            </w:r>
          </w:p>
        </w:tc>
        <w:tc>
          <w:tcPr>
            <w:tcW w:w="422" w:type="pct"/>
            <w:shd w:val="clear" w:color="auto" w:fill="FFFFFF"/>
            <w:noWrap/>
            <w:vAlign w:val="bottom"/>
            <w:hideMark/>
          </w:tcPr>
          <w:p w:rsidR="00F20C58" w:rsidRPr="00412299" w:rsidRDefault="00F20C58" w:rsidP="00412299">
            <w:pPr>
              <w:spacing w:line="240" w:lineRule="auto"/>
              <w:jc w:val="right"/>
              <w:rPr>
                <w:rFonts w:ascii="Calibri" w:hAnsi="Calibri"/>
                <w:sz w:val="18"/>
                <w:szCs w:val="18"/>
                <w:lang w:eastAsia="sl-SI"/>
              </w:rPr>
            </w:pPr>
            <w:r w:rsidRPr="00972554">
              <w:rPr>
                <w:rFonts w:ascii="Calibri" w:hAnsi="Calibri"/>
                <w:sz w:val="18"/>
                <w:szCs w:val="18"/>
              </w:rPr>
              <w:t>32,37</w:t>
            </w:r>
          </w:p>
        </w:tc>
      </w:tr>
      <w:tr w:rsidR="00F20C58" w:rsidRPr="00972554" w:rsidTr="00972554">
        <w:trPr>
          <w:trHeight w:val="300"/>
        </w:trPr>
        <w:tc>
          <w:tcPr>
            <w:tcW w:w="3732" w:type="pct"/>
            <w:shd w:val="clear" w:color="auto" w:fill="auto"/>
            <w:noWrap/>
            <w:hideMark/>
          </w:tcPr>
          <w:p w:rsidR="00F20C58" w:rsidRPr="00412299" w:rsidRDefault="00F20C58" w:rsidP="006B2DAF">
            <w:pPr>
              <w:spacing w:line="240" w:lineRule="auto"/>
              <w:rPr>
                <w:rFonts w:ascii="Calibri" w:hAnsi="Calibri"/>
                <w:b/>
                <w:bCs/>
                <w:sz w:val="18"/>
                <w:szCs w:val="18"/>
                <w:lang w:eastAsia="sl-SI"/>
              </w:rPr>
            </w:pPr>
            <w:r w:rsidRPr="00972554">
              <w:rPr>
                <w:rFonts w:ascii="Calibri" w:hAnsi="Calibri"/>
                <w:b/>
                <w:sz w:val="18"/>
                <w:szCs w:val="18"/>
              </w:rPr>
              <w:t>506-Sedanja vrednost opreme in drugih opredmetenih osnovnih sredstev</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b/>
                <w:bCs/>
                <w:sz w:val="18"/>
                <w:szCs w:val="18"/>
                <w:lang w:eastAsia="sl-SI"/>
              </w:rPr>
            </w:pPr>
            <w:r w:rsidRPr="00972554">
              <w:rPr>
                <w:rFonts w:ascii="Calibri" w:hAnsi="Calibri"/>
                <w:b/>
                <w:sz w:val="18"/>
                <w:szCs w:val="18"/>
              </w:rPr>
              <w:t xml:space="preserve">529.511.523 </w:t>
            </w:r>
          </w:p>
        </w:tc>
        <w:tc>
          <w:tcPr>
            <w:tcW w:w="422" w:type="pct"/>
            <w:shd w:val="clear" w:color="auto" w:fill="FFFFFF"/>
            <w:noWrap/>
            <w:vAlign w:val="bottom"/>
            <w:hideMark/>
          </w:tcPr>
          <w:p w:rsidR="00F20C58" w:rsidRPr="00116FC1" w:rsidRDefault="00F20C58" w:rsidP="00412299">
            <w:pPr>
              <w:spacing w:line="240" w:lineRule="auto"/>
              <w:jc w:val="right"/>
              <w:rPr>
                <w:rFonts w:ascii="Calibri" w:hAnsi="Calibri"/>
                <w:b/>
                <w:bCs/>
                <w:sz w:val="18"/>
                <w:szCs w:val="18"/>
                <w:lang w:eastAsia="sl-SI"/>
              </w:rPr>
            </w:pPr>
          </w:p>
        </w:tc>
      </w:tr>
      <w:tr w:rsidR="00F20C58" w:rsidRPr="00972554" w:rsidTr="00972554">
        <w:trPr>
          <w:trHeight w:val="300"/>
        </w:trPr>
        <w:tc>
          <w:tcPr>
            <w:tcW w:w="3732" w:type="pct"/>
            <w:shd w:val="clear" w:color="auto" w:fill="auto"/>
            <w:noWrap/>
            <w:hideMark/>
          </w:tcPr>
          <w:p w:rsidR="00F20C58" w:rsidRPr="00412299" w:rsidRDefault="0036160C" w:rsidP="00972554">
            <w:pPr>
              <w:spacing w:line="240" w:lineRule="auto"/>
              <w:ind w:firstLineChars="100" w:firstLine="180"/>
              <w:rPr>
                <w:rFonts w:ascii="Calibri" w:hAnsi="Calibri"/>
                <w:sz w:val="18"/>
                <w:szCs w:val="18"/>
                <w:lang w:eastAsia="sl-SI"/>
              </w:rPr>
            </w:pPr>
            <w:r>
              <w:rPr>
                <w:rFonts w:ascii="Calibri" w:hAnsi="Calibri"/>
                <w:sz w:val="18"/>
                <w:szCs w:val="18"/>
              </w:rPr>
              <w:t>NPU</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sz w:val="18"/>
                <w:szCs w:val="18"/>
                <w:lang w:eastAsia="sl-SI"/>
              </w:rPr>
            </w:pPr>
            <w:r w:rsidRPr="00972554">
              <w:rPr>
                <w:rFonts w:ascii="Calibri" w:hAnsi="Calibri"/>
                <w:sz w:val="18"/>
                <w:szCs w:val="18"/>
              </w:rPr>
              <w:t xml:space="preserve">310.933.337 </w:t>
            </w:r>
          </w:p>
        </w:tc>
        <w:tc>
          <w:tcPr>
            <w:tcW w:w="422" w:type="pct"/>
            <w:shd w:val="clear" w:color="auto" w:fill="FFFFFF"/>
            <w:noWrap/>
            <w:vAlign w:val="bottom"/>
            <w:hideMark/>
          </w:tcPr>
          <w:p w:rsidR="00F20C58" w:rsidRPr="00412299" w:rsidRDefault="00F20C58" w:rsidP="00412299">
            <w:pPr>
              <w:spacing w:line="240" w:lineRule="auto"/>
              <w:jc w:val="right"/>
              <w:rPr>
                <w:rFonts w:ascii="Calibri" w:hAnsi="Calibri"/>
                <w:sz w:val="18"/>
                <w:szCs w:val="18"/>
                <w:lang w:eastAsia="sl-SI"/>
              </w:rPr>
            </w:pPr>
            <w:r w:rsidRPr="00972554">
              <w:rPr>
                <w:rFonts w:ascii="Calibri" w:hAnsi="Calibri"/>
                <w:sz w:val="18"/>
                <w:szCs w:val="18"/>
              </w:rPr>
              <w:t>58,72</w:t>
            </w:r>
          </w:p>
        </w:tc>
      </w:tr>
      <w:tr w:rsidR="00F20C58" w:rsidRPr="00972554" w:rsidTr="00972554">
        <w:trPr>
          <w:trHeight w:val="300"/>
        </w:trPr>
        <w:tc>
          <w:tcPr>
            <w:tcW w:w="3732" w:type="pct"/>
            <w:shd w:val="clear" w:color="auto" w:fill="auto"/>
            <w:noWrap/>
            <w:hideMark/>
          </w:tcPr>
          <w:p w:rsidR="00F20C58" w:rsidRPr="00412299" w:rsidRDefault="0036160C" w:rsidP="00972554">
            <w:pPr>
              <w:spacing w:line="240" w:lineRule="auto"/>
              <w:ind w:firstLineChars="100" w:firstLine="180"/>
              <w:rPr>
                <w:rFonts w:ascii="Calibri" w:hAnsi="Calibri"/>
                <w:sz w:val="18"/>
                <w:szCs w:val="18"/>
                <w:lang w:eastAsia="sl-SI"/>
              </w:rPr>
            </w:pPr>
            <w:r>
              <w:rPr>
                <w:rFonts w:ascii="Calibri" w:hAnsi="Calibri"/>
                <w:sz w:val="18"/>
                <w:szCs w:val="18"/>
              </w:rPr>
              <w:t>PPU</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sz w:val="18"/>
                <w:szCs w:val="18"/>
                <w:lang w:eastAsia="sl-SI"/>
              </w:rPr>
            </w:pPr>
            <w:r w:rsidRPr="00972554">
              <w:rPr>
                <w:rFonts w:ascii="Calibri" w:hAnsi="Calibri"/>
                <w:sz w:val="18"/>
                <w:szCs w:val="18"/>
              </w:rPr>
              <w:t xml:space="preserve">218.578.186 </w:t>
            </w:r>
          </w:p>
        </w:tc>
        <w:tc>
          <w:tcPr>
            <w:tcW w:w="422" w:type="pct"/>
            <w:shd w:val="clear" w:color="auto" w:fill="FFFFFF"/>
            <w:noWrap/>
            <w:vAlign w:val="bottom"/>
            <w:hideMark/>
          </w:tcPr>
          <w:p w:rsidR="00F20C58" w:rsidRPr="00412299" w:rsidRDefault="00F20C58" w:rsidP="00412299">
            <w:pPr>
              <w:spacing w:line="240" w:lineRule="auto"/>
              <w:jc w:val="right"/>
              <w:rPr>
                <w:rFonts w:ascii="Calibri" w:hAnsi="Calibri"/>
                <w:sz w:val="18"/>
                <w:szCs w:val="18"/>
                <w:lang w:eastAsia="sl-SI"/>
              </w:rPr>
            </w:pPr>
            <w:r w:rsidRPr="00972554">
              <w:rPr>
                <w:rFonts w:ascii="Calibri" w:hAnsi="Calibri"/>
                <w:sz w:val="18"/>
                <w:szCs w:val="18"/>
              </w:rPr>
              <w:t>41,28</w:t>
            </w:r>
          </w:p>
        </w:tc>
      </w:tr>
      <w:tr w:rsidR="00F20C58" w:rsidRPr="00972554" w:rsidTr="00972554">
        <w:trPr>
          <w:trHeight w:val="300"/>
        </w:trPr>
        <w:tc>
          <w:tcPr>
            <w:tcW w:w="3732" w:type="pct"/>
            <w:shd w:val="clear" w:color="auto" w:fill="auto"/>
            <w:noWrap/>
            <w:hideMark/>
          </w:tcPr>
          <w:p w:rsidR="00F20C58" w:rsidRPr="00412299" w:rsidRDefault="00F20C58" w:rsidP="006B2DAF">
            <w:pPr>
              <w:spacing w:line="240" w:lineRule="auto"/>
              <w:rPr>
                <w:rFonts w:ascii="Calibri" w:hAnsi="Calibri"/>
                <w:b/>
                <w:bCs/>
                <w:sz w:val="18"/>
                <w:szCs w:val="18"/>
                <w:lang w:eastAsia="sl-SI"/>
              </w:rPr>
            </w:pPr>
            <w:r w:rsidRPr="00972554">
              <w:rPr>
                <w:rFonts w:ascii="Calibri" w:hAnsi="Calibri"/>
                <w:b/>
                <w:sz w:val="18"/>
                <w:szCs w:val="18"/>
              </w:rPr>
              <w:t>507-Nabavna vrednost opreme in drugih opredmetenih osnovnih sredstev</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b/>
                <w:bCs/>
                <w:sz w:val="18"/>
                <w:szCs w:val="18"/>
                <w:lang w:eastAsia="sl-SI"/>
              </w:rPr>
            </w:pPr>
            <w:r w:rsidRPr="00972554">
              <w:rPr>
                <w:rFonts w:ascii="Calibri" w:hAnsi="Calibri"/>
                <w:b/>
                <w:sz w:val="18"/>
                <w:szCs w:val="18"/>
              </w:rPr>
              <w:t xml:space="preserve">2.056.341.719 </w:t>
            </w:r>
          </w:p>
        </w:tc>
        <w:tc>
          <w:tcPr>
            <w:tcW w:w="422" w:type="pct"/>
            <w:shd w:val="clear" w:color="auto" w:fill="FFFFFF"/>
            <w:noWrap/>
            <w:vAlign w:val="bottom"/>
            <w:hideMark/>
          </w:tcPr>
          <w:p w:rsidR="00F20C58" w:rsidRPr="00116FC1" w:rsidRDefault="00F20C58" w:rsidP="00412299">
            <w:pPr>
              <w:spacing w:line="240" w:lineRule="auto"/>
              <w:jc w:val="right"/>
              <w:rPr>
                <w:rFonts w:ascii="Calibri" w:hAnsi="Calibri"/>
                <w:b/>
                <w:bCs/>
                <w:sz w:val="18"/>
                <w:szCs w:val="18"/>
                <w:lang w:eastAsia="sl-SI"/>
              </w:rPr>
            </w:pPr>
          </w:p>
        </w:tc>
      </w:tr>
      <w:tr w:rsidR="00F20C58" w:rsidRPr="00972554" w:rsidTr="00972554">
        <w:trPr>
          <w:trHeight w:val="300"/>
        </w:trPr>
        <w:tc>
          <w:tcPr>
            <w:tcW w:w="3732" w:type="pct"/>
            <w:shd w:val="clear" w:color="auto" w:fill="auto"/>
            <w:noWrap/>
            <w:hideMark/>
          </w:tcPr>
          <w:p w:rsidR="00F20C58" w:rsidRPr="00412299" w:rsidRDefault="0036160C" w:rsidP="00972554">
            <w:pPr>
              <w:spacing w:line="240" w:lineRule="auto"/>
              <w:ind w:firstLineChars="100" w:firstLine="180"/>
              <w:rPr>
                <w:rFonts w:ascii="Calibri" w:hAnsi="Calibri"/>
                <w:sz w:val="18"/>
                <w:szCs w:val="18"/>
                <w:lang w:eastAsia="sl-SI"/>
              </w:rPr>
            </w:pPr>
            <w:r>
              <w:rPr>
                <w:rFonts w:ascii="Calibri" w:hAnsi="Calibri"/>
                <w:sz w:val="18"/>
                <w:szCs w:val="18"/>
              </w:rPr>
              <w:t>NPU</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sz w:val="18"/>
                <w:szCs w:val="18"/>
                <w:lang w:eastAsia="sl-SI"/>
              </w:rPr>
            </w:pPr>
            <w:r w:rsidRPr="00972554">
              <w:rPr>
                <w:rFonts w:ascii="Calibri" w:hAnsi="Calibri"/>
                <w:sz w:val="18"/>
                <w:szCs w:val="18"/>
              </w:rPr>
              <w:t xml:space="preserve">828.892.917 </w:t>
            </w:r>
          </w:p>
        </w:tc>
        <w:tc>
          <w:tcPr>
            <w:tcW w:w="422" w:type="pct"/>
            <w:shd w:val="clear" w:color="auto" w:fill="FFFFFF"/>
            <w:noWrap/>
            <w:vAlign w:val="bottom"/>
            <w:hideMark/>
          </w:tcPr>
          <w:p w:rsidR="00F20C58" w:rsidRPr="00412299" w:rsidRDefault="00F20C58" w:rsidP="00412299">
            <w:pPr>
              <w:spacing w:line="240" w:lineRule="auto"/>
              <w:jc w:val="right"/>
              <w:rPr>
                <w:rFonts w:ascii="Calibri" w:hAnsi="Calibri"/>
                <w:sz w:val="18"/>
                <w:szCs w:val="18"/>
                <w:lang w:eastAsia="sl-SI"/>
              </w:rPr>
            </w:pPr>
            <w:r w:rsidRPr="00972554">
              <w:rPr>
                <w:rFonts w:ascii="Calibri" w:hAnsi="Calibri"/>
                <w:sz w:val="18"/>
                <w:szCs w:val="18"/>
              </w:rPr>
              <w:t>40,31</w:t>
            </w:r>
          </w:p>
        </w:tc>
      </w:tr>
      <w:tr w:rsidR="00F20C58" w:rsidRPr="00972554" w:rsidTr="00972554">
        <w:trPr>
          <w:trHeight w:val="300"/>
        </w:trPr>
        <w:tc>
          <w:tcPr>
            <w:tcW w:w="3732" w:type="pct"/>
            <w:shd w:val="clear" w:color="auto" w:fill="auto"/>
            <w:noWrap/>
            <w:hideMark/>
          </w:tcPr>
          <w:p w:rsidR="00F20C58" w:rsidRPr="00412299" w:rsidRDefault="0036160C" w:rsidP="00972554">
            <w:pPr>
              <w:spacing w:line="240" w:lineRule="auto"/>
              <w:ind w:firstLineChars="100" w:firstLine="180"/>
              <w:rPr>
                <w:rFonts w:ascii="Calibri" w:hAnsi="Calibri"/>
                <w:sz w:val="18"/>
                <w:szCs w:val="18"/>
                <w:lang w:eastAsia="sl-SI"/>
              </w:rPr>
            </w:pPr>
            <w:r>
              <w:rPr>
                <w:rFonts w:ascii="Calibri" w:hAnsi="Calibri"/>
                <w:sz w:val="18"/>
                <w:szCs w:val="18"/>
              </w:rPr>
              <w:t>PPU</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sz w:val="18"/>
                <w:szCs w:val="18"/>
                <w:lang w:eastAsia="sl-SI"/>
              </w:rPr>
            </w:pPr>
            <w:r w:rsidRPr="00972554">
              <w:rPr>
                <w:rFonts w:ascii="Calibri" w:hAnsi="Calibri"/>
                <w:sz w:val="18"/>
                <w:szCs w:val="18"/>
              </w:rPr>
              <w:t xml:space="preserve">1.227.448.802 </w:t>
            </w:r>
          </w:p>
        </w:tc>
        <w:tc>
          <w:tcPr>
            <w:tcW w:w="422" w:type="pct"/>
            <w:shd w:val="clear" w:color="auto" w:fill="FFFFFF"/>
            <w:noWrap/>
            <w:vAlign w:val="bottom"/>
            <w:hideMark/>
          </w:tcPr>
          <w:p w:rsidR="00F20C58" w:rsidRPr="00412299" w:rsidRDefault="00F20C58" w:rsidP="00412299">
            <w:pPr>
              <w:spacing w:line="240" w:lineRule="auto"/>
              <w:jc w:val="right"/>
              <w:rPr>
                <w:rFonts w:ascii="Calibri" w:hAnsi="Calibri"/>
                <w:sz w:val="18"/>
                <w:szCs w:val="18"/>
                <w:lang w:eastAsia="sl-SI"/>
              </w:rPr>
            </w:pPr>
            <w:r w:rsidRPr="00972554">
              <w:rPr>
                <w:rFonts w:ascii="Calibri" w:hAnsi="Calibri"/>
                <w:sz w:val="18"/>
                <w:szCs w:val="18"/>
              </w:rPr>
              <w:t>59,69</w:t>
            </w:r>
          </w:p>
        </w:tc>
      </w:tr>
      <w:tr w:rsidR="00F20C58" w:rsidRPr="00972554" w:rsidTr="00972554">
        <w:trPr>
          <w:trHeight w:val="300"/>
        </w:trPr>
        <w:tc>
          <w:tcPr>
            <w:tcW w:w="3732" w:type="pct"/>
            <w:shd w:val="clear" w:color="auto" w:fill="auto"/>
            <w:noWrap/>
            <w:hideMark/>
          </w:tcPr>
          <w:p w:rsidR="00F20C58" w:rsidRPr="00412299" w:rsidRDefault="00F20C58" w:rsidP="006B2DAF">
            <w:pPr>
              <w:spacing w:line="240" w:lineRule="auto"/>
              <w:rPr>
                <w:rFonts w:ascii="Calibri" w:hAnsi="Calibri"/>
                <w:b/>
                <w:bCs/>
                <w:sz w:val="18"/>
                <w:szCs w:val="18"/>
                <w:lang w:eastAsia="sl-SI"/>
              </w:rPr>
            </w:pPr>
            <w:r w:rsidRPr="00972554">
              <w:rPr>
                <w:rFonts w:ascii="Calibri" w:hAnsi="Calibri"/>
                <w:b/>
                <w:sz w:val="18"/>
                <w:szCs w:val="18"/>
              </w:rPr>
              <w:t>508-Popravek vrednosti opreme in drugih opredmetenih osnovnih sredstev</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b/>
                <w:bCs/>
                <w:sz w:val="18"/>
                <w:szCs w:val="18"/>
                <w:lang w:eastAsia="sl-SI"/>
              </w:rPr>
            </w:pPr>
            <w:r w:rsidRPr="00972554">
              <w:rPr>
                <w:rFonts w:ascii="Calibri" w:hAnsi="Calibri"/>
                <w:b/>
                <w:sz w:val="18"/>
                <w:szCs w:val="18"/>
              </w:rPr>
              <w:t xml:space="preserve">1.526.830.196 </w:t>
            </w:r>
          </w:p>
        </w:tc>
        <w:tc>
          <w:tcPr>
            <w:tcW w:w="422" w:type="pct"/>
            <w:shd w:val="clear" w:color="auto" w:fill="FFFFFF"/>
            <w:noWrap/>
            <w:vAlign w:val="bottom"/>
            <w:hideMark/>
          </w:tcPr>
          <w:p w:rsidR="00F20C58" w:rsidRPr="00116FC1" w:rsidRDefault="00F20C58" w:rsidP="00412299">
            <w:pPr>
              <w:spacing w:line="240" w:lineRule="auto"/>
              <w:jc w:val="right"/>
              <w:rPr>
                <w:rFonts w:ascii="Calibri" w:hAnsi="Calibri"/>
                <w:b/>
                <w:bCs/>
                <w:sz w:val="18"/>
                <w:szCs w:val="18"/>
                <w:lang w:eastAsia="sl-SI"/>
              </w:rPr>
            </w:pPr>
          </w:p>
        </w:tc>
      </w:tr>
      <w:tr w:rsidR="00F20C58" w:rsidRPr="00972554" w:rsidTr="00972554">
        <w:trPr>
          <w:trHeight w:val="300"/>
        </w:trPr>
        <w:tc>
          <w:tcPr>
            <w:tcW w:w="3732" w:type="pct"/>
            <w:shd w:val="clear" w:color="auto" w:fill="auto"/>
            <w:noWrap/>
            <w:hideMark/>
          </w:tcPr>
          <w:p w:rsidR="00F20C58" w:rsidRPr="00412299" w:rsidRDefault="0036160C" w:rsidP="00972554">
            <w:pPr>
              <w:spacing w:line="240" w:lineRule="auto"/>
              <w:ind w:firstLineChars="100" w:firstLine="180"/>
              <w:rPr>
                <w:rFonts w:ascii="Calibri" w:hAnsi="Calibri"/>
                <w:sz w:val="18"/>
                <w:szCs w:val="18"/>
                <w:lang w:eastAsia="sl-SI"/>
              </w:rPr>
            </w:pPr>
            <w:r>
              <w:rPr>
                <w:rFonts w:ascii="Calibri" w:hAnsi="Calibri"/>
                <w:sz w:val="18"/>
                <w:szCs w:val="18"/>
              </w:rPr>
              <w:t>NPU</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sz w:val="18"/>
                <w:szCs w:val="18"/>
                <w:lang w:eastAsia="sl-SI"/>
              </w:rPr>
            </w:pPr>
            <w:r w:rsidRPr="00972554">
              <w:rPr>
                <w:rFonts w:ascii="Calibri" w:hAnsi="Calibri"/>
                <w:sz w:val="18"/>
                <w:szCs w:val="18"/>
              </w:rPr>
              <w:t xml:space="preserve">517.959.580 </w:t>
            </w:r>
          </w:p>
        </w:tc>
        <w:tc>
          <w:tcPr>
            <w:tcW w:w="422" w:type="pct"/>
            <w:shd w:val="clear" w:color="auto" w:fill="FFFFFF"/>
            <w:noWrap/>
            <w:vAlign w:val="bottom"/>
            <w:hideMark/>
          </w:tcPr>
          <w:p w:rsidR="00F20C58" w:rsidRPr="00412299" w:rsidRDefault="00F20C58" w:rsidP="00412299">
            <w:pPr>
              <w:spacing w:line="240" w:lineRule="auto"/>
              <w:jc w:val="right"/>
              <w:rPr>
                <w:rFonts w:ascii="Calibri" w:hAnsi="Calibri"/>
                <w:sz w:val="18"/>
                <w:szCs w:val="18"/>
                <w:lang w:eastAsia="sl-SI"/>
              </w:rPr>
            </w:pPr>
            <w:r w:rsidRPr="00972554">
              <w:rPr>
                <w:rFonts w:ascii="Calibri" w:hAnsi="Calibri"/>
                <w:sz w:val="18"/>
                <w:szCs w:val="18"/>
              </w:rPr>
              <w:t>33,92</w:t>
            </w:r>
          </w:p>
        </w:tc>
      </w:tr>
      <w:tr w:rsidR="00F20C58" w:rsidRPr="00972554" w:rsidTr="00972554">
        <w:trPr>
          <w:trHeight w:val="300"/>
        </w:trPr>
        <w:tc>
          <w:tcPr>
            <w:tcW w:w="3732" w:type="pct"/>
            <w:shd w:val="clear" w:color="auto" w:fill="auto"/>
            <w:noWrap/>
            <w:hideMark/>
          </w:tcPr>
          <w:p w:rsidR="00F20C58" w:rsidRPr="00412299" w:rsidRDefault="0036160C" w:rsidP="00972554">
            <w:pPr>
              <w:spacing w:line="240" w:lineRule="auto"/>
              <w:ind w:firstLineChars="100" w:firstLine="180"/>
              <w:rPr>
                <w:rFonts w:ascii="Calibri" w:hAnsi="Calibri"/>
                <w:sz w:val="18"/>
                <w:szCs w:val="18"/>
                <w:lang w:eastAsia="sl-SI"/>
              </w:rPr>
            </w:pPr>
            <w:r>
              <w:rPr>
                <w:rFonts w:ascii="Calibri" w:hAnsi="Calibri"/>
                <w:sz w:val="18"/>
                <w:szCs w:val="18"/>
              </w:rPr>
              <w:t>PPU</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sz w:val="18"/>
                <w:szCs w:val="18"/>
                <w:lang w:eastAsia="sl-SI"/>
              </w:rPr>
            </w:pPr>
            <w:r w:rsidRPr="00972554">
              <w:rPr>
                <w:rFonts w:ascii="Calibri" w:hAnsi="Calibri"/>
                <w:sz w:val="18"/>
                <w:szCs w:val="18"/>
              </w:rPr>
              <w:t xml:space="preserve">1.008.870.616 </w:t>
            </w:r>
          </w:p>
        </w:tc>
        <w:tc>
          <w:tcPr>
            <w:tcW w:w="422" w:type="pct"/>
            <w:shd w:val="clear" w:color="auto" w:fill="FFFFFF"/>
            <w:noWrap/>
            <w:vAlign w:val="bottom"/>
            <w:hideMark/>
          </w:tcPr>
          <w:p w:rsidR="00F20C58" w:rsidRPr="00412299" w:rsidRDefault="00F20C58" w:rsidP="00412299">
            <w:pPr>
              <w:spacing w:line="240" w:lineRule="auto"/>
              <w:jc w:val="right"/>
              <w:rPr>
                <w:rFonts w:ascii="Calibri" w:hAnsi="Calibri"/>
                <w:sz w:val="18"/>
                <w:szCs w:val="18"/>
                <w:lang w:eastAsia="sl-SI"/>
              </w:rPr>
            </w:pPr>
            <w:r w:rsidRPr="00972554">
              <w:rPr>
                <w:rFonts w:ascii="Calibri" w:hAnsi="Calibri"/>
                <w:sz w:val="18"/>
                <w:szCs w:val="18"/>
              </w:rPr>
              <w:t>66,08</w:t>
            </w:r>
          </w:p>
        </w:tc>
      </w:tr>
      <w:tr w:rsidR="00F20C58" w:rsidRPr="00972554" w:rsidTr="00972554">
        <w:trPr>
          <w:trHeight w:val="300"/>
        </w:trPr>
        <w:tc>
          <w:tcPr>
            <w:tcW w:w="3732" w:type="pct"/>
            <w:shd w:val="clear" w:color="auto" w:fill="auto"/>
            <w:noWrap/>
            <w:hideMark/>
          </w:tcPr>
          <w:p w:rsidR="00F20C58" w:rsidRPr="00412299" w:rsidRDefault="00F20C58" w:rsidP="006B2DAF">
            <w:pPr>
              <w:spacing w:line="240" w:lineRule="auto"/>
              <w:rPr>
                <w:rFonts w:ascii="Calibri" w:hAnsi="Calibri"/>
                <w:b/>
                <w:bCs/>
                <w:sz w:val="18"/>
                <w:szCs w:val="18"/>
                <w:lang w:eastAsia="sl-SI"/>
              </w:rPr>
            </w:pPr>
            <w:r w:rsidRPr="00972554">
              <w:rPr>
                <w:rFonts w:ascii="Calibri" w:hAnsi="Calibri"/>
                <w:b/>
                <w:sz w:val="18"/>
                <w:szCs w:val="18"/>
              </w:rPr>
              <w:t>509-Terjatve za sredstva dana v upravljanje</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b/>
                <w:bCs/>
                <w:sz w:val="18"/>
                <w:szCs w:val="18"/>
                <w:lang w:eastAsia="sl-SI"/>
              </w:rPr>
            </w:pPr>
            <w:r w:rsidRPr="00972554">
              <w:rPr>
                <w:rFonts w:ascii="Calibri" w:hAnsi="Calibri"/>
                <w:b/>
                <w:sz w:val="18"/>
                <w:szCs w:val="18"/>
              </w:rPr>
              <w:t xml:space="preserve">29.218.769 </w:t>
            </w:r>
          </w:p>
        </w:tc>
        <w:tc>
          <w:tcPr>
            <w:tcW w:w="422" w:type="pct"/>
            <w:shd w:val="clear" w:color="auto" w:fill="FFFFFF"/>
            <w:noWrap/>
            <w:vAlign w:val="bottom"/>
            <w:hideMark/>
          </w:tcPr>
          <w:p w:rsidR="00F20C58" w:rsidRPr="00116FC1" w:rsidRDefault="00F20C58" w:rsidP="00412299">
            <w:pPr>
              <w:spacing w:line="240" w:lineRule="auto"/>
              <w:jc w:val="right"/>
              <w:rPr>
                <w:rFonts w:ascii="Calibri" w:hAnsi="Calibri"/>
                <w:b/>
                <w:bCs/>
                <w:sz w:val="18"/>
                <w:szCs w:val="18"/>
                <w:lang w:eastAsia="sl-SI"/>
              </w:rPr>
            </w:pPr>
          </w:p>
        </w:tc>
      </w:tr>
      <w:tr w:rsidR="00F20C58" w:rsidRPr="00972554" w:rsidTr="00972554">
        <w:trPr>
          <w:trHeight w:val="300"/>
        </w:trPr>
        <w:tc>
          <w:tcPr>
            <w:tcW w:w="3732" w:type="pct"/>
            <w:shd w:val="clear" w:color="auto" w:fill="auto"/>
            <w:noWrap/>
            <w:hideMark/>
          </w:tcPr>
          <w:p w:rsidR="00F20C58" w:rsidRPr="00412299" w:rsidRDefault="0036160C" w:rsidP="00972554">
            <w:pPr>
              <w:spacing w:line="240" w:lineRule="auto"/>
              <w:ind w:firstLineChars="100" w:firstLine="180"/>
              <w:jc w:val="left"/>
              <w:rPr>
                <w:rFonts w:ascii="Calibri" w:hAnsi="Calibri"/>
                <w:sz w:val="18"/>
                <w:szCs w:val="18"/>
                <w:lang w:eastAsia="sl-SI"/>
              </w:rPr>
            </w:pPr>
            <w:r>
              <w:rPr>
                <w:rFonts w:ascii="Calibri" w:hAnsi="Calibri"/>
                <w:sz w:val="18"/>
                <w:szCs w:val="18"/>
              </w:rPr>
              <w:t>NPU</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sz w:val="18"/>
                <w:szCs w:val="18"/>
                <w:lang w:eastAsia="sl-SI"/>
              </w:rPr>
            </w:pPr>
            <w:r w:rsidRPr="00972554">
              <w:rPr>
                <w:rFonts w:ascii="Calibri" w:hAnsi="Calibri"/>
                <w:sz w:val="18"/>
                <w:szCs w:val="18"/>
              </w:rPr>
              <w:t xml:space="preserve">29.218.769 </w:t>
            </w:r>
          </w:p>
        </w:tc>
        <w:tc>
          <w:tcPr>
            <w:tcW w:w="422" w:type="pct"/>
            <w:shd w:val="clear" w:color="auto" w:fill="FFFFFF"/>
            <w:noWrap/>
            <w:vAlign w:val="bottom"/>
            <w:hideMark/>
          </w:tcPr>
          <w:p w:rsidR="00F20C58" w:rsidRPr="00412299" w:rsidRDefault="00F20C58" w:rsidP="00412299">
            <w:pPr>
              <w:spacing w:line="240" w:lineRule="auto"/>
              <w:jc w:val="right"/>
              <w:rPr>
                <w:rFonts w:ascii="Calibri" w:hAnsi="Calibri"/>
                <w:sz w:val="18"/>
                <w:szCs w:val="18"/>
                <w:lang w:eastAsia="sl-SI"/>
              </w:rPr>
            </w:pPr>
            <w:r w:rsidRPr="00972554">
              <w:rPr>
                <w:rFonts w:ascii="Calibri" w:hAnsi="Calibri"/>
                <w:sz w:val="18"/>
                <w:szCs w:val="18"/>
              </w:rPr>
              <w:t>100,00</w:t>
            </w:r>
          </w:p>
        </w:tc>
      </w:tr>
      <w:tr w:rsidR="00F20C58" w:rsidRPr="00972554" w:rsidTr="00972554">
        <w:trPr>
          <w:trHeight w:val="300"/>
        </w:trPr>
        <w:tc>
          <w:tcPr>
            <w:tcW w:w="3732" w:type="pct"/>
            <w:shd w:val="clear" w:color="auto" w:fill="auto"/>
            <w:noWrap/>
            <w:hideMark/>
          </w:tcPr>
          <w:p w:rsidR="00F20C58" w:rsidRPr="00412299" w:rsidRDefault="00F20C58" w:rsidP="006B2DAF">
            <w:pPr>
              <w:spacing w:line="240" w:lineRule="auto"/>
              <w:rPr>
                <w:rFonts w:ascii="Calibri" w:hAnsi="Calibri"/>
                <w:b/>
                <w:bCs/>
                <w:sz w:val="18"/>
                <w:szCs w:val="18"/>
                <w:lang w:eastAsia="sl-SI"/>
              </w:rPr>
            </w:pPr>
            <w:r w:rsidRPr="00972554">
              <w:rPr>
                <w:rFonts w:ascii="Calibri" w:hAnsi="Calibri"/>
                <w:b/>
                <w:sz w:val="18"/>
                <w:szCs w:val="18"/>
              </w:rPr>
              <w:t>510-Terjatve za sredstva dana v upravljanje drugim v lasti države</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b/>
                <w:bCs/>
                <w:sz w:val="18"/>
                <w:szCs w:val="18"/>
                <w:lang w:eastAsia="sl-SI"/>
              </w:rPr>
            </w:pPr>
            <w:r w:rsidRPr="00972554">
              <w:rPr>
                <w:rFonts w:ascii="Calibri" w:hAnsi="Calibri"/>
                <w:b/>
                <w:sz w:val="18"/>
                <w:szCs w:val="18"/>
              </w:rPr>
              <w:t xml:space="preserve">2.651.378 </w:t>
            </w:r>
          </w:p>
        </w:tc>
        <w:tc>
          <w:tcPr>
            <w:tcW w:w="422" w:type="pct"/>
            <w:shd w:val="clear" w:color="auto" w:fill="FFFFFF"/>
            <w:noWrap/>
            <w:vAlign w:val="bottom"/>
            <w:hideMark/>
          </w:tcPr>
          <w:p w:rsidR="00F20C58" w:rsidRPr="00116FC1" w:rsidRDefault="00F20C58" w:rsidP="00412299">
            <w:pPr>
              <w:spacing w:line="240" w:lineRule="auto"/>
              <w:jc w:val="right"/>
              <w:rPr>
                <w:rFonts w:ascii="Calibri" w:hAnsi="Calibri"/>
                <w:b/>
                <w:bCs/>
                <w:sz w:val="18"/>
                <w:szCs w:val="18"/>
                <w:lang w:eastAsia="sl-SI"/>
              </w:rPr>
            </w:pPr>
          </w:p>
        </w:tc>
      </w:tr>
      <w:tr w:rsidR="00F20C58" w:rsidRPr="00972554" w:rsidTr="00972554">
        <w:trPr>
          <w:trHeight w:val="300"/>
        </w:trPr>
        <w:tc>
          <w:tcPr>
            <w:tcW w:w="3732" w:type="pct"/>
            <w:shd w:val="clear" w:color="auto" w:fill="auto"/>
            <w:noWrap/>
            <w:hideMark/>
          </w:tcPr>
          <w:p w:rsidR="00F20C58" w:rsidRPr="00412299" w:rsidRDefault="0036160C" w:rsidP="00972554">
            <w:pPr>
              <w:spacing w:line="240" w:lineRule="auto"/>
              <w:ind w:firstLineChars="100" w:firstLine="180"/>
              <w:jc w:val="left"/>
              <w:rPr>
                <w:rFonts w:ascii="Calibri" w:hAnsi="Calibri"/>
                <w:sz w:val="18"/>
                <w:szCs w:val="18"/>
                <w:lang w:eastAsia="sl-SI"/>
              </w:rPr>
            </w:pPr>
            <w:r>
              <w:rPr>
                <w:rFonts w:ascii="Calibri" w:hAnsi="Calibri"/>
                <w:sz w:val="18"/>
                <w:szCs w:val="18"/>
              </w:rPr>
              <w:t>NPU</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sz w:val="18"/>
                <w:szCs w:val="18"/>
                <w:lang w:eastAsia="sl-SI"/>
              </w:rPr>
            </w:pPr>
            <w:r w:rsidRPr="00972554">
              <w:rPr>
                <w:rFonts w:ascii="Calibri" w:hAnsi="Calibri"/>
                <w:sz w:val="18"/>
                <w:szCs w:val="18"/>
              </w:rPr>
              <w:t xml:space="preserve">2.651.378 </w:t>
            </w:r>
          </w:p>
        </w:tc>
        <w:tc>
          <w:tcPr>
            <w:tcW w:w="422" w:type="pct"/>
            <w:shd w:val="clear" w:color="auto" w:fill="FFFFFF"/>
            <w:noWrap/>
            <w:vAlign w:val="bottom"/>
            <w:hideMark/>
          </w:tcPr>
          <w:p w:rsidR="00F20C58" w:rsidRPr="00412299" w:rsidRDefault="00F20C58" w:rsidP="00412299">
            <w:pPr>
              <w:spacing w:line="240" w:lineRule="auto"/>
              <w:jc w:val="right"/>
              <w:rPr>
                <w:rFonts w:ascii="Calibri" w:hAnsi="Calibri"/>
                <w:sz w:val="18"/>
                <w:szCs w:val="18"/>
                <w:lang w:eastAsia="sl-SI"/>
              </w:rPr>
            </w:pPr>
            <w:r w:rsidRPr="00972554">
              <w:rPr>
                <w:rFonts w:ascii="Calibri" w:hAnsi="Calibri"/>
                <w:sz w:val="18"/>
                <w:szCs w:val="18"/>
              </w:rPr>
              <w:t>100,00</w:t>
            </w:r>
          </w:p>
        </w:tc>
      </w:tr>
      <w:tr w:rsidR="00F20C58" w:rsidRPr="00972554" w:rsidTr="00972554">
        <w:trPr>
          <w:trHeight w:val="300"/>
        </w:trPr>
        <w:tc>
          <w:tcPr>
            <w:tcW w:w="3732" w:type="pct"/>
            <w:shd w:val="clear" w:color="auto" w:fill="auto"/>
            <w:noWrap/>
            <w:hideMark/>
          </w:tcPr>
          <w:p w:rsidR="00F20C58" w:rsidRPr="00972554" w:rsidRDefault="00F20C58" w:rsidP="006B2DAF">
            <w:pPr>
              <w:spacing w:line="240" w:lineRule="auto"/>
              <w:rPr>
                <w:rFonts w:ascii="Calibri" w:hAnsi="Calibri"/>
                <w:b/>
                <w:bCs/>
                <w:sz w:val="18"/>
                <w:szCs w:val="18"/>
                <w:lang w:eastAsia="sl-SI"/>
              </w:rPr>
            </w:pPr>
            <w:r w:rsidRPr="00972554">
              <w:rPr>
                <w:rFonts w:ascii="Calibri" w:hAnsi="Calibri"/>
                <w:b/>
                <w:sz w:val="18"/>
                <w:szCs w:val="18"/>
              </w:rPr>
              <w:t>511-Terjatve za sredstva dana v upravljanje drugim v lasti občine</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b/>
                <w:bCs/>
                <w:sz w:val="18"/>
                <w:szCs w:val="18"/>
                <w:lang w:eastAsia="sl-SI"/>
              </w:rPr>
            </w:pPr>
            <w:r w:rsidRPr="00972554">
              <w:rPr>
                <w:rFonts w:ascii="Calibri" w:hAnsi="Calibri"/>
                <w:b/>
                <w:sz w:val="18"/>
                <w:szCs w:val="18"/>
              </w:rPr>
              <w:t xml:space="preserve">26.567.391 </w:t>
            </w:r>
          </w:p>
        </w:tc>
        <w:tc>
          <w:tcPr>
            <w:tcW w:w="422" w:type="pct"/>
            <w:shd w:val="clear" w:color="auto" w:fill="FFFFFF"/>
            <w:noWrap/>
            <w:vAlign w:val="bottom"/>
            <w:hideMark/>
          </w:tcPr>
          <w:p w:rsidR="00F20C58" w:rsidRPr="00116FC1" w:rsidRDefault="00F20C58" w:rsidP="00412299">
            <w:pPr>
              <w:spacing w:line="240" w:lineRule="auto"/>
              <w:jc w:val="right"/>
              <w:rPr>
                <w:rFonts w:ascii="Calibri" w:hAnsi="Calibri"/>
                <w:b/>
                <w:bCs/>
                <w:sz w:val="18"/>
                <w:szCs w:val="18"/>
                <w:lang w:eastAsia="sl-SI"/>
              </w:rPr>
            </w:pPr>
          </w:p>
        </w:tc>
      </w:tr>
      <w:tr w:rsidR="00F20C58" w:rsidRPr="00972554" w:rsidTr="00972554">
        <w:trPr>
          <w:trHeight w:val="300"/>
        </w:trPr>
        <w:tc>
          <w:tcPr>
            <w:tcW w:w="3732" w:type="pct"/>
            <w:shd w:val="clear" w:color="auto" w:fill="auto"/>
            <w:noWrap/>
            <w:hideMark/>
          </w:tcPr>
          <w:p w:rsidR="00F20C58" w:rsidRPr="00412299" w:rsidRDefault="0036160C" w:rsidP="00972554">
            <w:pPr>
              <w:spacing w:line="240" w:lineRule="auto"/>
              <w:ind w:firstLineChars="100" w:firstLine="180"/>
              <w:jc w:val="left"/>
              <w:rPr>
                <w:rFonts w:ascii="Calibri" w:hAnsi="Calibri"/>
                <w:sz w:val="18"/>
                <w:szCs w:val="18"/>
                <w:lang w:eastAsia="sl-SI"/>
              </w:rPr>
            </w:pPr>
            <w:r>
              <w:rPr>
                <w:rFonts w:ascii="Calibri" w:hAnsi="Calibri"/>
                <w:sz w:val="18"/>
                <w:szCs w:val="18"/>
              </w:rPr>
              <w:t>NPU</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sz w:val="18"/>
                <w:szCs w:val="18"/>
                <w:lang w:eastAsia="sl-SI"/>
              </w:rPr>
            </w:pPr>
            <w:r w:rsidRPr="00972554">
              <w:rPr>
                <w:rFonts w:ascii="Calibri" w:hAnsi="Calibri"/>
                <w:sz w:val="18"/>
                <w:szCs w:val="18"/>
              </w:rPr>
              <w:t xml:space="preserve">26.567.391 </w:t>
            </w:r>
          </w:p>
        </w:tc>
        <w:tc>
          <w:tcPr>
            <w:tcW w:w="422" w:type="pct"/>
            <w:shd w:val="clear" w:color="auto" w:fill="FFFFFF"/>
            <w:noWrap/>
            <w:vAlign w:val="bottom"/>
            <w:hideMark/>
          </w:tcPr>
          <w:p w:rsidR="00F20C58" w:rsidRPr="00412299" w:rsidRDefault="00F20C58" w:rsidP="00412299">
            <w:pPr>
              <w:spacing w:line="240" w:lineRule="auto"/>
              <w:jc w:val="right"/>
              <w:rPr>
                <w:rFonts w:ascii="Calibri" w:hAnsi="Calibri"/>
                <w:sz w:val="18"/>
                <w:szCs w:val="18"/>
                <w:lang w:eastAsia="sl-SI"/>
              </w:rPr>
            </w:pPr>
            <w:r w:rsidRPr="00972554">
              <w:rPr>
                <w:rFonts w:ascii="Calibri" w:hAnsi="Calibri"/>
                <w:sz w:val="18"/>
                <w:szCs w:val="18"/>
              </w:rPr>
              <w:t>100,00</w:t>
            </w:r>
          </w:p>
        </w:tc>
      </w:tr>
      <w:tr w:rsidR="00F20C58" w:rsidRPr="00972554" w:rsidTr="00972554">
        <w:trPr>
          <w:trHeight w:val="300"/>
        </w:trPr>
        <w:tc>
          <w:tcPr>
            <w:tcW w:w="3732" w:type="pct"/>
            <w:shd w:val="clear" w:color="auto" w:fill="auto"/>
            <w:noWrap/>
            <w:hideMark/>
          </w:tcPr>
          <w:p w:rsidR="00F20C58" w:rsidRPr="00412299" w:rsidRDefault="00F20C58" w:rsidP="006B2DAF">
            <w:pPr>
              <w:spacing w:line="240" w:lineRule="auto"/>
              <w:rPr>
                <w:rFonts w:ascii="Calibri" w:hAnsi="Calibri"/>
                <w:b/>
                <w:bCs/>
                <w:sz w:val="18"/>
                <w:szCs w:val="18"/>
                <w:lang w:eastAsia="sl-SI"/>
              </w:rPr>
            </w:pPr>
            <w:r w:rsidRPr="00972554">
              <w:rPr>
                <w:rFonts w:ascii="Calibri" w:hAnsi="Calibri"/>
                <w:b/>
                <w:sz w:val="18"/>
                <w:szCs w:val="18"/>
              </w:rPr>
              <w:t>512-Zaloge</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b/>
                <w:bCs/>
                <w:sz w:val="18"/>
                <w:szCs w:val="18"/>
                <w:lang w:eastAsia="sl-SI"/>
              </w:rPr>
            </w:pPr>
            <w:r w:rsidRPr="00972554">
              <w:rPr>
                <w:rFonts w:ascii="Calibri" w:hAnsi="Calibri"/>
                <w:b/>
                <w:sz w:val="18"/>
                <w:szCs w:val="18"/>
              </w:rPr>
              <w:t xml:space="preserve">55.286.621 </w:t>
            </w:r>
          </w:p>
        </w:tc>
        <w:tc>
          <w:tcPr>
            <w:tcW w:w="422" w:type="pct"/>
            <w:shd w:val="clear" w:color="auto" w:fill="FFFFFF"/>
            <w:noWrap/>
            <w:vAlign w:val="bottom"/>
            <w:hideMark/>
          </w:tcPr>
          <w:p w:rsidR="00F20C58" w:rsidRPr="00116FC1" w:rsidRDefault="00F20C58" w:rsidP="00412299">
            <w:pPr>
              <w:spacing w:line="240" w:lineRule="auto"/>
              <w:jc w:val="right"/>
              <w:rPr>
                <w:rFonts w:ascii="Calibri" w:hAnsi="Calibri"/>
                <w:b/>
                <w:bCs/>
                <w:sz w:val="18"/>
                <w:szCs w:val="18"/>
                <w:lang w:eastAsia="sl-SI"/>
              </w:rPr>
            </w:pPr>
          </w:p>
        </w:tc>
      </w:tr>
      <w:tr w:rsidR="00F20C58" w:rsidRPr="00972554" w:rsidTr="00972554">
        <w:trPr>
          <w:trHeight w:val="300"/>
        </w:trPr>
        <w:tc>
          <w:tcPr>
            <w:tcW w:w="3732" w:type="pct"/>
            <w:shd w:val="clear" w:color="auto" w:fill="auto"/>
            <w:noWrap/>
            <w:hideMark/>
          </w:tcPr>
          <w:p w:rsidR="00F20C58" w:rsidRPr="00412299" w:rsidRDefault="0036160C" w:rsidP="00972554">
            <w:pPr>
              <w:spacing w:line="240" w:lineRule="auto"/>
              <w:ind w:firstLineChars="100" w:firstLine="180"/>
              <w:jc w:val="left"/>
              <w:rPr>
                <w:rFonts w:ascii="Calibri" w:hAnsi="Calibri"/>
                <w:sz w:val="18"/>
                <w:szCs w:val="18"/>
                <w:lang w:eastAsia="sl-SI"/>
              </w:rPr>
            </w:pPr>
            <w:r>
              <w:rPr>
                <w:rFonts w:ascii="Calibri" w:hAnsi="Calibri"/>
                <w:sz w:val="18"/>
                <w:szCs w:val="18"/>
              </w:rPr>
              <w:t>NPU</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sz w:val="18"/>
                <w:szCs w:val="18"/>
                <w:lang w:eastAsia="sl-SI"/>
              </w:rPr>
            </w:pPr>
            <w:r w:rsidRPr="00972554">
              <w:rPr>
                <w:rFonts w:ascii="Calibri" w:hAnsi="Calibri"/>
                <w:sz w:val="18"/>
                <w:szCs w:val="18"/>
              </w:rPr>
              <w:t xml:space="preserve">13.808.795 </w:t>
            </w:r>
          </w:p>
        </w:tc>
        <w:tc>
          <w:tcPr>
            <w:tcW w:w="422" w:type="pct"/>
            <w:shd w:val="clear" w:color="auto" w:fill="FFFFFF"/>
            <w:noWrap/>
            <w:vAlign w:val="bottom"/>
            <w:hideMark/>
          </w:tcPr>
          <w:p w:rsidR="00F20C58" w:rsidRPr="00412299" w:rsidRDefault="00F20C58" w:rsidP="00412299">
            <w:pPr>
              <w:spacing w:line="240" w:lineRule="auto"/>
              <w:jc w:val="right"/>
              <w:rPr>
                <w:rFonts w:ascii="Calibri" w:hAnsi="Calibri"/>
                <w:sz w:val="18"/>
                <w:szCs w:val="18"/>
                <w:lang w:eastAsia="sl-SI"/>
              </w:rPr>
            </w:pPr>
            <w:r w:rsidRPr="00972554">
              <w:rPr>
                <w:rFonts w:ascii="Calibri" w:hAnsi="Calibri"/>
                <w:sz w:val="18"/>
                <w:szCs w:val="18"/>
              </w:rPr>
              <w:t>24,98</w:t>
            </w:r>
          </w:p>
        </w:tc>
      </w:tr>
      <w:tr w:rsidR="00F20C58" w:rsidRPr="00972554" w:rsidTr="00972554">
        <w:trPr>
          <w:trHeight w:val="300"/>
        </w:trPr>
        <w:tc>
          <w:tcPr>
            <w:tcW w:w="3732" w:type="pct"/>
            <w:shd w:val="clear" w:color="auto" w:fill="auto"/>
            <w:noWrap/>
            <w:hideMark/>
          </w:tcPr>
          <w:p w:rsidR="00F20C58" w:rsidRPr="00412299" w:rsidRDefault="0036160C" w:rsidP="00972554">
            <w:pPr>
              <w:spacing w:line="240" w:lineRule="auto"/>
              <w:ind w:firstLineChars="100" w:firstLine="180"/>
              <w:jc w:val="left"/>
              <w:rPr>
                <w:rFonts w:ascii="Calibri" w:hAnsi="Calibri"/>
                <w:sz w:val="18"/>
                <w:szCs w:val="18"/>
                <w:lang w:eastAsia="sl-SI"/>
              </w:rPr>
            </w:pPr>
            <w:r>
              <w:rPr>
                <w:rFonts w:ascii="Calibri" w:hAnsi="Calibri"/>
                <w:sz w:val="18"/>
                <w:szCs w:val="18"/>
              </w:rPr>
              <w:t>PPU</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sz w:val="18"/>
                <w:szCs w:val="18"/>
                <w:lang w:eastAsia="sl-SI"/>
              </w:rPr>
            </w:pPr>
            <w:r w:rsidRPr="00972554">
              <w:rPr>
                <w:rFonts w:ascii="Calibri" w:hAnsi="Calibri"/>
                <w:sz w:val="18"/>
                <w:szCs w:val="18"/>
              </w:rPr>
              <w:t xml:space="preserve">41.477.826 </w:t>
            </w:r>
          </w:p>
        </w:tc>
        <w:tc>
          <w:tcPr>
            <w:tcW w:w="422" w:type="pct"/>
            <w:shd w:val="clear" w:color="auto" w:fill="FFFFFF"/>
            <w:noWrap/>
            <w:vAlign w:val="bottom"/>
            <w:hideMark/>
          </w:tcPr>
          <w:p w:rsidR="00F20C58" w:rsidRPr="00412299" w:rsidRDefault="00F20C58" w:rsidP="00412299">
            <w:pPr>
              <w:spacing w:line="240" w:lineRule="auto"/>
              <w:jc w:val="right"/>
              <w:rPr>
                <w:rFonts w:ascii="Calibri" w:hAnsi="Calibri"/>
                <w:sz w:val="18"/>
                <w:szCs w:val="18"/>
                <w:lang w:eastAsia="sl-SI"/>
              </w:rPr>
            </w:pPr>
            <w:r w:rsidRPr="00972554">
              <w:rPr>
                <w:rFonts w:ascii="Calibri" w:hAnsi="Calibri"/>
                <w:sz w:val="18"/>
                <w:szCs w:val="18"/>
              </w:rPr>
              <w:t>75,02</w:t>
            </w:r>
          </w:p>
        </w:tc>
      </w:tr>
      <w:tr w:rsidR="00F20C58" w:rsidRPr="00972554" w:rsidTr="00972554">
        <w:trPr>
          <w:trHeight w:val="300"/>
        </w:trPr>
        <w:tc>
          <w:tcPr>
            <w:tcW w:w="3732" w:type="pct"/>
            <w:shd w:val="clear" w:color="auto" w:fill="auto"/>
            <w:noWrap/>
            <w:hideMark/>
          </w:tcPr>
          <w:p w:rsidR="00F20C58" w:rsidRPr="00412299" w:rsidRDefault="00F20C58" w:rsidP="006B2DAF">
            <w:pPr>
              <w:spacing w:line="240" w:lineRule="auto"/>
              <w:rPr>
                <w:rFonts w:ascii="Calibri" w:hAnsi="Calibri"/>
                <w:b/>
                <w:bCs/>
                <w:sz w:val="18"/>
                <w:szCs w:val="18"/>
                <w:lang w:eastAsia="sl-SI"/>
              </w:rPr>
            </w:pPr>
            <w:r w:rsidRPr="00972554">
              <w:rPr>
                <w:rFonts w:ascii="Calibri" w:hAnsi="Calibri"/>
                <w:b/>
                <w:sz w:val="18"/>
                <w:szCs w:val="18"/>
              </w:rPr>
              <w:t>513-Dolgoročne finančne naložbe</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b/>
                <w:bCs/>
                <w:sz w:val="18"/>
                <w:szCs w:val="18"/>
                <w:lang w:eastAsia="sl-SI"/>
              </w:rPr>
            </w:pPr>
            <w:r w:rsidRPr="00972554">
              <w:rPr>
                <w:rFonts w:ascii="Calibri" w:hAnsi="Calibri"/>
                <w:b/>
                <w:sz w:val="18"/>
                <w:szCs w:val="18"/>
              </w:rPr>
              <w:t xml:space="preserve">579.397.436 </w:t>
            </w:r>
          </w:p>
        </w:tc>
        <w:tc>
          <w:tcPr>
            <w:tcW w:w="422" w:type="pct"/>
            <w:shd w:val="clear" w:color="auto" w:fill="FFFFFF"/>
            <w:noWrap/>
            <w:vAlign w:val="bottom"/>
            <w:hideMark/>
          </w:tcPr>
          <w:p w:rsidR="00F20C58" w:rsidRPr="00116FC1" w:rsidRDefault="00F20C58" w:rsidP="00412299">
            <w:pPr>
              <w:spacing w:line="240" w:lineRule="auto"/>
              <w:jc w:val="right"/>
              <w:rPr>
                <w:rFonts w:ascii="Calibri" w:hAnsi="Calibri"/>
                <w:b/>
                <w:bCs/>
                <w:sz w:val="18"/>
                <w:szCs w:val="18"/>
                <w:lang w:eastAsia="sl-SI"/>
              </w:rPr>
            </w:pPr>
          </w:p>
        </w:tc>
      </w:tr>
      <w:tr w:rsidR="00F20C58" w:rsidRPr="00972554" w:rsidTr="00972554">
        <w:trPr>
          <w:trHeight w:val="300"/>
        </w:trPr>
        <w:tc>
          <w:tcPr>
            <w:tcW w:w="3732" w:type="pct"/>
            <w:shd w:val="clear" w:color="auto" w:fill="auto"/>
            <w:noWrap/>
            <w:hideMark/>
          </w:tcPr>
          <w:p w:rsidR="00F20C58" w:rsidRPr="00412299" w:rsidRDefault="0036160C" w:rsidP="00972554">
            <w:pPr>
              <w:spacing w:line="240" w:lineRule="auto"/>
              <w:ind w:firstLineChars="100" w:firstLine="180"/>
              <w:rPr>
                <w:rFonts w:ascii="Calibri" w:hAnsi="Calibri"/>
                <w:sz w:val="18"/>
                <w:szCs w:val="18"/>
                <w:lang w:eastAsia="sl-SI"/>
              </w:rPr>
            </w:pPr>
            <w:r>
              <w:rPr>
                <w:rFonts w:ascii="Calibri" w:hAnsi="Calibri"/>
                <w:sz w:val="18"/>
                <w:szCs w:val="18"/>
              </w:rPr>
              <w:t>NPU</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sz w:val="18"/>
                <w:szCs w:val="18"/>
                <w:lang w:eastAsia="sl-SI"/>
              </w:rPr>
            </w:pPr>
            <w:r w:rsidRPr="00972554">
              <w:rPr>
                <w:rFonts w:ascii="Calibri" w:hAnsi="Calibri"/>
                <w:sz w:val="18"/>
                <w:szCs w:val="18"/>
              </w:rPr>
              <w:t xml:space="preserve">570.795.110 </w:t>
            </w:r>
          </w:p>
        </w:tc>
        <w:tc>
          <w:tcPr>
            <w:tcW w:w="422" w:type="pct"/>
            <w:shd w:val="clear" w:color="auto" w:fill="FFFFFF"/>
            <w:noWrap/>
            <w:vAlign w:val="bottom"/>
            <w:hideMark/>
          </w:tcPr>
          <w:p w:rsidR="00F20C58" w:rsidRPr="00412299" w:rsidRDefault="00F20C58" w:rsidP="00412299">
            <w:pPr>
              <w:spacing w:line="240" w:lineRule="auto"/>
              <w:jc w:val="right"/>
              <w:rPr>
                <w:rFonts w:ascii="Calibri" w:hAnsi="Calibri"/>
                <w:sz w:val="18"/>
                <w:szCs w:val="18"/>
                <w:lang w:eastAsia="sl-SI"/>
              </w:rPr>
            </w:pPr>
            <w:r w:rsidRPr="00972554">
              <w:rPr>
                <w:rFonts w:ascii="Calibri" w:hAnsi="Calibri"/>
                <w:sz w:val="18"/>
                <w:szCs w:val="18"/>
              </w:rPr>
              <w:t>98,52</w:t>
            </w:r>
          </w:p>
        </w:tc>
      </w:tr>
      <w:tr w:rsidR="00F20C58" w:rsidRPr="00972554" w:rsidTr="00972554">
        <w:trPr>
          <w:trHeight w:val="300"/>
        </w:trPr>
        <w:tc>
          <w:tcPr>
            <w:tcW w:w="3732" w:type="pct"/>
            <w:shd w:val="clear" w:color="auto" w:fill="auto"/>
            <w:noWrap/>
            <w:hideMark/>
          </w:tcPr>
          <w:p w:rsidR="00F20C58" w:rsidRPr="00412299" w:rsidRDefault="0036160C" w:rsidP="00972554">
            <w:pPr>
              <w:spacing w:line="240" w:lineRule="auto"/>
              <w:ind w:firstLineChars="100" w:firstLine="180"/>
              <w:rPr>
                <w:rFonts w:ascii="Calibri" w:hAnsi="Calibri"/>
                <w:sz w:val="18"/>
                <w:szCs w:val="18"/>
                <w:lang w:eastAsia="sl-SI"/>
              </w:rPr>
            </w:pPr>
            <w:r>
              <w:rPr>
                <w:rFonts w:ascii="Calibri" w:hAnsi="Calibri"/>
                <w:sz w:val="18"/>
                <w:szCs w:val="18"/>
              </w:rPr>
              <w:lastRenderedPageBreak/>
              <w:t>PPU</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sz w:val="18"/>
                <w:szCs w:val="18"/>
                <w:lang w:eastAsia="sl-SI"/>
              </w:rPr>
            </w:pPr>
            <w:r w:rsidRPr="00972554">
              <w:rPr>
                <w:rFonts w:ascii="Calibri" w:hAnsi="Calibri"/>
                <w:sz w:val="18"/>
                <w:szCs w:val="18"/>
              </w:rPr>
              <w:t xml:space="preserve">8.602.326 </w:t>
            </w:r>
          </w:p>
        </w:tc>
        <w:tc>
          <w:tcPr>
            <w:tcW w:w="422" w:type="pct"/>
            <w:shd w:val="clear" w:color="auto" w:fill="FFFFFF"/>
            <w:noWrap/>
            <w:vAlign w:val="bottom"/>
            <w:hideMark/>
          </w:tcPr>
          <w:p w:rsidR="00F20C58" w:rsidRPr="00412299" w:rsidRDefault="00F20C58" w:rsidP="00412299">
            <w:pPr>
              <w:spacing w:line="240" w:lineRule="auto"/>
              <w:jc w:val="right"/>
              <w:rPr>
                <w:rFonts w:ascii="Calibri" w:hAnsi="Calibri"/>
                <w:sz w:val="18"/>
                <w:szCs w:val="18"/>
                <w:lang w:eastAsia="sl-SI"/>
              </w:rPr>
            </w:pPr>
            <w:r w:rsidRPr="00972554">
              <w:rPr>
                <w:rFonts w:ascii="Calibri" w:hAnsi="Calibri"/>
                <w:sz w:val="18"/>
                <w:szCs w:val="18"/>
              </w:rPr>
              <w:t>1,48</w:t>
            </w:r>
          </w:p>
        </w:tc>
      </w:tr>
      <w:tr w:rsidR="00F20C58" w:rsidRPr="00972554" w:rsidTr="00972554">
        <w:trPr>
          <w:trHeight w:val="300"/>
        </w:trPr>
        <w:tc>
          <w:tcPr>
            <w:tcW w:w="3732" w:type="pct"/>
            <w:shd w:val="clear" w:color="auto" w:fill="auto"/>
            <w:noWrap/>
            <w:hideMark/>
          </w:tcPr>
          <w:p w:rsidR="00F20C58" w:rsidRPr="00412299" w:rsidRDefault="00F20C58" w:rsidP="006B2DAF">
            <w:pPr>
              <w:spacing w:line="240" w:lineRule="auto"/>
              <w:rPr>
                <w:rFonts w:ascii="Calibri" w:hAnsi="Calibri"/>
                <w:b/>
                <w:bCs/>
                <w:sz w:val="18"/>
                <w:szCs w:val="18"/>
                <w:lang w:eastAsia="sl-SI"/>
              </w:rPr>
            </w:pPr>
            <w:r w:rsidRPr="00972554">
              <w:rPr>
                <w:rFonts w:ascii="Calibri" w:hAnsi="Calibri"/>
                <w:b/>
                <w:sz w:val="18"/>
                <w:szCs w:val="18"/>
              </w:rPr>
              <w:t>514-Dolgoročno dana posojila in depoziti</w:t>
            </w:r>
          </w:p>
        </w:tc>
        <w:tc>
          <w:tcPr>
            <w:tcW w:w="846" w:type="pct"/>
            <w:shd w:val="clear" w:color="auto" w:fill="auto"/>
            <w:noWrap/>
            <w:vAlign w:val="bottom"/>
            <w:hideMark/>
          </w:tcPr>
          <w:p w:rsidR="00F20C58" w:rsidRPr="00116FC1" w:rsidRDefault="00F20C58" w:rsidP="00382B0F">
            <w:pPr>
              <w:spacing w:line="240" w:lineRule="auto"/>
              <w:jc w:val="right"/>
              <w:rPr>
                <w:rFonts w:ascii="Calibri" w:hAnsi="Calibri"/>
                <w:b/>
                <w:bCs/>
                <w:sz w:val="18"/>
                <w:szCs w:val="18"/>
                <w:lang w:eastAsia="sl-SI"/>
              </w:rPr>
            </w:pPr>
            <w:r w:rsidRPr="00972554">
              <w:rPr>
                <w:rFonts w:ascii="Calibri" w:hAnsi="Calibri"/>
                <w:b/>
                <w:sz w:val="18"/>
                <w:szCs w:val="18"/>
              </w:rPr>
              <w:t xml:space="preserve">12.112.320 </w:t>
            </w:r>
          </w:p>
        </w:tc>
        <w:tc>
          <w:tcPr>
            <w:tcW w:w="422" w:type="pct"/>
            <w:shd w:val="clear" w:color="auto" w:fill="FFFFFF"/>
            <w:noWrap/>
            <w:vAlign w:val="bottom"/>
            <w:hideMark/>
          </w:tcPr>
          <w:p w:rsidR="00F20C58" w:rsidRPr="00972554" w:rsidRDefault="00F20C58" w:rsidP="00412299">
            <w:pPr>
              <w:spacing w:line="240" w:lineRule="auto"/>
              <w:jc w:val="right"/>
              <w:rPr>
                <w:rFonts w:ascii="Calibri" w:hAnsi="Calibri"/>
                <w:b/>
                <w:bCs/>
                <w:sz w:val="18"/>
                <w:szCs w:val="18"/>
                <w:lang w:eastAsia="sl-SI"/>
              </w:rPr>
            </w:pPr>
          </w:p>
        </w:tc>
      </w:tr>
      <w:tr w:rsidR="00F20C58" w:rsidRPr="00972554" w:rsidTr="00972554">
        <w:trPr>
          <w:trHeight w:val="300"/>
        </w:trPr>
        <w:tc>
          <w:tcPr>
            <w:tcW w:w="3732" w:type="pct"/>
            <w:shd w:val="clear" w:color="auto" w:fill="auto"/>
            <w:noWrap/>
            <w:hideMark/>
          </w:tcPr>
          <w:p w:rsidR="00F20C58" w:rsidRPr="00412299" w:rsidRDefault="0036160C" w:rsidP="00972554">
            <w:pPr>
              <w:spacing w:line="240" w:lineRule="auto"/>
              <w:ind w:firstLineChars="100" w:firstLine="180"/>
              <w:rPr>
                <w:rFonts w:ascii="Calibri" w:hAnsi="Calibri"/>
                <w:sz w:val="18"/>
                <w:szCs w:val="18"/>
                <w:lang w:eastAsia="sl-SI"/>
              </w:rPr>
            </w:pPr>
            <w:r>
              <w:rPr>
                <w:rFonts w:ascii="Calibri" w:hAnsi="Calibri"/>
                <w:sz w:val="18"/>
                <w:szCs w:val="18"/>
              </w:rPr>
              <w:t>NPU</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sz w:val="18"/>
                <w:szCs w:val="18"/>
                <w:lang w:eastAsia="sl-SI"/>
              </w:rPr>
            </w:pPr>
            <w:r w:rsidRPr="00972554">
              <w:rPr>
                <w:rFonts w:ascii="Calibri" w:hAnsi="Calibri"/>
                <w:sz w:val="18"/>
                <w:szCs w:val="18"/>
              </w:rPr>
              <w:t xml:space="preserve">4.107.382 </w:t>
            </w:r>
          </w:p>
        </w:tc>
        <w:tc>
          <w:tcPr>
            <w:tcW w:w="422" w:type="pct"/>
            <w:shd w:val="clear" w:color="auto" w:fill="FFFFFF"/>
            <w:noWrap/>
            <w:vAlign w:val="bottom"/>
            <w:hideMark/>
          </w:tcPr>
          <w:p w:rsidR="00F20C58" w:rsidRPr="00412299" w:rsidRDefault="00F20C58" w:rsidP="00412299">
            <w:pPr>
              <w:spacing w:line="240" w:lineRule="auto"/>
              <w:jc w:val="right"/>
              <w:rPr>
                <w:rFonts w:ascii="Calibri" w:hAnsi="Calibri"/>
                <w:sz w:val="18"/>
                <w:szCs w:val="18"/>
                <w:lang w:eastAsia="sl-SI"/>
              </w:rPr>
            </w:pPr>
            <w:r w:rsidRPr="00972554">
              <w:rPr>
                <w:rFonts w:ascii="Calibri" w:hAnsi="Calibri"/>
                <w:sz w:val="18"/>
                <w:szCs w:val="18"/>
              </w:rPr>
              <w:t>33,91</w:t>
            </w:r>
          </w:p>
        </w:tc>
      </w:tr>
      <w:tr w:rsidR="00F20C58" w:rsidRPr="00972554" w:rsidTr="00972554">
        <w:trPr>
          <w:trHeight w:val="300"/>
        </w:trPr>
        <w:tc>
          <w:tcPr>
            <w:tcW w:w="3732" w:type="pct"/>
            <w:shd w:val="clear" w:color="auto" w:fill="auto"/>
            <w:noWrap/>
            <w:hideMark/>
          </w:tcPr>
          <w:p w:rsidR="00F20C58" w:rsidRPr="00412299" w:rsidRDefault="0036160C" w:rsidP="00972554">
            <w:pPr>
              <w:spacing w:line="240" w:lineRule="auto"/>
              <w:ind w:firstLineChars="100" w:firstLine="180"/>
              <w:rPr>
                <w:rFonts w:ascii="Calibri" w:hAnsi="Calibri"/>
                <w:sz w:val="18"/>
                <w:szCs w:val="18"/>
                <w:lang w:eastAsia="sl-SI"/>
              </w:rPr>
            </w:pPr>
            <w:r>
              <w:rPr>
                <w:rFonts w:ascii="Calibri" w:hAnsi="Calibri"/>
                <w:sz w:val="18"/>
                <w:szCs w:val="18"/>
              </w:rPr>
              <w:t>PPU</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sz w:val="18"/>
                <w:szCs w:val="18"/>
                <w:lang w:eastAsia="sl-SI"/>
              </w:rPr>
            </w:pPr>
            <w:r w:rsidRPr="00972554">
              <w:rPr>
                <w:rFonts w:ascii="Calibri" w:hAnsi="Calibri"/>
                <w:sz w:val="18"/>
                <w:szCs w:val="18"/>
              </w:rPr>
              <w:t xml:space="preserve">8.004.938 </w:t>
            </w:r>
          </w:p>
        </w:tc>
        <w:tc>
          <w:tcPr>
            <w:tcW w:w="422" w:type="pct"/>
            <w:shd w:val="clear" w:color="auto" w:fill="FFFFFF"/>
            <w:noWrap/>
            <w:vAlign w:val="bottom"/>
            <w:hideMark/>
          </w:tcPr>
          <w:p w:rsidR="00F20C58" w:rsidRPr="00412299" w:rsidRDefault="00F20C58" w:rsidP="00412299">
            <w:pPr>
              <w:spacing w:line="240" w:lineRule="auto"/>
              <w:jc w:val="right"/>
              <w:rPr>
                <w:rFonts w:ascii="Calibri" w:hAnsi="Calibri"/>
                <w:sz w:val="18"/>
                <w:szCs w:val="18"/>
                <w:lang w:eastAsia="sl-SI"/>
              </w:rPr>
            </w:pPr>
            <w:r w:rsidRPr="00972554">
              <w:rPr>
                <w:rFonts w:ascii="Calibri" w:hAnsi="Calibri"/>
                <w:sz w:val="18"/>
                <w:szCs w:val="18"/>
              </w:rPr>
              <w:t>66,09</w:t>
            </w:r>
          </w:p>
        </w:tc>
      </w:tr>
      <w:tr w:rsidR="00F20C58" w:rsidRPr="00972554" w:rsidTr="00972554">
        <w:trPr>
          <w:trHeight w:val="300"/>
        </w:trPr>
        <w:tc>
          <w:tcPr>
            <w:tcW w:w="3732" w:type="pct"/>
            <w:shd w:val="clear" w:color="auto" w:fill="auto"/>
            <w:noWrap/>
            <w:hideMark/>
          </w:tcPr>
          <w:p w:rsidR="00F20C58" w:rsidRPr="00412299" w:rsidRDefault="00F20C58" w:rsidP="006B2DAF">
            <w:pPr>
              <w:spacing w:line="240" w:lineRule="auto"/>
              <w:rPr>
                <w:rFonts w:ascii="Calibri" w:hAnsi="Calibri"/>
                <w:b/>
                <w:bCs/>
                <w:sz w:val="18"/>
                <w:szCs w:val="18"/>
                <w:lang w:eastAsia="sl-SI"/>
              </w:rPr>
            </w:pPr>
            <w:r w:rsidRPr="00972554">
              <w:rPr>
                <w:rFonts w:ascii="Calibri" w:hAnsi="Calibri"/>
                <w:b/>
                <w:sz w:val="18"/>
                <w:szCs w:val="18"/>
              </w:rPr>
              <w:t>515-Dolgoročne terjatve iz poslovanja</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b/>
                <w:bCs/>
                <w:sz w:val="18"/>
                <w:szCs w:val="18"/>
                <w:lang w:eastAsia="sl-SI"/>
              </w:rPr>
            </w:pPr>
            <w:r w:rsidRPr="00972554">
              <w:rPr>
                <w:rFonts w:ascii="Calibri" w:hAnsi="Calibri"/>
                <w:b/>
                <w:sz w:val="18"/>
                <w:szCs w:val="18"/>
              </w:rPr>
              <w:t xml:space="preserve">77.469.473 </w:t>
            </w:r>
          </w:p>
        </w:tc>
        <w:tc>
          <w:tcPr>
            <w:tcW w:w="422" w:type="pct"/>
            <w:shd w:val="clear" w:color="auto" w:fill="FFFFFF"/>
            <w:noWrap/>
            <w:vAlign w:val="bottom"/>
            <w:hideMark/>
          </w:tcPr>
          <w:p w:rsidR="00F20C58" w:rsidRPr="00116FC1" w:rsidRDefault="00F20C58" w:rsidP="00412299">
            <w:pPr>
              <w:spacing w:line="240" w:lineRule="auto"/>
              <w:jc w:val="right"/>
              <w:rPr>
                <w:rFonts w:ascii="Calibri" w:hAnsi="Calibri"/>
                <w:b/>
                <w:bCs/>
                <w:sz w:val="18"/>
                <w:szCs w:val="18"/>
                <w:lang w:eastAsia="sl-SI"/>
              </w:rPr>
            </w:pPr>
          </w:p>
        </w:tc>
      </w:tr>
      <w:tr w:rsidR="00F20C58" w:rsidRPr="00972554" w:rsidTr="00972554">
        <w:trPr>
          <w:trHeight w:val="300"/>
        </w:trPr>
        <w:tc>
          <w:tcPr>
            <w:tcW w:w="3732" w:type="pct"/>
            <w:shd w:val="clear" w:color="auto" w:fill="auto"/>
            <w:noWrap/>
            <w:hideMark/>
          </w:tcPr>
          <w:p w:rsidR="00F20C58" w:rsidRPr="00412299" w:rsidRDefault="0036160C" w:rsidP="00972554">
            <w:pPr>
              <w:spacing w:line="240" w:lineRule="auto"/>
              <w:ind w:firstLineChars="100" w:firstLine="180"/>
              <w:rPr>
                <w:rFonts w:ascii="Calibri" w:hAnsi="Calibri"/>
                <w:sz w:val="18"/>
                <w:szCs w:val="18"/>
                <w:lang w:eastAsia="sl-SI"/>
              </w:rPr>
            </w:pPr>
            <w:r>
              <w:rPr>
                <w:rFonts w:ascii="Calibri" w:hAnsi="Calibri"/>
                <w:sz w:val="18"/>
                <w:szCs w:val="18"/>
              </w:rPr>
              <w:t>NPU</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sz w:val="18"/>
                <w:szCs w:val="18"/>
                <w:lang w:eastAsia="sl-SI"/>
              </w:rPr>
            </w:pPr>
            <w:r w:rsidRPr="00972554">
              <w:rPr>
                <w:rFonts w:ascii="Calibri" w:hAnsi="Calibri"/>
                <w:sz w:val="18"/>
                <w:szCs w:val="18"/>
              </w:rPr>
              <w:t xml:space="preserve">73.493.919 </w:t>
            </w:r>
          </w:p>
        </w:tc>
        <w:tc>
          <w:tcPr>
            <w:tcW w:w="422" w:type="pct"/>
            <w:shd w:val="clear" w:color="auto" w:fill="FFFFFF"/>
            <w:noWrap/>
            <w:vAlign w:val="bottom"/>
            <w:hideMark/>
          </w:tcPr>
          <w:p w:rsidR="00F20C58" w:rsidRPr="00412299" w:rsidRDefault="00F20C58" w:rsidP="00412299">
            <w:pPr>
              <w:spacing w:line="240" w:lineRule="auto"/>
              <w:jc w:val="right"/>
              <w:rPr>
                <w:rFonts w:ascii="Calibri" w:hAnsi="Calibri"/>
                <w:sz w:val="18"/>
                <w:szCs w:val="18"/>
                <w:lang w:eastAsia="sl-SI"/>
              </w:rPr>
            </w:pPr>
            <w:r w:rsidRPr="00972554">
              <w:rPr>
                <w:rFonts w:ascii="Calibri" w:hAnsi="Calibri"/>
                <w:sz w:val="18"/>
                <w:szCs w:val="18"/>
              </w:rPr>
              <w:t>94,87</w:t>
            </w:r>
          </w:p>
        </w:tc>
      </w:tr>
      <w:tr w:rsidR="00F20C58" w:rsidRPr="00972554" w:rsidTr="00972554">
        <w:trPr>
          <w:trHeight w:val="300"/>
        </w:trPr>
        <w:tc>
          <w:tcPr>
            <w:tcW w:w="3732" w:type="pct"/>
            <w:shd w:val="clear" w:color="auto" w:fill="auto"/>
            <w:noWrap/>
            <w:hideMark/>
          </w:tcPr>
          <w:p w:rsidR="00F20C58" w:rsidRPr="00412299" w:rsidRDefault="0036160C" w:rsidP="00972554">
            <w:pPr>
              <w:spacing w:line="240" w:lineRule="auto"/>
              <w:ind w:firstLineChars="100" w:firstLine="180"/>
              <w:rPr>
                <w:rFonts w:ascii="Calibri" w:hAnsi="Calibri"/>
                <w:sz w:val="18"/>
                <w:szCs w:val="18"/>
                <w:lang w:eastAsia="sl-SI"/>
              </w:rPr>
            </w:pPr>
            <w:r>
              <w:rPr>
                <w:rFonts w:ascii="Calibri" w:hAnsi="Calibri"/>
                <w:sz w:val="18"/>
                <w:szCs w:val="18"/>
              </w:rPr>
              <w:t>PPU</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sz w:val="18"/>
                <w:szCs w:val="18"/>
                <w:lang w:eastAsia="sl-SI"/>
              </w:rPr>
            </w:pPr>
            <w:r w:rsidRPr="00972554">
              <w:rPr>
                <w:rFonts w:ascii="Calibri" w:hAnsi="Calibri"/>
                <w:sz w:val="18"/>
                <w:szCs w:val="18"/>
              </w:rPr>
              <w:t xml:space="preserve">3.975.554 </w:t>
            </w:r>
          </w:p>
        </w:tc>
        <w:tc>
          <w:tcPr>
            <w:tcW w:w="422" w:type="pct"/>
            <w:shd w:val="clear" w:color="auto" w:fill="FFFFFF"/>
            <w:noWrap/>
            <w:vAlign w:val="bottom"/>
            <w:hideMark/>
          </w:tcPr>
          <w:p w:rsidR="00F20C58" w:rsidRPr="00412299" w:rsidRDefault="00F20C58" w:rsidP="00412299">
            <w:pPr>
              <w:spacing w:line="240" w:lineRule="auto"/>
              <w:jc w:val="right"/>
              <w:rPr>
                <w:rFonts w:ascii="Calibri" w:hAnsi="Calibri"/>
                <w:sz w:val="18"/>
                <w:szCs w:val="18"/>
                <w:lang w:eastAsia="sl-SI"/>
              </w:rPr>
            </w:pPr>
            <w:r w:rsidRPr="00972554">
              <w:rPr>
                <w:rFonts w:ascii="Calibri" w:hAnsi="Calibri"/>
                <w:sz w:val="18"/>
                <w:szCs w:val="18"/>
              </w:rPr>
              <w:t>5,13</w:t>
            </w:r>
          </w:p>
        </w:tc>
      </w:tr>
      <w:tr w:rsidR="00F20C58" w:rsidRPr="00972554" w:rsidTr="00972554">
        <w:trPr>
          <w:trHeight w:val="300"/>
        </w:trPr>
        <w:tc>
          <w:tcPr>
            <w:tcW w:w="3732" w:type="pct"/>
            <w:shd w:val="clear" w:color="auto" w:fill="auto"/>
            <w:noWrap/>
            <w:hideMark/>
          </w:tcPr>
          <w:p w:rsidR="00F20C58" w:rsidRPr="00412299" w:rsidRDefault="00F20C58" w:rsidP="006B2DAF">
            <w:pPr>
              <w:spacing w:line="240" w:lineRule="auto"/>
              <w:rPr>
                <w:rFonts w:ascii="Calibri" w:hAnsi="Calibri"/>
                <w:b/>
                <w:bCs/>
                <w:sz w:val="18"/>
                <w:szCs w:val="18"/>
                <w:lang w:eastAsia="sl-SI"/>
              </w:rPr>
            </w:pPr>
            <w:r w:rsidRPr="00972554">
              <w:rPr>
                <w:rFonts w:ascii="Calibri" w:hAnsi="Calibri"/>
                <w:b/>
                <w:sz w:val="18"/>
                <w:szCs w:val="18"/>
              </w:rPr>
              <w:t>516-Denarna sredstva</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b/>
                <w:bCs/>
                <w:sz w:val="18"/>
                <w:szCs w:val="18"/>
                <w:lang w:eastAsia="sl-SI"/>
              </w:rPr>
            </w:pPr>
            <w:r w:rsidRPr="00972554">
              <w:rPr>
                <w:rFonts w:ascii="Calibri" w:hAnsi="Calibri"/>
                <w:b/>
                <w:sz w:val="18"/>
                <w:szCs w:val="18"/>
              </w:rPr>
              <w:t xml:space="preserve">283.714.147 </w:t>
            </w:r>
          </w:p>
        </w:tc>
        <w:tc>
          <w:tcPr>
            <w:tcW w:w="422" w:type="pct"/>
            <w:shd w:val="clear" w:color="auto" w:fill="FFFFFF"/>
            <w:noWrap/>
            <w:vAlign w:val="bottom"/>
            <w:hideMark/>
          </w:tcPr>
          <w:p w:rsidR="00F20C58" w:rsidRPr="00116FC1" w:rsidRDefault="00F20C58" w:rsidP="00412299">
            <w:pPr>
              <w:spacing w:line="240" w:lineRule="auto"/>
              <w:jc w:val="right"/>
              <w:rPr>
                <w:rFonts w:ascii="Calibri" w:hAnsi="Calibri"/>
                <w:b/>
                <w:bCs/>
                <w:sz w:val="18"/>
                <w:szCs w:val="18"/>
                <w:lang w:eastAsia="sl-SI"/>
              </w:rPr>
            </w:pPr>
          </w:p>
        </w:tc>
      </w:tr>
      <w:tr w:rsidR="00F20C58" w:rsidRPr="00972554" w:rsidTr="00972554">
        <w:trPr>
          <w:trHeight w:val="300"/>
        </w:trPr>
        <w:tc>
          <w:tcPr>
            <w:tcW w:w="3732" w:type="pct"/>
            <w:shd w:val="clear" w:color="auto" w:fill="auto"/>
            <w:noWrap/>
            <w:hideMark/>
          </w:tcPr>
          <w:p w:rsidR="00F20C58" w:rsidRPr="00412299" w:rsidRDefault="0036160C" w:rsidP="00972554">
            <w:pPr>
              <w:spacing w:line="240" w:lineRule="auto"/>
              <w:ind w:firstLineChars="100" w:firstLine="180"/>
              <w:rPr>
                <w:rFonts w:ascii="Calibri" w:hAnsi="Calibri"/>
                <w:sz w:val="18"/>
                <w:szCs w:val="18"/>
                <w:lang w:eastAsia="sl-SI"/>
              </w:rPr>
            </w:pPr>
            <w:r>
              <w:rPr>
                <w:rFonts w:ascii="Calibri" w:hAnsi="Calibri"/>
                <w:sz w:val="18"/>
                <w:szCs w:val="18"/>
              </w:rPr>
              <w:t>NPU</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sz w:val="18"/>
                <w:szCs w:val="18"/>
                <w:lang w:eastAsia="sl-SI"/>
              </w:rPr>
            </w:pPr>
            <w:r w:rsidRPr="00972554">
              <w:rPr>
                <w:rFonts w:ascii="Calibri" w:hAnsi="Calibri"/>
                <w:sz w:val="18"/>
                <w:szCs w:val="18"/>
              </w:rPr>
              <w:t xml:space="preserve">263.466.667 </w:t>
            </w:r>
          </w:p>
        </w:tc>
        <w:tc>
          <w:tcPr>
            <w:tcW w:w="422" w:type="pct"/>
            <w:shd w:val="clear" w:color="auto" w:fill="FFFFFF"/>
            <w:noWrap/>
            <w:vAlign w:val="bottom"/>
            <w:hideMark/>
          </w:tcPr>
          <w:p w:rsidR="00F20C58" w:rsidRPr="00412299" w:rsidRDefault="00F20C58" w:rsidP="00412299">
            <w:pPr>
              <w:spacing w:line="240" w:lineRule="auto"/>
              <w:jc w:val="right"/>
              <w:rPr>
                <w:rFonts w:ascii="Calibri" w:hAnsi="Calibri"/>
                <w:sz w:val="18"/>
                <w:szCs w:val="18"/>
                <w:lang w:eastAsia="sl-SI"/>
              </w:rPr>
            </w:pPr>
            <w:r w:rsidRPr="00972554">
              <w:rPr>
                <w:rFonts w:ascii="Calibri" w:hAnsi="Calibri"/>
                <w:sz w:val="18"/>
                <w:szCs w:val="18"/>
              </w:rPr>
              <w:t>92,86</w:t>
            </w:r>
          </w:p>
        </w:tc>
      </w:tr>
      <w:tr w:rsidR="00F20C58" w:rsidRPr="00972554" w:rsidTr="00972554">
        <w:trPr>
          <w:trHeight w:val="300"/>
        </w:trPr>
        <w:tc>
          <w:tcPr>
            <w:tcW w:w="3732" w:type="pct"/>
            <w:shd w:val="clear" w:color="auto" w:fill="auto"/>
            <w:noWrap/>
            <w:hideMark/>
          </w:tcPr>
          <w:p w:rsidR="00F20C58" w:rsidRPr="00412299" w:rsidRDefault="0036160C" w:rsidP="00972554">
            <w:pPr>
              <w:spacing w:line="240" w:lineRule="auto"/>
              <w:ind w:firstLineChars="100" w:firstLine="180"/>
              <w:rPr>
                <w:rFonts w:ascii="Calibri" w:hAnsi="Calibri"/>
                <w:sz w:val="18"/>
                <w:szCs w:val="18"/>
                <w:lang w:eastAsia="sl-SI"/>
              </w:rPr>
            </w:pPr>
            <w:r>
              <w:rPr>
                <w:rFonts w:ascii="Calibri" w:hAnsi="Calibri"/>
                <w:sz w:val="18"/>
                <w:szCs w:val="18"/>
              </w:rPr>
              <w:t>PPU</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sz w:val="18"/>
                <w:szCs w:val="18"/>
                <w:lang w:eastAsia="sl-SI"/>
              </w:rPr>
            </w:pPr>
            <w:r w:rsidRPr="00972554">
              <w:rPr>
                <w:rFonts w:ascii="Calibri" w:hAnsi="Calibri"/>
                <w:sz w:val="18"/>
                <w:szCs w:val="18"/>
              </w:rPr>
              <w:t xml:space="preserve">20.247.480 </w:t>
            </w:r>
          </w:p>
        </w:tc>
        <w:tc>
          <w:tcPr>
            <w:tcW w:w="422" w:type="pct"/>
            <w:shd w:val="clear" w:color="auto" w:fill="FFFFFF"/>
            <w:noWrap/>
            <w:vAlign w:val="bottom"/>
            <w:hideMark/>
          </w:tcPr>
          <w:p w:rsidR="00F20C58" w:rsidRPr="00412299" w:rsidRDefault="00F20C58" w:rsidP="00412299">
            <w:pPr>
              <w:spacing w:line="240" w:lineRule="auto"/>
              <w:jc w:val="right"/>
              <w:rPr>
                <w:rFonts w:ascii="Calibri" w:hAnsi="Calibri"/>
                <w:sz w:val="18"/>
                <w:szCs w:val="18"/>
                <w:lang w:eastAsia="sl-SI"/>
              </w:rPr>
            </w:pPr>
            <w:r w:rsidRPr="00972554">
              <w:rPr>
                <w:rFonts w:ascii="Calibri" w:hAnsi="Calibri"/>
                <w:sz w:val="18"/>
                <w:szCs w:val="18"/>
              </w:rPr>
              <w:t>7,14</w:t>
            </w:r>
          </w:p>
        </w:tc>
      </w:tr>
      <w:tr w:rsidR="00F20C58" w:rsidRPr="00972554" w:rsidTr="00972554">
        <w:trPr>
          <w:trHeight w:val="300"/>
        </w:trPr>
        <w:tc>
          <w:tcPr>
            <w:tcW w:w="3732" w:type="pct"/>
            <w:shd w:val="clear" w:color="auto" w:fill="auto"/>
            <w:noWrap/>
            <w:hideMark/>
          </w:tcPr>
          <w:p w:rsidR="00F20C58" w:rsidRPr="00412299" w:rsidRDefault="00F20C58" w:rsidP="006B2DAF">
            <w:pPr>
              <w:spacing w:line="240" w:lineRule="auto"/>
              <w:rPr>
                <w:rFonts w:ascii="Calibri" w:hAnsi="Calibri"/>
                <w:b/>
                <w:bCs/>
                <w:sz w:val="18"/>
                <w:szCs w:val="18"/>
                <w:lang w:eastAsia="sl-SI"/>
              </w:rPr>
            </w:pPr>
            <w:r w:rsidRPr="00972554">
              <w:rPr>
                <w:rFonts w:ascii="Calibri" w:hAnsi="Calibri"/>
                <w:b/>
                <w:sz w:val="18"/>
                <w:szCs w:val="18"/>
              </w:rPr>
              <w:t>517-Kratkoročne terjatve</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b/>
                <w:bCs/>
                <w:sz w:val="18"/>
                <w:szCs w:val="18"/>
                <w:lang w:eastAsia="sl-SI"/>
              </w:rPr>
            </w:pPr>
            <w:r w:rsidRPr="00972554">
              <w:rPr>
                <w:rFonts w:ascii="Calibri" w:hAnsi="Calibri"/>
                <w:b/>
                <w:sz w:val="18"/>
                <w:szCs w:val="18"/>
              </w:rPr>
              <w:t xml:space="preserve">532.487.968 </w:t>
            </w:r>
          </w:p>
        </w:tc>
        <w:tc>
          <w:tcPr>
            <w:tcW w:w="422" w:type="pct"/>
            <w:shd w:val="clear" w:color="auto" w:fill="FFFFFF"/>
            <w:noWrap/>
            <w:vAlign w:val="bottom"/>
            <w:hideMark/>
          </w:tcPr>
          <w:p w:rsidR="00F20C58" w:rsidRPr="00116FC1" w:rsidRDefault="00F20C58" w:rsidP="00412299">
            <w:pPr>
              <w:spacing w:line="240" w:lineRule="auto"/>
              <w:jc w:val="right"/>
              <w:rPr>
                <w:rFonts w:ascii="Calibri" w:hAnsi="Calibri"/>
                <w:b/>
                <w:bCs/>
                <w:sz w:val="18"/>
                <w:szCs w:val="18"/>
                <w:lang w:eastAsia="sl-SI"/>
              </w:rPr>
            </w:pPr>
          </w:p>
        </w:tc>
      </w:tr>
      <w:tr w:rsidR="00F20C58" w:rsidRPr="00972554" w:rsidTr="00972554">
        <w:trPr>
          <w:trHeight w:val="300"/>
        </w:trPr>
        <w:tc>
          <w:tcPr>
            <w:tcW w:w="3732" w:type="pct"/>
            <w:shd w:val="clear" w:color="auto" w:fill="auto"/>
            <w:noWrap/>
            <w:hideMark/>
          </w:tcPr>
          <w:p w:rsidR="00F20C58" w:rsidRPr="00412299" w:rsidRDefault="0036160C" w:rsidP="00972554">
            <w:pPr>
              <w:spacing w:line="240" w:lineRule="auto"/>
              <w:ind w:firstLineChars="100" w:firstLine="180"/>
              <w:rPr>
                <w:rFonts w:ascii="Calibri" w:hAnsi="Calibri"/>
                <w:sz w:val="18"/>
                <w:szCs w:val="18"/>
                <w:lang w:eastAsia="sl-SI"/>
              </w:rPr>
            </w:pPr>
            <w:r>
              <w:rPr>
                <w:rFonts w:ascii="Calibri" w:hAnsi="Calibri"/>
                <w:sz w:val="18"/>
                <w:szCs w:val="18"/>
              </w:rPr>
              <w:t>NPU</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sz w:val="18"/>
                <w:szCs w:val="18"/>
                <w:lang w:eastAsia="sl-SI"/>
              </w:rPr>
            </w:pPr>
            <w:r w:rsidRPr="00972554">
              <w:rPr>
                <w:rFonts w:ascii="Calibri" w:hAnsi="Calibri"/>
                <w:sz w:val="18"/>
                <w:szCs w:val="18"/>
              </w:rPr>
              <w:t xml:space="preserve">401.956.053 </w:t>
            </w:r>
          </w:p>
        </w:tc>
        <w:tc>
          <w:tcPr>
            <w:tcW w:w="422" w:type="pct"/>
            <w:shd w:val="clear" w:color="auto" w:fill="FFFFFF"/>
            <w:noWrap/>
            <w:vAlign w:val="bottom"/>
            <w:hideMark/>
          </w:tcPr>
          <w:p w:rsidR="00F20C58" w:rsidRPr="00412299" w:rsidRDefault="00F20C58" w:rsidP="00412299">
            <w:pPr>
              <w:spacing w:line="240" w:lineRule="auto"/>
              <w:jc w:val="right"/>
              <w:rPr>
                <w:rFonts w:ascii="Calibri" w:hAnsi="Calibri"/>
                <w:sz w:val="18"/>
                <w:szCs w:val="18"/>
                <w:lang w:eastAsia="sl-SI"/>
              </w:rPr>
            </w:pPr>
            <w:r w:rsidRPr="00972554">
              <w:rPr>
                <w:rFonts w:ascii="Calibri" w:hAnsi="Calibri"/>
                <w:sz w:val="18"/>
                <w:szCs w:val="18"/>
              </w:rPr>
              <w:t>75,49</w:t>
            </w:r>
          </w:p>
        </w:tc>
      </w:tr>
      <w:tr w:rsidR="00F20C58" w:rsidRPr="00972554" w:rsidTr="00972554">
        <w:trPr>
          <w:trHeight w:val="300"/>
        </w:trPr>
        <w:tc>
          <w:tcPr>
            <w:tcW w:w="3732" w:type="pct"/>
            <w:shd w:val="clear" w:color="auto" w:fill="auto"/>
            <w:noWrap/>
            <w:hideMark/>
          </w:tcPr>
          <w:p w:rsidR="00F20C58" w:rsidRPr="00412299" w:rsidRDefault="0036160C" w:rsidP="00972554">
            <w:pPr>
              <w:spacing w:line="240" w:lineRule="auto"/>
              <w:ind w:firstLineChars="100" w:firstLine="180"/>
              <w:rPr>
                <w:rFonts w:ascii="Calibri" w:hAnsi="Calibri"/>
                <w:sz w:val="18"/>
                <w:szCs w:val="18"/>
                <w:lang w:eastAsia="sl-SI"/>
              </w:rPr>
            </w:pPr>
            <w:r>
              <w:rPr>
                <w:rFonts w:ascii="Calibri" w:hAnsi="Calibri"/>
                <w:sz w:val="18"/>
                <w:szCs w:val="18"/>
              </w:rPr>
              <w:t>PPU</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sz w:val="18"/>
                <w:szCs w:val="18"/>
                <w:lang w:eastAsia="sl-SI"/>
              </w:rPr>
            </w:pPr>
            <w:r w:rsidRPr="00972554">
              <w:rPr>
                <w:rFonts w:ascii="Calibri" w:hAnsi="Calibri"/>
                <w:sz w:val="18"/>
                <w:szCs w:val="18"/>
              </w:rPr>
              <w:t xml:space="preserve">130.531.915 </w:t>
            </w:r>
          </w:p>
        </w:tc>
        <w:tc>
          <w:tcPr>
            <w:tcW w:w="422" w:type="pct"/>
            <w:shd w:val="clear" w:color="auto" w:fill="FFFFFF"/>
            <w:noWrap/>
            <w:vAlign w:val="bottom"/>
            <w:hideMark/>
          </w:tcPr>
          <w:p w:rsidR="00F20C58" w:rsidRPr="00412299" w:rsidRDefault="00F20C58" w:rsidP="00412299">
            <w:pPr>
              <w:spacing w:line="240" w:lineRule="auto"/>
              <w:jc w:val="right"/>
              <w:rPr>
                <w:rFonts w:ascii="Calibri" w:hAnsi="Calibri"/>
                <w:sz w:val="18"/>
                <w:szCs w:val="18"/>
                <w:lang w:eastAsia="sl-SI"/>
              </w:rPr>
            </w:pPr>
            <w:r w:rsidRPr="00972554">
              <w:rPr>
                <w:rFonts w:ascii="Calibri" w:hAnsi="Calibri"/>
                <w:sz w:val="18"/>
                <w:szCs w:val="18"/>
              </w:rPr>
              <w:t>24,51</w:t>
            </w:r>
          </w:p>
        </w:tc>
      </w:tr>
      <w:tr w:rsidR="00F20C58" w:rsidRPr="00972554" w:rsidTr="00972554">
        <w:trPr>
          <w:trHeight w:val="300"/>
        </w:trPr>
        <w:tc>
          <w:tcPr>
            <w:tcW w:w="3732" w:type="pct"/>
            <w:shd w:val="clear" w:color="auto" w:fill="auto"/>
            <w:noWrap/>
            <w:hideMark/>
          </w:tcPr>
          <w:p w:rsidR="00F20C58" w:rsidRPr="00412299" w:rsidRDefault="00F20C58" w:rsidP="006B2DAF">
            <w:pPr>
              <w:spacing w:line="240" w:lineRule="auto"/>
              <w:rPr>
                <w:rFonts w:ascii="Calibri" w:hAnsi="Calibri"/>
                <w:b/>
                <w:bCs/>
                <w:sz w:val="18"/>
                <w:szCs w:val="18"/>
                <w:lang w:eastAsia="sl-SI"/>
              </w:rPr>
            </w:pPr>
            <w:r w:rsidRPr="00972554">
              <w:rPr>
                <w:rFonts w:ascii="Calibri" w:hAnsi="Calibri"/>
                <w:b/>
                <w:sz w:val="18"/>
                <w:szCs w:val="18"/>
              </w:rPr>
              <w:t>518-Druge terjatve</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b/>
                <w:bCs/>
                <w:sz w:val="18"/>
                <w:szCs w:val="18"/>
                <w:lang w:eastAsia="sl-SI"/>
              </w:rPr>
            </w:pPr>
            <w:r w:rsidRPr="00972554">
              <w:rPr>
                <w:rFonts w:ascii="Calibri" w:hAnsi="Calibri"/>
                <w:b/>
                <w:sz w:val="18"/>
                <w:szCs w:val="18"/>
              </w:rPr>
              <w:t xml:space="preserve">206.935.661 </w:t>
            </w:r>
          </w:p>
        </w:tc>
        <w:tc>
          <w:tcPr>
            <w:tcW w:w="422" w:type="pct"/>
            <w:shd w:val="clear" w:color="auto" w:fill="FFFFFF"/>
            <w:noWrap/>
            <w:vAlign w:val="bottom"/>
            <w:hideMark/>
          </w:tcPr>
          <w:p w:rsidR="00F20C58" w:rsidRPr="00116FC1" w:rsidRDefault="00F20C58" w:rsidP="00412299">
            <w:pPr>
              <w:spacing w:line="240" w:lineRule="auto"/>
              <w:jc w:val="right"/>
              <w:rPr>
                <w:rFonts w:ascii="Calibri" w:hAnsi="Calibri"/>
                <w:b/>
                <w:bCs/>
                <w:sz w:val="18"/>
                <w:szCs w:val="18"/>
                <w:lang w:eastAsia="sl-SI"/>
              </w:rPr>
            </w:pPr>
          </w:p>
        </w:tc>
      </w:tr>
      <w:tr w:rsidR="00F20C58" w:rsidRPr="00972554" w:rsidTr="00972554">
        <w:trPr>
          <w:trHeight w:val="300"/>
        </w:trPr>
        <w:tc>
          <w:tcPr>
            <w:tcW w:w="3732" w:type="pct"/>
            <w:shd w:val="clear" w:color="auto" w:fill="auto"/>
            <w:noWrap/>
            <w:hideMark/>
          </w:tcPr>
          <w:p w:rsidR="00F20C58" w:rsidRPr="00412299" w:rsidRDefault="0036160C" w:rsidP="00972554">
            <w:pPr>
              <w:spacing w:line="240" w:lineRule="auto"/>
              <w:ind w:firstLineChars="100" w:firstLine="180"/>
              <w:rPr>
                <w:rFonts w:ascii="Calibri" w:hAnsi="Calibri"/>
                <w:sz w:val="18"/>
                <w:szCs w:val="18"/>
                <w:lang w:eastAsia="sl-SI"/>
              </w:rPr>
            </w:pPr>
            <w:r>
              <w:rPr>
                <w:rFonts w:ascii="Calibri" w:hAnsi="Calibri"/>
                <w:sz w:val="18"/>
                <w:szCs w:val="18"/>
              </w:rPr>
              <w:t>NPU</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sz w:val="18"/>
                <w:szCs w:val="18"/>
                <w:lang w:eastAsia="sl-SI"/>
              </w:rPr>
            </w:pPr>
            <w:r w:rsidRPr="00972554">
              <w:rPr>
                <w:rFonts w:ascii="Calibri" w:hAnsi="Calibri"/>
                <w:sz w:val="18"/>
                <w:szCs w:val="18"/>
              </w:rPr>
              <w:t xml:space="preserve">73.886.684 </w:t>
            </w:r>
          </w:p>
        </w:tc>
        <w:tc>
          <w:tcPr>
            <w:tcW w:w="422" w:type="pct"/>
            <w:shd w:val="clear" w:color="auto" w:fill="FFFFFF"/>
            <w:noWrap/>
            <w:vAlign w:val="bottom"/>
            <w:hideMark/>
          </w:tcPr>
          <w:p w:rsidR="00F20C58" w:rsidRPr="00412299" w:rsidRDefault="00F20C58" w:rsidP="00412299">
            <w:pPr>
              <w:spacing w:line="240" w:lineRule="auto"/>
              <w:jc w:val="right"/>
              <w:rPr>
                <w:rFonts w:ascii="Calibri" w:hAnsi="Calibri"/>
                <w:sz w:val="18"/>
                <w:szCs w:val="18"/>
                <w:lang w:eastAsia="sl-SI"/>
              </w:rPr>
            </w:pPr>
            <w:r w:rsidRPr="00972554">
              <w:rPr>
                <w:rFonts w:ascii="Calibri" w:hAnsi="Calibri"/>
                <w:sz w:val="18"/>
                <w:szCs w:val="18"/>
              </w:rPr>
              <w:t>35,71</w:t>
            </w:r>
          </w:p>
        </w:tc>
      </w:tr>
      <w:tr w:rsidR="00F20C58" w:rsidRPr="00972554" w:rsidTr="00972554">
        <w:trPr>
          <w:trHeight w:val="300"/>
        </w:trPr>
        <w:tc>
          <w:tcPr>
            <w:tcW w:w="3732" w:type="pct"/>
            <w:tcBorders>
              <w:bottom w:val="single" w:sz="4" w:space="0" w:color="auto"/>
            </w:tcBorders>
            <w:shd w:val="clear" w:color="auto" w:fill="auto"/>
            <w:noWrap/>
            <w:hideMark/>
          </w:tcPr>
          <w:p w:rsidR="00F20C58" w:rsidRPr="00412299" w:rsidRDefault="0036160C" w:rsidP="00972554">
            <w:pPr>
              <w:spacing w:line="240" w:lineRule="auto"/>
              <w:ind w:firstLineChars="100" w:firstLine="180"/>
              <w:rPr>
                <w:rFonts w:ascii="Calibri" w:hAnsi="Calibri"/>
                <w:sz w:val="18"/>
                <w:szCs w:val="18"/>
                <w:lang w:eastAsia="sl-SI"/>
              </w:rPr>
            </w:pPr>
            <w:r>
              <w:rPr>
                <w:rFonts w:ascii="Calibri" w:hAnsi="Calibri"/>
                <w:sz w:val="18"/>
                <w:szCs w:val="18"/>
              </w:rPr>
              <w:t>PPU</w:t>
            </w:r>
          </w:p>
        </w:tc>
        <w:tc>
          <w:tcPr>
            <w:tcW w:w="846" w:type="pct"/>
            <w:tcBorders>
              <w:bottom w:val="single" w:sz="4" w:space="0" w:color="auto"/>
            </w:tcBorders>
            <w:shd w:val="clear" w:color="auto" w:fill="auto"/>
            <w:noWrap/>
            <w:vAlign w:val="bottom"/>
            <w:hideMark/>
          </w:tcPr>
          <w:p w:rsidR="00F20C58" w:rsidRPr="00412299" w:rsidRDefault="00F20C58" w:rsidP="00382B0F">
            <w:pPr>
              <w:spacing w:line="240" w:lineRule="auto"/>
              <w:jc w:val="right"/>
              <w:rPr>
                <w:rFonts w:ascii="Calibri" w:hAnsi="Calibri"/>
                <w:sz w:val="18"/>
                <w:szCs w:val="18"/>
                <w:lang w:eastAsia="sl-SI"/>
              </w:rPr>
            </w:pPr>
            <w:r w:rsidRPr="00972554">
              <w:rPr>
                <w:rFonts w:ascii="Calibri" w:hAnsi="Calibri"/>
                <w:sz w:val="18"/>
                <w:szCs w:val="18"/>
              </w:rPr>
              <w:t xml:space="preserve">133.048.977 </w:t>
            </w:r>
          </w:p>
        </w:tc>
        <w:tc>
          <w:tcPr>
            <w:tcW w:w="422" w:type="pct"/>
            <w:tcBorders>
              <w:bottom w:val="single" w:sz="4" w:space="0" w:color="auto"/>
            </w:tcBorders>
            <w:shd w:val="clear" w:color="auto" w:fill="FFFFFF"/>
            <w:noWrap/>
            <w:vAlign w:val="bottom"/>
            <w:hideMark/>
          </w:tcPr>
          <w:p w:rsidR="00F20C58" w:rsidRPr="00412299" w:rsidRDefault="00F20C58" w:rsidP="00412299">
            <w:pPr>
              <w:spacing w:line="240" w:lineRule="auto"/>
              <w:jc w:val="right"/>
              <w:rPr>
                <w:rFonts w:ascii="Calibri" w:hAnsi="Calibri"/>
                <w:sz w:val="18"/>
                <w:szCs w:val="18"/>
                <w:lang w:eastAsia="sl-SI"/>
              </w:rPr>
            </w:pPr>
            <w:r w:rsidRPr="00972554">
              <w:rPr>
                <w:rFonts w:ascii="Calibri" w:hAnsi="Calibri"/>
                <w:sz w:val="18"/>
                <w:szCs w:val="18"/>
              </w:rPr>
              <w:t>64,29</w:t>
            </w:r>
          </w:p>
        </w:tc>
      </w:tr>
      <w:tr w:rsidR="00F20C58" w:rsidRPr="00972554" w:rsidTr="00972554">
        <w:trPr>
          <w:trHeight w:val="300"/>
        </w:trPr>
        <w:tc>
          <w:tcPr>
            <w:tcW w:w="3732" w:type="pct"/>
            <w:shd w:val="clear" w:color="auto" w:fill="92D050"/>
            <w:noWrap/>
            <w:hideMark/>
          </w:tcPr>
          <w:p w:rsidR="00F20C58" w:rsidRPr="00412299" w:rsidRDefault="00F20C58" w:rsidP="006B2DAF">
            <w:pPr>
              <w:spacing w:line="240" w:lineRule="auto"/>
              <w:rPr>
                <w:rFonts w:ascii="Calibri" w:hAnsi="Calibri"/>
                <w:b/>
                <w:bCs/>
                <w:i/>
                <w:sz w:val="18"/>
                <w:szCs w:val="18"/>
                <w:lang w:eastAsia="sl-SI"/>
              </w:rPr>
            </w:pPr>
            <w:r w:rsidRPr="00972554">
              <w:rPr>
                <w:rFonts w:ascii="Calibri" w:hAnsi="Calibri"/>
                <w:b/>
                <w:sz w:val="18"/>
                <w:szCs w:val="18"/>
              </w:rPr>
              <w:t>519-Skupaj aktiva</w:t>
            </w:r>
          </w:p>
        </w:tc>
        <w:tc>
          <w:tcPr>
            <w:tcW w:w="846" w:type="pct"/>
            <w:shd w:val="clear" w:color="auto" w:fill="92D050"/>
            <w:noWrap/>
            <w:vAlign w:val="bottom"/>
            <w:hideMark/>
          </w:tcPr>
          <w:p w:rsidR="00F20C58" w:rsidRPr="00412299" w:rsidRDefault="00F20C58" w:rsidP="00382B0F">
            <w:pPr>
              <w:spacing w:line="240" w:lineRule="auto"/>
              <w:jc w:val="right"/>
              <w:rPr>
                <w:rFonts w:ascii="Calibri" w:hAnsi="Calibri"/>
                <w:b/>
                <w:bCs/>
                <w:i/>
                <w:sz w:val="18"/>
                <w:szCs w:val="18"/>
                <w:lang w:eastAsia="sl-SI"/>
              </w:rPr>
            </w:pPr>
            <w:r w:rsidRPr="00972554">
              <w:rPr>
                <w:rFonts w:ascii="Calibri" w:hAnsi="Calibri"/>
                <w:b/>
                <w:sz w:val="18"/>
                <w:szCs w:val="18"/>
              </w:rPr>
              <w:t xml:space="preserve">15.107.340.796 </w:t>
            </w:r>
          </w:p>
        </w:tc>
        <w:tc>
          <w:tcPr>
            <w:tcW w:w="422" w:type="pct"/>
            <w:shd w:val="clear" w:color="auto" w:fill="92D050"/>
            <w:noWrap/>
            <w:vAlign w:val="bottom"/>
            <w:hideMark/>
          </w:tcPr>
          <w:p w:rsidR="00F20C58" w:rsidRPr="00116FC1" w:rsidRDefault="00F20C58" w:rsidP="00412299">
            <w:pPr>
              <w:spacing w:line="240" w:lineRule="auto"/>
              <w:jc w:val="right"/>
              <w:rPr>
                <w:rFonts w:ascii="Calibri" w:hAnsi="Calibri"/>
                <w:b/>
                <w:bCs/>
                <w:i/>
                <w:sz w:val="18"/>
                <w:szCs w:val="18"/>
                <w:lang w:eastAsia="sl-SI"/>
              </w:rPr>
            </w:pPr>
          </w:p>
        </w:tc>
      </w:tr>
      <w:tr w:rsidR="00F20C58" w:rsidRPr="00972554" w:rsidTr="00972554">
        <w:trPr>
          <w:trHeight w:val="300"/>
        </w:trPr>
        <w:tc>
          <w:tcPr>
            <w:tcW w:w="3732" w:type="pct"/>
            <w:shd w:val="clear" w:color="auto" w:fill="auto"/>
            <w:noWrap/>
            <w:hideMark/>
          </w:tcPr>
          <w:p w:rsidR="00F20C58" w:rsidRPr="00412299" w:rsidRDefault="0036160C" w:rsidP="00972554">
            <w:pPr>
              <w:spacing w:line="240" w:lineRule="auto"/>
              <w:ind w:firstLineChars="100" w:firstLine="180"/>
              <w:rPr>
                <w:rFonts w:ascii="Calibri" w:hAnsi="Calibri"/>
                <w:sz w:val="18"/>
                <w:szCs w:val="18"/>
                <w:lang w:eastAsia="sl-SI"/>
              </w:rPr>
            </w:pPr>
            <w:r>
              <w:rPr>
                <w:rFonts w:ascii="Calibri" w:hAnsi="Calibri"/>
                <w:sz w:val="18"/>
                <w:szCs w:val="18"/>
              </w:rPr>
              <w:t>NPU</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sz w:val="18"/>
                <w:szCs w:val="18"/>
                <w:lang w:eastAsia="sl-SI"/>
              </w:rPr>
            </w:pPr>
            <w:r w:rsidRPr="00972554">
              <w:rPr>
                <w:rFonts w:ascii="Calibri" w:hAnsi="Calibri"/>
                <w:sz w:val="18"/>
                <w:szCs w:val="18"/>
              </w:rPr>
              <w:t xml:space="preserve">11.721.704.820 </w:t>
            </w:r>
          </w:p>
        </w:tc>
        <w:tc>
          <w:tcPr>
            <w:tcW w:w="422" w:type="pct"/>
            <w:shd w:val="clear" w:color="auto" w:fill="FFFFFF"/>
            <w:noWrap/>
            <w:vAlign w:val="bottom"/>
            <w:hideMark/>
          </w:tcPr>
          <w:p w:rsidR="00F20C58" w:rsidRPr="00412299" w:rsidRDefault="00F20C58" w:rsidP="00412299">
            <w:pPr>
              <w:spacing w:line="240" w:lineRule="auto"/>
              <w:jc w:val="right"/>
              <w:rPr>
                <w:rFonts w:ascii="Calibri" w:hAnsi="Calibri"/>
                <w:sz w:val="18"/>
                <w:szCs w:val="18"/>
                <w:lang w:eastAsia="sl-SI"/>
              </w:rPr>
            </w:pPr>
            <w:r w:rsidRPr="00972554">
              <w:rPr>
                <w:rFonts w:ascii="Calibri" w:hAnsi="Calibri"/>
                <w:sz w:val="18"/>
                <w:szCs w:val="18"/>
              </w:rPr>
              <w:t>77,59</w:t>
            </w:r>
          </w:p>
        </w:tc>
      </w:tr>
      <w:tr w:rsidR="00F20C58" w:rsidRPr="00972554" w:rsidTr="00972554">
        <w:trPr>
          <w:trHeight w:val="300"/>
        </w:trPr>
        <w:tc>
          <w:tcPr>
            <w:tcW w:w="3732" w:type="pct"/>
            <w:shd w:val="clear" w:color="auto" w:fill="auto"/>
            <w:noWrap/>
            <w:hideMark/>
          </w:tcPr>
          <w:p w:rsidR="00F20C58" w:rsidRPr="00412299" w:rsidRDefault="0036160C" w:rsidP="00972554">
            <w:pPr>
              <w:spacing w:line="240" w:lineRule="auto"/>
              <w:ind w:firstLineChars="100" w:firstLine="180"/>
              <w:rPr>
                <w:rFonts w:ascii="Calibri" w:hAnsi="Calibri"/>
                <w:sz w:val="18"/>
                <w:szCs w:val="18"/>
                <w:lang w:eastAsia="sl-SI"/>
              </w:rPr>
            </w:pPr>
            <w:r>
              <w:rPr>
                <w:rFonts w:ascii="Calibri" w:hAnsi="Calibri"/>
                <w:sz w:val="18"/>
                <w:szCs w:val="18"/>
              </w:rPr>
              <w:t>PPU</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sz w:val="18"/>
                <w:szCs w:val="18"/>
                <w:lang w:eastAsia="sl-SI"/>
              </w:rPr>
            </w:pPr>
            <w:r w:rsidRPr="00972554">
              <w:rPr>
                <w:rFonts w:ascii="Calibri" w:hAnsi="Calibri"/>
                <w:sz w:val="18"/>
                <w:szCs w:val="18"/>
              </w:rPr>
              <w:t xml:space="preserve">3.385.635.976 </w:t>
            </w:r>
          </w:p>
        </w:tc>
        <w:tc>
          <w:tcPr>
            <w:tcW w:w="422" w:type="pct"/>
            <w:shd w:val="clear" w:color="auto" w:fill="FFFFFF"/>
            <w:noWrap/>
            <w:vAlign w:val="bottom"/>
            <w:hideMark/>
          </w:tcPr>
          <w:p w:rsidR="00F20C58" w:rsidRPr="00412299" w:rsidRDefault="00F20C58" w:rsidP="00412299">
            <w:pPr>
              <w:spacing w:line="240" w:lineRule="auto"/>
              <w:jc w:val="right"/>
              <w:rPr>
                <w:rFonts w:ascii="Calibri" w:hAnsi="Calibri"/>
                <w:sz w:val="18"/>
                <w:szCs w:val="18"/>
                <w:lang w:eastAsia="sl-SI"/>
              </w:rPr>
            </w:pPr>
            <w:r w:rsidRPr="00972554">
              <w:rPr>
                <w:rFonts w:ascii="Calibri" w:hAnsi="Calibri"/>
                <w:sz w:val="18"/>
                <w:szCs w:val="18"/>
              </w:rPr>
              <w:t>22,41</w:t>
            </w:r>
          </w:p>
        </w:tc>
      </w:tr>
      <w:tr w:rsidR="00F20C58" w:rsidRPr="00972554" w:rsidTr="00972554">
        <w:trPr>
          <w:trHeight w:val="300"/>
        </w:trPr>
        <w:tc>
          <w:tcPr>
            <w:tcW w:w="3732" w:type="pct"/>
            <w:shd w:val="clear" w:color="auto" w:fill="auto"/>
            <w:noWrap/>
            <w:hideMark/>
          </w:tcPr>
          <w:p w:rsidR="00F20C58" w:rsidRPr="00412299" w:rsidRDefault="00F20C58" w:rsidP="006B2DAF">
            <w:pPr>
              <w:spacing w:line="240" w:lineRule="auto"/>
              <w:rPr>
                <w:rFonts w:ascii="Calibri" w:hAnsi="Calibri"/>
                <w:b/>
                <w:bCs/>
                <w:sz w:val="18"/>
                <w:szCs w:val="18"/>
                <w:lang w:eastAsia="sl-SI"/>
              </w:rPr>
            </w:pPr>
            <w:r w:rsidRPr="00972554">
              <w:rPr>
                <w:rFonts w:ascii="Calibri" w:hAnsi="Calibri"/>
                <w:b/>
                <w:sz w:val="18"/>
                <w:szCs w:val="18"/>
              </w:rPr>
              <w:t>520-Splošni sklad</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b/>
                <w:bCs/>
                <w:sz w:val="18"/>
                <w:szCs w:val="18"/>
                <w:lang w:eastAsia="sl-SI"/>
              </w:rPr>
            </w:pPr>
            <w:r w:rsidRPr="00972554">
              <w:rPr>
                <w:rFonts w:ascii="Calibri" w:hAnsi="Calibri"/>
                <w:b/>
                <w:sz w:val="18"/>
                <w:szCs w:val="18"/>
              </w:rPr>
              <w:t xml:space="preserve">13.771.928.718 </w:t>
            </w:r>
          </w:p>
        </w:tc>
        <w:tc>
          <w:tcPr>
            <w:tcW w:w="422" w:type="pct"/>
            <w:shd w:val="clear" w:color="auto" w:fill="FFFFFF"/>
            <w:noWrap/>
            <w:vAlign w:val="bottom"/>
            <w:hideMark/>
          </w:tcPr>
          <w:p w:rsidR="00F20C58" w:rsidRPr="00116FC1" w:rsidRDefault="00F20C58" w:rsidP="00412299">
            <w:pPr>
              <w:spacing w:line="240" w:lineRule="auto"/>
              <w:jc w:val="right"/>
              <w:rPr>
                <w:rFonts w:ascii="Calibri" w:hAnsi="Calibri"/>
                <w:b/>
                <w:bCs/>
                <w:sz w:val="18"/>
                <w:szCs w:val="18"/>
                <w:lang w:eastAsia="sl-SI"/>
              </w:rPr>
            </w:pPr>
          </w:p>
        </w:tc>
      </w:tr>
      <w:tr w:rsidR="00F20C58" w:rsidRPr="00972554" w:rsidTr="00972554">
        <w:trPr>
          <w:trHeight w:val="300"/>
        </w:trPr>
        <w:tc>
          <w:tcPr>
            <w:tcW w:w="3732" w:type="pct"/>
            <w:shd w:val="clear" w:color="auto" w:fill="auto"/>
            <w:noWrap/>
            <w:hideMark/>
          </w:tcPr>
          <w:p w:rsidR="00F20C58" w:rsidRPr="00412299" w:rsidRDefault="0036160C" w:rsidP="00972554">
            <w:pPr>
              <w:spacing w:line="240" w:lineRule="auto"/>
              <w:ind w:firstLineChars="100" w:firstLine="180"/>
              <w:rPr>
                <w:rFonts w:ascii="Calibri" w:hAnsi="Calibri"/>
                <w:sz w:val="18"/>
                <w:szCs w:val="18"/>
                <w:lang w:eastAsia="sl-SI"/>
              </w:rPr>
            </w:pPr>
            <w:r>
              <w:rPr>
                <w:rFonts w:ascii="Calibri" w:hAnsi="Calibri"/>
                <w:sz w:val="18"/>
                <w:szCs w:val="18"/>
              </w:rPr>
              <w:t>NPU</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sz w:val="18"/>
                <w:szCs w:val="18"/>
                <w:lang w:eastAsia="sl-SI"/>
              </w:rPr>
            </w:pPr>
            <w:r w:rsidRPr="00972554">
              <w:rPr>
                <w:rFonts w:ascii="Calibri" w:hAnsi="Calibri"/>
                <w:sz w:val="18"/>
                <w:szCs w:val="18"/>
              </w:rPr>
              <w:t xml:space="preserve">10.680.998.459 </w:t>
            </w:r>
          </w:p>
        </w:tc>
        <w:tc>
          <w:tcPr>
            <w:tcW w:w="422" w:type="pct"/>
            <w:shd w:val="clear" w:color="auto" w:fill="FFFFFF"/>
            <w:noWrap/>
            <w:vAlign w:val="bottom"/>
            <w:hideMark/>
          </w:tcPr>
          <w:p w:rsidR="00F20C58" w:rsidRPr="00412299" w:rsidRDefault="00F20C58" w:rsidP="00412299">
            <w:pPr>
              <w:spacing w:line="240" w:lineRule="auto"/>
              <w:jc w:val="right"/>
              <w:rPr>
                <w:rFonts w:ascii="Calibri" w:hAnsi="Calibri"/>
                <w:sz w:val="18"/>
                <w:szCs w:val="18"/>
                <w:lang w:eastAsia="sl-SI"/>
              </w:rPr>
            </w:pPr>
            <w:r w:rsidRPr="00972554">
              <w:rPr>
                <w:rFonts w:ascii="Calibri" w:hAnsi="Calibri"/>
                <w:sz w:val="18"/>
                <w:szCs w:val="18"/>
              </w:rPr>
              <w:t>77,56</w:t>
            </w:r>
          </w:p>
        </w:tc>
      </w:tr>
      <w:tr w:rsidR="00F20C58" w:rsidRPr="00972554" w:rsidTr="00972554">
        <w:trPr>
          <w:trHeight w:val="300"/>
        </w:trPr>
        <w:tc>
          <w:tcPr>
            <w:tcW w:w="3732" w:type="pct"/>
            <w:shd w:val="clear" w:color="auto" w:fill="auto"/>
            <w:noWrap/>
            <w:hideMark/>
          </w:tcPr>
          <w:p w:rsidR="00F20C58" w:rsidRPr="00412299" w:rsidRDefault="0036160C" w:rsidP="00972554">
            <w:pPr>
              <w:spacing w:line="240" w:lineRule="auto"/>
              <w:ind w:firstLineChars="100" w:firstLine="180"/>
              <w:rPr>
                <w:rFonts w:ascii="Calibri" w:hAnsi="Calibri"/>
                <w:sz w:val="18"/>
                <w:szCs w:val="18"/>
                <w:lang w:eastAsia="sl-SI"/>
              </w:rPr>
            </w:pPr>
            <w:r>
              <w:rPr>
                <w:rFonts w:ascii="Calibri" w:hAnsi="Calibri"/>
                <w:sz w:val="18"/>
                <w:szCs w:val="18"/>
              </w:rPr>
              <w:t>PPU</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sz w:val="18"/>
                <w:szCs w:val="18"/>
                <w:lang w:eastAsia="sl-SI"/>
              </w:rPr>
            </w:pPr>
            <w:r w:rsidRPr="00972554">
              <w:rPr>
                <w:rFonts w:ascii="Calibri" w:hAnsi="Calibri"/>
                <w:sz w:val="18"/>
                <w:szCs w:val="18"/>
              </w:rPr>
              <w:t xml:space="preserve">3.090.930.259 </w:t>
            </w:r>
          </w:p>
        </w:tc>
        <w:tc>
          <w:tcPr>
            <w:tcW w:w="422" w:type="pct"/>
            <w:shd w:val="clear" w:color="auto" w:fill="FFFFFF"/>
            <w:noWrap/>
            <w:vAlign w:val="bottom"/>
            <w:hideMark/>
          </w:tcPr>
          <w:p w:rsidR="00F20C58" w:rsidRPr="00412299" w:rsidRDefault="00F20C58" w:rsidP="00412299">
            <w:pPr>
              <w:spacing w:line="240" w:lineRule="auto"/>
              <w:jc w:val="right"/>
              <w:rPr>
                <w:rFonts w:ascii="Calibri" w:hAnsi="Calibri"/>
                <w:sz w:val="18"/>
                <w:szCs w:val="18"/>
                <w:lang w:eastAsia="sl-SI"/>
              </w:rPr>
            </w:pPr>
            <w:r w:rsidRPr="00972554">
              <w:rPr>
                <w:rFonts w:ascii="Calibri" w:hAnsi="Calibri"/>
                <w:sz w:val="18"/>
                <w:szCs w:val="18"/>
              </w:rPr>
              <w:t>22,44</w:t>
            </w:r>
          </w:p>
        </w:tc>
      </w:tr>
      <w:tr w:rsidR="00F20C58" w:rsidRPr="00972554" w:rsidTr="00972554">
        <w:trPr>
          <w:trHeight w:val="300"/>
        </w:trPr>
        <w:tc>
          <w:tcPr>
            <w:tcW w:w="3732" w:type="pct"/>
            <w:shd w:val="clear" w:color="auto" w:fill="auto"/>
            <w:noWrap/>
            <w:hideMark/>
          </w:tcPr>
          <w:p w:rsidR="00F20C58" w:rsidRPr="00412299" w:rsidRDefault="00F20C58" w:rsidP="006B2DAF">
            <w:pPr>
              <w:spacing w:line="240" w:lineRule="auto"/>
              <w:rPr>
                <w:rFonts w:ascii="Calibri" w:hAnsi="Calibri"/>
                <w:b/>
                <w:bCs/>
                <w:sz w:val="18"/>
                <w:szCs w:val="18"/>
                <w:lang w:eastAsia="sl-SI"/>
              </w:rPr>
            </w:pPr>
            <w:r w:rsidRPr="00972554">
              <w:rPr>
                <w:rFonts w:ascii="Calibri" w:hAnsi="Calibri"/>
                <w:b/>
                <w:sz w:val="18"/>
                <w:szCs w:val="18"/>
              </w:rPr>
              <w:t>521-Rezervni sklad</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b/>
                <w:bCs/>
                <w:sz w:val="18"/>
                <w:szCs w:val="18"/>
                <w:lang w:eastAsia="sl-SI"/>
              </w:rPr>
            </w:pPr>
            <w:r w:rsidRPr="00972554">
              <w:rPr>
                <w:rFonts w:ascii="Calibri" w:hAnsi="Calibri"/>
                <w:b/>
                <w:sz w:val="18"/>
                <w:szCs w:val="18"/>
              </w:rPr>
              <w:t xml:space="preserve">16.949.059 </w:t>
            </w:r>
          </w:p>
        </w:tc>
        <w:tc>
          <w:tcPr>
            <w:tcW w:w="422" w:type="pct"/>
            <w:shd w:val="clear" w:color="auto" w:fill="FFFFFF"/>
            <w:noWrap/>
            <w:vAlign w:val="bottom"/>
            <w:hideMark/>
          </w:tcPr>
          <w:p w:rsidR="00F20C58" w:rsidRPr="00116FC1" w:rsidRDefault="00F20C58" w:rsidP="00412299">
            <w:pPr>
              <w:spacing w:line="240" w:lineRule="auto"/>
              <w:jc w:val="right"/>
              <w:rPr>
                <w:rFonts w:ascii="Calibri" w:hAnsi="Calibri"/>
                <w:b/>
                <w:bCs/>
                <w:sz w:val="18"/>
                <w:szCs w:val="18"/>
                <w:lang w:eastAsia="sl-SI"/>
              </w:rPr>
            </w:pPr>
          </w:p>
        </w:tc>
      </w:tr>
      <w:tr w:rsidR="00F20C58" w:rsidRPr="00972554" w:rsidTr="00972554">
        <w:trPr>
          <w:trHeight w:val="300"/>
        </w:trPr>
        <w:tc>
          <w:tcPr>
            <w:tcW w:w="3732" w:type="pct"/>
            <w:shd w:val="clear" w:color="auto" w:fill="auto"/>
            <w:noWrap/>
            <w:hideMark/>
          </w:tcPr>
          <w:p w:rsidR="00F20C58" w:rsidRPr="00412299" w:rsidRDefault="0036160C" w:rsidP="00972554">
            <w:pPr>
              <w:spacing w:line="240" w:lineRule="auto"/>
              <w:ind w:firstLineChars="100" w:firstLine="180"/>
              <w:rPr>
                <w:rFonts w:ascii="Calibri" w:hAnsi="Calibri"/>
                <w:sz w:val="18"/>
                <w:szCs w:val="18"/>
                <w:lang w:eastAsia="sl-SI"/>
              </w:rPr>
            </w:pPr>
            <w:r>
              <w:rPr>
                <w:rFonts w:ascii="Calibri" w:hAnsi="Calibri"/>
                <w:sz w:val="18"/>
                <w:szCs w:val="18"/>
              </w:rPr>
              <w:t>NPU</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sz w:val="18"/>
                <w:szCs w:val="18"/>
                <w:lang w:eastAsia="sl-SI"/>
              </w:rPr>
            </w:pPr>
            <w:r w:rsidRPr="00972554">
              <w:rPr>
                <w:rFonts w:ascii="Calibri" w:hAnsi="Calibri"/>
                <w:sz w:val="18"/>
                <w:szCs w:val="18"/>
              </w:rPr>
              <w:t xml:space="preserve">14.971.977 </w:t>
            </w:r>
          </w:p>
        </w:tc>
        <w:tc>
          <w:tcPr>
            <w:tcW w:w="422" w:type="pct"/>
            <w:shd w:val="clear" w:color="auto" w:fill="FFFFFF"/>
            <w:noWrap/>
            <w:vAlign w:val="bottom"/>
            <w:hideMark/>
          </w:tcPr>
          <w:p w:rsidR="00F20C58" w:rsidRPr="00412299" w:rsidRDefault="00F20C58" w:rsidP="00412299">
            <w:pPr>
              <w:spacing w:line="240" w:lineRule="auto"/>
              <w:jc w:val="right"/>
              <w:rPr>
                <w:rFonts w:ascii="Calibri" w:hAnsi="Calibri"/>
                <w:sz w:val="18"/>
                <w:szCs w:val="18"/>
                <w:lang w:eastAsia="sl-SI"/>
              </w:rPr>
            </w:pPr>
            <w:r w:rsidRPr="00972554">
              <w:rPr>
                <w:rFonts w:ascii="Calibri" w:hAnsi="Calibri"/>
                <w:sz w:val="18"/>
                <w:szCs w:val="18"/>
              </w:rPr>
              <w:t>88,34</w:t>
            </w:r>
          </w:p>
        </w:tc>
      </w:tr>
      <w:tr w:rsidR="00F20C58" w:rsidRPr="00972554" w:rsidTr="00972554">
        <w:trPr>
          <w:trHeight w:val="300"/>
        </w:trPr>
        <w:tc>
          <w:tcPr>
            <w:tcW w:w="3732" w:type="pct"/>
            <w:shd w:val="clear" w:color="auto" w:fill="auto"/>
            <w:noWrap/>
            <w:hideMark/>
          </w:tcPr>
          <w:p w:rsidR="00F20C58" w:rsidRPr="00412299" w:rsidRDefault="0036160C" w:rsidP="00972554">
            <w:pPr>
              <w:spacing w:line="240" w:lineRule="auto"/>
              <w:ind w:firstLineChars="100" w:firstLine="180"/>
              <w:rPr>
                <w:rFonts w:ascii="Calibri" w:hAnsi="Calibri"/>
                <w:sz w:val="18"/>
                <w:szCs w:val="18"/>
                <w:lang w:eastAsia="sl-SI"/>
              </w:rPr>
            </w:pPr>
            <w:r>
              <w:rPr>
                <w:rFonts w:ascii="Calibri" w:hAnsi="Calibri"/>
                <w:sz w:val="18"/>
                <w:szCs w:val="18"/>
              </w:rPr>
              <w:t>PPU</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sz w:val="18"/>
                <w:szCs w:val="18"/>
                <w:lang w:eastAsia="sl-SI"/>
              </w:rPr>
            </w:pPr>
            <w:r w:rsidRPr="00972554">
              <w:rPr>
                <w:rFonts w:ascii="Calibri" w:hAnsi="Calibri"/>
                <w:sz w:val="18"/>
                <w:szCs w:val="18"/>
              </w:rPr>
              <w:t xml:space="preserve">1.977.082 </w:t>
            </w:r>
          </w:p>
        </w:tc>
        <w:tc>
          <w:tcPr>
            <w:tcW w:w="422" w:type="pct"/>
            <w:shd w:val="clear" w:color="auto" w:fill="FFFFFF"/>
            <w:noWrap/>
            <w:vAlign w:val="bottom"/>
            <w:hideMark/>
          </w:tcPr>
          <w:p w:rsidR="00F20C58" w:rsidRPr="00412299" w:rsidRDefault="00F20C58" w:rsidP="00412299">
            <w:pPr>
              <w:spacing w:line="240" w:lineRule="auto"/>
              <w:jc w:val="right"/>
              <w:rPr>
                <w:rFonts w:ascii="Calibri" w:hAnsi="Calibri"/>
                <w:sz w:val="18"/>
                <w:szCs w:val="18"/>
                <w:lang w:eastAsia="sl-SI"/>
              </w:rPr>
            </w:pPr>
            <w:r w:rsidRPr="00972554">
              <w:rPr>
                <w:rFonts w:ascii="Calibri" w:hAnsi="Calibri"/>
                <w:sz w:val="18"/>
                <w:szCs w:val="18"/>
              </w:rPr>
              <w:t>11,66</w:t>
            </w:r>
          </w:p>
        </w:tc>
      </w:tr>
      <w:tr w:rsidR="00F20C58" w:rsidRPr="00972554" w:rsidTr="00972554">
        <w:trPr>
          <w:trHeight w:val="300"/>
        </w:trPr>
        <w:tc>
          <w:tcPr>
            <w:tcW w:w="3732" w:type="pct"/>
            <w:shd w:val="clear" w:color="auto" w:fill="auto"/>
            <w:noWrap/>
            <w:hideMark/>
          </w:tcPr>
          <w:p w:rsidR="00F20C58" w:rsidRPr="00412299" w:rsidRDefault="00F20C58" w:rsidP="006B2DAF">
            <w:pPr>
              <w:spacing w:line="240" w:lineRule="auto"/>
              <w:rPr>
                <w:rFonts w:ascii="Calibri" w:hAnsi="Calibri"/>
                <w:b/>
                <w:bCs/>
                <w:sz w:val="18"/>
                <w:szCs w:val="18"/>
                <w:lang w:eastAsia="sl-SI"/>
              </w:rPr>
            </w:pPr>
            <w:r w:rsidRPr="00972554">
              <w:rPr>
                <w:rFonts w:ascii="Calibri" w:hAnsi="Calibri"/>
                <w:b/>
                <w:sz w:val="18"/>
                <w:szCs w:val="18"/>
              </w:rPr>
              <w:t>522-Dolgoročno prejeta posojila</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b/>
                <w:bCs/>
                <w:sz w:val="18"/>
                <w:szCs w:val="18"/>
                <w:lang w:eastAsia="sl-SI"/>
              </w:rPr>
            </w:pPr>
            <w:r w:rsidRPr="00972554">
              <w:rPr>
                <w:rFonts w:ascii="Calibri" w:hAnsi="Calibri"/>
                <w:b/>
                <w:sz w:val="18"/>
                <w:szCs w:val="18"/>
              </w:rPr>
              <w:t xml:space="preserve">587.738.333 </w:t>
            </w:r>
          </w:p>
        </w:tc>
        <w:tc>
          <w:tcPr>
            <w:tcW w:w="422" w:type="pct"/>
            <w:shd w:val="clear" w:color="auto" w:fill="FFFFFF"/>
            <w:noWrap/>
            <w:vAlign w:val="bottom"/>
            <w:hideMark/>
          </w:tcPr>
          <w:p w:rsidR="00F20C58" w:rsidRPr="00116FC1" w:rsidRDefault="00F20C58" w:rsidP="00412299">
            <w:pPr>
              <w:spacing w:line="240" w:lineRule="auto"/>
              <w:jc w:val="right"/>
              <w:rPr>
                <w:rFonts w:ascii="Calibri" w:hAnsi="Calibri"/>
                <w:b/>
                <w:bCs/>
                <w:sz w:val="18"/>
                <w:szCs w:val="18"/>
                <w:lang w:eastAsia="sl-SI"/>
              </w:rPr>
            </w:pPr>
          </w:p>
        </w:tc>
      </w:tr>
      <w:tr w:rsidR="00F20C58" w:rsidRPr="00972554" w:rsidTr="00972554">
        <w:trPr>
          <w:trHeight w:val="300"/>
        </w:trPr>
        <w:tc>
          <w:tcPr>
            <w:tcW w:w="3732" w:type="pct"/>
            <w:shd w:val="clear" w:color="auto" w:fill="auto"/>
            <w:noWrap/>
            <w:hideMark/>
          </w:tcPr>
          <w:p w:rsidR="00F20C58" w:rsidRPr="00412299" w:rsidRDefault="0036160C" w:rsidP="00972554">
            <w:pPr>
              <w:spacing w:line="240" w:lineRule="auto"/>
              <w:ind w:firstLineChars="100" w:firstLine="180"/>
              <w:rPr>
                <w:rFonts w:ascii="Calibri" w:hAnsi="Calibri"/>
                <w:sz w:val="18"/>
                <w:szCs w:val="18"/>
                <w:lang w:eastAsia="sl-SI"/>
              </w:rPr>
            </w:pPr>
            <w:r>
              <w:rPr>
                <w:rFonts w:ascii="Calibri" w:hAnsi="Calibri"/>
                <w:sz w:val="18"/>
                <w:szCs w:val="18"/>
              </w:rPr>
              <w:t>NPU</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sz w:val="18"/>
                <w:szCs w:val="18"/>
                <w:lang w:eastAsia="sl-SI"/>
              </w:rPr>
            </w:pPr>
            <w:r w:rsidRPr="00972554">
              <w:rPr>
                <w:rFonts w:ascii="Calibri" w:hAnsi="Calibri"/>
                <w:sz w:val="18"/>
                <w:szCs w:val="18"/>
              </w:rPr>
              <w:t xml:space="preserve">565.340.325 </w:t>
            </w:r>
          </w:p>
        </w:tc>
        <w:tc>
          <w:tcPr>
            <w:tcW w:w="422" w:type="pct"/>
            <w:shd w:val="clear" w:color="auto" w:fill="FFFFFF"/>
            <w:noWrap/>
            <w:vAlign w:val="bottom"/>
            <w:hideMark/>
          </w:tcPr>
          <w:p w:rsidR="00F20C58" w:rsidRPr="00412299" w:rsidRDefault="00F20C58" w:rsidP="00412299">
            <w:pPr>
              <w:spacing w:line="240" w:lineRule="auto"/>
              <w:jc w:val="right"/>
              <w:rPr>
                <w:rFonts w:ascii="Calibri" w:hAnsi="Calibri"/>
                <w:sz w:val="18"/>
                <w:szCs w:val="18"/>
                <w:lang w:eastAsia="sl-SI"/>
              </w:rPr>
            </w:pPr>
            <w:r w:rsidRPr="00972554">
              <w:rPr>
                <w:rFonts w:ascii="Calibri" w:hAnsi="Calibri"/>
                <w:sz w:val="18"/>
                <w:szCs w:val="18"/>
              </w:rPr>
              <w:t>96,19</w:t>
            </w:r>
          </w:p>
        </w:tc>
      </w:tr>
      <w:tr w:rsidR="00F20C58" w:rsidRPr="00972554" w:rsidTr="00972554">
        <w:trPr>
          <w:trHeight w:val="300"/>
        </w:trPr>
        <w:tc>
          <w:tcPr>
            <w:tcW w:w="3732" w:type="pct"/>
            <w:shd w:val="clear" w:color="auto" w:fill="auto"/>
            <w:noWrap/>
            <w:hideMark/>
          </w:tcPr>
          <w:p w:rsidR="00F20C58" w:rsidRPr="00412299" w:rsidRDefault="0036160C" w:rsidP="00972554">
            <w:pPr>
              <w:spacing w:line="240" w:lineRule="auto"/>
              <w:ind w:firstLineChars="100" w:firstLine="180"/>
              <w:rPr>
                <w:rFonts w:ascii="Calibri" w:hAnsi="Calibri"/>
                <w:sz w:val="18"/>
                <w:szCs w:val="18"/>
                <w:lang w:eastAsia="sl-SI"/>
              </w:rPr>
            </w:pPr>
            <w:r>
              <w:rPr>
                <w:rFonts w:ascii="Calibri" w:hAnsi="Calibri"/>
                <w:sz w:val="18"/>
                <w:szCs w:val="18"/>
              </w:rPr>
              <w:t>PPU</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sz w:val="18"/>
                <w:szCs w:val="18"/>
                <w:lang w:eastAsia="sl-SI"/>
              </w:rPr>
            </w:pPr>
            <w:r w:rsidRPr="00972554">
              <w:rPr>
                <w:rFonts w:ascii="Calibri" w:hAnsi="Calibri"/>
                <w:sz w:val="18"/>
                <w:szCs w:val="18"/>
              </w:rPr>
              <w:t xml:space="preserve">22.398.008 </w:t>
            </w:r>
          </w:p>
        </w:tc>
        <w:tc>
          <w:tcPr>
            <w:tcW w:w="422" w:type="pct"/>
            <w:shd w:val="clear" w:color="auto" w:fill="FFFFFF"/>
            <w:noWrap/>
            <w:vAlign w:val="bottom"/>
            <w:hideMark/>
          </w:tcPr>
          <w:p w:rsidR="00F20C58" w:rsidRPr="00412299" w:rsidRDefault="00F20C58" w:rsidP="00412299">
            <w:pPr>
              <w:spacing w:line="240" w:lineRule="auto"/>
              <w:jc w:val="right"/>
              <w:rPr>
                <w:rFonts w:ascii="Calibri" w:hAnsi="Calibri"/>
                <w:sz w:val="18"/>
                <w:szCs w:val="18"/>
                <w:lang w:eastAsia="sl-SI"/>
              </w:rPr>
            </w:pPr>
            <w:r w:rsidRPr="00972554">
              <w:rPr>
                <w:rFonts w:ascii="Calibri" w:hAnsi="Calibri"/>
                <w:sz w:val="18"/>
                <w:szCs w:val="18"/>
              </w:rPr>
              <w:t>3,81</w:t>
            </w:r>
          </w:p>
        </w:tc>
      </w:tr>
      <w:tr w:rsidR="00F20C58" w:rsidRPr="00972554" w:rsidTr="00972554">
        <w:trPr>
          <w:trHeight w:val="300"/>
        </w:trPr>
        <w:tc>
          <w:tcPr>
            <w:tcW w:w="3732" w:type="pct"/>
            <w:shd w:val="clear" w:color="auto" w:fill="auto"/>
            <w:noWrap/>
            <w:hideMark/>
          </w:tcPr>
          <w:p w:rsidR="00F20C58" w:rsidRPr="00972554" w:rsidRDefault="00F20C58" w:rsidP="006B2DAF">
            <w:pPr>
              <w:spacing w:line="240" w:lineRule="auto"/>
              <w:rPr>
                <w:rFonts w:ascii="Calibri" w:hAnsi="Calibri"/>
                <w:b/>
                <w:bCs/>
                <w:sz w:val="18"/>
                <w:szCs w:val="18"/>
                <w:lang w:eastAsia="sl-SI"/>
              </w:rPr>
            </w:pPr>
            <w:r w:rsidRPr="00972554">
              <w:rPr>
                <w:rFonts w:ascii="Calibri" w:hAnsi="Calibri"/>
                <w:b/>
                <w:sz w:val="18"/>
                <w:szCs w:val="18"/>
              </w:rPr>
              <w:t>523-Dolgoročne obveznosti iz poslovanja</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b/>
                <w:bCs/>
                <w:sz w:val="18"/>
                <w:szCs w:val="18"/>
                <w:lang w:eastAsia="sl-SI"/>
              </w:rPr>
            </w:pPr>
            <w:r w:rsidRPr="00972554">
              <w:rPr>
                <w:rFonts w:ascii="Calibri" w:hAnsi="Calibri"/>
                <w:b/>
                <w:sz w:val="18"/>
                <w:szCs w:val="18"/>
              </w:rPr>
              <w:t xml:space="preserve">95.936.678 </w:t>
            </w:r>
          </w:p>
        </w:tc>
        <w:tc>
          <w:tcPr>
            <w:tcW w:w="422" w:type="pct"/>
            <w:shd w:val="clear" w:color="auto" w:fill="FFFFFF"/>
            <w:noWrap/>
            <w:vAlign w:val="bottom"/>
            <w:hideMark/>
          </w:tcPr>
          <w:p w:rsidR="00F20C58" w:rsidRPr="00116FC1" w:rsidRDefault="00F20C58" w:rsidP="00412299">
            <w:pPr>
              <w:spacing w:line="240" w:lineRule="auto"/>
              <w:jc w:val="right"/>
              <w:rPr>
                <w:rFonts w:ascii="Calibri" w:hAnsi="Calibri"/>
                <w:b/>
                <w:bCs/>
                <w:sz w:val="18"/>
                <w:szCs w:val="18"/>
                <w:lang w:eastAsia="sl-SI"/>
              </w:rPr>
            </w:pPr>
          </w:p>
        </w:tc>
      </w:tr>
      <w:tr w:rsidR="00F20C58" w:rsidRPr="00972554" w:rsidTr="00972554">
        <w:trPr>
          <w:trHeight w:val="300"/>
        </w:trPr>
        <w:tc>
          <w:tcPr>
            <w:tcW w:w="3732" w:type="pct"/>
            <w:shd w:val="clear" w:color="auto" w:fill="auto"/>
            <w:noWrap/>
            <w:hideMark/>
          </w:tcPr>
          <w:p w:rsidR="00F20C58" w:rsidRPr="00412299" w:rsidRDefault="0036160C" w:rsidP="00972554">
            <w:pPr>
              <w:spacing w:line="240" w:lineRule="auto"/>
              <w:ind w:firstLineChars="100" w:firstLine="180"/>
              <w:rPr>
                <w:rFonts w:ascii="Calibri" w:hAnsi="Calibri"/>
                <w:sz w:val="18"/>
                <w:szCs w:val="18"/>
                <w:lang w:eastAsia="sl-SI"/>
              </w:rPr>
            </w:pPr>
            <w:r>
              <w:rPr>
                <w:rFonts w:ascii="Calibri" w:hAnsi="Calibri"/>
                <w:sz w:val="18"/>
                <w:szCs w:val="18"/>
              </w:rPr>
              <w:t>NPU</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sz w:val="18"/>
                <w:szCs w:val="18"/>
                <w:lang w:eastAsia="sl-SI"/>
              </w:rPr>
            </w:pPr>
            <w:r w:rsidRPr="00972554">
              <w:rPr>
                <w:rFonts w:ascii="Calibri" w:hAnsi="Calibri"/>
                <w:sz w:val="18"/>
                <w:szCs w:val="18"/>
              </w:rPr>
              <w:t xml:space="preserve">81.923.183 </w:t>
            </w:r>
          </w:p>
        </w:tc>
        <w:tc>
          <w:tcPr>
            <w:tcW w:w="422" w:type="pct"/>
            <w:shd w:val="clear" w:color="auto" w:fill="FFFFFF"/>
            <w:noWrap/>
            <w:vAlign w:val="bottom"/>
            <w:hideMark/>
          </w:tcPr>
          <w:p w:rsidR="00F20C58" w:rsidRPr="00412299" w:rsidRDefault="00F20C58" w:rsidP="00412299">
            <w:pPr>
              <w:spacing w:line="240" w:lineRule="auto"/>
              <w:jc w:val="right"/>
              <w:rPr>
                <w:rFonts w:ascii="Calibri" w:hAnsi="Calibri"/>
                <w:sz w:val="18"/>
                <w:szCs w:val="18"/>
                <w:lang w:eastAsia="sl-SI"/>
              </w:rPr>
            </w:pPr>
            <w:r w:rsidRPr="00972554">
              <w:rPr>
                <w:rFonts w:ascii="Calibri" w:hAnsi="Calibri"/>
                <w:sz w:val="18"/>
                <w:szCs w:val="18"/>
              </w:rPr>
              <w:t>85,39</w:t>
            </w:r>
          </w:p>
        </w:tc>
      </w:tr>
      <w:tr w:rsidR="00F20C58" w:rsidRPr="00972554" w:rsidTr="00972554">
        <w:trPr>
          <w:trHeight w:val="300"/>
        </w:trPr>
        <w:tc>
          <w:tcPr>
            <w:tcW w:w="3732" w:type="pct"/>
            <w:shd w:val="clear" w:color="auto" w:fill="auto"/>
            <w:noWrap/>
            <w:hideMark/>
          </w:tcPr>
          <w:p w:rsidR="00F20C58" w:rsidRPr="00412299" w:rsidRDefault="0036160C" w:rsidP="00972554">
            <w:pPr>
              <w:spacing w:line="240" w:lineRule="auto"/>
              <w:ind w:firstLineChars="100" w:firstLine="180"/>
              <w:rPr>
                <w:rFonts w:ascii="Calibri" w:hAnsi="Calibri"/>
                <w:sz w:val="18"/>
                <w:szCs w:val="18"/>
                <w:lang w:eastAsia="sl-SI"/>
              </w:rPr>
            </w:pPr>
            <w:r>
              <w:rPr>
                <w:rFonts w:ascii="Calibri" w:hAnsi="Calibri"/>
                <w:sz w:val="18"/>
                <w:szCs w:val="18"/>
              </w:rPr>
              <w:t>PPU</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sz w:val="18"/>
                <w:szCs w:val="18"/>
                <w:lang w:eastAsia="sl-SI"/>
              </w:rPr>
            </w:pPr>
            <w:r w:rsidRPr="00972554">
              <w:rPr>
                <w:rFonts w:ascii="Calibri" w:hAnsi="Calibri"/>
                <w:sz w:val="18"/>
                <w:szCs w:val="18"/>
              </w:rPr>
              <w:t xml:space="preserve">14.013.495 </w:t>
            </w:r>
          </w:p>
        </w:tc>
        <w:tc>
          <w:tcPr>
            <w:tcW w:w="422" w:type="pct"/>
            <w:shd w:val="clear" w:color="auto" w:fill="FFFFFF"/>
            <w:noWrap/>
            <w:vAlign w:val="bottom"/>
            <w:hideMark/>
          </w:tcPr>
          <w:p w:rsidR="00F20C58" w:rsidRPr="00412299" w:rsidRDefault="00F20C58" w:rsidP="00412299">
            <w:pPr>
              <w:spacing w:line="240" w:lineRule="auto"/>
              <w:jc w:val="right"/>
              <w:rPr>
                <w:rFonts w:ascii="Calibri" w:hAnsi="Calibri"/>
                <w:sz w:val="18"/>
                <w:szCs w:val="18"/>
                <w:lang w:eastAsia="sl-SI"/>
              </w:rPr>
            </w:pPr>
            <w:r w:rsidRPr="00972554">
              <w:rPr>
                <w:rFonts w:ascii="Calibri" w:hAnsi="Calibri"/>
                <w:sz w:val="18"/>
                <w:szCs w:val="18"/>
              </w:rPr>
              <w:t>14,61</w:t>
            </w:r>
          </w:p>
        </w:tc>
      </w:tr>
      <w:tr w:rsidR="00F20C58" w:rsidRPr="00972554" w:rsidTr="00972554">
        <w:trPr>
          <w:trHeight w:val="300"/>
        </w:trPr>
        <w:tc>
          <w:tcPr>
            <w:tcW w:w="3732" w:type="pct"/>
            <w:shd w:val="clear" w:color="auto" w:fill="auto"/>
            <w:noWrap/>
            <w:hideMark/>
          </w:tcPr>
          <w:p w:rsidR="00F20C58" w:rsidRPr="00412299" w:rsidRDefault="00F20C58" w:rsidP="006B2DAF">
            <w:pPr>
              <w:spacing w:line="240" w:lineRule="auto"/>
              <w:rPr>
                <w:rFonts w:ascii="Calibri" w:hAnsi="Calibri"/>
                <w:b/>
                <w:bCs/>
                <w:sz w:val="18"/>
                <w:szCs w:val="18"/>
                <w:lang w:eastAsia="sl-SI"/>
              </w:rPr>
            </w:pPr>
            <w:r w:rsidRPr="00972554">
              <w:rPr>
                <w:rFonts w:ascii="Calibri" w:hAnsi="Calibri"/>
                <w:b/>
                <w:sz w:val="18"/>
                <w:szCs w:val="18"/>
              </w:rPr>
              <w:t>524-Kratkoročne obveznosti</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b/>
                <w:bCs/>
                <w:sz w:val="18"/>
                <w:szCs w:val="18"/>
                <w:lang w:eastAsia="sl-SI"/>
              </w:rPr>
            </w:pPr>
            <w:r w:rsidRPr="00972554">
              <w:rPr>
                <w:rFonts w:ascii="Calibri" w:hAnsi="Calibri"/>
                <w:b/>
                <w:sz w:val="18"/>
                <w:szCs w:val="18"/>
              </w:rPr>
              <w:t xml:space="preserve">440.601.432 </w:t>
            </w:r>
          </w:p>
        </w:tc>
        <w:tc>
          <w:tcPr>
            <w:tcW w:w="422" w:type="pct"/>
            <w:shd w:val="clear" w:color="auto" w:fill="FFFFFF"/>
            <w:noWrap/>
            <w:vAlign w:val="bottom"/>
            <w:hideMark/>
          </w:tcPr>
          <w:p w:rsidR="00F20C58" w:rsidRPr="00116FC1" w:rsidRDefault="00F20C58" w:rsidP="00412299">
            <w:pPr>
              <w:spacing w:line="240" w:lineRule="auto"/>
              <w:jc w:val="right"/>
              <w:rPr>
                <w:rFonts w:ascii="Calibri" w:hAnsi="Calibri"/>
                <w:b/>
                <w:bCs/>
                <w:sz w:val="18"/>
                <w:szCs w:val="18"/>
                <w:lang w:eastAsia="sl-SI"/>
              </w:rPr>
            </w:pPr>
          </w:p>
        </w:tc>
      </w:tr>
      <w:tr w:rsidR="00F20C58" w:rsidRPr="00972554" w:rsidTr="00972554">
        <w:trPr>
          <w:trHeight w:val="300"/>
        </w:trPr>
        <w:tc>
          <w:tcPr>
            <w:tcW w:w="3732" w:type="pct"/>
            <w:shd w:val="clear" w:color="auto" w:fill="auto"/>
            <w:noWrap/>
            <w:hideMark/>
          </w:tcPr>
          <w:p w:rsidR="00F20C58" w:rsidRPr="00412299" w:rsidRDefault="0036160C" w:rsidP="00972554">
            <w:pPr>
              <w:spacing w:line="240" w:lineRule="auto"/>
              <w:ind w:firstLineChars="100" w:firstLine="180"/>
              <w:rPr>
                <w:rFonts w:ascii="Calibri" w:hAnsi="Calibri"/>
                <w:sz w:val="18"/>
                <w:szCs w:val="18"/>
                <w:lang w:eastAsia="sl-SI"/>
              </w:rPr>
            </w:pPr>
            <w:r>
              <w:rPr>
                <w:rFonts w:ascii="Calibri" w:hAnsi="Calibri"/>
                <w:sz w:val="18"/>
                <w:szCs w:val="18"/>
              </w:rPr>
              <w:t>NPU</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sz w:val="18"/>
                <w:szCs w:val="18"/>
                <w:lang w:eastAsia="sl-SI"/>
              </w:rPr>
            </w:pPr>
            <w:r w:rsidRPr="00972554">
              <w:rPr>
                <w:rFonts w:ascii="Calibri" w:hAnsi="Calibri"/>
                <w:sz w:val="18"/>
                <w:szCs w:val="18"/>
              </w:rPr>
              <w:t xml:space="preserve">211.288.757 </w:t>
            </w:r>
          </w:p>
        </w:tc>
        <w:tc>
          <w:tcPr>
            <w:tcW w:w="422" w:type="pct"/>
            <w:shd w:val="clear" w:color="auto" w:fill="FFFFFF"/>
            <w:noWrap/>
            <w:vAlign w:val="bottom"/>
            <w:hideMark/>
          </w:tcPr>
          <w:p w:rsidR="00F20C58" w:rsidRPr="00412299" w:rsidRDefault="00F20C58" w:rsidP="00412299">
            <w:pPr>
              <w:spacing w:line="240" w:lineRule="auto"/>
              <w:jc w:val="right"/>
              <w:rPr>
                <w:rFonts w:ascii="Calibri" w:hAnsi="Calibri"/>
                <w:sz w:val="18"/>
                <w:szCs w:val="18"/>
                <w:lang w:eastAsia="sl-SI"/>
              </w:rPr>
            </w:pPr>
            <w:r w:rsidRPr="00972554">
              <w:rPr>
                <w:rFonts w:ascii="Calibri" w:hAnsi="Calibri"/>
                <w:sz w:val="18"/>
                <w:szCs w:val="18"/>
              </w:rPr>
              <w:t>47,95</w:t>
            </w:r>
          </w:p>
        </w:tc>
      </w:tr>
      <w:tr w:rsidR="00F20C58" w:rsidRPr="00972554" w:rsidTr="00972554">
        <w:trPr>
          <w:trHeight w:val="300"/>
        </w:trPr>
        <w:tc>
          <w:tcPr>
            <w:tcW w:w="3732" w:type="pct"/>
            <w:shd w:val="clear" w:color="auto" w:fill="auto"/>
            <w:noWrap/>
            <w:hideMark/>
          </w:tcPr>
          <w:p w:rsidR="00F20C58" w:rsidRPr="00412299" w:rsidRDefault="0036160C" w:rsidP="00972554">
            <w:pPr>
              <w:spacing w:line="240" w:lineRule="auto"/>
              <w:ind w:firstLineChars="100" w:firstLine="180"/>
              <w:rPr>
                <w:rFonts w:ascii="Calibri" w:hAnsi="Calibri"/>
                <w:sz w:val="18"/>
                <w:szCs w:val="18"/>
                <w:lang w:eastAsia="sl-SI"/>
              </w:rPr>
            </w:pPr>
            <w:r>
              <w:rPr>
                <w:rFonts w:ascii="Calibri" w:hAnsi="Calibri"/>
                <w:sz w:val="18"/>
                <w:szCs w:val="18"/>
              </w:rPr>
              <w:t>PPU</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sz w:val="18"/>
                <w:szCs w:val="18"/>
                <w:lang w:eastAsia="sl-SI"/>
              </w:rPr>
            </w:pPr>
            <w:r w:rsidRPr="00972554">
              <w:rPr>
                <w:rFonts w:ascii="Calibri" w:hAnsi="Calibri"/>
                <w:sz w:val="18"/>
                <w:szCs w:val="18"/>
              </w:rPr>
              <w:t xml:space="preserve">229.312.675 </w:t>
            </w:r>
          </w:p>
        </w:tc>
        <w:tc>
          <w:tcPr>
            <w:tcW w:w="422" w:type="pct"/>
            <w:shd w:val="clear" w:color="auto" w:fill="FFFFFF"/>
            <w:noWrap/>
            <w:vAlign w:val="bottom"/>
            <w:hideMark/>
          </w:tcPr>
          <w:p w:rsidR="00F20C58" w:rsidRPr="00412299" w:rsidRDefault="00F20C58" w:rsidP="00412299">
            <w:pPr>
              <w:spacing w:line="240" w:lineRule="auto"/>
              <w:jc w:val="right"/>
              <w:rPr>
                <w:rFonts w:ascii="Calibri" w:hAnsi="Calibri"/>
                <w:sz w:val="18"/>
                <w:szCs w:val="18"/>
                <w:lang w:eastAsia="sl-SI"/>
              </w:rPr>
            </w:pPr>
            <w:r w:rsidRPr="00972554">
              <w:rPr>
                <w:rFonts w:ascii="Calibri" w:hAnsi="Calibri"/>
                <w:sz w:val="18"/>
                <w:szCs w:val="18"/>
              </w:rPr>
              <w:t>52,05</w:t>
            </w:r>
          </w:p>
        </w:tc>
      </w:tr>
      <w:tr w:rsidR="00F20C58" w:rsidRPr="00972554" w:rsidTr="00972554">
        <w:trPr>
          <w:trHeight w:val="300"/>
        </w:trPr>
        <w:tc>
          <w:tcPr>
            <w:tcW w:w="3732" w:type="pct"/>
            <w:shd w:val="clear" w:color="auto" w:fill="auto"/>
            <w:noWrap/>
            <w:hideMark/>
          </w:tcPr>
          <w:p w:rsidR="00F20C58" w:rsidRPr="00412299" w:rsidRDefault="00F20C58" w:rsidP="006B2DAF">
            <w:pPr>
              <w:spacing w:line="240" w:lineRule="auto"/>
              <w:rPr>
                <w:rFonts w:ascii="Calibri" w:hAnsi="Calibri"/>
                <w:b/>
                <w:bCs/>
                <w:sz w:val="18"/>
                <w:szCs w:val="18"/>
                <w:lang w:eastAsia="sl-SI"/>
              </w:rPr>
            </w:pPr>
            <w:r w:rsidRPr="00972554">
              <w:rPr>
                <w:rFonts w:ascii="Calibri" w:hAnsi="Calibri"/>
                <w:b/>
                <w:sz w:val="18"/>
                <w:szCs w:val="18"/>
              </w:rPr>
              <w:t>525-Druge obveznosti</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b/>
                <w:bCs/>
                <w:sz w:val="18"/>
                <w:szCs w:val="18"/>
                <w:lang w:eastAsia="sl-SI"/>
              </w:rPr>
            </w:pPr>
            <w:r w:rsidRPr="00972554">
              <w:rPr>
                <w:rFonts w:ascii="Calibri" w:hAnsi="Calibri"/>
                <w:b/>
                <w:sz w:val="18"/>
                <w:szCs w:val="18"/>
              </w:rPr>
              <w:t xml:space="preserve">194.186.576 </w:t>
            </w:r>
          </w:p>
        </w:tc>
        <w:tc>
          <w:tcPr>
            <w:tcW w:w="422" w:type="pct"/>
            <w:shd w:val="clear" w:color="auto" w:fill="FFFFFF"/>
            <w:noWrap/>
            <w:vAlign w:val="bottom"/>
            <w:hideMark/>
          </w:tcPr>
          <w:p w:rsidR="00F20C58" w:rsidRPr="00116FC1" w:rsidRDefault="00F20C58" w:rsidP="00412299">
            <w:pPr>
              <w:spacing w:line="240" w:lineRule="auto"/>
              <w:jc w:val="right"/>
              <w:rPr>
                <w:rFonts w:ascii="Calibri" w:hAnsi="Calibri"/>
                <w:b/>
                <w:bCs/>
                <w:sz w:val="18"/>
                <w:szCs w:val="18"/>
                <w:lang w:eastAsia="sl-SI"/>
              </w:rPr>
            </w:pPr>
          </w:p>
        </w:tc>
      </w:tr>
      <w:tr w:rsidR="00F20C58" w:rsidRPr="00972554" w:rsidTr="00972554">
        <w:trPr>
          <w:trHeight w:val="300"/>
        </w:trPr>
        <w:tc>
          <w:tcPr>
            <w:tcW w:w="3732" w:type="pct"/>
            <w:shd w:val="clear" w:color="auto" w:fill="auto"/>
            <w:noWrap/>
            <w:hideMark/>
          </w:tcPr>
          <w:p w:rsidR="00F20C58" w:rsidRPr="00412299" w:rsidRDefault="0036160C" w:rsidP="00972554">
            <w:pPr>
              <w:spacing w:line="240" w:lineRule="auto"/>
              <w:ind w:firstLineChars="100" w:firstLine="180"/>
              <w:rPr>
                <w:rFonts w:ascii="Calibri" w:hAnsi="Calibri"/>
                <w:sz w:val="18"/>
                <w:szCs w:val="18"/>
                <w:lang w:eastAsia="sl-SI"/>
              </w:rPr>
            </w:pPr>
            <w:r>
              <w:rPr>
                <w:rFonts w:ascii="Calibri" w:hAnsi="Calibri"/>
                <w:sz w:val="18"/>
                <w:szCs w:val="18"/>
              </w:rPr>
              <w:t>NPU</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sz w:val="18"/>
                <w:szCs w:val="18"/>
                <w:lang w:eastAsia="sl-SI"/>
              </w:rPr>
            </w:pPr>
            <w:r w:rsidRPr="00972554">
              <w:rPr>
                <w:rFonts w:ascii="Calibri" w:hAnsi="Calibri"/>
                <w:sz w:val="18"/>
                <w:szCs w:val="18"/>
              </w:rPr>
              <w:t xml:space="preserve">167.182.119 </w:t>
            </w:r>
          </w:p>
        </w:tc>
        <w:tc>
          <w:tcPr>
            <w:tcW w:w="422" w:type="pct"/>
            <w:shd w:val="clear" w:color="auto" w:fill="FFFFFF"/>
            <w:noWrap/>
            <w:vAlign w:val="bottom"/>
            <w:hideMark/>
          </w:tcPr>
          <w:p w:rsidR="00F20C58" w:rsidRPr="00412299" w:rsidRDefault="00F20C58" w:rsidP="00412299">
            <w:pPr>
              <w:spacing w:line="240" w:lineRule="auto"/>
              <w:jc w:val="right"/>
              <w:rPr>
                <w:rFonts w:ascii="Calibri" w:hAnsi="Calibri"/>
                <w:sz w:val="18"/>
                <w:szCs w:val="18"/>
                <w:lang w:eastAsia="sl-SI"/>
              </w:rPr>
            </w:pPr>
            <w:r w:rsidRPr="00972554">
              <w:rPr>
                <w:rFonts w:ascii="Calibri" w:hAnsi="Calibri"/>
                <w:sz w:val="18"/>
                <w:szCs w:val="18"/>
              </w:rPr>
              <w:t>86,09</w:t>
            </w:r>
          </w:p>
        </w:tc>
      </w:tr>
      <w:tr w:rsidR="00F20C58" w:rsidRPr="00972554" w:rsidTr="00972554">
        <w:trPr>
          <w:trHeight w:val="300"/>
        </w:trPr>
        <w:tc>
          <w:tcPr>
            <w:tcW w:w="3732" w:type="pct"/>
            <w:tcBorders>
              <w:bottom w:val="single" w:sz="4" w:space="0" w:color="auto"/>
            </w:tcBorders>
            <w:shd w:val="clear" w:color="auto" w:fill="auto"/>
            <w:noWrap/>
            <w:hideMark/>
          </w:tcPr>
          <w:p w:rsidR="00F20C58" w:rsidRPr="00412299" w:rsidRDefault="0036160C" w:rsidP="00972554">
            <w:pPr>
              <w:spacing w:line="240" w:lineRule="auto"/>
              <w:ind w:firstLineChars="100" w:firstLine="180"/>
              <w:rPr>
                <w:rFonts w:ascii="Calibri" w:hAnsi="Calibri"/>
                <w:sz w:val="18"/>
                <w:szCs w:val="18"/>
                <w:lang w:eastAsia="sl-SI"/>
              </w:rPr>
            </w:pPr>
            <w:r>
              <w:rPr>
                <w:rFonts w:ascii="Calibri" w:hAnsi="Calibri"/>
                <w:sz w:val="18"/>
                <w:szCs w:val="18"/>
              </w:rPr>
              <w:t>PPU</w:t>
            </w:r>
          </w:p>
        </w:tc>
        <w:tc>
          <w:tcPr>
            <w:tcW w:w="846" w:type="pct"/>
            <w:tcBorders>
              <w:bottom w:val="single" w:sz="4" w:space="0" w:color="auto"/>
            </w:tcBorders>
            <w:shd w:val="clear" w:color="auto" w:fill="auto"/>
            <w:noWrap/>
            <w:vAlign w:val="bottom"/>
            <w:hideMark/>
          </w:tcPr>
          <w:p w:rsidR="00F20C58" w:rsidRPr="00412299" w:rsidRDefault="00F20C58" w:rsidP="00382B0F">
            <w:pPr>
              <w:spacing w:line="240" w:lineRule="auto"/>
              <w:jc w:val="right"/>
              <w:rPr>
                <w:rFonts w:ascii="Calibri" w:hAnsi="Calibri"/>
                <w:sz w:val="18"/>
                <w:szCs w:val="18"/>
                <w:lang w:eastAsia="sl-SI"/>
              </w:rPr>
            </w:pPr>
            <w:r w:rsidRPr="00972554">
              <w:rPr>
                <w:rFonts w:ascii="Calibri" w:hAnsi="Calibri"/>
                <w:sz w:val="18"/>
                <w:szCs w:val="18"/>
              </w:rPr>
              <w:t xml:space="preserve">27.004.457 </w:t>
            </w:r>
          </w:p>
        </w:tc>
        <w:tc>
          <w:tcPr>
            <w:tcW w:w="422" w:type="pct"/>
            <w:tcBorders>
              <w:bottom w:val="single" w:sz="4" w:space="0" w:color="auto"/>
            </w:tcBorders>
            <w:shd w:val="clear" w:color="auto" w:fill="FFFFFF"/>
            <w:noWrap/>
            <w:vAlign w:val="bottom"/>
            <w:hideMark/>
          </w:tcPr>
          <w:p w:rsidR="00F20C58" w:rsidRPr="00412299" w:rsidRDefault="00F20C58" w:rsidP="00412299">
            <w:pPr>
              <w:spacing w:line="240" w:lineRule="auto"/>
              <w:jc w:val="right"/>
              <w:rPr>
                <w:rFonts w:ascii="Calibri" w:hAnsi="Calibri"/>
                <w:sz w:val="18"/>
                <w:szCs w:val="18"/>
                <w:lang w:eastAsia="sl-SI"/>
              </w:rPr>
            </w:pPr>
            <w:r w:rsidRPr="00972554">
              <w:rPr>
                <w:rFonts w:ascii="Calibri" w:hAnsi="Calibri"/>
                <w:sz w:val="18"/>
                <w:szCs w:val="18"/>
              </w:rPr>
              <w:t>13,91</w:t>
            </w:r>
          </w:p>
        </w:tc>
      </w:tr>
      <w:tr w:rsidR="00F20C58" w:rsidRPr="00972554" w:rsidTr="00972554">
        <w:trPr>
          <w:trHeight w:val="300"/>
        </w:trPr>
        <w:tc>
          <w:tcPr>
            <w:tcW w:w="3732" w:type="pct"/>
            <w:shd w:val="clear" w:color="auto" w:fill="92D050"/>
            <w:noWrap/>
            <w:hideMark/>
          </w:tcPr>
          <w:p w:rsidR="00F20C58" w:rsidRPr="00412299" w:rsidRDefault="00F20C58" w:rsidP="006B2DAF">
            <w:pPr>
              <w:spacing w:line="240" w:lineRule="auto"/>
              <w:rPr>
                <w:rFonts w:ascii="Calibri" w:hAnsi="Calibri"/>
                <w:b/>
                <w:bCs/>
                <w:i/>
                <w:sz w:val="18"/>
                <w:szCs w:val="18"/>
                <w:lang w:eastAsia="sl-SI"/>
              </w:rPr>
            </w:pPr>
            <w:r w:rsidRPr="00972554">
              <w:rPr>
                <w:rFonts w:ascii="Calibri" w:hAnsi="Calibri"/>
                <w:b/>
                <w:sz w:val="18"/>
                <w:szCs w:val="18"/>
              </w:rPr>
              <w:t>526-Skupaj pasiva</w:t>
            </w:r>
          </w:p>
        </w:tc>
        <w:tc>
          <w:tcPr>
            <w:tcW w:w="846" w:type="pct"/>
            <w:shd w:val="clear" w:color="auto" w:fill="92D050"/>
            <w:noWrap/>
            <w:vAlign w:val="bottom"/>
            <w:hideMark/>
          </w:tcPr>
          <w:p w:rsidR="00F20C58" w:rsidRPr="00412299" w:rsidRDefault="00F20C58" w:rsidP="00382B0F">
            <w:pPr>
              <w:spacing w:line="240" w:lineRule="auto"/>
              <w:jc w:val="right"/>
              <w:rPr>
                <w:rFonts w:ascii="Calibri" w:hAnsi="Calibri"/>
                <w:b/>
                <w:bCs/>
                <w:i/>
                <w:sz w:val="18"/>
                <w:szCs w:val="18"/>
                <w:lang w:eastAsia="sl-SI"/>
              </w:rPr>
            </w:pPr>
            <w:r w:rsidRPr="00972554">
              <w:rPr>
                <w:rFonts w:ascii="Calibri" w:hAnsi="Calibri"/>
                <w:b/>
                <w:sz w:val="18"/>
                <w:szCs w:val="18"/>
              </w:rPr>
              <w:t xml:space="preserve">15.107.340.796 </w:t>
            </w:r>
          </w:p>
        </w:tc>
        <w:tc>
          <w:tcPr>
            <w:tcW w:w="422" w:type="pct"/>
            <w:shd w:val="clear" w:color="auto" w:fill="92D050"/>
            <w:noWrap/>
            <w:vAlign w:val="bottom"/>
            <w:hideMark/>
          </w:tcPr>
          <w:p w:rsidR="00F20C58" w:rsidRPr="00116FC1" w:rsidRDefault="00F20C58" w:rsidP="00412299">
            <w:pPr>
              <w:spacing w:line="240" w:lineRule="auto"/>
              <w:jc w:val="right"/>
              <w:rPr>
                <w:rFonts w:ascii="Calibri" w:hAnsi="Calibri"/>
                <w:b/>
                <w:bCs/>
                <w:i/>
                <w:sz w:val="18"/>
                <w:szCs w:val="18"/>
                <w:lang w:eastAsia="sl-SI"/>
              </w:rPr>
            </w:pPr>
          </w:p>
        </w:tc>
      </w:tr>
      <w:tr w:rsidR="00F20C58" w:rsidRPr="00972554" w:rsidTr="00972554">
        <w:trPr>
          <w:trHeight w:val="300"/>
        </w:trPr>
        <w:tc>
          <w:tcPr>
            <w:tcW w:w="3732" w:type="pct"/>
            <w:shd w:val="clear" w:color="auto" w:fill="auto"/>
            <w:noWrap/>
            <w:hideMark/>
          </w:tcPr>
          <w:p w:rsidR="00F20C58" w:rsidRPr="00412299" w:rsidRDefault="0036160C" w:rsidP="00972554">
            <w:pPr>
              <w:spacing w:line="240" w:lineRule="auto"/>
              <w:ind w:firstLineChars="100" w:firstLine="180"/>
              <w:rPr>
                <w:rFonts w:ascii="Calibri" w:hAnsi="Calibri"/>
                <w:sz w:val="18"/>
                <w:szCs w:val="18"/>
                <w:lang w:eastAsia="sl-SI"/>
              </w:rPr>
            </w:pPr>
            <w:r>
              <w:rPr>
                <w:rFonts w:ascii="Calibri" w:hAnsi="Calibri"/>
                <w:sz w:val="18"/>
                <w:szCs w:val="18"/>
              </w:rPr>
              <w:t>NPU</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sz w:val="18"/>
                <w:szCs w:val="18"/>
                <w:lang w:eastAsia="sl-SI"/>
              </w:rPr>
            </w:pPr>
            <w:r w:rsidRPr="00972554">
              <w:rPr>
                <w:rFonts w:ascii="Calibri" w:hAnsi="Calibri"/>
                <w:sz w:val="18"/>
                <w:szCs w:val="18"/>
              </w:rPr>
              <w:t xml:space="preserve">11.721.704.820 </w:t>
            </w:r>
          </w:p>
        </w:tc>
        <w:tc>
          <w:tcPr>
            <w:tcW w:w="422" w:type="pct"/>
            <w:shd w:val="clear" w:color="auto" w:fill="FFFFFF"/>
            <w:noWrap/>
            <w:vAlign w:val="bottom"/>
            <w:hideMark/>
          </w:tcPr>
          <w:p w:rsidR="00F20C58" w:rsidRPr="00412299" w:rsidRDefault="00F20C58" w:rsidP="00412299">
            <w:pPr>
              <w:spacing w:line="240" w:lineRule="auto"/>
              <w:jc w:val="right"/>
              <w:rPr>
                <w:rFonts w:ascii="Calibri" w:hAnsi="Calibri"/>
                <w:sz w:val="18"/>
                <w:szCs w:val="18"/>
                <w:lang w:eastAsia="sl-SI"/>
              </w:rPr>
            </w:pPr>
            <w:r w:rsidRPr="00972554">
              <w:rPr>
                <w:rFonts w:ascii="Calibri" w:hAnsi="Calibri"/>
                <w:sz w:val="18"/>
                <w:szCs w:val="18"/>
              </w:rPr>
              <w:t>77,59</w:t>
            </w:r>
          </w:p>
        </w:tc>
      </w:tr>
      <w:tr w:rsidR="00F20C58" w:rsidRPr="00972554" w:rsidTr="00972554">
        <w:trPr>
          <w:trHeight w:val="300"/>
        </w:trPr>
        <w:tc>
          <w:tcPr>
            <w:tcW w:w="3732" w:type="pct"/>
            <w:shd w:val="clear" w:color="auto" w:fill="auto"/>
            <w:noWrap/>
            <w:hideMark/>
          </w:tcPr>
          <w:p w:rsidR="00F20C58" w:rsidRPr="00412299" w:rsidRDefault="0036160C" w:rsidP="00972554">
            <w:pPr>
              <w:spacing w:line="240" w:lineRule="auto"/>
              <w:ind w:firstLineChars="100" w:firstLine="180"/>
              <w:rPr>
                <w:rFonts w:ascii="Calibri" w:hAnsi="Calibri"/>
                <w:sz w:val="18"/>
                <w:szCs w:val="18"/>
                <w:lang w:eastAsia="sl-SI"/>
              </w:rPr>
            </w:pPr>
            <w:r>
              <w:rPr>
                <w:rFonts w:ascii="Calibri" w:hAnsi="Calibri"/>
                <w:sz w:val="18"/>
                <w:szCs w:val="18"/>
              </w:rPr>
              <w:t>PPU</w:t>
            </w:r>
          </w:p>
        </w:tc>
        <w:tc>
          <w:tcPr>
            <w:tcW w:w="846" w:type="pct"/>
            <w:shd w:val="clear" w:color="auto" w:fill="auto"/>
            <w:noWrap/>
            <w:vAlign w:val="bottom"/>
            <w:hideMark/>
          </w:tcPr>
          <w:p w:rsidR="00F20C58" w:rsidRPr="00412299" w:rsidRDefault="00F20C58" w:rsidP="00382B0F">
            <w:pPr>
              <w:spacing w:line="240" w:lineRule="auto"/>
              <w:jc w:val="right"/>
              <w:rPr>
                <w:rFonts w:ascii="Calibri" w:hAnsi="Calibri"/>
                <w:sz w:val="18"/>
                <w:szCs w:val="18"/>
                <w:lang w:eastAsia="sl-SI"/>
              </w:rPr>
            </w:pPr>
            <w:r w:rsidRPr="00972554">
              <w:rPr>
                <w:rFonts w:ascii="Calibri" w:hAnsi="Calibri"/>
                <w:sz w:val="18"/>
                <w:szCs w:val="18"/>
              </w:rPr>
              <w:t xml:space="preserve">3.385.635.976 </w:t>
            </w:r>
          </w:p>
        </w:tc>
        <w:tc>
          <w:tcPr>
            <w:tcW w:w="422" w:type="pct"/>
            <w:shd w:val="clear" w:color="auto" w:fill="FFFFFF"/>
            <w:noWrap/>
            <w:vAlign w:val="bottom"/>
            <w:hideMark/>
          </w:tcPr>
          <w:p w:rsidR="00F20C58" w:rsidRPr="00412299" w:rsidRDefault="00F20C58" w:rsidP="00412299">
            <w:pPr>
              <w:spacing w:line="240" w:lineRule="auto"/>
              <w:jc w:val="right"/>
              <w:rPr>
                <w:rFonts w:ascii="Calibri" w:hAnsi="Calibri"/>
                <w:sz w:val="18"/>
                <w:szCs w:val="18"/>
                <w:lang w:eastAsia="sl-SI"/>
              </w:rPr>
            </w:pPr>
            <w:r w:rsidRPr="00972554">
              <w:rPr>
                <w:rFonts w:ascii="Calibri" w:hAnsi="Calibri"/>
                <w:sz w:val="18"/>
                <w:szCs w:val="18"/>
              </w:rPr>
              <w:t>22,41</w:t>
            </w:r>
          </w:p>
        </w:tc>
      </w:tr>
    </w:tbl>
    <w:p w:rsidR="0015355C" w:rsidRDefault="0015355C" w:rsidP="0015355C">
      <w:pPr>
        <w:pStyle w:val="Heading2"/>
      </w:pPr>
      <w:bookmarkStart w:id="97" w:name="_Toc49771318"/>
      <w:r>
        <w:lastRenderedPageBreak/>
        <w:t>Analiza premoženja NPU občinskih proračunov</w:t>
      </w:r>
      <w:bookmarkEnd w:id="97"/>
    </w:p>
    <w:p w:rsidR="0015355C" w:rsidRPr="00A81C30" w:rsidRDefault="0015355C" w:rsidP="0015355C">
      <w:r>
        <w:rPr>
          <w:b/>
          <w:bCs/>
        </w:rPr>
        <w:t>Bilančna vsota premoženja N</w:t>
      </w:r>
      <w:r w:rsidRPr="00A81C30">
        <w:rPr>
          <w:b/>
          <w:bCs/>
        </w:rPr>
        <w:t xml:space="preserve">PU </w:t>
      </w:r>
      <w:r>
        <w:rPr>
          <w:b/>
          <w:bCs/>
        </w:rPr>
        <w:t>občinskih proračunov</w:t>
      </w:r>
      <w:r>
        <w:rPr>
          <w:bCs/>
        </w:rPr>
        <w:t xml:space="preserve"> (izračunana kot seštevek premoženjskih bilanc NPU občinskih proračunov</w:t>
      </w:r>
      <w:r w:rsidR="00501F85">
        <w:rPr>
          <w:bCs/>
        </w:rPr>
        <w:t xml:space="preserve"> po pobotu na prvi ravni</w:t>
      </w:r>
      <w:r>
        <w:rPr>
          <w:bCs/>
        </w:rPr>
        <w:t>)</w:t>
      </w:r>
      <w:r w:rsidRPr="00D37616">
        <w:rPr>
          <w:bCs/>
        </w:rPr>
        <w:t xml:space="preserve"> </w:t>
      </w:r>
      <w:r w:rsidRPr="00A81C30">
        <w:rPr>
          <w:b/>
          <w:bCs/>
        </w:rPr>
        <w:t>na dan 31.12.201</w:t>
      </w:r>
      <w:r w:rsidR="00C701A2">
        <w:rPr>
          <w:b/>
          <w:bCs/>
        </w:rPr>
        <w:t>8</w:t>
      </w:r>
      <w:r w:rsidRPr="00A81C30">
        <w:rPr>
          <w:b/>
          <w:bCs/>
        </w:rPr>
        <w:t xml:space="preserve"> znaša </w:t>
      </w:r>
      <w:r w:rsidR="001B1147">
        <w:rPr>
          <w:b/>
          <w:bCs/>
        </w:rPr>
        <w:t>14</w:t>
      </w:r>
      <w:proofErr w:type="gramStart"/>
      <w:r w:rsidR="001B1147">
        <w:rPr>
          <w:b/>
          <w:bCs/>
        </w:rPr>
        <w:t>,</w:t>
      </w:r>
      <w:r w:rsidR="00C701A2">
        <w:rPr>
          <w:b/>
          <w:bCs/>
        </w:rPr>
        <w:t>97</w:t>
      </w:r>
      <w:proofErr w:type="gramEnd"/>
      <w:r w:rsidR="00C701A2" w:rsidRPr="00A81C30">
        <w:rPr>
          <w:b/>
          <w:bCs/>
        </w:rPr>
        <w:t xml:space="preserve"> </w:t>
      </w:r>
      <w:r w:rsidRPr="00A81C30">
        <w:rPr>
          <w:b/>
          <w:bCs/>
        </w:rPr>
        <w:t>mrd.</w:t>
      </w:r>
      <w:r w:rsidR="001B1147">
        <w:rPr>
          <w:b/>
          <w:bCs/>
        </w:rPr>
        <w:t xml:space="preserve"> </w:t>
      </w:r>
      <w:r w:rsidR="009A3DB0">
        <w:rPr>
          <w:b/>
          <w:bCs/>
        </w:rPr>
        <w:t>€</w:t>
      </w:r>
      <w:r w:rsidRPr="00D37616">
        <w:rPr>
          <w:b/>
          <w:bCs/>
        </w:rPr>
        <w:t xml:space="preserve"> </w:t>
      </w:r>
      <w:r>
        <w:rPr>
          <w:b/>
          <w:bCs/>
        </w:rPr>
        <w:t xml:space="preserve"> in se je </w:t>
      </w:r>
      <w:r w:rsidRPr="00D37616">
        <w:rPr>
          <w:b/>
          <w:bCs/>
        </w:rPr>
        <w:t>glede na stanje, izkazano na dan 31.12.201</w:t>
      </w:r>
      <w:r w:rsidR="00C701A2">
        <w:rPr>
          <w:b/>
          <w:bCs/>
        </w:rPr>
        <w:t>7</w:t>
      </w:r>
      <w:r w:rsidRPr="00D37616">
        <w:rPr>
          <w:b/>
          <w:bCs/>
        </w:rPr>
        <w:t xml:space="preserve">, </w:t>
      </w:r>
      <w:r w:rsidRPr="00A81C30">
        <w:rPr>
          <w:b/>
          <w:bCs/>
        </w:rPr>
        <w:t>v letu 201</w:t>
      </w:r>
      <w:r w:rsidR="00C701A2">
        <w:rPr>
          <w:b/>
          <w:bCs/>
        </w:rPr>
        <w:t>8</w:t>
      </w:r>
      <w:r w:rsidRPr="00A81C30">
        <w:rPr>
          <w:b/>
          <w:bCs/>
        </w:rPr>
        <w:t xml:space="preserve"> povečala za </w:t>
      </w:r>
      <w:r w:rsidR="00C701A2">
        <w:rPr>
          <w:b/>
          <w:bCs/>
        </w:rPr>
        <w:t>4,18</w:t>
      </w:r>
      <w:r w:rsidR="009A3DB0">
        <w:rPr>
          <w:b/>
          <w:bCs/>
        </w:rPr>
        <w:t xml:space="preserve"> %</w:t>
      </w:r>
      <w:r w:rsidRPr="00A81C30">
        <w:rPr>
          <w:b/>
          <w:bCs/>
        </w:rPr>
        <w:t xml:space="preserve">  oziroma </w:t>
      </w:r>
      <w:r w:rsidR="00C701A2">
        <w:rPr>
          <w:b/>
          <w:bCs/>
        </w:rPr>
        <w:t>600,91</w:t>
      </w:r>
      <w:r>
        <w:rPr>
          <w:b/>
          <w:bCs/>
        </w:rPr>
        <w:t xml:space="preserve"> mio</w:t>
      </w:r>
      <w:r w:rsidRPr="00A81C30">
        <w:rPr>
          <w:b/>
          <w:bCs/>
        </w:rPr>
        <w:t xml:space="preserve">. </w:t>
      </w:r>
      <w:r w:rsidR="009A3DB0">
        <w:rPr>
          <w:b/>
          <w:bCs/>
        </w:rPr>
        <w:t>€</w:t>
      </w:r>
      <w:r w:rsidRPr="00A81C30">
        <w:rPr>
          <w:b/>
          <w:bCs/>
        </w:rPr>
        <w:t>.</w:t>
      </w:r>
    </w:p>
    <w:p w:rsidR="0015355C" w:rsidRDefault="0015355C" w:rsidP="0015355C"/>
    <w:p w:rsidR="0098351D" w:rsidRDefault="00367CF5" w:rsidP="0015355C">
      <w:r>
        <w:t xml:space="preserve">V skupino NPU občinskih proračunov </w:t>
      </w:r>
      <w:r w:rsidR="008A7BCE">
        <w:t xml:space="preserve">se vključujejo </w:t>
      </w:r>
      <w:r w:rsidR="008A7BCE" w:rsidRPr="008A7BCE">
        <w:t xml:space="preserve">občinski organi, občinska uprava, skupna občinska uprava in ožji deli občin katerih finančni načrti so sestavni </w:t>
      </w:r>
      <w:proofErr w:type="gramStart"/>
      <w:r w:rsidR="008A7BCE" w:rsidRPr="008A7BCE">
        <w:t>del</w:t>
      </w:r>
      <w:proofErr w:type="gramEnd"/>
      <w:r w:rsidR="008A7BCE" w:rsidRPr="008A7BCE">
        <w:t xml:space="preserve"> občinskega proračuna in so sprejeti kot sestavni del sprejetega proračuna občine</w:t>
      </w:r>
      <w:r w:rsidR="008A7BCE">
        <w:t>.</w:t>
      </w:r>
    </w:p>
    <w:p w:rsidR="008A7BCE" w:rsidRDefault="008A7BCE" w:rsidP="0015355C"/>
    <w:p w:rsidR="0015355C" w:rsidRDefault="0015355C" w:rsidP="0015355C">
      <w:pPr>
        <w:pStyle w:val="Caption"/>
      </w:pPr>
      <w:bookmarkStart w:id="98" w:name="_Toc49771339"/>
      <w:r>
        <w:t xml:space="preserve">Tabela </w:t>
      </w:r>
      <w:r>
        <w:fldChar w:fldCharType="begin"/>
      </w:r>
      <w:r>
        <w:instrText xml:space="preserve"> SEQ Tabela \* ARABIC </w:instrText>
      </w:r>
      <w:r>
        <w:fldChar w:fldCharType="separate"/>
      </w:r>
      <w:r w:rsidR="00CE55C4">
        <w:rPr>
          <w:noProof/>
        </w:rPr>
        <w:t>17</w:t>
      </w:r>
      <w:r>
        <w:fldChar w:fldCharType="end"/>
      </w:r>
      <w:r>
        <w:t xml:space="preserve">: Seštevki premoženja NPU </w:t>
      </w:r>
      <w:r w:rsidR="000A3D9F">
        <w:t>občinskih proračunov</w:t>
      </w:r>
      <w:r>
        <w:t xml:space="preserve"> </w:t>
      </w:r>
      <w:proofErr w:type="gramStart"/>
      <w:r>
        <w:t>na</w:t>
      </w:r>
      <w:proofErr w:type="gramEnd"/>
      <w:r>
        <w:t xml:space="preserve"> dan 31.12.201</w:t>
      </w:r>
      <w:r w:rsidR="00C701A2">
        <w:t>8</w:t>
      </w:r>
      <w:r>
        <w:t xml:space="preserve"> in na dan 31.12.201</w:t>
      </w:r>
      <w:r w:rsidR="00972554">
        <w:t>7</w:t>
      </w:r>
      <w:bookmarkEnd w:id="98"/>
    </w:p>
    <w:p w:rsidR="003E6898" w:rsidRDefault="003E6898" w:rsidP="003E689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06"/>
        <w:gridCol w:w="1549"/>
        <w:gridCol w:w="1549"/>
        <w:gridCol w:w="982"/>
        <w:gridCol w:w="1124"/>
      </w:tblGrid>
      <w:tr w:rsidR="003E6898" w:rsidRPr="003B08AE" w:rsidTr="00BA2549">
        <w:trPr>
          <w:trHeight w:val="300"/>
          <w:tblHeader/>
        </w:trPr>
        <w:tc>
          <w:tcPr>
            <w:tcW w:w="2175" w:type="pct"/>
            <w:shd w:val="pct25" w:color="auto" w:fill="FFFFFF"/>
            <w:noWrap/>
            <w:vAlign w:val="bottom"/>
          </w:tcPr>
          <w:p w:rsidR="003E6898" w:rsidRPr="0032637C" w:rsidRDefault="003E6898" w:rsidP="00A46201">
            <w:pPr>
              <w:spacing w:line="240" w:lineRule="auto"/>
              <w:jc w:val="left"/>
              <w:rPr>
                <w:rFonts w:ascii="Calibri" w:hAnsi="Calibri"/>
                <w:b/>
                <w:color w:val="000000"/>
                <w:sz w:val="18"/>
                <w:szCs w:val="18"/>
                <w:lang w:val="sl-SI" w:eastAsia="sl-SI"/>
              </w:rPr>
            </w:pPr>
          </w:p>
        </w:tc>
        <w:tc>
          <w:tcPr>
            <w:tcW w:w="841" w:type="pct"/>
            <w:shd w:val="pct25" w:color="auto" w:fill="FFFFFF"/>
            <w:noWrap/>
            <w:vAlign w:val="bottom"/>
          </w:tcPr>
          <w:p w:rsidR="003E6898" w:rsidRPr="0032637C" w:rsidRDefault="003E6898" w:rsidP="00382B0F">
            <w:pPr>
              <w:spacing w:line="240" w:lineRule="auto"/>
              <w:jc w:val="center"/>
              <w:rPr>
                <w:rFonts w:ascii="Calibri" w:hAnsi="Calibri"/>
                <w:b/>
                <w:color w:val="000000"/>
                <w:sz w:val="18"/>
                <w:szCs w:val="18"/>
                <w:lang w:val="sl-SI" w:eastAsia="sl-SI"/>
              </w:rPr>
            </w:pPr>
            <w:r w:rsidRPr="0032637C">
              <w:rPr>
                <w:rFonts w:ascii="Calibri" w:hAnsi="Calibri"/>
                <w:b/>
                <w:color w:val="000000"/>
                <w:sz w:val="18"/>
                <w:szCs w:val="18"/>
                <w:lang w:val="sl-SI" w:eastAsia="sl-SI"/>
              </w:rPr>
              <w:t>Stanje 31.12.201</w:t>
            </w:r>
            <w:r w:rsidR="00C701A2">
              <w:rPr>
                <w:rFonts w:ascii="Calibri" w:hAnsi="Calibri"/>
                <w:b/>
                <w:color w:val="000000"/>
                <w:sz w:val="18"/>
                <w:szCs w:val="18"/>
                <w:lang w:val="sl-SI" w:eastAsia="sl-SI"/>
              </w:rPr>
              <w:t>8</w:t>
            </w:r>
          </w:p>
        </w:tc>
        <w:tc>
          <w:tcPr>
            <w:tcW w:w="841" w:type="pct"/>
            <w:shd w:val="pct25" w:color="auto" w:fill="FFFFFF"/>
            <w:noWrap/>
            <w:vAlign w:val="bottom"/>
          </w:tcPr>
          <w:p w:rsidR="003E6898" w:rsidRPr="0032637C" w:rsidRDefault="003E6898" w:rsidP="00412299">
            <w:pPr>
              <w:spacing w:line="240" w:lineRule="auto"/>
              <w:jc w:val="center"/>
              <w:rPr>
                <w:rFonts w:ascii="Calibri" w:hAnsi="Calibri"/>
                <w:b/>
                <w:color w:val="000000"/>
                <w:sz w:val="18"/>
                <w:szCs w:val="18"/>
                <w:lang w:val="sl-SI" w:eastAsia="sl-SI"/>
              </w:rPr>
            </w:pPr>
            <w:r w:rsidRPr="0032637C">
              <w:rPr>
                <w:rFonts w:ascii="Calibri" w:hAnsi="Calibri"/>
                <w:b/>
                <w:color w:val="000000"/>
                <w:sz w:val="18"/>
                <w:szCs w:val="18"/>
                <w:lang w:val="sl-SI" w:eastAsia="sl-SI"/>
              </w:rPr>
              <w:t>Stanje 31.12.201</w:t>
            </w:r>
            <w:r w:rsidR="00C701A2">
              <w:rPr>
                <w:rFonts w:ascii="Calibri" w:hAnsi="Calibri"/>
                <w:b/>
                <w:color w:val="000000"/>
                <w:sz w:val="18"/>
                <w:szCs w:val="18"/>
                <w:lang w:val="sl-SI" w:eastAsia="sl-SI"/>
              </w:rPr>
              <w:t>7</w:t>
            </w:r>
          </w:p>
        </w:tc>
        <w:tc>
          <w:tcPr>
            <w:tcW w:w="533" w:type="pct"/>
            <w:shd w:val="pct25" w:color="auto" w:fill="FFFFFF"/>
            <w:noWrap/>
            <w:vAlign w:val="bottom"/>
          </w:tcPr>
          <w:p w:rsidR="003E6898" w:rsidRPr="0032637C" w:rsidRDefault="003E6898" w:rsidP="00116FC1">
            <w:pPr>
              <w:spacing w:line="240" w:lineRule="auto"/>
              <w:jc w:val="center"/>
              <w:rPr>
                <w:rFonts w:ascii="Calibri" w:hAnsi="Calibri"/>
                <w:b/>
                <w:color w:val="000000"/>
                <w:sz w:val="18"/>
                <w:szCs w:val="18"/>
                <w:lang w:val="sl-SI" w:eastAsia="sl-SI"/>
              </w:rPr>
            </w:pPr>
            <w:r w:rsidRPr="0032637C">
              <w:rPr>
                <w:rFonts w:ascii="Calibri" w:hAnsi="Calibri"/>
                <w:b/>
                <w:color w:val="000000"/>
                <w:sz w:val="18"/>
                <w:szCs w:val="18"/>
                <w:lang w:val="sl-SI" w:eastAsia="sl-SI"/>
              </w:rPr>
              <w:t>Indeks</w:t>
            </w:r>
            <w:r>
              <w:rPr>
                <w:rFonts w:ascii="Calibri" w:hAnsi="Calibri"/>
                <w:b/>
                <w:color w:val="000000"/>
                <w:sz w:val="18"/>
                <w:szCs w:val="18"/>
                <w:lang w:eastAsia="sl-SI"/>
              </w:rPr>
              <w:t xml:space="preserve"> 201</w:t>
            </w:r>
            <w:r w:rsidR="00C701A2">
              <w:rPr>
                <w:rFonts w:ascii="Calibri" w:hAnsi="Calibri"/>
                <w:b/>
                <w:color w:val="000000"/>
                <w:sz w:val="18"/>
                <w:szCs w:val="18"/>
                <w:lang w:eastAsia="sl-SI"/>
              </w:rPr>
              <w:t>8</w:t>
            </w:r>
            <w:r>
              <w:rPr>
                <w:rFonts w:ascii="Calibri" w:hAnsi="Calibri"/>
                <w:b/>
                <w:color w:val="000000"/>
                <w:sz w:val="18"/>
                <w:szCs w:val="18"/>
                <w:lang w:eastAsia="sl-SI"/>
              </w:rPr>
              <w:t>/201</w:t>
            </w:r>
            <w:r w:rsidR="00C701A2">
              <w:rPr>
                <w:rFonts w:ascii="Calibri" w:hAnsi="Calibri"/>
                <w:b/>
                <w:color w:val="000000"/>
                <w:sz w:val="18"/>
                <w:szCs w:val="18"/>
                <w:lang w:eastAsia="sl-SI"/>
              </w:rPr>
              <w:t>7</w:t>
            </w:r>
          </w:p>
        </w:tc>
        <w:tc>
          <w:tcPr>
            <w:tcW w:w="610" w:type="pct"/>
            <w:shd w:val="pct25" w:color="auto" w:fill="FFFFFF"/>
            <w:noWrap/>
            <w:vAlign w:val="bottom"/>
          </w:tcPr>
          <w:p w:rsidR="003E6898" w:rsidRPr="0032637C" w:rsidRDefault="003E6898" w:rsidP="00972554">
            <w:pPr>
              <w:spacing w:line="240" w:lineRule="auto"/>
              <w:jc w:val="center"/>
              <w:rPr>
                <w:rFonts w:ascii="Calibri" w:hAnsi="Calibri"/>
                <w:b/>
                <w:color w:val="000000"/>
                <w:sz w:val="18"/>
                <w:szCs w:val="18"/>
                <w:lang w:val="sl-SI" w:eastAsia="sl-SI"/>
              </w:rPr>
            </w:pPr>
            <w:r w:rsidRPr="0032637C">
              <w:rPr>
                <w:rFonts w:ascii="Calibri" w:hAnsi="Calibri"/>
                <w:b/>
                <w:color w:val="000000"/>
                <w:sz w:val="18"/>
                <w:szCs w:val="18"/>
                <w:lang w:val="sl-SI" w:eastAsia="sl-SI"/>
              </w:rPr>
              <w:t xml:space="preserve">Sprememba </w:t>
            </w:r>
            <w:r w:rsidR="006A7E7F" w:rsidRPr="0032637C">
              <w:rPr>
                <w:rFonts w:ascii="Calibri" w:hAnsi="Calibri"/>
                <w:b/>
                <w:color w:val="000000"/>
                <w:sz w:val="18"/>
                <w:szCs w:val="18"/>
                <w:lang w:val="sl-SI" w:eastAsia="sl-SI"/>
              </w:rPr>
              <w:t>201</w:t>
            </w:r>
            <w:r w:rsidR="00C701A2">
              <w:rPr>
                <w:rFonts w:ascii="Calibri" w:hAnsi="Calibri"/>
                <w:b/>
                <w:color w:val="000000"/>
                <w:sz w:val="18"/>
                <w:szCs w:val="18"/>
                <w:lang w:val="sl-SI" w:eastAsia="sl-SI"/>
              </w:rPr>
              <w:t>8</w:t>
            </w:r>
            <w:r w:rsidRPr="0032637C">
              <w:rPr>
                <w:rFonts w:ascii="Calibri" w:hAnsi="Calibri"/>
                <w:b/>
                <w:color w:val="000000"/>
                <w:sz w:val="18"/>
                <w:szCs w:val="18"/>
                <w:lang w:val="sl-SI" w:eastAsia="sl-SI"/>
              </w:rPr>
              <w:t>-201</w:t>
            </w:r>
            <w:r w:rsidR="00C701A2">
              <w:rPr>
                <w:rFonts w:ascii="Calibri" w:hAnsi="Calibri"/>
                <w:b/>
                <w:color w:val="000000"/>
                <w:sz w:val="18"/>
                <w:szCs w:val="18"/>
                <w:lang w:val="sl-SI" w:eastAsia="sl-SI"/>
              </w:rPr>
              <w:t>7</w:t>
            </w:r>
          </w:p>
        </w:tc>
      </w:tr>
      <w:tr w:rsidR="003E6898" w:rsidRPr="003B08AE" w:rsidTr="00BA2549">
        <w:trPr>
          <w:trHeight w:val="300"/>
          <w:tblHeader/>
        </w:trPr>
        <w:tc>
          <w:tcPr>
            <w:tcW w:w="2175" w:type="pct"/>
            <w:shd w:val="pct25" w:color="auto" w:fill="FFFFFF"/>
            <w:noWrap/>
            <w:vAlign w:val="bottom"/>
          </w:tcPr>
          <w:p w:rsidR="003E6898" w:rsidRPr="0032637C" w:rsidRDefault="003E6898" w:rsidP="00A46201">
            <w:pPr>
              <w:spacing w:line="240" w:lineRule="auto"/>
              <w:jc w:val="left"/>
              <w:rPr>
                <w:rFonts w:ascii="Calibri" w:hAnsi="Calibri"/>
                <w:b/>
                <w:color w:val="000000"/>
                <w:sz w:val="18"/>
                <w:szCs w:val="18"/>
                <w:lang w:val="sl-SI" w:eastAsia="sl-SI"/>
              </w:rPr>
            </w:pPr>
            <w:r w:rsidRPr="0032637C">
              <w:rPr>
                <w:rFonts w:ascii="Calibri" w:hAnsi="Calibri"/>
                <w:b/>
                <w:color w:val="000000"/>
                <w:sz w:val="18"/>
                <w:szCs w:val="18"/>
                <w:lang w:val="sl-SI" w:eastAsia="sl-SI"/>
              </w:rPr>
              <w:t>Oznaka in naziv AOP</w:t>
            </w:r>
          </w:p>
        </w:tc>
        <w:tc>
          <w:tcPr>
            <w:tcW w:w="841" w:type="pct"/>
            <w:shd w:val="pct25" w:color="auto" w:fill="FFFFFF"/>
            <w:noWrap/>
            <w:vAlign w:val="bottom"/>
          </w:tcPr>
          <w:p w:rsidR="003E6898" w:rsidRPr="0032637C" w:rsidRDefault="003E6898" w:rsidP="00A46201">
            <w:pPr>
              <w:spacing w:line="240" w:lineRule="auto"/>
              <w:jc w:val="center"/>
              <w:rPr>
                <w:rFonts w:ascii="Calibri" w:hAnsi="Calibri"/>
                <w:b/>
                <w:color w:val="000000"/>
                <w:sz w:val="18"/>
                <w:szCs w:val="18"/>
                <w:lang w:val="sl-SI" w:eastAsia="sl-SI"/>
              </w:rPr>
            </w:pPr>
            <w:r w:rsidRPr="0032637C">
              <w:rPr>
                <w:rFonts w:ascii="Calibri" w:hAnsi="Calibri"/>
                <w:b/>
                <w:color w:val="000000"/>
                <w:sz w:val="18"/>
                <w:szCs w:val="18"/>
                <w:lang w:val="sl-SI" w:eastAsia="sl-SI"/>
              </w:rPr>
              <w:t>(</w:t>
            </w:r>
            <w:r w:rsidR="009A3DB0">
              <w:rPr>
                <w:rFonts w:ascii="Calibri" w:hAnsi="Calibri"/>
                <w:b/>
                <w:color w:val="000000"/>
                <w:sz w:val="18"/>
                <w:szCs w:val="18"/>
                <w:lang w:val="sl-SI" w:eastAsia="sl-SI"/>
              </w:rPr>
              <w:t>€</w:t>
            </w:r>
            <w:r w:rsidRPr="0032637C">
              <w:rPr>
                <w:rFonts w:ascii="Calibri" w:hAnsi="Calibri"/>
                <w:b/>
                <w:color w:val="000000"/>
                <w:sz w:val="18"/>
                <w:szCs w:val="18"/>
                <w:lang w:val="sl-SI" w:eastAsia="sl-SI"/>
              </w:rPr>
              <w:t>)</w:t>
            </w:r>
          </w:p>
        </w:tc>
        <w:tc>
          <w:tcPr>
            <w:tcW w:w="841" w:type="pct"/>
            <w:shd w:val="pct25" w:color="auto" w:fill="FFFFFF"/>
            <w:noWrap/>
            <w:vAlign w:val="bottom"/>
          </w:tcPr>
          <w:p w:rsidR="003E6898" w:rsidRPr="0032637C" w:rsidRDefault="003E6898" w:rsidP="00A46201">
            <w:pPr>
              <w:spacing w:line="240" w:lineRule="auto"/>
              <w:jc w:val="center"/>
              <w:rPr>
                <w:rFonts w:ascii="Calibri" w:hAnsi="Calibri"/>
                <w:b/>
                <w:color w:val="000000"/>
                <w:sz w:val="18"/>
                <w:szCs w:val="18"/>
                <w:lang w:val="sl-SI" w:eastAsia="sl-SI"/>
              </w:rPr>
            </w:pPr>
            <w:r w:rsidRPr="0032637C">
              <w:rPr>
                <w:rFonts w:ascii="Calibri" w:hAnsi="Calibri"/>
                <w:b/>
                <w:color w:val="000000"/>
                <w:sz w:val="18"/>
                <w:szCs w:val="18"/>
                <w:lang w:val="sl-SI" w:eastAsia="sl-SI"/>
              </w:rPr>
              <w:t>(</w:t>
            </w:r>
            <w:r w:rsidR="009A3DB0">
              <w:rPr>
                <w:rFonts w:ascii="Calibri" w:hAnsi="Calibri"/>
                <w:b/>
                <w:color w:val="000000"/>
                <w:sz w:val="18"/>
                <w:szCs w:val="18"/>
                <w:lang w:val="sl-SI" w:eastAsia="sl-SI"/>
              </w:rPr>
              <w:t>€</w:t>
            </w:r>
            <w:r w:rsidRPr="0032637C">
              <w:rPr>
                <w:rFonts w:ascii="Calibri" w:hAnsi="Calibri"/>
                <w:b/>
                <w:color w:val="000000"/>
                <w:sz w:val="18"/>
                <w:szCs w:val="18"/>
                <w:lang w:val="sl-SI" w:eastAsia="sl-SI"/>
              </w:rPr>
              <w:t>)</w:t>
            </w:r>
          </w:p>
        </w:tc>
        <w:tc>
          <w:tcPr>
            <w:tcW w:w="533" w:type="pct"/>
            <w:shd w:val="pct25" w:color="auto" w:fill="FFFFFF"/>
            <w:noWrap/>
            <w:vAlign w:val="bottom"/>
          </w:tcPr>
          <w:p w:rsidR="003E6898" w:rsidRPr="0032637C" w:rsidRDefault="009A3DB0" w:rsidP="00A46201">
            <w:pPr>
              <w:spacing w:line="240" w:lineRule="auto"/>
              <w:jc w:val="center"/>
              <w:rPr>
                <w:rFonts w:ascii="Calibri" w:hAnsi="Calibri"/>
                <w:b/>
                <w:color w:val="000000"/>
                <w:sz w:val="18"/>
                <w:szCs w:val="18"/>
                <w:lang w:val="sl-SI" w:eastAsia="sl-SI"/>
              </w:rPr>
            </w:pPr>
            <w:r>
              <w:rPr>
                <w:rFonts w:ascii="Calibri" w:hAnsi="Calibri"/>
                <w:b/>
                <w:color w:val="000000"/>
                <w:sz w:val="18"/>
                <w:szCs w:val="18"/>
                <w:lang w:val="sl-SI" w:eastAsia="sl-SI"/>
              </w:rPr>
              <w:t>%</w:t>
            </w:r>
          </w:p>
        </w:tc>
        <w:tc>
          <w:tcPr>
            <w:tcW w:w="610" w:type="pct"/>
            <w:shd w:val="pct25" w:color="auto" w:fill="FFFFFF"/>
            <w:noWrap/>
            <w:vAlign w:val="bottom"/>
          </w:tcPr>
          <w:p w:rsidR="003E6898" w:rsidRPr="0032637C" w:rsidRDefault="0053047D" w:rsidP="00A46201">
            <w:pPr>
              <w:spacing w:line="240" w:lineRule="auto"/>
              <w:jc w:val="center"/>
              <w:rPr>
                <w:rFonts w:ascii="Calibri" w:hAnsi="Calibri"/>
                <w:b/>
                <w:color w:val="000000"/>
                <w:sz w:val="18"/>
                <w:szCs w:val="18"/>
                <w:lang w:val="sl-SI" w:eastAsia="sl-SI"/>
              </w:rPr>
            </w:pPr>
            <w:r>
              <w:rPr>
                <w:rFonts w:ascii="Calibri" w:hAnsi="Calibri"/>
                <w:b/>
                <w:color w:val="000000"/>
                <w:sz w:val="18"/>
                <w:szCs w:val="18"/>
                <w:lang w:val="sl-SI" w:eastAsia="sl-SI"/>
              </w:rPr>
              <w:t>(</w:t>
            </w:r>
            <w:r w:rsidR="009A3DB0">
              <w:rPr>
                <w:rFonts w:ascii="Calibri" w:hAnsi="Calibri"/>
                <w:b/>
                <w:color w:val="000000"/>
                <w:sz w:val="18"/>
                <w:szCs w:val="18"/>
                <w:lang w:val="sl-SI" w:eastAsia="sl-SI"/>
              </w:rPr>
              <w:t>€</w:t>
            </w:r>
            <w:r>
              <w:rPr>
                <w:rFonts w:ascii="Calibri" w:hAnsi="Calibri"/>
                <w:b/>
                <w:color w:val="000000"/>
                <w:sz w:val="18"/>
                <w:szCs w:val="18"/>
                <w:lang w:val="sl-SI" w:eastAsia="sl-SI"/>
              </w:rPr>
              <w:t>)</w:t>
            </w:r>
          </w:p>
        </w:tc>
      </w:tr>
      <w:tr w:rsidR="003E6898" w:rsidRPr="003B08AE" w:rsidTr="00BA2549">
        <w:trPr>
          <w:trHeight w:val="300"/>
          <w:tblHeader/>
        </w:trPr>
        <w:tc>
          <w:tcPr>
            <w:tcW w:w="2175" w:type="pct"/>
            <w:shd w:val="pct25" w:color="auto" w:fill="FFFFFF"/>
            <w:noWrap/>
            <w:vAlign w:val="bottom"/>
          </w:tcPr>
          <w:p w:rsidR="003E6898" w:rsidRPr="0032637C" w:rsidRDefault="003E6898" w:rsidP="00A46201">
            <w:pPr>
              <w:spacing w:line="240" w:lineRule="auto"/>
              <w:jc w:val="center"/>
              <w:rPr>
                <w:rFonts w:ascii="Calibri" w:hAnsi="Calibri"/>
                <w:b/>
                <w:color w:val="000000"/>
                <w:sz w:val="18"/>
                <w:szCs w:val="18"/>
                <w:lang w:val="sl-SI" w:eastAsia="sl-SI"/>
              </w:rPr>
            </w:pPr>
            <w:r w:rsidRPr="0032637C">
              <w:rPr>
                <w:rFonts w:ascii="Calibri" w:hAnsi="Calibri"/>
                <w:b/>
                <w:color w:val="000000"/>
                <w:sz w:val="18"/>
                <w:szCs w:val="18"/>
                <w:lang w:val="sl-SI" w:eastAsia="sl-SI"/>
              </w:rPr>
              <w:t>1</w:t>
            </w:r>
          </w:p>
        </w:tc>
        <w:tc>
          <w:tcPr>
            <w:tcW w:w="841" w:type="pct"/>
            <w:shd w:val="pct25" w:color="auto" w:fill="FFFFFF"/>
            <w:noWrap/>
            <w:vAlign w:val="bottom"/>
          </w:tcPr>
          <w:p w:rsidR="003E6898" w:rsidRPr="0032637C" w:rsidRDefault="003E6898" w:rsidP="00A46201">
            <w:pPr>
              <w:spacing w:line="240" w:lineRule="auto"/>
              <w:jc w:val="center"/>
              <w:rPr>
                <w:rFonts w:ascii="Calibri" w:hAnsi="Calibri"/>
                <w:b/>
                <w:color w:val="000000"/>
                <w:sz w:val="18"/>
                <w:szCs w:val="18"/>
                <w:lang w:val="sl-SI" w:eastAsia="sl-SI"/>
              </w:rPr>
            </w:pPr>
            <w:r w:rsidRPr="0032637C">
              <w:rPr>
                <w:rFonts w:ascii="Calibri" w:hAnsi="Calibri"/>
                <w:b/>
                <w:color w:val="000000"/>
                <w:sz w:val="18"/>
                <w:szCs w:val="18"/>
                <w:lang w:val="sl-SI" w:eastAsia="sl-SI"/>
              </w:rPr>
              <w:t>2</w:t>
            </w:r>
          </w:p>
        </w:tc>
        <w:tc>
          <w:tcPr>
            <w:tcW w:w="841" w:type="pct"/>
            <w:shd w:val="pct25" w:color="auto" w:fill="FFFFFF"/>
            <w:noWrap/>
            <w:vAlign w:val="bottom"/>
          </w:tcPr>
          <w:p w:rsidR="003E6898" w:rsidRPr="0032637C" w:rsidRDefault="003E6898" w:rsidP="00A46201">
            <w:pPr>
              <w:spacing w:line="240" w:lineRule="auto"/>
              <w:jc w:val="center"/>
              <w:rPr>
                <w:rFonts w:ascii="Calibri" w:hAnsi="Calibri"/>
                <w:b/>
                <w:color w:val="000000"/>
                <w:sz w:val="18"/>
                <w:szCs w:val="18"/>
                <w:lang w:val="sl-SI" w:eastAsia="sl-SI"/>
              </w:rPr>
            </w:pPr>
            <w:r w:rsidRPr="0032637C">
              <w:rPr>
                <w:rFonts w:ascii="Calibri" w:hAnsi="Calibri"/>
                <w:b/>
                <w:color w:val="000000"/>
                <w:sz w:val="18"/>
                <w:szCs w:val="18"/>
                <w:lang w:val="sl-SI" w:eastAsia="sl-SI"/>
              </w:rPr>
              <w:t>3</w:t>
            </w:r>
          </w:p>
        </w:tc>
        <w:tc>
          <w:tcPr>
            <w:tcW w:w="533" w:type="pct"/>
            <w:shd w:val="pct25" w:color="auto" w:fill="FFFFFF"/>
            <w:noWrap/>
            <w:vAlign w:val="bottom"/>
          </w:tcPr>
          <w:p w:rsidR="003E6898" w:rsidRPr="0032637C" w:rsidRDefault="003E6898" w:rsidP="00D754F8">
            <w:pPr>
              <w:spacing w:line="240" w:lineRule="auto"/>
              <w:jc w:val="center"/>
              <w:rPr>
                <w:rFonts w:ascii="Calibri" w:hAnsi="Calibri"/>
                <w:b/>
                <w:color w:val="000000"/>
                <w:sz w:val="18"/>
                <w:szCs w:val="18"/>
                <w:lang w:val="sl-SI" w:eastAsia="sl-SI"/>
              </w:rPr>
            </w:pPr>
            <w:r w:rsidRPr="0032637C">
              <w:rPr>
                <w:rFonts w:ascii="Calibri" w:hAnsi="Calibri"/>
                <w:b/>
                <w:color w:val="000000"/>
                <w:sz w:val="18"/>
                <w:szCs w:val="18"/>
                <w:lang w:val="sl-SI" w:eastAsia="sl-SI"/>
              </w:rPr>
              <w:t>4=2/3</w:t>
            </w:r>
          </w:p>
        </w:tc>
        <w:tc>
          <w:tcPr>
            <w:tcW w:w="610" w:type="pct"/>
            <w:shd w:val="pct25" w:color="auto" w:fill="FFFFFF"/>
            <w:noWrap/>
            <w:vAlign w:val="bottom"/>
          </w:tcPr>
          <w:p w:rsidR="003E6898" w:rsidRPr="0032637C" w:rsidRDefault="003E6898" w:rsidP="00A46201">
            <w:pPr>
              <w:spacing w:line="240" w:lineRule="auto"/>
              <w:jc w:val="center"/>
              <w:rPr>
                <w:rFonts w:ascii="Calibri" w:hAnsi="Calibri"/>
                <w:b/>
                <w:color w:val="000000"/>
                <w:sz w:val="18"/>
                <w:szCs w:val="18"/>
                <w:lang w:val="sl-SI" w:eastAsia="sl-SI"/>
              </w:rPr>
            </w:pPr>
            <w:r w:rsidRPr="0032637C">
              <w:rPr>
                <w:rFonts w:ascii="Calibri" w:hAnsi="Calibri"/>
                <w:b/>
                <w:color w:val="000000"/>
                <w:sz w:val="18"/>
                <w:szCs w:val="18"/>
                <w:lang w:val="sl-SI" w:eastAsia="sl-SI"/>
              </w:rPr>
              <w:t>5=2-3</w:t>
            </w:r>
          </w:p>
        </w:tc>
      </w:tr>
      <w:tr w:rsidR="00B45031" w:rsidRPr="003B08AE" w:rsidTr="00972554">
        <w:trPr>
          <w:trHeight w:val="300"/>
        </w:trPr>
        <w:tc>
          <w:tcPr>
            <w:tcW w:w="2175" w:type="pct"/>
            <w:shd w:val="clear" w:color="auto" w:fill="auto"/>
            <w:noWrap/>
            <w:vAlign w:val="bottom"/>
            <w:hideMark/>
          </w:tcPr>
          <w:p w:rsidR="00B45031" w:rsidRPr="003B08AE" w:rsidRDefault="00B45031" w:rsidP="00A46201">
            <w:pPr>
              <w:spacing w:line="240" w:lineRule="auto"/>
              <w:rPr>
                <w:rFonts w:ascii="Calibri" w:hAnsi="Calibri"/>
                <w:color w:val="000000"/>
                <w:sz w:val="18"/>
                <w:szCs w:val="18"/>
                <w:lang w:eastAsia="sl-SI"/>
              </w:rPr>
            </w:pPr>
            <w:r w:rsidRPr="003B08AE">
              <w:rPr>
                <w:rFonts w:ascii="Calibri" w:hAnsi="Calibri"/>
                <w:color w:val="000000"/>
                <w:sz w:val="18"/>
                <w:szCs w:val="18"/>
                <w:lang w:eastAsia="sl-SI"/>
              </w:rPr>
              <w:t>300-Sedanja vrednost neopredmetenih sredstev in dolgoročnih aktivnih časovnih razmejitev</w:t>
            </w:r>
          </w:p>
        </w:tc>
        <w:tc>
          <w:tcPr>
            <w:tcW w:w="841" w:type="pct"/>
            <w:shd w:val="clear" w:color="auto" w:fill="auto"/>
            <w:noWrap/>
            <w:vAlign w:val="bottom"/>
            <w:hideMark/>
          </w:tcPr>
          <w:p w:rsidR="00B45031" w:rsidRPr="00412299" w:rsidRDefault="00B45031"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17.916.034 </w:t>
            </w:r>
          </w:p>
        </w:tc>
        <w:tc>
          <w:tcPr>
            <w:tcW w:w="841" w:type="pct"/>
            <w:shd w:val="clear" w:color="auto" w:fill="auto"/>
            <w:noWrap/>
            <w:vAlign w:val="bottom"/>
            <w:hideMark/>
          </w:tcPr>
          <w:p w:rsidR="00B45031" w:rsidRPr="003B08AE" w:rsidRDefault="00B45031" w:rsidP="00A46201">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18.261.460 </w:t>
            </w:r>
          </w:p>
        </w:tc>
        <w:tc>
          <w:tcPr>
            <w:tcW w:w="533" w:type="pct"/>
            <w:shd w:val="clear" w:color="auto" w:fill="auto"/>
            <w:noWrap/>
            <w:vAlign w:val="bottom"/>
            <w:hideMark/>
          </w:tcPr>
          <w:p w:rsidR="00B45031" w:rsidRPr="00412299" w:rsidRDefault="00B45031" w:rsidP="00382B0F">
            <w:pPr>
              <w:spacing w:line="240" w:lineRule="auto"/>
              <w:jc w:val="right"/>
              <w:rPr>
                <w:rFonts w:ascii="Calibri" w:hAnsi="Calibri"/>
                <w:color w:val="000000"/>
                <w:sz w:val="18"/>
                <w:szCs w:val="18"/>
                <w:lang w:eastAsia="sl-SI"/>
              </w:rPr>
            </w:pPr>
            <w:r w:rsidRPr="00972554">
              <w:rPr>
                <w:rFonts w:ascii="Calibri" w:hAnsi="Calibri"/>
                <w:sz w:val="18"/>
                <w:szCs w:val="18"/>
              </w:rPr>
              <w:t>98,11</w:t>
            </w:r>
          </w:p>
        </w:tc>
        <w:tc>
          <w:tcPr>
            <w:tcW w:w="610" w:type="pct"/>
            <w:shd w:val="clear" w:color="auto" w:fill="auto"/>
            <w:noWrap/>
            <w:vAlign w:val="bottom"/>
            <w:hideMark/>
          </w:tcPr>
          <w:p w:rsidR="00B45031" w:rsidRPr="00412299" w:rsidRDefault="00B45031"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-345.426 </w:t>
            </w:r>
          </w:p>
        </w:tc>
      </w:tr>
      <w:tr w:rsidR="00B45031" w:rsidRPr="003B08AE" w:rsidTr="00972554">
        <w:trPr>
          <w:trHeight w:val="300"/>
        </w:trPr>
        <w:tc>
          <w:tcPr>
            <w:tcW w:w="2175" w:type="pct"/>
            <w:shd w:val="clear" w:color="auto" w:fill="auto"/>
            <w:noWrap/>
            <w:vAlign w:val="bottom"/>
            <w:hideMark/>
          </w:tcPr>
          <w:p w:rsidR="00B45031" w:rsidRPr="003B08AE" w:rsidRDefault="00B45031" w:rsidP="00A46201">
            <w:pPr>
              <w:spacing w:line="240" w:lineRule="auto"/>
              <w:rPr>
                <w:rFonts w:ascii="Calibri" w:hAnsi="Calibri"/>
                <w:color w:val="000000"/>
                <w:sz w:val="18"/>
                <w:szCs w:val="18"/>
                <w:lang w:eastAsia="sl-SI"/>
              </w:rPr>
            </w:pPr>
            <w:r w:rsidRPr="003B08AE">
              <w:rPr>
                <w:rFonts w:ascii="Calibri" w:hAnsi="Calibri"/>
                <w:color w:val="000000"/>
                <w:sz w:val="18"/>
                <w:szCs w:val="18"/>
                <w:lang w:eastAsia="sl-SI"/>
              </w:rPr>
              <w:t>301-Nabavna vrednost neopredmetenih sredstev in dolgoročnih aktivnih časovnih razmejitev</w:t>
            </w:r>
          </w:p>
        </w:tc>
        <w:tc>
          <w:tcPr>
            <w:tcW w:w="841" w:type="pct"/>
            <w:shd w:val="clear" w:color="auto" w:fill="auto"/>
            <w:noWrap/>
            <w:vAlign w:val="bottom"/>
            <w:hideMark/>
          </w:tcPr>
          <w:p w:rsidR="00B45031" w:rsidRPr="00412299" w:rsidRDefault="00B45031"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65.092.993 </w:t>
            </w:r>
          </w:p>
        </w:tc>
        <w:tc>
          <w:tcPr>
            <w:tcW w:w="841" w:type="pct"/>
            <w:shd w:val="clear" w:color="auto" w:fill="auto"/>
            <w:noWrap/>
            <w:vAlign w:val="bottom"/>
            <w:hideMark/>
          </w:tcPr>
          <w:p w:rsidR="00B45031" w:rsidRPr="003B08AE" w:rsidRDefault="00B45031" w:rsidP="00A46201">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63.297.775 </w:t>
            </w:r>
          </w:p>
        </w:tc>
        <w:tc>
          <w:tcPr>
            <w:tcW w:w="533" w:type="pct"/>
            <w:shd w:val="clear" w:color="auto" w:fill="auto"/>
            <w:noWrap/>
            <w:vAlign w:val="bottom"/>
            <w:hideMark/>
          </w:tcPr>
          <w:p w:rsidR="00B45031" w:rsidRPr="00412299" w:rsidRDefault="00B45031" w:rsidP="00382B0F">
            <w:pPr>
              <w:spacing w:line="240" w:lineRule="auto"/>
              <w:jc w:val="right"/>
              <w:rPr>
                <w:rFonts w:ascii="Calibri" w:hAnsi="Calibri"/>
                <w:color w:val="000000"/>
                <w:sz w:val="18"/>
                <w:szCs w:val="18"/>
                <w:lang w:eastAsia="sl-SI"/>
              </w:rPr>
            </w:pPr>
            <w:r w:rsidRPr="00972554">
              <w:rPr>
                <w:rFonts w:ascii="Calibri" w:hAnsi="Calibri"/>
                <w:sz w:val="18"/>
                <w:szCs w:val="18"/>
              </w:rPr>
              <w:t>102,84</w:t>
            </w:r>
          </w:p>
        </w:tc>
        <w:tc>
          <w:tcPr>
            <w:tcW w:w="610" w:type="pct"/>
            <w:shd w:val="clear" w:color="auto" w:fill="auto"/>
            <w:noWrap/>
            <w:vAlign w:val="bottom"/>
            <w:hideMark/>
          </w:tcPr>
          <w:p w:rsidR="00B45031" w:rsidRPr="00412299" w:rsidRDefault="00B45031"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1.795.218 </w:t>
            </w:r>
          </w:p>
        </w:tc>
      </w:tr>
      <w:tr w:rsidR="00B45031" w:rsidRPr="003B08AE" w:rsidTr="00972554">
        <w:trPr>
          <w:trHeight w:val="300"/>
        </w:trPr>
        <w:tc>
          <w:tcPr>
            <w:tcW w:w="2175" w:type="pct"/>
            <w:shd w:val="clear" w:color="auto" w:fill="auto"/>
            <w:noWrap/>
            <w:vAlign w:val="bottom"/>
            <w:hideMark/>
          </w:tcPr>
          <w:p w:rsidR="00B45031" w:rsidRPr="003B08AE" w:rsidRDefault="00B45031" w:rsidP="00A46201">
            <w:pPr>
              <w:spacing w:line="240" w:lineRule="auto"/>
              <w:rPr>
                <w:rFonts w:ascii="Calibri" w:hAnsi="Calibri"/>
                <w:color w:val="000000"/>
                <w:sz w:val="18"/>
                <w:szCs w:val="18"/>
                <w:lang w:eastAsia="sl-SI"/>
              </w:rPr>
            </w:pPr>
            <w:r w:rsidRPr="003B08AE">
              <w:rPr>
                <w:rFonts w:ascii="Calibri" w:hAnsi="Calibri"/>
                <w:color w:val="000000"/>
                <w:sz w:val="18"/>
                <w:szCs w:val="18"/>
                <w:lang w:eastAsia="sl-SI"/>
              </w:rPr>
              <w:t>302-Popravki vrednosti neopredmetenih sredstev</w:t>
            </w:r>
          </w:p>
        </w:tc>
        <w:tc>
          <w:tcPr>
            <w:tcW w:w="841" w:type="pct"/>
            <w:shd w:val="clear" w:color="auto" w:fill="auto"/>
            <w:noWrap/>
            <w:vAlign w:val="bottom"/>
            <w:hideMark/>
          </w:tcPr>
          <w:p w:rsidR="00B45031" w:rsidRPr="00412299" w:rsidRDefault="00B45031"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47.176.959 </w:t>
            </w:r>
          </w:p>
        </w:tc>
        <w:tc>
          <w:tcPr>
            <w:tcW w:w="841" w:type="pct"/>
            <w:shd w:val="clear" w:color="auto" w:fill="auto"/>
            <w:noWrap/>
            <w:vAlign w:val="bottom"/>
            <w:hideMark/>
          </w:tcPr>
          <w:p w:rsidR="00B45031" w:rsidRPr="003B08AE" w:rsidRDefault="00B45031" w:rsidP="00A46201">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45.036.315 </w:t>
            </w:r>
          </w:p>
        </w:tc>
        <w:tc>
          <w:tcPr>
            <w:tcW w:w="533" w:type="pct"/>
            <w:shd w:val="clear" w:color="auto" w:fill="auto"/>
            <w:noWrap/>
            <w:vAlign w:val="bottom"/>
            <w:hideMark/>
          </w:tcPr>
          <w:p w:rsidR="00B45031" w:rsidRPr="00412299" w:rsidRDefault="00B45031" w:rsidP="00382B0F">
            <w:pPr>
              <w:spacing w:line="240" w:lineRule="auto"/>
              <w:jc w:val="right"/>
              <w:rPr>
                <w:rFonts w:ascii="Calibri" w:hAnsi="Calibri"/>
                <w:color w:val="000000"/>
                <w:sz w:val="18"/>
                <w:szCs w:val="18"/>
                <w:lang w:eastAsia="sl-SI"/>
              </w:rPr>
            </w:pPr>
            <w:r w:rsidRPr="00972554">
              <w:rPr>
                <w:rFonts w:ascii="Calibri" w:hAnsi="Calibri"/>
                <w:sz w:val="18"/>
                <w:szCs w:val="18"/>
              </w:rPr>
              <w:t>104,75</w:t>
            </w:r>
          </w:p>
        </w:tc>
        <w:tc>
          <w:tcPr>
            <w:tcW w:w="610" w:type="pct"/>
            <w:shd w:val="clear" w:color="auto" w:fill="auto"/>
            <w:noWrap/>
            <w:vAlign w:val="bottom"/>
            <w:hideMark/>
          </w:tcPr>
          <w:p w:rsidR="00B45031" w:rsidRPr="00412299" w:rsidRDefault="00B45031"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2.140.644 </w:t>
            </w:r>
          </w:p>
        </w:tc>
      </w:tr>
      <w:tr w:rsidR="00B45031" w:rsidRPr="003B08AE" w:rsidTr="00972554">
        <w:trPr>
          <w:trHeight w:val="300"/>
        </w:trPr>
        <w:tc>
          <w:tcPr>
            <w:tcW w:w="2175" w:type="pct"/>
            <w:shd w:val="clear" w:color="auto" w:fill="auto"/>
            <w:noWrap/>
            <w:vAlign w:val="bottom"/>
            <w:hideMark/>
          </w:tcPr>
          <w:p w:rsidR="00B45031" w:rsidRPr="003B08AE" w:rsidRDefault="00B45031" w:rsidP="00A46201">
            <w:pPr>
              <w:spacing w:line="240" w:lineRule="auto"/>
              <w:rPr>
                <w:rFonts w:ascii="Calibri" w:hAnsi="Calibri"/>
                <w:color w:val="000000"/>
                <w:sz w:val="18"/>
                <w:szCs w:val="18"/>
                <w:lang w:eastAsia="sl-SI"/>
              </w:rPr>
            </w:pPr>
            <w:r w:rsidRPr="003B08AE">
              <w:rPr>
                <w:rFonts w:ascii="Calibri" w:hAnsi="Calibri"/>
                <w:color w:val="000000"/>
                <w:sz w:val="18"/>
                <w:szCs w:val="18"/>
                <w:lang w:eastAsia="sl-SI"/>
              </w:rPr>
              <w:t>303-Sedanja vrednost nepremičnin</w:t>
            </w:r>
          </w:p>
        </w:tc>
        <w:tc>
          <w:tcPr>
            <w:tcW w:w="841" w:type="pct"/>
            <w:shd w:val="clear" w:color="auto" w:fill="auto"/>
            <w:noWrap/>
            <w:vAlign w:val="bottom"/>
            <w:hideMark/>
          </w:tcPr>
          <w:p w:rsidR="00B45031" w:rsidRPr="00412299" w:rsidRDefault="00B45031"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9.962.122.070 </w:t>
            </w:r>
          </w:p>
        </w:tc>
        <w:tc>
          <w:tcPr>
            <w:tcW w:w="841" w:type="pct"/>
            <w:shd w:val="clear" w:color="auto" w:fill="auto"/>
            <w:noWrap/>
            <w:vAlign w:val="bottom"/>
            <w:hideMark/>
          </w:tcPr>
          <w:p w:rsidR="00B45031" w:rsidRPr="003B08AE" w:rsidRDefault="00B45031" w:rsidP="00A46201">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9.330.757.186 </w:t>
            </w:r>
          </w:p>
        </w:tc>
        <w:tc>
          <w:tcPr>
            <w:tcW w:w="533" w:type="pct"/>
            <w:shd w:val="clear" w:color="auto" w:fill="auto"/>
            <w:noWrap/>
            <w:vAlign w:val="bottom"/>
            <w:hideMark/>
          </w:tcPr>
          <w:p w:rsidR="00B45031" w:rsidRPr="00412299" w:rsidRDefault="00B45031" w:rsidP="00382B0F">
            <w:pPr>
              <w:spacing w:line="240" w:lineRule="auto"/>
              <w:jc w:val="right"/>
              <w:rPr>
                <w:rFonts w:ascii="Calibri" w:hAnsi="Calibri"/>
                <w:color w:val="000000"/>
                <w:sz w:val="18"/>
                <w:szCs w:val="18"/>
                <w:lang w:eastAsia="sl-SI"/>
              </w:rPr>
            </w:pPr>
            <w:r w:rsidRPr="00972554">
              <w:rPr>
                <w:rFonts w:ascii="Calibri" w:hAnsi="Calibri"/>
                <w:sz w:val="18"/>
                <w:szCs w:val="18"/>
              </w:rPr>
              <w:t>106,77</w:t>
            </w:r>
          </w:p>
        </w:tc>
        <w:tc>
          <w:tcPr>
            <w:tcW w:w="610" w:type="pct"/>
            <w:shd w:val="clear" w:color="auto" w:fill="auto"/>
            <w:noWrap/>
            <w:vAlign w:val="bottom"/>
            <w:hideMark/>
          </w:tcPr>
          <w:p w:rsidR="00B45031" w:rsidRPr="00412299" w:rsidRDefault="00B45031"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631.364.884 </w:t>
            </w:r>
          </w:p>
        </w:tc>
      </w:tr>
      <w:tr w:rsidR="00B45031" w:rsidRPr="003B08AE" w:rsidTr="00972554">
        <w:trPr>
          <w:trHeight w:val="300"/>
        </w:trPr>
        <w:tc>
          <w:tcPr>
            <w:tcW w:w="2175" w:type="pct"/>
            <w:shd w:val="clear" w:color="auto" w:fill="auto"/>
            <w:noWrap/>
            <w:vAlign w:val="bottom"/>
            <w:hideMark/>
          </w:tcPr>
          <w:p w:rsidR="00B45031" w:rsidRPr="003B08AE" w:rsidRDefault="00B45031" w:rsidP="00A46201">
            <w:pPr>
              <w:spacing w:line="240" w:lineRule="auto"/>
              <w:rPr>
                <w:rFonts w:ascii="Calibri" w:hAnsi="Calibri"/>
                <w:color w:val="000000"/>
                <w:sz w:val="18"/>
                <w:szCs w:val="18"/>
                <w:lang w:eastAsia="sl-SI"/>
              </w:rPr>
            </w:pPr>
            <w:r w:rsidRPr="003B08AE">
              <w:rPr>
                <w:rFonts w:ascii="Calibri" w:hAnsi="Calibri"/>
                <w:color w:val="000000"/>
                <w:sz w:val="18"/>
                <w:szCs w:val="18"/>
                <w:lang w:eastAsia="sl-SI"/>
              </w:rPr>
              <w:t>304-Nabavna vrednost nepremičnin</w:t>
            </w:r>
          </w:p>
        </w:tc>
        <w:tc>
          <w:tcPr>
            <w:tcW w:w="841" w:type="pct"/>
            <w:shd w:val="clear" w:color="auto" w:fill="auto"/>
            <w:noWrap/>
            <w:vAlign w:val="bottom"/>
            <w:hideMark/>
          </w:tcPr>
          <w:p w:rsidR="00B45031" w:rsidRPr="00412299" w:rsidRDefault="00B45031"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13.128.777.663 </w:t>
            </w:r>
          </w:p>
        </w:tc>
        <w:tc>
          <w:tcPr>
            <w:tcW w:w="841" w:type="pct"/>
            <w:shd w:val="clear" w:color="auto" w:fill="auto"/>
            <w:noWrap/>
            <w:vAlign w:val="bottom"/>
            <w:hideMark/>
          </w:tcPr>
          <w:p w:rsidR="00B45031" w:rsidRPr="003B08AE" w:rsidRDefault="00B45031" w:rsidP="00A46201">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12.286.944.854 </w:t>
            </w:r>
          </w:p>
        </w:tc>
        <w:tc>
          <w:tcPr>
            <w:tcW w:w="533" w:type="pct"/>
            <w:shd w:val="clear" w:color="auto" w:fill="auto"/>
            <w:noWrap/>
            <w:vAlign w:val="bottom"/>
            <w:hideMark/>
          </w:tcPr>
          <w:p w:rsidR="00B45031" w:rsidRPr="00412299" w:rsidRDefault="00B45031" w:rsidP="00382B0F">
            <w:pPr>
              <w:spacing w:line="240" w:lineRule="auto"/>
              <w:jc w:val="right"/>
              <w:rPr>
                <w:rFonts w:ascii="Calibri" w:hAnsi="Calibri"/>
                <w:color w:val="000000"/>
                <w:sz w:val="18"/>
                <w:szCs w:val="18"/>
                <w:lang w:eastAsia="sl-SI"/>
              </w:rPr>
            </w:pPr>
            <w:r w:rsidRPr="00972554">
              <w:rPr>
                <w:rFonts w:ascii="Calibri" w:hAnsi="Calibri"/>
                <w:sz w:val="18"/>
                <w:szCs w:val="18"/>
              </w:rPr>
              <w:t>106,85</w:t>
            </w:r>
          </w:p>
        </w:tc>
        <w:tc>
          <w:tcPr>
            <w:tcW w:w="610" w:type="pct"/>
            <w:shd w:val="clear" w:color="auto" w:fill="auto"/>
            <w:noWrap/>
            <w:vAlign w:val="bottom"/>
            <w:hideMark/>
          </w:tcPr>
          <w:p w:rsidR="00B45031" w:rsidRPr="00412299" w:rsidRDefault="00B45031"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841.832.809 </w:t>
            </w:r>
          </w:p>
        </w:tc>
      </w:tr>
      <w:tr w:rsidR="00B45031" w:rsidRPr="003B08AE" w:rsidTr="00972554">
        <w:trPr>
          <w:trHeight w:val="300"/>
        </w:trPr>
        <w:tc>
          <w:tcPr>
            <w:tcW w:w="2175" w:type="pct"/>
            <w:shd w:val="clear" w:color="auto" w:fill="auto"/>
            <w:noWrap/>
            <w:vAlign w:val="bottom"/>
            <w:hideMark/>
          </w:tcPr>
          <w:p w:rsidR="00B45031" w:rsidRPr="003B08AE" w:rsidRDefault="00B45031" w:rsidP="00A46201">
            <w:pPr>
              <w:spacing w:line="240" w:lineRule="auto"/>
              <w:rPr>
                <w:rFonts w:ascii="Calibri" w:hAnsi="Calibri"/>
                <w:color w:val="000000"/>
                <w:sz w:val="18"/>
                <w:szCs w:val="18"/>
                <w:lang w:eastAsia="sl-SI"/>
              </w:rPr>
            </w:pPr>
            <w:r w:rsidRPr="003B08AE">
              <w:rPr>
                <w:rFonts w:ascii="Calibri" w:hAnsi="Calibri"/>
                <w:color w:val="000000"/>
                <w:sz w:val="18"/>
                <w:szCs w:val="18"/>
                <w:lang w:eastAsia="sl-SI"/>
              </w:rPr>
              <w:t>305-Popravek vrednosti nepremičnin</w:t>
            </w:r>
          </w:p>
        </w:tc>
        <w:tc>
          <w:tcPr>
            <w:tcW w:w="841" w:type="pct"/>
            <w:shd w:val="clear" w:color="auto" w:fill="auto"/>
            <w:noWrap/>
            <w:vAlign w:val="bottom"/>
            <w:hideMark/>
          </w:tcPr>
          <w:p w:rsidR="00B45031" w:rsidRPr="00412299" w:rsidRDefault="00B45031"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3.166.655.593 </w:t>
            </w:r>
          </w:p>
        </w:tc>
        <w:tc>
          <w:tcPr>
            <w:tcW w:w="841" w:type="pct"/>
            <w:shd w:val="clear" w:color="auto" w:fill="auto"/>
            <w:noWrap/>
            <w:vAlign w:val="bottom"/>
            <w:hideMark/>
          </w:tcPr>
          <w:p w:rsidR="00B45031" w:rsidRPr="003B08AE" w:rsidRDefault="00B45031" w:rsidP="00A46201">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2.956.187.668 </w:t>
            </w:r>
          </w:p>
        </w:tc>
        <w:tc>
          <w:tcPr>
            <w:tcW w:w="533" w:type="pct"/>
            <w:shd w:val="clear" w:color="auto" w:fill="auto"/>
            <w:noWrap/>
            <w:vAlign w:val="bottom"/>
            <w:hideMark/>
          </w:tcPr>
          <w:p w:rsidR="00B45031" w:rsidRPr="00412299" w:rsidRDefault="00B45031" w:rsidP="00382B0F">
            <w:pPr>
              <w:spacing w:line="240" w:lineRule="auto"/>
              <w:jc w:val="right"/>
              <w:rPr>
                <w:rFonts w:ascii="Calibri" w:hAnsi="Calibri"/>
                <w:color w:val="000000"/>
                <w:sz w:val="18"/>
                <w:szCs w:val="18"/>
                <w:lang w:eastAsia="sl-SI"/>
              </w:rPr>
            </w:pPr>
            <w:r w:rsidRPr="00972554">
              <w:rPr>
                <w:rFonts w:ascii="Calibri" w:hAnsi="Calibri"/>
                <w:sz w:val="18"/>
                <w:szCs w:val="18"/>
              </w:rPr>
              <w:t>107,12</w:t>
            </w:r>
          </w:p>
        </w:tc>
        <w:tc>
          <w:tcPr>
            <w:tcW w:w="610" w:type="pct"/>
            <w:shd w:val="clear" w:color="auto" w:fill="auto"/>
            <w:noWrap/>
            <w:vAlign w:val="bottom"/>
            <w:hideMark/>
          </w:tcPr>
          <w:p w:rsidR="00B45031" w:rsidRPr="00412299" w:rsidRDefault="00B45031"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210.467.925 </w:t>
            </w:r>
          </w:p>
        </w:tc>
      </w:tr>
      <w:tr w:rsidR="00B45031" w:rsidRPr="003B08AE" w:rsidTr="00972554">
        <w:trPr>
          <w:trHeight w:val="300"/>
        </w:trPr>
        <w:tc>
          <w:tcPr>
            <w:tcW w:w="2175" w:type="pct"/>
            <w:shd w:val="clear" w:color="auto" w:fill="auto"/>
            <w:noWrap/>
            <w:vAlign w:val="bottom"/>
            <w:hideMark/>
          </w:tcPr>
          <w:p w:rsidR="00B45031" w:rsidRPr="003B08AE" w:rsidRDefault="00B45031" w:rsidP="00A46201">
            <w:pPr>
              <w:spacing w:line="240" w:lineRule="auto"/>
              <w:rPr>
                <w:rFonts w:ascii="Calibri" w:hAnsi="Calibri"/>
                <w:color w:val="000000"/>
                <w:sz w:val="18"/>
                <w:szCs w:val="18"/>
                <w:lang w:eastAsia="sl-SI"/>
              </w:rPr>
            </w:pPr>
            <w:r w:rsidRPr="003B08AE">
              <w:rPr>
                <w:rFonts w:ascii="Calibri" w:hAnsi="Calibri"/>
                <w:color w:val="000000"/>
                <w:sz w:val="18"/>
                <w:szCs w:val="18"/>
                <w:lang w:eastAsia="sl-SI"/>
              </w:rPr>
              <w:t>306-Sedanja vrednost opreme in drugih opredmetenih osnovnih sredstev</w:t>
            </w:r>
          </w:p>
        </w:tc>
        <w:tc>
          <w:tcPr>
            <w:tcW w:w="841" w:type="pct"/>
            <w:shd w:val="clear" w:color="auto" w:fill="auto"/>
            <w:noWrap/>
            <w:vAlign w:val="bottom"/>
            <w:hideMark/>
          </w:tcPr>
          <w:p w:rsidR="00B45031" w:rsidRPr="00412299" w:rsidRDefault="00B45031"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310.933.337 </w:t>
            </w:r>
          </w:p>
        </w:tc>
        <w:tc>
          <w:tcPr>
            <w:tcW w:w="841" w:type="pct"/>
            <w:shd w:val="clear" w:color="auto" w:fill="auto"/>
            <w:noWrap/>
            <w:vAlign w:val="bottom"/>
            <w:hideMark/>
          </w:tcPr>
          <w:p w:rsidR="00B45031" w:rsidRPr="003B08AE" w:rsidRDefault="00B45031" w:rsidP="00A46201">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356.025.277 </w:t>
            </w:r>
          </w:p>
        </w:tc>
        <w:tc>
          <w:tcPr>
            <w:tcW w:w="533" w:type="pct"/>
            <w:shd w:val="clear" w:color="auto" w:fill="auto"/>
            <w:noWrap/>
            <w:vAlign w:val="bottom"/>
            <w:hideMark/>
          </w:tcPr>
          <w:p w:rsidR="00B45031" w:rsidRPr="00412299" w:rsidRDefault="00B45031" w:rsidP="00382B0F">
            <w:pPr>
              <w:spacing w:line="240" w:lineRule="auto"/>
              <w:jc w:val="right"/>
              <w:rPr>
                <w:rFonts w:ascii="Calibri" w:hAnsi="Calibri"/>
                <w:color w:val="000000"/>
                <w:sz w:val="18"/>
                <w:szCs w:val="18"/>
                <w:lang w:eastAsia="sl-SI"/>
              </w:rPr>
            </w:pPr>
            <w:r w:rsidRPr="00972554">
              <w:rPr>
                <w:rFonts w:ascii="Calibri" w:hAnsi="Calibri"/>
                <w:sz w:val="18"/>
                <w:szCs w:val="18"/>
              </w:rPr>
              <w:t>87,33</w:t>
            </w:r>
          </w:p>
        </w:tc>
        <w:tc>
          <w:tcPr>
            <w:tcW w:w="610" w:type="pct"/>
            <w:shd w:val="clear" w:color="auto" w:fill="auto"/>
            <w:noWrap/>
            <w:vAlign w:val="bottom"/>
            <w:hideMark/>
          </w:tcPr>
          <w:p w:rsidR="00B45031" w:rsidRPr="00412299" w:rsidRDefault="00B45031"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-45.091.940 </w:t>
            </w:r>
          </w:p>
        </w:tc>
      </w:tr>
      <w:tr w:rsidR="00B45031" w:rsidRPr="003B08AE" w:rsidTr="00972554">
        <w:trPr>
          <w:trHeight w:val="300"/>
        </w:trPr>
        <w:tc>
          <w:tcPr>
            <w:tcW w:w="2175" w:type="pct"/>
            <w:shd w:val="clear" w:color="auto" w:fill="auto"/>
            <w:noWrap/>
            <w:vAlign w:val="bottom"/>
            <w:hideMark/>
          </w:tcPr>
          <w:p w:rsidR="00B45031" w:rsidRPr="003B08AE" w:rsidRDefault="00B45031" w:rsidP="00A46201">
            <w:pPr>
              <w:spacing w:line="240" w:lineRule="auto"/>
              <w:rPr>
                <w:rFonts w:ascii="Calibri" w:hAnsi="Calibri"/>
                <w:color w:val="000000"/>
                <w:sz w:val="18"/>
                <w:szCs w:val="18"/>
                <w:lang w:eastAsia="sl-SI"/>
              </w:rPr>
            </w:pPr>
            <w:r w:rsidRPr="003B08AE">
              <w:rPr>
                <w:rFonts w:ascii="Calibri" w:hAnsi="Calibri"/>
                <w:color w:val="000000"/>
                <w:sz w:val="18"/>
                <w:szCs w:val="18"/>
                <w:lang w:eastAsia="sl-SI"/>
              </w:rPr>
              <w:t>307-Nabavna vrednost opreme in drugih opredmetenih osnovnih sredstev</w:t>
            </w:r>
          </w:p>
        </w:tc>
        <w:tc>
          <w:tcPr>
            <w:tcW w:w="841" w:type="pct"/>
            <w:shd w:val="clear" w:color="auto" w:fill="auto"/>
            <w:noWrap/>
            <w:vAlign w:val="bottom"/>
            <w:hideMark/>
          </w:tcPr>
          <w:p w:rsidR="00B45031" w:rsidRPr="00412299" w:rsidRDefault="00B45031"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828.892.917 </w:t>
            </w:r>
          </w:p>
        </w:tc>
        <w:tc>
          <w:tcPr>
            <w:tcW w:w="841" w:type="pct"/>
            <w:shd w:val="clear" w:color="auto" w:fill="auto"/>
            <w:noWrap/>
            <w:vAlign w:val="bottom"/>
            <w:hideMark/>
          </w:tcPr>
          <w:p w:rsidR="00B45031" w:rsidRPr="003B08AE" w:rsidRDefault="00B45031" w:rsidP="00A46201">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838.066.109 </w:t>
            </w:r>
          </w:p>
        </w:tc>
        <w:tc>
          <w:tcPr>
            <w:tcW w:w="533" w:type="pct"/>
            <w:shd w:val="clear" w:color="auto" w:fill="auto"/>
            <w:noWrap/>
            <w:vAlign w:val="bottom"/>
            <w:hideMark/>
          </w:tcPr>
          <w:p w:rsidR="00B45031" w:rsidRPr="00412299" w:rsidRDefault="00B45031" w:rsidP="00382B0F">
            <w:pPr>
              <w:spacing w:line="240" w:lineRule="auto"/>
              <w:jc w:val="right"/>
              <w:rPr>
                <w:rFonts w:ascii="Calibri" w:hAnsi="Calibri"/>
                <w:color w:val="000000"/>
                <w:sz w:val="18"/>
                <w:szCs w:val="18"/>
                <w:lang w:eastAsia="sl-SI"/>
              </w:rPr>
            </w:pPr>
            <w:r w:rsidRPr="00972554">
              <w:rPr>
                <w:rFonts w:ascii="Calibri" w:hAnsi="Calibri"/>
                <w:sz w:val="18"/>
                <w:szCs w:val="18"/>
              </w:rPr>
              <w:t>98,91</w:t>
            </w:r>
          </w:p>
        </w:tc>
        <w:tc>
          <w:tcPr>
            <w:tcW w:w="610" w:type="pct"/>
            <w:shd w:val="clear" w:color="auto" w:fill="auto"/>
            <w:noWrap/>
            <w:vAlign w:val="bottom"/>
            <w:hideMark/>
          </w:tcPr>
          <w:p w:rsidR="00B45031" w:rsidRPr="00412299" w:rsidRDefault="00B45031"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-9.173.192 </w:t>
            </w:r>
          </w:p>
        </w:tc>
      </w:tr>
      <w:tr w:rsidR="00B45031" w:rsidRPr="003B08AE" w:rsidTr="00972554">
        <w:trPr>
          <w:trHeight w:val="300"/>
        </w:trPr>
        <w:tc>
          <w:tcPr>
            <w:tcW w:w="2175" w:type="pct"/>
            <w:shd w:val="clear" w:color="auto" w:fill="auto"/>
            <w:noWrap/>
            <w:vAlign w:val="bottom"/>
            <w:hideMark/>
          </w:tcPr>
          <w:p w:rsidR="00B45031" w:rsidRPr="003B08AE" w:rsidRDefault="00B45031" w:rsidP="00A46201">
            <w:pPr>
              <w:spacing w:line="240" w:lineRule="auto"/>
              <w:rPr>
                <w:rFonts w:ascii="Calibri" w:hAnsi="Calibri"/>
                <w:color w:val="000000"/>
                <w:sz w:val="18"/>
                <w:szCs w:val="18"/>
                <w:lang w:eastAsia="sl-SI"/>
              </w:rPr>
            </w:pPr>
            <w:r w:rsidRPr="003B08AE">
              <w:rPr>
                <w:rFonts w:ascii="Calibri" w:hAnsi="Calibri"/>
                <w:color w:val="000000"/>
                <w:sz w:val="18"/>
                <w:szCs w:val="18"/>
                <w:lang w:eastAsia="sl-SI"/>
              </w:rPr>
              <w:t>308-Popravek vrednosti opreme in drugih opredmetenih osnovnih sredstev</w:t>
            </w:r>
          </w:p>
        </w:tc>
        <w:tc>
          <w:tcPr>
            <w:tcW w:w="841" w:type="pct"/>
            <w:shd w:val="clear" w:color="auto" w:fill="auto"/>
            <w:noWrap/>
            <w:vAlign w:val="bottom"/>
            <w:hideMark/>
          </w:tcPr>
          <w:p w:rsidR="00B45031" w:rsidRPr="00412299" w:rsidRDefault="00B45031"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517.959.580 </w:t>
            </w:r>
          </w:p>
        </w:tc>
        <w:tc>
          <w:tcPr>
            <w:tcW w:w="841" w:type="pct"/>
            <w:shd w:val="clear" w:color="auto" w:fill="auto"/>
            <w:noWrap/>
            <w:vAlign w:val="bottom"/>
            <w:hideMark/>
          </w:tcPr>
          <w:p w:rsidR="00B45031" w:rsidRPr="003B08AE" w:rsidRDefault="00B45031" w:rsidP="00A46201">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482.040.832 </w:t>
            </w:r>
          </w:p>
        </w:tc>
        <w:tc>
          <w:tcPr>
            <w:tcW w:w="533" w:type="pct"/>
            <w:shd w:val="clear" w:color="auto" w:fill="auto"/>
            <w:noWrap/>
            <w:vAlign w:val="bottom"/>
            <w:hideMark/>
          </w:tcPr>
          <w:p w:rsidR="00B45031" w:rsidRPr="00412299" w:rsidRDefault="00B45031" w:rsidP="00382B0F">
            <w:pPr>
              <w:spacing w:line="240" w:lineRule="auto"/>
              <w:jc w:val="right"/>
              <w:rPr>
                <w:rFonts w:ascii="Calibri" w:hAnsi="Calibri"/>
                <w:color w:val="000000"/>
                <w:sz w:val="18"/>
                <w:szCs w:val="18"/>
                <w:lang w:eastAsia="sl-SI"/>
              </w:rPr>
            </w:pPr>
            <w:r w:rsidRPr="00972554">
              <w:rPr>
                <w:rFonts w:ascii="Calibri" w:hAnsi="Calibri"/>
                <w:sz w:val="18"/>
                <w:szCs w:val="18"/>
              </w:rPr>
              <w:t>107,45</w:t>
            </w:r>
          </w:p>
        </w:tc>
        <w:tc>
          <w:tcPr>
            <w:tcW w:w="610" w:type="pct"/>
            <w:shd w:val="clear" w:color="auto" w:fill="auto"/>
            <w:noWrap/>
            <w:vAlign w:val="bottom"/>
            <w:hideMark/>
          </w:tcPr>
          <w:p w:rsidR="00B45031" w:rsidRPr="00412299" w:rsidRDefault="00B45031"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35.918.748 </w:t>
            </w:r>
          </w:p>
        </w:tc>
      </w:tr>
      <w:tr w:rsidR="00B45031" w:rsidRPr="003B08AE" w:rsidTr="00972554">
        <w:trPr>
          <w:trHeight w:val="300"/>
        </w:trPr>
        <w:tc>
          <w:tcPr>
            <w:tcW w:w="2175" w:type="pct"/>
            <w:shd w:val="clear" w:color="auto" w:fill="auto"/>
            <w:noWrap/>
            <w:vAlign w:val="bottom"/>
            <w:hideMark/>
          </w:tcPr>
          <w:p w:rsidR="00B45031" w:rsidRPr="003B08AE" w:rsidRDefault="00B45031" w:rsidP="00A46201">
            <w:pPr>
              <w:spacing w:line="240" w:lineRule="auto"/>
              <w:rPr>
                <w:rFonts w:ascii="Calibri" w:hAnsi="Calibri"/>
                <w:color w:val="000000"/>
                <w:sz w:val="18"/>
                <w:szCs w:val="18"/>
                <w:lang w:eastAsia="sl-SI"/>
              </w:rPr>
            </w:pPr>
            <w:r w:rsidRPr="003B08AE">
              <w:rPr>
                <w:rFonts w:ascii="Calibri" w:hAnsi="Calibri"/>
                <w:color w:val="000000"/>
                <w:sz w:val="18"/>
                <w:szCs w:val="18"/>
                <w:lang w:eastAsia="sl-SI"/>
              </w:rPr>
              <w:t>309-Terjatve za sredstva dana v upravljanje</w:t>
            </w:r>
          </w:p>
        </w:tc>
        <w:tc>
          <w:tcPr>
            <w:tcW w:w="841" w:type="pct"/>
            <w:shd w:val="clear" w:color="auto" w:fill="auto"/>
            <w:noWrap/>
            <w:vAlign w:val="bottom"/>
            <w:hideMark/>
          </w:tcPr>
          <w:p w:rsidR="00B45031" w:rsidRPr="00412299" w:rsidRDefault="00B45031"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2.799.808.591 </w:t>
            </w:r>
          </w:p>
        </w:tc>
        <w:tc>
          <w:tcPr>
            <w:tcW w:w="841" w:type="pct"/>
            <w:shd w:val="clear" w:color="auto" w:fill="auto"/>
            <w:noWrap/>
            <w:vAlign w:val="bottom"/>
            <w:hideMark/>
          </w:tcPr>
          <w:p w:rsidR="00B45031" w:rsidRPr="003B08AE" w:rsidRDefault="00B45031" w:rsidP="00A46201">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2.720.992.458 </w:t>
            </w:r>
          </w:p>
        </w:tc>
        <w:tc>
          <w:tcPr>
            <w:tcW w:w="533" w:type="pct"/>
            <w:shd w:val="clear" w:color="auto" w:fill="auto"/>
            <w:noWrap/>
            <w:vAlign w:val="bottom"/>
            <w:hideMark/>
          </w:tcPr>
          <w:p w:rsidR="00B45031" w:rsidRPr="00412299" w:rsidRDefault="00B45031" w:rsidP="00382B0F">
            <w:pPr>
              <w:spacing w:line="240" w:lineRule="auto"/>
              <w:jc w:val="right"/>
              <w:rPr>
                <w:rFonts w:ascii="Calibri" w:hAnsi="Calibri"/>
                <w:color w:val="000000"/>
                <w:sz w:val="18"/>
                <w:szCs w:val="18"/>
                <w:lang w:eastAsia="sl-SI"/>
              </w:rPr>
            </w:pPr>
            <w:r w:rsidRPr="00972554">
              <w:rPr>
                <w:rFonts w:ascii="Calibri" w:hAnsi="Calibri"/>
                <w:sz w:val="18"/>
                <w:szCs w:val="18"/>
              </w:rPr>
              <w:t>102,90</w:t>
            </w:r>
          </w:p>
        </w:tc>
        <w:tc>
          <w:tcPr>
            <w:tcW w:w="610" w:type="pct"/>
            <w:shd w:val="clear" w:color="auto" w:fill="auto"/>
            <w:noWrap/>
            <w:vAlign w:val="bottom"/>
            <w:hideMark/>
          </w:tcPr>
          <w:p w:rsidR="00B45031" w:rsidRPr="00412299" w:rsidRDefault="00B45031"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78.816.133 </w:t>
            </w:r>
          </w:p>
        </w:tc>
      </w:tr>
      <w:tr w:rsidR="00B45031" w:rsidRPr="003B08AE" w:rsidTr="00972554">
        <w:trPr>
          <w:trHeight w:val="300"/>
        </w:trPr>
        <w:tc>
          <w:tcPr>
            <w:tcW w:w="2175" w:type="pct"/>
            <w:shd w:val="clear" w:color="auto" w:fill="auto"/>
            <w:noWrap/>
            <w:vAlign w:val="bottom"/>
            <w:hideMark/>
          </w:tcPr>
          <w:p w:rsidR="00B45031" w:rsidRPr="003B08AE" w:rsidRDefault="00B45031" w:rsidP="00A46201">
            <w:pPr>
              <w:spacing w:line="240" w:lineRule="auto"/>
              <w:rPr>
                <w:rFonts w:ascii="Calibri" w:hAnsi="Calibri"/>
                <w:color w:val="000000"/>
                <w:sz w:val="18"/>
                <w:szCs w:val="18"/>
                <w:lang w:eastAsia="sl-SI"/>
              </w:rPr>
            </w:pPr>
            <w:r w:rsidRPr="003B08AE">
              <w:rPr>
                <w:rFonts w:ascii="Calibri" w:hAnsi="Calibri"/>
                <w:color w:val="000000"/>
                <w:sz w:val="18"/>
                <w:szCs w:val="18"/>
                <w:lang w:eastAsia="sl-SI"/>
              </w:rPr>
              <w:t>310-Terjatve za sredstva dana v upravljanje posrednim in neposrednim uporabnikom državnega proračuna</w:t>
            </w:r>
          </w:p>
        </w:tc>
        <w:tc>
          <w:tcPr>
            <w:tcW w:w="841" w:type="pct"/>
            <w:shd w:val="clear" w:color="auto" w:fill="auto"/>
            <w:noWrap/>
            <w:vAlign w:val="bottom"/>
            <w:hideMark/>
          </w:tcPr>
          <w:p w:rsidR="00B45031" w:rsidRPr="00412299" w:rsidRDefault="00B45031"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21.879.931 </w:t>
            </w:r>
          </w:p>
        </w:tc>
        <w:tc>
          <w:tcPr>
            <w:tcW w:w="841" w:type="pct"/>
            <w:shd w:val="clear" w:color="auto" w:fill="auto"/>
            <w:noWrap/>
            <w:vAlign w:val="bottom"/>
            <w:hideMark/>
          </w:tcPr>
          <w:p w:rsidR="00B45031" w:rsidRPr="003B08AE" w:rsidRDefault="00B45031" w:rsidP="00A46201">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21.140.769 </w:t>
            </w:r>
          </w:p>
        </w:tc>
        <w:tc>
          <w:tcPr>
            <w:tcW w:w="533" w:type="pct"/>
            <w:shd w:val="clear" w:color="auto" w:fill="auto"/>
            <w:noWrap/>
            <w:vAlign w:val="bottom"/>
            <w:hideMark/>
          </w:tcPr>
          <w:p w:rsidR="00B45031" w:rsidRPr="00412299" w:rsidRDefault="00B45031" w:rsidP="00382B0F">
            <w:pPr>
              <w:spacing w:line="240" w:lineRule="auto"/>
              <w:jc w:val="right"/>
              <w:rPr>
                <w:rFonts w:ascii="Calibri" w:hAnsi="Calibri"/>
                <w:color w:val="000000"/>
                <w:sz w:val="18"/>
                <w:szCs w:val="18"/>
                <w:lang w:eastAsia="sl-SI"/>
              </w:rPr>
            </w:pPr>
            <w:r w:rsidRPr="00972554">
              <w:rPr>
                <w:rFonts w:ascii="Calibri" w:hAnsi="Calibri"/>
                <w:sz w:val="18"/>
                <w:szCs w:val="18"/>
              </w:rPr>
              <w:t>103,50</w:t>
            </w:r>
          </w:p>
        </w:tc>
        <w:tc>
          <w:tcPr>
            <w:tcW w:w="610" w:type="pct"/>
            <w:shd w:val="clear" w:color="auto" w:fill="auto"/>
            <w:noWrap/>
            <w:vAlign w:val="bottom"/>
            <w:hideMark/>
          </w:tcPr>
          <w:p w:rsidR="00B45031" w:rsidRPr="00412299" w:rsidRDefault="00B45031"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739.162 </w:t>
            </w:r>
          </w:p>
        </w:tc>
      </w:tr>
      <w:tr w:rsidR="00B45031" w:rsidRPr="003B08AE" w:rsidTr="00972554">
        <w:trPr>
          <w:trHeight w:val="300"/>
        </w:trPr>
        <w:tc>
          <w:tcPr>
            <w:tcW w:w="2175" w:type="pct"/>
            <w:shd w:val="clear" w:color="auto" w:fill="auto"/>
            <w:noWrap/>
            <w:vAlign w:val="bottom"/>
            <w:hideMark/>
          </w:tcPr>
          <w:p w:rsidR="00B45031" w:rsidRPr="003B08AE" w:rsidRDefault="00B45031" w:rsidP="00A46201">
            <w:pPr>
              <w:spacing w:line="240" w:lineRule="auto"/>
              <w:rPr>
                <w:rFonts w:ascii="Calibri" w:hAnsi="Calibri"/>
                <w:color w:val="000000"/>
                <w:sz w:val="18"/>
                <w:szCs w:val="18"/>
                <w:lang w:eastAsia="sl-SI"/>
              </w:rPr>
            </w:pPr>
            <w:r w:rsidRPr="003B08AE">
              <w:rPr>
                <w:rFonts w:ascii="Calibri" w:hAnsi="Calibri"/>
                <w:color w:val="000000"/>
                <w:sz w:val="18"/>
                <w:szCs w:val="18"/>
                <w:lang w:eastAsia="sl-SI"/>
              </w:rPr>
              <w:t>311-Terjatve za sredstva dana v upravljanje posrednim in neposrednim uporabnikom občinskega proračuna</w:t>
            </w:r>
          </w:p>
        </w:tc>
        <w:tc>
          <w:tcPr>
            <w:tcW w:w="841" w:type="pct"/>
            <w:shd w:val="clear" w:color="auto" w:fill="auto"/>
            <w:noWrap/>
            <w:vAlign w:val="bottom"/>
            <w:hideMark/>
          </w:tcPr>
          <w:p w:rsidR="00B45031" w:rsidRPr="00412299" w:rsidRDefault="00B45031"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2.748.709.891 </w:t>
            </w:r>
          </w:p>
        </w:tc>
        <w:tc>
          <w:tcPr>
            <w:tcW w:w="841" w:type="pct"/>
            <w:shd w:val="clear" w:color="auto" w:fill="auto"/>
            <w:noWrap/>
            <w:vAlign w:val="bottom"/>
            <w:hideMark/>
          </w:tcPr>
          <w:p w:rsidR="00B45031" w:rsidRPr="003B08AE" w:rsidRDefault="00B45031" w:rsidP="00A46201">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2.668.897.596 </w:t>
            </w:r>
          </w:p>
        </w:tc>
        <w:tc>
          <w:tcPr>
            <w:tcW w:w="533" w:type="pct"/>
            <w:shd w:val="clear" w:color="auto" w:fill="auto"/>
            <w:noWrap/>
            <w:vAlign w:val="bottom"/>
            <w:hideMark/>
          </w:tcPr>
          <w:p w:rsidR="00B45031" w:rsidRPr="00412299" w:rsidRDefault="00B45031" w:rsidP="00382B0F">
            <w:pPr>
              <w:spacing w:line="240" w:lineRule="auto"/>
              <w:jc w:val="right"/>
              <w:rPr>
                <w:rFonts w:ascii="Calibri" w:hAnsi="Calibri"/>
                <w:color w:val="000000"/>
                <w:sz w:val="18"/>
                <w:szCs w:val="18"/>
                <w:lang w:eastAsia="sl-SI"/>
              </w:rPr>
            </w:pPr>
            <w:r w:rsidRPr="00972554">
              <w:rPr>
                <w:rFonts w:ascii="Calibri" w:hAnsi="Calibri"/>
                <w:sz w:val="18"/>
                <w:szCs w:val="18"/>
              </w:rPr>
              <w:t>102,99</w:t>
            </w:r>
          </w:p>
        </w:tc>
        <w:tc>
          <w:tcPr>
            <w:tcW w:w="610" w:type="pct"/>
            <w:shd w:val="clear" w:color="auto" w:fill="auto"/>
            <w:noWrap/>
            <w:vAlign w:val="bottom"/>
            <w:hideMark/>
          </w:tcPr>
          <w:p w:rsidR="00B45031" w:rsidRPr="00412299" w:rsidRDefault="00B45031"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79.812.295 </w:t>
            </w:r>
          </w:p>
        </w:tc>
      </w:tr>
      <w:tr w:rsidR="00B45031" w:rsidRPr="003B08AE" w:rsidTr="00972554">
        <w:trPr>
          <w:trHeight w:val="300"/>
        </w:trPr>
        <w:tc>
          <w:tcPr>
            <w:tcW w:w="2175" w:type="pct"/>
            <w:shd w:val="clear" w:color="auto" w:fill="auto"/>
            <w:noWrap/>
            <w:vAlign w:val="bottom"/>
            <w:hideMark/>
          </w:tcPr>
          <w:p w:rsidR="00B45031" w:rsidRPr="003B08AE" w:rsidRDefault="00B45031" w:rsidP="00A46201">
            <w:pPr>
              <w:spacing w:line="240" w:lineRule="auto"/>
              <w:rPr>
                <w:rFonts w:ascii="Calibri" w:hAnsi="Calibri"/>
                <w:color w:val="000000"/>
                <w:sz w:val="18"/>
                <w:szCs w:val="18"/>
                <w:lang w:eastAsia="sl-SI"/>
              </w:rPr>
            </w:pPr>
            <w:r w:rsidRPr="003B08AE">
              <w:rPr>
                <w:rFonts w:ascii="Calibri" w:hAnsi="Calibri"/>
                <w:color w:val="000000"/>
                <w:sz w:val="18"/>
                <w:szCs w:val="18"/>
                <w:lang w:eastAsia="sl-SI"/>
              </w:rPr>
              <w:t>312-Terjatve za sredstva dana v upravljanje drugim v lasti države</w:t>
            </w:r>
          </w:p>
        </w:tc>
        <w:tc>
          <w:tcPr>
            <w:tcW w:w="841" w:type="pct"/>
            <w:shd w:val="clear" w:color="auto" w:fill="auto"/>
            <w:noWrap/>
            <w:vAlign w:val="bottom"/>
            <w:hideMark/>
          </w:tcPr>
          <w:p w:rsidR="00B45031" w:rsidRPr="00412299" w:rsidRDefault="00B45031"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2.651.378 </w:t>
            </w:r>
          </w:p>
        </w:tc>
        <w:tc>
          <w:tcPr>
            <w:tcW w:w="841" w:type="pct"/>
            <w:shd w:val="clear" w:color="auto" w:fill="auto"/>
            <w:noWrap/>
            <w:vAlign w:val="bottom"/>
            <w:hideMark/>
          </w:tcPr>
          <w:p w:rsidR="00B45031" w:rsidRPr="003B08AE" w:rsidRDefault="00B45031" w:rsidP="00A46201">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3.763.192 </w:t>
            </w:r>
          </w:p>
        </w:tc>
        <w:tc>
          <w:tcPr>
            <w:tcW w:w="533" w:type="pct"/>
            <w:shd w:val="clear" w:color="auto" w:fill="auto"/>
            <w:noWrap/>
            <w:vAlign w:val="bottom"/>
            <w:hideMark/>
          </w:tcPr>
          <w:p w:rsidR="00B45031" w:rsidRPr="00412299" w:rsidRDefault="00B45031" w:rsidP="00382B0F">
            <w:pPr>
              <w:spacing w:line="240" w:lineRule="auto"/>
              <w:jc w:val="right"/>
              <w:rPr>
                <w:rFonts w:ascii="Calibri" w:hAnsi="Calibri"/>
                <w:color w:val="000000"/>
                <w:sz w:val="18"/>
                <w:szCs w:val="18"/>
                <w:lang w:eastAsia="sl-SI"/>
              </w:rPr>
            </w:pPr>
            <w:r w:rsidRPr="00972554">
              <w:rPr>
                <w:rFonts w:ascii="Calibri" w:hAnsi="Calibri"/>
                <w:sz w:val="18"/>
                <w:szCs w:val="18"/>
              </w:rPr>
              <w:t>70,46</w:t>
            </w:r>
          </w:p>
        </w:tc>
        <w:tc>
          <w:tcPr>
            <w:tcW w:w="610" w:type="pct"/>
            <w:shd w:val="clear" w:color="auto" w:fill="auto"/>
            <w:noWrap/>
            <w:vAlign w:val="bottom"/>
            <w:hideMark/>
          </w:tcPr>
          <w:p w:rsidR="00B45031" w:rsidRPr="00412299" w:rsidRDefault="00B45031"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-1.111.814 </w:t>
            </w:r>
          </w:p>
        </w:tc>
      </w:tr>
      <w:tr w:rsidR="00B45031" w:rsidRPr="003B08AE" w:rsidTr="00972554">
        <w:trPr>
          <w:trHeight w:val="300"/>
        </w:trPr>
        <w:tc>
          <w:tcPr>
            <w:tcW w:w="2175" w:type="pct"/>
            <w:shd w:val="clear" w:color="auto" w:fill="auto"/>
            <w:noWrap/>
            <w:vAlign w:val="bottom"/>
            <w:hideMark/>
          </w:tcPr>
          <w:p w:rsidR="00B45031" w:rsidRPr="003B08AE" w:rsidRDefault="00B45031" w:rsidP="00A46201">
            <w:pPr>
              <w:spacing w:line="240" w:lineRule="auto"/>
              <w:rPr>
                <w:rFonts w:ascii="Calibri" w:hAnsi="Calibri"/>
                <w:color w:val="000000"/>
                <w:sz w:val="18"/>
                <w:szCs w:val="18"/>
                <w:lang w:eastAsia="sl-SI"/>
              </w:rPr>
            </w:pPr>
            <w:r w:rsidRPr="003B08AE">
              <w:rPr>
                <w:rFonts w:ascii="Calibri" w:hAnsi="Calibri"/>
                <w:color w:val="000000"/>
                <w:sz w:val="18"/>
                <w:szCs w:val="18"/>
                <w:lang w:eastAsia="sl-SI"/>
              </w:rPr>
              <w:t>313-Terjatve za sredstva dana v upravljanje drugim v lasti občine</w:t>
            </w:r>
          </w:p>
        </w:tc>
        <w:tc>
          <w:tcPr>
            <w:tcW w:w="841" w:type="pct"/>
            <w:shd w:val="clear" w:color="auto" w:fill="auto"/>
            <w:noWrap/>
            <w:vAlign w:val="bottom"/>
            <w:hideMark/>
          </w:tcPr>
          <w:p w:rsidR="00B45031" w:rsidRPr="00412299" w:rsidRDefault="00B45031"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26.567.391 </w:t>
            </w:r>
          </w:p>
        </w:tc>
        <w:tc>
          <w:tcPr>
            <w:tcW w:w="841" w:type="pct"/>
            <w:shd w:val="clear" w:color="auto" w:fill="auto"/>
            <w:noWrap/>
            <w:vAlign w:val="bottom"/>
            <w:hideMark/>
          </w:tcPr>
          <w:p w:rsidR="00B45031" w:rsidRPr="003B08AE" w:rsidRDefault="00B45031" w:rsidP="00A46201">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27.190.901 </w:t>
            </w:r>
          </w:p>
        </w:tc>
        <w:tc>
          <w:tcPr>
            <w:tcW w:w="533" w:type="pct"/>
            <w:shd w:val="clear" w:color="auto" w:fill="auto"/>
            <w:noWrap/>
            <w:vAlign w:val="bottom"/>
            <w:hideMark/>
          </w:tcPr>
          <w:p w:rsidR="00B45031" w:rsidRPr="00412299" w:rsidRDefault="00B45031" w:rsidP="00382B0F">
            <w:pPr>
              <w:spacing w:line="240" w:lineRule="auto"/>
              <w:jc w:val="right"/>
              <w:rPr>
                <w:rFonts w:ascii="Calibri" w:hAnsi="Calibri"/>
                <w:color w:val="000000"/>
                <w:sz w:val="18"/>
                <w:szCs w:val="18"/>
                <w:lang w:eastAsia="sl-SI"/>
              </w:rPr>
            </w:pPr>
            <w:r w:rsidRPr="00972554">
              <w:rPr>
                <w:rFonts w:ascii="Calibri" w:hAnsi="Calibri"/>
                <w:sz w:val="18"/>
                <w:szCs w:val="18"/>
              </w:rPr>
              <w:t>97,71</w:t>
            </w:r>
          </w:p>
        </w:tc>
        <w:tc>
          <w:tcPr>
            <w:tcW w:w="610" w:type="pct"/>
            <w:shd w:val="clear" w:color="auto" w:fill="auto"/>
            <w:noWrap/>
            <w:vAlign w:val="bottom"/>
            <w:hideMark/>
          </w:tcPr>
          <w:p w:rsidR="00B45031" w:rsidRPr="00412299" w:rsidRDefault="00B45031"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-623.510 </w:t>
            </w:r>
          </w:p>
        </w:tc>
      </w:tr>
      <w:tr w:rsidR="00B45031" w:rsidRPr="003B08AE" w:rsidTr="00972554">
        <w:trPr>
          <w:trHeight w:val="300"/>
        </w:trPr>
        <w:tc>
          <w:tcPr>
            <w:tcW w:w="2175" w:type="pct"/>
            <w:shd w:val="clear" w:color="auto" w:fill="auto"/>
            <w:noWrap/>
            <w:vAlign w:val="bottom"/>
            <w:hideMark/>
          </w:tcPr>
          <w:p w:rsidR="00B45031" w:rsidRPr="003B08AE" w:rsidRDefault="00B45031" w:rsidP="00A46201">
            <w:pPr>
              <w:spacing w:line="240" w:lineRule="auto"/>
              <w:rPr>
                <w:rFonts w:ascii="Calibri" w:hAnsi="Calibri"/>
                <w:color w:val="000000"/>
                <w:sz w:val="18"/>
                <w:szCs w:val="18"/>
                <w:lang w:eastAsia="sl-SI"/>
              </w:rPr>
            </w:pPr>
            <w:r w:rsidRPr="003B08AE">
              <w:rPr>
                <w:rFonts w:ascii="Calibri" w:hAnsi="Calibri"/>
                <w:color w:val="000000"/>
                <w:sz w:val="18"/>
                <w:szCs w:val="18"/>
                <w:lang w:eastAsia="sl-SI"/>
              </w:rPr>
              <w:t>314-Zaloge</w:t>
            </w:r>
          </w:p>
        </w:tc>
        <w:tc>
          <w:tcPr>
            <w:tcW w:w="841" w:type="pct"/>
            <w:shd w:val="clear" w:color="auto" w:fill="auto"/>
            <w:noWrap/>
            <w:vAlign w:val="bottom"/>
            <w:hideMark/>
          </w:tcPr>
          <w:p w:rsidR="00B45031" w:rsidRPr="00412299" w:rsidRDefault="00B45031"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13.808.795 </w:t>
            </w:r>
          </w:p>
        </w:tc>
        <w:tc>
          <w:tcPr>
            <w:tcW w:w="841" w:type="pct"/>
            <w:shd w:val="clear" w:color="auto" w:fill="auto"/>
            <w:noWrap/>
            <w:vAlign w:val="bottom"/>
            <w:hideMark/>
          </w:tcPr>
          <w:p w:rsidR="00B45031" w:rsidRPr="003B08AE" w:rsidRDefault="00B45031" w:rsidP="00A46201">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15.049.364 </w:t>
            </w:r>
          </w:p>
        </w:tc>
        <w:tc>
          <w:tcPr>
            <w:tcW w:w="533" w:type="pct"/>
            <w:shd w:val="clear" w:color="auto" w:fill="auto"/>
            <w:noWrap/>
            <w:vAlign w:val="bottom"/>
            <w:hideMark/>
          </w:tcPr>
          <w:p w:rsidR="00B45031" w:rsidRPr="00412299" w:rsidRDefault="00B45031" w:rsidP="00382B0F">
            <w:pPr>
              <w:spacing w:line="240" w:lineRule="auto"/>
              <w:jc w:val="right"/>
              <w:rPr>
                <w:rFonts w:ascii="Calibri" w:hAnsi="Calibri"/>
                <w:color w:val="000000"/>
                <w:sz w:val="18"/>
                <w:szCs w:val="18"/>
                <w:lang w:eastAsia="sl-SI"/>
              </w:rPr>
            </w:pPr>
            <w:r w:rsidRPr="00972554">
              <w:rPr>
                <w:rFonts w:ascii="Calibri" w:hAnsi="Calibri"/>
                <w:sz w:val="18"/>
                <w:szCs w:val="18"/>
              </w:rPr>
              <w:t>91,76</w:t>
            </w:r>
          </w:p>
        </w:tc>
        <w:tc>
          <w:tcPr>
            <w:tcW w:w="610" w:type="pct"/>
            <w:shd w:val="clear" w:color="auto" w:fill="auto"/>
            <w:noWrap/>
            <w:vAlign w:val="bottom"/>
            <w:hideMark/>
          </w:tcPr>
          <w:p w:rsidR="00B45031" w:rsidRPr="00412299" w:rsidRDefault="00B45031"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-1.240.569 </w:t>
            </w:r>
          </w:p>
        </w:tc>
      </w:tr>
      <w:tr w:rsidR="00B45031" w:rsidRPr="003B08AE" w:rsidTr="00972554">
        <w:trPr>
          <w:trHeight w:val="300"/>
        </w:trPr>
        <w:tc>
          <w:tcPr>
            <w:tcW w:w="2175" w:type="pct"/>
            <w:shd w:val="clear" w:color="auto" w:fill="auto"/>
            <w:noWrap/>
            <w:vAlign w:val="bottom"/>
            <w:hideMark/>
          </w:tcPr>
          <w:p w:rsidR="00B45031" w:rsidRPr="003B08AE" w:rsidRDefault="00B45031" w:rsidP="00A46201">
            <w:pPr>
              <w:spacing w:line="240" w:lineRule="auto"/>
              <w:rPr>
                <w:rFonts w:ascii="Calibri" w:hAnsi="Calibri"/>
                <w:color w:val="000000"/>
                <w:sz w:val="18"/>
                <w:szCs w:val="18"/>
                <w:lang w:eastAsia="sl-SI"/>
              </w:rPr>
            </w:pPr>
            <w:r w:rsidRPr="003B08AE">
              <w:rPr>
                <w:rFonts w:ascii="Calibri" w:hAnsi="Calibri"/>
                <w:color w:val="000000"/>
                <w:sz w:val="18"/>
                <w:szCs w:val="18"/>
                <w:lang w:eastAsia="sl-SI"/>
              </w:rPr>
              <w:t>315-Dolgoročne finančne naložbe - premoženje preneseno v last drugim uporabnikom enotnega kontnega načrta</w:t>
            </w:r>
          </w:p>
        </w:tc>
        <w:tc>
          <w:tcPr>
            <w:tcW w:w="841" w:type="pct"/>
            <w:shd w:val="clear" w:color="auto" w:fill="auto"/>
            <w:noWrap/>
            <w:vAlign w:val="bottom"/>
            <w:hideMark/>
          </w:tcPr>
          <w:p w:rsidR="00B45031" w:rsidRPr="00412299" w:rsidRDefault="00B45031"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475.479.203 </w:t>
            </w:r>
          </w:p>
        </w:tc>
        <w:tc>
          <w:tcPr>
            <w:tcW w:w="841" w:type="pct"/>
            <w:shd w:val="clear" w:color="auto" w:fill="auto"/>
            <w:noWrap/>
            <w:vAlign w:val="bottom"/>
            <w:hideMark/>
          </w:tcPr>
          <w:p w:rsidR="00B45031" w:rsidRPr="003B08AE" w:rsidRDefault="00B45031" w:rsidP="00A46201">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470.591.505 </w:t>
            </w:r>
          </w:p>
        </w:tc>
        <w:tc>
          <w:tcPr>
            <w:tcW w:w="533" w:type="pct"/>
            <w:shd w:val="clear" w:color="auto" w:fill="auto"/>
            <w:noWrap/>
            <w:vAlign w:val="bottom"/>
            <w:hideMark/>
          </w:tcPr>
          <w:p w:rsidR="00B45031" w:rsidRPr="00412299" w:rsidRDefault="00B45031" w:rsidP="00382B0F">
            <w:pPr>
              <w:spacing w:line="240" w:lineRule="auto"/>
              <w:jc w:val="right"/>
              <w:rPr>
                <w:rFonts w:ascii="Calibri" w:hAnsi="Calibri"/>
                <w:color w:val="000000"/>
                <w:sz w:val="18"/>
                <w:szCs w:val="18"/>
                <w:lang w:eastAsia="sl-SI"/>
              </w:rPr>
            </w:pPr>
            <w:r w:rsidRPr="00972554">
              <w:rPr>
                <w:rFonts w:ascii="Calibri" w:hAnsi="Calibri"/>
                <w:sz w:val="18"/>
                <w:szCs w:val="18"/>
              </w:rPr>
              <w:t>101,04</w:t>
            </w:r>
          </w:p>
        </w:tc>
        <w:tc>
          <w:tcPr>
            <w:tcW w:w="610" w:type="pct"/>
            <w:shd w:val="clear" w:color="auto" w:fill="auto"/>
            <w:noWrap/>
            <w:vAlign w:val="bottom"/>
            <w:hideMark/>
          </w:tcPr>
          <w:p w:rsidR="00B45031" w:rsidRPr="00412299" w:rsidRDefault="00B45031"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4.887.698 </w:t>
            </w:r>
          </w:p>
        </w:tc>
      </w:tr>
      <w:tr w:rsidR="00B45031" w:rsidRPr="003B08AE" w:rsidTr="00972554">
        <w:trPr>
          <w:trHeight w:val="300"/>
        </w:trPr>
        <w:tc>
          <w:tcPr>
            <w:tcW w:w="2175" w:type="pct"/>
            <w:shd w:val="clear" w:color="auto" w:fill="auto"/>
            <w:noWrap/>
            <w:vAlign w:val="bottom"/>
            <w:hideMark/>
          </w:tcPr>
          <w:p w:rsidR="00B45031" w:rsidRPr="003B08AE" w:rsidRDefault="00B45031" w:rsidP="00A46201">
            <w:pPr>
              <w:spacing w:line="240" w:lineRule="auto"/>
              <w:rPr>
                <w:rFonts w:ascii="Calibri" w:hAnsi="Calibri"/>
                <w:color w:val="000000"/>
                <w:sz w:val="18"/>
                <w:szCs w:val="18"/>
                <w:lang w:eastAsia="sl-SI"/>
              </w:rPr>
            </w:pPr>
            <w:r w:rsidRPr="003B08AE">
              <w:rPr>
                <w:rFonts w:ascii="Calibri" w:hAnsi="Calibri"/>
                <w:color w:val="000000"/>
                <w:sz w:val="18"/>
                <w:szCs w:val="18"/>
                <w:lang w:eastAsia="sl-SI"/>
              </w:rPr>
              <w:t>316-Druge dolgoročne finančne naložbe</w:t>
            </w:r>
          </w:p>
        </w:tc>
        <w:tc>
          <w:tcPr>
            <w:tcW w:w="841" w:type="pct"/>
            <w:shd w:val="clear" w:color="auto" w:fill="auto"/>
            <w:noWrap/>
            <w:vAlign w:val="bottom"/>
            <w:hideMark/>
          </w:tcPr>
          <w:p w:rsidR="00B45031" w:rsidRPr="00412299" w:rsidRDefault="00B45031"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570.795.110 </w:t>
            </w:r>
          </w:p>
        </w:tc>
        <w:tc>
          <w:tcPr>
            <w:tcW w:w="841" w:type="pct"/>
            <w:shd w:val="clear" w:color="auto" w:fill="auto"/>
            <w:noWrap/>
            <w:vAlign w:val="bottom"/>
            <w:hideMark/>
          </w:tcPr>
          <w:p w:rsidR="00B45031" w:rsidRPr="003B08AE" w:rsidRDefault="00B45031" w:rsidP="00A46201">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568.883.445 </w:t>
            </w:r>
          </w:p>
        </w:tc>
        <w:tc>
          <w:tcPr>
            <w:tcW w:w="533" w:type="pct"/>
            <w:shd w:val="clear" w:color="auto" w:fill="auto"/>
            <w:noWrap/>
            <w:vAlign w:val="bottom"/>
            <w:hideMark/>
          </w:tcPr>
          <w:p w:rsidR="00B45031" w:rsidRPr="00412299" w:rsidRDefault="00B45031" w:rsidP="00382B0F">
            <w:pPr>
              <w:spacing w:line="240" w:lineRule="auto"/>
              <w:jc w:val="right"/>
              <w:rPr>
                <w:rFonts w:ascii="Calibri" w:hAnsi="Calibri"/>
                <w:color w:val="000000"/>
                <w:sz w:val="18"/>
                <w:szCs w:val="18"/>
                <w:lang w:eastAsia="sl-SI"/>
              </w:rPr>
            </w:pPr>
            <w:r w:rsidRPr="00972554">
              <w:rPr>
                <w:rFonts w:ascii="Calibri" w:hAnsi="Calibri"/>
                <w:sz w:val="18"/>
                <w:szCs w:val="18"/>
              </w:rPr>
              <w:t>100,34</w:t>
            </w:r>
          </w:p>
        </w:tc>
        <w:tc>
          <w:tcPr>
            <w:tcW w:w="610" w:type="pct"/>
            <w:shd w:val="clear" w:color="auto" w:fill="auto"/>
            <w:noWrap/>
            <w:vAlign w:val="bottom"/>
            <w:hideMark/>
          </w:tcPr>
          <w:p w:rsidR="00B45031" w:rsidRPr="00412299" w:rsidRDefault="00B45031"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1.911.665 </w:t>
            </w:r>
          </w:p>
        </w:tc>
      </w:tr>
      <w:tr w:rsidR="00B45031" w:rsidRPr="003B08AE" w:rsidTr="00972554">
        <w:trPr>
          <w:trHeight w:val="300"/>
        </w:trPr>
        <w:tc>
          <w:tcPr>
            <w:tcW w:w="2175" w:type="pct"/>
            <w:shd w:val="clear" w:color="auto" w:fill="auto"/>
            <w:noWrap/>
            <w:vAlign w:val="bottom"/>
            <w:hideMark/>
          </w:tcPr>
          <w:p w:rsidR="00B45031" w:rsidRPr="003B08AE" w:rsidRDefault="00B45031" w:rsidP="00A46201">
            <w:pPr>
              <w:spacing w:line="240" w:lineRule="auto"/>
              <w:rPr>
                <w:rFonts w:ascii="Calibri" w:hAnsi="Calibri"/>
                <w:color w:val="000000"/>
                <w:sz w:val="18"/>
                <w:szCs w:val="18"/>
                <w:lang w:eastAsia="sl-SI"/>
              </w:rPr>
            </w:pPr>
            <w:r w:rsidRPr="003B08AE">
              <w:rPr>
                <w:rFonts w:ascii="Calibri" w:hAnsi="Calibri"/>
                <w:color w:val="000000"/>
                <w:sz w:val="18"/>
                <w:szCs w:val="18"/>
                <w:lang w:eastAsia="sl-SI"/>
              </w:rPr>
              <w:t>317-Dolgoročno dana posojila in depoziti</w:t>
            </w:r>
          </w:p>
        </w:tc>
        <w:tc>
          <w:tcPr>
            <w:tcW w:w="841" w:type="pct"/>
            <w:shd w:val="clear" w:color="auto" w:fill="auto"/>
            <w:noWrap/>
            <w:vAlign w:val="bottom"/>
            <w:hideMark/>
          </w:tcPr>
          <w:p w:rsidR="00B45031" w:rsidRPr="00412299" w:rsidRDefault="00B45031"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4.107.382 </w:t>
            </w:r>
          </w:p>
        </w:tc>
        <w:tc>
          <w:tcPr>
            <w:tcW w:w="841" w:type="pct"/>
            <w:shd w:val="clear" w:color="auto" w:fill="auto"/>
            <w:noWrap/>
            <w:vAlign w:val="bottom"/>
            <w:hideMark/>
          </w:tcPr>
          <w:p w:rsidR="00B45031" w:rsidRPr="003B08AE" w:rsidRDefault="00B45031" w:rsidP="00A46201">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4.289.208 </w:t>
            </w:r>
          </w:p>
        </w:tc>
        <w:tc>
          <w:tcPr>
            <w:tcW w:w="533" w:type="pct"/>
            <w:shd w:val="clear" w:color="auto" w:fill="auto"/>
            <w:noWrap/>
            <w:vAlign w:val="bottom"/>
            <w:hideMark/>
          </w:tcPr>
          <w:p w:rsidR="00B45031" w:rsidRPr="00412299" w:rsidRDefault="00B45031" w:rsidP="00382B0F">
            <w:pPr>
              <w:spacing w:line="240" w:lineRule="auto"/>
              <w:jc w:val="right"/>
              <w:rPr>
                <w:rFonts w:ascii="Calibri" w:hAnsi="Calibri"/>
                <w:color w:val="000000"/>
                <w:sz w:val="18"/>
                <w:szCs w:val="18"/>
                <w:lang w:eastAsia="sl-SI"/>
              </w:rPr>
            </w:pPr>
            <w:r w:rsidRPr="00972554">
              <w:rPr>
                <w:rFonts w:ascii="Calibri" w:hAnsi="Calibri"/>
                <w:sz w:val="18"/>
                <w:szCs w:val="18"/>
              </w:rPr>
              <w:t>95,76</w:t>
            </w:r>
          </w:p>
        </w:tc>
        <w:tc>
          <w:tcPr>
            <w:tcW w:w="610" w:type="pct"/>
            <w:shd w:val="clear" w:color="auto" w:fill="auto"/>
            <w:noWrap/>
            <w:vAlign w:val="bottom"/>
            <w:hideMark/>
          </w:tcPr>
          <w:p w:rsidR="00B45031" w:rsidRPr="00412299" w:rsidRDefault="00B45031"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-181.826 </w:t>
            </w:r>
          </w:p>
        </w:tc>
      </w:tr>
      <w:tr w:rsidR="00B45031" w:rsidRPr="003B08AE" w:rsidTr="00972554">
        <w:trPr>
          <w:trHeight w:val="300"/>
        </w:trPr>
        <w:tc>
          <w:tcPr>
            <w:tcW w:w="2175" w:type="pct"/>
            <w:shd w:val="clear" w:color="auto" w:fill="auto"/>
            <w:noWrap/>
            <w:vAlign w:val="bottom"/>
            <w:hideMark/>
          </w:tcPr>
          <w:p w:rsidR="00B45031" w:rsidRPr="003B08AE" w:rsidRDefault="00B45031" w:rsidP="00A46201">
            <w:pPr>
              <w:spacing w:line="240" w:lineRule="auto"/>
              <w:rPr>
                <w:rFonts w:ascii="Calibri" w:hAnsi="Calibri"/>
                <w:color w:val="000000"/>
                <w:sz w:val="18"/>
                <w:szCs w:val="18"/>
                <w:lang w:eastAsia="sl-SI"/>
              </w:rPr>
            </w:pPr>
            <w:r w:rsidRPr="003B08AE">
              <w:rPr>
                <w:rFonts w:ascii="Calibri" w:hAnsi="Calibri"/>
                <w:color w:val="000000"/>
                <w:sz w:val="18"/>
                <w:szCs w:val="18"/>
                <w:lang w:eastAsia="sl-SI"/>
              </w:rPr>
              <w:t>318-Dolgoročne terjatve iz poslovanja</w:t>
            </w:r>
          </w:p>
        </w:tc>
        <w:tc>
          <w:tcPr>
            <w:tcW w:w="841" w:type="pct"/>
            <w:shd w:val="clear" w:color="auto" w:fill="auto"/>
            <w:noWrap/>
            <w:vAlign w:val="bottom"/>
            <w:hideMark/>
          </w:tcPr>
          <w:p w:rsidR="00B45031" w:rsidRPr="00412299" w:rsidRDefault="00B45031"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73.493.919 </w:t>
            </w:r>
          </w:p>
        </w:tc>
        <w:tc>
          <w:tcPr>
            <w:tcW w:w="841" w:type="pct"/>
            <w:shd w:val="clear" w:color="auto" w:fill="auto"/>
            <w:noWrap/>
            <w:vAlign w:val="bottom"/>
            <w:hideMark/>
          </w:tcPr>
          <w:p w:rsidR="00B45031" w:rsidRPr="003B08AE" w:rsidRDefault="00B45031" w:rsidP="00A46201">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89.717.256 </w:t>
            </w:r>
          </w:p>
        </w:tc>
        <w:tc>
          <w:tcPr>
            <w:tcW w:w="533" w:type="pct"/>
            <w:shd w:val="clear" w:color="auto" w:fill="auto"/>
            <w:noWrap/>
            <w:vAlign w:val="bottom"/>
            <w:hideMark/>
          </w:tcPr>
          <w:p w:rsidR="00B45031" w:rsidRPr="00412299" w:rsidRDefault="00B45031" w:rsidP="00382B0F">
            <w:pPr>
              <w:spacing w:line="240" w:lineRule="auto"/>
              <w:jc w:val="right"/>
              <w:rPr>
                <w:rFonts w:ascii="Calibri" w:hAnsi="Calibri"/>
                <w:color w:val="000000"/>
                <w:sz w:val="18"/>
                <w:szCs w:val="18"/>
                <w:lang w:eastAsia="sl-SI"/>
              </w:rPr>
            </w:pPr>
            <w:r w:rsidRPr="00972554">
              <w:rPr>
                <w:rFonts w:ascii="Calibri" w:hAnsi="Calibri"/>
                <w:sz w:val="18"/>
                <w:szCs w:val="18"/>
              </w:rPr>
              <w:t>81,92</w:t>
            </w:r>
          </w:p>
        </w:tc>
        <w:tc>
          <w:tcPr>
            <w:tcW w:w="610" w:type="pct"/>
            <w:shd w:val="clear" w:color="auto" w:fill="auto"/>
            <w:noWrap/>
            <w:vAlign w:val="bottom"/>
            <w:hideMark/>
          </w:tcPr>
          <w:p w:rsidR="00B45031" w:rsidRPr="00412299" w:rsidRDefault="00B45031"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-16.223.337 </w:t>
            </w:r>
          </w:p>
        </w:tc>
      </w:tr>
      <w:tr w:rsidR="00B45031" w:rsidRPr="003B08AE" w:rsidTr="00972554">
        <w:trPr>
          <w:trHeight w:val="300"/>
        </w:trPr>
        <w:tc>
          <w:tcPr>
            <w:tcW w:w="2175" w:type="pct"/>
            <w:shd w:val="clear" w:color="auto" w:fill="auto"/>
            <w:noWrap/>
            <w:vAlign w:val="bottom"/>
            <w:hideMark/>
          </w:tcPr>
          <w:p w:rsidR="00B45031" w:rsidRPr="003B08AE" w:rsidRDefault="00B45031" w:rsidP="00A46201">
            <w:pPr>
              <w:spacing w:line="240" w:lineRule="auto"/>
              <w:rPr>
                <w:rFonts w:ascii="Calibri" w:hAnsi="Calibri"/>
                <w:color w:val="000000"/>
                <w:sz w:val="18"/>
                <w:szCs w:val="18"/>
                <w:lang w:eastAsia="sl-SI"/>
              </w:rPr>
            </w:pPr>
            <w:r w:rsidRPr="003B08AE">
              <w:rPr>
                <w:rFonts w:ascii="Calibri" w:hAnsi="Calibri"/>
                <w:color w:val="000000"/>
                <w:sz w:val="18"/>
                <w:szCs w:val="18"/>
                <w:lang w:eastAsia="sl-SI"/>
              </w:rPr>
              <w:t>319-Denarna sredstva</w:t>
            </w:r>
          </w:p>
        </w:tc>
        <w:tc>
          <w:tcPr>
            <w:tcW w:w="841" w:type="pct"/>
            <w:shd w:val="clear" w:color="auto" w:fill="auto"/>
            <w:noWrap/>
            <w:vAlign w:val="bottom"/>
            <w:hideMark/>
          </w:tcPr>
          <w:p w:rsidR="00B45031" w:rsidRPr="00412299" w:rsidRDefault="00B45031"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263.466.667 </w:t>
            </w:r>
          </w:p>
        </w:tc>
        <w:tc>
          <w:tcPr>
            <w:tcW w:w="841" w:type="pct"/>
            <w:shd w:val="clear" w:color="auto" w:fill="auto"/>
            <w:noWrap/>
            <w:vAlign w:val="bottom"/>
            <w:hideMark/>
          </w:tcPr>
          <w:p w:rsidR="00B45031" w:rsidRPr="003B08AE" w:rsidRDefault="00B45031" w:rsidP="00A46201">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291.636.267 </w:t>
            </w:r>
          </w:p>
        </w:tc>
        <w:tc>
          <w:tcPr>
            <w:tcW w:w="533" w:type="pct"/>
            <w:shd w:val="clear" w:color="auto" w:fill="auto"/>
            <w:noWrap/>
            <w:vAlign w:val="bottom"/>
            <w:hideMark/>
          </w:tcPr>
          <w:p w:rsidR="00B45031" w:rsidRPr="00412299" w:rsidRDefault="00B45031" w:rsidP="00382B0F">
            <w:pPr>
              <w:spacing w:line="240" w:lineRule="auto"/>
              <w:jc w:val="right"/>
              <w:rPr>
                <w:rFonts w:ascii="Calibri" w:hAnsi="Calibri"/>
                <w:color w:val="000000"/>
                <w:sz w:val="18"/>
                <w:szCs w:val="18"/>
                <w:lang w:eastAsia="sl-SI"/>
              </w:rPr>
            </w:pPr>
            <w:r w:rsidRPr="00972554">
              <w:rPr>
                <w:rFonts w:ascii="Calibri" w:hAnsi="Calibri"/>
                <w:sz w:val="18"/>
                <w:szCs w:val="18"/>
              </w:rPr>
              <w:t>90,34</w:t>
            </w:r>
          </w:p>
        </w:tc>
        <w:tc>
          <w:tcPr>
            <w:tcW w:w="610" w:type="pct"/>
            <w:shd w:val="clear" w:color="auto" w:fill="auto"/>
            <w:noWrap/>
            <w:vAlign w:val="bottom"/>
            <w:hideMark/>
          </w:tcPr>
          <w:p w:rsidR="00B45031" w:rsidRPr="00412299" w:rsidRDefault="00B45031"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-28.169.600 </w:t>
            </w:r>
          </w:p>
        </w:tc>
      </w:tr>
      <w:tr w:rsidR="00B45031" w:rsidRPr="003B08AE" w:rsidTr="00972554">
        <w:trPr>
          <w:trHeight w:val="300"/>
        </w:trPr>
        <w:tc>
          <w:tcPr>
            <w:tcW w:w="2175" w:type="pct"/>
            <w:shd w:val="clear" w:color="auto" w:fill="auto"/>
            <w:noWrap/>
            <w:vAlign w:val="bottom"/>
            <w:hideMark/>
          </w:tcPr>
          <w:p w:rsidR="00B45031" w:rsidRPr="003B08AE" w:rsidRDefault="00B45031" w:rsidP="00A46201">
            <w:pPr>
              <w:spacing w:line="240" w:lineRule="auto"/>
              <w:rPr>
                <w:rFonts w:ascii="Calibri" w:hAnsi="Calibri"/>
                <w:color w:val="000000"/>
                <w:sz w:val="18"/>
                <w:szCs w:val="18"/>
                <w:lang w:eastAsia="sl-SI"/>
              </w:rPr>
            </w:pPr>
            <w:r w:rsidRPr="003B08AE">
              <w:rPr>
                <w:rFonts w:ascii="Calibri" w:hAnsi="Calibri"/>
                <w:color w:val="000000"/>
                <w:sz w:val="18"/>
                <w:szCs w:val="18"/>
                <w:lang w:eastAsia="sl-SI"/>
              </w:rPr>
              <w:t>320-Kratkoročne terjatve</w:t>
            </w:r>
          </w:p>
        </w:tc>
        <w:tc>
          <w:tcPr>
            <w:tcW w:w="841" w:type="pct"/>
            <w:shd w:val="clear" w:color="auto" w:fill="auto"/>
            <w:noWrap/>
            <w:vAlign w:val="bottom"/>
            <w:hideMark/>
          </w:tcPr>
          <w:p w:rsidR="00B45031" w:rsidRPr="00412299" w:rsidRDefault="00B45031"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401.956.053 </w:t>
            </w:r>
          </w:p>
        </w:tc>
        <w:tc>
          <w:tcPr>
            <w:tcW w:w="841" w:type="pct"/>
            <w:shd w:val="clear" w:color="auto" w:fill="auto"/>
            <w:noWrap/>
            <w:vAlign w:val="bottom"/>
            <w:hideMark/>
          </w:tcPr>
          <w:p w:rsidR="00B45031" w:rsidRPr="003B08AE" w:rsidRDefault="00B45031" w:rsidP="00A46201">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448.972.106 </w:t>
            </w:r>
          </w:p>
        </w:tc>
        <w:tc>
          <w:tcPr>
            <w:tcW w:w="533" w:type="pct"/>
            <w:shd w:val="clear" w:color="auto" w:fill="auto"/>
            <w:noWrap/>
            <w:vAlign w:val="bottom"/>
            <w:hideMark/>
          </w:tcPr>
          <w:p w:rsidR="00B45031" w:rsidRPr="00412299" w:rsidRDefault="00B45031" w:rsidP="00382B0F">
            <w:pPr>
              <w:spacing w:line="240" w:lineRule="auto"/>
              <w:jc w:val="right"/>
              <w:rPr>
                <w:rFonts w:ascii="Calibri" w:hAnsi="Calibri"/>
                <w:color w:val="000000"/>
                <w:sz w:val="18"/>
                <w:szCs w:val="18"/>
                <w:lang w:eastAsia="sl-SI"/>
              </w:rPr>
            </w:pPr>
            <w:r w:rsidRPr="00972554">
              <w:rPr>
                <w:rFonts w:ascii="Calibri" w:hAnsi="Calibri"/>
                <w:sz w:val="18"/>
                <w:szCs w:val="18"/>
              </w:rPr>
              <w:t>89,53</w:t>
            </w:r>
          </w:p>
        </w:tc>
        <w:tc>
          <w:tcPr>
            <w:tcW w:w="610" w:type="pct"/>
            <w:shd w:val="clear" w:color="auto" w:fill="auto"/>
            <w:noWrap/>
            <w:vAlign w:val="bottom"/>
            <w:hideMark/>
          </w:tcPr>
          <w:p w:rsidR="00B45031" w:rsidRPr="00412299" w:rsidRDefault="00B45031"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-47.016.053 </w:t>
            </w:r>
          </w:p>
        </w:tc>
      </w:tr>
      <w:tr w:rsidR="00B45031" w:rsidRPr="003B08AE" w:rsidTr="00972554">
        <w:trPr>
          <w:trHeight w:val="300"/>
        </w:trPr>
        <w:tc>
          <w:tcPr>
            <w:tcW w:w="2175" w:type="pct"/>
            <w:tcBorders>
              <w:bottom w:val="single" w:sz="4" w:space="0" w:color="auto"/>
            </w:tcBorders>
            <w:shd w:val="clear" w:color="auto" w:fill="auto"/>
            <w:noWrap/>
            <w:vAlign w:val="bottom"/>
            <w:hideMark/>
          </w:tcPr>
          <w:p w:rsidR="00B45031" w:rsidRPr="003B08AE" w:rsidRDefault="00B45031" w:rsidP="00A46201">
            <w:pPr>
              <w:spacing w:line="240" w:lineRule="auto"/>
              <w:rPr>
                <w:rFonts w:ascii="Calibri" w:hAnsi="Calibri"/>
                <w:color w:val="000000"/>
                <w:sz w:val="18"/>
                <w:szCs w:val="18"/>
                <w:lang w:eastAsia="sl-SI"/>
              </w:rPr>
            </w:pPr>
            <w:r w:rsidRPr="003B08AE">
              <w:rPr>
                <w:rFonts w:ascii="Calibri" w:hAnsi="Calibri"/>
                <w:color w:val="000000"/>
                <w:sz w:val="18"/>
                <w:szCs w:val="18"/>
                <w:lang w:eastAsia="sl-SI"/>
              </w:rPr>
              <w:t>321-Druge terjatve</w:t>
            </w:r>
          </w:p>
        </w:tc>
        <w:tc>
          <w:tcPr>
            <w:tcW w:w="841" w:type="pct"/>
            <w:tcBorders>
              <w:bottom w:val="single" w:sz="4" w:space="0" w:color="auto"/>
            </w:tcBorders>
            <w:shd w:val="clear" w:color="auto" w:fill="auto"/>
            <w:noWrap/>
            <w:vAlign w:val="bottom"/>
            <w:hideMark/>
          </w:tcPr>
          <w:p w:rsidR="00B45031" w:rsidRPr="00412299" w:rsidRDefault="00B45031"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73.886.684 </w:t>
            </w:r>
          </w:p>
        </w:tc>
        <w:tc>
          <w:tcPr>
            <w:tcW w:w="841" w:type="pct"/>
            <w:tcBorders>
              <w:bottom w:val="single" w:sz="4" w:space="0" w:color="auto"/>
            </w:tcBorders>
            <w:shd w:val="clear" w:color="auto" w:fill="auto"/>
            <w:noWrap/>
            <w:vAlign w:val="bottom"/>
            <w:hideMark/>
          </w:tcPr>
          <w:p w:rsidR="00B45031" w:rsidRPr="003B08AE" w:rsidRDefault="00B45031" w:rsidP="00A46201">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51.686.949 </w:t>
            </w:r>
          </w:p>
        </w:tc>
        <w:tc>
          <w:tcPr>
            <w:tcW w:w="533" w:type="pct"/>
            <w:tcBorders>
              <w:bottom w:val="single" w:sz="4" w:space="0" w:color="auto"/>
            </w:tcBorders>
            <w:shd w:val="clear" w:color="auto" w:fill="auto"/>
            <w:noWrap/>
            <w:vAlign w:val="bottom"/>
            <w:hideMark/>
          </w:tcPr>
          <w:p w:rsidR="00B45031" w:rsidRPr="00412299" w:rsidRDefault="00B45031" w:rsidP="00382B0F">
            <w:pPr>
              <w:spacing w:line="240" w:lineRule="auto"/>
              <w:jc w:val="right"/>
              <w:rPr>
                <w:rFonts w:ascii="Calibri" w:hAnsi="Calibri"/>
                <w:color w:val="000000"/>
                <w:sz w:val="18"/>
                <w:szCs w:val="18"/>
                <w:lang w:eastAsia="sl-SI"/>
              </w:rPr>
            </w:pPr>
            <w:r w:rsidRPr="00972554">
              <w:rPr>
                <w:rFonts w:ascii="Calibri" w:hAnsi="Calibri"/>
                <w:sz w:val="18"/>
                <w:szCs w:val="18"/>
              </w:rPr>
              <w:t>142,95</w:t>
            </w:r>
          </w:p>
        </w:tc>
        <w:tc>
          <w:tcPr>
            <w:tcW w:w="610" w:type="pct"/>
            <w:tcBorders>
              <w:bottom w:val="single" w:sz="4" w:space="0" w:color="auto"/>
            </w:tcBorders>
            <w:shd w:val="clear" w:color="auto" w:fill="auto"/>
            <w:noWrap/>
            <w:vAlign w:val="bottom"/>
            <w:hideMark/>
          </w:tcPr>
          <w:p w:rsidR="00B45031" w:rsidRPr="00412299" w:rsidRDefault="00B45031"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22.199.735 </w:t>
            </w:r>
          </w:p>
        </w:tc>
      </w:tr>
      <w:tr w:rsidR="00B45031" w:rsidRPr="003B08AE" w:rsidTr="00972554">
        <w:trPr>
          <w:trHeight w:val="300"/>
        </w:trPr>
        <w:tc>
          <w:tcPr>
            <w:tcW w:w="2175" w:type="pct"/>
            <w:shd w:val="clear" w:color="auto" w:fill="92D050"/>
            <w:noWrap/>
            <w:vAlign w:val="bottom"/>
            <w:hideMark/>
          </w:tcPr>
          <w:p w:rsidR="00B45031" w:rsidRPr="003B08AE" w:rsidRDefault="00B45031" w:rsidP="00A46201">
            <w:pPr>
              <w:spacing w:line="240" w:lineRule="auto"/>
              <w:rPr>
                <w:rFonts w:ascii="Calibri" w:hAnsi="Calibri"/>
                <w:b/>
                <w:i/>
                <w:color w:val="000000"/>
                <w:sz w:val="18"/>
                <w:szCs w:val="18"/>
                <w:lang w:eastAsia="sl-SI"/>
              </w:rPr>
            </w:pPr>
            <w:r w:rsidRPr="003B08AE">
              <w:rPr>
                <w:rFonts w:ascii="Calibri" w:hAnsi="Calibri"/>
                <w:b/>
                <w:i/>
                <w:color w:val="000000"/>
                <w:sz w:val="18"/>
                <w:szCs w:val="18"/>
                <w:lang w:eastAsia="sl-SI"/>
              </w:rPr>
              <w:t>322-Skupaj aktiva</w:t>
            </w:r>
          </w:p>
        </w:tc>
        <w:tc>
          <w:tcPr>
            <w:tcW w:w="841" w:type="pct"/>
            <w:shd w:val="clear" w:color="auto" w:fill="92D050"/>
            <w:noWrap/>
            <w:vAlign w:val="bottom"/>
            <w:hideMark/>
          </w:tcPr>
          <w:p w:rsidR="00B45031" w:rsidRPr="00412299" w:rsidRDefault="00B45031" w:rsidP="00382B0F">
            <w:pPr>
              <w:spacing w:line="240" w:lineRule="auto"/>
              <w:jc w:val="right"/>
              <w:rPr>
                <w:rFonts w:ascii="Calibri" w:hAnsi="Calibri"/>
                <w:b/>
                <w:i/>
                <w:color w:val="000000"/>
                <w:sz w:val="18"/>
                <w:szCs w:val="18"/>
                <w:lang w:eastAsia="sl-SI"/>
              </w:rPr>
            </w:pPr>
            <w:r w:rsidRPr="00972554">
              <w:rPr>
                <w:rFonts w:ascii="Calibri" w:hAnsi="Calibri"/>
                <w:b/>
                <w:i/>
                <w:color w:val="000000"/>
                <w:sz w:val="18"/>
                <w:szCs w:val="18"/>
                <w:lang w:eastAsia="sl-SI"/>
              </w:rPr>
              <w:t xml:space="preserve">14.967.773.845 </w:t>
            </w:r>
          </w:p>
        </w:tc>
        <w:tc>
          <w:tcPr>
            <w:tcW w:w="841" w:type="pct"/>
            <w:shd w:val="clear" w:color="auto" w:fill="92D050"/>
            <w:noWrap/>
            <w:vAlign w:val="bottom"/>
            <w:hideMark/>
          </w:tcPr>
          <w:p w:rsidR="00B45031" w:rsidRPr="003B08AE" w:rsidRDefault="00B45031" w:rsidP="00A46201">
            <w:pPr>
              <w:spacing w:line="240" w:lineRule="auto"/>
              <w:jc w:val="right"/>
              <w:rPr>
                <w:rFonts w:ascii="Calibri" w:hAnsi="Calibri"/>
                <w:b/>
                <w:i/>
                <w:color w:val="000000"/>
                <w:sz w:val="18"/>
                <w:szCs w:val="18"/>
                <w:lang w:eastAsia="sl-SI"/>
              </w:rPr>
            </w:pPr>
            <w:r w:rsidRPr="000F6B5B">
              <w:rPr>
                <w:rFonts w:ascii="Calibri" w:hAnsi="Calibri"/>
                <w:b/>
                <w:i/>
                <w:color w:val="000000"/>
                <w:sz w:val="18"/>
                <w:szCs w:val="18"/>
                <w:lang w:eastAsia="sl-SI"/>
              </w:rPr>
              <w:t xml:space="preserve">14.366.862.481 </w:t>
            </w:r>
          </w:p>
        </w:tc>
        <w:tc>
          <w:tcPr>
            <w:tcW w:w="533" w:type="pct"/>
            <w:shd w:val="clear" w:color="auto" w:fill="92D050"/>
            <w:noWrap/>
            <w:vAlign w:val="bottom"/>
            <w:hideMark/>
          </w:tcPr>
          <w:p w:rsidR="00B45031" w:rsidRPr="00412299" w:rsidRDefault="00B45031" w:rsidP="00382B0F">
            <w:pPr>
              <w:spacing w:line="240" w:lineRule="auto"/>
              <w:jc w:val="right"/>
              <w:rPr>
                <w:rFonts w:ascii="Calibri" w:hAnsi="Calibri"/>
                <w:b/>
                <w:i/>
                <w:color w:val="000000"/>
                <w:sz w:val="18"/>
                <w:szCs w:val="18"/>
                <w:lang w:eastAsia="sl-SI"/>
              </w:rPr>
            </w:pPr>
            <w:r w:rsidRPr="00972554">
              <w:rPr>
                <w:rFonts w:ascii="Calibri" w:hAnsi="Calibri"/>
                <w:b/>
                <w:i/>
                <w:sz w:val="18"/>
                <w:szCs w:val="18"/>
              </w:rPr>
              <w:t>104,18</w:t>
            </w:r>
          </w:p>
        </w:tc>
        <w:tc>
          <w:tcPr>
            <w:tcW w:w="610" w:type="pct"/>
            <w:shd w:val="clear" w:color="auto" w:fill="92D050"/>
            <w:noWrap/>
            <w:vAlign w:val="bottom"/>
            <w:hideMark/>
          </w:tcPr>
          <w:p w:rsidR="00B45031" w:rsidRPr="00382B0F" w:rsidRDefault="00B45031" w:rsidP="00412299">
            <w:pPr>
              <w:spacing w:line="240" w:lineRule="auto"/>
              <w:jc w:val="right"/>
              <w:rPr>
                <w:rFonts w:ascii="Calibri" w:hAnsi="Calibri"/>
                <w:b/>
                <w:i/>
                <w:color w:val="000000"/>
                <w:sz w:val="18"/>
                <w:szCs w:val="18"/>
                <w:lang w:eastAsia="sl-SI"/>
              </w:rPr>
            </w:pPr>
            <w:r w:rsidRPr="00972554">
              <w:rPr>
                <w:rFonts w:ascii="Calibri" w:hAnsi="Calibri"/>
                <w:b/>
                <w:i/>
                <w:sz w:val="18"/>
                <w:szCs w:val="18"/>
              </w:rPr>
              <w:t xml:space="preserve">600.911.364 </w:t>
            </w:r>
          </w:p>
        </w:tc>
      </w:tr>
      <w:tr w:rsidR="00B45031" w:rsidRPr="003B08AE" w:rsidTr="00972554">
        <w:trPr>
          <w:trHeight w:val="300"/>
        </w:trPr>
        <w:tc>
          <w:tcPr>
            <w:tcW w:w="2175" w:type="pct"/>
            <w:shd w:val="clear" w:color="auto" w:fill="auto"/>
            <w:noWrap/>
            <w:vAlign w:val="bottom"/>
            <w:hideMark/>
          </w:tcPr>
          <w:p w:rsidR="00B45031" w:rsidRPr="003B08AE" w:rsidRDefault="00B45031" w:rsidP="00A46201">
            <w:pPr>
              <w:spacing w:line="240" w:lineRule="auto"/>
              <w:rPr>
                <w:rFonts w:ascii="Calibri" w:hAnsi="Calibri"/>
                <w:color w:val="000000"/>
                <w:sz w:val="18"/>
                <w:szCs w:val="18"/>
                <w:lang w:eastAsia="sl-SI"/>
              </w:rPr>
            </w:pPr>
            <w:r w:rsidRPr="003B08AE">
              <w:rPr>
                <w:rFonts w:ascii="Calibri" w:hAnsi="Calibri"/>
                <w:color w:val="000000"/>
                <w:sz w:val="18"/>
                <w:szCs w:val="18"/>
                <w:lang w:eastAsia="sl-SI"/>
              </w:rPr>
              <w:lastRenderedPageBreak/>
              <w:t>323-Splošni sklad</w:t>
            </w:r>
          </w:p>
        </w:tc>
        <w:tc>
          <w:tcPr>
            <w:tcW w:w="841" w:type="pct"/>
            <w:shd w:val="clear" w:color="auto" w:fill="auto"/>
            <w:noWrap/>
            <w:vAlign w:val="bottom"/>
            <w:hideMark/>
          </w:tcPr>
          <w:p w:rsidR="00B45031" w:rsidRPr="00412299" w:rsidRDefault="00B45031"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13.922.473.290 </w:t>
            </w:r>
          </w:p>
        </w:tc>
        <w:tc>
          <w:tcPr>
            <w:tcW w:w="841" w:type="pct"/>
            <w:shd w:val="clear" w:color="auto" w:fill="auto"/>
            <w:noWrap/>
            <w:vAlign w:val="bottom"/>
            <w:hideMark/>
          </w:tcPr>
          <w:p w:rsidR="00B45031" w:rsidRPr="003B08AE" w:rsidRDefault="00B45031" w:rsidP="00A46201">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13.340.461.266 </w:t>
            </w:r>
          </w:p>
        </w:tc>
        <w:tc>
          <w:tcPr>
            <w:tcW w:w="533" w:type="pct"/>
            <w:shd w:val="clear" w:color="auto" w:fill="auto"/>
            <w:noWrap/>
            <w:vAlign w:val="bottom"/>
            <w:hideMark/>
          </w:tcPr>
          <w:p w:rsidR="00B45031" w:rsidRPr="00412299" w:rsidRDefault="00B45031" w:rsidP="00382B0F">
            <w:pPr>
              <w:spacing w:line="240" w:lineRule="auto"/>
              <w:jc w:val="right"/>
              <w:rPr>
                <w:rFonts w:ascii="Calibri" w:hAnsi="Calibri"/>
                <w:color w:val="000000"/>
                <w:sz w:val="18"/>
                <w:szCs w:val="18"/>
                <w:lang w:eastAsia="sl-SI"/>
              </w:rPr>
            </w:pPr>
            <w:r w:rsidRPr="00972554">
              <w:rPr>
                <w:rFonts w:ascii="Calibri" w:hAnsi="Calibri"/>
                <w:sz w:val="18"/>
                <w:szCs w:val="18"/>
              </w:rPr>
              <w:t>104,36</w:t>
            </w:r>
          </w:p>
        </w:tc>
        <w:tc>
          <w:tcPr>
            <w:tcW w:w="610" w:type="pct"/>
            <w:shd w:val="clear" w:color="auto" w:fill="auto"/>
            <w:noWrap/>
            <w:vAlign w:val="bottom"/>
            <w:hideMark/>
          </w:tcPr>
          <w:p w:rsidR="00B45031" w:rsidRPr="00412299" w:rsidRDefault="00B45031"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582.012.024 </w:t>
            </w:r>
          </w:p>
        </w:tc>
      </w:tr>
      <w:tr w:rsidR="00B45031" w:rsidRPr="003B08AE" w:rsidTr="00972554">
        <w:trPr>
          <w:trHeight w:val="300"/>
        </w:trPr>
        <w:tc>
          <w:tcPr>
            <w:tcW w:w="2175" w:type="pct"/>
            <w:shd w:val="clear" w:color="auto" w:fill="auto"/>
            <w:noWrap/>
            <w:vAlign w:val="bottom"/>
            <w:hideMark/>
          </w:tcPr>
          <w:p w:rsidR="00B45031" w:rsidRPr="003B08AE" w:rsidRDefault="00B45031" w:rsidP="00A46201">
            <w:pPr>
              <w:spacing w:line="240" w:lineRule="auto"/>
              <w:rPr>
                <w:rFonts w:ascii="Calibri" w:hAnsi="Calibri"/>
                <w:color w:val="000000"/>
                <w:sz w:val="18"/>
                <w:szCs w:val="18"/>
                <w:lang w:eastAsia="sl-SI"/>
              </w:rPr>
            </w:pPr>
            <w:r w:rsidRPr="003B08AE">
              <w:rPr>
                <w:rFonts w:ascii="Calibri" w:hAnsi="Calibri"/>
                <w:color w:val="000000"/>
                <w:sz w:val="18"/>
                <w:szCs w:val="18"/>
                <w:lang w:eastAsia="sl-SI"/>
              </w:rPr>
              <w:t>324-Obveznosti za sredstva prejeta v upravljanje</w:t>
            </w:r>
          </w:p>
        </w:tc>
        <w:tc>
          <w:tcPr>
            <w:tcW w:w="841" w:type="pct"/>
            <w:shd w:val="clear" w:color="auto" w:fill="auto"/>
            <w:noWrap/>
            <w:vAlign w:val="bottom"/>
            <w:hideMark/>
          </w:tcPr>
          <w:p w:rsidR="00B45031" w:rsidRPr="00412299" w:rsidRDefault="00B45031"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4.594.194 </w:t>
            </w:r>
          </w:p>
        </w:tc>
        <w:tc>
          <w:tcPr>
            <w:tcW w:w="841" w:type="pct"/>
            <w:shd w:val="clear" w:color="auto" w:fill="auto"/>
            <w:noWrap/>
            <w:vAlign w:val="bottom"/>
            <w:hideMark/>
          </w:tcPr>
          <w:p w:rsidR="00B45031" w:rsidRPr="003B08AE" w:rsidRDefault="00B45031" w:rsidP="00A46201">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6.736.231 </w:t>
            </w:r>
          </w:p>
        </w:tc>
        <w:tc>
          <w:tcPr>
            <w:tcW w:w="533" w:type="pct"/>
            <w:shd w:val="clear" w:color="auto" w:fill="auto"/>
            <w:noWrap/>
            <w:vAlign w:val="bottom"/>
            <w:hideMark/>
          </w:tcPr>
          <w:p w:rsidR="00B45031" w:rsidRPr="00412299" w:rsidRDefault="00B45031" w:rsidP="00382B0F">
            <w:pPr>
              <w:spacing w:line="240" w:lineRule="auto"/>
              <w:jc w:val="right"/>
              <w:rPr>
                <w:rFonts w:ascii="Calibri" w:hAnsi="Calibri"/>
                <w:color w:val="000000"/>
                <w:sz w:val="18"/>
                <w:szCs w:val="18"/>
                <w:lang w:eastAsia="sl-SI"/>
              </w:rPr>
            </w:pPr>
            <w:r w:rsidRPr="00972554">
              <w:rPr>
                <w:rFonts w:ascii="Calibri" w:hAnsi="Calibri"/>
                <w:sz w:val="18"/>
                <w:szCs w:val="18"/>
              </w:rPr>
              <w:t>68,20</w:t>
            </w:r>
          </w:p>
        </w:tc>
        <w:tc>
          <w:tcPr>
            <w:tcW w:w="610" w:type="pct"/>
            <w:shd w:val="clear" w:color="auto" w:fill="auto"/>
            <w:noWrap/>
            <w:vAlign w:val="bottom"/>
            <w:hideMark/>
          </w:tcPr>
          <w:p w:rsidR="00B45031" w:rsidRPr="00412299" w:rsidRDefault="00B45031"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-2.142.037 </w:t>
            </w:r>
          </w:p>
        </w:tc>
      </w:tr>
      <w:tr w:rsidR="00B45031" w:rsidRPr="003B08AE" w:rsidTr="00972554">
        <w:trPr>
          <w:trHeight w:val="300"/>
        </w:trPr>
        <w:tc>
          <w:tcPr>
            <w:tcW w:w="2175" w:type="pct"/>
            <w:shd w:val="clear" w:color="auto" w:fill="auto"/>
            <w:noWrap/>
            <w:vAlign w:val="bottom"/>
            <w:hideMark/>
          </w:tcPr>
          <w:p w:rsidR="00B45031" w:rsidRPr="003B08AE" w:rsidRDefault="00B45031" w:rsidP="00A46201">
            <w:pPr>
              <w:spacing w:line="240" w:lineRule="auto"/>
              <w:rPr>
                <w:rFonts w:ascii="Calibri" w:hAnsi="Calibri"/>
                <w:color w:val="000000"/>
                <w:sz w:val="18"/>
                <w:szCs w:val="18"/>
                <w:lang w:eastAsia="sl-SI"/>
              </w:rPr>
            </w:pPr>
            <w:r w:rsidRPr="003B08AE">
              <w:rPr>
                <w:rFonts w:ascii="Calibri" w:hAnsi="Calibri"/>
                <w:color w:val="000000"/>
                <w:sz w:val="18"/>
                <w:szCs w:val="18"/>
                <w:lang w:eastAsia="sl-SI"/>
              </w:rPr>
              <w:t>325-Rezervni sklad</w:t>
            </w:r>
          </w:p>
        </w:tc>
        <w:tc>
          <w:tcPr>
            <w:tcW w:w="841" w:type="pct"/>
            <w:shd w:val="clear" w:color="auto" w:fill="auto"/>
            <w:noWrap/>
            <w:vAlign w:val="bottom"/>
            <w:hideMark/>
          </w:tcPr>
          <w:p w:rsidR="00B45031" w:rsidRPr="00412299" w:rsidRDefault="00B45031"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14.971.977 </w:t>
            </w:r>
          </w:p>
        </w:tc>
        <w:tc>
          <w:tcPr>
            <w:tcW w:w="841" w:type="pct"/>
            <w:shd w:val="clear" w:color="auto" w:fill="auto"/>
            <w:noWrap/>
            <w:vAlign w:val="bottom"/>
            <w:hideMark/>
          </w:tcPr>
          <w:p w:rsidR="00B45031" w:rsidRPr="003B08AE" w:rsidRDefault="00B45031" w:rsidP="00A46201">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14.353.967 </w:t>
            </w:r>
          </w:p>
        </w:tc>
        <w:tc>
          <w:tcPr>
            <w:tcW w:w="533" w:type="pct"/>
            <w:shd w:val="clear" w:color="auto" w:fill="auto"/>
            <w:noWrap/>
            <w:vAlign w:val="bottom"/>
            <w:hideMark/>
          </w:tcPr>
          <w:p w:rsidR="00B45031" w:rsidRPr="00412299" w:rsidRDefault="00B45031" w:rsidP="00382B0F">
            <w:pPr>
              <w:spacing w:line="240" w:lineRule="auto"/>
              <w:jc w:val="right"/>
              <w:rPr>
                <w:rFonts w:ascii="Calibri" w:hAnsi="Calibri"/>
                <w:color w:val="000000"/>
                <w:sz w:val="18"/>
                <w:szCs w:val="18"/>
                <w:lang w:eastAsia="sl-SI"/>
              </w:rPr>
            </w:pPr>
            <w:r w:rsidRPr="00972554">
              <w:rPr>
                <w:rFonts w:ascii="Calibri" w:hAnsi="Calibri"/>
                <w:sz w:val="18"/>
                <w:szCs w:val="18"/>
              </w:rPr>
              <w:t>104,31</w:t>
            </w:r>
          </w:p>
        </w:tc>
        <w:tc>
          <w:tcPr>
            <w:tcW w:w="610" w:type="pct"/>
            <w:shd w:val="clear" w:color="auto" w:fill="auto"/>
            <w:noWrap/>
            <w:vAlign w:val="bottom"/>
            <w:hideMark/>
          </w:tcPr>
          <w:p w:rsidR="00B45031" w:rsidRPr="00412299" w:rsidRDefault="00B45031"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618.010 </w:t>
            </w:r>
          </w:p>
        </w:tc>
      </w:tr>
      <w:tr w:rsidR="00B45031" w:rsidRPr="003B08AE" w:rsidTr="00972554">
        <w:trPr>
          <w:trHeight w:val="300"/>
        </w:trPr>
        <w:tc>
          <w:tcPr>
            <w:tcW w:w="2175" w:type="pct"/>
            <w:shd w:val="clear" w:color="auto" w:fill="auto"/>
            <w:noWrap/>
            <w:vAlign w:val="bottom"/>
            <w:hideMark/>
          </w:tcPr>
          <w:p w:rsidR="00B45031" w:rsidRPr="003B08AE" w:rsidRDefault="00B45031" w:rsidP="00A46201">
            <w:pPr>
              <w:spacing w:line="240" w:lineRule="auto"/>
              <w:rPr>
                <w:rFonts w:ascii="Calibri" w:hAnsi="Calibri"/>
                <w:color w:val="000000"/>
                <w:sz w:val="18"/>
                <w:szCs w:val="18"/>
                <w:lang w:eastAsia="sl-SI"/>
              </w:rPr>
            </w:pPr>
            <w:r w:rsidRPr="003B08AE">
              <w:rPr>
                <w:rFonts w:ascii="Calibri" w:hAnsi="Calibri"/>
                <w:color w:val="000000"/>
                <w:sz w:val="18"/>
                <w:szCs w:val="18"/>
                <w:lang w:eastAsia="sl-SI"/>
              </w:rPr>
              <w:t>326-Dolgoročno prejeta posojila</w:t>
            </w:r>
          </w:p>
        </w:tc>
        <w:tc>
          <w:tcPr>
            <w:tcW w:w="841" w:type="pct"/>
            <w:shd w:val="clear" w:color="auto" w:fill="auto"/>
            <w:noWrap/>
            <w:vAlign w:val="bottom"/>
            <w:hideMark/>
          </w:tcPr>
          <w:p w:rsidR="00B45031" w:rsidRPr="00412299" w:rsidRDefault="00B45031"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565.340.325 </w:t>
            </w:r>
          </w:p>
        </w:tc>
        <w:tc>
          <w:tcPr>
            <w:tcW w:w="841" w:type="pct"/>
            <w:shd w:val="clear" w:color="auto" w:fill="auto"/>
            <w:noWrap/>
            <w:vAlign w:val="bottom"/>
            <w:hideMark/>
          </w:tcPr>
          <w:p w:rsidR="00B45031" w:rsidRPr="003B08AE" w:rsidRDefault="00B45031" w:rsidP="00A46201">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572.632.883 </w:t>
            </w:r>
          </w:p>
        </w:tc>
        <w:tc>
          <w:tcPr>
            <w:tcW w:w="533" w:type="pct"/>
            <w:shd w:val="clear" w:color="auto" w:fill="auto"/>
            <w:noWrap/>
            <w:vAlign w:val="bottom"/>
            <w:hideMark/>
          </w:tcPr>
          <w:p w:rsidR="00B45031" w:rsidRPr="00412299" w:rsidRDefault="00B45031" w:rsidP="00382B0F">
            <w:pPr>
              <w:spacing w:line="240" w:lineRule="auto"/>
              <w:jc w:val="right"/>
              <w:rPr>
                <w:rFonts w:ascii="Calibri" w:hAnsi="Calibri"/>
                <w:color w:val="000000"/>
                <w:sz w:val="18"/>
                <w:szCs w:val="18"/>
                <w:lang w:eastAsia="sl-SI"/>
              </w:rPr>
            </w:pPr>
            <w:r w:rsidRPr="00972554">
              <w:rPr>
                <w:rFonts w:ascii="Calibri" w:hAnsi="Calibri"/>
                <w:sz w:val="18"/>
                <w:szCs w:val="18"/>
              </w:rPr>
              <w:t>98,73</w:t>
            </w:r>
          </w:p>
        </w:tc>
        <w:tc>
          <w:tcPr>
            <w:tcW w:w="610" w:type="pct"/>
            <w:shd w:val="clear" w:color="auto" w:fill="auto"/>
            <w:noWrap/>
            <w:vAlign w:val="bottom"/>
            <w:hideMark/>
          </w:tcPr>
          <w:p w:rsidR="00B45031" w:rsidRPr="00412299" w:rsidRDefault="00B45031"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-7.292.558 </w:t>
            </w:r>
          </w:p>
        </w:tc>
      </w:tr>
      <w:tr w:rsidR="00B45031" w:rsidRPr="003B08AE" w:rsidTr="00972554">
        <w:trPr>
          <w:trHeight w:val="300"/>
        </w:trPr>
        <w:tc>
          <w:tcPr>
            <w:tcW w:w="2175" w:type="pct"/>
            <w:shd w:val="clear" w:color="auto" w:fill="auto"/>
            <w:noWrap/>
            <w:vAlign w:val="bottom"/>
            <w:hideMark/>
          </w:tcPr>
          <w:p w:rsidR="00B45031" w:rsidRPr="003B08AE" w:rsidRDefault="00B45031" w:rsidP="00A46201">
            <w:pPr>
              <w:spacing w:line="240" w:lineRule="auto"/>
              <w:rPr>
                <w:rFonts w:ascii="Calibri" w:hAnsi="Calibri"/>
                <w:color w:val="000000"/>
                <w:sz w:val="18"/>
                <w:szCs w:val="18"/>
                <w:lang w:eastAsia="sl-SI"/>
              </w:rPr>
            </w:pPr>
            <w:r w:rsidRPr="003B08AE">
              <w:rPr>
                <w:rFonts w:ascii="Calibri" w:hAnsi="Calibri"/>
                <w:color w:val="000000"/>
                <w:sz w:val="18"/>
                <w:szCs w:val="18"/>
                <w:lang w:eastAsia="sl-SI"/>
              </w:rPr>
              <w:t>327-Dolgoročne obveznosti iz poslovanja</w:t>
            </w:r>
          </w:p>
        </w:tc>
        <w:tc>
          <w:tcPr>
            <w:tcW w:w="841" w:type="pct"/>
            <w:shd w:val="clear" w:color="auto" w:fill="auto"/>
            <w:noWrap/>
            <w:vAlign w:val="bottom"/>
            <w:hideMark/>
          </w:tcPr>
          <w:p w:rsidR="00B45031" w:rsidRPr="00412299" w:rsidRDefault="00B45031"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81.923.183 </w:t>
            </w:r>
          </w:p>
        </w:tc>
        <w:tc>
          <w:tcPr>
            <w:tcW w:w="841" w:type="pct"/>
            <w:shd w:val="clear" w:color="auto" w:fill="auto"/>
            <w:noWrap/>
            <w:vAlign w:val="bottom"/>
            <w:hideMark/>
          </w:tcPr>
          <w:p w:rsidR="00B45031" w:rsidRPr="003B08AE" w:rsidRDefault="00B45031" w:rsidP="00A46201">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99.770.868 </w:t>
            </w:r>
          </w:p>
        </w:tc>
        <w:tc>
          <w:tcPr>
            <w:tcW w:w="533" w:type="pct"/>
            <w:shd w:val="clear" w:color="auto" w:fill="auto"/>
            <w:noWrap/>
            <w:vAlign w:val="bottom"/>
            <w:hideMark/>
          </w:tcPr>
          <w:p w:rsidR="00B45031" w:rsidRPr="00412299" w:rsidRDefault="00B45031" w:rsidP="00382B0F">
            <w:pPr>
              <w:spacing w:line="240" w:lineRule="auto"/>
              <w:jc w:val="right"/>
              <w:rPr>
                <w:rFonts w:ascii="Calibri" w:hAnsi="Calibri"/>
                <w:color w:val="000000"/>
                <w:sz w:val="18"/>
                <w:szCs w:val="18"/>
                <w:lang w:eastAsia="sl-SI"/>
              </w:rPr>
            </w:pPr>
            <w:r w:rsidRPr="00972554">
              <w:rPr>
                <w:rFonts w:ascii="Calibri" w:hAnsi="Calibri"/>
                <w:sz w:val="18"/>
                <w:szCs w:val="18"/>
              </w:rPr>
              <w:t>82,11</w:t>
            </w:r>
          </w:p>
        </w:tc>
        <w:tc>
          <w:tcPr>
            <w:tcW w:w="610" w:type="pct"/>
            <w:shd w:val="clear" w:color="auto" w:fill="auto"/>
            <w:noWrap/>
            <w:vAlign w:val="bottom"/>
            <w:hideMark/>
          </w:tcPr>
          <w:p w:rsidR="00B45031" w:rsidRPr="00412299" w:rsidRDefault="00B45031"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-17.847.685 </w:t>
            </w:r>
          </w:p>
        </w:tc>
      </w:tr>
      <w:tr w:rsidR="00B45031" w:rsidRPr="003B08AE" w:rsidTr="00972554">
        <w:trPr>
          <w:trHeight w:val="300"/>
        </w:trPr>
        <w:tc>
          <w:tcPr>
            <w:tcW w:w="2175" w:type="pct"/>
            <w:shd w:val="clear" w:color="auto" w:fill="auto"/>
            <w:noWrap/>
            <w:vAlign w:val="bottom"/>
            <w:hideMark/>
          </w:tcPr>
          <w:p w:rsidR="00B45031" w:rsidRPr="003B08AE" w:rsidRDefault="00B45031" w:rsidP="00A46201">
            <w:pPr>
              <w:spacing w:line="240" w:lineRule="auto"/>
              <w:rPr>
                <w:rFonts w:ascii="Calibri" w:hAnsi="Calibri"/>
                <w:color w:val="000000"/>
                <w:sz w:val="18"/>
                <w:szCs w:val="18"/>
                <w:lang w:eastAsia="sl-SI"/>
              </w:rPr>
            </w:pPr>
            <w:r w:rsidRPr="003B08AE">
              <w:rPr>
                <w:rFonts w:ascii="Calibri" w:hAnsi="Calibri"/>
                <w:color w:val="000000"/>
                <w:sz w:val="18"/>
                <w:szCs w:val="18"/>
                <w:lang w:eastAsia="sl-SI"/>
              </w:rPr>
              <w:t>328-Kratkoročne obveznosti</w:t>
            </w:r>
          </w:p>
        </w:tc>
        <w:tc>
          <w:tcPr>
            <w:tcW w:w="841" w:type="pct"/>
            <w:shd w:val="clear" w:color="auto" w:fill="auto"/>
            <w:noWrap/>
            <w:vAlign w:val="bottom"/>
            <w:hideMark/>
          </w:tcPr>
          <w:p w:rsidR="00B45031" w:rsidRPr="00412299" w:rsidRDefault="00B45031"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211.288.757 </w:t>
            </w:r>
          </w:p>
        </w:tc>
        <w:tc>
          <w:tcPr>
            <w:tcW w:w="841" w:type="pct"/>
            <w:shd w:val="clear" w:color="auto" w:fill="auto"/>
            <w:noWrap/>
            <w:vAlign w:val="bottom"/>
            <w:hideMark/>
          </w:tcPr>
          <w:p w:rsidR="00B45031" w:rsidRPr="003B08AE" w:rsidRDefault="00B45031" w:rsidP="00A46201">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180.943.006 </w:t>
            </w:r>
          </w:p>
        </w:tc>
        <w:tc>
          <w:tcPr>
            <w:tcW w:w="533" w:type="pct"/>
            <w:shd w:val="clear" w:color="auto" w:fill="auto"/>
            <w:noWrap/>
            <w:vAlign w:val="bottom"/>
            <w:hideMark/>
          </w:tcPr>
          <w:p w:rsidR="00B45031" w:rsidRPr="00412299" w:rsidRDefault="00B45031" w:rsidP="00382B0F">
            <w:pPr>
              <w:spacing w:line="240" w:lineRule="auto"/>
              <w:jc w:val="right"/>
              <w:rPr>
                <w:rFonts w:ascii="Calibri" w:hAnsi="Calibri"/>
                <w:color w:val="000000"/>
                <w:sz w:val="18"/>
                <w:szCs w:val="18"/>
                <w:lang w:eastAsia="sl-SI"/>
              </w:rPr>
            </w:pPr>
            <w:r w:rsidRPr="00972554">
              <w:rPr>
                <w:rFonts w:ascii="Calibri" w:hAnsi="Calibri"/>
                <w:sz w:val="18"/>
                <w:szCs w:val="18"/>
              </w:rPr>
              <w:t>116,77</w:t>
            </w:r>
          </w:p>
        </w:tc>
        <w:tc>
          <w:tcPr>
            <w:tcW w:w="610" w:type="pct"/>
            <w:shd w:val="clear" w:color="auto" w:fill="auto"/>
            <w:noWrap/>
            <w:vAlign w:val="bottom"/>
            <w:hideMark/>
          </w:tcPr>
          <w:p w:rsidR="00B45031" w:rsidRPr="00412299" w:rsidRDefault="00B45031"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30.345.751 </w:t>
            </w:r>
          </w:p>
        </w:tc>
      </w:tr>
      <w:tr w:rsidR="00B45031" w:rsidRPr="003B08AE" w:rsidTr="00972554">
        <w:trPr>
          <w:trHeight w:val="300"/>
        </w:trPr>
        <w:tc>
          <w:tcPr>
            <w:tcW w:w="2175" w:type="pct"/>
            <w:tcBorders>
              <w:bottom w:val="single" w:sz="4" w:space="0" w:color="auto"/>
            </w:tcBorders>
            <w:shd w:val="clear" w:color="auto" w:fill="auto"/>
            <w:noWrap/>
            <w:vAlign w:val="bottom"/>
            <w:hideMark/>
          </w:tcPr>
          <w:p w:rsidR="00B45031" w:rsidRPr="003B08AE" w:rsidRDefault="00B45031" w:rsidP="00A46201">
            <w:pPr>
              <w:spacing w:line="240" w:lineRule="auto"/>
              <w:rPr>
                <w:rFonts w:ascii="Calibri" w:hAnsi="Calibri"/>
                <w:color w:val="000000"/>
                <w:sz w:val="18"/>
                <w:szCs w:val="18"/>
                <w:lang w:eastAsia="sl-SI"/>
              </w:rPr>
            </w:pPr>
            <w:r w:rsidRPr="003B08AE">
              <w:rPr>
                <w:rFonts w:ascii="Calibri" w:hAnsi="Calibri"/>
                <w:color w:val="000000"/>
                <w:sz w:val="18"/>
                <w:szCs w:val="18"/>
                <w:lang w:eastAsia="sl-SI"/>
              </w:rPr>
              <w:t>329-Druge obveznosti</w:t>
            </w:r>
          </w:p>
        </w:tc>
        <w:tc>
          <w:tcPr>
            <w:tcW w:w="841" w:type="pct"/>
            <w:tcBorders>
              <w:bottom w:val="single" w:sz="4" w:space="0" w:color="auto"/>
            </w:tcBorders>
            <w:shd w:val="clear" w:color="auto" w:fill="auto"/>
            <w:noWrap/>
            <w:vAlign w:val="bottom"/>
            <w:hideMark/>
          </w:tcPr>
          <w:p w:rsidR="00B45031" w:rsidRPr="00412299" w:rsidRDefault="00B45031" w:rsidP="00382B0F">
            <w:pPr>
              <w:spacing w:line="240" w:lineRule="auto"/>
              <w:jc w:val="right"/>
              <w:rPr>
                <w:rFonts w:ascii="Calibri" w:hAnsi="Calibri"/>
                <w:color w:val="000000"/>
                <w:sz w:val="18"/>
                <w:szCs w:val="18"/>
                <w:lang w:eastAsia="sl-SI"/>
              </w:rPr>
            </w:pPr>
            <w:r w:rsidRPr="00972554">
              <w:rPr>
                <w:rFonts w:ascii="Calibri" w:hAnsi="Calibri"/>
                <w:sz w:val="18"/>
                <w:szCs w:val="18"/>
              </w:rPr>
              <w:t xml:space="preserve">167.182.119 </w:t>
            </w:r>
          </w:p>
        </w:tc>
        <w:tc>
          <w:tcPr>
            <w:tcW w:w="841" w:type="pct"/>
            <w:tcBorders>
              <w:bottom w:val="single" w:sz="4" w:space="0" w:color="auto"/>
            </w:tcBorders>
            <w:shd w:val="clear" w:color="auto" w:fill="auto"/>
            <w:noWrap/>
            <w:vAlign w:val="bottom"/>
            <w:hideMark/>
          </w:tcPr>
          <w:p w:rsidR="00B45031" w:rsidRPr="003B08AE" w:rsidRDefault="00B45031" w:rsidP="00A46201">
            <w:pPr>
              <w:spacing w:line="240" w:lineRule="auto"/>
              <w:jc w:val="right"/>
              <w:rPr>
                <w:rFonts w:ascii="Calibri" w:hAnsi="Calibri"/>
                <w:color w:val="000000"/>
                <w:sz w:val="18"/>
                <w:szCs w:val="18"/>
                <w:lang w:eastAsia="sl-SI"/>
              </w:rPr>
            </w:pPr>
            <w:r w:rsidRPr="000F6B5B">
              <w:rPr>
                <w:rFonts w:ascii="Calibri" w:hAnsi="Calibri" w:cs="Calibri"/>
                <w:color w:val="000000"/>
                <w:sz w:val="18"/>
                <w:szCs w:val="18"/>
                <w:lang w:val="sl-SI" w:eastAsia="sl-SI"/>
              </w:rPr>
              <w:t xml:space="preserve">151.964.260 </w:t>
            </w:r>
          </w:p>
        </w:tc>
        <w:tc>
          <w:tcPr>
            <w:tcW w:w="533" w:type="pct"/>
            <w:tcBorders>
              <w:bottom w:val="single" w:sz="4" w:space="0" w:color="auto"/>
            </w:tcBorders>
            <w:shd w:val="clear" w:color="auto" w:fill="auto"/>
            <w:noWrap/>
            <w:vAlign w:val="bottom"/>
            <w:hideMark/>
          </w:tcPr>
          <w:p w:rsidR="00B45031" w:rsidRPr="00412299" w:rsidRDefault="00B45031" w:rsidP="00382B0F">
            <w:pPr>
              <w:spacing w:line="240" w:lineRule="auto"/>
              <w:jc w:val="right"/>
              <w:rPr>
                <w:rFonts w:ascii="Calibri" w:hAnsi="Calibri"/>
                <w:color w:val="000000"/>
                <w:sz w:val="18"/>
                <w:szCs w:val="18"/>
                <w:lang w:eastAsia="sl-SI"/>
              </w:rPr>
            </w:pPr>
            <w:r w:rsidRPr="00972554">
              <w:rPr>
                <w:rFonts w:ascii="Calibri" w:hAnsi="Calibri"/>
                <w:sz w:val="18"/>
                <w:szCs w:val="18"/>
              </w:rPr>
              <w:t>110,01</w:t>
            </w:r>
          </w:p>
        </w:tc>
        <w:tc>
          <w:tcPr>
            <w:tcW w:w="610" w:type="pct"/>
            <w:tcBorders>
              <w:bottom w:val="single" w:sz="4" w:space="0" w:color="auto"/>
            </w:tcBorders>
            <w:shd w:val="clear" w:color="auto" w:fill="auto"/>
            <w:noWrap/>
            <w:vAlign w:val="bottom"/>
            <w:hideMark/>
          </w:tcPr>
          <w:p w:rsidR="00B45031" w:rsidRPr="00412299" w:rsidRDefault="00B45031"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15.217.859 </w:t>
            </w:r>
          </w:p>
        </w:tc>
      </w:tr>
      <w:tr w:rsidR="00B45031" w:rsidRPr="003B08AE" w:rsidTr="00972554">
        <w:trPr>
          <w:trHeight w:val="300"/>
        </w:trPr>
        <w:tc>
          <w:tcPr>
            <w:tcW w:w="2175" w:type="pct"/>
            <w:shd w:val="clear" w:color="auto" w:fill="92D050"/>
            <w:noWrap/>
            <w:vAlign w:val="bottom"/>
            <w:hideMark/>
          </w:tcPr>
          <w:p w:rsidR="00B45031" w:rsidRPr="003B08AE" w:rsidRDefault="00B45031" w:rsidP="00A46201">
            <w:pPr>
              <w:spacing w:line="240" w:lineRule="auto"/>
              <w:rPr>
                <w:rFonts w:ascii="Calibri" w:hAnsi="Calibri"/>
                <w:b/>
                <w:i/>
                <w:color w:val="000000"/>
                <w:sz w:val="18"/>
                <w:szCs w:val="18"/>
                <w:lang w:eastAsia="sl-SI"/>
              </w:rPr>
            </w:pPr>
            <w:r w:rsidRPr="003B08AE">
              <w:rPr>
                <w:rFonts w:ascii="Calibri" w:hAnsi="Calibri"/>
                <w:b/>
                <w:i/>
                <w:color w:val="000000"/>
                <w:sz w:val="18"/>
                <w:szCs w:val="18"/>
                <w:lang w:eastAsia="sl-SI"/>
              </w:rPr>
              <w:t>330-Skupaj pasiva</w:t>
            </w:r>
          </w:p>
        </w:tc>
        <w:tc>
          <w:tcPr>
            <w:tcW w:w="841" w:type="pct"/>
            <w:shd w:val="clear" w:color="auto" w:fill="92D050"/>
            <w:noWrap/>
            <w:vAlign w:val="bottom"/>
            <w:hideMark/>
          </w:tcPr>
          <w:p w:rsidR="00B45031" w:rsidRPr="00412299" w:rsidRDefault="00B45031" w:rsidP="00382B0F">
            <w:pPr>
              <w:spacing w:line="240" w:lineRule="auto"/>
              <w:jc w:val="right"/>
              <w:rPr>
                <w:rFonts w:ascii="Calibri" w:hAnsi="Calibri"/>
                <w:b/>
                <w:i/>
                <w:color w:val="000000"/>
                <w:sz w:val="18"/>
                <w:szCs w:val="18"/>
                <w:lang w:eastAsia="sl-SI"/>
              </w:rPr>
            </w:pPr>
            <w:r w:rsidRPr="00972554">
              <w:rPr>
                <w:rFonts w:ascii="Calibri" w:hAnsi="Calibri"/>
                <w:b/>
                <w:i/>
                <w:sz w:val="18"/>
                <w:szCs w:val="18"/>
              </w:rPr>
              <w:t xml:space="preserve">14.967.773.845 </w:t>
            </w:r>
          </w:p>
        </w:tc>
        <w:tc>
          <w:tcPr>
            <w:tcW w:w="841" w:type="pct"/>
            <w:shd w:val="clear" w:color="auto" w:fill="92D050"/>
            <w:noWrap/>
            <w:vAlign w:val="bottom"/>
            <w:hideMark/>
          </w:tcPr>
          <w:p w:rsidR="00B45031" w:rsidRPr="003B08AE" w:rsidRDefault="00B45031" w:rsidP="00A46201">
            <w:pPr>
              <w:spacing w:line="240" w:lineRule="auto"/>
              <w:jc w:val="right"/>
              <w:rPr>
                <w:rFonts w:ascii="Calibri" w:hAnsi="Calibri"/>
                <w:b/>
                <w:i/>
                <w:color w:val="000000"/>
                <w:sz w:val="18"/>
                <w:szCs w:val="18"/>
                <w:lang w:eastAsia="sl-SI"/>
              </w:rPr>
            </w:pPr>
            <w:r w:rsidRPr="000F6B5B">
              <w:rPr>
                <w:rFonts w:ascii="Calibri" w:hAnsi="Calibri"/>
                <w:b/>
                <w:i/>
                <w:color w:val="000000"/>
                <w:sz w:val="18"/>
                <w:szCs w:val="18"/>
                <w:lang w:eastAsia="sl-SI"/>
              </w:rPr>
              <w:t xml:space="preserve">14.366.862.481 </w:t>
            </w:r>
          </w:p>
        </w:tc>
        <w:tc>
          <w:tcPr>
            <w:tcW w:w="533" w:type="pct"/>
            <w:shd w:val="clear" w:color="auto" w:fill="92D050"/>
            <w:noWrap/>
            <w:vAlign w:val="bottom"/>
            <w:hideMark/>
          </w:tcPr>
          <w:p w:rsidR="00B45031" w:rsidRPr="00412299" w:rsidRDefault="00B45031" w:rsidP="00382B0F">
            <w:pPr>
              <w:spacing w:line="240" w:lineRule="auto"/>
              <w:jc w:val="right"/>
              <w:rPr>
                <w:rFonts w:ascii="Calibri" w:hAnsi="Calibri"/>
                <w:b/>
                <w:i/>
                <w:color w:val="000000"/>
                <w:sz w:val="18"/>
                <w:szCs w:val="18"/>
                <w:lang w:eastAsia="sl-SI"/>
              </w:rPr>
            </w:pPr>
            <w:r w:rsidRPr="00972554">
              <w:rPr>
                <w:rFonts w:ascii="Calibri" w:hAnsi="Calibri"/>
                <w:b/>
                <w:i/>
                <w:sz w:val="18"/>
                <w:szCs w:val="18"/>
              </w:rPr>
              <w:t>104,18</w:t>
            </w:r>
          </w:p>
        </w:tc>
        <w:tc>
          <w:tcPr>
            <w:tcW w:w="610" w:type="pct"/>
            <w:shd w:val="clear" w:color="auto" w:fill="92D050"/>
            <w:noWrap/>
            <w:vAlign w:val="bottom"/>
            <w:hideMark/>
          </w:tcPr>
          <w:p w:rsidR="00B45031" w:rsidRPr="00412299" w:rsidRDefault="00B45031" w:rsidP="00412299">
            <w:pPr>
              <w:spacing w:line="240" w:lineRule="auto"/>
              <w:jc w:val="right"/>
              <w:rPr>
                <w:rFonts w:ascii="Calibri" w:hAnsi="Calibri"/>
                <w:b/>
                <w:i/>
                <w:color w:val="000000"/>
                <w:sz w:val="18"/>
                <w:szCs w:val="18"/>
                <w:lang w:eastAsia="sl-SI"/>
              </w:rPr>
            </w:pPr>
            <w:r w:rsidRPr="00972554">
              <w:rPr>
                <w:rFonts w:ascii="Calibri" w:hAnsi="Calibri"/>
                <w:b/>
                <w:i/>
                <w:sz w:val="18"/>
                <w:szCs w:val="18"/>
              </w:rPr>
              <w:t xml:space="preserve">600.911.364 </w:t>
            </w:r>
          </w:p>
        </w:tc>
      </w:tr>
    </w:tbl>
    <w:p w:rsidR="003E6898" w:rsidRPr="003E6898" w:rsidRDefault="003E6898" w:rsidP="003E6898"/>
    <w:p w:rsidR="004F573C" w:rsidRDefault="004F573C" w:rsidP="004F573C">
      <w:r>
        <w:t>Analiza premoženja NPU</w:t>
      </w:r>
      <w:r w:rsidR="008765C4">
        <w:t xml:space="preserve"> občinskih proračunov</w:t>
      </w:r>
      <w:r>
        <w:t xml:space="preserve">, ki je predstavljena v </w:t>
      </w:r>
      <w:r w:rsidR="00770741">
        <w:fldChar w:fldCharType="begin"/>
      </w:r>
      <w:r w:rsidR="00770741">
        <w:instrText xml:space="preserve"> REF _Ref389827217 \h </w:instrText>
      </w:r>
      <w:r w:rsidR="00770741">
        <w:fldChar w:fldCharType="separate"/>
      </w:r>
      <w:r w:rsidR="00CE55C4">
        <w:t xml:space="preserve">Tabela </w:t>
      </w:r>
      <w:r w:rsidR="00CE55C4">
        <w:rPr>
          <w:noProof/>
        </w:rPr>
        <w:t>18</w:t>
      </w:r>
      <w:r w:rsidR="00770741">
        <w:fldChar w:fldCharType="end"/>
      </w:r>
      <w:r w:rsidR="00770741">
        <w:t xml:space="preserve"> </w:t>
      </w:r>
      <w:r w:rsidR="008765C4">
        <w:t xml:space="preserve">prikazuje število </w:t>
      </w:r>
      <w:r>
        <w:t xml:space="preserve">PU glede </w:t>
      </w:r>
      <w:proofErr w:type="gramStart"/>
      <w:r>
        <w:t>na</w:t>
      </w:r>
      <w:proofErr w:type="gramEnd"/>
      <w:r>
        <w:t xml:space="preserve"> vrednost bilančne vsote (razdeljena v 4 razrede) na dan 31.12.201</w:t>
      </w:r>
      <w:r w:rsidR="00B52A31">
        <w:t>8</w:t>
      </w:r>
      <w:r w:rsidR="0053047D">
        <w:t>.</w:t>
      </w:r>
    </w:p>
    <w:p w:rsidR="004F573C" w:rsidRDefault="004F573C" w:rsidP="004F573C">
      <w:pPr>
        <w:pStyle w:val="Caption"/>
      </w:pPr>
      <w:bookmarkStart w:id="99" w:name="_Ref389826701"/>
    </w:p>
    <w:p w:rsidR="004F573C" w:rsidRDefault="004F573C" w:rsidP="004F573C">
      <w:pPr>
        <w:pStyle w:val="Caption"/>
      </w:pPr>
      <w:bookmarkStart w:id="100" w:name="_Ref389827217"/>
      <w:bookmarkStart w:id="101" w:name="_Toc49771340"/>
      <w:bookmarkEnd w:id="99"/>
      <w:r>
        <w:t xml:space="preserve">Tabela </w:t>
      </w:r>
      <w:r>
        <w:fldChar w:fldCharType="begin"/>
      </w:r>
      <w:r>
        <w:instrText xml:space="preserve"> SEQ Tabela \* ARABIC </w:instrText>
      </w:r>
      <w:r>
        <w:fldChar w:fldCharType="separate"/>
      </w:r>
      <w:r w:rsidR="00CE55C4">
        <w:rPr>
          <w:noProof/>
        </w:rPr>
        <w:t>18</w:t>
      </w:r>
      <w:r>
        <w:fldChar w:fldCharType="end"/>
      </w:r>
      <w:bookmarkEnd w:id="100"/>
      <w:r>
        <w:t xml:space="preserve">: </w:t>
      </w:r>
      <w:r w:rsidR="004139ED">
        <w:t xml:space="preserve">Število </w:t>
      </w:r>
      <w:r w:rsidR="008765C4">
        <w:t>NPU občinskih proračunov</w:t>
      </w:r>
      <w:r w:rsidR="004139ED">
        <w:t xml:space="preserve"> glede </w:t>
      </w:r>
      <w:proofErr w:type="gramStart"/>
      <w:r w:rsidR="004139ED">
        <w:t>na</w:t>
      </w:r>
      <w:proofErr w:type="gramEnd"/>
      <w:r w:rsidR="004139ED">
        <w:t xml:space="preserve"> vrednost bilančne vsote na dan 31.12.201</w:t>
      </w:r>
      <w:r w:rsidR="00B52A31">
        <w:t>8</w:t>
      </w:r>
      <w:bookmarkEnd w:id="101"/>
    </w:p>
    <w:p w:rsidR="004F573C" w:rsidRDefault="004F573C" w:rsidP="004F573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245"/>
        <w:gridCol w:w="2232"/>
      </w:tblGrid>
      <w:tr w:rsidR="004F573C" w:rsidRPr="008C7D08" w:rsidTr="00976B52">
        <w:tc>
          <w:tcPr>
            <w:tcW w:w="1809" w:type="dxa"/>
            <w:shd w:val="pct25" w:color="auto" w:fill="auto"/>
          </w:tcPr>
          <w:p w:rsidR="004F573C" w:rsidRPr="008C7D08" w:rsidRDefault="004F573C" w:rsidP="008C7D08">
            <w:pPr>
              <w:jc w:val="center"/>
              <w:rPr>
                <w:rFonts w:cs="Arial"/>
                <w:b/>
                <w:color w:val="000000"/>
                <w:sz w:val="18"/>
                <w:szCs w:val="18"/>
              </w:rPr>
            </w:pPr>
            <w:r w:rsidRPr="008C7D08">
              <w:rPr>
                <w:rFonts w:cs="Arial"/>
                <w:b/>
                <w:color w:val="000000"/>
                <w:sz w:val="18"/>
                <w:szCs w:val="18"/>
              </w:rPr>
              <w:t>Razred</w:t>
            </w:r>
          </w:p>
        </w:tc>
        <w:tc>
          <w:tcPr>
            <w:tcW w:w="5245" w:type="dxa"/>
            <w:shd w:val="pct25" w:color="auto" w:fill="auto"/>
            <w:vAlign w:val="bottom"/>
          </w:tcPr>
          <w:p w:rsidR="004F573C" w:rsidRPr="008C7D08" w:rsidRDefault="004F573C" w:rsidP="008C7D08">
            <w:pPr>
              <w:jc w:val="center"/>
              <w:rPr>
                <w:rFonts w:cs="Arial"/>
                <w:b/>
                <w:color w:val="000000"/>
                <w:sz w:val="18"/>
                <w:szCs w:val="18"/>
              </w:rPr>
            </w:pPr>
            <w:r w:rsidRPr="008C7D08">
              <w:rPr>
                <w:rFonts w:cs="Arial"/>
                <w:b/>
                <w:color w:val="000000"/>
                <w:sz w:val="18"/>
                <w:szCs w:val="18"/>
              </w:rPr>
              <w:t>Znesek bilanč</w:t>
            </w:r>
            <w:r w:rsidR="00D434F4">
              <w:rPr>
                <w:rFonts w:cs="Arial"/>
                <w:b/>
                <w:color w:val="000000"/>
                <w:sz w:val="18"/>
                <w:szCs w:val="18"/>
              </w:rPr>
              <w:t>n</w:t>
            </w:r>
            <w:r w:rsidRPr="008C7D08">
              <w:rPr>
                <w:rFonts w:cs="Arial"/>
                <w:b/>
                <w:color w:val="000000"/>
                <w:sz w:val="18"/>
                <w:szCs w:val="18"/>
              </w:rPr>
              <w:t xml:space="preserve">e vsote </w:t>
            </w:r>
            <w:r w:rsidR="00F7790B">
              <w:rPr>
                <w:rFonts w:cs="Arial"/>
                <w:b/>
                <w:color w:val="000000"/>
                <w:sz w:val="18"/>
                <w:szCs w:val="18"/>
              </w:rPr>
              <w:t>(</w:t>
            </w:r>
            <w:r w:rsidR="00EC7965">
              <w:rPr>
                <w:rFonts w:cs="Arial"/>
                <w:b/>
                <w:color w:val="000000"/>
                <w:sz w:val="18"/>
                <w:szCs w:val="18"/>
              </w:rPr>
              <w:t>€</w:t>
            </w:r>
            <w:r w:rsidR="00F7790B">
              <w:rPr>
                <w:rFonts w:cs="Arial"/>
                <w:b/>
                <w:color w:val="000000"/>
                <w:sz w:val="18"/>
                <w:szCs w:val="18"/>
              </w:rPr>
              <w:t>)</w:t>
            </w:r>
          </w:p>
        </w:tc>
        <w:tc>
          <w:tcPr>
            <w:tcW w:w="2232" w:type="dxa"/>
            <w:shd w:val="pct25" w:color="auto" w:fill="auto"/>
            <w:vAlign w:val="bottom"/>
          </w:tcPr>
          <w:p w:rsidR="004F573C" w:rsidRPr="008C7D08" w:rsidRDefault="008765C4" w:rsidP="00DE3814">
            <w:pPr>
              <w:jc w:val="center"/>
              <w:rPr>
                <w:rFonts w:cs="Arial"/>
                <w:b/>
                <w:color w:val="000000"/>
                <w:sz w:val="18"/>
                <w:szCs w:val="18"/>
              </w:rPr>
            </w:pPr>
            <w:r>
              <w:rPr>
                <w:rFonts w:cs="Arial"/>
                <w:b/>
                <w:color w:val="000000"/>
                <w:sz w:val="18"/>
                <w:szCs w:val="18"/>
              </w:rPr>
              <w:t xml:space="preserve">Število </w:t>
            </w:r>
            <w:r w:rsidR="00367CF5">
              <w:rPr>
                <w:rFonts w:cs="Arial"/>
                <w:b/>
                <w:color w:val="000000"/>
                <w:sz w:val="18"/>
                <w:szCs w:val="18"/>
              </w:rPr>
              <w:t>N</w:t>
            </w:r>
            <w:r>
              <w:rPr>
                <w:rFonts w:cs="Arial"/>
                <w:b/>
                <w:color w:val="000000"/>
                <w:sz w:val="18"/>
                <w:szCs w:val="18"/>
              </w:rPr>
              <w:t>PU</w:t>
            </w:r>
            <w:r w:rsidR="0098351D">
              <w:rPr>
                <w:rFonts w:cs="Arial"/>
                <w:b/>
                <w:color w:val="000000"/>
                <w:sz w:val="18"/>
                <w:szCs w:val="18"/>
              </w:rPr>
              <w:t xml:space="preserve"> (</w:t>
            </w:r>
            <w:r w:rsidR="00367CF5">
              <w:rPr>
                <w:rFonts w:cs="Arial"/>
                <w:b/>
                <w:color w:val="000000"/>
                <w:sz w:val="18"/>
                <w:szCs w:val="18"/>
              </w:rPr>
              <w:t>∑ 12</w:t>
            </w:r>
            <w:r w:rsidR="00B52A31">
              <w:rPr>
                <w:rFonts w:cs="Arial"/>
                <w:b/>
                <w:color w:val="000000"/>
                <w:sz w:val="18"/>
                <w:szCs w:val="18"/>
              </w:rPr>
              <w:t>3</w:t>
            </w:r>
            <w:r w:rsidR="00EC7965">
              <w:rPr>
                <w:rFonts w:cs="Arial"/>
                <w:b/>
                <w:color w:val="000000"/>
                <w:sz w:val="18"/>
                <w:szCs w:val="18"/>
              </w:rPr>
              <w:t>5</w:t>
            </w:r>
            <w:r w:rsidR="0098351D">
              <w:rPr>
                <w:rFonts w:cs="Arial"/>
                <w:b/>
                <w:color w:val="000000"/>
                <w:sz w:val="18"/>
                <w:szCs w:val="18"/>
              </w:rPr>
              <w:t>)</w:t>
            </w:r>
          </w:p>
        </w:tc>
      </w:tr>
      <w:tr w:rsidR="00EC7965" w:rsidRPr="008C7D08" w:rsidTr="000F6B5B">
        <w:tc>
          <w:tcPr>
            <w:tcW w:w="1809" w:type="dxa"/>
            <w:shd w:val="pct25" w:color="auto" w:fill="auto"/>
          </w:tcPr>
          <w:p w:rsidR="00EC7965" w:rsidRPr="008C7D08" w:rsidRDefault="00EC7965" w:rsidP="008C7D08">
            <w:pPr>
              <w:jc w:val="center"/>
              <w:rPr>
                <w:rFonts w:cs="Arial"/>
                <w:color w:val="000000"/>
                <w:sz w:val="18"/>
                <w:szCs w:val="18"/>
              </w:rPr>
            </w:pPr>
            <w:r w:rsidRPr="008C7D08">
              <w:rPr>
                <w:rFonts w:cs="Arial"/>
                <w:color w:val="000000"/>
                <w:sz w:val="18"/>
                <w:szCs w:val="18"/>
              </w:rPr>
              <w:t>1</w:t>
            </w:r>
          </w:p>
        </w:tc>
        <w:tc>
          <w:tcPr>
            <w:tcW w:w="5245" w:type="dxa"/>
            <w:shd w:val="clear" w:color="auto" w:fill="auto"/>
            <w:vAlign w:val="bottom"/>
          </w:tcPr>
          <w:p w:rsidR="00EC7965" w:rsidRPr="008C7D08" w:rsidRDefault="00EC7965" w:rsidP="008C7D08">
            <w:pPr>
              <w:jc w:val="center"/>
              <w:rPr>
                <w:rFonts w:cs="Arial"/>
                <w:color w:val="000000"/>
                <w:sz w:val="18"/>
                <w:szCs w:val="18"/>
              </w:rPr>
            </w:pPr>
            <w:r w:rsidRPr="008C7D08">
              <w:rPr>
                <w:rFonts w:cs="Arial"/>
                <w:color w:val="000000"/>
                <w:sz w:val="18"/>
                <w:szCs w:val="18"/>
              </w:rPr>
              <w:t>0</w:t>
            </w:r>
            <w:r>
              <w:rPr>
                <w:rFonts w:cs="Arial"/>
                <w:color w:val="000000"/>
                <w:sz w:val="18"/>
                <w:szCs w:val="18"/>
              </w:rPr>
              <w:t xml:space="preserve"> </w:t>
            </w:r>
          </w:p>
        </w:tc>
        <w:tc>
          <w:tcPr>
            <w:tcW w:w="2232" w:type="dxa"/>
            <w:shd w:val="clear" w:color="auto" w:fill="auto"/>
          </w:tcPr>
          <w:p w:rsidR="00EC7965" w:rsidRPr="00F46CF0" w:rsidRDefault="00EC7965" w:rsidP="00322A0C">
            <w:pPr>
              <w:jc w:val="center"/>
              <w:rPr>
                <w:rFonts w:ascii="Calibri" w:hAnsi="Calibri" w:cs="Arial"/>
                <w:color w:val="000000"/>
                <w:sz w:val="18"/>
                <w:szCs w:val="18"/>
              </w:rPr>
            </w:pPr>
            <w:r w:rsidRPr="000F6B5B">
              <w:rPr>
                <w:rFonts w:ascii="Calibri" w:hAnsi="Calibri" w:cs="Arial"/>
                <w:color w:val="000000"/>
                <w:sz w:val="18"/>
                <w:szCs w:val="18"/>
                <w:lang w:val="sl-SI" w:eastAsia="sl-SI"/>
              </w:rPr>
              <w:t>6</w:t>
            </w:r>
            <w:r w:rsidR="00B52A31">
              <w:rPr>
                <w:rFonts w:ascii="Calibri" w:hAnsi="Calibri" w:cs="Arial"/>
                <w:color w:val="000000"/>
                <w:sz w:val="18"/>
                <w:szCs w:val="18"/>
                <w:lang w:val="sl-SI" w:eastAsia="sl-SI"/>
              </w:rPr>
              <w:t>1</w:t>
            </w:r>
          </w:p>
        </w:tc>
      </w:tr>
      <w:tr w:rsidR="00EC7965" w:rsidRPr="008C7D08" w:rsidTr="000F6B5B">
        <w:tc>
          <w:tcPr>
            <w:tcW w:w="1809" w:type="dxa"/>
            <w:shd w:val="pct25" w:color="auto" w:fill="auto"/>
          </w:tcPr>
          <w:p w:rsidR="00EC7965" w:rsidRPr="008C7D08" w:rsidRDefault="00EC7965" w:rsidP="008C7D08">
            <w:pPr>
              <w:jc w:val="center"/>
              <w:rPr>
                <w:rFonts w:cs="Arial"/>
                <w:color w:val="000000"/>
                <w:sz w:val="18"/>
                <w:szCs w:val="18"/>
              </w:rPr>
            </w:pPr>
            <w:r w:rsidRPr="008C7D08">
              <w:rPr>
                <w:rFonts w:cs="Arial"/>
                <w:color w:val="000000"/>
                <w:sz w:val="18"/>
                <w:szCs w:val="18"/>
              </w:rPr>
              <w:t>2</w:t>
            </w:r>
          </w:p>
        </w:tc>
        <w:tc>
          <w:tcPr>
            <w:tcW w:w="5245" w:type="dxa"/>
            <w:shd w:val="clear" w:color="auto" w:fill="auto"/>
            <w:vAlign w:val="bottom"/>
          </w:tcPr>
          <w:p w:rsidR="00EC7965" w:rsidRPr="008C7D08" w:rsidRDefault="00EC7965" w:rsidP="008C7D08">
            <w:pPr>
              <w:jc w:val="center"/>
              <w:rPr>
                <w:rFonts w:cs="Arial"/>
                <w:color w:val="000000"/>
                <w:sz w:val="18"/>
                <w:szCs w:val="18"/>
              </w:rPr>
            </w:pPr>
            <w:r w:rsidRPr="008C7D08">
              <w:rPr>
                <w:rFonts w:cs="Arial"/>
                <w:color w:val="000000"/>
                <w:sz w:val="18"/>
                <w:szCs w:val="18"/>
              </w:rPr>
              <w:t>0</w:t>
            </w:r>
            <w:r>
              <w:rPr>
                <w:rFonts w:cs="Arial"/>
                <w:color w:val="000000"/>
                <w:sz w:val="18"/>
                <w:szCs w:val="18"/>
              </w:rPr>
              <w:t xml:space="preserve"> </w:t>
            </w:r>
            <w:r w:rsidRPr="008C7D08">
              <w:rPr>
                <w:rFonts w:cs="Arial"/>
                <w:color w:val="000000"/>
                <w:sz w:val="18"/>
                <w:szCs w:val="18"/>
              </w:rPr>
              <w:t xml:space="preserve"> &lt; Bilančna vsota &lt; 100.000</w:t>
            </w:r>
            <w:r>
              <w:rPr>
                <w:rFonts w:cs="Arial"/>
                <w:color w:val="000000"/>
                <w:sz w:val="18"/>
                <w:szCs w:val="18"/>
              </w:rPr>
              <w:t xml:space="preserve"> </w:t>
            </w:r>
          </w:p>
        </w:tc>
        <w:tc>
          <w:tcPr>
            <w:tcW w:w="2232" w:type="dxa"/>
            <w:shd w:val="clear" w:color="auto" w:fill="auto"/>
          </w:tcPr>
          <w:p w:rsidR="00EC7965" w:rsidRPr="00F46CF0" w:rsidRDefault="00B52A31" w:rsidP="00116FC1">
            <w:pPr>
              <w:jc w:val="center"/>
              <w:rPr>
                <w:rFonts w:ascii="Calibri" w:hAnsi="Calibri" w:cs="Arial"/>
                <w:color w:val="000000"/>
                <w:sz w:val="18"/>
                <w:szCs w:val="18"/>
              </w:rPr>
            </w:pPr>
            <w:r>
              <w:rPr>
                <w:rFonts w:ascii="Calibri" w:hAnsi="Calibri" w:cs="Arial"/>
                <w:color w:val="000000"/>
                <w:sz w:val="18"/>
                <w:szCs w:val="18"/>
                <w:lang w:val="sl-SI" w:eastAsia="sl-SI"/>
              </w:rPr>
              <w:t>500</w:t>
            </w:r>
          </w:p>
        </w:tc>
      </w:tr>
      <w:tr w:rsidR="00EC7965" w:rsidRPr="008C7D08" w:rsidTr="000F6B5B">
        <w:tc>
          <w:tcPr>
            <w:tcW w:w="1809" w:type="dxa"/>
            <w:shd w:val="pct25" w:color="auto" w:fill="auto"/>
          </w:tcPr>
          <w:p w:rsidR="00EC7965" w:rsidRPr="008C7D08" w:rsidRDefault="00EC7965" w:rsidP="008C7D08">
            <w:pPr>
              <w:jc w:val="center"/>
              <w:rPr>
                <w:rFonts w:cs="Arial"/>
                <w:color w:val="000000"/>
                <w:sz w:val="18"/>
                <w:szCs w:val="18"/>
              </w:rPr>
            </w:pPr>
            <w:r w:rsidRPr="008C7D08">
              <w:rPr>
                <w:rFonts w:cs="Arial"/>
                <w:color w:val="000000"/>
                <w:sz w:val="18"/>
                <w:szCs w:val="18"/>
              </w:rPr>
              <w:t>3</w:t>
            </w:r>
          </w:p>
        </w:tc>
        <w:tc>
          <w:tcPr>
            <w:tcW w:w="5245" w:type="dxa"/>
            <w:shd w:val="clear" w:color="auto" w:fill="auto"/>
            <w:vAlign w:val="bottom"/>
          </w:tcPr>
          <w:p w:rsidR="00EC7965" w:rsidRPr="008C7D08" w:rsidRDefault="00EC7965" w:rsidP="008C7D08">
            <w:pPr>
              <w:jc w:val="center"/>
              <w:rPr>
                <w:rFonts w:cs="Arial"/>
                <w:color w:val="000000"/>
                <w:sz w:val="18"/>
                <w:szCs w:val="18"/>
              </w:rPr>
            </w:pPr>
            <w:r w:rsidRPr="008C7D08">
              <w:rPr>
                <w:rFonts w:cs="Arial"/>
                <w:color w:val="000000"/>
                <w:sz w:val="18"/>
                <w:szCs w:val="18"/>
              </w:rPr>
              <w:t>100.000</w:t>
            </w:r>
            <w:r>
              <w:rPr>
                <w:rFonts w:cs="Arial"/>
                <w:color w:val="000000"/>
                <w:sz w:val="18"/>
                <w:szCs w:val="18"/>
              </w:rPr>
              <w:t xml:space="preserve"> </w:t>
            </w:r>
            <w:r w:rsidRPr="008C7D08">
              <w:rPr>
                <w:rFonts w:cs="Arial"/>
                <w:color w:val="000000"/>
                <w:sz w:val="18"/>
                <w:szCs w:val="18"/>
              </w:rPr>
              <w:t xml:space="preserve"> &lt; Bilančna vsota &lt; 10.000.000</w:t>
            </w:r>
            <w:r>
              <w:rPr>
                <w:rFonts w:cs="Arial"/>
                <w:color w:val="000000"/>
                <w:sz w:val="18"/>
                <w:szCs w:val="18"/>
              </w:rPr>
              <w:t xml:space="preserve"> </w:t>
            </w:r>
          </w:p>
        </w:tc>
        <w:tc>
          <w:tcPr>
            <w:tcW w:w="2232" w:type="dxa"/>
            <w:shd w:val="clear" w:color="auto" w:fill="auto"/>
          </w:tcPr>
          <w:p w:rsidR="00EC7965" w:rsidRPr="00F46CF0" w:rsidRDefault="00EC7965" w:rsidP="008C7D08">
            <w:pPr>
              <w:jc w:val="center"/>
              <w:rPr>
                <w:rFonts w:ascii="Calibri" w:hAnsi="Calibri" w:cs="Arial"/>
                <w:color w:val="000000"/>
                <w:sz w:val="18"/>
                <w:szCs w:val="18"/>
              </w:rPr>
            </w:pPr>
            <w:r w:rsidRPr="000F6B5B">
              <w:rPr>
                <w:rFonts w:ascii="Calibri" w:hAnsi="Calibri" w:cs="Arial"/>
                <w:color w:val="000000"/>
                <w:sz w:val="18"/>
                <w:szCs w:val="18"/>
                <w:lang w:val="sl-SI" w:eastAsia="sl-SI"/>
              </w:rPr>
              <w:t>4</w:t>
            </w:r>
            <w:r w:rsidR="00B52A31">
              <w:rPr>
                <w:rFonts w:ascii="Calibri" w:hAnsi="Calibri" w:cs="Arial"/>
                <w:color w:val="000000"/>
                <w:sz w:val="18"/>
                <w:szCs w:val="18"/>
                <w:lang w:val="sl-SI" w:eastAsia="sl-SI"/>
              </w:rPr>
              <w:t>85</w:t>
            </w:r>
          </w:p>
        </w:tc>
      </w:tr>
      <w:tr w:rsidR="00EC7965" w:rsidRPr="008C7D08" w:rsidTr="000F6B5B">
        <w:tc>
          <w:tcPr>
            <w:tcW w:w="1809" w:type="dxa"/>
            <w:shd w:val="pct25" w:color="auto" w:fill="auto"/>
          </w:tcPr>
          <w:p w:rsidR="00EC7965" w:rsidRPr="008C7D08" w:rsidRDefault="00EC7965" w:rsidP="008C7D08">
            <w:pPr>
              <w:jc w:val="center"/>
              <w:rPr>
                <w:rFonts w:cs="Arial"/>
                <w:color w:val="000000"/>
                <w:sz w:val="18"/>
                <w:szCs w:val="18"/>
              </w:rPr>
            </w:pPr>
            <w:r w:rsidRPr="008C7D08">
              <w:rPr>
                <w:rFonts w:cs="Arial"/>
                <w:color w:val="000000"/>
                <w:sz w:val="18"/>
                <w:szCs w:val="18"/>
              </w:rPr>
              <w:t>4</w:t>
            </w:r>
          </w:p>
        </w:tc>
        <w:tc>
          <w:tcPr>
            <w:tcW w:w="5245" w:type="dxa"/>
            <w:shd w:val="clear" w:color="auto" w:fill="auto"/>
            <w:vAlign w:val="bottom"/>
          </w:tcPr>
          <w:p w:rsidR="00EC7965" w:rsidRPr="008C7D08" w:rsidRDefault="00EC7965" w:rsidP="008C7D08">
            <w:pPr>
              <w:jc w:val="center"/>
              <w:rPr>
                <w:rFonts w:cs="Arial"/>
                <w:color w:val="000000"/>
                <w:sz w:val="18"/>
                <w:szCs w:val="18"/>
              </w:rPr>
            </w:pPr>
            <w:r w:rsidRPr="008C7D08">
              <w:rPr>
                <w:rFonts w:cs="Arial"/>
                <w:color w:val="000000"/>
                <w:sz w:val="18"/>
                <w:szCs w:val="18"/>
              </w:rPr>
              <w:t>&gt; 10.000.000</w:t>
            </w:r>
            <w:r>
              <w:rPr>
                <w:rFonts w:cs="Arial"/>
                <w:color w:val="000000"/>
                <w:sz w:val="18"/>
                <w:szCs w:val="18"/>
              </w:rPr>
              <w:t xml:space="preserve"> </w:t>
            </w:r>
          </w:p>
        </w:tc>
        <w:tc>
          <w:tcPr>
            <w:tcW w:w="2232" w:type="dxa"/>
            <w:shd w:val="clear" w:color="auto" w:fill="auto"/>
          </w:tcPr>
          <w:p w:rsidR="00EC7965" w:rsidRPr="00F46CF0" w:rsidRDefault="00EC7965" w:rsidP="008C7D08">
            <w:pPr>
              <w:jc w:val="center"/>
              <w:rPr>
                <w:rFonts w:ascii="Calibri" w:hAnsi="Calibri" w:cs="Arial"/>
                <w:color w:val="000000"/>
                <w:sz w:val="18"/>
                <w:szCs w:val="18"/>
              </w:rPr>
            </w:pPr>
            <w:r w:rsidRPr="000F6B5B">
              <w:rPr>
                <w:rFonts w:ascii="Calibri" w:hAnsi="Calibri" w:cs="Arial"/>
                <w:color w:val="000000"/>
                <w:sz w:val="18"/>
                <w:szCs w:val="18"/>
                <w:lang w:val="sl-SI" w:eastAsia="sl-SI"/>
              </w:rPr>
              <w:t>18</w:t>
            </w:r>
            <w:r w:rsidR="00B52A31">
              <w:rPr>
                <w:rFonts w:ascii="Calibri" w:hAnsi="Calibri" w:cs="Arial"/>
                <w:color w:val="000000"/>
                <w:sz w:val="18"/>
                <w:szCs w:val="18"/>
                <w:lang w:val="sl-SI" w:eastAsia="sl-SI"/>
              </w:rPr>
              <w:t>9</w:t>
            </w:r>
          </w:p>
        </w:tc>
      </w:tr>
    </w:tbl>
    <w:p w:rsidR="004F573C" w:rsidRPr="004F573C" w:rsidRDefault="004F573C" w:rsidP="004F573C"/>
    <w:p w:rsidR="003E6898" w:rsidRDefault="00772874" w:rsidP="003E6898">
      <w:proofErr w:type="gramStart"/>
      <w:r>
        <w:t xml:space="preserve">Iz preglednice izhaja, da </w:t>
      </w:r>
      <w:r w:rsidR="00B52A31">
        <w:t xml:space="preserve">61 </w:t>
      </w:r>
      <w:r>
        <w:t>NPU občinskih proračunov nima nobenega premoženja in bi se njihovo poslovanje lahko izkazovalo kot stroškovno mesto znotaj proračuna občine in ne kot samostojna pravna oseba.</w:t>
      </w:r>
      <w:proofErr w:type="gramEnd"/>
      <w:r>
        <w:t xml:space="preserve"> </w:t>
      </w:r>
      <w:proofErr w:type="gramStart"/>
      <w:r w:rsidR="003E6898">
        <w:t xml:space="preserve">Podrobna analiza strukture porazdelitve premoženja in obveznosti NPU občinskih proračunov je prikazana v </w:t>
      </w:r>
      <w:r w:rsidR="00283A45">
        <w:fldChar w:fldCharType="begin"/>
      </w:r>
      <w:r w:rsidR="00283A45">
        <w:instrText xml:space="preserve"> REF _Ref391641171 \h </w:instrText>
      </w:r>
      <w:r w:rsidR="00283A45">
        <w:fldChar w:fldCharType="separate"/>
      </w:r>
      <w:r w:rsidR="00CE55C4">
        <w:t xml:space="preserve">Tabela </w:t>
      </w:r>
      <w:r w:rsidR="00CE55C4">
        <w:rPr>
          <w:noProof/>
        </w:rPr>
        <w:t>19</w:t>
      </w:r>
      <w:r w:rsidR="00283A45">
        <w:fldChar w:fldCharType="end"/>
      </w:r>
      <w:r w:rsidR="00283A45">
        <w:t xml:space="preserve"> </w:t>
      </w:r>
      <w:r w:rsidR="003E6898">
        <w:t xml:space="preserve">(za </w:t>
      </w:r>
      <w:r w:rsidR="00976B52">
        <w:t xml:space="preserve">3 </w:t>
      </w:r>
      <w:r w:rsidR="003E6898">
        <w:t xml:space="preserve">NPU </w:t>
      </w:r>
      <w:r w:rsidR="000A3D9F">
        <w:t>občinskih proračunov</w:t>
      </w:r>
      <w:r w:rsidR="003E6898">
        <w:t xml:space="preserve"> z največjo vrednostjo).</w:t>
      </w:r>
      <w:proofErr w:type="gramEnd"/>
      <w:r w:rsidR="006252B3">
        <w:t xml:space="preserve"> </w:t>
      </w:r>
    </w:p>
    <w:p w:rsidR="006D0328" w:rsidRDefault="006D0328" w:rsidP="003E6898"/>
    <w:p w:rsidR="006D0328" w:rsidRDefault="006D0328" w:rsidP="003E6898">
      <w:r>
        <w:t xml:space="preserve">Poleg navedenega je razvidno, da </w:t>
      </w:r>
      <w:r w:rsidR="007B7F95">
        <w:t>45</w:t>
      </w:r>
      <w:proofErr w:type="gramStart"/>
      <w:r w:rsidR="007B7F95">
        <w:t>,</w:t>
      </w:r>
      <w:r w:rsidR="00B52A31">
        <w:t>4</w:t>
      </w:r>
      <w:proofErr w:type="gramEnd"/>
      <w:r w:rsidR="007B7F95">
        <w:t>%</w:t>
      </w:r>
      <w:r>
        <w:t xml:space="preserve"> NPU občin razpolaga z bilančno vsoto, ki je manjša od 100.000 EUR, zato bi se poslovanje lahko vodilo kot stroškovno mesto znotraj proračuna občine. </w:t>
      </w:r>
    </w:p>
    <w:p w:rsidR="006D0328" w:rsidRDefault="006D0328" w:rsidP="003E6898"/>
    <w:p w:rsidR="006D0328" w:rsidRDefault="006D0328" w:rsidP="003E6898">
      <w:proofErr w:type="gramStart"/>
      <w:r>
        <w:t>V obeh izpostavljenih ugotovitvah gre za krajevne skupnosti občin, ki imajo pravno subjektiviteto in so zato vpisane v RPU kot samostojni NPU.</w:t>
      </w:r>
      <w:proofErr w:type="gramEnd"/>
    </w:p>
    <w:p w:rsidR="003E6898" w:rsidRDefault="003E6898" w:rsidP="003E6898"/>
    <w:p w:rsidR="003E6898" w:rsidRDefault="003E6898" w:rsidP="003E6898">
      <w:pPr>
        <w:pStyle w:val="Caption"/>
      </w:pPr>
      <w:bookmarkStart w:id="102" w:name="_Ref391641171"/>
      <w:bookmarkStart w:id="103" w:name="_Toc49771341"/>
      <w:r>
        <w:t xml:space="preserve">Tabela </w:t>
      </w:r>
      <w:r>
        <w:fldChar w:fldCharType="begin"/>
      </w:r>
      <w:r>
        <w:instrText xml:space="preserve"> SEQ Tabela \* ARABIC </w:instrText>
      </w:r>
      <w:r>
        <w:fldChar w:fldCharType="separate"/>
      </w:r>
      <w:r w:rsidR="00CE55C4">
        <w:rPr>
          <w:noProof/>
        </w:rPr>
        <w:t>19</w:t>
      </w:r>
      <w:r>
        <w:fldChar w:fldCharType="end"/>
      </w:r>
      <w:bookmarkEnd w:id="102"/>
      <w:r>
        <w:t xml:space="preserve">: Struktura porazdelitve premoženja NPU občinskih proračunov po PU </w:t>
      </w:r>
      <w:proofErr w:type="gramStart"/>
      <w:r>
        <w:t>na</w:t>
      </w:r>
      <w:proofErr w:type="gramEnd"/>
      <w:r>
        <w:t xml:space="preserve"> dan 31.12.201</w:t>
      </w:r>
      <w:r w:rsidR="00881FFD">
        <w:t>8</w:t>
      </w:r>
      <w:bookmarkEnd w:id="103"/>
    </w:p>
    <w:p w:rsidR="00296D16" w:rsidRDefault="00296D16" w:rsidP="00296D1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47"/>
        <w:gridCol w:w="1560"/>
        <w:gridCol w:w="1203"/>
      </w:tblGrid>
      <w:tr w:rsidR="00296D16" w:rsidRPr="00972554" w:rsidTr="0014168C">
        <w:trPr>
          <w:trHeight w:val="300"/>
          <w:tblHeader/>
        </w:trPr>
        <w:tc>
          <w:tcPr>
            <w:tcW w:w="3500" w:type="pct"/>
            <w:shd w:val="pct25" w:color="auto" w:fill="auto"/>
            <w:noWrap/>
            <w:vAlign w:val="bottom"/>
          </w:tcPr>
          <w:p w:rsidR="00296D16" w:rsidRPr="00382B0F" w:rsidRDefault="00296D16" w:rsidP="0014168C">
            <w:pPr>
              <w:spacing w:line="240" w:lineRule="auto"/>
              <w:rPr>
                <w:rFonts w:ascii="Calibri" w:hAnsi="Calibri"/>
                <w:b/>
                <w:bCs/>
                <w:color w:val="000000"/>
                <w:sz w:val="18"/>
                <w:szCs w:val="18"/>
                <w:lang w:eastAsia="sl-SI"/>
              </w:rPr>
            </w:pPr>
          </w:p>
        </w:tc>
        <w:tc>
          <w:tcPr>
            <w:tcW w:w="1500" w:type="pct"/>
            <w:gridSpan w:val="2"/>
            <w:shd w:val="pct25" w:color="auto" w:fill="auto"/>
            <w:noWrap/>
            <w:vAlign w:val="bottom"/>
          </w:tcPr>
          <w:p w:rsidR="00296D16" w:rsidRPr="00382B0F" w:rsidRDefault="00296D16" w:rsidP="00382B0F">
            <w:pPr>
              <w:spacing w:line="240" w:lineRule="auto"/>
              <w:jc w:val="center"/>
              <w:rPr>
                <w:rFonts w:ascii="Calibri" w:hAnsi="Calibri"/>
                <w:b/>
                <w:bCs/>
                <w:sz w:val="18"/>
                <w:szCs w:val="18"/>
                <w:lang w:eastAsia="sl-SI"/>
              </w:rPr>
            </w:pPr>
            <w:r w:rsidRPr="00382B0F">
              <w:rPr>
                <w:rFonts w:ascii="Calibri" w:hAnsi="Calibri"/>
                <w:b/>
                <w:bCs/>
                <w:sz w:val="18"/>
                <w:szCs w:val="18"/>
                <w:lang w:eastAsia="sl-SI"/>
              </w:rPr>
              <w:t>Stanje na dan 31.12.201</w:t>
            </w:r>
            <w:r w:rsidR="00881FFD" w:rsidRPr="00382B0F">
              <w:rPr>
                <w:rFonts w:ascii="Calibri" w:hAnsi="Calibri"/>
                <w:b/>
                <w:bCs/>
                <w:sz w:val="18"/>
                <w:szCs w:val="18"/>
                <w:lang w:eastAsia="sl-SI"/>
              </w:rPr>
              <w:t>8</w:t>
            </w:r>
          </w:p>
        </w:tc>
      </w:tr>
      <w:tr w:rsidR="00296D16" w:rsidRPr="00972554" w:rsidTr="0014168C">
        <w:trPr>
          <w:trHeight w:val="300"/>
          <w:tblHeader/>
        </w:trPr>
        <w:tc>
          <w:tcPr>
            <w:tcW w:w="3500" w:type="pct"/>
            <w:shd w:val="pct25" w:color="auto" w:fill="auto"/>
            <w:noWrap/>
            <w:vAlign w:val="bottom"/>
          </w:tcPr>
          <w:p w:rsidR="00296D16" w:rsidRPr="00382B0F" w:rsidRDefault="00296D16" w:rsidP="0014168C">
            <w:pPr>
              <w:spacing w:line="240" w:lineRule="auto"/>
              <w:rPr>
                <w:rFonts w:ascii="Calibri" w:hAnsi="Calibri"/>
                <w:b/>
                <w:bCs/>
                <w:color w:val="000000"/>
                <w:sz w:val="18"/>
                <w:szCs w:val="18"/>
                <w:lang w:eastAsia="sl-SI"/>
              </w:rPr>
            </w:pPr>
            <w:r w:rsidRPr="00382B0F">
              <w:rPr>
                <w:rFonts w:ascii="Calibri" w:hAnsi="Calibri"/>
                <w:b/>
                <w:bCs/>
                <w:color w:val="000000"/>
                <w:sz w:val="18"/>
                <w:szCs w:val="18"/>
                <w:lang w:eastAsia="sl-SI"/>
              </w:rPr>
              <w:t>Oznaka in naziv AOP/PU z največjo vrednostjo</w:t>
            </w:r>
          </w:p>
        </w:tc>
        <w:tc>
          <w:tcPr>
            <w:tcW w:w="847" w:type="pct"/>
            <w:shd w:val="pct25" w:color="auto" w:fill="auto"/>
            <w:noWrap/>
            <w:vAlign w:val="bottom"/>
          </w:tcPr>
          <w:p w:rsidR="00296D16" w:rsidRPr="00412299" w:rsidRDefault="00976B52" w:rsidP="0014168C">
            <w:pPr>
              <w:spacing w:line="240" w:lineRule="auto"/>
              <w:jc w:val="center"/>
              <w:rPr>
                <w:rFonts w:ascii="Calibri" w:hAnsi="Calibri"/>
                <w:b/>
                <w:bCs/>
                <w:color w:val="000000"/>
                <w:sz w:val="18"/>
                <w:szCs w:val="18"/>
                <w:lang w:eastAsia="sl-SI"/>
              </w:rPr>
            </w:pPr>
            <w:r w:rsidRPr="00412299">
              <w:rPr>
                <w:rFonts w:ascii="Calibri" w:hAnsi="Calibri"/>
                <w:b/>
                <w:bCs/>
                <w:color w:val="000000"/>
                <w:sz w:val="18"/>
                <w:szCs w:val="18"/>
                <w:lang w:eastAsia="sl-SI"/>
              </w:rPr>
              <w:t>(</w:t>
            </w:r>
            <w:r w:rsidR="003251F3">
              <w:rPr>
                <w:rFonts w:ascii="Calibri" w:hAnsi="Calibri"/>
                <w:b/>
                <w:bCs/>
                <w:color w:val="000000"/>
                <w:sz w:val="18"/>
                <w:szCs w:val="18"/>
                <w:lang w:eastAsia="sl-SI"/>
              </w:rPr>
              <w:t>€</w:t>
            </w:r>
            <w:r w:rsidRPr="00412299">
              <w:rPr>
                <w:rFonts w:ascii="Calibri" w:hAnsi="Calibri"/>
                <w:b/>
                <w:bCs/>
                <w:color w:val="000000"/>
                <w:sz w:val="18"/>
                <w:szCs w:val="18"/>
                <w:lang w:eastAsia="sl-SI"/>
              </w:rPr>
              <w:t>)</w:t>
            </w:r>
          </w:p>
        </w:tc>
        <w:tc>
          <w:tcPr>
            <w:tcW w:w="653" w:type="pct"/>
            <w:shd w:val="pct25" w:color="auto" w:fill="auto"/>
            <w:noWrap/>
            <w:vAlign w:val="bottom"/>
          </w:tcPr>
          <w:p w:rsidR="00296D16" w:rsidRPr="00116FC1" w:rsidRDefault="003251F3" w:rsidP="0014168C">
            <w:pPr>
              <w:spacing w:line="240" w:lineRule="auto"/>
              <w:jc w:val="center"/>
              <w:rPr>
                <w:rFonts w:ascii="Calibri" w:hAnsi="Calibri"/>
                <w:b/>
                <w:bCs/>
                <w:sz w:val="18"/>
                <w:szCs w:val="18"/>
                <w:lang w:eastAsia="sl-SI"/>
              </w:rPr>
            </w:pPr>
            <w:r>
              <w:rPr>
                <w:rFonts w:ascii="Calibri" w:hAnsi="Calibri"/>
                <w:b/>
                <w:bCs/>
                <w:sz w:val="18"/>
                <w:szCs w:val="18"/>
                <w:lang w:eastAsia="sl-SI"/>
              </w:rPr>
              <w:t>%</w:t>
            </w:r>
          </w:p>
        </w:tc>
      </w:tr>
      <w:tr w:rsidR="00296D16" w:rsidRPr="00972554" w:rsidTr="0014168C">
        <w:trPr>
          <w:trHeight w:val="300"/>
          <w:tblHeader/>
        </w:trPr>
        <w:tc>
          <w:tcPr>
            <w:tcW w:w="3500" w:type="pct"/>
            <w:shd w:val="pct25" w:color="auto" w:fill="auto"/>
            <w:noWrap/>
            <w:vAlign w:val="bottom"/>
          </w:tcPr>
          <w:p w:rsidR="00296D16" w:rsidRPr="00382B0F" w:rsidRDefault="00296D16" w:rsidP="0014168C">
            <w:pPr>
              <w:spacing w:line="240" w:lineRule="auto"/>
              <w:jc w:val="center"/>
              <w:rPr>
                <w:rFonts w:ascii="Calibri" w:hAnsi="Calibri"/>
                <w:b/>
                <w:bCs/>
                <w:color w:val="000000"/>
                <w:sz w:val="18"/>
                <w:szCs w:val="18"/>
                <w:lang w:eastAsia="sl-SI"/>
              </w:rPr>
            </w:pPr>
            <w:r w:rsidRPr="00382B0F">
              <w:rPr>
                <w:rFonts w:ascii="Calibri" w:hAnsi="Calibri"/>
                <w:b/>
                <w:bCs/>
                <w:color w:val="000000"/>
                <w:sz w:val="18"/>
                <w:szCs w:val="18"/>
                <w:lang w:eastAsia="sl-SI"/>
              </w:rPr>
              <w:t>1</w:t>
            </w:r>
          </w:p>
        </w:tc>
        <w:tc>
          <w:tcPr>
            <w:tcW w:w="847" w:type="pct"/>
            <w:shd w:val="pct25" w:color="auto" w:fill="auto"/>
            <w:noWrap/>
            <w:vAlign w:val="bottom"/>
          </w:tcPr>
          <w:p w:rsidR="00296D16" w:rsidRPr="00412299" w:rsidRDefault="00296D16" w:rsidP="0014168C">
            <w:pPr>
              <w:spacing w:line="240" w:lineRule="auto"/>
              <w:jc w:val="center"/>
              <w:rPr>
                <w:rFonts w:ascii="Calibri" w:hAnsi="Calibri"/>
                <w:b/>
                <w:bCs/>
                <w:color w:val="000000"/>
                <w:sz w:val="18"/>
                <w:szCs w:val="18"/>
                <w:lang w:eastAsia="sl-SI"/>
              </w:rPr>
            </w:pPr>
            <w:r w:rsidRPr="00412299">
              <w:rPr>
                <w:rFonts w:ascii="Calibri" w:hAnsi="Calibri"/>
                <w:b/>
                <w:bCs/>
                <w:color w:val="000000"/>
                <w:sz w:val="18"/>
                <w:szCs w:val="18"/>
                <w:lang w:eastAsia="sl-SI"/>
              </w:rPr>
              <w:t>2</w:t>
            </w:r>
          </w:p>
        </w:tc>
        <w:tc>
          <w:tcPr>
            <w:tcW w:w="653" w:type="pct"/>
            <w:shd w:val="pct25" w:color="auto" w:fill="auto"/>
            <w:noWrap/>
            <w:vAlign w:val="bottom"/>
          </w:tcPr>
          <w:p w:rsidR="00296D16" w:rsidRPr="00116FC1" w:rsidRDefault="00296D16" w:rsidP="0014168C">
            <w:pPr>
              <w:spacing w:line="240" w:lineRule="auto"/>
              <w:jc w:val="center"/>
              <w:rPr>
                <w:rFonts w:ascii="Calibri" w:hAnsi="Calibri"/>
                <w:b/>
                <w:bCs/>
                <w:sz w:val="18"/>
                <w:szCs w:val="18"/>
                <w:lang w:eastAsia="sl-SI"/>
              </w:rPr>
            </w:pPr>
            <w:r w:rsidRPr="00116FC1">
              <w:rPr>
                <w:rFonts w:ascii="Calibri" w:hAnsi="Calibri"/>
                <w:b/>
                <w:bCs/>
                <w:sz w:val="18"/>
                <w:szCs w:val="18"/>
                <w:lang w:eastAsia="sl-SI"/>
              </w:rPr>
              <w:t>3</w:t>
            </w:r>
          </w:p>
        </w:tc>
      </w:tr>
      <w:tr w:rsidR="00881FFD" w:rsidRPr="00972554" w:rsidTr="00972554">
        <w:trPr>
          <w:trHeight w:val="300"/>
        </w:trPr>
        <w:tc>
          <w:tcPr>
            <w:tcW w:w="3500" w:type="pct"/>
            <w:shd w:val="clear" w:color="auto" w:fill="auto"/>
            <w:noWrap/>
            <w:hideMark/>
          </w:tcPr>
          <w:p w:rsidR="00881FFD" w:rsidRPr="00412299" w:rsidRDefault="00881FFD"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300-Sedanja vrednost neopredmetenih sredstev in dolgoročnih aktivnih časovnih razmejitev </w:t>
            </w:r>
          </w:p>
        </w:tc>
        <w:tc>
          <w:tcPr>
            <w:tcW w:w="847" w:type="pct"/>
            <w:shd w:val="clear" w:color="auto" w:fill="auto"/>
            <w:noWrap/>
            <w:hideMark/>
          </w:tcPr>
          <w:p w:rsidR="00881FFD" w:rsidRPr="00412299" w:rsidRDefault="00881FFD" w:rsidP="00842A83">
            <w:pPr>
              <w:spacing w:line="240" w:lineRule="auto"/>
              <w:jc w:val="right"/>
              <w:rPr>
                <w:rFonts w:ascii="Calibri" w:hAnsi="Calibri"/>
                <w:b/>
                <w:bCs/>
                <w:sz w:val="18"/>
                <w:szCs w:val="18"/>
                <w:lang w:eastAsia="sl-SI"/>
              </w:rPr>
            </w:pPr>
            <w:r w:rsidRPr="00972554">
              <w:rPr>
                <w:rFonts w:ascii="Calibri" w:hAnsi="Calibri"/>
                <w:b/>
                <w:sz w:val="18"/>
                <w:szCs w:val="18"/>
              </w:rPr>
              <w:t xml:space="preserve">17.916.034 </w:t>
            </w:r>
          </w:p>
        </w:tc>
        <w:tc>
          <w:tcPr>
            <w:tcW w:w="653" w:type="pct"/>
            <w:shd w:val="clear" w:color="auto" w:fill="FFFFFF"/>
            <w:noWrap/>
            <w:hideMark/>
          </w:tcPr>
          <w:p w:rsidR="00881FFD" w:rsidRPr="00116FC1" w:rsidRDefault="00881FFD" w:rsidP="00DE3814">
            <w:pPr>
              <w:spacing w:line="240" w:lineRule="auto"/>
              <w:jc w:val="right"/>
              <w:rPr>
                <w:rFonts w:ascii="Calibri" w:hAnsi="Calibri"/>
                <w:b/>
                <w:bCs/>
                <w:sz w:val="18"/>
                <w:szCs w:val="18"/>
                <w:lang w:eastAsia="sl-SI"/>
              </w:rPr>
            </w:pP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LJUBLJANA</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1.487.108 </w:t>
            </w:r>
          </w:p>
        </w:tc>
        <w:tc>
          <w:tcPr>
            <w:tcW w:w="653" w:type="pct"/>
            <w:shd w:val="clear" w:color="auto" w:fill="FFFFFF"/>
            <w:noWrap/>
            <w:hideMark/>
          </w:tcPr>
          <w:p w:rsidR="00881FFD" w:rsidRPr="00412299" w:rsidRDefault="00881FFD" w:rsidP="00842A83">
            <w:pPr>
              <w:spacing w:line="240" w:lineRule="auto"/>
              <w:jc w:val="right"/>
              <w:rPr>
                <w:rFonts w:ascii="Calibri" w:hAnsi="Calibri"/>
                <w:sz w:val="18"/>
                <w:szCs w:val="18"/>
                <w:lang w:eastAsia="sl-SI"/>
              </w:rPr>
            </w:pPr>
            <w:r w:rsidRPr="00972554">
              <w:rPr>
                <w:rFonts w:ascii="Calibri" w:hAnsi="Calibri"/>
                <w:sz w:val="18"/>
                <w:szCs w:val="18"/>
              </w:rPr>
              <w:t>8,30</w:t>
            </w: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OBČINA DOLENJSKE TOPLICE</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1.127.913 </w:t>
            </w:r>
          </w:p>
        </w:tc>
        <w:tc>
          <w:tcPr>
            <w:tcW w:w="653" w:type="pct"/>
            <w:shd w:val="clear" w:color="auto" w:fill="FFFFFF"/>
            <w:noWrap/>
            <w:hideMark/>
          </w:tcPr>
          <w:p w:rsidR="00881FFD" w:rsidRPr="00412299" w:rsidRDefault="00881FFD" w:rsidP="00842A83">
            <w:pPr>
              <w:spacing w:line="240" w:lineRule="auto"/>
              <w:jc w:val="right"/>
              <w:rPr>
                <w:rFonts w:ascii="Calibri" w:hAnsi="Calibri"/>
                <w:sz w:val="18"/>
                <w:szCs w:val="18"/>
                <w:lang w:eastAsia="sl-SI"/>
              </w:rPr>
            </w:pPr>
            <w:r w:rsidRPr="00972554">
              <w:rPr>
                <w:rFonts w:ascii="Calibri" w:hAnsi="Calibri"/>
                <w:sz w:val="18"/>
                <w:szCs w:val="18"/>
              </w:rPr>
              <w:t>6,30</w:t>
            </w: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OBČINA HRPELJE - KOZINA</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938.916 </w:t>
            </w:r>
          </w:p>
        </w:tc>
        <w:tc>
          <w:tcPr>
            <w:tcW w:w="653" w:type="pct"/>
            <w:shd w:val="clear" w:color="auto" w:fill="FFFFFF"/>
            <w:noWrap/>
            <w:hideMark/>
          </w:tcPr>
          <w:p w:rsidR="00881FFD" w:rsidRPr="00412299" w:rsidRDefault="00881FFD" w:rsidP="00842A83">
            <w:pPr>
              <w:spacing w:line="240" w:lineRule="auto"/>
              <w:jc w:val="right"/>
              <w:rPr>
                <w:rFonts w:ascii="Calibri" w:hAnsi="Calibri"/>
                <w:sz w:val="18"/>
                <w:szCs w:val="18"/>
                <w:lang w:eastAsia="sl-SI"/>
              </w:rPr>
            </w:pPr>
            <w:r w:rsidRPr="00972554">
              <w:rPr>
                <w:rFonts w:ascii="Calibri" w:hAnsi="Calibri"/>
                <w:sz w:val="18"/>
                <w:szCs w:val="18"/>
              </w:rPr>
              <w:t>5,24</w:t>
            </w:r>
          </w:p>
        </w:tc>
      </w:tr>
      <w:tr w:rsidR="00881FFD" w:rsidRPr="00972554" w:rsidTr="00972554">
        <w:trPr>
          <w:trHeight w:val="300"/>
        </w:trPr>
        <w:tc>
          <w:tcPr>
            <w:tcW w:w="3500" w:type="pct"/>
            <w:shd w:val="clear" w:color="auto" w:fill="auto"/>
            <w:noWrap/>
            <w:hideMark/>
          </w:tcPr>
          <w:p w:rsidR="00881FFD" w:rsidRPr="00972554" w:rsidRDefault="00881FFD"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301-Nabavna vrednost neopredmetenih sredstev in dolgoročnih aktivnih časovnih razmejitev </w:t>
            </w:r>
          </w:p>
        </w:tc>
        <w:tc>
          <w:tcPr>
            <w:tcW w:w="847" w:type="pct"/>
            <w:shd w:val="clear" w:color="auto" w:fill="auto"/>
            <w:noWrap/>
            <w:hideMark/>
          </w:tcPr>
          <w:p w:rsidR="00881FFD" w:rsidRPr="00412299" w:rsidRDefault="00881FFD" w:rsidP="00842A83">
            <w:pPr>
              <w:spacing w:line="240" w:lineRule="auto"/>
              <w:jc w:val="right"/>
              <w:rPr>
                <w:rFonts w:ascii="Calibri" w:hAnsi="Calibri"/>
                <w:b/>
                <w:bCs/>
                <w:sz w:val="18"/>
                <w:szCs w:val="18"/>
                <w:lang w:eastAsia="sl-SI"/>
              </w:rPr>
            </w:pPr>
            <w:r w:rsidRPr="00972554">
              <w:rPr>
                <w:rFonts w:ascii="Calibri" w:hAnsi="Calibri"/>
                <w:b/>
                <w:sz w:val="18"/>
                <w:szCs w:val="18"/>
              </w:rPr>
              <w:t xml:space="preserve">65.092.993 </w:t>
            </w:r>
          </w:p>
        </w:tc>
        <w:tc>
          <w:tcPr>
            <w:tcW w:w="653" w:type="pct"/>
            <w:shd w:val="clear" w:color="auto" w:fill="FFFFFF"/>
            <w:noWrap/>
            <w:hideMark/>
          </w:tcPr>
          <w:p w:rsidR="00881FFD" w:rsidRPr="00116FC1" w:rsidRDefault="00881FFD" w:rsidP="00DE3814">
            <w:pPr>
              <w:spacing w:line="240" w:lineRule="auto"/>
              <w:jc w:val="right"/>
              <w:rPr>
                <w:rFonts w:ascii="Calibri" w:hAnsi="Calibri"/>
                <w:b/>
                <w:bCs/>
                <w:sz w:val="18"/>
                <w:szCs w:val="18"/>
                <w:lang w:eastAsia="sl-SI"/>
              </w:rPr>
            </w:pP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LJUBLJANA</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9.664.739 </w:t>
            </w:r>
          </w:p>
        </w:tc>
        <w:tc>
          <w:tcPr>
            <w:tcW w:w="653" w:type="pct"/>
            <w:shd w:val="clear" w:color="auto" w:fill="FFFFFF"/>
            <w:noWrap/>
            <w:hideMark/>
          </w:tcPr>
          <w:p w:rsidR="00881FFD" w:rsidRPr="00412299" w:rsidRDefault="00881FFD" w:rsidP="00842A83">
            <w:pPr>
              <w:spacing w:line="240" w:lineRule="auto"/>
              <w:jc w:val="right"/>
              <w:rPr>
                <w:rFonts w:ascii="Calibri" w:hAnsi="Calibri"/>
                <w:sz w:val="18"/>
                <w:szCs w:val="18"/>
                <w:lang w:eastAsia="sl-SI"/>
              </w:rPr>
            </w:pPr>
            <w:r w:rsidRPr="00972554">
              <w:rPr>
                <w:rFonts w:ascii="Calibri" w:hAnsi="Calibri"/>
                <w:sz w:val="18"/>
                <w:szCs w:val="18"/>
              </w:rPr>
              <w:t>14,85</w:t>
            </w: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lastRenderedPageBreak/>
              <w:t>MESTNA OBČINA MARIBOR</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5.653.580 </w:t>
            </w:r>
          </w:p>
        </w:tc>
        <w:tc>
          <w:tcPr>
            <w:tcW w:w="653" w:type="pct"/>
            <w:shd w:val="clear" w:color="auto" w:fill="FFFFFF"/>
            <w:noWrap/>
            <w:hideMark/>
          </w:tcPr>
          <w:p w:rsidR="00881FFD" w:rsidRPr="00412299" w:rsidRDefault="00881FFD" w:rsidP="00842A83">
            <w:pPr>
              <w:spacing w:line="240" w:lineRule="auto"/>
              <w:jc w:val="right"/>
              <w:rPr>
                <w:rFonts w:ascii="Calibri" w:hAnsi="Calibri"/>
                <w:sz w:val="18"/>
                <w:szCs w:val="18"/>
                <w:lang w:eastAsia="sl-SI"/>
              </w:rPr>
            </w:pPr>
            <w:r w:rsidRPr="00972554">
              <w:rPr>
                <w:rFonts w:ascii="Calibri" w:hAnsi="Calibri"/>
                <w:sz w:val="18"/>
                <w:szCs w:val="18"/>
              </w:rPr>
              <w:t>8,69</w:t>
            </w: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NOVO MESTO</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4.414.985 </w:t>
            </w:r>
          </w:p>
        </w:tc>
        <w:tc>
          <w:tcPr>
            <w:tcW w:w="653" w:type="pct"/>
            <w:shd w:val="clear" w:color="auto" w:fill="FFFFFF"/>
            <w:noWrap/>
            <w:hideMark/>
          </w:tcPr>
          <w:p w:rsidR="00881FFD" w:rsidRPr="00412299" w:rsidRDefault="00881FFD" w:rsidP="00842A83">
            <w:pPr>
              <w:spacing w:line="240" w:lineRule="auto"/>
              <w:jc w:val="right"/>
              <w:rPr>
                <w:rFonts w:ascii="Calibri" w:hAnsi="Calibri"/>
                <w:sz w:val="18"/>
                <w:szCs w:val="18"/>
                <w:lang w:eastAsia="sl-SI"/>
              </w:rPr>
            </w:pPr>
            <w:r w:rsidRPr="00972554">
              <w:rPr>
                <w:rFonts w:ascii="Calibri" w:hAnsi="Calibri"/>
                <w:sz w:val="18"/>
                <w:szCs w:val="18"/>
              </w:rPr>
              <w:t>6,78</w:t>
            </w:r>
          </w:p>
        </w:tc>
      </w:tr>
      <w:tr w:rsidR="00881FFD" w:rsidRPr="00972554" w:rsidTr="00972554">
        <w:trPr>
          <w:trHeight w:val="300"/>
        </w:trPr>
        <w:tc>
          <w:tcPr>
            <w:tcW w:w="3500" w:type="pct"/>
            <w:shd w:val="clear" w:color="auto" w:fill="auto"/>
            <w:noWrap/>
            <w:hideMark/>
          </w:tcPr>
          <w:p w:rsidR="00881FFD" w:rsidRPr="00412299" w:rsidRDefault="00881FFD"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302-Popravki vrednosti neopredmetenih sredstev </w:t>
            </w:r>
          </w:p>
        </w:tc>
        <w:tc>
          <w:tcPr>
            <w:tcW w:w="847" w:type="pct"/>
            <w:shd w:val="clear" w:color="auto" w:fill="auto"/>
            <w:noWrap/>
            <w:hideMark/>
          </w:tcPr>
          <w:p w:rsidR="00881FFD" w:rsidRPr="00412299" w:rsidRDefault="00881FFD" w:rsidP="00842A83">
            <w:pPr>
              <w:spacing w:line="240" w:lineRule="auto"/>
              <w:jc w:val="right"/>
              <w:rPr>
                <w:rFonts w:ascii="Calibri" w:hAnsi="Calibri"/>
                <w:b/>
                <w:bCs/>
                <w:sz w:val="18"/>
                <w:szCs w:val="18"/>
                <w:lang w:eastAsia="sl-SI"/>
              </w:rPr>
            </w:pPr>
            <w:r w:rsidRPr="00972554">
              <w:rPr>
                <w:rFonts w:ascii="Calibri" w:hAnsi="Calibri"/>
                <w:b/>
                <w:sz w:val="18"/>
                <w:szCs w:val="18"/>
              </w:rPr>
              <w:t xml:space="preserve">47.176.959 </w:t>
            </w:r>
          </w:p>
        </w:tc>
        <w:tc>
          <w:tcPr>
            <w:tcW w:w="653" w:type="pct"/>
            <w:shd w:val="clear" w:color="auto" w:fill="FFFFFF"/>
            <w:noWrap/>
            <w:hideMark/>
          </w:tcPr>
          <w:p w:rsidR="00881FFD" w:rsidRPr="00116FC1" w:rsidRDefault="00881FFD" w:rsidP="00DE3814">
            <w:pPr>
              <w:spacing w:line="240" w:lineRule="auto"/>
              <w:jc w:val="right"/>
              <w:rPr>
                <w:rFonts w:ascii="Calibri" w:hAnsi="Calibri"/>
                <w:b/>
                <w:bCs/>
                <w:sz w:val="18"/>
                <w:szCs w:val="18"/>
                <w:lang w:eastAsia="sl-SI"/>
              </w:rPr>
            </w:pP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LJUBLJANA</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8.177.631 </w:t>
            </w:r>
          </w:p>
        </w:tc>
        <w:tc>
          <w:tcPr>
            <w:tcW w:w="653" w:type="pct"/>
            <w:shd w:val="clear" w:color="auto" w:fill="FFFFFF"/>
            <w:noWrap/>
            <w:hideMark/>
          </w:tcPr>
          <w:p w:rsidR="00881FFD" w:rsidRPr="00412299" w:rsidRDefault="00881FFD" w:rsidP="00842A83">
            <w:pPr>
              <w:spacing w:line="240" w:lineRule="auto"/>
              <w:jc w:val="right"/>
              <w:rPr>
                <w:rFonts w:ascii="Calibri" w:hAnsi="Calibri"/>
                <w:sz w:val="18"/>
                <w:szCs w:val="18"/>
                <w:lang w:eastAsia="sl-SI"/>
              </w:rPr>
            </w:pPr>
            <w:r w:rsidRPr="00972554">
              <w:rPr>
                <w:rFonts w:ascii="Calibri" w:hAnsi="Calibri"/>
                <w:sz w:val="18"/>
                <w:szCs w:val="18"/>
              </w:rPr>
              <w:t>17,33</w:t>
            </w: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MARIBOR</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5.134.645 </w:t>
            </w:r>
          </w:p>
        </w:tc>
        <w:tc>
          <w:tcPr>
            <w:tcW w:w="653" w:type="pct"/>
            <w:shd w:val="clear" w:color="auto" w:fill="FFFFFF"/>
            <w:noWrap/>
            <w:hideMark/>
          </w:tcPr>
          <w:p w:rsidR="00881FFD" w:rsidRPr="00412299" w:rsidRDefault="00881FFD" w:rsidP="00842A83">
            <w:pPr>
              <w:spacing w:line="240" w:lineRule="auto"/>
              <w:jc w:val="right"/>
              <w:rPr>
                <w:rFonts w:ascii="Calibri" w:hAnsi="Calibri"/>
                <w:sz w:val="18"/>
                <w:szCs w:val="18"/>
                <w:lang w:eastAsia="sl-SI"/>
              </w:rPr>
            </w:pPr>
            <w:r w:rsidRPr="00972554">
              <w:rPr>
                <w:rFonts w:ascii="Calibri" w:hAnsi="Calibri"/>
                <w:sz w:val="18"/>
                <w:szCs w:val="18"/>
              </w:rPr>
              <w:t>10,88</w:t>
            </w: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NOVO MESTO</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4.180.150 </w:t>
            </w:r>
          </w:p>
        </w:tc>
        <w:tc>
          <w:tcPr>
            <w:tcW w:w="653" w:type="pct"/>
            <w:shd w:val="clear" w:color="auto" w:fill="FFFFFF"/>
            <w:noWrap/>
            <w:hideMark/>
          </w:tcPr>
          <w:p w:rsidR="00881FFD" w:rsidRPr="00412299" w:rsidRDefault="00881FFD" w:rsidP="00842A83">
            <w:pPr>
              <w:spacing w:line="240" w:lineRule="auto"/>
              <w:jc w:val="right"/>
              <w:rPr>
                <w:rFonts w:ascii="Calibri" w:hAnsi="Calibri"/>
                <w:sz w:val="18"/>
                <w:szCs w:val="18"/>
                <w:lang w:eastAsia="sl-SI"/>
              </w:rPr>
            </w:pPr>
            <w:r w:rsidRPr="00972554">
              <w:rPr>
                <w:rFonts w:ascii="Calibri" w:hAnsi="Calibri"/>
                <w:sz w:val="18"/>
                <w:szCs w:val="18"/>
              </w:rPr>
              <w:t>8,86</w:t>
            </w:r>
          </w:p>
        </w:tc>
      </w:tr>
      <w:tr w:rsidR="00881FFD" w:rsidRPr="00972554" w:rsidTr="00972554">
        <w:trPr>
          <w:trHeight w:val="300"/>
        </w:trPr>
        <w:tc>
          <w:tcPr>
            <w:tcW w:w="3500" w:type="pct"/>
            <w:shd w:val="clear" w:color="auto" w:fill="auto"/>
            <w:noWrap/>
            <w:hideMark/>
          </w:tcPr>
          <w:p w:rsidR="00881FFD" w:rsidRPr="00412299" w:rsidRDefault="00881FFD"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303-Sedanja vrednost nepremičnin </w:t>
            </w:r>
          </w:p>
        </w:tc>
        <w:tc>
          <w:tcPr>
            <w:tcW w:w="847" w:type="pct"/>
            <w:shd w:val="clear" w:color="auto" w:fill="auto"/>
            <w:noWrap/>
            <w:hideMark/>
          </w:tcPr>
          <w:p w:rsidR="00881FFD" w:rsidRPr="00116FC1" w:rsidRDefault="00881FFD" w:rsidP="00842A83">
            <w:pPr>
              <w:spacing w:line="240" w:lineRule="auto"/>
              <w:jc w:val="right"/>
              <w:rPr>
                <w:rFonts w:ascii="Calibri" w:hAnsi="Calibri"/>
                <w:b/>
                <w:bCs/>
                <w:sz w:val="18"/>
                <w:szCs w:val="18"/>
                <w:lang w:eastAsia="sl-SI"/>
              </w:rPr>
            </w:pPr>
            <w:r w:rsidRPr="00972554">
              <w:rPr>
                <w:rFonts w:ascii="Calibri" w:hAnsi="Calibri"/>
                <w:b/>
                <w:sz w:val="18"/>
                <w:szCs w:val="18"/>
              </w:rPr>
              <w:t xml:space="preserve">9.962.122.070 </w:t>
            </w:r>
          </w:p>
        </w:tc>
        <w:tc>
          <w:tcPr>
            <w:tcW w:w="653" w:type="pct"/>
            <w:shd w:val="clear" w:color="auto" w:fill="FFFFFF"/>
            <w:noWrap/>
            <w:hideMark/>
          </w:tcPr>
          <w:p w:rsidR="00881FFD" w:rsidRPr="00972554" w:rsidRDefault="00881FFD" w:rsidP="00DE3814">
            <w:pPr>
              <w:spacing w:line="240" w:lineRule="auto"/>
              <w:jc w:val="right"/>
              <w:rPr>
                <w:rFonts w:ascii="Calibri" w:hAnsi="Calibri"/>
                <w:b/>
                <w:bCs/>
                <w:sz w:val="18"/>
                <w:szCs w:val="18"/>
                <w:lang w:eastAsia="sl-SI"/>
              </w:rPr>
            </w:pP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KOPER</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1.537.260.413 </w:t>
            </w:r>
          </w:p>
        </w:tc>
        <w:tc>
          <w:tcPr>
            <w:tcW w:w="653" w:type="pct"/>
            <w:shd w:val="clear" w:color="auto" w:fill="FFFFFF"/>
            <w:noWrap/>
            <w:hideMark/>
          </w:tcPr>
          <w:p w:rsidR="00881FFD" w:rsidRPr="00412299" w:rsidRDefault="00881FFD" w:rsidP="00842A83">
            <w:pPr>
              <w:spacing w:line="240" w:lineRule="auto"/>
              <w:jc w:val="right"/>
              <w:rPr>
                <w:rFonts w:ascii="Calibri" w:hAnsi="Calibri"/>
                <w:sz w:val="18"/>
                <w:szCs w:val="18"/>
                <w:lang w:eastAsia="sl-SI"/>
              </w:rPr>
            </w:pPr>
            <w:r w:rsidRPr="00972554">
              <w:rPr>
                <w:rFonts w:ascii="Calibri" w:hAnsi="Calibri"/>
                <w:sz w:val="18"/>
                <w:szCs w:val="18"/>
              </w:rPr>
              <w:t>15,43</w:t>
            </w: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LJUBLJANA</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1.023.794.695 </w:t>
            </w:r>
          </w:p>
        </w:tc>
        <w:tc>
          <w:tcPr>
            <w:tcW w:w="653" w:type="pct"/>
            <w:shd w:val="clear" w:color="auto" w:fill="FFFFFF"/>
            <w:noWrap/>
            <w:hideMark/>
          </w:tcPr>
          <w:p w:rsidR="00881FFD" w:rsidRPr="00412299" w:rsidRDefault="00881FFD" w:rsidP="00842A83">
            <w:pPr>
              <w:spacing w:line="240" w:lineRule="auto"/>
              <w:jc w:val="right"/>
              <w:rPr>
                <w:rFonts w:ascii="Calibri" w:hAnsi="Calibri"/>
                <w:sz w:val="18"/>
                <w:szCs w:val="18"/>
                <w:lang w:eastAsia="sl-SI"/>
              </w:rPr>
            </w:pPr>
            <w:r w:rsidRPr="00972554">
              <w:rPr>
                <w:rFonts w:ascii="Calibri" w:hAnsi="Calibri"/>
                <w:sz w:val="18"/>
                <w:szCs w:val="18"/>
              </w:rPr>
              <w:t>10,28</w:t>
            </w: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MARIBOR</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280.125.265 </w:t>
            </w:r>
          </w:p>
        </w:tc>
        <w:tc>
          <w:tcPr>
            <w:tcW w:w="653" w:type="pct"/>
            <w:shd w:val="clear" w:color="auto" w:fill="FFFFFF"/>
            <w:noWrap/>
            <w:hideMark/>
          </w:tcPr>
          <w:p w:rsidR="00881FFD" w:rsidRPr="00412299" w:rsidRDefault="00881FFD" w:rsidP="00842A83">
            <w:pPr>
              <w:spacing w:line="240" w:lineRule="auto"/>
              <w:jc w:val="right"/>
              <w:rPr>
                <w:rFonts w:ascii="Calibri" w:hAnsi="Calibri"/>
                <w:sz w:val="18"/>
                <w:szCs w:val="18"/>
                <w:lang w:eastAsia="sl-SI"/>
              </w:rPr>
            </w:pPr>
            <w:r w:rsidRPr="00972554">
              <w:rPr>
                <w:rFonts w:ascii="Calibri" w:hAnsi="Calibri"/>
                <w:sz w:val="18"/>
                <w:szCs w:val="18"/>
              </w:rPr>
              <w:t>2,81</w:t>
            </w:r>
          </w:p>
        </w:tc>
      </w:tr>
      <w:tr w:rsidR="00881FFD" w:rsidRPr="00972554" w:rsidTr="00972554">
        <w:trPr>
          <w:trHeight w:val="300"/>
        </w:trPr>
        <w:tc>
          <w:tcPr>
            <w:tcW w:w="3500" w:type="pct"/>
            <w:shd w:val="clear" w:color="auto" w:fill="auto"/>
            <w:noWrap/>
            <w:hideMark/>
          </w:tcPr>
          <w:p w:rsidR="00881FFD" w:rsidRPr="00412299" w:rsidRDefault="00881FFD"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304-Nabavna vrednost nepremičnin </w:t>
            </w:r>
          </w:p>
        </w:tc>
        <w:tc>
          <w:tcPr>
            <w:tcW w:w="847" w:type="pct"/>
            <w:shd w:val="clear" w:color="auto" w:fill="auto"/>
            <w:noWrap/>
            <w:hideMark/>
          </w:tcPr>
          <w:p w:rsidR="00881FFD" w:rsidRPr="00412299" w:rsidRDefault="00881FFD" w:rsidP="00DE3814">
            <w:pPr>
              <w:spacing w:line="240" w:lineRule="auto"/>
              <w:jc w:val="right"/>
              <w:rPr>
                <w:rFonts w:ascii="Calibri" w:hAnsi="Calibri"/>
                <w:b/>
                <w:bCs/>
                <w:sz w:val="18"/>
                <w:szCs w:val="18"/>
                <w:lang w:eastAsia="sl-SI"/>
              </w:rPr>
            </w:pPr>
            <w:r w:rsidRPr="00972554">
              <w:rPr>
                <w:rFonts w:ascii="Calibri" w:hAnsi="Calibri"/>
                <w:b/>
                <w:sz w:val="18"/>
                <w:szCs w:val="18"/>
              </w:rPr>
              <w:t xml:space="preserve">13.128.777.663 </w:t>
            </w:r>
          </w:p>
        </w:tc>
        <w:tc>
          <w:tcPr>
            <w:tcW w:w="653" w:type="pct"/>
            <w:shd w:val="clear" w:color="auto" w:fill="FFFFFF"/>
            <w:noWrap/>
            <w:hideMark/>
          </w:tcPr>
          <w:p w:rsidR="00881FFD" w:rsidRPr="00116FC1" w:rsidRDefault="00881FFD" w:rsidP="00D55FCA">
            <w:pPr>
              <w:spacing w:line="240" w:lineRule="auto"/>
              <w:jc w:val="right"/>
              <w:rPr>
                <w:rFonts w:ascii="Calibri" w:hAnsi="Calibri"/>
                <w:b/>
                <w:bCs/>
                <w:sz w:val="18"/>
                <w:szCs w:val="18"/>
                <w:lang w:eastAsia="sl-SI"/>
              </w:rPr>
            </w:pP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KOPER</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1.635.733.579 </w:t>
            </w:r>
          </w:p>
        </w:tc>
        <w:tc>
          <w:tcPr>
            <w:tcW w:w="653" w:type="pct"/>
            <w:shd w:val="clear" w:color="auto" w:fill="FFFFFF"/>
            <w:noWrap/>
            <w:hideMark/>
          </w:tcPr>
          <w:p w:rsidR="00881FFD" w:rsidRPr="00412299" w:rsidRDefault="00881FFD" w:rsidP="00DE3814">
            <w:pPr>
              <w:spacing w:line="240" w:lineRule="auto"/>
              <w:jc w:val="right"/>
              <w:rPr>
                <w:rFonts w:ascii="Calibri" w:hAnsi="Calibri"/>
                <w:sz w:val="18"/>
                <w:szCs w:val="18"/>
                <w:lang w:eastAsia="sl-SI"/>
              </w:rPr>
            </w:pPr>
            <w:r w:rsidRPr="00972554">
              <w:rPr>
                <w:rFonts w:ascii="Calibri" w:hAnsi="Calibri"/>
                <w:sz w:val="18"/>
                <w:szCs w:val="18"/>
              </w:rPr>
              <w:t>12,46</w:t>
            </w: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LJUBLJANA</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1.285.140.972 </w:t>
            </w:r>
          </w:p>
        </w:tc>
        <w:tc>
          <w:tcPr>
            <w:tcW w:w="653" w:type="pct"/>
            <w:shd w:val="clear" w:color="auto" w:fill="FFFFFF"/>
            <w:noWrap/>
            <w:hideMark/>
          </w:tcPr>
          <w:p w:rsidR="00881FFD" w:rsidRPr="00116FC1" w:rsidRDefault="00881FFD" w:rsidP="00DE3814">
            <w:pPr>
              <w:spacing w:line="240" w:lineRule="auto"/>
              <w:jc w:val="right"/>
              <w:rPr>
                <w:rFonts w:ascii="Calibri" w:hAnsi="Calibri"/>
                <w:sz w:val="18"/>
                <w:szCs w:val="18"/>
                <w:lang w:eastAsia="sl-SI"/>
              </w:rPr>
            </w:pPr>
            <w:r w:rsidRPr="00972554">
              <w:rPr>
                <w:rFonts w:ascii="Calibri" w:hAnsi="Calibri"/>
                <w:sz w:val="18"/>
                <w:szCs w:val="18"/>
              </w:rPr>
              <w:t>9,79</w:t>
            </w: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MARIBOR</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534.840.976 </w:t>
            </w:r>
          </w:p>
        </w:tc>
        <w:tc>
          <w:tcPr>
            <w:tcW w:w="653" w:type="pct"/>
            <w:shd w:val="clear" w:color="auto" w:fill="FFFFFF"/>
            <w:noWrap/>
            <w:hideMark/>
          </w:tcPr>
          <w:p w:rsidR="00881FFD" w:rsidRPr="00412299" w:rsidRDefault="00881FFD" w:rsidP="00DE3814">
            <w:pPr>
              <w:spacing w:line="240" w:lineRule="auto"/>
              <w:jc w:val="right"/>
              <w:rPr>
                <w:rFonts w:ascii="Calibri" w:hAnsi="Calibri"/>
                <w:sz w:val="18"/>
                <w:szCs w:val="18"/>
                <w:lang w:eastAsia="sl-SI"/>
              </w:rPr>
            </w:pPr>
            <w:r w:rsidRPr="00972554">
              <w:rPr>
                <w:rFonts w:ascii="Calibri" w:hAnsi="Calibri"/>
                <w:sz w:val="18"/>
                <w:szCs w:val="18"/>
              </w:rPr>
              <w:t>4,07</w:t>
            </w:r>
          </w:p>
        </w:tc>
      </w:tr>
      <w:tr w:rsidR="00881FFD" w:rsidRPr="00972554" w:rsidTr="00972554">
        <w:trPr>
          <w:trHeight w:val="300"/>
        </w:trPr>
        <w:tc>
          <w:tcPr>
            <w:tcW w:w="3500" w:type="pct"/>
            <w:shd w:val="clear" w:color="auto" w:fill="auto"/>
            <w:noWrap/>
            <w:hideMark/>
          </w:tcPr>
          <w:p w:rsidR="00881FFD" w:rsidRPr="00412299" w:rsidRDefault="00881FFD"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305-Popravek vrednosti nepremičnin </w:t>
            </w:r>
          </w:p>
        </w:tc>
        <w:tc>
          <w:tcPr>
            <w:tcW w:w="847" w:type="pct"/>
            <w:shd w:val="clear" w:color="auto" w:fill="auto"/>
            <w:noWrap/>
            <w:hideMark/>
          </w:tcPr>
          <w:p w:rsidR="00881FFD" w:rsidRPr="00412299" w:rsidRDefault="00881FFD" w:rsidP="00DE3814">
            <w:pPr>
              <w:spacing w:line="240" w:lineRule="auto"/>
              <w:jc w:val="right"/>
              <w:rPr>
                <w:rFonts w:ascii="Calibri" w:hAnsi="Calibri"/>
                <w:b/>
                <w:bCs/>
                <w:sz w:val="18"/>
                <w:szCs w:val="18"/>
                <w:lang w:eastAsia="sl-SI"/>
              </w:rPr>
            </w:pPr>
            <w:r w:rsidRPr="00972554">
              <w:rPr>
                <w:rFonts w:ascii="Calibri" w:hAnsi="Calibri"/>
                <w:b/>
                <w:sz w:val="18"/>
                <w:szCs w:val="18"/>
              </w:rPr>
              <w:t xml:space="preserve">3.166.655.593 </w:t>
            </w:r>
          </w:p>
        </w:tc>
        <w:tc>
          <w:tcPr>
            <w:tcW w:w="653" w:type="pct"/>
            <w:shd w:val="clear" w:color="auto" w:fill="FFFFFF"/>
            <w:noWrap/>
            <w:hideMark/>
          </w:tcPr>
          <w:p w:rsidR="00881FFD" w:rsidRPr="00116FC1" w:rsidRDefault="00881FFD" w:rsidP="00D55FCA">
            <w:pPr>
              <w:spacing w:line="240" w:lineRule="auto"/>
              <w:jc w:val="right"/>
              <w:rPr>
                <w:rFonts w:ascii="Calibri" w:hAnsi="Calibri"/>
                <w:b/>
                <w:bCs/>
                <w:sz w:val="18"/>
                <w:szCs w:val="18"/>
                <w:lang w:eastAsia="sl-SI"/>
              </w:rPr>
            </w:pP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LJUBLJANA</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261.346.277 </w:t>
            </w:r>
          </w:p>
        </w:tc>
        <w:tc>
          <w:tcPr>
            <w:tcW w:w="653" w:type="pct"/>
            <w:shd w:val="clear" w:color="auto" w:fill="FFFFFF"/>
            <w:noWrap/>
            <w:hideMark/>
          </w:tcPr>
          <w:p w:rsidR="00881FFD" w:rsidRPr="00412299" w:rsidRDefault="00881FFD" w:rsidP="00DE3814">
            <w:pPr>
              <w:spacing w:line="240" w:lineRule="auto"/>
              <w:jc w:val="right"/>
              <w:rPr>
                <w:rFonts w:ascii="Calibri" w:hAnsi="Calibri"/>
                <w:sz w:val="18"/>
                <w:szCs w:val="18"/>
                <w:lang w:eastAsia="sl-SI"/>
              </w:rPr>
            </w:pPr>
            <w:r w:rsidRPr="00972554">
              <w:rPr>
                <w:rFonts w:ascii="Calibri" w:hAnsi="Calibri"/>
                <w:sz w:val="18"/>
                <w:szCs w:val="18"/>
              </w:rPr>
              <w:t>8,25</w:t>
            </w: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MARIBOR</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254.715.711 </w:t>
            </w:r>
          </w:p>
        </w:tc>
        <w:tc>
          <w:tcPr>
            <w:tcW w:w="653" w:type="pct"/>
            <w:shd w:val="clear" w:color="auto" w:fill="FFFFFF"/>
            <w:noWrap/>
            <w:hideMark/>
          </w:tcPr>
          <w:p w:rsidR="00881FFD" w:rsidRPr="00412299" w:rsidRDefault="00881FFD" w:rsidP="00DE3814">
            <w:pPr>
              <w:spacing w:line="240" w:lineRule="auto"/>
              <w:jc w:val="right"/>
              <w:rPr>
                <w:rFonts w:ascii="Calibri" w:hAnsi="Calibri"/>
                <w:sz w:val="18"/>
                <w:szCs w:val="18"/>
                <w:lang w:eastAsia="sl-SI"/>
              </w:rPr>
            </w:pPr>
            <w:r w:rsidRPr="00972554">
              <w:rPr>
                <w:rFonts w:ascii="Calibri" w:hAnsi="Calibri"/>
                <w:sz w:val="18"/>
                <w:szCs w:val="18"/>
              </w:rPr>
              <w:t>8,04</w:t>
            </w: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CELJE</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130.249.509 </w:t>
            </w:r>
          </w:p>
        </w:tc>
        <w:tc>
          <w:tcPr>
            <w:tcW w:w="653" w:type="pct"/>
            <w:shd w:val="clear" w:color="auto" w:fill="FFFFFF"/>
            <w:noWrap/>
            <w:hideMark/>
          </w:tcPr>
          <w:p w:rsidR="00881FFD" w:rsidRPr="00412299" w:rsidRDefault="00881FFD" w:rsidP="00DE3814">
            <w:pPr>
              <w:spacing w:line="240" w:lineRule="auto"/>
              <w:jc w:val="right"/>
              <w:rPr>
                <w:rFonts w:ascii="Calibri" w:hAnsi="Calibri"/>
                <w:sz w:val="18"/>
                <w:szCs w:val="18"/>
                <w:lang w:eastAsia="sl-SI"/>
              </w:rPr>
            </w:pPr>
            <w:r w:rsidRPr="00972554">
              <w:rPr>
                <w:rFonts w:ascii="Calibri" w:hAnsi="Calibri"/>
                <w:sz w:val="18"/>
                <w:szCs w:val="18"/>
              </w:rPr>
              <w:t>4,11</w:t>
            </w:r>
          </w:p>
        </w:tc>
      </w:tr>
      <w:tr w:rsidR="00881FFD" w:rsidRPr="00972554" w:rsidTr="00972554">
        <w:trPr>
          <w:trHeight w:val="300"/>
        </w:trPr>
        <w:tc>
          <w:tcPr>
            <w:tcW w:w="3500" w:type="pct"/>
            <w:shd w:val="clear" w:color="auto" w:fill="auto"/>
            <w:noWrap/>
            <w:hideMark/>
          </w:tcPr>
          <w:p w:rsidR="00881FFD" w:rsidRPr="00972554" w:rsidRDefault="00881FFD"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306-Sedanja vrednost opreme in drugih opredmetenih osnovnih sredstev </w:t>
            </w:r>
          </w:p>
        </w:tc>
        <w:tc>
          <w:tcPr>
            <w:tcW w:w="847" w:type="pct"/>
            <w:shd w:val="clear" w:color="auto" w:fill="auto"/>
            <w:noWrap/>
            <w:hideMark/>
          </w:tcPr>
          <w:p w:rsidR="00881FFD" w:rsidRPr="00412299" w:rsidRDefault="00881FFD" w:rsidP="00DE3814">
            <w:pPr>
              <w:spacing w:line="240" w:lineRule="auto"/>
              <w:jc w:val="right"/>
              <w:rPr>
                <w:rFonts w:ascii="Calibri" w:hAnsi="Calibri"/>
                <w:b/>
                <w:bCs/>
                <w:sz w:val="18"/>
                <w:szCs w:val="18"/>
                <w:lang w:eastAsia="sl-SI"/>
              </w:rPr>
            </w:pPr>
            <w:r w:rsidRPr="00972554">
              <w:rPr>
                <w:rFonts w:ascii="Calibri" w:hAnsi="Calibri"/>
                <w:b/>
                <w:sz w:val="18"/>
                <w:szCs w:val="18"/>
              </w:rPr>
              <w:t xml:space="preserve">310.933.337 </w:t>
            </w:r>
          </w:p>
        </w:tc>
        <w:tc>
          <w:tcPr>
            <w:tcW w:w="653" w:type="pct"/>
            <w:shd w:val="clear" w:color="auto" w:fill="FFFFFF"/>
            <w:noWrap/>
            <w:hideMark/>
          </w:tcPr>
          <w:p w:rsidR="00881FFD" w:rsidRPr="00116FC1" w:rsidRDefault="00881FFD" w:rsidP="00D55FCA">
            <w:pPr>
              <w:spacing w:line="240" w:lineRule="auto"/>
              <w:jc w:val="right"/>
              <w:rPr>
                <w:rFonts w:ascii="Calibri" w:hAnsi="Calibri"/>
                <w:b/>
                <w:bCs/>
                <w:sz w:val="18"/>
                <w:szCs w:val="18"/>
                <w:lang w:eastAsia="sl-SI"/>
              </w:rPr>
            </w:pP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OBČINA BREZOVICA</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19.929.502 </w:t>
            </w:r>
          </w:p>
        </w:tc>
        <w:tc>
          <w:tcPr>
            <w:tcW w:w="653" w:type="pct"/>
            <w:shd w:val="clear" w:color="auto" w:fill="FFFFFF"/>
            <w:noWrap/>
            <w:hideMark/>
          </w:tcPr>
          <w:p w:rsidR="00881FFD" w:rsidRPr="00412299" w:rsidRDefault="00881FFD" w:rsidP="00DE3814">
            <w:pPr>
              <w:spacing w:line="240" w:lineRule="auto"/>
              <w:jc w:val="right"/>
              <w:rPr>
                <w:rFonts w:ascii="Calibri" w:hAnsi="Calibri"/>
                <w:sz w:val="18"/>
                <w:szCs w:val="18"/>
                <w:lang w:eastAsia="sl-SI"/>
              </w:rPr>
            </w:pPr>
            <w:r w:rsidRPr="00972554">
              <w:rPr>
                <w:rFonts w:ascii="Calibri" w:hAnsi="Calibri"/>
                <w:sz w:val="18"/>
                <w:szCs w:val="18"/>
              </w:rPr>
              <w:t>6,41</w:t>
            </w: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CELJE</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19.834.778 </w:t>
            </w:r>
          </w:p>
        </w:tc>
        <w:tc>
          <w:tcPr>
            <w:tcW w:w="653" w:type="pct"/>
            <w:shd w:val="clear" w:color="auto" w:fill="FFFFFF"/>
            <w:noWrap/>
            <w:hideMark/>
          </w:tcPr>
          <w:p w:rsidR="00881FFD" w:rsidRPr="00412299" w:rsidRDefault="00881FFD" w:rsidP="00DE3814">
            <w:pPr>
              <w:spacing w:line="240" w:lineRule="auto"/>
              <w:jc w:val="right"/>
              <w:rPr>
                <w:rFonts w:ascii="Calibri" w:hAnsi="Calibri"/>
                <w:sz w:val="18"/>
                <w:szCs w:val="18"/>
                <w:lang w:eastAsia="sl-SI"/>
              </w:rPr>
            </w:pPr>
            <w:r w:rsidRPr="00972554">
              <w:rPr>
                <w:rFonts w:ascii="Calibri" w:hAnsi="Calibri"/>
                <w:sz w:val="18"/>
                <w:szCs w:val="18"/>
              </w:rPr>
              <w:t>6,38</w:t>
            </w: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KOPER</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19.158.427 </w:t>
            </w:r>
          </w:p>
        </w:tc>
        <w:tc>
          <w:tcPr>
            <w:tcW w:w="653" w:type="pct"/>
            <w:shd w:val="clear" w:color="auto" w:fill="FFFFFF"/>
            <w:noWrap/>
            <w:hideMark/>
          </w:tcPr>
          <w:p w:rsidR="00881FFD" w:rsidRPr="00412299" w:rsidRDefault="00881FFD" w:rsidP="00DE3814">
            <w:pPr>
              <w:spacing w:line="240" w:lineRule="auto"/>
              <w:jc w:val="right"/>
              <w:rPr>
                <w:rFonts w:ascii="Calibri" w:hAnsi="Calibri"/>
                <w:sz w:val="18"/>
                <w:szCs w:val="18"/>
                <w:lang w:eastAsia="sl-SI"/>
              </w:rPr>
            </w:pPr>
            <w:r w:rsidRPr="00972554">
              <w:rPr>
                <w:rFonts w:ascii="Calibri" w:hAnsi="Calibri"/>
                <w:sz w:val="18"/>
                <w:szCs w:val="18"/>
              </w:rPr>
              <w:t>6,16</w:t>
            </w:r>
          </w:p>
        </w:tc>
      </w:tr>
      <w:tr w:rsidR="00881FFD" w:rsidRPr="00972554" w:rsidTr="00972554">
        <w:trPr>
          <w:trHeight w:val="300"/>
        </w:trPr>
        <w:tc>
          <w:tcPr>
            <w:tcW w:w="3500" w:type="pct"/>
            <w:shd w:val="clear" w:color="auto" w:fill="auto"/>
            <w:noWrap/>
            <w:hideMark/>
          </w:tcPr>
          <w:p w:rsidR="00881FFD" w:rsidRPr="00412299" w:rsidRDefault="00881FFD"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307-Nabavna vrednost opreme in drugih opredmetenih osnovnih sredstev </w:t>
            </w:r>
          </w:p>
        </w:tc>
        <w:tc>
          <w:tcPr>
            <w:tcW w:w="847" w:type="pct"/>
            <w:shd w:val="clear" w:color="auto" w:fill="auto"/>
            <w:noWrap/>
            <w:hideMark/>
          </w:tcPr>
          <w:p w:rsidR="00881FFD" w:rsidRPr="00412299" w:rsidRDefault="00881FFD" w:rsidP="00DE3814">
            <w:pPr>
              <w:spacing w:line="240" w:lineRule="auto"/>
              <w:jc w:val="right"/>
              <w:rPr>
                <w:rFonts w:ascii="Calibri" w:hAnsi="Calibri"/>
                <w:b/>
                <w:bCs/>
                <w:sz w:val="18"/>
                <w:szCs w:val="18"/>
                <w:lang w:eastAsia="sl-SI"/>
              </w:rPr>
            </w:pPr>
            <w:r w:rsidRPr="00972554">
              <w:rPr>
                <w:rFonts w:ascii="Calibri" w:hAnsi="Calibri"/>
                <w:b/>
                <w:sz w:val="18"/>
                <w:szCs w:val="18"/>
              </w:rPr>
              <w:t xml:space="preserve">828.892.917 </w:t>
            </w:r>
          </w:p>
        </w:tc>
        <w:tc>
          <w:tcPr>
            <w:tcW w:w="653" w:type="pct"/>
            <w:shd w:val="clear" w:color="auto" w:fill="FFFFFF"/>
            <w:noWrap/>
            <w:hideMark/>
          </w:tcPr>
          <w:p w:rsidR="00881FFD" w:rsidRPr="00116FC1" w:rsidRDefault="00881FFD" w:rsidP="00D55FCA">
            <w:pPr>
              <w:spacing w:line="240" w:lineRule="auto"/>
              <w:jc w:val="right"/>
              <w:rPr>
                <w:rFonts w:ascii="Calibri" w:hAnsi="Calibri"/>
                <w:b/>
                <w:bCs/>
                <w:sz w:val="18"/>
                <w:szCs w:val="18"/>
                <w:lang w:eastAsia="sl-SI"/>
              </w:rPr>
            </w:pP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LJUBLJANA</w:t>
            </w:r>
          </w:p>
        </w:tc>
        <w:tc>
          <w:tcPr>
            <w:tcW w:w="847" w:type="pct"/>
            <w:shd w:val="clear" w:color="auto" w:fill="auto"/>
            <w:noWrap/>
            <w:hideMark/>
          </w:tcPr>
          <w:p w:rsidR="00881FFD" w:rsidRPr="00116FC1"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64.397.500 </w:t>
            </w:r>
          </w:p>
        </w:tc>
        <w:tc>
          <w:tcPr>
            <w:tcW w:w="653" w:type="pct"/>
            <w:shd w:val="clear" w:color="auto" w:fill="FFFFFF"/>
            <w:noWrap/>
            <w:hideMark/>
          </w:tcPr>
          <w:p w:rsidR="00881FFD" w:rsidRPr="00412299" w:rsidRDefault="00881FFD" w:rsidP="00DE3814">
            <w:pPr>
              <w:spacing w:line="240" w:lineRule="auto"/>
              <w:jc w:val="right"/>
              <w:rPr>
                <w:rFonts w:ascii="Calibri" w:hAnsi="Calibri"/>
                <w:sz w:val="18"/>
                <w:szCs w:val="18"/>
                <w:lang w:eastAsia="sl-SI"/>
              </w:rPr>
            </w:pPr>
            <w:r w:rsidRPr="00972554">
              <w:rPr>
                <w:rFonts w:ascii="Calibri" w:hAnsi="Calibri"/>
                <w:sz w:val="18"/>
                <w:szCs w:val="18"/>
              </w:rPr>
              <w:t>7,77</w:t>
            </w: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CELJE</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50.631.181 </w:t>
            </w:r>
          </w:p>
        </w:tc>
        <w:tc>
          <w:tcPr>
            <w:tcW w:w="653" w:type="pct"/>
            <w:shd w:val="clear" w:color="auto" w:fill="FFFFFF"/>
            <w:noWrap/>
            <w:hideMark/>
          </w:tcPr>
          <w:p w:rsidR="00881FFD" w:rsidRPr="00412299" w:rsidRDefault="00881FFD" w:rsidP="00DE3814">
            <w:pPr>
              <w:spacing w:line="240" w:lineRule="auto"/>
              <w:jc w:val="right"/>
              <w:rPr>
                <w:rFonts w:ascii="Calibri" w:hAnsi="Calibri"/>
                <w:sz w:val="18"/>
                <w:szCs w:val="18"/>
                <w:lang w:eastAsia="sl-SI"/>
              </w:rPr>
            </w:pPr>
            <w:r w:rsidRPr="00972554">
              <w:rPr>
                <w:rFonts w:ascii="Calibri" w:hAnsi="Calibri"/>
                <w:sz w:val="18"/>
                <w:szCs w:val="18"/>
              </w:rPr>
              <w:t>6,11</w:t>
            </w: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VELENJE</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44.866.113 </w:t>
            </w:r>
          </w:p>
        </w:tc>
        <w:tc>
          <w:tcPr>
            <w:tcW w:w="653" w:type="pct"/>
            <w:shd w:val="clear" w:color="auto" w:fill="FFFFFF"/>
            <w:noWrap/>
            <w:hideMark/>
          </w:tcPr>
          <w:p w:rsidR="00881FFD" w:rsidRPr="00412299" w:rsidRDefault="00881FFD" w:rsidP="00DE3814">
            <w:pPr>
              <w:spacing w:line="240" w:lineRule="auto"/>
              <w:jc w:val="right"/>
              <w:rPr>
                <w:rFonts w:ascii="Calibri" w:hAnsi="Calibri"/>
                <w:sz w:val="18"/>
                <w:szCs w:val="18"/>
                <w:lang w:eastAsia="sl-SI"/>
              </w:rPr>
            </w:pPr>
            <w:r w:rsidRPr="00972554">
              <w:rPr>
                <w:rFonts w:ascii="Calibri" w:hAnsi="Calibri"/>
                <w:sz w:val="18"/>
                <w:szCs w:val="18"/>
              </w:rPr>
              <w:t>5,41</w:t>
            </w:r>
          </w:p>
        </w:tc>
      </w:tr>
      <w:tr w:rsidR="00881FFD" w:rsidRPr="00972554" w:rsidTr="00972554">
        <w:trPr>
          <w:trHeight w:val="300"/>
        </w:trPr>
        <w:tc>
          <w:tcPr>
            <w:tcW w:w="3500" w:type="pct"/>
            <w:shd w:val="clear" w:color="auto" w:fill="auto"/>
            <w:noWrap/>
            <w:hideMark/>
          </w:tcPr>
          <w:p w:rsidR="00881FFD" w:rsidRPr="00972554" w:rsidRDefault="00881FFD"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308-Popravek vrednosti opreme in drugih opredmetenih osnovnih sredstev </w:t>
            </w:r>
          </w:p>
        </w:tc>
        <w:tc>
          <w:tcPr>
            <w:tcW w:w="847" w:type="pct"/>
            <w:shd w:val="clear" w:color="auto" w:fill="auto"/>
            <w:noWrap/>
            <w:hideMark/>
          </w:tcPr>
          <w:p w:rsidR="00881FFD" w:rsidRPr="00412299" w:rsidRDefault="00881FFD" w:rsidP="00DE3814">
            <w:pPr>
              <w:spacing w:line="240" w:lineRule="auto"/>
              <w:jc w:val="right"/>
              <w:rPr>
                <w:rFonts w:ascii="Calibri" w:hAnsi="Calibri"/>
                <w:b/>
                <w:bCs/>
                <w:sz w:val="18"/>
                <w:szCs w:val="18"/>
                <w:lang w:eastAsia="sl-SI"/>
              </w:rPr>
            </w:pPr>
            <w:r w:rsidRPr="00972554">
              <w:rPr>
                <w:rFonts w:ascii="Calibri" w:hAnsi="Calibri"/>
                <w:b/>
                <w:sz w:val="18"/>
                <w:szCs w:val="18"/>
              </w:rPr>
              <w:t xml:space="preserve">517.959.580 </w:t>
            </w:r>
          </w:p>
        </w:tc>
        <w:tc>
          <w:tcPr>
            <w:tcW w:w="653" w:type="pct"/>
            <w:shd w:val="clear" w:color="auto" w:fill="FFFFFF"/>
            <w:noWrap/>
            <w:hideMark/>
          </w:tcPr>
          <w:p w:rsidR="00881FFD" w:rsidRPr="00116FC1" w:rsidRDefault="00881FFD" w:rsidP="00D55FCA">
            <w:pPr>
              <w:spacing w:line="240" w:lineRule="auto"/>
              <w:jc w:val="right"/>
              <w:rPr>
                <w:rFonts w:ascii="Calibri" w:hAnsi="Calibri"/>
                <w:b/>
                <w:bCs/>
                <w:sz w:val="18"/>
                <w:szCs w:val="18"/>
                <w:lang w:eastAsia="sl-SI"/>
              </w:rPr>
            </w:pP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LJUBLJANA</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51.523.353 </w:t>
            </w:r>
          </w:p>
        </w:tc>
        <w:tc>
          <w:tcPr>
            <w:tcW w:w="653" w:type="pct"/>
            <w:shd w:val="clear" w:color="auto" w:fill="FFFFFF"/>
            <w:noWrap/>
            <w:hideMark/>
          </w:tcPr>
          <w:p w:rsidR="00881FFD" w:rsidRPr="00412299" w:rsidRDefault="00881FFD" w:rsidP="00DE3814">
            <w:pPr>
              <w:spacing w:line="240" w:lineRule="auto"/>
              <w:jc w:val="right"/>
              <w:rPr>
                <w:rFonts w:ascii="Calibri" w:hAnsi="Calibri"/>
                <w:sz w:val="18"/>
                <w:szCs w:val="18"/>
                <w:lang w:eastAsia="sl-SI"/>
              </w:rPr>
            </w:pPr>
            <w:r w:rsidRPr="00972554">
              <w:rPr>
                <w:rFonts w:ascii="Calibri" w:hAnsi="Calibri"/>
                <w:sz w:val="18"/>
                <w:szCs w:val="18"/>
              </w:rPr>
              <w:t>9,95</w:t>
            </w: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VELENJE</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34.502.105 </w:t>
            </w:r>
          </w:p>
        </w:tc>
        <w:tc>
          <w:tcPr>
            <w:tcW w:w="653" w:type="pct"/>
            <w:shd w:val="clear" w:color="auto" w:fill="FFFFFF"/>
            <w:noWrap/>
            <w:hideMark/>
          </w:tcPr>
          <w:p w:rsidR="00881FFD" w:rsidRPr="00412299" w:rsidRDefault="00881FFD" w:rsidP="00DE3814">
            <w:pPr>
              <w:spacing w:line="240" w:lineRule="auto"/>
              <w:jc w:val="right"/>
              <w:rPr>
                <w:rFonts w:ascii="Calibri" w:hAnsi="Calibri"/>
                <w:sz w:val="18"/>
                <w:szCs w:val="18"/>
                <w:lang w:eastAsia="sl-SI"/>
              </w:rPr>
            </w:pPr>
            <w:r w:rsidRPr="00972554">
              <w:rPr>
                <w:rFonts w:ascii="Calibri" w:hAnsi="Calibri"/>
                <w:sz w:val="18"/>
                <w:szCs w:val="18"/>
              </w:rPr>
              <w:t>6,66</w:t>
            </w: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CELJE</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30.796.403 </w:t>
            </w:r>
          </w:p>
        </w:tc>
        <w:tc>
          <w:tcPr>
            <w:tcW w:w="653" w:type="pct"/>
            <w:shd w:val="clear" w:color="auto" w:fill="FFFFFF"/>
            <w:noWrap/>
            <w:hideMark/>
          </w:tcPr>
          <w:p w:rsidR="00881FFD" w:rsidRPr="00412299" w:rsidRDefault="00881FFD" w:rsidP="00DE3814">
            <w:pPr>
              <w:spacing w:line="240" w:lineRule="auto"/>
              <w:jc w:val="right"/>
              <w:rPr>
                <w:rFonts w:ascii="Calibri" w:hAnsi="Calibri"/>
                <w:sz w:val="18"/>
                <w:szCs w:val="18"/>
                <w:lang w:eastAsia="sl-SI"/>
              </w:rPr>
            </w:pPr>
            <w:r w:rsidRPr="00972554">
              <w:rPr>
                <w:rFonts w:ascii="Calibri" w:hAnsi="Calibri"/>
                <w:sz w:val="18"/>
                <w:szCs w:val="18"/>
              </w:rPr>
              <w:t>5,95</w:t>
            </w:r>
          </w:p>
        </w:tc>
      </w:tr>
      <w:tr w:rsidR="00881FFD" w:rsidRPr="00972554" w:rsidTr="00972554">
        <w:trPr>
          <w:trHeight w:val="300"/>
        </w:trPr>
        <w:tc>
          <w:tcPr>
            <w:tcW w:w="3500" w:type="pct"/>
            <w:shd w:val="clear" w:color="auto" w:fill="auto"/>
            <w:noWrap/>
            <w:hideMark/>
          </w:tcPr>
          <w:p w:rsidR="00881FFD" w:rsidRPr="00412299" w:rsidRDefault="00881FFD"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309-Terjatve za sredstva dana v upravljanje </w:t>
            </w:r>
          </w:p>
        </w:tc>
        <w:tc>
          <w:tcPr>
            <w:tcW w:w="847" w:type="pct"/>
            <w:shd w:val="clear" w:color="auto" w:fill="auto"/>
            <w:noWrap/>
            <w:hideMark/>
          </w:tcPr>
          <w:p w:rsidR="00881FFD" w:rsidRPr="00412299" w:rsidRDefault="00881FFD" w:rsidP="00DE3814">
            <w:pPr>
              <w:spacing w:line="240" w:lineRule="auto"/>
              <w:jc w:val="right"/>
              <w:rPr>
                <w:rFonts w:ascii="Calibri" w:hAnsi="Calibri"/>
                <w:b/>
                <w:bCs/>
                <w:sz w:val="18"/>
                <w:szCs w:val="18"/>
                <w:lang w:eastAsia="sl-SI"/>
              </w:rPr>
            </w:pPr>
            <w:r w:rsidRPr="00972554">
              <w:rPr>
                <w:rFonts w:ascii="Calibri" w:hAnsi="Calibri"/>
                <w:b/>
                <w:sz w:val="18"/>
                <w:szCs w:val="18"/>
              </w:rPr>
              <w:t xml:space="preserve">2.799.808.591 </w:t>
            </w:r>
          </w:p>
        </w:tc>
        <w:tc>
          <w:tcPr>
            <w:tcW w:w="653" w:type="pct"/>
            <w:shd w:val="clear" w:color="auto" w:fill="FFFFFF"/>
            <w:noWrap/>
            <w:hideMark/>
          </w:tcPr>
          <w:p w:rsidR="00881FFD" w:rsidRPr="00116FC1" w:rsidRDefault="00881FFD" w:rsidP="00D55FCA">
            <w:pPr>
              <w:spacing w:line="240" w:lineRule="auto"/>
              <w:jc w:val="right"/>
              <w:rPr>
                <w:rFonts w:ascii="Calibri" w:hAnsi="Calibri"/>
                <w:b/>
                <w:bCs/>
                <w:sz w:val="18"/>
                <w:szCs w:val="18"/>
                <w:lang w:eastAsia="sl-SI"/>
              </w:rPr>
            </w:pP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LJUBLJANA</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582.672.761 </w:t>
            </w:r>
          </w:p>
        </w:tc>
        <w:tc>
          <w:tcPr>
            <w:tcW w:w="653" w:type="pct"/>
            <w:shd w:val="clear" w:color="auto" w:fill="FFFFFF"/>
            <w:noWrap/>
            <w:hideMark/>
          </w:tcPr>
          <w:p w:rsidR="00881FFD" w:rsidRPr="00116FC1" w:rsidRDefault="00881FFD" w:rsidP="00DE3814">
            <w:pPr>
              <w:spacing w:line="240" w:lineRule="auto"/>
              <w:jc w:val="right"/>
              <w:rPr>
                <w:rFonts w:ascii="Calibri" w:hAnsi="Calibri"/>
                <w:sz w:val="18"/>
                <w:szCs w:val="18"/>
                <w:lang w:eastAsia="sl-SI"/>
              </w:rPr>
            </w:pPr>
            <w:r w:rsidRPr="00972554">
              <w:rPr>
                <w:rFonts w:ascii="Calibri" w:hAnsi="Calibri"/>
                <w:sz w:val="18"/>
                <w:szCs w:val="18"/>
              </w:rPr>
              <w:t>20,81</w:t>
            </w: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MARIBOR</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152.848.962 </w:t>
            </w:r>
          </w:p>
        </w:tc>
        <w:tc>
          <w:tcPr>
            <w:tcW w:w="653" w:type="pct"/>
            <w:shd w:val="clear" w:color="auto" w:fill="FFFFFF"/>
            <w:noWrap/>
            <w:hideMark/>
          </w:tcPr>
          <w:p w:rsidR="00881FFD" w:rsidRPr="00412299" w:rsidRDefault="00881FFD" w:rsidP="00DE3814">
            <w:pPr>
              <w:spacing w:line="240" w:lineRule="auto"/>
              <w:jc w:val="right"/>
              <w:rPr>
                <w:rFonts w:ascii="Calibri" w:hAnsi="Calibri"/>
                <w:sz w:val="18"/>
                <w:szCs w:val="18"/>
                <w:lang w:eastAsia="sl-SI"/>
              </w:rPr>
            </w:pPr>
            <w:r w:rsidRPr="00972554">
              <w:rPr>
                <w:rFonts w:ascii="Calibri" w:hAnsi="Calibri"/>
                <w:sz w:val="18"/>
                <w:szCs w:val="18"/>
              </w:rPr>
              <w:t>5,46</w:t>
            </w: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KRANJ</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77.659.436 </w:t>
            </w:r>
          </w:p>
        </w:tc>
        <w:tc>
          <w:tcPr>
            <w:tcW w:w="653" w:type="pct"/>
            <w:shd w:val="clear" w:color="auto" w:fill="FFFFFF"/>
            <w:noWrap/>
            <w:hideMark/>
          </w:tcPr>
          <w:p w:rsidR="00881FFD" w:rsidRPr="00412299" w:rsidRDefault="00881FFD" w:rsidP="00DE3814">
            <w:pPr>
              <w:spacing w:line="240" w:lineRule="auto"/>
              <w:jc w:val="right"/>
              <w:rPr>
                <w:rFonts w:ascii="Calibri" w:hAnsi="Calibri"/>
                <w:sz w:val="18"/>
                <w:szCs w:val="18"/>
                <w:lang w:eastAsia="sl-SI"/>
              </w:rPr>
            </w:pPr>
            <w:r w:rsidRPr="00972554">
              <w:rPr>
                <w:rFonts w:ascii="Calibri" w:hAnsi="Calibri"/>
                <w:sz w:val="18"/>
                <w:szCs w:val="18"/>
              </w:rPr>
              <w:t>2,77</w:t>
            </w:r>
          </w:p>
        </w:tc>
      </w:tr>
      <w:tr w:rsidR="00881FFD" w:rsidRPr="00972554" w:rsidTr="00972554">
        <w:trPr>
          <w:trHeight w:val="300"/>
        </w:trPr>
        <w:tc>
          <w:tcPr>
            <w:tcW w:w="3500" w:type="pct"/>
            <w:shd w:val="clear" w:color="auto" w:fill="auto"/>
            <w:noWrap/>
            <w:hideMark/>
          </w:tcPr>
          <w:p w:rsidR="00881FFD" w:rsidRPr="00412299" w:rsidRDefault="00881FFD"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310-Terjatve za sredstva dana v upravljanje posrednim in neposrednim uporabnikom državnega proračuna </w:t>
            </w:r>
          </w:p>
        </w:tc>
        <w:tc>
          <w:tcPr>
            <w:tcW w:w="847" w:type="pct"/>
            <w:shd w:val="clear" w:color="auto" w:fill="auto"/>
            <w:noWrap/>
            <w:hideMark/>
          </w:tcPr>
          <w:p w:rsidR="00881FFD" w:rsidRPr="00412299" w:rsidRDefault="00881FFD" w:rsidP="00DE3814">
            <w:pPr>
              <w:spacing w:line="240" w:lineRule="auto"/>
              <w:jc w:val="right"/>
              <w:rPr>
                <w:rFonts w:ascii="Calibri" w:hAnsi="Calibri"/>
                <w:b/>
                <w:bCs/>
                <w:sz w:val="18"/>
                <w:szCs w:val="18"/>
                <w:lang w:eastAsia="sl-SI"/>
              </w:rPr>
            </w:pPr>
            <w:r w:rsidRPr="00972554">
              <w:rPr>
                <w:rFonts w:ascii="Calibri" w:hAnsi="Calibri"/>
                <w:b/>
                <w:sz w:val="18"/>
                <w:szCs w:val="18"/>
              </w:rPr>
              <w:t xml:space="preserve">21.879.931 </w:t>
            </w:r>
          </w:p>
        </w:tc>
        <w:tc>
          <w:tcPr>
            <w:tcW w:w="653" w:type="pct"/>
            <w:shd w:val="clear" w:color="auto" w:fill="FFFFFF"/>
            <w:noWrap/>
            <w:hideMark/>
          </w:tcPr>
          <w:p w:rsidR="00881FFD" w:rsidRPr="00116FC1" w:rsidRDefault="00881FFD" w:rsidP="00D55FCA">
            <w:pPr>
              <w:spacing w:line="240" w:lineRule="auto"/>
              <w:jc w:val="right"/>
              <w:rPr>
                <w:rFonts w:ascii="Calibri" w:hAnsi="Calibri"/>
                <w:b/>
                <w:bCs/>
                <w:sz w:val="18"/>
                <w:szCs w:val="18"/>
                <w:lang w:eastAsia="sl-SI"/>
              </w:rPr>
            </w:pP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OBČINA SLOVENSKA BISTRICA</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4.231.657 </w:t>
            </w:r>
          </w:p>
        </w:tc>
        <w:tc>
          <w:tcPr>
            <w:tcW w:w="653" w:type="pct"/>
            <w:shd w:val="clear" w:color="auto" w:fill="FFFFFF"/>
            <w:noWrap/>
            <w:hideMark/>
          </w:tcPr>
          <w:p w:rsidR="00881FFD" w:rsidRPr="00412299" w:rsidRDefault="00881FFD" w:rsidP="00DE3814">
            <w:pPr>
              <w:spacing w:line="240" w:lineRule="auto"/>
              <w:jc w:val="right"/>
              <w:rPr>
                <w:rFonts w:ascii="Calibri" w:hAnsi="Calibri"/>
                <w:sz w:val="18"/>
                <w:szCs w:val="18"/>
                <w:lang w:eastAsia="sl-SI"/>
              </w:rPr>
            </w:pPr>
            <w:r w:rsidRPr="00972554">
              <w:rPr>
                <w:rFonts w:ascii="Calibri" w:hAnsi="Calibri"/>
                <w:sz w:val="18"/>
                <w:szCs w:val="18"/>
              </w:rPr>
              <w:t>19,34</w:t>
            </w: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CELJE</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2.466.817 </w:t>
            </w:r>
          </w:p>
        </w:tc>
        <w:tc>
          <w:tcPr>
            <w:tcW w:w="653" w:type="pct"/>
            <w:shd w:val="clear" w:color="auto" w:fill="FFFFFF"/>
            <w:noWrap/>
            <w:hideMark/>
          </w:tcPr>
          <w:p w:rsidR="00881FFD" w:rsidRPr="00412299" w:rsidRDefault="00881FFD" w:rsidP="00DE3814">
            <w:pPr>
              <w:spacing w:line="240" w:lineRule="auto"/>
              <w:jc w:val="right"/>
              <w:rPr>
                <w:rFonts w:ascii="Calibri" w:hAnsi="Calibri"/>
                <w:sz w:val="18"/>
                <w:szCs w:val="18"/>
                <w:lang w:eastAsia="sl-SI"/>
              </w:rPr>
            </w:pPr>
            <w:r w:rsidRPr="00972554">
              <w:rPr>
                <w:rFonts w:ascii="Calibri" w:hAnsi="Calibri"/>
                <w:sz w:val="18"/>
                <w:szCs w:val="18"/>
              </w:rPr>
              <w:t>11,27</w:t>
            </w: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MARIBOR</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1.867.997 </w:t>
            </w:r>
          </w:p>
        </w:tc>
        <w:tc>
          <w:tcPr>
            <w:tcW w:w="653" w:type="pct"/>
            <w:shd w:val="clear" w:color="auto" w:fill="FFFFFF"/>
            <w:noWrap/>
            <w:hideMark/>
          </w:tcPr>
          <w:p w:rsidR="00881FFD" w:rsidRPr="00412299" w:rsidRDefault="00881FFD" w:rsidP="00DE3814">
            <w:pPr>
              <w:spacing w:line="240" w:lineRule="auto"/>
              <w:jc w:val="right"/>
              <w:rPr>
                <w:rFonts w:ascii="Calibri" w:hAnsi="Calibri"/>
                <w:sz w:val="18"/>
                <w:szCs w:val="18"/>
                <w:lang w:eastAsia="sl-SI"/>
              </w:rPr>
            </w:pPr>
            <w:r w:rsidRPr="00972554">
              <w:rPr>
                <w:rFonts w:ascii="Calibri" w:hAnsi="Calibri"/>
                <w:sz w:val="18"/>
                <w:szCs w:val="18"/>
              </w:rPr>
              <w:t>8,54</w:t>
            </w:r>
          </w:p>
        </w:tc>
      </w:tr>
      <w:tr w:rsidR="00881FFD" w:rsidRPr="00972554" w:rsidTr="00972554">
        <w:trPr>
          <w:trHeight w:val="300"/>
        </w:trPr>
        <w:tc>
          <w:tcPr>
            <w:tcW w:w="3500" w:type="pct"/>
            <w:shd w:val="clear" w:color="auto" w:fill="auto"/>
            <w:noWrap/>
            <w:hideMark/>
          </w:tcPr>
          <w:p w:rsidR="00881FFD" w:rsidRPr="00972554" w:rsidRDefault="00881FFD"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311-Terjatve za sredstva dana v upravljanje posrednim in neposrednim uporabnikom občinskega proračuna </w:t>
            </w:r>
          </w:p>
        </w:tc>
        <w:tc>
          <w:tcPr>
            <w:tcW w:w="847" w:type="pct"/>
            <w:shd w:val="clear" w:color="auto" w:fill="auto"/>
            <w:noWrap/>
            <w:hideMark/>
          </w:tcPr>
          <w:p w:rsidR="00881FFD" w:rsidRPr="00412299" w:rsidRDefault="00881FFD" w:rsidP="00DE3814">
            <w:pPr>
              <w:spacing w:line="240" w:lineRule="auto"/>
              <w:jc w:val="right"/>
              <w:rPr>
                <w:rFonts w:ascii="Calibri" w:hAnsi="Calibri"/>
                <w:b/>
                <w:bCs/>
                <w:sz w:val="18"/>
                <w:szCs w:val="18"/>
                <w:lang w:eastAsia="sl-SI"/>
              </w:rPr>
            </w:pPr>
            <w:r w:rsidRPr="00972554">
              <w:rPr>
                <w:rFonts w:ascii="Calibri" w:hAnsi="Calibri"/>
                <w:b/>
                <w:sz w:val="18"/>
                <w:szCs w:val="18"/>
              </w:rPr>
              <w:t xml:space="preserve">2.748.709.891 </w:t>
            </w:r>
          </w:p>
        </w:tc>
        <w:tc>
          <w:tcPr>
            <w:tcW w:w="653" w:type="pct"/>
            <w:shd w:val="clear" w:color="auto" w:fill="FFFFFF"/>
            <w:noWrap/>
            <w:hideMark/>
          </w:tcPr>
          <w:p w:rsidR="00881FFD" w:rsidRPr="00116FC1" w:rsidRDefault="00881FFD" w:rsidP="00D55FCA">
            <w:pPr>
              <w:spacing w:line="240" w:lineRule="auto"/>
              <w:jc w:val="right"/>
              <w:rPr>
                <w:rFonts w:ascii="Calibri" w:hAnsi="Calibri"/>
                <w:b/>
                <w:bCs/>
                <w:sz w:val="18"/>
                <w:szCs w:val="18"/>
                <w:lang w:eastAsia="sl-SI"/>
              </w:rPr>
            </w:pP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LJUBLJANA</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581.797.613 </w:t>
            </w:r>
          </w:p>
        </w:tc>
        <w:tc>
          <w:tcPr>
            <w:tcW w:w="653" w:type="pct"/>
            <w:shd w:val="clear" w:color="auto" w:fill="FFFFFF"/>
            <w:noWrap/>
            <w:hideMark/>
          </w:tcPr>
          <w:p w:rsidR="00881FFD" w:rsidRPr="00412299" w:rsidRDefault="00881FFD" w:rsidP="00DE3814">
            <w:pPr>
              <w:spacing w:line="240" w:lineRule="auto"/>
              <w:jc w:val="right"/>
              <w:rPr>
                <w:rFonts w:ascii="Calibri" w:hAnsi="Calibri"/>
                <w:sz w:val="18"/>
                <w:szCs w:val="18"/>
                <w:lang w:eastAsia="sl-SI"/>
              </w:rPr>
            </w:pPr>
            <w:r w:rsidRPr="00972554">
              <w:rPr>
                <w:rFonts w:ascii="Calibri" w:hAnsi="Calibri"/>
                <w:sz w:val="18"/>
                <w:szCs w:val="18"/>
              </w:rPr>
              <w:t>21,17</w:t>
            </w: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lastRenderedPageBreak/>
              <w:t>MESTNA OBČINA MARIBOR</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136.908.276 </w:t>
            </w:r>
          </w:p>
        </w:tc>
        <w:tc>
          <w:tcPr>
            <w:tcW w:w="653" w:type="pct"/>
            <w:shd w:val="clear" w:color="auto" w:fill="FFFFFF"/>
            <w:noWrap/>
            <w:hideMark/>
          </w:tcPr>
          <w:p w:rsidR="00881FFD" w:rsidRPr="00412299" w:rsidRDefault="00881FFD" w:rsidP="00DE3814">
            <w:pPr>
              <w:spacing w:line="240" w:lineRule="auto"/>
              <w:jc w:val="right"/>
              <w:rPr>
                <w:rFonts w:ascii="Calibri" w:hAnsi="Calibri"/>
                <w:sz w:val="18"/>
                <w:szCs w:val="18"/>
                <w:lang w:eastAsia="sl-SI"/>
              </w:rPr>
            </w:pPr>
            <w:r w:rsidRPr="00972554">
              <w:rPr>
                <w:rFonts w:ascii="Calibri" w:hAnsi="Calibri"/>
                <w:sz w:val="18"/>
                <w:szCs w:val="18"/>
              </w:rPr>
              <w:t>4,98</w:t>
            </w: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KRANJ</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76.733.307 </w:t>
            </w:r>
          </w:p>
        </w:tc>
        <w:tc>
          <w:tcPr>
            <w:tcW w:w="653" w:type="pct"/>
            <w:shd w:val="clear" w:color="auto" w:fill="FFFFFF"/>
            <w:noWrap/>
            <w:hideMark/>
          </w:tcPr>
          <w:p w:rsidR="00881FFD" w:rsidRPr="00412299" w:rsidRDefault="00881FFD" w:rsidP="00DE3814">
            <w:pPr>
              <w:spacing w:line="240" w:lineRule="auto"/>
              <w:jc w:val="right"/>
              <w:rPr>
                <w:rFonts w:ascii="Calibri" w:hAnsi="Calibri"/>
                <w:sz w:val="18"/>
                <w:szCs w:val="18"/>
                <w:lang w:eastAsia="sl-SI"/>
              </w:rPr>
            </w:pPr>
            <w:r w:rsidRPr="00972554">
              <w:rPr>
                <w:rFonts w:ascii="Calibri" w:hAnsi="Calibri"/>
                <w:sz w:val="18"/>
                <w:szCs w:val="18"/>
              </w:rPr>
              <w:t>2,79</w:t>
            </w:r>
          </w:p>
        </w:tc>
      </w:tr>
      <w:tr w:rsidR="00881FFD" w:rsidRPr="00972554" w:rsidTr="00972554">
        <w:trPr>
          <w:trHeight w:val="300"/>
        </w:trPr>
        <w:tc>
          <w:tcPr>
            <w:tcW w:w="3500" w:type="pct"/>
            <w:shd w:val="clear" w:color="auto" w:fill="auto"/>
            <w:noWrap/>
            <w:hideMark/>
          </w:tcPr>
          <w:p w:rsidR="00881FFD" w:rsidRPr="00412299" w:rsidRDefault="00881FFD"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312-Terjatve za sredstva dana v upravljanje drugim v lasti države </w:t>
            </w:r>
          </w:p>
        </w:tc>
        <w:tc>
          <w:tcPr>
            <w:tcW w:w="847" w:type="pct"/>
            <w:shd w:val="clear" w:color="auto" w:fill="auto"/>
            <w:noWrap/>
            <w:hideMark/>
          </w:tcPr>
          <w:p w:rsidR="00881FFD" w:rsidRPr="00412299" w:rsidRDefault="00881FFD" w:rsidP="00DE3814">
            <w:pPr>
              <w:spacing w:line="240" w:lineRule="auto"/>
              <w:jc w:val="right"/>
              <w:rPr>
                <w:rFonts w:ascii="Calibri" w:hAnsi="Calibri"/>
                <w:b/>
                <w:bCs/>
                <w:sz w:val="18"/>
                <w:szCs w:val="18"/>
                <w:lang w:eastAsia="sl-SI"/>
              </w:rPr>
            </w:pPr>
            <w:r w:rsidRPr="00972554">
              <w:rPr>
                <w:rFonts w:ascii="Calibri" w:hAnsi="Calibri"/>
                <w:b/>
                <w:sz w:val="18"/>
                <w:szCs w:val="18"/>
              </w:rPr>
              <w:t xml:space="preserve">2.651.378 </w:t>
            </w:r>
          </w:p>
        </w:tc>
        <w:tc>
          <w:tcPr>
            <w:tcW w:w="653" w:type="pct"/>
            <w:shd w:val="clear" w:color="auto" w:fill="FFFFFF"/>
            <w:noWrap/>
            <w:hideMark/>
          </w:tcPr>
          <w:p w:rsidR="00881FFD" w:rsidRPr="00116FC1" w:rsidRDefault="00881FFD" w:rsidP="00D55FCA">
            <w:pPr>
              <w:spacing w:line="240" w:lineRule="auto"/>
              <w:jc w:val="right"/>
              <w:rPr>
                <w:rFonts w:ascii="Calibri" w:hAnsi="Calibri"/>
                <w:b/>
                <w:bCs/>
                <w:sz w:val="18"/>
                <w:szCs w:val="18"/>
                <w:lang w:eastAsia="sl-SI"/>
              </w:rPr>
            </w:pP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CELJE</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1.120.543 </w:t>
            </w:r>
          </w:p>
        </w:tc>
        <w:tc>
          <w:tcPr>
            <w:tcW w:w="653" w:type="pct"/>
            <w:shd w:val="clear" w:color="auto" w:fill="FFFFFF"/>
            <w:noWrap/>
            <w:hideMark/>
          </w:tcPr>
          <w:p w:rsidR="00881FFD" w:rsidRPr="00412299" w:rsidRDefault="00881FFD" w:rsidP="00DE3814">
            <w:pPr>
              <w:spacing w:line="240" w:lineRule="auto"/>
              <w:jc w:val="right"/>
              <w:rPr>
                <w:rFonts w:ascii="Calibri" w:hAnsi="Calibri"/>
                <w:sz w:val="18"/>
                <w:szCs w:val="18"/>
                <w:lang w:eastAsia="sl-SI"/>
              </w:rPr>
            </w:pPr>
            <w:r w:rsidRPr="00972554">
              <w:rPr>
                <w:rFonts w:ascii="Calibri" w:hAnsi="Calibri"/>
                <w:sz w:val="18"/>
                <w:szCs w:val="18"/>
              </w:rPr>
              <w:t>42,26</w:t>
            </w: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OBČINA DOMŽALE</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731.840 </w:t>
            </w:r>
          </w:p>
        </w:tc>
        <w:tc>
          <w:tcPr>
            <w:tcW w:w="653" w:type="pct"/>
            <w:shd w:val="clear" w:color="auto" w:fill="FFFFFF"/>
            <w:noWrap/>
            <w:hideMark/>
          </w:tcPr>
          <w:p w:rsidR="00881FFD" w:rsidRPr="00412299" w:rsidRDefault="00881FFD" w:rsidP="00DE3814">
            <w:pPr>
              <w:spacing w:line="240" w:lineRule="auto"/>
              <w:jc w:val="right"/>
              <w:rPr>
                <w:rFonts w:ascii="Calibri" w:hAnsi="Calibri"/>
                <w:sz w:val="18"/>
                <w:szCs w:val="18"/>
                <w:lang w:eastAsia="sl-SI"/>
              </w:rPr>
            </w:pPr>
            <w:r w:rsidRPr="00972554">
              <w:rPr>
                <w:rFonts w:ascii="Calibri" w:hAnsi="Calibri"/>
                <w:sz w:val="18"/>
                <w:szCs w:val="18"/>
              </w:rPr>
              <w:t>27,60</w:t>
            </w: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OBČINA HOČE - SLIVNICA</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418.227 </w:t>
            </w:r>
          </w:p>
        </w:tc>
        <w:tc>
          <w:tcPr>
            <w:tcW w:w="653" w:type="pct"/>
            <w:shd w:val="clear" w:color="auto" w:fill="FFFFFF"/>
            <w:noWrap/>
            <w:hideMark/>
          </w:tcPr>
          <w:p w:rsidR="00881FFD" w:rsidRPr="00412299" w:rsidRDefault="00881FFD" w:rsidP="00DE3814">
            <w:pPr>
              <w:spacing w:line="240" w:lineRule="auto"/>
              <w:jc w:val="right"/>
              <w:rPr>
                <w:rFonts w:ascii="Calibri" w:hAnsi="Calibri"/>
                <w:sz w:val="18"/>
                <w:szCs w:val="18"/>
                <w:lang w:eastAsia="sl-SI"/>
              </w:rPr>
            </w:pPr>
            <w:r w:rsidRPr="00972554">
              <w:rPr>
                <w:rFonts w:ascii="Calibri" w:hAnsi="Calibri"/>
                <w:sz w:val="18"/>
                <w:szCs w:val="18"/>
              </w:rPr>
              <w:t>15,77</w:t>
            </w:r>
          </w:p>
        </w:tc>
      </w:tr>
      <w:tr w:rsidR="00881FFD" w:rsidRPr="00972554" w:rsidTr="00972554">
        <w:trPr>
          <w:trHeight w:val="300"/>
        </w:trPr>
        <w:tc>
          <w:tcPr>
            <w:tcW w:w="3500" w:type="pct"/>
            <w:shd w:val="clear" w:color="auto" w:fill="auto"/>
            <w:noWrap/>
            <w:hideMark/>
          </w:tcPr>
          <w:p w:rsidR="00881FFD" w:rsidRPr="00972554" w:rsidRDefault="00881FFD"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313-Terjatve za sredstva dana v upravljanje drugim v lasti občine </w:t>
            </w:r>
          </w:p>
        </w:tc>
        <w:tc>
          <w:tcPr>
            <w:tcW w:w="847" w:type="pct"/>
            <w:shd w:val="clear" w:color="auto" w:fill="auto"/>
            <w:noWrap/>
            <w:hideMark/>
          </w:tcPr>
          <w:p w:rsidR="00881FFD" w:rsidRPr="00412299" w:rsidRDefault="00881FFD" w:rsidP="00DE3814">
            <w:pPr>
              <w:spacing w:line="240" w:lineRule="auto"/>
              <w:jc w:val="right"/>
              <w:rPr>
                <w:rFonts w:ascii="Calibri" w:hAnsi="Calibri"/>
                <w:b/>
                <w:bCs/>
                <w:sz w:val="18"/>
                <w:szCs w:val="18"/>
                <w:lang w:eastAsia="sl-SI"/>
              </w:rPr>
            </w:pPr>
            <w:r w:rsidRPr="00972554">
              <w:rPr>
                <w:rFonts w:ascii="Calibri" w:hAnsi="Calibri"/>
                <w:b/>
                <w:sz w:val="18"/>
                <w:szCs w:val="18"/>
              </w:rPr>
              <w:t xml:space="preserve">26.567.391 </w:t>
            </w:r>
          </w:p>
        </w:tc>
        <w:tc>
          <w:tcPr>
            <w:tcW w:w="653" w:type="pct"/>
            <w:shd w:val="clear" w:color="auto" w:fill="FFFFFF"/>
            <w:noWrap/>
            <w:hideMark/>
          </w:tcPr>
          <w:p w:rsidR="00881FFD" w:rsidRPr="00116FC1" w:rsidRDefault="00881FFD" w:rsidP="00D55FCA">
            <w:pPr>
              <w:spacing w:line="240" w:lineRule="auto"/>
              <w:jc w:val="right"/>
              <w:rPr>
                <w:rFonts w:ascii="Calibri" w:hAnsi="Calibri"/>
                <w:b/>
                <w:bCs/>
                <w:sz w:val="18"/>
                <w:szCs w:val="18"/>
                <w:lang w:eastAsia="sl-SI"/>
              </w:rPr>
            </w:pP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MARIBOR</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14.072.689 </w:t>
            </w:r>
          </w:p>
        </w:tc>
        <w:tc>
          <w:tcPr>
            <w:tcW w:w="653" w:type="pct"/>
            <w:shd w:val="clear" w:color="auto" w:fill="FFFFFF"/>
            <w:noWrap/>
            <w:hideMark/>
          </w:tcPr>
          <w:p w:rsidR="00881FFD" w:rsidRPr="00412299" w:rsidRDefault="00881FFD" w:rsidP="00DE3814">
            <w:pPr>
              <w:spacing w:line="240" w:lineRule="auto"/>
              <w:jc w:val="right"/>
              <w:rPr>
                <w:rFonts w:ascii="Calibri" w:hAnsi="Calibri"/>
                <w:sz w:val="18"/>
                <w:szCs w:val="18"/>
                <w:lang w:eastAsia="sl-SI"/>
              </w:rPr>
            </w:pPr>
            <w:r w:rsidRPr="00972554">
              <w:rPr>
                <w:rFonts w:ascii="Calibri" w:hAnsi="Calibri"/>
                <w:sz w:val="18"/>
                <w:szCs w:val="18"/>
              </w:rPr>
              <w:t>52,97</w:t>
            </w: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OBČINA BELTINCI</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2.900.141 </w:t>
            </w:r>
          </w:p>
        </w:tc>
        <w:tc>
          <w:tcPr>
            <w:tcW w:w="653" w:type="pct"/>
            <w:shd w:val="clear" w:color="auto" w:fill="FFFFFF"/>
            <w:noWrap/>
            <w:hideMark/>
          </w:tcPr>
          <w:p w:rsidR="00881FFD" w:rsidRPr="00412299" w:rsidRDefault="00881FFD" w:rsidP="00DE3814">
            <w:pPr>
              <w:spacing w:line="240" w:lineRule="auto"/>
              <w:jc w:val="right"/>
              <w:rPr>
                <w:rFonts w:ascii="Calibri" w:hAnsi="Calibri"/>
                <w:sz w:val="18"/>
                <w:szCs w:val="18"/>
                <w:lang w:eastAsia="sl-SI"/>
              </w:rPr>
            </w:pPr>
            <w:r w:rsidRPr="00972554">
              <w:rPr>
                <w:rFonts w:ascii="Calibri" w:hAnsi="Calibri"/>
                <w:sz w:val="18"/>
                <w:szCs w:val="18"/>
              </w:rPr>
              <w:t>10,92</w:t>
            </w: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OBČINA TRŽIČ</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1.911.979 </w:t>
            </w:r>
          </w:p>
        </w:tc>
        <w:tc>
          <w:tcPr>
            <w:tcW w:w="653" w:type="pct"/>
            <w:shd w:val="clear" w:color="auto" w:fill="FFFFFF"/>
            <w:noWrap/>
            <w:hideMark/>
          </w:tcPr>
          <w:p w:rsidR="00881FFD" w:rsidRPr="00412299" w:rsidRDefault="00881FFD" w:rsidP="00DE3814">
            <w:pPr>
              <w:spacing w:line="240" w:lineRule="auto"/>
              <w:jc w:val="right"/>
              <w:rPr>
                <w:rFonts w:ascii="Calibri" w:hAnsi="Calibri"/>
                <w:sz w:val="18"/>
                <w:szCs w:val="18"/>
                <w:lang w:eastAsia="sl-SI"/>
              </w:rPr>
            </w:pPr>
            <w:r w:rsidRPr="00972554">
              <w:rPr>
                <w:rFonts w:ascii="Calibri" w:hAnsi="Calibri"/>
                <w:sz w:val="18"/>
                <w:szCs w:val="18"/>
              </w:rPr>
              <w:t>7,20</w:t>
            </w:r>
          </w:p>
        </w:tc>
      </w:tr>
      <w:tr w:rsidR="00881FFD" w:rsidRPr="00972554" w:rsidTr="00972554">
        <w:trPr>
          <w:trHeight w:val="300"/>
        </w:trPr>
        <w:tc>
          <w:tcPr>
            <w:tcW w:w="3500" w:type="pct"/>
            <w:shd w:val="clear" w:color="auto" w:fill="auto"/>
            <w:noWrap/>
            <w:hideMark/>
          </w:tcPr>
          <w:p w:rsidR="00881FFD" w:rsidRPr="00412299" w:rsidRDefault="00881FFD"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314-Zaloge </w:t>
            </w:r>
          </w:p>
        </w:tc>
        <w:tc>
          <w:tcPr>
            <w:tcW w:w="847" w:type="pct"/>
            <w:shd w:val="clear" w:color="auto" w:fill="auto"/>
            <w:noWrap/>
            <w:hideMark/>
          </w:tcPr>
          <w:p w:rsidR="00881FFD" w:rsidRPr="00412299" w:rsidRDefault="00881FFD" w:rsidP="00DE3814">
            <w:pPr>
              <w:spacing w:line="240" w:lineRule="auto"/>
              <w:jc w:val="right"/>
              <w:rPr>
                <w:rFonts w:ascii="Calibri" w:hAnsi="Calibri"/>
                <w:b/>
                <w:bCs/>
                <w:sz w:val="18"/>
                <w:szCs w:val="18"/>
                <w:lang w:eastAsia="sl-SI"/>
              </w:rPr>
            </w:pPr>
            <w:r w:rsidRPr="00972554">
              <w:rPr>
                <w:rFonts w:ascii="Calibri" w:hAnsi="Calibri"/>
                <w:b/>
                <w:sz w:val="18"/>
                <w:szCs w:val="18"/>
              </w:rPr>
              <w:t xml:space="preserve">13.808.795 </w:t>
            </w:r>
          </w:p>
        </w:tc>
        <w:tc>
          <w:tcPr>
            <w:tcW w:w="653" w:type="pct"/>
            <w:shd w:val="clear" w:color="auto" w:fill="FFFFFF"/>
            <w:noWrap/>
            <w:hideMark/>
          </w:tcPr>
          <w:p w:rsidR="00881FFD" w:rsidRPr="00116FC1" w:rsidRDefault="00881FFD" w:rsidP="00D55FCA">
            <w:pPr>
              <w:spacing w:line="240" w:lineRule="auto"/>
              <w:jc w:val="right"/>
              <w:rPr>
                <w:rFonts w:ascii="Calibri" w:hAnsi="Calibri"/>
                <w:b/>
                <w:bCs/>
                <w:sz w:val="18"/>
                <w:szCs w:val="18"/>
                <w:lang w:eastAsia="sl-SI"/>
              </w:rPr>
            </w:pP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OBČINA PIRAN</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5.297.130 </w:t>
            </w:r>
          </w:p>
        </w:tc>
        <w:tc>
          <w:tcPr>
            <w:tcW w:w="653" w:type="pct"/>
            <w:shd w:val="clear" w:color="auto" w:fill="FFFFFF"/>
            <w:noWrap/>
            <w:hideMark/>
          </w:tcPr>
          <w:p w:rsidR="00881FFD" w:rsidRPr="00412299" w:rsidRDefault="00881FFD" w:rsidP="00DE3814">
            <w:pPr>
              <w:spacing w:line="240" w:lineRule="auto"/>
              <w:jc w:val="right"/>
              <w:rPr>
                <w:rFonts w:ascii="Calibri" w:hAnsi="Calibri"/>
                <w:sz w:val="18"/>
                <w:szCs w:val="18"/>
                <w:lang w:eastAsia="sl-SI"/>
              </w:rPr>
            </w:pPr>
            <w:r w:rsidRPr="00972554">
              <w:rPr>
                <w:rFonts w:ascii="Calibri" w:hAnsi="Calibri"/>
                <w:sz w:val="18"/>
                <w:szCs w:val="18"/>
              </w:rPr>
              <w:t>38,36</w:t>
            </w: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OBČINA KRŠKO</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1.744.254 </w:t>
            </w:r>
          </w:p>
        </w:tc>
        <w:tc>
          <w:tcPr>
            <w:tcW w:w="653" w:type="pct"/>
            <w:shd w:val="clear" w:color="auto" w:fill="FFFFFF"/>
            <w:noWrap/>
            <w:hideMark/>
          </w:tcPr>
          <w:p w:rsidR="00881FFD" w:rsidRPr="00412299" w:rsidRDefault="00881FFD" w:rsidP="00DE3814">
            <w:pPr>
              <w:spacing w:line="240" w:lineRule="auto"/>
              <w:jc w:val="right"/>
              <w:rPr>
                <w:rFonts w:ascii="Calibri" w:hAnsi="Calibri"/>
                <w:sz w:val="18"/>
                <w:szCs w:val="18"/>
                <w:lang w:eastAsia="sl-SI"/>
              </w:rPr>
            </w:pPr>
            <w:r w:rsidRPr="00972554">
              <w:rPr>
                <w:rFonts w:ascii="Calibri" w:hAnsi="Calibri"/>
                <w:sz w:val="18"/>
                <w:szCs w:val="18"/>
              </w:rPr>
              <w:t>12,63</w:t>
            </w: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NOVA GORICA</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1.569.491 </w:t>
            </w:r>
          </w:p>
        </w:tc>
        <w:tc>
          <w:tcPr>
            <w:tcW w:w="653" w:type="pct"/>
            <w:shd w:val="clear" w:color="auto" w:fill="FFFFFF"/>
            <w:noWrap/>
            <w:hideMark/>
          </w:tcPr>
          <w:p w:rsidR="00881FFD" w:rsidRPr="00412299" w:rsidRDefault="00881FFD" w:rsidP="00DE3814">
            <w:pPr>
              <w:spacing w:line="240" w:lineRule="auto"/>
              <w:jc w:val="right"/>
              <w:rPr>
                <w:rFonts w:ascii="Calibri" w:hAnsi="Calibri"/>
                <w:sz w:val="18"/>
                <w:szCs w:val="18"/>
                <w:lang w:eastAsia="sl-SI"/>
              </w:rPr>
            </w:pPr>
            <w:r w:rsidRPr="00972554">
              <w:rPr>
                <w:rFonts w:ascii="Calibri" w:hAnsi="Calibri"/>
                <w:sz w:val="18"/>
                <w:szCs w:val="18"/>
              </w:rPr>
              <w:t>11,37</w:t>
            </w:r>
          </w:p>
        </w:tc>
      </w:tr>
      <w:tr w:rsidR="00881FFD" w:rsidRPr="00972554" w:rsidTr="00972554">
        <w:trPr>
          <w:trHeight w:val="300"/>
        </w:trPr>
        <w:tc>
          <w:tcPr>
            <w:tcW w:w="3500" w:type="pct"/>
            <w:shd w:val="clear" w:color="auto" w:fill="auto"/>
            <w:noWrap/>
            <w:hideMark/>
          </w:tcPr>
          <w:p w:rsidR="00881FFD" w:rsidRPr="00412299" w:rsidRDefault="00881FFD"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315-Dolgoročne finančne naložbe - premoženje preneseno v last drugim uporabnikom enotnega kontnega načrta </w:t>
            </w:r>
          </w:p>
        </w:tc>
        <w:tc>
          <w:tcPr>
            <w:tcW w:w="847" w:type="pct"/>
            <w:shd w:val="clear" w:color="auto" w:fill="auto"/>
            <w:noWrap/>
            <w:hideMark/>
          </w:tcPr>
          <w:p w:rsidR="00881FFD" w:rsidRPr="00412299" w:rsidRDefault="00881FFD" w:rsidP="00DE3814">
            <w:pPr>
              <w:spacing w:line="240" w:lineRule="auto"/>
              <w:jc w:val="right"/>
              <w:rPr>
                <w:rFonts w:ascii="Calibri" w:hAnsi="Calibri"/>
                <w:b/>
                <w:bCs/>
                <w:sz w:val="18"/>
                <w:szCs w:val="18"/>
                <w:lang w:eastAsia="sl-SI"/>
              </w:rPr>
            </w:pPr>
            <w:r w:rsidRPr="00972554">
              <w:rPr>
                <w:rFonts w:ascii="Calibri" w:hAnsi="Calibri"/>
                <w:b/>
                <w:sz w:val="18"/>
                <w:szCs w:val="18"/>
              </w:rPr>
              <w:t xml:space="preserve">475.479.203 </w:t>
            </w:r>
          </w:p>
        </w:tc>
        <w:tc>
          <w:tcPr>
            <w:tcW w:w="653" w:type="pct"/>
            <w:shd w:val="clear" w:color="auto" w:fill="FFFFFF"/>
            <w:noWrap/>
            <w:hideMark/>
          </w:tcPr>
          <w:p w:rsidR="00881FFD" w:rsidRPr="00116FC1" w:rsidRDefault="00881FFD" w:rsidP="00D55FCA">
            <w:pPr>
              <w:spacing w:line="240" w:lineRule="auto"/>
              <w:jc w:val="right"/>
              <w:rPr>
                <w:rFonts w:ascii="Calibri" w:hAnsi="Calibri"/>
                <w:b/>
                <w:bCs/>
                <w:sz w:val="18"/>
                <w:szCs w:val="18"/>
                <w:lang w:eastAsia="sl-SI"/>
              </w:rPr>
            </w:pPr>
          </w:p>
        </w:tc>
      </w:tr>
      <w:tr w:rsidR="00881FFD" w:rsidRPr="00972554" w:rsidTr="00972554">
        <w:trPr>
          <w:trHeight w:val="300"/>
        </w:trPr>
        <w:tc>
          <w:tcPr>
            <w:tcW w:w="3500" w:type="pct"/>
            <w:shd w:val="clear" w:color="auto" w:fill="auto"/>
            <w:noWrap/>
            <w:hideMark/>
          </w:tcPr>
          <w:p w:rsidR="00881FFD" w:rsidRPr="00972554"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LJUBLJANA</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272.948.378 </w:t>
            </w:r>
          </w:p>
        </w:tc>
        <w:tc>
          <w:tcPr>
            <w:tcW w:w="653" w:type="pct"/>
            <w:shd w:val="clear" w:color="auto" w:fill="FFFFFF"/>
            <w:noWrap/>
            <w:hideMark/>
          </w:tcPr>
          <w:p w:rsidR="00881FFD" w:rsidRPr="00412299" w:rsidRDefault="00881FFD" w:rsidP="00DE3814">
            <w:pPr>
              <w:spacing w:line="240" w:lineRule="auto"/>
              <w:jc w:val="right"/>
              <w:rPr>
                <w:rFonts w:ascii="Calibri" w:hAnsi="Calibri"/>
                <w:sz w:val="18"/>
                <w:szCs w:val="18"/>
                <w:lang w:eastAsia="sl-SI"/>
              </w:rPr>
            </w:pPr>
            <w:r w:rsidRPr="00972554">
              <w:rPr>
                <w:rFonts w:ascii="Calibri" w:hAnsi="Calibri"/>
                <w:sz w:val="18"/>
                <w:szCs w:val="18"/>
              </w:rPr>
              <w:t>57,40</w:t>
            </w: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MARIBOR</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111.640.952 </w:t>
            </w:r>
          </w:p>
        </w:tc>
        <w:tc>
          <w:tcPr>
            <w:tcW w:w="653" w:type="pct"/>
            <w:shd w:val="clear" w:color="auto" w:fill="FFFFFF"/>
            <w:noWrap/>
            <w:hideMark/>
          </w:tcPr>
          <w:p w:rsidR="00881FFD" w:rsidRPr="00412299" w:rsidRDefault="00881FFD" w:rsidP="00DE3814">
            <w:pPr>
              <w:spacing w:line="240" w:lineRule="auto"/>
              <w:jc w:val="right"/>
              <w:rPr>
                <w:rFonts w:ascii="Calibri" w:hAnsi="Calibri"/>
                <w:sz w:val="18"/>
                <w:szCs w:val="18"/>
                <w:lang w:eastAsia="sl-SI"/>
              </w:rPr>
            </w:pPr>
            <w:r w:rsidRPr="00972554">
              <w:rPr>
                <w:rFonts w:ascii="Calibri" w:hAnsi="Calibri"/>
                <w:sz w:val="18"/>
                <w:szCs w:val="18"/>
              </w:rPr>
              <w:t>23,48</w:t>
            </w: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KOPER</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45.502.796 </w:t>
            </w:r>
          </w:p>
        </w:tc>
        <w:tc>
          <w:tcPr>
            <w:tcW w:w="653" w:type="pct"/>
            <w:shd w:val="clear" w:color="auto" w:fill="FFFFFF"/>
            <w:noWrap/>
            <w:hideMark/>
          </w:tcPr>
          <w:p w:rsidR="00881FFD" w:rsidRPr="00412299" w:rsidRDefault="00881FFD" w:rsidP="00DE3814">
            <w:pPr>
              <w:spacing w:line="240" w:lineRule="auto"/>
              <w:jc w:val="right"/>
              <w:rPr>
                <w:rFonts w:ascii="Calibri" w:hAnsi="Calibri"/>
                <w:sz w:val="18"/>
                <w:szCs w:val="18"/>
                <w:lang w:eastAsia="sl-SI"/>
              </w:rPr>
            </w:pPr>
            <w:r w:rsidRPr="00972554">
              <w:rPr>
                <w:rFonts w:ascii="Calibri" w:hAnsi="Calibri"/>
                <w:sz w:val="18"/>
                <w:szCs w:val="18"/>
              </w:rPr>
              <w:t>9,57</w:t>
            </w:r>
          </w:p>
        </w:tc>
      </w:tr>
      <w:tr w:rsidR="00881FFD" w:rsidRPr="00972554" w:rsidTr="00972554">
        <w:trPr>
          <w:trHeight w:val="300"/>
        </w:trPr>
        <w:tc>
          <w:tcPr>
            <w:tcW w:w="3500" w:type="pct"/>
            <w:shd w:val="clear" w:color="auto" w:fill="auto"/>
            <w:noWrap/>
            <w:hideMark/>
          </w:tcPr>
          <w:p w:rsidR="00881FFD" w:rsidRPr="00972554" w:rsidRDefault="00881FFD"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316-Druge dolgoročne finančne naložbe </w:t>
            </w:r>
          </w:p>
        </w:tc>
        <w:tc>
          <w:tcPr>
            <w:tcW w:w="847" w:type="pct"/>
            <w:shd w:val="clear" w:color="auto" w:fill="auto"/>
            <w:noWrap/>
            <w:hideMark/>
          </w:tcPr>
          <w:p w:rsidR="00881FFD" w:rsidRPr="00412299" w:rsidRDefault="00881FFD" w:rsidP="00DE3814">
            <w:pPr>
              <w:spacing w:line="240" w:lineRule="auto"/>
              <w:jc w:val="right"/>
              <w:rPr>
                <w:rFonts w:ascii="Calibri" w:hAnsi="Calibri"/>
                <w:b/>
                <w:bCs/>
                <w:sz w:val="18"/>
                <w:szCs w:val="18"/>
                <w:lang w:eastAsia="sl-SI"/>
              </w:rPr>
            </w:pPr>
            <w:r w:rsidRPr="00972554">
              <w:rPr>
                <w:rFonts w:ascii="Calibri" w:hAnsi="Calibri"/>
                <w:b/>
                <w:sz w:val="18"/>
                <w:szCs w:val="18"/>
              </w:rPr>
              <w:t xml:space="preserve">570.795.110 </w:t>
            </w:r>
          </w:p>
        </w:tc>
        <w:tc>
          <w:tcPr>
            <w:tcW w:w="653" w:type="pct"/>
            <w:shd w:val="clear" w:color="auto" w:fill="FFFFFF"/>
            <w:noWrap/>
            <w:hideMark/>
          </w:tcPr>
          <w:p w:rsidR="00881FFD" w:rsidRPr="00116FC1" w:rsidRDefault="00881FFD" w:rsidP="00D55FCA">
            <w:pPr>
              <w:spacing w:line="240" w:lineRule="auto"/>
              <w:jc w:val="right"/>
              <w:rPr>
                <w:rFonts w:ascii="Calibri" w:hAnsi="Calibri"/>
                <w:b/>
                <w:bCs/>
                <w:sz w:val="18"/>
                <w:szCs w:val="18"/>
                <w:lang w:eastAsia="sl-SI"/>
              </w:rPr>
            </w:pP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LJUBLJANA</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207.813.377 </w:t>
            </w:r>
          </w:p>
        </w:tc>
        <w:tc>
          <w:tcPr>
            <w:tcW w:w="653" w:type="pct"/>
            <w:shd w:val="clear" w:color="auto" w:fill="FFFFFF"/>
            <w:noWrap/>
            <w:hideMark/>
          </w:tcPr>
          <w:p w:rsidR="00881FFD" w:rsidRPr="00412299" w:rsidRDefault="00881FFD" w:rsidP="00DE3814">
            <w:pPr>
              <w:spacing w:line="240" w:lineRule="auto"/>
              <w:jc w:val="right"/>
              <w:rPr>
                <w:rFonts w:ascii="Calibri" w:hAnsi="Calibri"/>
                <w:sz w:val="18"/>
                <w:szCs w:val="18"/>
                <w:lang w:eastAsia="sl-SI"/>
              </w:rPr>
            </w:pPr>
            <w:r w:rsidRPr="00972554">
              <w:rPr>
                <w:rFonts w:ascii="Calibri" w:hAnsi="Calibri"/>
                <w:sz w:val="18"/>
                <w:szCs w:val="18"/>
              </w:rPr>
              <w:t>36,41</w:t>
            </w: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CELJE</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64.221.457 </w:t>
            </w:r>
          </w:p>
        </w:tc>
        <w:tc>
          <w:tcPr>
            <w:tcW w:w="653" w:type="pct"/>
            <w:shd w:val="clear" w:color="auto" w:fill="FFFFFF"/>
            <w:noWrap/>
            <w:hideMark/>
          </w:tcPr>
          <w:p w:rsidR="00881FFD" w:rsidRPr="00412299" w:rsidRDefault="00881FFD" w:rsidP="00DE3814">
            <w:pPr>
              <w:spacing w:line="240" w:lineRule="auto"/>
              <w:jc w:val="right"/>
              <w:rPr>
                <w:rFonts w:ascii="Calibri" w:hAnsi="Calibri"/>
                <w:sz w:val="18"/>
                <w:szCs w:val="18"/>
                <w:lang w:eastAsia="sl-SI"/>
              </w:rPr>
            </w:pPr>
            <w:r w:rsidRPr="00972554">
              <w:rPr>
                <w:rFonts w:ascii="Calibri" w:hAnsi="Calibri"/>
                <w:sz w:val="18"/>
                <w:szCs w:val="18"/>
              </w:rPr>
              <w:t>11,25</w:t>
            </w: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KOPER</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39.904.931 </w:t>
            </w:r>
          </w:p>
        </w:tc>
        <w:tc>
          <w:tcPr>
            <w:tcW w:w="653" w:type="pct"/>
            <w:shd w:val="clear" w:color="auto" w:fill="FFFFFF"/>
            <w:noWrap/>
            <w:hideMark/>
          </w:tcPr>
          <w:p w:rsidR="00881FFD" w:rsidRPr="00412299" w:rsidRDefault="00881FFD" w:rsidP="00DE3814">
            <w:pPr>
              <w:spacing w:line="240" w:lineRule="auto"/>
              <w:jc w:val="right"/>
              <w:rPr>
                <w:rFonts w:ascii="Calibri" w:hAnsi="Calibri"/>
                <w:sz w:val="18"/>
                <w:szCs w:val="18"/>
                <w:lang w:eastAsia="sl-SI"/>
              </w:rPr>
            </w:pPr>
            <w:r w:rsidRPr="00972554">
              <w:rPr>
                <w:rFonts w:ascii="Calibri" w:hAnsi="Calibri"/>
                <w:sz w:val="18"/>
                <w:szCs w:val="18"/>
              </w:rPr>
              <w:t>6,99</w:t>
            </w:r>
          </w:p>
        </w:tc>
      </w:tr>
      <w:tr w:rsidR="00881FFD" w:rsidRPr="00972554" w:rsidTr="00972554">
        <w:trPr>
          <w:trHeight w:val="300"/>
        </w:trPr>
        <w:tc>
          <w:tcPr>
            <w:tcW w:w="3500" w:type="pct"/>
            <w:shd w:val="clear" w:color="auto" w:fill="auto"/>
            <w:noWrap/>
            <w:hideMark/>
          </w:tcPr>
          <w:p w:rsidR="00881FFD" w:rsidRPr="00412299" w:rsidRDefault="00881FFD"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317-Dolgoročno dana posojila in depoziti </w:t>
            </w:r>
          </w:p>
        </w:tc>
        <w:tc>
          <w:tcPr>
            <w:tcW w:w="847" w:type="pct"/>
            <w:shd w:val="clear" w:color="auto" w:fill="auto"/>
            <w:noWrap/>
            <w:hideMark/>
          </w:tcPr>
          <w:p w:rsidR="00881FFD" w:rsidRPr="00412299" w:rsidRDefault="00881FFD" w:rsidP="00DE3814">
            <w:pPr>
              <w:spacing w:line="240" w:lineRule="auto"/>
              <w:jc w:val="right"/>
              <w:rPr>
                <w:rFonts w:ascii="Calibri" w:hAnsi="Calibri"/>
                <w:b/>
                <w:bCs/>
                <w:sz w:val="18"/>
                <w:szCs w:val="18"/>
                <w:lang w:eastAsia="sl-SI"/>
              </w:rPr>
            </w:pPr>
            <w:r w:rsidRPr="00972554">
              <w:rPr>
                <w:rFonts w:ascii="Calibri" w:hAnsi="Calibri"/>
                <w:b/>
                <w:sz w:val="18"/>
                <w:szCs w:val="18"/>
              </w:rPr>
              <w:t xml:space="preserve">4.107.382 </w:t>
            </w:r>
          </w:p>
        </w:tc>
        <w:tc>
          <w:tcPr>
            <w:tcW w:w="653" w:type="pct"/>
            <w:shd w:val="clear" w:color="auto" w:fill="FFFFFF"/>
            <w:noWrap/>
            <w:hideMark/>
          </w:tcPr>
          <w:p w:rsidR="00881FFD" w:rsidRPr="00116FC1" w:rsidRDefault="00881FFD" w:rsidP="00D55FCA">
            <w:pPr>
              <w:spacing w:line="240" w:lineRule="auto"/>
              <w:jc w:val="right"/>
              <w:rPr>
                <w:rFonts w:ascii="Calibri" w:hAnsi="Calibri"/>
                <w:b/>
                <w:bCs/>
                <w:sz w:val="18"/>
                <w:szCs w:val="18"/>
                <w:lang w:eastAsia="sl-SI"/>
              </w:rPr>
            </w:pP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NOVO MESTO</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704.320 </w:t>
            </w:r>
          </w:p>
        </w:tc>
        <w:tc>
          <w:tcPr>
            <w:tcW w:w="653" w:type="pct"/>
            <w:shd w:val="clear" w:color="auto" w:fill="FFFFFF"/>
            <w:noWrap/>
            <w:hideMark/>
          </w:tcPr>
          <w:p w:rsidR="00881FFD" w:rsidRPr="00412299" w:rsidRDefault="00881FFD" w:rsidP="00DE3814">
            <w:pPr>
              <w:spacing w:line="240" w:lineRule="auto"/>
              <w:jc w:val="right"/>
              <w:rPr>
                <w:rFonts w:ascii="Calibri" w:hAnsi="Calibri"/>
                <w:sz w:val="18"/>
                <w:szCs w:val="18"/>
                <w:lang w:eastAsia="sl-SI"/>
              </w:rPr>
            </w:pPr>
            <w:r w:rsidRPr="00972554">
              <w:rPr>
                <w:rFonts w:ascii="Calibri" w:hAnsi="Calibri"/>
                <w:sz w:val="18"/>
                <w:szCs w:val="18"/>
              </w:rPr>
              <w:t>17,15</w:t>
            </w: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OBČINA ŠKOFJA LOKA</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515.691 </w:t>
            </w:r>
          </w:p>
        </w:tc>
        <w:tc>
          <w:tcPr>
            <w:tcW w:w="653" w:type="pct"/>
            <w:shd w:val="clear" w:color="auto" w:fill="FFFFFF"/>
            <w:noWrap/>
            <w:hideMark/>
          </w:tcPr>
          <w:p w:rsidR="00881FFD" w:rsidRPr="00412299" w:rsidRDefault="00881FFD" w:rsidP="00DE3814">
            <w:pPr>
              <w:spacing w:line="240" w:lineRule="auto"/>
              <w:jc w:val="right"/>
              <w:rPr>
                <w:rFonts w:ascii="Calibri" w:hAnsi="Calibri"/>
                <w:sz w:val="18"/>
                <w:szCs w:val="18"/>
                <w:lang w:eastAsia="sl-SI"/>
              </w:rPr>
            </w:pPr>
            <w:r w:rsidRPr="00972554">
              <w:rPr>
                <w:rFonts w:ascii="Calibri" w:hAnsi="Calibri"/>
                <w:sz w:val="18"/>
                <w:szCs w:val="18"/>
              </w:rPr>
              <w:t>12,56</w:t>
            </w: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OBČINA ŠENTJERNEJ</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360.725 </w:t>
            </w:r>
          </w:p>
        </w:tc>
        <w:tc>
          <w:tcPr>
            <w:tcW w:w="653" w:type="pct"/>
            <w:shd w:val="clear" w:color="auto" w:fill="FFFFFF"/>
            <w:noWrap/>
            <w:hideMark/>
          </w:tcPr>
          <w:p w:rsidR="00881FFD" w:rsidRPr="00412299" w:rsidRDefault="00881FFD" w:rsidP="00DE3814">
            <w:pPr>
              <w:spacing w:line="240" w:lineRule="auto"/>
              <w:jc w:val="right"/>
              <w:rPr>
                <w:rFonts w:ascii="Calibri" w:hAnsi="Calibri"/>
                <w:sz w:val="18"/>
                <w:szCs w:val="18"/>
                <w:lang w:eastAsia="sl-SI"/>
              </w:rPr>
            </w:pPr>
            <w:r w:rsidRPr="00972554">
              <w:rPr>
                <w:rFonts w:ascii="Calibri" w:hAnsi="Calibri"/>
                <w:sz w:val="18"/>
                <w:szCs w:val="18"/>
              </w:rPr>
              <w:t>8,78</w:t>
            </w:r>
          </w:p>
        </w:tc>
      </w:tr>
      <w:tr w:rsidR="00881FFD" w:rsidRPr="00972554" w:rsidTr="00972554">
        <w:trPr>
          <w:trHeight w:val="300"/>
        </w:trPr>
        <w:tc>
          <w:tcPr>
            <w:tcW w:w="3500" w:type="pct"/>
            <w:shd w:val="clear" w:color="auto" w:fill="auto"/>
            <w:noWrap/>
            <w:hideMark/>
          </w:tcPr>
          <w:p w:rsidR="00881FFD" w:rsidRPr="00412299" w:rsidRDefault="00881FFD"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318-Dolgoročne terjatve iz poslovanja </w:t>
            </w:r>
          </w:p>
        </w:tc>
        <w:tc>
          <w:tcPr>
            <w:tcW w:w="847" w:type="pct"/>
            <w:shd w:val="clear" w:color="auto" w:fill="auto"/>
            <w:noWrap/>
            <w:hideMark/>
          </w:tcPr>
          <w:p w:rsidR="00881FFD" w:rsidRPr="00412299" w:rsidRDefault="00881FFD" w:rsidP="00DE3814">
            <w:pPr>
              <w:spacing w:line="240" w:lineRule="auto"/>
              <w:jc w:val="right"/>
              <w:rPr>
                <w:rFonts w:ascii="Calibri" w:hAnsi="Calibri"/>
                <w:b/>
                <w:bCs/>
                <w:sz w:val="18"/>
                <w:szCs w:val="18"/>
                <w:lang w:eastAsia="sl-SI"/>
              </w:rPr>
            </w:pPr>
            <w:r w:rsidRPr="00972554">
              <w:rPr>
                <w:rFonts w:ascii="Calibri" w:hAnsi="Calibri"/>
                <w:b/>
                <w:sz w:val="18"/>
                <w:szCs w:val="18"/>
              </w:rPr>
              <w:t xml:space="preserve">73.493.919 </w:t>
            </w:r>
          </w:p>
        </w:tc>
        <w:tc>
          <w:tcPr>
            <w:tcW w:w="653" w:type="pct"/>
            <w:shd w:val="clear" w:color="auto" w:fill="FFFFFF"/>
            <w:noWrap/>
            <w:hideMark/>
          </w:tcPr>
          <w:p w:rsidR="00881FFD" w:rsidRPr="00116FC1" w:rsidRDefault="00881FFD" w:rsidP="00D55FCA">
            <w:pPr>
              <w:spacing w:line="240" w:lineRule="auto"/>
              <w:jc w:val="right"/>
              <w:rPr>
                <w:rFonts w:ascii="Calibri" w:hAnsi="Calibri"/>
                <w:b/>
                <w:bCs/>
                <w:sz w:val="18"/>
                <w:szCs w:val="18"/>
                <w:lang w:eastAsia="sl-SI"/>
              </w:rPr>
            </w:pP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LJUBLJANA</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61.037.676 </w:t>
            </w:r>
          </w:p>
        </w:tc>
        <w:tc>
          <w:tcPr>
            <w:tcW w:w="653" w:type="pct"/>
            <w:shd w:val="clear" w:color="auto" w:fill="FFFFFF"/>
            <w:noWrap/>
            <w:hideMark/>
          </w:tcPr>
          <w:p w:rsidR="00881FFD" w:rsidRPr="00412299" w:rsidRDefault="00881FFD" w:rsidP="00DE3814">
            <w:pPr>
              <w:spacing w:line="240" w:lineRule="auto"/>
              <w:jc w:val="right"/>
              <w:rPr>
                <w:rFonts w:ascii="Calibri" w:hAnsi="Calibri"/>
                <w:sz w:val="18"/>
                <w:szCs w:val="18"/>
                <w:lang w:eastAsia="sl-SI"/>
              </w:rPr>
            </w:pPr>
            <w:r w:rsidRPr="00972554">
              <w:rPr>
                <w:rFonts w:ascii="Calibri" w:hAnsi="Calibri"/>
                <w:sz w:val="18"/>
                <w:szCs w:val="18"/>
              </w:rPr>
              <w:t>83,05</w:t>
            </w: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OBČINA PIRAN</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4.512.102 </w:t>
            </w:r>
          </w:p>
        </w:tc>
        <w:tc>
          <w:tcPr>
            <w:tcW w:w="653" w:type="pct"/>
            <w:shd w:val="clear" w:color="auto" w:fill="FFFFFF"/>
            <w:noWrap/>
            <w:hideMark/>
          </w:tcPr>
          <w:p w:rsidR="00881FFD" w:rsidRPr="00412299" w:rsidRDefault="00881FFD" w:rsidP="00DE3814">
            <w:pPr>
              <w:spacing w:line="240" w:lineRule="auto"/>
              <w:jc w:val="right"/>
              <w:rPr>
                <w:rFonts w:ascii="Calibri" w:hAnsi="Calibri"/>
                <w:sz w:val="18"/>
                <w:szCs w:val="18"/>
                <w:lang w:eastAsia="sl-SI"/>
              </w:rPr>
            </w:pPr>
            <w:r w:rsidRPr="00972554">
              <w:rPr>
                <w:rFonts w:ascii="Calibri" w:hAnsi="Calibri"/>
                <w:sz w:val="18"/>
                <w:szCs w:val="18"/>
              </w:rPr>
              <w:t>6,14</w:t>
            </w: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PTUJ</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1.427.741 </w:t>
            </w:r>
          </w:p>
        </w:tc>
        <w:tc>
          <w:tcPr>
            <w:tcW w:w="653" w:type="pct"/>
            <w:shd w:val="clear" w:color="auto" w:fill="FFFFFF"/>
            <w:noWrap/>
            <w:hideMark/>
          </w:tcPr>
          <w:p w:rsidR="00881FFD" w:rsidRPr="00412299" w:rsidRDefault="00881FFD" w:rsidP="00DE3814">
            <w:pPr>
              <w:spacing w:line="240" w:lineRule="auto"/>
              <w:jc w:val="right"/>
              <w:rPr>
                <w:rFonts w:ascii="Calibri" w:hAnsi="Calibri"/>
                <w:sz w:val="18"/>
                <w:szCs w:val="18"/>
                <w:lang w:eastAsia="sl-SI"/>
              </w:rPr>
            </w:pPr>
            <w:r w:rsidRPr="00972554">
              <w:rPr>
                <w:rFonts w:ascii="Calibri" w:hAnsi="Calibri"/>
                <w:sz w:val="18"/>
                <w:szCs w:val="18"/>
              </w:rPr>
              <w:t>1,94</w:t>
            </w:r>
          </w:p>
        </w:tc>
      </w:tr>
      <w:tr w:rsidR="00881FFD" w:rsidRPr="00972554" w:rsidTr="00972554">
        <w:trPr>
          <w:trHeight w:val="300"/>
        </w:trPr>
        <w:tc>
          <w:tcPr>
            <w:tcW w:w="3500" w:type="pct"/>
            <w:shd w:val="clear" w:color="auto" w:fill="auto"/>
            <w:noWrap/>
            <w:hideMark/>
          </w:tcPr>
          <w:p w:rsidR="00881FFD" w:rsidRPr="00412299" w:rsidRDefault="00881FFD"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319-Denarna sredstva </w:t>
            </w:r>
          </w:p>
        </w:tc>
        <w:tc>
          <w:tcPr>
            <w:tcW w:w="847" w:type="pct"/>
            <w:shd w:val="clear" w:color="auto" w:fill="auto"/>
            <w:noWrap/>
            <w:hideMark/>
          </w:tcPr>
          <w:p w:rsidR="00881FFD" w:rsidRPr="00412299" w:rsidRDefault="00881FFD" w:rsidP="00DE3814">
            <w:pPr>
              <w:spacing w:line="240" w:lineRule="auto"/>
              <w:jc w:val="right"/>
              <w:rPr>
                <w:rFonts w:ascii="Calibri" w:hAnsi="Calibri"/>
                <w:b/>
                <w:bCs/>
                <w:sz w:val="18"/>
                <w:szCs w:val="18"/>
                <w:lang w:eastAsia="sl-SI"/>
              </w:rPr>
            </w:pPr>
            <w:r w:rsidRPr="00972554">
              <w:rPr>
                <w:rFonts w:ascii="Calibri" w:hAnsi="Calibri"/>
                <w:b/>
                <w:sz w:val="18"/>
                <w:szCs w:val="18"/>
              </w:rPr>
              <w:t xml:space="preserve">263.466.667 </w:t>
            </w:r>
          </w:p>
        </w:tc>
        <w:tc>
          <w:tcPr>
            <w:tcW w:w="653" w:type="pct"/>
            <w:shd w:val="clear" w:color="auto" w:fill="FFFFFF"/>
            <w:noWrap/>
            <w:hideMark/>
          </w:tcPr>
          <w:p w:rsidR="00881FFD" w:rsidRPr="00116FC1" w:rsidRDefault="00881FFD" w:rsidP="00D55FCA">
            <w:pPr>
              <w:spacing w:line="240" w:lineRule="auto"/>
              <w:jc w:val="right"/>
              <w:rPr>
                <w:rFonts w:ascii="Calibri" w:hAnsi="Calibri"/>
                <w:b/>
                <w:bCs/>
                <w:sz w:val="18"/>
                <w:szCs w:val="18"/>
                <w:lang w:eastAsia="sl-SI"/>
              </w:rPr>
            </w:pP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UPRAVLJAVEC SREDSTEV SISTEMA </w:t>
            </w:r>
            <w:r w:rsidR="00282232" w:rsidRPr="002B775E">
              <w:rPr>
                <w:rFonts w:ascii="Calibri" w:hAnsi="Calibri"/>
                <w:sz w:val="18"/>
                <w:szCs w:val="18"/>
              </w:rPr>
              <w:t>EZR</w:t>
            </w:r>
            <w:r w:rsidRPr="00972554">
              <w:rPr>
                <w:rFonts w:ascii="Calibri" w:hAnsi="Calibri"/>
                <w:sz w:val="18"/>
                <w:szCs w:val="18"/>
              </w:rPr>
              <w:t xml:space="preserve"> MESTNE OBČINE LJUBLJANA</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30.925.067 </w:t>
            </w:r>
          </w:p>
        </w:tc>
        <w:tc>
          <w:tcPr>
            <w:tcW w:w="653" w:type="pct"/>
            <w:shd w:val="clear" w:color="auto" w:fill="FFFFFF"/>
            <w:noWrap/>
            <w:hideMark/>
          </w:tcPr>
          <w:p w:rsidR="00881FFD" w:rsidRPr="00412299" w:rsidRDefault="00881FFD" w:rsidP="00DE3814">
            <w:pPr>
              <w:spacing w:line="240" w:lineRule="auto"/>
              <w:jc w:val="right"/>
              <w:rPr>
                <w:rFonts w:ascii="Calibri" w:hAnsi="Calibri"/>
                <w:sz w:val="18"/>
                <w:szCs w:val="18"/>
                <w:lang w:eastAsia="sl-SI"/>
              </w:rPr>
            </w:pPr>
            <w:r w:rsidRPr="00972554">
              <w:rPr>
                <w:rFonts w:ascii="Calibri" w:hAnsi="Calibri"/>
                <w:sz w:val="18"/>
                <w:szCs w:val="18"/>
              </w:rPr>
              <w:t>11,74</w:t>
            </w: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UPRAVLJAVEC SREDSTEV SISTEMA </w:t>
            </w:r>
            <w:r w:rsidR="00282232" w:rsidRPr="002B775E">
              <w:rPr>
                <w:rFonts w:ascii="Calibri" w:hAnsi="Calibri"/>
                <w:sz w:val="18"/>
                <w:szCs w:val="18"/>
              </w:rPr>
              <w:t>EZR</w:t>
            </w:r>
            <w:r w:rsidRPr="00972554">
              <w:rPr>
                <w:rFonts w:ascii="Calibri" w:hAnsi="Calibri"/>
                <w:sz w:val="18"/>
                <w:szCs w:val="18"/>
              </w:rPr>
              <w:t xml:space="preserve"> MESTNE OBČINE KRANJ</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10.320.962 </w:t>
            </w:r>
          </w:p>
        </w:tc>
        <w:tc>
          <w:tcPr>
            <w:tcW w:w="653" w:type="pct"/>
            <w:shd w:val="clear" w:color="auto" w:fill="FFFFFF"/>
            <w:noWrap/>
            <w:hideMark/>
          </w:tcPr>
          <w:p w:rsidR="00881FFD" w:rsidRPr="00412299" w:rsidRDefault="00881FFD" w:rsidP="00DE3814">
            <w:pPr>
              <w:spacing w:line="240" w:lineRule="auto"/>
              <w:jc w:val="right"/>
              <w:rPr>
                <w:rFonts w:ascii="Calibri" w:hAnsi="Calibri"/>
                <w:sz w:val="18"/>
                <w:szCs w:val="18"/>
                <w:lang w:eastAsia="sl-SI"/>
              </w:rPr>
            </w:pPr>
            <w:r w:rsidRPr="00972554">
              <w:rPr>
                <w:rFonts w:ascii="Calibri" w:hAnsi="Calibri"/>
                <w:sz w:val="18"/>
                <w:szCs w:val="18"/>
              </w:rPr>
              <w:t>3,92</w:t>
            </w: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 xml:space="preserve">UPRAVLJAVEC SREDSTEV SISTEMA </w:t>
            </w:r>
            <w:r w:rsidR="00282232" w:rsidRPr="002B775E">
              <w:rPr>
                <w:rFonts w:ascii="Calibri" w:hAnsi="Calibri"/>
                <w:sz w:val="18"/>
                <w:szCs w:val="18"/>
              </w:rPr>
              <w:t>EZR</w:t>
            </w:r>
            <w:r w:rsidRPr="00972554">
              <w:rPr>
                <w:rFonts w:ascii="Calibri" w:hAnsi="Calibri"/>
                <w:sz w:val="18"/>
                <w:szCs w:val="18"/>
              </w:rPr>
              <w:t xml:space="preserve"> MESTNE OBČINE KOPER</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8.366.092 </w:t>
            </w:r>
          </w:p>
        </w:tc>
        <w:tc>
          <w:tcPr>
            <w:tcW w:w="653" w:type="pct"/>
            <w:shd w:val="clear" w:color="auto" w:fill="FFFFFF"/>
            <w:noWrap/>
            <w:hideMark/>
          </w:tcPr>
          <w:p w:rsidR="00881FFD" w:rsidRPr="00412299" w:rsidRDefault="00881FFD" w:rsidP="00DE3814">
            <w:pPr>
              <w:spacing w:line="240" w:lineRule="auto"/>
              <w:jc w:val="right"/>
              <w:rPr>
                <w:rFonts w:ascii="Calibri" w:hAnsi="Calibri"/>
                <w:sz w:val="18"/>
                <w:szCs w:val="18"/>
                <w:lang w:eastAsia="sl-SI"/>
              </w:rPr>
            </w:pPr>
            <w:r w:rsidRPr="00972554">
              <w:rPr>
                <w:rFonts w:ascii="Calibri" w:hAnsi="Calibri"/>
                <w:sz w:val="18"/>
                <w:szCs w:val="18"/>
              </w:rPr>
              <w:t>3,18</w:t>
            </w:r>
          </w:p>
        </w:tc>
      </w:tr>
      <w:tr w:rsidR="00881FFD" w:rsidRPr="00972554" w:rsidTr="00972554">
        <w:trPr>
          <w:trHeight w:val="300"/>
        </w:trPr>
        <w:tc>
          <w:tcPr>
            <w:tcW w:w="3500" w:type="pct"/>
            <w:shd w:val="clear" w:color="auto" w:fill="auto"/>
            <w:noWrap/>
            <w:hideMark/>
          </w:tcPr>
          <w:p w:rsidR="00881FFD" w:rsidRPr="00412299" w:rsidRDefault="00881FFD"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320-Kratkoročne terjatve </w:t>
            </w:r>
          </w:p>
        </w:tc>
        <w:tc>
          <w:tcPr>
            <w:tcW w:w="847" w:type="pct"/>
            <w:shd w:val="clear" w:color="auto" w:fill="auto"/>
            <w:noWrap/>
            <w:hideMark/>
          </w:tcPr>
          <w:p w:rsidR="00881FFD" w:rsidRPr="00412299" w:rsidRDefault="00881FFD" w:rsidP="00DE3814">
            <w:pPr>
              <w:spacing w:line="240" w:lineRule="auto"/>
              <w:jc w:val="right"/>
              <w:rPr>
                <w:rFonts w:ascii="Calibri" w:hAnsi="Calibri"/>
                <w:b/>
                <w:bCs/>
                <w:sz w:val="18"/>
                <w:szCs w:val="18"/>
                <w:lang w:eastAsia="sl-SI"/>
              </w:rPr>
            </w:pPr>
            <w:r w:rsidRPr="00972554">
              <w:rPr>
                <w:rFonts w:ascii="Calibri" w:hAnsi="Calibri"/>
                <w:b/>
                <w:sz w:val="18"/>
                <w:szCs w:val="18"/>
              </w:rPr>
              <w:t xml:space="preserve">401.956.053 </w:t>
            </w:r>
          </w:p>
        </w:tc>
        <w:tc>
          <w:tcPr>
            <w:tcW w:w="653" w:type="pct"/>
            <w:shd w:val="clear" w:color="auto" w:fill="FFFFFF"/>
            <w:noWrap/>
            <w:hideMark/>
          </w:tcPr>
          <w:p w:rsidR="00881FFD" w:rsidRPr="00116FC1" w:rsidRDefault="00881FFD" w:rsidP="00D55FCA">
            <w:pPr>
              <w:spacing w:line="240" w:lineRule="auto"/>
              <w:jc w:val="right"/>
              <w:rPr>
                <w:rFonts w:ascii="Calibri" w:hAnsi="Calibri"/>
                <w:b/>
                <w:bCs/>
                <w:sz w:val="18"/>
                <w:szCs w:val="18"/>
                <w:lang w:eastAsia="sl-SI"/>
              </w:rPr>
            </w:pP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LJUBLJANA</w:t>
            </w:r>
          </w:p>
        </w:tc>
        <w:tc>
          <w:tcPr>
            <w:tcW w:w="847" w:type="pct"/>
            <w:shd w:val="clear" w:color="auto" w:fill="auto"/>
            <w:noWrap/>
            <w:hideMark/>
          </w:tcPr>
          <w:p w:rsidR="00881FFD" w:rsidRPr="00116FC1"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186.967.495 </w:t>
            </w:r>
          </w:p>
        </w:tc>
        <w:tc>
          <w:tcPr>
            <w:tcW w:w="653" w:type="pct"/>
            <w:shd w:val="clear" w:color="auto" w:fill="FFFFFF"/>
            <w:noWrap/>
            <w:hideMark/>
          </w:tcPr>
          <w:p w:rsidR="00881FFD" w:rsidRPr="00412299" w:rsidRDefault="00881FFD" w:rsidP="00DE3814">
            <w:pPr>
              <w:spacing w:line="240" w:lineRule="auto"/>
              <w:jc w:val="right"/>
              <w:rPr>
                <w:rFonts w:ascii="Calibri" w:hAnsi="Calibri"/>
                <w:sz w:val="18"/>
                <w:szCs w:val="18"/>
                <w:lang w:eastAsia="sl-SI"/>
              </w:rPr>
            </w:pPr>
            <w:r w:rsidRPr="00972554">
              <w:rPr>
                <w:rFonts w:ascii="Calibri" w:hAnsi="Calibri"/>
                <w:sz w:val="18"/>
                <w:szCs w:val="18"/>
              </w:rPr>
              <w:t>46,51</w:t>
            </w: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KOPER</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24.205.460 </w:t>
            </w:r>
          </w:p>
        </w:tc>
        <w:tc>
          <w:tcPr>
            <w:tcW w:w="653" w:type="pct"/>
            <w:shd w:val="clear" w:color="auto" w:fill="FFFFFF"/>
            <w:noWrap/>
            <w:hideMark/>
          </w:tcPr>
          <w:p w:rsidR="00881FFD" w:rsidRPr="00412299" w:rsidRDefault="00881FFD" w:rsidP="00DE3814">
            <w:pPr>
              <w:spacing w:line="240" w:lineRule="auto"/>
              <w:jc w:val="right"/>
              <w:rPr>
                <w:rFonts w:ascii="Calibri" w:hAnsi="Calibri"/>
                <w:sz w:val="18"/>
                <w:szCs w:val="18"/>
                <w:lang w:eastAsia="sl-SI"/>
              </w:rPr>
            </w:pPr>
            <w:r w:rsidRPr="00972554">
              <w:rPr>
                <w:rFonts w:ascii="Calibri" w:hAnsi="Calibri"/>
                <w:sz w:val="18"/>
                <w:szCs w:val="18"/>
              </w:rPr>
              <w:t>6,02</w:t>
            </w: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MARIBOR</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11.005.145 </w:t>
            </w:r>
          </w:p>
        </w:tc>
        <w:tc>
          <w:tcPr>
            <w:tcW w:w="653" w:type="pct"/>
            <w:shd w:val="clear" w:color="auto" w:fill="FFFFFF"/>
            <w:noWrap/>
            <w:hideMark/>
          </w:tcPr>
          <w:p w:rsidR="00881FFD" w:rsidRPr="00412299" w:rsidRDefault="00881FFD" w:rsidP="00DE3814">
            <w:pPr>
              <w:spacing w:line="240" w:lineRule="auto"/>
              <w:jc w:val="right"/>
              <w:rPr>
                <w:rFonts w:ascii="Calibri" w:hAnsi="Calibri"/>
                <w:sz w:val="18"/>
                <w:szCs w:val="18"/>
                <w:lang w:eastAsia="sl-SI"/>
              </w:rPr>
            </w:pPr>
            <w:r w:rsidRPr="00972554">
              <w:rPr>
                <w:rFonts w:ascii="Calibri" w:hAnsi="Calibri"/>
                <w:sz w:val="18"/>
                <w:szCs w:val="18"/>
              </w:rPr>
              <w:t>2,74</w:t>
            </w:r>
          </w:p>
        </w:tc>
      </w:tr>
      <w:tr w:rsidR="00881FFD" w:rsidRPr="00972554" w:rsidTr="00972554">
        <w:trPr>
          <w:trHeight w:val="300"/>
        </w:trPr>
        <w:tc>
          <w:tcPr>
            <w:tcW w:w="3500" w:type="pct"/>
            <w:shd w:val="clear" w:color="auto" w:fill="auto"/>
            <w:noWrap/>
            <w:hideMark/>
          </w:tcPr>
          <w:p w:rsidR="00881FFD" w:rsidRPr="00412299" w:rsidRDefault="00881FFD"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321-Druge terjatve </w:t>
            </w:r>
          </w:p>
        </w:tc>
        <w:tc>
          <w:tcPr>
            <w:tcW w:w="847" w:type="pct"/>
            <w:shd w:val="clear" w:color="auto" w:fill="auto"/>
            <w:noWrap/>
            <w:hideMark/>
          </w:tcPr>
          <w:p w:rsidR="00881FFD" w:rsidRPr="00412299" w:rsidRDefault="00881FFD" w:rsidP="00DE3814">
            <w:pPr>
              <w:spacing w:line="240" w:lineRule="auto"/>
              <w:jc w:val="right"/>
              <w:rPr>
                <w:rFonts w:ascii="Calibri" w:hAnsi="Calibri"/>
                <w:b/>
                <w:bCs/>
                <w:sz w:val="18"/>
                <w:szCs w:val="18"/>
                <w:lang w:eastAsia="sl-SI"/>
              </w:rPr>
            </w:pPr>
            <w:r w:rsidRPr="00972554">
              <w:rPr>
                <w:rFonts w:ascii="Calibri" w:hAnsi="Calibri"/>
                <w:b/>
                <w:sz w:val="18"/>
                <w:szCs w:val="18"/>
              </w:rPr>
              <w:t xml:space="preserve">73.886.684 </w:t>
            </w:r>
          </w:p>
        </w:tc>
        <w:tc>
          <w:tcPr>
            <w:tcW w:w="653" w:type="pct"/>
            <w:shd w:val="clear" w:color="auto" w:fill="FFFFFF"/>
            <w:noWrap/>
            <w:hideMark/>
          </w:tcPr>
          <w:p w:rsidR="00881FFD" w:rsidRPr="00116FC1" w:rsidRDefault="00881FFD" w:rsidP="00D55FCA">
            <w:pPr>
              <w:spacing w:line="240" w:lineRule="auto"/>
              <w:jc w:val="right"/>
              <w:rPr>
                <w:rFonts w:ascii="Calibri" w:hAnsi="Calibri"/>
                <w:b/>
                <w:bCs/>
                <w:sz w:val="18"/>
                <w:szCs w:val="18"/>
                <w:lang w:eastAsia="sl-SI"/>
              </w:rPr>
            </w:pP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OBČINA KRŠKO</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11.921.848 </w:t>
            </w:r>
          </w:p>
        </w:tc>
        <w:tc>
          <w:tcPr>
            <w:tcW w:w="653" w:type="pct"/>
            <w:shd w:val="clear" w:color="auto" w:fill="FFFFFF"/>
            <w:noWrap/>
            <w:hideMark/>
          </w:tcPr>
          <w:p w:rsidR="00881FFD" w:rsidRPr="00412299" w:rsidRDefault="00881FFD" w:rsidP="00DE3814">
            <w:pPr>
              <w:spacing w:line="240" w:lineRule="auto"/>
              <w:jc w:val="right"/>
              <w:rPr>
                <w:rFonts w:ascii="Calibri" w:hAnsi="Calibri"/>
                <w:sz w:val="18"/>
                <w:szCs w:val="18"/>
                <w:lang w:eastAsia="sl-SI"/>
              </w:rPr>
            </w:pPr>
            <w:r w:rsidRPr="00972554">
              <w:rPr>
                <w:rFonts w:ascii="Calibri" w:hAnsi="Calibri"/>
                <w:sz w:val="18"/>
                <w:szCs w:val="18"/>
              </w:rPr>
              <w:t>16,14</w:t>
            </w: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NOVO MESTO</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6.747.976 </w:t>
            </w:r>
          </w:p>
        </w:tc>
        <w:tc>
          <w:tcPr>
            <w:tcW w:w="653" w:type="pct"/>
            <w:shd w:val="clear" w:color="auto" w:fill="FFFFFF"/>
            <w:noWrap/>
            <w:hideMark/>
          </w:tcPr>
          <w:p w:rsidR="00881FFD" w:rsidRPr="00412299" w:rsidRDefault="00881FFD" w:rsidP="00DE3814">
            <w:pPr>
              <w:spacing w:line="240" w:lineRule="auto"/>
              <w:jc w:val="right"/>
              <w:rPr>
                <w:rFonts w:ascii="Calibri" w:hAnsi="Calibri"/>
                <w:sz w:val="18"/>
                <w:szCs w:val="18"/>
                <w:lang w:eastAsia="sl-SI"/>
              </w:rPr>
            </w:pPr>
            <w:r w:rsidRPr="00972554">
              <w:rPr>
                <w:rFonts w:ascii="Calibri" w:hAnsi="Calibri"/>
                <w:sz w:val="18"/>
                <w:szCs w:val="18"/>
              </w:rPr>
              <w:t>9,13</w:t>
            </w: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lastRenderedPageBreak/>
              <w:t>OBČINA KAMNIK</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5.436.089 </w:t>
            </w:r>
          </w:p>
        </w:tc>
        <w:tc>
          <w:tcPr>
            <w:tcW w:w="653" w:type="pct"/>
            <w:shd w:val="clear" w:color="auto" w:fill="FFFFFF"/>
            <w:noWrap/>
            <w:hideMark/>
          </w:tcPr>
          <w:p w:rsidR="00881FFD" w:rsidRPr="00412299" w:rsidRDefault="00881FFD" w:rsidP="00DE3814">
            <w:pPr>
              <w:spacing w:line="240" w:lineRule="auto"/>
              <w:jc w:val="right"/>
              <w:rPr>
                <w:rFonts w:ascii="Calibri" w:hAnsi="Calibri"/>
                <w:sz w:val="18"/>
                <w:szCs w:val="18"/>
                <w:lang w:eastAsia="sl-SI"/>
              </w:rPr>
            </w:pPr>
            <w:r w:rsidRPr="00972554">
              <w:rPr>
                <w:rFonts w:ascii="Calibri" w:hAnsi="Calibri"/>
                <w:sz w:val="18"/>
                <w:szCs w:val="18"/>
              </w:rPr>
              <w:t>7,36</w:t>
            </w:r>
          </w:p>
        </w:tc>
      </w:tr>
      <w:tr w:rsidR="00881FFD" w:rsidRPr="00972554" w:rsidTr="00972554">
        <w:trPr>
          <w:trHeight w:val="300"/>
        </w:trPr>
        <w:tc>
          <w:tcPr>
            <w:tcW w:w="3500" w:type="pct"/>
            <w:shd w:val="clear" w:color="auto" w:fill="92D050"/>
            <w:noWrap/>
            <w:hideMark/>
          </w:tcPr>
          <w:p w:rsidR="00881FFD" w:rsidRPr="00412299" w:rsidRDefault="00881FFD" w:rsidP="00F454FD">
            <w:pPr>
              <w:spacing w:line="240" w:lineRule="auto"/>
              <w:jc w:val="left"/>
              <w:rPr>
                <w:rFonts w:ascii="Calibri" w:hAnsi="Calibri"/>
                <w:b/>
                <w:bCs/>
                <w:i/>
                <w:sz w:val="18"/>
                <w:szCs w:val="18"/>
                <w:lang w:eastAsia="sl-SI"/>
              </w:rPr>
            </w:pPr>
            <w:r w:rsidRPr="00972554">
              <w:rPr>
                <w:rFonts w:ascii="Calibri" w:hAnsi="Calibri"/>
                <w:b/>
                <w:sz w:val="18"/>
                <w:szCs w:val="18"/>
              </w:rPr>
              <w:t xml:space="preserve">322-Skupaj aktiva </w:t>
            </w:r>
          </w:p>
        </w:tc>
        <w:tc>
          <w:tcPr>
            <w:tcW w:w="847" w:type="pct"/>
            <w:shd w:val="clear" w:color="auto" w:fill="92D050"/>
            <w:noWrap/>
            <w:hideMark/>
          </w:tcPr>
          <w:p w:rsidR="00881FFD" w:rsidRPr="00412299" w:rsidRDefault="00881FFD" w:rsidP="00DE3814">
            <w:pPr>
              <w:spacing w:line="240" w:lineRule="auto"/>
              <w:jc w:val="right"/>
              <w:rPr>
                <w:rFonts w:ascii="Calibri" w:hAnsi="Calibri"/>
                <w:b/>
                <w:bCs/>
                <w:i/>
                <w:sz w:val="18"/>
                <w:szCs w:val="18"/>
                <w:lang w:eastAsia="sl-SI"/>
              </w:rPr>
            </w:pPr>
            <w:r w:rsidRPr="00972554">
              <w:rPr>
                <w:rFonts w:ascii="Calibri" w:hAnsi="Calibri"/>
                <w:b/>
                <w:sz w:val="18"/>
                <w:szCs w:val="18"/>
              </w:rPr>
              <w:t xml:space="preserve">14.967.773.845 </w:t>
            </w:r>
          </w:p>
        </w:tc>
        <w:tc>
          <w:tcPr>
            <w:tcW w:w="653" w:type="pct"/>
            <w:shd w:val="clear" w:color="auto" w:fill="92D050"/>
            <w:noWrap/>
            <w:hideMark/>
          </w:tcPr>
          <w:p w:rsidR="00881FFD" w:rsidRPr="00116FC1" w:rsidRDefault="00881FFD" w:rsidP="00D55FCA">
            <w:pPr>
              <w:spacing w:line="240" w:lineRule="auto"/>
              <w:jc w:val="right"/>
              <w:rPr>
                <w:rFonts w:ascii="Calibri" w:hAnsi="Calibri"/>
                <w:b/>
                <w:bCs/>
                <w:i/>
                <w:sz w:val="18"/>
                <w:szCs w:val="18"/>
                <w:lang w:eastAsia="sl-SI"/>
              </w:rPr>
            </w:pP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LJUBLJANA</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2.353.925.506 </w:t>
            </w:r>
          </w:p>
        </w:tc>
        <w:tc>
          <w:tcPr>
            <w:tcW w:w="653" w:type="pct"/>
            <w:shd w:val="clear" w:color="auto" w:fill="FFFFFF"/>
            <w:noWrap/>
            <w:hideMark/>
          </w:tcPr>
          <w:p w:rsidR="00881FFD" w:rsidRPr="00412299" w:rsidRDefault="00881FFD" w:rsidP="00DE3814">
            <w:pPr>
              <w:spacing w:line="240" w:lineRule="auto"/>
              <w:jc w:val="right"/>
              <w:rPr>
                <w:rFonts w:ascii="Calibri" w:hAnsi="Calibri"/>
                <w:sz w:val="18"/>
                <w:szCs w:val="18"/>
                <w:lang w:eastAsia="sl-SI"/>
              </w:rPr>
            </w:pPr>
            <w:r w:rsidRPr="00972554">
              <w:rPr>
                <w:rFonts w:ascii="Calibri" w:hAnsi="Calibri"/>
                <w:sz w:val="18"/>
                <w:szCs w:val="18"/>
              </w:rPr>
              <w:t>15,73</w:t>
            </w: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KOPER</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1.729.217.427 </w:t>
            </w:r>
          </w:p>
        </w:tc>
        <w:tc>
          <w:tcPr>
            <w:tcW w:w="653" w:type="pct"/>
            <w:shd w:val="clear" w:color="auto" w:fill="FFFFFF"/>
            <w:noWrap/>
            <w:hideMark/>
          </w:tcPr>
          <w:p w:rsidR="00881FFD" w:rsidRPr="00412299" w:rsidRDefault="00881FFD" w:rsidP="00DE3814">
            <w:pPr>
              <w:spacing w:line="240" w:lineRule="auto"/>
              <w:jc w:val="right"/>
              <w:rPr>
                <w:rFonts w:ascii="Calibri" w:hAnsi="Calibri"/>
                <w:sz w:val="18"/>
                <w:szCs w:val="18"/>
                <w:lang w:eastAsia="sl-SI"/>
              </w:rPr>
            </w:pPr>
            <w:r w:rsidRPr="00972554">
              <w:rPr>
                <w:rFonts w:ascii="Calibri" w:hAnsi="Calibri"/>
                <w:sz w:val="18"/>
                <w:szCs w:val="18"/>
              </w:rPr>
              <w:t>11,55</w:t>
            </w: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MARIBOR</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613.301.643 </w:t>
            </w:r>
          </w:p>
        </w:tc>
        <w:tc>
          <w:tcPr>
            <w:tcW w:w="653" w:type="pct"/>
            <w:shd w:val="clear" w:color="auto" w:fill="FFFFFF"/>
            <w:noWrap/>
            <w:hideMark/>
          </w:tcPr>
          <w:p w:rsidR="00881FFD" w:rsidRPr="00412299" w:rsidRDefault="00881FFD" w:rsidP="00DE3814">
            <w:pPr>
              <w:spacing w:line="240" w:lineRule="auto"/>
              <w:jc w:val="right"/>
              <w:rPr>
                <w:rFonts w:ascii="Calibri" w:hAnsi="Calibri"/>
                <w:sz w:val="18"/>
                <w:szCs w:val="18"/>
                <w:lang w:eastAsia="sl-SI"/>
              </w:rPr>
            </w:pPr>
            <w:r w:rsidRPr="00972554">
              <w:rPr>
                <w:rFonts w:ascii="Calibri" w:hAnsi="Calibri"/>
                <w:sz w:val="18"/>
                <w:szCs w:val="18"/>
              </w:rPr>
              <w:t>4,10</w:t>
            </w:r>
          </w:p>
        </w:tc>
      </w:tr>
      <w:tr w:rsidR="00881FFD" w:rsidRPr="00972554" w:rsidTr="00972554">
        <w:trPr>
          <w:trHeight w:val="300"/>
        </w:trPr>
        <w:tc>
          <w:tcPr>
            <w:tcW w:w="3500" w:type="pct"/>
            <w:shd w:val="clear" w:color="auto" w:fill="auto"/>
            <w:noWrap/>
            <w:hideMark/>
          </w:tcPr>
          <w:p w:rsidR="00881FFD" w:rsidRPr="00116FC1" w:rsidRDefault="00881FFD"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323-Splošni sklad </w:t>
            </w:r>
          </w:p>
        </w:tc>
        <w:tc>
          <w:tcPr>
            <w:tcW w:w="847" w:type="pct"/>
            <w:shd w:val="clear" w:color="auto" w:fill="auto"/>
            <w:noWrap/>
            <w:hideMark/>
          </w:tcPr>
          <w:p w:rsidR="00881FFD" w:rsidRPr="00412299" w:rsidRDefault="00881FFD" w:rsidP="00DE3814">
            <w:pPr>
              <w:spacing w:line="240" w:lineRule="auto"/>
              <w:jc w:val="right"/>
              <w:rPr>
                <w:rFonts w:ascii="Calibri" w:hAnsi="Calibri"/>
                <w:b/>
                <w:bCs/>
                <w:sz w:val="18"/>
                <w:szCs w:val="18"/>
                <w:lang w:eastAsia="sl-SI"/>
              </w:rPr>
            </w:pPr>
            <w:r w:rsidRPr="00972554">
              <w:rPr>
                <w:rFonts w:ascii="Calibri" w:hAnsi="Calibri"/>
                <w:b/>
                <w:sz w:val="18"/>
                <w:szCs w:val="18"/>
              </w:rPr>
              <w:t xml:space="preserve">13.922.473.290 </w:t>
            </w:r>
          </w:p>
        </w:tc>
        <w:tc>
          <w:tcPr>
            <w:tcW w:w="653" w:type="pct"/>
            <w:shd w:val="clear" w:color="auto" w:fill="FFFFFF"/>
            <w:noWrap/>
            <w:hideMark/>
          </w:tcPr>
          <w:p w:rsidR="00881FFD" w:rsidRPr="00116FC1" w:rsidRDefault="00881FFD" w:rsidP="00D55FCA">
            <w:pPr>
              <w:spacing w:line="240" w:lineRule="auto"/>
              <w:jc w:val="right"/>
              <w:rPr>
                <w:rFonts w:ascii="Calibri" w:hAnsi="Calibri"/>
                <w:b/>
                <w:bCs/>
                <w:sz w:val="18"/>
                <w:szCs w:val="18"/>
                <w:lang w:eastAsia="sl-SI"/>
              </w:rPr>
            </w:pP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LJUBLJANA</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2.166.483.579 </w:t>
            </w:r>
          </w:p>
        </w:tc>
        <w:tc>
          <w:tcPr>
            <w:tcW w:w="653" w:type="pct"/>
            <w:shd w:val="clear" w:color="auto" w:fill="FFFFFF"/>
            <w:noWrap/>
            <w:hideMark/>
          </w:tcPr>
          <w:p w:rsidR="00881FFD" w:rsidRPr="00412299" w:rsidRDefault="00881FFD" w:rsidP="00DE3814">
            <w:pPr>
              <w:spacing w:line="240" w:lineRule="auto"/>
              <w:jc w:val="right"/>
              <w:rPr>
                <w:rFonts w:ascii="Calibri" w:hAnsi="Calibri"/>
                <w:sz w:val="18"/>
                <w:szCs w:val="18"/>
                <w:lang w:eastAsia="sl-SI"/>
              </w:rPr>
            </w:pPr>
            <w:r w:rsidRPr="00972554">
              <w:rPr>
                <w:rFonts w:ascii="Calibri" w:hAnsi="Calibri"/>
                <w:sz w:val="18"/>
                <w:szCs w:val="18"/>
              </w:rPr>
              <w:t>15,56</w:t>
            </w: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KOPER</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1.691.963.152 </w:t>
            </w:r>
          </w:p>
        </w:tc>
        <w:tc>
          <w:tcPr>
            <w:tcW w:w="653" w:type="pct"/>
            <w:shd w:val="clear" w:color="auto" w:fill="FFFFFF"/>
            <w:noWrap/>
            <w:hideMark/>
          </w:tcPr>
          <w:p w:rsidR="00881FFD" w:rsidRPr="00412299" w:rsidRDefault="00881FFD" w:rsidP="00DE3814">
            <w:pPr>
              <w:spacing w:line="240" w:lineRule="auto"/>
              <w:jc w:val="right"/>
              <w:rPr>
                <w:rFonts w:ascii="Calibri" w:hAnsi="Calibri"/>
                <w:sz w:val="18"/>
                <w:szCs w:val="18"/>
                <w:lang w:eastAsia="sl-SI"/>
              </w:rPr>
            </w:pPr>
            <w:r w:rsidRPr="00972554">
              <w:rPr>
                <w:rFonts w:ascii="Calibri" w:hAnsi="Calibri"/>
                <w:sz w:val="18"/>
                <w:szCs w:val="18"/>
              </w:rPr>
              <w:t>12,15</w:t>
            </w: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MARIBOR</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561.870.639 </w:t>
            </w:r>
          </w:p>
        </w:tc>
        <w:tc>
          <w:tcPr>
            <w:tcW w:w="653" w:type="pct"/>
            <w:shd w:val="clear" w:color="auto" w:fill="FFFFFF"/>
            <w:noWrap/>
            <w:hideMark/>
          </w:tcPr>
          <w:p w:rsidR="00881FFD" w:rsidRPr="00412299" w:rsidRDefault="00881FFD" w:rsidP="00DE3814">
            <w:pPr>
              <w:spacing w:line="240" w:lineRule="auto"/>
              <w:jc w:val="right"/>
              <w:rPr>
                <w:rFonts w:ascii="Calibri" w:hAnsi="Calibri"/>
                <w:sz w:val="18"/>
                <w:szCs w:val="18"/>
                <w:lang w:eastAsia="sl-SI"/>
              </w:rPr>
            </w:pPr>
            <w:r w:rsidRPr="00972554">
              <w:rPr>
                <w:rFonts w:ascii="Calibri" w:hAnsi="Calibri"/>
                <w:sz w:val="18"/>
                <w:szCs w:val="18"/>
              </w:rPr>
              <w:t>4,04</w:t>
            </w:r>
          </w:p>
        </w:tc>
      </w:tr>
      <w:tr w:rsidR="00881FFD" w:rsidRPr="00972554" w:rsidTr="00972554">
        <w:trPr>
          <w:trHeight w:val="300"/>
        </w:trPr>
        <w:tc>
          <w:tcPr>
            <w:tcW w:w="3500" w:type="pct"/>
            <w:shd w:val="clear" w:color="auto" w:fill="auto"/>
            <w:noWrap/>
            <w:hideMark/>
          </w:tcPr>
          <w:p w:rsidR="00881FFD" w:rsidRPr="00412299" w:rsidRDefault="00881FFD"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324-Obveznosti za sredstva prejeta v upravljanje </w:t>
            </w:r>
          </w:p>
        </w:tc>
        <w:tc>
          <w:tcPr>
            <w:tcW w:w="847" w:type="pct"/>
            <w:shd w:val="clear" w:color="auto" w:fill="auto"/>
            <w:noWrap/>
            <w:hideMark/>
          </w:tcPr>
          <w:p w:rsidR="00881FFD" w:rsidRPr="00412299" w:rsidRDefault="00881FFD" w:rsidP="00DE3814">
            <w:pPr>
              <w:spacing w:line="240" w:lineRule="auto"/>
              <w:jc w:val="right"/>
              <w:rPr>
                <w:rFonts w:ascii="Calibri" w:hAnsi="Calibri"/>
                <w:b/>
                <w:bCs/>
                <w:sz w:val="18"/>
                <w:szCs w:val="18"/>
                <w:lang w:eastAsia="sl-SI"/>
              </w:rPr>
            </w:pPr>
            <w:r w:rsidRPr="00972554">
              <w:rPr>
                <w:rFonts w:ascii="Calibri" w:hAnsi="Calibri"/>
                <w:b/>
                <w:sz w:val="18"/>
                <w:szCs w:val="18"/>
              </w:rPr>
              <w:t xml:space="preserve">4.594.194 </w:t>
            </w:r>
          </w:p>
        </w:tc>
        <w:tc>
          <w:tcPr>
            <w:tcW w:w="653" w:type="pct"/>
            <w:shd w:val="clear" w:color="auto" w:fill="FFFFFF"/>
            <w:noWrap/>
            <w:hideMark/>
          </w:tcPr>
          <w:p w:rsidR="00881FFD" w:rsidRPr="00116FC1" w:rsidRDefault="00881FFD" w:rsidP="00D55FCA">
            <w:pPr>
              <w:spacing w:line="240" w:lineRule="auto"/>
              <w:jc w:val="right"/>
              <w:rPr>
                <w:rFonts w:ascii="Calibri" w:hAnsi="Calibri"/>
                <w:b/>
                <w:bCs/>
                <w:sz w:val="18"/>
                <w:szCs w:val="18"/>
                <w:lang w:eastAsia="sl-SI"/>
              </w:rPr>
            </w:pP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OBČINA ROGAŠKA SLATINA</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817.661 </w:t>
            </w:r>
          </w:p>
        </w:tc>
        <w:tc>
          <w:tcPr>
            <w:tcW w:w="653" w:type="pct"/>
            <w:shd w:val="clear" w:color="auto" w:fill="FFFFFF"/>
            <w:noWrap/>
            <w:hideMark/>
          </w:tcPr>
          <w:p w:rsidR="00881FFD" w:rsidRPr="00412299" w:rsidRDefault="00881FFD" w:rsidP="00DE3814">
            <w:pPr>
              <w:spacing w:line="240" w:lineRule="auto"/>
              <w:jc w:val="right"/>
              <w:rPr>
                <w:rFonts w:ascii="Calibri" w:hAnsi="Calibri"/>
                <w:sz w:val="18"/>
                <w:szCs w:val="18"/>
                <w:lang w:eastAsia="sl-SI"/>
              </w:rPr>
            </w:pPr>
            <w:r w:rsidRPr="00972554">
              <w:rPr>
                <w:rFonts w:ascii="Calibri" w:hAnsi="Calibri"/>
                <w:sz w:val="18"/>
                <w:szCs w:val="18"/>
              </w:rPr>
              <w:t>17,80</w:t>
            </w: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PTUJ ČETRTNA SKUPNOST SPUHLJA</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550.980 </w:t>
            </w:r>
          </w:p>
        </w:tc>
        <w:tc>
          <w:tcPr>
            <w:tcW w:w="653" w:type="pct"/>
            <w:shd w:val="clear" w:color="auto" w:fill="FFFFFF"/>
            <w:noWrap/>
            <w:hideMark/>
          </w:tcPr>
          <w:p w:rsidR="00881FFD" w:rsidRPr="00412299" w:rsidRDefault="00881FFD" w:rsidP="00DE3814">
            <w:pPr>
              <w:spacing w:line="240" w:lineRule="auto"/>
              <w:jc w:val="right"/>
              <w:rPr>
                <w:rFonts w:ascii="Calibri" w:hAnsi="Calibri"/>
                <w:sz w:val="18"/>
                <w:szCs w:val="18"/>
                <w:lang w:eastAsia="sl-SI"/>
              </w:rPr>
            </w:pPr>
            <w:r w:rsidRPr="00972554">
              <w:rPr>
                <w:rFonts w:ascii="Calibri" w:hAnsi="Calibri"/>
                <w:sz w:val="18"/>
                <w:szCs w:val="18"/>
              </w:rPr>
              <w:t>11,99</w:t>
            </w: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KRAJEVNA SKUPNOST KRMELJ</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534.234 </w:t>
            </w:r>
          </w:p>
        </w:tc>
        <w:tc>
          <w:tcPr>
            <w:tcW w:w="653" w:type="pct"/>
            <w:shd w:val="clear" w:color="auto" w:fill="FFFFFF"/>
            <w:noWrap/>
            <w:hideMark/>
          </w:tcPr>
          <w:p w:rsidR="00881FFD" w:rsidRPr="00412299" w:rsidRDefault="00881FFD" w:rsidP="00DE3814">
            <w:pPr>
              <w:spacing w:line="240" w:lineRule="auto"/>
              <w:jc w:val="right"/>
              <w:rPr>
                <w:rFonts w:ascii="Calibri" w:hAnsi="Calibri"/>
                <w:sz w:val="18"/>
                <w:szCs w:val="18"/>
                <w:lang w:eastAsia="sl-SI"/>
              </w:rPr>
            </w:pPr>
            <w:r w:rsidRPr="00972554">
              <w:rPr>
                <w:rFonts w:ascii="Calibri" w:hAnsi="Calibri"/>
                <w:sz w:val="18"/>
                <w:szCs w:val="18"/>
              </w:rPr>
              <w:t>11,63</w:t>
            </w:r>
          </w:p>
        </w:tc>
      </w:tr>
      <w:tr w:rsidR="00881FFD" w:rsidRPr="00972554" w:rsidTr="00972554">
        <w:trPr>
          <w:trHeight w:val="300"/>
        </w:trPr>
        <w:tc>
          <w:tcPr>
            <w:tcW w:w="3500" w:type="pct"/>
            <w:shd w:val="clear" w:color="auto" w:fill="auto"/>
            <w:noWrap/>
            <w:hideMark/>
          </w:tcPr>
          <w:p w:rsidR="00881FFD" w:rsidRPr="00412299" w:rsidRDefault="00881FFD"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325-Rezervni sklad </w:t>
            </w:r>
          </w:p>
        </w:tc>
        <w:tc>
          <w:tcPr>
            <w:tcW w:w="847" w:type="pct"/>
            <w:shd w:val="clear" w:color="auto" w:fill="auto"/>
            <w:noWrap/>
            <w:hideMark/>
          </w:tcPr>
          <w:p w:rsidR="00881FFD" w:rsidRPr="00412299" w:rsidRDefault="00881FFD" w:rsidP="00DE3814">
            <w:pPr>
              <w:spacing w:line="240" w:lineRule="auto"/>
              <w:jc w:val="right"/>
              <w:rPr>
                <w:rFonts w:ascii="Calibri" w:hAnsi="Calibri"/>
                <w:b/>
                <w:bCs/>
                <w:sz w:val="18"/>
                <w:szCs w:val="18"/>
                <w:lang w:eastAsia="sl-SI"/>
              </w:rPr>
            </w:pPr>
            <w:r w:rsidRPr="00972554">
              <w:rPr>
                <w:rFonts w:ascii="Calibri" w:hAnsi="Calibri"/>
                <w:b/>
                <w:sz w:val="18"/>
                <w:szCs w:val="18"/>
              </w:rPr>
              <w:t xml:space="preserve">14.971.977 </w:t>
            </w:r>
          </w:p>
        </w:tc>
        <w:tc>
          <w:tcPr>
            <w:tcW w:w="653" w:type="pct"/>
            <w:shd w:val="clear" w:color="auto" w:fill="FFFFFF"/>
            <w:noWrap/>
            <w:hideMark/>
          </w:tcPr>
          <w:p w:rsidR="00881FFD" w:rsidRPr="00116FC1" w:rsidRDefault="00881FFD" w:rsidP="00972554">
            <w:pPr>
              <w:spacing w:line="240" w:lineRule="auto"/>
              <w:jc w:val="center"/>
              <w:rPr>
                <w:rFonts w:ascii="Calibri" w:hAnsi="Calibri"/>
                <w:b/>
                <w:bCs/>
                <w:sz w:val="18"/>
                <w:szCs w:val="18"/>
                <w:lang w:eastAsia="sl-SI"/>
              </w:rPr>
            </w:pPr>
          </w:p>
        </w:tc>
      </w:tr>
      <w:tr w:rsidR="00881FFD" w:rsidRPr="00972554" w:rsidTr="00972554">
        <w:trPr>
          <w:trHeight w:val="300"/>
        </w:trPr>
        <w:tc>
          <w:tcPr>
            <w:tcW w:w="3500" w:type="pct"/>
            <w:shd w:val="clear" w:color="auto" w:fill="auto"/>
            <w:noWrap/>
            <w:hideMark/>
          </w:tcPr>
          <w:p w:rsidR="00881FFD" w:rsidRPr="00116FC1"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LJUBLJANA</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2.088.292 </w:t>
            </w:r>
          </w:p>
        </w:tc>
        <w:tc>
          <w:tcPr>
            <w:tcW w:w="653" w:type="pct"/>
            <w:shd w:val="clear" w:color="auto" w:fill="FFFFFF"/>
            <w:noWrap/>
            <w:hideMark/>
          </w:tcPr>
          <w:p w:rsidR="00881FFD" w:rsidRPr="00412299" w:rsidRDefault="00881FFD" w:rsidP="00DE3814">
            <w:pPr>
              <w:spacing w:line="240" w:lineRule="auto"/>
              <w:jc w:val="right"/>
              <w:rPr>
                <w:rFonts w:ascii="Calibri" w:hAnsi="Calibri"/>
                <w:sz w:val="18"/>
                <w:szCs w:val="18"/>
                <w:lang w:eastAsia="sl-SI"/>
              </w:rPr>
            </w:pPr>
            <w:r w:rsidRPr="00972554">
              <w:rPr>
                <w:rFonts w:ascii="Calibri" w:hAnsi="Calibri"/>
                <w:sz w:val="18"/>
                <w:szCs w:val="18"/>
              </w:rPr>
              <w:t>13,95</w:t>
            </w: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CELJE</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781.031 </w:t>
            </w:r>
          </w:p>
        </w:tc>
        <w:tc>
          <w:tcPr>
            <w:tcW w:w="653" w:type="pct"/>
            <w:shd w:val="clear" w:color="auto" w:fill="FFFFFF"/>
            <w:noWrap/>
            <w:hideMark/>
          </w:tcPr>
          <w:p w:rsidR="00881FFD" w:rsidRPr="00412299" w:rsidRDefault="00881FFD" w:rsidP="00DE3814">
            <w:pPr>
              <w:spacing w:line="240" w:lineRule="auto"/>
              <w:jc w:val="right"/>
              <w:rPr>
                <w:rFonts w:ascii="Calibri" w:hAnsi="Calibri"/>
                <w:sz w:val="18"/>
                <w:szCs w:val="18"/>
                <w:lang w:eastAsia="sl-SI"/>
              </w:rPr>
            </w:pPr>
            <w:r w:rsidRPr="00972554">
              <w:rPr>
                <w:rFonts w:ascii="Calibri" w:hAnsi="Calibri"/>
                <w:sz w:val="18"/>
                <w:szCs w:val="18"/>
              </w:rPr>
              <w:t>5,22</w:t>
            </w: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KRANJ</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780.652 </w:t>
            </w:r>
          </w:p>
        </w:tc>
        <w:tc>
          <w:tcPr>
            <w:tcW w:w="653" w:type="pct"/>
            <w:shd w:val="clear" w:color="auto" w:fill="FFFFFF"/>
            <w:noWrap/>
            <w:hideMark/>
          </w:tcPr>
          <w:p w:rsidR="00881FFD" w:rsidRPr="00412299" w:rsidRDefault="00881FFD" w:rsidP="00DE3814">
            <w:pPr>
              <w:spacing w:line="240" w:lineRule="auto"/>
              <w:jc w:val="right"/>
              <w:rPr>
                <w:rFonts w:ascii="Calibri" w:hAnsi="Calibri"/>
                <w:sz w:val="18"/>
                <w:szCs w:val="18"/>
                <w:lang w:eastAsia="sl-SI"/>
              </w:rPr>
            </w:pPr>
            <w:r w:rsidRPr="00972554">
              <w:rPr>
                <w:rFonts w:ascii="Calibri" w:hAnsi="Calibri"/>
                <w:sz w:val="18"/>
                <w:szCs w:val="18"/>
              </w:rPr>
              <w:t>5,21</w:t>
            </w:r>
          </w:p>
        </w:tc>
      </w:tr>
      <w:tr w:rsidR="00881FFD" w:rsidRPr="00972554" w:rsidTr="00972554">
        <w:trPr>
          <w:trHeight w:val="300"/>
        </w:trPr>
        <w:tc>
          <w:tcPr>
            <w:tcW w:w="3500" w:type="pct"/>
            <w:shd w:val="clear" w:color="auto" w:fill="auto"/>
            <w:noWrap/>
            <w:hideMark/>
          </w:tcPr>
          <w:p w:rsidR="00881FFD" w:rsidRPr="00412299" w:rsidRDefault="00881FFD"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326-Dolgoročno prejeta posojila </w:t>
            </w:r>
          </w:p>
        </w:tc>
        <w:tc>
          <w:tcPr>
            <w:tcW w:w="847" w:type="pct"/>
            <w:shd w:val="clear" w:color="auto" w:fill="auto"/>
            <w:noWrap/>
            <w:hideMark/>
          </w:tcPr>
          <w:p w:rsidR="00881FFD" w:rsidRPr="00116FC1" w:rsidRDefault="00881FFD" w:rsidP="00DE3814">
            <w:pPr>
              <w:spacing w:line="240" w:lineRule="auto"/>
              <w:jc w:val="right"/>
              <w:rPr>
                <w:rFonts w:ascii="Calibri" w:hAnsi="Calibri"/>
                <w:b/>
                <w:bCs/>
                <w:sz w:val="18"/>
                <w:szCs w:val="18"/>
                <w:lang w:eastAsia="sl-SI"/>
              </w:rPr>
            </w:pPr>
            <w:r w:rsidRPr="00972554">
              <w:rPr>
                <w:rFonts w:ascii="Calibri" w:hAnsi="Calibri"/>
                <w:b/>
                <w:sz w:val="18"/>
                <w:szCs w:val="18"/>
              </w:rPr>
              <w:t xml:space="preserve">565.340.325 </w:t>
            </w:r>
          </w:p>
        </w:tc>
        <w:tc>
          <w:tcPr>
            <w:tcW w:w="653" w:type="pct"/>
            <w:shd w:val="clear" w:color="auto" w:fill="FFFFFF"/>
            <w:noWrap/>
            <w:hideMark/>
          </w:tcPr>
          <w:p w:rsidR="00881FFD" w:rsidRPr="00972554" w:rsidRDefault="00881FFD" w:rsidP="00D55FCA">
            <w:pPr>
              <w:spacing w:line="240" w:lineRule="auto"/>
              <w:jc w:val="right"/>
              <w:rPr>
                <w:rFonts w:ascii="Calibri" w:hAnsi="Calibri"/>
                <w:b/>
                <w:bCs/>
                <w:sz w:val="18"/>
                <w:szCs w:val="18"/>
                <w:lang w:eastAsia="sl-SI"/>
              </w:rPr>
            </w:pP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LJUBLJANA</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95.236.133 </w:t>
            </w:r>
          </w:p>
        </w:tc>
        <w:tc>
          <w:tcPr>
            <w:tcW w:w="653" w:type="pct"/>
            <w:shd w:val="clear" w:color="auto" w:fill="FFFFFF"/>
            <w:noWrap/>
            <w:hideMark/>
          </w:tcPr>
          <w:p w:rsidR="00881FFD" w:rsidRPr="00412299" w:rsidRDefault="00881FFD" w:rsidP="00DE3814">
            <w:pPr>
              <w:spacing w:line="240" w:lineRule="auto"/>
              <w:jc w:val="right"/>
              <w:rPr>
                <w:rFonts w:ascii="Calibri" w:hAnsi="Calibri"/>
                <w:sz w:val="18"/>
                <w:szCs w:val="18"/>
                <w:lang w:eastAsia="sl-SI"/>
              </w:rPr>
            </w:pPr>
            <w:r w:rsidRPr="00972554">
              <w:rPr>
                <w:rFonts w:ascii="Calibri" w:hAnsi="Calibri"/>
                <w:sz w:val="18"/>
                <w:szCs w:val="18"/>
              </w:rPr>
              <w:t>16,85</w:t>
            </w:r>
          </w:p>
        </w:tc>
      </w:tr>
      <w:tr w:rsidR="00881FFD" w:rsidRPr="00972554" w:rsidTr="00972554">
        <w:trPr>
          <w:trHeight w:val="300"/>
        </w:trPr>
        <w:tc>
          <w:tcPr>
            <w:tcW w:w="3500" w:type="pct"/>
            <w:shd w:val="clear" w:color="auto" w:fill="auto"/>
            <w:noWrap/>
          </w:tcPr>
          <w:p w:rsidR="00881FFD" w:rsidRPr="00412299" w:rsidRDefault="00881FFD" w:rsidP="00972554">
            <w:pPr>
              <w:spacing w:line="240" w:lineRule="auto"/>
              <w:ind w:firstLineChars="100" w:firstLine="180"/>
              <w:jc w:val="left"/>
              <w:rPr>
                <w:rFonts w:ascii="Calibri" w:hAnsi="Calibri"/>
                <w:sz w:val="18"/>
                <w:szCs w:val="18"/>
              </w:rPr>
            </w:pPr>
            <w:r w:rsidRPr="00972554">
              <w:rPr>
                <w:rFonts w:ascii="Calibri" w:hAnsi="Calibri"/>
                <w:sz w:val="18"/>
                <w:szCs w:val="18"/>
              </w:rPr>
              <w:t>MESTNA OBČINA MARIBOR</w:t>
            </w:r>
          </w:p>
        </w:tc>
        <w:tc>
          <w:tcPr>
            <w:tcW w:w="847" w:type="pct"/>
            <w:shd w:val="clear" w:color="auto" w:fill="auto"/>
            <w:noWrap/>
          </w:tcPr>
          <w:p w:rsidR="00881FFD" w:rsidRPr="00412299" w:rsidRDefault="00881FFD" w:rsidP="00F454FD">
            <w:pPr>
              <w:spacing w:line="240" w:lineRule="auto"/>
              <w:ind w:firstLine="180"/>
              <w:jc w:val="right"/>
              <w:rPr>
                <w:rFonts w:ascii="Calibri" w:hAnsi="Calibri"/>
                <w:sz w:val="18"/>
                <w:szCs w:val="18"/>
              </w:rPr>
            </w:pPr>
            <w:r w:rsidRPr="00972554">
              <w:rPr>
                <w:rFonts w:ascii="Calibri" w:hAnsi="Calibri"/>
                <w:sz w:val="18"/>
                <w:szCs w:val="18"/>
              </w:rPr>
              <w:t xml:space="preserve">40.777.158 </w:t>
            </w:r>
          </w:p>
        </w:tc>
        <w:tc>
          <w:tcPr>
            <w:tcW w:w="653" w:type="pct"/>
            <w:shd w:val="clear" w:color="auto" w:fill="FFFFFF"/>
            <w:noWrap/>
          </w:tcPr>
          <w:p w:rsidR="00881FFD" w:rsidRPr="00412299" w:rsidRDefault="00881FFD" w:rsidP="00DE3814">
            <w:pPr>
              <w:spacing w:line="240" w:lineRule="auto"/>
              <w:ind w:firstLine="180"/>
              <w:jc w:val="right"/>
              <w:rPr>
                <w:rFonts w:ascii="Calibri" w:hAnsi="Calibri"/>
                <w:sz w:val="18"/>
                <w:szCs w:val="18"/>
              </w:rPr>
            </w:pPr>
            <w:r w:rsidRPr="00972554">
              <w:rPr>
                <w:rFonts w:ascii="Calibri" w:hAnsi="Calibri"/>
                <w:sz w:val="18"/>
                <w:szCs w:val="18"/>
              </w:rPr>
              <w:t>7,21</w:t>
            </w:r>
          </w:p>
        </w:tc>
      </w:tr>
      <w:tr w:rsidR="00881FFD" w:rsidRPr="00972554" w:rsidTr="00972554">
        <w:trPr>
          <w:trHeight w:val="300"/>
        </w:trPr>
        <w:tc>
          <w:tcPr>
            <w:tcW w:w="3500" w:type="pct"/>
            <w:shd w:val="clear" w:color="auto" w:fill="auto"/>
            <w:noWrap/>
          </w:tcPr>
          <w:p w:rsidR="00881FFD" w:rsidRPr="00412299" w:rsidRDefault="00881FFD" w:rsidP="00972554">
            <w:pPr>
              <w:spacing w:line="240" w:lineRule="auto"/>
              <w:ind w:firstLineChars="100" w:firstLine="180"/>
              <w:jc w:val="left"/>
              <w:rPr>
                <w:rFonts w:ascii="Calibri" w:hAnsi="Calibri"/>
                <w:sz w:val="18"/>
                <w:szCs w:val="18"/>
              </w:rPr>
            </w:pPr>
            <w:r w:rsidRPr="00972554">
              <w:rPr>
                <w:rFonts w:ascii="Calibri" w:hAnsi="Calibri"/>
                <w:sz w:val="18"/>
                <w:szCs w:val="18"/>
              </w:rPr>
              <w:t>MESTNA OBČINA KOPER</w:t>
            </w:r>
          </w:p>
        </w:tc>
        <w:tc>
          <w:tcPr>
            <w:tcW w:w="847" w:type="pct"/>
            <w:shd w:val="clear" w:color="auto" w:fill="auto"/>
            <w:noWrap/>
          </w:tcPr>
          <w:p w:rsidR="00881FFD" w:rsidRPr="00412299" w:rsidRDefault="00881FFD" w:rsidP="00F454FD">
            <w:pPr>
              <w:spacing w:line="240" w:lineRule="auto"/>
              <w:ind w:firstLine="180"/>
              <w:jc w:val="right"/>
              <w:rPr>
                <w:rFonts w:ascii="Calibri" w:hAnsi="Calibri"/>
                <w:sz w:val="18"/>
                <w:szCs w:val="18"/>
              </w:rPr>
            </w:pPr>
            <w:r w:rsidRPr="00972554">
              <w:rPr>
                <w:rFonts w:ascii="Calibri" w:hAnsi="Calibri"/>
                <w:sz w:val="18"/>
                <w:szCs w:val="18"/>
              </w:rPr>
              <w:t xml:space="preserve">27.901.459 </w:t>
            </w:r>
          </w:p>
        </w:tc>
        <w:tc>
          <w:tcPr>
            <w:tcW w:w="653" w:type="pct"/>
            <w:shd w:val="clear" w:color="auto" w:fill="FFFFFF"/>
            <w:noWrap/>
          </w:tcPr>
          <w:p w:rsidR="00881FFD" w:rsidRPr="00412299" w:rsidRDefault="00881FFD" w:rsidP="00DE3814">
            <w:pPr>
              <w:spacing w:line="240" w:lineRule="auto"/>
              <w:ind w:firstLine="180"/>
              <w:jc w:val="right"/>
              <w:rPr>
                <w:rFonts w:ascii="Calibri" w:hAnsi="Calibri"/>
                <w:sz w:val="18"/>
                <w:szCs w:val="18"/>
              </w:rPr>
            </w:pPr>
            <w:r w:rsidRPr="00972554">
              <w:rPr>
                <w:rFonts w:ascii="Calibri" w:hAnsi="Calibri"/>
                <w:sz w:val="18"/>
                <w:szCs w:val="18"/>
              </w:rPr>
              <w:t>4,94</w:t>
            </w: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1"/>
              <w:jc w:val="left"/>
              <w:rPr>
                <w:rFonts w:ascii="Calibri" w:hAnsi="Calibri"/>
                <w:b/>
                <w:sz w:val="18"/>
                <w:szCs w:val="18"/>
                <w:lang w:eastAsia="sl-SI"/>
              </w:rPr>
            </w:pPr>
            <w:r w:rsidRPr="00972554">
              <w:rPr>
                <w:rFonts w:ascii="Calibri" w:hAnsi="Calibri"/>
                <w:b/>
                <w:sz w:val="18"/>
                <w:szCs w:val="18"/>
              </w:rPr>
              <w:t xml:space="preserve">327-Dolgoročne obveznosti iz poslovanja </w:t>
            </w:r>
          </w:p>
        </w:tc>
        <w:tc>
          <w:tcPr>
            <w:tcW w:w="847" w:type="pct"/>
            <w:shd w:val="clear" w:color="auto" w:fill="auto"/>
            <w:noWrap/>
            <w:hideMark/>
          </w:tcPr>
          <w:p w:rsidR="00881FFD" w:rsidRPr="00412299" w:rsidRDefault="00881FFD" w:rsidP="00F454FD">
            <w:pPr>
              <w:spacing w:line="240" w:lineRule="auto"/>
              <w:jc w:val="right"/>
              <w:rPr>
                <w:rFonts w:ascii="Calibri" w:hAnsi="Calibri"/>
                <w:b/>
                <w:sz w:val="18"/>
                <w:szCs w:val="18"/>
                <w:lang w:eastAsia="sl-SI"/>
              </w:rPr>
            </w:pPr>
            <w:r w:rsidRPr="00972554">
              <w:rPr>
                <w:rFonts w:ascii="Calibri" w:hAnsi="Calibri"/>
                <w:b/>
                <w:sz w:val="18"/>
                <w:szCs w:val="18"/>
              </w:rPr>
              <w:t xml:space="preserve">81.923.183 </w:t>
            </w:r>
          </w:p>
        </w:tc>
        <w:tc>
          <w:tcPr>
            <w:tcW w:w="653" w:type="pct"/>
            <w:shd w:val="clear" w:color="auto" w:fill="FFFFFF"/>
            <w:noWrap/>
            <w:hideMark/>
          </w:tcPr>
          <w:p w:rsidR="00881FFD" w:rsidRPr="00116FC1" w:rsidRDefault="00881FFD" w:rsidP="00DE3814">
            <w:pPr>
              <w:spacing w:line="240" w:lineRule="auto"/>
              <w:jc w:val="right"/>
              <w:rPr>
                <w:rFonts w:ascii="Calibri" w:hAnsi="Calibri"/>
                <w:b/>
                <w:sz w:val="18"/>
                <w:szCs w:val="18"/>
                <w:lang w:eastAsia="sl-SI"/>
              </w:rPr>
            </w:pP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LJUBLJANA</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60.515.037 </w:t>
            </w:r>
          </w:p>
        </w:tc>
        <w:tc>
          <w:tcPr>
            <w:tcW w:w="653" w:type="pct"/>
            <w:shd w:val="clear" w:color="auto" w:fill="FFFFFF"/>
            <w:noWrap/>
            <w:hideMark/>
          </w:tcPr>
          <w:p w:rsidR="00881FFD" w:rsidRPr="00412299" w:rsidRDefault="00881FFD" w:rsidP="00DE3814">
            <w:pPr>
              <w:spacing w:line="240" w:lineRule="auto"/>
              <w:jc w:val="right"/>
              <w:rPr>
                <w:rFonts w:ascii="Calibri" w:hAnsi="Calibri"/>
                <w:sz w:val="18"/>
                <w:szCs w:val="18"/>
                <w:lang w:eastAsia="sl-SI"/>
              </w:rPr>
            </w:pPr>
            <w:r w:rsidRPr="00972554">
              <w:rPr>
                <w:rFonts w:ascii="Calibri" w:hAnsi="Calibri"/>
                <w:sz w:val="18"/>
                <w:szCs w:val="18"/>
              </w:rPr>
              <w:t>73,87</w:t>
            </w:r>
          </w:p>
        </w:tc>
      </w:tr>
      <w:tr w:rsidR="00881FFD" w:rsidRPr="00972554" w:rsidTr="00972554">
        <w:trPr>
          <w:trHeight w:val="300"/>
        </w:trPr>
        <w:tc>
          <w:tcPr>
            <w:tcW w:w="3500" w:type="pct"/>
            <w:shd w:val="clear" w:color="auto" w:fill="auto"/>
            <w:noWrap/>
            <w:hideMark/>
          </w:tcPr>
          <w:p w:rsidR="00881FFD" w:rsidRPr="00412299" w:rsidRDefault="00881FFD" w:rsidP="00F454FD">
            <w:pPr>
              <w:spacing w:line="240" w:lineRule="auto"/>
              <w:jc w:val="left"/>
              <w:rPr>
                <w:rFonts w:ascii="Calibri" w:hAnsi="Calibri"/>
                <w:b/>
                <w:bCs/>
                <w:sz w:val="18"/>
                <w:szCs w:val="18"/>
                <w:lang w:eastAsia="sl-SI"/>
              </w:rPr>
            </w:pPr>
            <w:r w:rsidRPr="00972554">
              <w:rPr>
                <w:rFonts w:ascii="Calibri" w:hAnsi="Calibri"/>
                <w:sz w:val="18"/>
                <w:szCs w:val="18"/>
              </w:rPr>
              <w:t>MESTNA OBČINA NOVO MESTO</w:t>
            </w:r>
          </w:p>
        </w:tc>
        <w:tc>
          <w:tcPr>
            <w:tcW w:w="847" w:type="pct"/>
            <w:shd w:val="clear" w:color="auto" w:fill="auto"/>
            <w:noWrap/>
            <w:hideMark/>
          </w:tcPr>
          <w:p w:rsidR="00881FFD" w:rsidRPr="00412299" w:rsidRDefault="00881FFD" w:rsidP="00DE3814">
            <w:pPr>
              <w:spacing w:line="240" w:lineRule="auto"/>
              <w:jc w:val="right"/>
              <w:rPr>
                <w:rFonts w:ascii="Calibri" w:hAnsi="Calibri"/>
                <w:b/>
                <w:bCs/>
                <w:sz w:val="18"/>
                <w:szCs w:val="18"/>
                <w:lang w:eastAsia="sl-SI"/>
              </w:rPr>
            </w:pPr>
            <w:r w:rsidRPr="00972554">
              <w:rPr>
                <w:rFonts w:ascii="Calibri" w:hAnsi="Calibri"/>
                <w:sz w:val="18"/>
                <w:szCs w:val="18"/>
              </w:rPr>
              <w:t xml:space="preserve">2.375.138 </w:t>
            </w:r>
          </w:p>
        </w:tc>
        <w:tc>
          <w:tcPr>
            <w:tcW w:w="653" w:type="pct"/>
            <w:shd w:val="clear" w:color="auto" w:fill="FFFFFF"/>
            <w:noWrap/>
            <w:hideMark/>
          </w:tcPr>
          <w:p w:rsidR="00881FFD" w:rsidRPr="00412299" w:rsidRDefault="00881FFD" w:rsidP="00D55FCA">
            <w:pPr>
              <w:spacing w:line="240" w:lineRule="auto"/>
              <w:jc w:val="right"/>
              <w:rPr>
                <w:rFonts w:ascii="Calibri" w:hAnsi="Calibri"/>
                <w:b/>
                <w:bCs/>
                <w:sz w:val="18"/>
                <w:szCs w:val="18"/>
                <w:lang w:eastAsia="sl-SI"/>
              </w:rPr>
            </w:pPr>
            <w:r w:rsidRPr="00972554">
              <w:rPr>
                <w:rFonts w:ascii="Calibri" w:hAnsi="Calibri"/>
                <w:sz w:val="18"/>
                <w:szCs w:val="18"/>
              </w:rPr>
              <w:t>2,90</w:t>
            </w: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OBČINA ŠENTJERNEJ</w:t>
            </w:r>
          </w:p>
        </w:tc>
        <w:tc>
          <w:tcPr>
            <w:tcW w:w="847" w:type="pct"/>
            <w:shd w:val="clear" w:color="auto" w:fill="auto"/>
            <w:noWrap/>
            <w:hideMark/>
          </w:tcPr>
          <w:p w:rsidR="00881FFD" w:rsidRPr="00412299"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1.909.637 </w:t>
            </w:r>
          </w:p>
        </w:tc>
        <w:tc>
          <w:tcPr>
            <w:tcW w:w="653" w:type="pct"/>
            <w:shd w:val="clear" w:color="auto" w:fill="FFFFFF"/>
            <w:noWrap/>
            <w:hideMark/>
          </w:tcPr>
          <w:p w:rsidR="00881FFD" w:rsidRPr="00412299" w:rsidRDefault="00881FFD" w:rsidP="00DE3814">
            <w:pPr>
              <w:spacing w:line="240" w:lineRule="auto"/>
              <w:jc w:val="right"/>
              <w:rPr>
                <w:rFonts w:ascii="Calibri" w:hAnsi="Calibri"/>
                <w:sz w:val="18"/>
                <w:szCs w:val="18"/>
                <w:lang w:eastAsia="sl-SI"/>
              </w:rPr>
            </w:pPr>
            <w:r w:rsidRPr="00972554">
              <w:rPr>
                <w:rFonts w:ascii="Calibri" w:hAnsi="Calibri"/>
                <w:sz w:val="18"/>
                <w:szCs w:val="18"/>
              </w:rPr>
              <w:t>2,33</w:t>
            </w:r>
          </w:p>
        </w:tc>
      </w:tr>
      <w:tr w:rsidR="00881FFD" w:rsidRPr="00972554" w:rsidTr="00972554">
        <w:trPr>
          <w:trHeight w:val="300"/>
        </w:trPr>
        <w:tc>
          <w:tcPr>
            <w:tcW w:w="3500" w:type="pct"/>
            <w:shd w:val="clear" w:color="auto" w:fill="auto"/>
            <w:noWrap/>
            <w:hideMark/>
          </w:tcPr>
          <w:p w:rsidR="00881FFD" w:rsidRPr="00412299" w:rsidRDefault="00881FFD" w:rsidP="00972554">
            <w:pPr>
              <w:spacing w:line="240" w:lineRule="auto"/>
              <w:ind w:firstLineChars="100" w:firstLine="181"/>
              <w:jc w:val="left"/>
              <w:rPr>
                <w:rFonts w:ascii="Calibri" w:hAnsi="Calibri"/>
                <w:b/>
                <w:sz w:val="18"/>
                <w:szCs w:val="18"/>
                <w:lang w:eastAsia="sl-SI"/>
              </w:rPr>
            </w:pPr>
            <w:r w:rsidRPr="00972554">
              <w:rPr>
                <w:rFonts w:ascii="Calibri" w:hAnsi="Calibri"/>
                <w:b/>
                <w:sz w:val="18"/>
                <w:szCs w:val="18"/>
              </w:rPr>
              <w:t xml:space="preserve">328-Kratkoročne obveznosti </w:t>
            </w:r>
          </w:p>
        </w:tc>
        <w:tc>
          <w:tcPr>
            <w:tcW w:w="847" w:type="pct"/>
            <w:shd w:val="clear" w:color="auto" w:fill="auto"/>
            <w:noWrap/>
            <w:hideMark/>
          </w:tcPr>
          <w:p w:rsidR="00881FFD" w:rsidRPr="00382B0F" w:rsidRDefault="00881FFD" w:rsidP="00F454FD">
            <w:pPr>
              <w:spacing w:line="240" w:lineRule="auto"/>
              <w:jc w:val="right"/>
              <w:rPr>
                <w:rFonts w:ascii="Calibri" w:hAnsi="Calibri"/>
                <w:b/>
                <w:sz w:val="18"/>
                <w:szCs w:val="18"/>
                <w:lang w:eastAsia="sl-SI"/>
              </w:rPr>
            </w:pPr>
            <w:r w:rsidRPr="00972554">
              <w:rPr>
                <w:rFonts w:ascii="Calibri" w:hAnsi="Calibri"/>
                <w:b/>
                <w:sz w:val="18"/>
                <w:szCs w:val="18"/>
              </w:rPr>
              <w:t xml:space="preserve">211.288.757 </w:t>
            </w:r>
          </w:p>
        </w:tc>
        <w:tc>
          <w:tcPr>
            <w:tcW w:w="653" w:type="pct"/>
            <w:shd w:val="clear" w:color="auto" w:fill="FFFFFF"/>
            <w:noWrap/>
            <w:hideMark/>
          </w:tcPr>
          <w:p w:rsidR="00881FFD" w:rsidRPr="00412299" w:rsidRDefault="00881FFD" w:rsidP="00DE3814">
            <w:pPr>
              <w:spacing w:line="240" w:lineRule="auto"/>
              <w:jc w:val="right"/>
              <w:rPr>
                <w:rFonts w:ascii="Calibri" w:hAnsi="Calibri"/>
                <w:b/>
                <w:sz w:val="18"/>
                <w:szCs w:val="18"/>
                <w:lang w:eastAsia="sl-SI"/>
              </w:rPr>
            </w:pPr>
          </w:p>
        </w:tc>
      </w:tr>
      <w:tr w:rsidR="00881FFD" w:rsidRPr="00972554" w:rsidTr="00972554">
        <w:trPr>
          <w:trHeight w:val="300"/>
        </w:trPr>
        <w:tc>
          <w:tcPr>
            <w:tcW w:w="3500" w:type="pct"/>
            <w:shd w:val="clear" w:color="auto" w:fill="auto"/>
            <w:noWrap/>
            <w:hideMark/>
          </w:tcPr>
          <w:p w:rsidR="00881FFD" w:rsidRPr="00382B0F"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LJUBLJANA</w:t>
            </w:r>
          </w:p>
        </w:tc>
        <w:tc>
          <w:tcPr>
            <w:tcW w:w="847" w:type="pct"/>
            <w:shd w:val="clear" w:color="auto" w:fill="auto"/>
            <w:noWrap/>
            <w:hideMark/>
          </w:tcPr>
          <w:p w:rsidR="00881FFD" w:rsidRPr="00382B0F"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28.845.147 </w:t>
            </w:r>
          </w:p>
        </w:tc>
        <w:tc>
          <w:tcPr>
            <w:tcW w:w="653" w:type="pct"/>
            <w:shd w:val="clear" w:color="auto" w:fill="FFFFFF"/>
            <w:noWrap/>
            <w:hideMark/>
          </w:tcPr>
          <w:p w:rsidR="00881FFD" w:rsidRPr="00382B0F" w:rsidRDefault="00881FFD" w:rsidP="00DE3814">
            <w:pPr>
              <w:spacing w:line="240" w:lineRule="auto"/>
              <w:jc w:val="right"/>
              <w:rPr>
                <w:rFonts w:ascii="Calibri" w:hAnsi="Calibri"/>
                <w:sz w:val="18"/>
                <w:szCs w:val="18"/>
                <w:lang w:eastAsia="sl-SI"/>
              </w:rPr>
            </w:pPr>
            <w:r w:rsidRPr="00972554">
              <w:rPr>
                <w:rFonts w:ascii="Calibri" w:hAnsi="Calibri"/>
                <w:sz w:val="18"/>
                <w:szCs w:val="18"/>
              </w:rPr>
              <w:t>13,65</w:t>
            </w:r>
          </w:p>
        </w:tc>
      </w:tr>
      <w:tr w:rsidR="00881FFD" w:rsidRPr="00972554" w:rsidTr="00972554">
        <w:trPr>
          <w:trHeight w:val="300"/>
        </w:trPr>
        <w:tc>
          <w:tcPr>
            <w:tcW w:w="3500" w:type="pct"/>
            <w:shd w:val="clear" w:color="auto" w:fill="auto"/>
            <w:noWrap/>
            <w:hideMark/>
          </w:tcPr>
          <w:p w:rsidR="00881FFD" w:rsidRPr="00412299" w:rsidRDefault="00881FFD" w:rsidP="00F454FD">
            <w:pPr>
              <w:spacing w:line="240" w:lineRule="auto"/>
              <w:jc w:val="left"/>
              <w:rPr>
                <w:rFonts w:ascii="Calibri" w:hAnsi="Calibri"/>
                <w:b/>
                <w:bCs/>
                <w:sz w:val="18"/>
                <w:szCs w:val="18"/>
                <w:lang w:eastAsia="sl-SI"/>
              </w:rPr>
            </w:pPr>
            <w:r w:rsidRPr="00972554">
              <w:rPr>
                <w:rFonts w:ascii="Calibri" w:hAnsi="Calibri"/>
                <w:sz w:val="18"/>
                <w:szCs w:val="18"/>
              </w:rPr>
              <w:t>MESTNA OBČINA MARIBOR</w:t>
            </w:r>
          </w:p>
        </w:tc>
        <w:tc>
          <w:tcPr>
            <w:tcW w:w="847" w:type="pct"/>
            <w:shd w:val="clear" w:color="auto" w:fill="auto"/>
            <w:noWrap/>
            <w:hideMark/>
          </w:tcPr>
          <w:p w:rsidR="00881FFD" w:rsidRPr="00382B0F" w:rsidRDefault="00881FFD" w:rsidP="00DE3814">
            <w:pPr>
              <w:spacing w:line="240" w:lineRule="auto"/>
              <w:jc w:val="right"/>
              <w:rPr>
                <w:rFonts w:ascii="Calibri" w:hAnsi="Calibri"/>
                <w:b/>
                <w:bCs/>
                <w:sz w:val="18"/>
                <w:szCs w:val="18"/>
                <w:lang w:eastAsia="sl-SI"/>
              </w:rPr>
            </w:pPr>
            <w:r w:rsidRPr="00972554">
              <w:rPr>
                <w:rFonts w:ascii="Calibri" w:hAnsi="Calibri"/>
                <w:sz w:val="18"/>
                <w:szCs w:val="18"/>
              </w:rPr>
              <w:t xml:space="preserve">8.858.224 </w:t>
            </w:r>
          </w:p>
        </w:tc>
        <w:tc>
          <w:tcPr>
            <w:tcW w:w="653" w:type="pct"/>
            <w:shd w:val="clear" w:color="auto" w:fill="FFFFFF"/>
            <w:noWrap/>
            <w:hideMark/>
          </w:tcPr>
          <w:p w:rsidR="00881FFD" w:rsidRPr="00382B0F" w:rsidRDefault="00881FFD" w:rsidP="00D55FCA">
            <w:pPr>
              <w:spacing w:line="240" w:lineRule="auto"/>
              <w:jc w:val="right"/>
              <w:rPr>
                <w:rFonts w:ascii="Calibri" w:hAnsi="Calibri"/>
                <w:b/>
                <w:bCs/>
                <w:sz w:val="18"/>
                <w:szCs w:val="18"/>
                <w:lang w:eastAsia="sl-SI"/>
              </w:rPr>
            </w:pPr>
            <w:r w:rsidRPr="00972554">
              <w:rPr>
                <w:rFonts w:ascii="Calibri" w:hAnsi="Calibri"/>
                <w:sz w:val="18"/>
                <w:szCs w:val="18"/>
              </w:rPr>
              <w:t>4,19</w:t>
            </w:r>
          </w:p>
        </w:tc>
      </w:tr>
      <w:tr w:rsidR="00881FFD" w:rsidRPr="00972554" w:rsidTr="00972554">
        <w:trPr>
          <w:trHeight w:val="300"/>
        </w:trPr>
        <w:tc>
          <w:tcPr>
            <w:tcW w:w="3500" w:type="pct"/>
            <w:shd w:val="clear" w:color="auto" w:fill="auto"/>
            <w:noWrap/>
            <w:hideMark/>
          </w:tcPr>
          <w:p w:rsidR="00881FFD" w:rsidRPr="00382B0F"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NOVO MESTO</w:t>
            </w:r>
          </w:p>
        </w:tc>
        <w:tc>
          <w:tcPr>
            <w:tcW w:w="847" w:type="pct"/>
            <w:shd w:val="clear" w:color="auto" w:fill="auto"/>
            <w:noWrap/>
            <w:hideMark/>
          </w:tcPr>
          <w:p w:rsidR="00881FFD" w:rsidRPr="00382B0F"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8.762.254 </w:t>
            </w:r>
          </w:p>
        </w:tc>
        <w:tc>
          <w:tcPr>
            <w:tcW w:w="653" w:type="pct"/>
            <w:shd w:val="clear" w:color="auto" w:fill="FFFFFF"/>
            <w:noWrap/>
            <w:hideMark/>
          </w:tcPr>
          <w:p w:rsidR="00881FFD" w:rsidRPr="00382B0F" w:rsidRDefault="00881FFD" w:rsidP="00DE3814">
            <w:pPr>
              <w:spacing w:line="240" w:lineRule="auto"/>
              <w:jc w:val="right"/>
              <w:rPr>
                <w:rFonts w:ascii="Calibri" w:hAnsi="Calibri"/>
                <w:sz w:val="18"/>
                <w:szCs w:val="18"/>
                <w:lang w:eastAsia="sl-SI"/>
              </w:rPr>
            </w:pPr>
            <w:r w:rsidRPr="00972554">
              <w:rPr>
                <w:rFonts w:ascii="Calibri" w:hAnsi="Calibri"/>
                <w:sz w:val="18"/>
                <w:szCs w:val="18"/>
              </w:rPr>
              <w:t>4,15</w:t>
            </w:r>
          </w:p>
        </w:tc>
      </w:tr>
      <w:tr w:rsidR="00881FFD" w:rsidRPr="00972554" w:rsidTr="00972554">
        <w:trPr>
          <w:trHeight w:val="300"/>
        </w:trPr>
        <w:tc>
          <w:tcPr>
            <w:tcW w:w="3500" w:type="pct"/>
            <w:shd w:val="clear" w:color="auto" w:fill="auto"/>
            <w:noWrap/>
            <w:hideMark/>
          </w:tcPr>
          <w:p w:rsidR="00881FFD" w:rsidRPr="00382B0F" w:rsidRDefault="00881FFD" w:rsidP="00972554">
            <w:pPr>
              <w:spacing w:line="240" w:lineRule="auto"/>
              <w:ind w:firstLineChars="100" w:firstLine="181"/>
              <w:jc w:val="left"/>
              <w:rPr>
                <w:rFonts w:ascii="Calibri" w:hAnsi="Calibri"/>
                <w:b/>
                <w:sz w:val="18"/>
                <w:szCs w:val="18"/>
                <w:lang w:eastAsia="sl-SI"/>
              </w:rPr>
            </w:pPr>
            <w:r w:rsidRPr="00972554">
              <w:rPr>
                <w:rFonts w:ascii="Calibri" w:hAnsi="Calibri"/>
                <w:b/>
                <w:sz w:val="18"/>
                <w:szCs w:val="18"/>
              </w:rPr>
              <w:t xml:space="preserve">329-Druge obveznosti </w:t>
            </w:r>
          </w:p>
        </w:tc>
        <w:tc>
          <w:tcPr>
            <w:tcW w:w="847" w:type="pct"/>
            <w:shd w:val="clear" w:color="auto" w:fill="auto"/>
            <w:noWrap/>
            <w:hideMark/>
          </w:tcPr>
          <w:p w:rsidR="00881FFD" w:rsidRPr="00382B0F" w:rsidRDefault="00881FFD" w:rsidP="00F454FD">
            <w:pPr>
              <w:spacing w:line="240" w:lineRule="auto"/>
              <w:jc w:val="right"/>
              <w:rPr>
                <w:rFonts w:ascii="Calibri" w:hAnsi="Calibri"/>
                <w:b/>
                <w:sz w:val="18"/>
                <w:szCs w:val="18"/>
                <w:lang w:eastAsia="sl-SI"/>
              </w:rPr>
            </w:pPr>
            <w:r w:rsidRPr="00972554">
              <w:rPr>
                <w:rFonts w:ascii="Calibri" w:hAnsi="Calibri"/>
                <w:b/>
                <w:sz w:val="18"/>
                <w:szCs w:val="18"/>
              </w:rPr>
              <w:t xml:space="preserve">167.182.119 </w:t>
            </w:r>
          </w:p>
        </w:tc>
        <w:tc>
          <w:tcPr>
            <w:tcW w:w="653" w:type="pct"/>
            <w:shd w:val="clear" w:color="auto" w:fill="FFFFFF"/>
            <w:noWrap/>
            <w:hideMark/>
          </w:tcPr>
          <w:p w:rsidR="00881FFD" w:rsidRPr="00412299" w:rsidRDefault="00881FFD" w:rsidP="00DE3814">
            <w:pPr>
              <w:spacing w:line="240" w:lineRule="auto"/>
              <w:jc w:val="right"/>
              <w:rPr>
                <w:rFonts w:ascii="Calibri" w:hAnsi="Calibri"/>
                <w:b/>
                <w:sz w:val="18"/>
                <w:szCs w:val="18"/>
                <w:lang w:eastAsia="sl-SI"/>
              </w:rPr>
            </w:pPr>
          </w:p>
        </w:tc>
      </w:tr>
      <w:tr w:rsidR="00881FFD" w:rsidRPr="00972554" w:rsidTr="00972554">
        <w:trPr>
          <w:trHeight w:val="300"/>
        </w:trPr>
        <w:tc>
          <w:tcPr>
            <w:tcW w:w="3500" w:type="pct"/>
            <w:shd w:val="clear" w:color="auto" w:fill="auto"/>
            <w:noWrap/>
            <w:hideMark/>
          </w:tcPr>
          <w:p w:rsidR="00881FFD" w:rsidRPr="00382B0F"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VELENJE</w:t>
            </w:r>
          </w:p>
        </w:tc>
        <w:tc>
          <w:tcPr>
            <w:tcW w:w="847" w:type="pct"/>
            <w:shd w:val="clear" w:color="auto" w:fill="auto"/>
            <w:noWrap/>
            <w:hideMark/>
          </w:tcPr>
          <w:p w:rsidR="00881FFD" w:rsidRPr="00382B0F"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9.364.738 </w:t>
            </w:r>
          </w:p>
        </w:tc>
        <w:tc>
          <w:tcPr>
            <w:tcW w:w="653" w:type="pct"/>
            <w:shd w:val="clear" w:color="auto" w:fill="FFFFFF"/>
            <w:noWrap/>
            <w:hideMark/>
          </w:tcPr>
          <w:p w:rsidR="00881FFD" w:rsidRPr="00412299" w:rsidRDefault="00881FFD" w:rsidP="00DE3814">
            <w:pPr>
              <w:spacing w:line="240" w:lineRule="auto"/>
              <w:jc w:val="right"/>
              <w:rPr>
                <w:rFonts w:ascii="Calibri" w:hAnsi="Calibri"/>
                <w:sz w:val="18"/>
                <w:szCs w:val="18"/>
                <w:lang w:eastAsia="sl-SI"/>
              </w:rPr>
            </w:pPr>
            <w:r w:rsidRPr="00972554">
              <w:rPr>
                <w:rFonts w:ascii="Calibri" w:hAnsi="Calibri"/>
                <w:sz w:val="18"/>
                <w:szCs w:val="18"/>
              </w:rPr>
              <w:t>5,60</w:t>
            </w:r>
          </w:p>
        </w:tc>
      </w:tr>
      <w:tr w:rsidR="00881FFD" w:rsidRPr="00972554" w:rsidTr="00972554">
        <w:trPr>
          <w:trHeight w:val="300"/>
        </w:trPr>
        <w:tc>
          <w:tcPr>
            <w:tcW w:w="3500" w:type="pct"/>
            <w:shd w:val="clear" w:color="auto" w:fill="auto"/>
            <w:noWrap/>
            <w:hideMark/>
          </w:tcPr>
          <w:p w:rsidR="00881FFD" w:rsidRPr="00382B0F" w:rsidRDefault="00881FFD" w:rsidP="00F454FD">
            <w:pPr>
              <w:spacing w:line="240" w:lineRule="auto"/>
              <w:jc w:val="left"/>
              <w:rPr>
                <w:rFonts w:ascii="Calibri" w:hAnsi="Calibri"/>
                <w:b/>
                <w:bCs/>
                <w:sz w:val="18"/>
                <w:szCs w:val="18"/>
                <w:lang w:eastAsia="sl-SI"/>
              </w:rPr>
            </w:pPr>
            <w:r w:rsidRPr="00972554">
              <w:rPr>
                <w:rFonts w:ascii="Calibri" w:hAnsi="Calibri"/>
                <w:sz w:val="18"/>
                <w:szCs w:val="18"/>
              </w:rPr>
              <w:t>MESTNA OBČINA KRANJ</w:t>
            </w:r>
          </w:p>
        </w:tc>
        <w:tc>
          <w:tcPr>
            <w:tcW w:w="847" w:type="pct"/>
            <w:shd w:val="clear" w:color="auto" w:fill="auto"/>
            <w:noWrap/>
            <w:hideMark/>
          </w:tcPr>
          <w:p w:rsidR="00881FFD" w:rsidRPr="00382B0F" w:rsidRDefault="00881FFD" w:rsidP="00DE3814">
            <w:pPr>
              <w:spacing w:line="240" w:lineRule="auto"/>
              <w:jc w:val="right"/>
              <w:rPr>
                <w:rFonts w:ascii="Calibri" w:hAnsi="Calibri"/>
                <w:b/>
                <w:bCs/>
                <w:sz w:val="18"/>
                <w:szCs w:val="18"/>
                <w:lang w:eastAsia="sl-SI"/>
              </w:rPr>
            </w:pPr>
            <w:r w:rsidRPr="00972554">
              <w:rPr>
                <w:rFonts w:ascii="Calibri" w:hAnsi="Calibri"/>
                <w:sz w:val="18"/>
                <w:szCs w:val="18"/>
              </w:rPr>
              <w:t xml:space="preserve">6.253.223 </w:t>
            </w:r>
          </w:p>
        </w:tc>
        <w:tc>
          <w:tcPr>
            <w:tcW w:w="653" w:type="pct"/>
            <w:shd w:val="clear" w:color="auto" w:fill="FFFFFF"/>
            <w:noWrap/>
            <w:hideMark/>
          </w:tcPr>
          <w:p w:rsidR="00881FFD" w:rsidRPr="00382B0F" w:rsidRDefault="00881FFD" w:rsidP="00D55FCA">
            <w:pPr>
              <w:spacing w:line="240" w:lineRule="auto"/>
              <w:jc w:val="right"/>
              <w:rPr>
                <w:rFonts w:ascii="Calibri" w:hAnsi="Calibri"/>
                <w:b/>
                <w:bCs/>
                <w:sz w:val="18"/>
                <w:szCs w:val="18"/>
                <w:lang w:eastAsia="sl-SI"/>
              </w:rPr>
            </w:pPr>
            <w:r w:rsidRPr="00972554">
              <w:rPr>
                <w:rFonts w:ascii="Calibri" w:hAnsi="Calibri"/>
                <w:sz w:val="18"/>
                <w:szCs w:val="18"/>
              </w:rPr>
              <w:t>3,74</w:t>
            </w:r>
          </w:p>
        </w:tc>
      </w:tr>
      <w:tr w:rsidR="00881FFD" w:rsidRPr="00972554" w:rsidTr="00972554">
        <w:trPr>
          <w:trHeight w:val="300"/>
        </w:trPr>
        <w:tc>
          <w:tcPr>
            <w:tcW w:w="3500" w:type="pct"/>
            <w:tcBorders>
              <w:bottom w:val="single" w:sz="4" w:space="0" w:color="auto"/>
            </w:tcBorders>
            <w:shd w:val="clear" w:color="auto" w:fill="auto"/>
            <w:noWrap/>
            <w:hideMark/>
          </w:tcPr>
          <w:p w:rsidR="00881FFD" w:rsidRPr="00382B0F"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OBČINA KOČEVJE</w:t>
            </w:r>
          </w:p>
        </w:tc>
        <w:tc>
          <w:tcPr>
            <w:tcW w:w="847" w:type="pct"/>
            <w:tcBorders>
              <w:bottom w:val="single" w:sz="4" w:space="0" w:color="auto"/>
            </w:tcBorders>
            <w:shd w:val="clear" w:color="auto" w:fill="auto"/>
            <w:noWrap/>
            <w:hideMark/>
          </w:tcPr>
          <w:p w:rsidR="00881FFD" w:rsidRPr="00382B0F"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6.145.126 </w:t>
            </w:r>
          </w:p>
        </w:tc>
        <w:tc>
          <w:tcPr>
            <w:tcW w:w="653" w:type="pct"/>
            <w:tcBorders>
              <w:bottom w:val="single" w:sz="4" w:space="0" w:color="auto"/>
            </w:tcBorders>
            <w:shd w:val="clear" w:color="auto" w:fill="FFFFFF"/>
            <w:noWrap/>
            <w:hideMark/>
          </w:tcPr>
          <w:p w:rsidR="00881FFD" w:rsidRPr="00382B0F" w:rsidRDefault="00881FFD" w:rsidP="00DE3814">
            <w:pPr>
              <w:spacing w:line="240" w:lineRule="auto"/>
              <w:jc w:val="right"/>
              <w:rPr>
                <w:rFonts w:ascii="Calibri" w:hAnsi="Calibri"/>
                <w:sz w:val="18"/>
                <w:szCs w:val="18"/>
                <w:lang w:eastAsia="sl-SI"/>
              </w:rPr>
            </w:pPr>
            <w:r w:rsidRPr="00972554">
              <w:rPr>
                <w:rFonts w:ascii="Calibri" w:hAnsi="Calibri"/>
                <w:sz w:val="18"/>
                <w:szCs w:val="18"/>
              </w:rPr>
              <w:t>3,68</w:t>
            </w:r>
          </w:p>
        </w:tc>
      </w:tr>
      <w:tr w:rsidR="00881FFD" w:rsidRPr="00972554" w:rsidTr="00972554">
        <w:trPr>
          <w:trHeight w:val="300"/>
        </w:trPr>
        <w:tc>
          <w:tcPr>
            <w:tcW w:w="3500" w:type="pct"/>
            <w:shd w:val="clear" w:color="auto" w:fill="92D050"/>
            <w:noWrap/>
            <w:hideMark/>
          </w:tcPr>
          <w:p w:rsidR="00881FFD" w:rsidRPr="00382B0F" w:rsidRDefault="00881FFD" w:rsidP="00972554">
            <w:pPr>
              <w:spacing w:line="240" w:lineRule="auto"/>
              <w:ind w:firstLineChars="100" w:firstLine="181"/>
              <w:jc w:val="left"/>
              <w:rPr>
                <w:rFonts w:ascii="Calibri" w:hAnsi="Calibri"/>
                <w:b/>
                <w:i/>
                <w:sz w:val="18"/>
                <w:szCs w:val="18"/>
                <w:lang w:eastAsia="sl-SI"/>
              </w:rPr>
            </w:pPr>
            <w:r w:rsidRPr="00972554">
              <w:rPr>
                <w:rFonts w:ascii="Calibri" w:hAnsi="Calibri"/>
                <w:b/>
                <w:sz w:val="18"/>
                <w:szCs w:val="18"/>
              </w:rPr>
              <w:t xml:space="preserve">330-Skupaj pasiva </w:t>
            </w:r>
          </w:p>
        </w:tc>
        <w:tc>
          <w:tcPr>
            <w:tcW w:w="847" w:type="pct"/>
            <w:shd w:val="clear" w:color="auto" w:fill="92D050"/>
            <w:noWrap/>
            <w:hideMark/>
          </w:tcPr>
          <w:p w:rsidR="00881FFD" w:rsidRPr="00382B0F" w:rsidRDefault="00881FFD" w:rsidP="00F454FD">
            <w:pPr>
              <w:spacing w:line="240" w:lineRule="auto"/>
              <w:jc w:val="right"/>
              <w:rPr>
                <w:rFonts w:ascii="Calibri" w:hAnsi="Calibri"/>
                <w:b/>
                <w:i/>
                <w:sz w:val="18"/>
                <w:szCs w:val="18"/>
                <w:lang w:eastAsia="sl-SI"/>
              </w:rPr>
            </w:pPr>
            <w:r w:rsidRPr="00972554">
              <w:rPr>
                <w:rFonts w:ascii="Calibri" w:hAnsi="Calibri"/>
                <w:b/>
                <w:sz w:val="18"/>
                <w:szCs w:val="18"/>
              </w:rPr>
              <w:t xml:space="preserve">14.967.773.845 </w:t>
            </w:r>
          </w:p>
        </w:tc>
        <w:tc>
          <w:tcPr>
            <w:tcW w:w="653" w:type="pct"/>
            <w:shd w:val="clear" w:color="auto" w:fill="92D050"/>
            <w:noWrap/>
            <w:hideMark/>
          </w:tcPr>
          <w:p w:rsidR="00881FFD" w:rsidRPr="00412299" w:rsidRDefault="00881FFD" w:rsidP="00DE3814">
            <w:pPr>
              <w:spacing w:line="240" w:lineRule="auto"/>
              <w:jc w:val="right"/>
              <w:rPr>
                <w:rFonts w:ascii="Calibri" w:hAnsi="Calibri"/>
                <w:b/>
                <w:i/>
                <w:sz w:val="18"/>
                <w:szCs w:val="18"/>
                <w:lang w:eastAsia="sl-SI"/>
              </w:rPr>
            </w:pPr>
          </w:p>
        </w:tc>
      </w:tr>
      <w:tr w:rsidR="00881FFD" w:rsidRPr="00972554" w:rsidTr="00972554">
        <w:trPr>
          <w:trHeight w:val="300"/>
        </w:trPr>
        <w:tc>
          <w:tcPr>
            <w:tcW w:w="3500" w:type="pct"/>
            <w:tcBorders>
              <w:bottom w:val="single" w:sz="4" w:space="0" w:color="auto"/>
            </w:tcBorders>
            <w:shd w:val="clear" w:color="auto" w:fill="auto"/>
            <w:noWrap/>
            <w:hideMark/>
          </w:tcPr>
          <w:p w:rsidR="00881FFD" w:rsidRPr="00382B0F"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LJUBLJANA</w:t>
            </w:r>
          </w:p>
        </w:tc>
        <w:tc>
          <w:tcPr>
            <w:tcW w:w="847" w:type="pct"/>
            <w:tcBorders>
              <w:bottom w:val="single" w:sz="4" w:space="0" w:color="auto"/>
            </w:tcBorders>
            <w:shd w:val="clear" w:color="auto" w:fill="auto"/>
            <w:noWrap/>
            <w:hideMark/>
          </w:tcPr>
          <w:p w:rsidR="00881FFD" w:rsidRPr="00382B0F"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2.353.925.506 </w:t>
            </w:r>
          </w:p>
        </w:tc>
        <w:tc>
          <w:tcPr>
            <w:tcW w:w="653" w:type="pct"/>
            <w:tcBorders>
              <w:bottom w:val="single" w:sz="4" w:space="0" w:color="auto"/>
            </w:tcBorders>
            <w:shd w:val="clear" w:color="auto" w:fill="FFFFFF"/>
            <w:noWrap/>
            <w:hideMark/>
          </w:tcPr>
          <w:p w:rsidR="00881FFD" w:rsidRPr="00382B0F" w:rsidRDefault="00881FFD" w:rsidP="00DE3814">
            <w:pPr>
              <w:spacing w:line="240" w:lineRule="auto"/>
              <w:jc w:val="right"/>
              <w:rPr>
                <w:rFonts w:ascii="Calibri" w:hAnsi="Calibri"/>
                <w:sz w:val="18"/>
                <w:szCs w:val="18"/>
                <w:lang w:eastAsia="sl-SI"/>
              </w:rPr>
            </w:pPr>
            <w:r w:rsidRPr="00972554">
              <w:rPr>
                <w:rFonts w:ascii="Calibri" w:hAnsi="Calibri"/>
                <w:sz w:val="18"/>
                <w:szCs w:val="18"/>
              </w:rPr>
              <w:t>15,73</w:t>
            </w:r>
          </w:p>
        </w:tc>
      </w:tr>
      <w:tr w:rsidR="00881FFD" w:rsidRPr="00972554" w:rsidTr="00972554">
        <w:trPr>
          <w:trHeight w:val="300"/>
        </w:trPr>
        <w:tc>
          <w:tcPr>
            <w:tcW w:w="3500" w:type="pct"/>
            <w:shd w:val="clear" w:color="auto" w:fill="FFFFFF"/>
            <w:noWrap/>
            <w:hideMark/>
          </w:tcPr>
          <w:p w:rsidR="00881FFD" w:rsidRPr="00382B0F" w:rsidRDefault="00881FFD" w:rsidP="00F454FD">
            <w:pPr>
              <w:spacing w:line="240" w:lineRule="auto"/>
              <w:jc w:val="left"/>
              <w:rPr>
                <w:rFonts w:ascii="Calibri" w:hAnsi="Calibri"/>
                <w:b/>
                <w:bCs/>
                <w:i/>
                <w:sz w:val="18"/>
                <w:szCs w:val="18"/>
                <w:lang w:eastAsia="sl-SI"/>
              </w:rPr>
            </w:pPr>
            <w:r w:rsidRPr="00972554">
              <w:rPr>
                <w:rFonts w:ascii="Calibri" w:hAnsi="Calibri"/>
                <w:sz w:val="18"/>
                <w:szCs w:val="18"/>
              </w:rPr>
              <w:t>MESTNA OBČINA KOPER</w:t>
            </w:r>
          </w:p>
        </w:tc>
        <w:tc>
          <w:tcPr>
            <w:tcW w:w="847" w:type="pct"/>
            <w:shd w:val="clear" w:color="auto" w:fill="FFFFFF"/>
            <w:noWrap/>
            <w:hideMark/>
          </w:tcPr>
          <w:p w:rsidR="00881FFD" w:rsidRPr="00382B0F" w:rsidRDefault="00881FFD" w:rsidP="00DE3814">
            <w:pPr>
              <w:spacing w:line="240" w:lineRule="auto"/>
              <w:jc w:val="right"/>
              <w:rPr>
                <w:rFonts w:ascii="Calibri" w:hAnsi="Calibri"/>
                <w:b/>
                <w:bCs/>
                <w:i/>
                <w:sz w:val="18"/>
                <w:szCs w:val="18"/>
                <w:lang w:eastAsia="sl-SI"/>
              </w:rPr>
            </w:pPr>
            <w:r w:rsidRPr="00972554">
              <w:rPr>
                <w:rFonts w:ascii="Calibri" w:hAnsi="Calibri"/>
                <w:sz w:val="18"/>
                <w:szCs w:val="18"/>
              </w:rPr>
              <w:t xml:space="preserve">1.729.217.427 </w:t>
            </w:r>
          </w:p>
        </w:tc>
        <w:tc>
          <w:tcPr>
            <w:tcW w:w="653" w:type="pct"/>
            <w:shd w:val="clear" w:color="auto" w:fill="FFFFFF"/>
            <w:noWrap/>
            <w:hideMark/>
          </w:tcPr>
          <w:p w:rsidR="00881FFD" w:rsidRPr="00382B0F" w:rsidRDefault="00881FFD" w:rsidP="00D55FCA">
            <w:pPr>
              <w:spacing w:line="240" w:lineRule="auto"/>
              <w:jc w:val="right"/>
              <w:rPr>
                <w:rFonts w:ascii="Calibri" w:hAnsi="Calibri"/>
                <w:b/>
                <w:bCs/>
                <w:i/>
                <w:sz w:val="18"/>
                <w:szCs w:val="18"/>
                <w:lang w:eastAsia="sl-SI"/>
              </w:rPr>
            </w:pPr>
            <w:r w:rsidRPr="00972554">
              <w:rPr>
                <w:rFonts w:ascii="Calibri" w:hAnsi="Calibri"/>
                <w:sz w:val="18"/>
                <w:szCs w:val="18"/>
              </w:rPr>
              <w:t>11,55</w:t>
            </w:r>
          </w:p>
        </w:tc>
      </w:tr>
      <w:tr w:rsidR="00881FFD" w:rsidRPr="00972554" w:rsidTr="00972554">
        <w:trPr>
          <w:trHeight w:val="300"/>
        </w:trPr>
        <w:tc>
          <w:tcPr>
            <w:tcW w:w="3500" w:type="pct"/>
            <w:shd w:val="clear" w:color="auto" w:fill="auto"/>
            <w:noWrap/>
            <w:hideMark/>
          </w:tcPr>
          <w:p w:rsidR="00881FFD" w:rsidRPr="00382B0F" w:rsidRDefault="00881FFD"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OBČINA MARIBOR</w:t>
            </w:r>
          </w:p>
        </w:tc>
        <w:tc>
          <w:tcPr>
            <w:tcW w:w="847" w:type="pct"/>
            <w:shd w:val="clear" w:color="auto" w:fill="auto"/>
            <w:noWrap/>
            <w:hideMark/>
          </w:tcPr>
          <w:p w:rsidR="00881FFD" w:rsidRPr="00382B0F" w:rsidRDefault="00881FFD" w:rsidP="00F454FD">
            <w:pPr>
              <w:spacing w:line="240" w:lineRule="auto"/>
              <w:jc w:val="right"/>
              <w:rPr>
                <w:rFonts w:ascii="Calibri" w:hAnsi="Calibri"/>
                <w:sz w:val="18"/>
                <w:szCs w:val="18"/>
                <w:lang w:eastAsia="sl-SI"/>
              </w:rPr>
            </w:pPr>
            <w:r w:rsidRPr="00972554">
              <w:rPr>
                <w:rFonts w:ascii="Calibri" w:hAnsi="Calibri"/>
                <w:sz w:val="18"/>
                <w:szCs w:val="18"/>
              </w:rPr>
              <w:t xml:space="preserve">613.301.643 </w:t>
            </w:r>
          </w:p>
        </w:tc>
        <w:tc>
          <w:tcPr>
            <w:tcW w:w="653" w:type="pct"/>
            <w:shd w:val="clear" w:color="auto" w:fill="FFFFFF"/>
            <w:noWrap/>
            <w:hideMark/>
          </w:tcPr>
          <w:p w:rsidR="00881FFD" w:rsidRPr="00382B0F" w:rsidRDefault="00881FFD" w:rsidP="00DE3814">
            <w:pPr>
              <w:spacing w:line="240" w:lineRule="auto"/>
              <w:jc w:val="right"/>
              <w:rPr>
                <w:rFonts w:ascii="Calibri" w:hAnsi="Calibri"/>
                <w:sz w:val="18"/>
                <w:szCs w:val="18"/>
                <w:lang w:eastAsia="sl-SI"/>
              </w:rPr>
            </w:pPr>
            <w:r w:rsidRPr="00972554">
              <w:rPr>
                <w:rFonts w:ascii="Calibri" w:hAnsi="Calibri"/>
                <w:sz w:val="18"/>
                <w:szCs w:val="18"/>
              </w:rPr>
              <w:t>4,10</w:t>
            </w:r>
          </w:p>
        </w:tc>
      </w:tr>
    </w:tbl>
    <w:p w:rsidR="004F573C" w:rsidRDefault="004F573C" w:rsidP="00296D16"/>
    <w:p w:rsidR="0014168C" w:rsidRDefault="0014168C" w:rsidP="0014168C">
      <w:pPr>
        <w:pStyle w:val="Heading2"/>
      </w:pPr>
      <w:bookmarkStart w:id="104" w:name="_Toc49771319"/>
      <w:r>
        <w:lastRenderedPageBreak/>
        <w:t>Analiza premoženja PPU občinskih proračunov</w:t>
      </w:r>
      <w:bookmarkEnd w:id="104"/>
    </w:p>
    <w:p w:rsidR="0014168C" w:rsidRPr="00A81C30" w:rsidRDefault="0014168C" w:rsidP="0014168C">
      <w:r>
        <w:rPr>
          <w:b/>
          <w:bCs/>
        </w:rPr>
        <w:t>Bilančna vsota premoženja P</w:t>
      </w:r>
      <w:r w:rsidRPr="00A81C30">
        <w:rPr>
          <w:b/>
          <w:bCs/>
        </w:rPr>
        <w:t xml:space="preserve">PU </w:t>
      </w:r>
      <w:r>
        <w:rPr>
          <w:b/>
          <w:bCs/>
        </w:rPr>
        <w:t>občinskih proračunov</w:t>
      </w:r>
      <w:r>
        <w:rPr>
          <w:bCs/>
        </w:rPr>
        <w:t xml:space="preserve"> (izračunana kot seštevek premoženjskih bilanc PPU občinskih proračunov</w:t>
      </w:r>
      <w:r w:rsidR="00501F85">
        <w:rPr>
          <w:bCs/>
        </w:rPr>
        <w:t xml:space="preserve"> po pobotu na prvi ravni</w:t>
      </w:r>
      <w:r>
        <w:rPr>
          <w:bCs/>
        </w:rPr>
        <w:t>)</w:t>
      </w:r>
      <w:r w:rsidRPr="00D37616">
        <w:rPr>
          <w:bCs/>
        </w:rPr>
        <w:t xml:space="preserve"> </w:t>
      </w:r>
      <w:r w:rsidRPr="00A81C30">
        <w:rPr>
          <w:b/>
          <w:bCs/>
        </w:rPr>
        <w:t>na dan 31.12.201</w:t>
      </w:r>
      <w:r w:rsidR="00382B0F">
        <w:rPr>
          <w:b/>
          <w:bCs/>
        </w:rPr>
        <w:t>8</w:t>
      </w:r>
      <w:r w:rsidRPr="00A81C30">
        <w:rPr>
          <w:b/>
          <w:bCs/>
        </w:rPr>
        <w:t xml:space="preserve"> znaša </w:t>
      </w:r>
      <w:r w:rsidR="00870953">
        <w:rPr>
          <w:b/>
          <w:bCs/>
        </w:rPr>
        <w:t>3</w:t>
      </w:r>
      <w:proofErr w:type="gramStart"/>
      <w:r w:rsidR="00870953">
        <w:rPr>
          <w:b/>
          <w:bCs/>
        </w:rPr>
        <w:t>,</w:t>
      </w:r>
      <w:r w:rsidR="00365DB9">
        <w:rPr>
          <w:b/>
          <w:bCs/>
        </w:rPr>
        <w:t>3</w:t>
      </w:r>
      <w:r w:rsidR="00382B0F">
        <w:rPr>
          <w:b/>
          <w:bCs/>
        </w:rPr>
        <w:t>8</w:t>
      </w:r>
      <w:proofErr w:type="gramEnd"/>
      <w:r w:rsidRPr="00A81C30">
        <w:rPr>
          <w:b/>
          <w:bCs/>
        </w:rPr>
        <w:t xml:space="preserve"> mrd.</w:t>
      </w:r>
      <w:r w:rsidR="00976B52">
        <w:rPr>
          <w:b/>
          <w:bCs/>
        </w:rPr>
        <w:t xml:space="preserve"> </w:t>
      </w:r>
      <w:r w:rsidR="00365DB9">
        <w:rPr>
          <w:b/>
          <w:bCs/>
        </w:rPr>
        <w:t>€</w:t>
      </w:r>
      <w:r w:rsidRPr="00D37616">
        <w:rPr>
          <w:b/>
          <w:bCs/>
        </w:rPr>
        <w:t xml:space="preserve"> </w:t>
      </w:r>
      <w:r>
        <w:rPr>
          <w:b/>
          <w:bCs/>
        </w:rPr>
        <w:t xml:space="preserve"> </w:t>
      </w:r>
      <w:r w:rsidRPr="00CD34E3">
        <w:rPr>
          <w:bCs/>
        </w:rPr>
        <w:t>in se je glede na stanje, izkazano na dan 31.12.201</w:t>
      </w:r>
      <w:r w:rsidR="00382B0F">
        <w:rPr>
          <w:bCs/>
        </w:rPr>
        <w:t>7</w:t>
      </w:r>
      <w:r w:rsidRPr="00CD34E3">
        <w:rPr>
          <w:bCs/>
        </w:rPr>
        <w:t>,</w:t>
      </w:r>
      <w:r w:rsidRPr="00D37616">
        <w:rPr>
          <w:b/>
          <w:bCs/>
        </w:rPr>
        <w:t xml:space="preserve"> </w:t>
      </w:r>
      <w:r w:rsidRPr="00A81C30">
        <w:rPr>
          <w:b/>
          <w:bCs/>
        </w:rPr>
        <w:t>v letu 201</w:t>
      </w:r>
      <w:r w:rsidR="00382B0F">
        <w:rPr>
          <w:b/>
          <w:bCs/>
        </w:rPr>
        <w:t>8</w:t>
      </w:r>
      <w:r w:rsidRPr="00A81C30">
        <w:rPr>
          <w:b/>
          <w:bCs/>
        </w:rPr>
        <w:t xml:space="preserve"> povečala za </w:t>
      </w:r>
      <w:r w:rsidR="00365DB9">
        <w:rPr>
          <w:b/>
          <w:bCs/>
        </w:rPr>
        <w:t>2,</w:t>
      </w:r>
      <w:r w:rsidR="00382B0F">
        <w:rPr>
          <w:b/>
          <w:bCs/>
        </w:rPr>
        <w:t>34</w:t>
      </w:r>
      <w:r w:rsidR="00365DB9">
        <w:rPr>
          <w:b/>
          <w:bCs/>
        </w:rPr>
        <w:t xml:space="preserve"> %</w:t>
      </w:r>
      <w:r w:rsidRPr="00A81C30">
        <w:rPr>
          <w:b/>
          <w:bCs/>
        </w:rPr>
        <w:t xml:space="preserve">  oziroma </w:t>
      </w:r>
      <w:r w:rsidR="00382B0F">
        <w:rPr>
          <w:b/>
          <w:bCs/>
        </w:rPr>
        <w:t>77</w:t>
      </w:r>
      <w:r w:rsidR="00365DB9">
        <w:rPr>
          <w:b/>
          <w:bCs/>
        </w:rPr>
        <w:t>,3</w:t>
      </w:r>
      <w:r>
        <w:rPr>
          <w:b/>
          <w:bCs/>
        </w:rPr>
        <w:t xml:space="preserve"> mio</w:t>
      </w:r>
      <w:r w:rsidRPr="00A81C30">
        <w:rPr>
          <w:b/>
          <w:bCs/>
        </w:rPr>
        <w:t>.</w:t>
      </w:r>
      <w:r w:rsidR="00870953">
        <w:rPr>
          <w:b/>
          <w:bCs/>
        </w:rPr>
        <w:t xml:space="preserve"> </w:t>
      </w:r>
      <w:r w:rsidR="00365DB9">
        <w:rPr>
          <w:b/>
          <w:bCs/>
        </w:rPr>
        <w:t>€</w:t>
      </w:r>
      <w:r w:rsidRPr="00A81C30">
        <w:rPr>
          <w:b/>
          <w:bCs/>
        </w:rPr>
        <w:t>.</w:t>
      </w:r>
    </w:p>
    <w:p w:rsidR="0014168C" w:rsidRDefault="0014168C" w:rsidP="00CD34E3">
      <w:pPr>
        <w:jc w:val="right"/>
      </w:pPr>
    </w:p>
    <w:p w:rsidR="0098351D" w:rsidRDefault="00367CF5" w:rsidP="0014168C">
      <w:r>
        <w:t>V skupino PPU občinskih proračunov se vključujejo javni zavodi, javni skladi in agencije</w:t>
      </w:r>
      <w:r w:rsidR="006252B3">
        <w:t xml:space="preserve"> ter </w:t>
      </w:r>
      <w:r w:rsidR="006252B3" w:rsidRPr="006252B3">
        <w:t>samoupravne narodnostne skupnosti</w:t>
      </w:r>
      <w:r w:rsidR="002C46A3">
        <w:t xml:space="preserve"> PPU občinskih proračunov</w:t>
      </w:r>
      <w:r w:rsidR="00233555">
        <w:t>, ki</w:t>
      </w:r>
      <w:r w:rsidR="002C46A3">
        <w:t xml:space="preserve"> so vpisani </w:t>
      </w:r>
      <w:proofErr w:type="gramStart"/>
      <w:r w:rsidR="002C46A3">
        <w:t>v register</w:t>
      </w:r>
      <w:proofErr w:type="gramEnd"/>
      <w:r w:rsidR="002C46A3">
        <w:t xml:space="preserve"> proračunskih uporabnikov, ki ga vodi UJP.</w:t>
      </w:r>
    </w:p>
    <w:p w:rsidR="0098351D" w:rsidRDefault="0098351D" w:rsidP="0014168C"/>
    <w:p w:rsidR="003E6898" w:rsidRDefault="0014168C" w:rsidP="0014168C">
      <w:pPr>
        <w:pStyle w:val="Caption"/>
      </w:pPr>
      <w:bookmarkStart w:id="105" w:name="_Toc49771342"/>
      <w:r>
        <w:t xml:space="preserve">Tabela </w:t>
      </w:r>
      <w:r>
        <w:fldChar w:fldCharType="begin"/>
      </w:r>
      <w:r>
        <w:instrText xml:space="preserve"> SEQ Tabela \* ARABIC </w:instrText>
      </w:r>
      <w:r>
        <w:fldChar w:fldCharType="separate"/>
      </w:r>
      <w:r w:rsidR="00CE55C4">
        <w:rPr>
          <w:noProof/>
        </w:rPr>
        <w:t>20</w:t>
      </w:r>
      <w:r>
        <w:fldChar w:fldCharType="end"/>
      </w:r>
      <w:r>
        <w:t xml:space="preserve">: Seštevki premoženja PPU občinskih proračunov </w:t>
      </w:r>
      <w:proofErr w:type="gramStart"/>
      <w:r>
        <w:t>na</w:t>
      </w:r>
      <w:proofErr w:type="gramEnd"/>
      <w:r>
        <w:t xml:space="preserve"> dan 31.12.201</w:t>
      </w:r>
      <w:r w:rsidR="00382B0F">
        <w:t>8</w:t>
      </w:r>
      <w:r>
        <w:t xml:space="preserve"> in na dan 31.12.201</w:t>
      </w:r>
      <w:r w:rsidR="00382B0F">
        <w:t>7</w:t>
      </w:r>
      <w:bookmarkEnd w:id="105"/>
    </w:p>
    <w:p w:rsidR="0014168C" w:rsidRDefault="0014168C" w:rsidP="0014168C"/>
    <w:tbl>
      <w:tblPr>
        <w:tblW w:w="51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43"/>
        <w:gridCol w:w="1557"/>
        <w:gridCol w:w="1557"/>
        <w:gridCol w:w="1274"/>
        <w:gridCol w:w="1135"/>
      </w:tblGrid>
      <w:tr w:rsidR="000A3D9F" w:rsidRPr="00972554" w:rsidTr="000A3D9F">
        <w:trPr>
          <w:trHeight w:val="300"/>
          <w:tblHeader/>
        </w:trPr>
        <w:tc>
          <w:tcPr>
            <w:tcW w:w="2113" w:type="pct"/>
            <w:shd w:val="pct25" w:color="auto" w:fill="auto"/>
            <w:noWrap/>
            <w:vAlign w:val="bottom"/>
          </w:tcPr>
          <w:p w:rsidR="000A3D9F" w:rsidRPr="00412299" w:rsidRDefault="000A3D9F" w:rsidP="00716B2A">
            <w:pPr>
              <w:spacing w:line="240" w:lineRule="auto"/>
              <w:jc w:val="left"/>
              <w:rPr>
                <w:rFonts w:ascii="Calibri" w:hAnsi="Calibri"/>
                <w:b/>
                <w:color w:val="000000"/>
                <w:sz w:val="18"/>
                <w:szCs w:val="18"/>
                <w:lang w:val="sl-SI" w:eastAsia="sl-SI"/>
              </w:rPr>
            </w:pPr>
          </w:p>
        </w:tc>
        <w:tc>
          <w:tcPr>
            <w:tcW w:w="814" w:type="pct"/>
            <w:shd w:val="pct25" w:color="auto" w:fill="auto"/>
            <w:noWrap/>
            <w:vAlign w:val="bottom"/>
          </w:tcPr>
          <w:p w:rsidR="000A3D9F" w:rsidRPr="00972554" w:rsidRDefault="000A3D9F" w:rsidP="00412299">
            <w:pPr>
              <w:spacing w:line="240" w:lineRule="auto"/>
              <w:jc w:val="center"/>
              <w:rPr>
                <w:rFonts w:ascii="Calibri" w:hAnsi="Calibri"/>
                <w:b/>
                <w:color w:val="000000"/>
                <w:sz w:val="18"/>
                <w:szCs w:val="18"/>
                <w:lang w:val="sl-SI" w:eastAsia="sl-SI"/>
              </w:rPr>
            </w:pPr>
            <w:r w:rsidRPr="00412299">
              <w:rPr>
                <w:rFonts w:ascii="Calibri" w:hAnsi="Calibri"/>
                <w:b/>
                <w:color w:val="000000"/>
                <w:sz w:val="18"/>
                <w:szCs w:val="18"/>
                <w:lang w:val="sl-SI" w:eastAsia="sl-SI"/>
              </w:rPr>
              <w:t>Stanje 31.12.201</w:t>
            </w:r>
            <w:r w:rsidR="00382B0F" w:rsidRPr="00116FC1">
              <w:rPr>
                <w:rFonts w:ascii="Calibri" w:hAnsi="Calibri"/>
                <w:b/>
                <w:color w:val="000000"/>
                <w:sz w:val="18"/>
                <w:szCs w:val="18"/>
                <w:lang w:val="sl-SI" w:eastAsia="sl-SI"/>
              </w:rPr>
              <w:t>8</w:t>
            </w:r>
          </w:p>
        </w:tc>
        <w:tc>
          <w:tcPr>
            <w:tcW w:w="814" w:type="pct"/>
            <w:shd w:val="pct25" w:color="auto" w:fill="auto"/>
            <w:noWrap/>
            <w:vAlign w:val="bottom"/>
          </w:tcPr>
          <w:p w:rsidR="000A3D9F" w:rsidRPr="00972554" w:rsidRDefault="000A3D9F" w:rsidP="00116FC1">
            <w:pPr>
              <w:spacing w:line="240" w:lineRule="auto"/>
              <w:jc w:val="center"/>
              <w:rPr>
                <w:rFonts w:ascii="Calibri" w:hAnsi="Calibri"/>
                <w:b/>
                <w:color w:val="000000"/>
                <w:sz w:val="18"/>
                <w:szCs w:val="18"/>
                <w:lang w:val="sl-SI" w:eastAsia="sl-SI"/>
              </w:rPr>
            </w:pPr>
            <w:r w:rsidRPr="00972554">
              <w:rPr>
                <w:rFonts w:ascii="Calibri" w:hAnsi="Calibri"/>
                <w:b/>
                <w:color w:val="000000"/>
                <w:sz w:val="18"/>
                <w:szCs w:val="18"/>
                <w:lang w:val="sl-SI" w:eastAsia="sl-SI"/>
              </w:rPr>
              <w:t>Stanje 31.12.201</w:t>
            </w:r>
            <w:r w:rsidR="00382B0F" w:rsidRPr="00972554">
              <w:rPr>
                <w:rFonts w:ascii="Calibri" w:hAnsi="Calibri"/>
                <w:b/>
                <w:color w:val="000000"/>
                <w:sz w:val="18"/>
                <w:szCs w:val="18"/>
                <w:lang w:val="sl-SI" w:eastAsia="sl-SI"/>
              </w:rPr>
              <w:t>7</w:t>
            </w:r>
          </w:p>
        </w:tc>
        <w:tc>
          <w:tcPr>
            <w:tcW w:w="666" w:type="pct"/>
            <w:shd w:val="pct25" w:color="auto" w:fill="auto"/>
            <w:noWrap/>
            <w:vAlign w:val="bottom"/>
          </w:tcPr>
          <w:p w:rsidR="000A3D9F" w:rsidRPr="00972554" w:rsidRDefault="000A3D9F" w:rsidP="00972554">
            <w:pPr>
              <w:spacing w:line="240" w:lineRule="auto"/>
              <w:jc w:val="center"/>
              <w:rPr>
                <w:rFonts w:ascii="Calibri" w:hAnsi="Calibri"/>
                <w:b/>
                <w:color w:val="000000"/>
                <w:sz w:val="18"/>
                <w:szCs w:val="18"/>
                <w:lang w:val="sl-SI" w:eastAsia="sl-SI"/>
              </w:rPr>
            </w:pPr>
            <w:r w:rsidRPr="00972554">
              <w:rPr>
                <w:rFonts w:ascii="Calibri" w:hAnsi="Calibri"/>
                <w:b/>
                <w:color w:val="000000"/>
                <w:sz w:val="18"/>
                <w:szCs w:val="18"/>
                <w:lang w:val="sl-SI" w:eastAsia="sl-SI"/>
              </w:rPr>
              <w:t>Indeks</w:t>
            </w:r>
            <w:r w:rsidRPr="00972554">
              <w:rPr>
                <w:rFonts w:ascii="Calibri" w:hAnsi="Calibri"/>
                <w:b/>
                <w:color w:val="000000"/>
                <w:sz w:val="18"/>
                <w:szCs w:val="18"/>
                <w:lang w:eastAsia="sl-SI"/>
              </w:rPr>
              <w:t xml:space="preserve"> 201</w:t>
            </w:r>
            <w:r w:rsidR="00382B0F" w:rsidRPr="00972554">
              <w:rPr>
                <w:rFonts w:ascii="Calibri" w:hAnsi="Calibri"/>
                <w:b/>
                <w:color w:val="000000"/>
                <w:sz w:val="18"/>
                <w:szCs w:val="18"/>
                <w:lang w:eastAsia="sl-SI"/>
              </w:rPr>
              <w:t>8</w:t>
            </w:r>
            <w:r w:rsidRPr="00972554">
              <w:rPr>
                <w:rFonts w:ascii="Calibri" w:hAnsi="Calibri"/>
                <w:b/>
                <w:color w:val="000000"/>
                <w:sz w:val="18"/>
                <w:szCs w:val="18"/>
                <w:lang w:eastAsia="sl-SI"/>
              </w:rPr>
              <w:t>/201</w:t>
            </w:r>
            <w:r w:rsidR="00382B0F" w:rsidRPr="00972554">
              <w:rPr>
                <w:rFonts w:ascii="Calibri" w:hAnsi="Calibri"/>
                <w:b/>
                <w:color w:val="000000"/>
                <w:sz w:val="18"/>
                <w:szCs w:val="18"/>
                <w:lang w:eastAsia="sl-SI"/>
              </w:rPr>
              <w:t>7</w:t>
            </w:r>
          </w:p>
        </w:tc>
        <w:tc>
          <w:tcPr>
            <w:tcW w:w="593" w:type="pct"/>
            <w:shd w:val="pct25" w:color="auto" w:fill="auto"/>
            <w:noWrap/>
            <w:vAlign w:val="bottom"/>
          </w:tcPr>
          <w:p w:rsidR="000A3D9F" w:rsidRPr="00972554" w:rsidRDefault="000A3D9F" w:rsidP="00972554">
            <w:pPr>
              <w:spacing w:line="240" w:lineRule="auto"/>
              <w:jc w:val="center"/>
              <w:rPr>
                <w:rFonts w:ascii="Calibri" w:hAnsi="Calibri"/>
                <w:b/>
                <w:color w:val="000000"/>
                <w:sz w:val="18"/>
                <w:szCs w:val="18"/>
                <w:lang w:val="sl-SI" w:eastAsia="sl-SI"/>
              </w:rPr>
            </w:pPr>
            <w:r w:rsidRPr="00972554">
              <w:rPr>
                <w:rFonts w:ascii="Calibri" w:hAnsi="Calibri"/>
                <w:b/>
                <w:color w:val="000000"/>
                <w:sz w:val="18"/>
                <w:szCs w:val="18"/>
                <w:lang w:val="sl-SI" w:eastAsia="sl-SI"/>
              </w:rPr>
              <w:t>Sprememba 201</w:t>
            </w:r>
            <w:r w:rsidR="00382B0F" w:rsidRPr="00972554">
              <w:rPr>
                <w:rFonts w:ascii="Calibri" w:hAnsi="Calibri"/>
                <w:b/>
                <w:color w:val="000000"/>
                <w:sz w:val="18"/>
                <w:szCs w:val="18"/>
                <w:lang w:val="sl-SI" w:eastAsia="sl-SI"/>
              </w:rPr>
              <w:t>8</w:t>
            </w:r>
            <w:r w:rsidRPr="00972554">
              <w:rPr>
                <w:rFonts w:ascii="Calibri" w:hAnsi="Calibri"/>
                <w:b/>
                <w:color w:val="000000"/>
                <w:sz w:val="18"/>
                <w:szCs w:val="18"/>
                <w:lang w:val="sl-SI" w:eastAsia="sl-SI"/>
              </w:rPr>
              <w:t>-201</w:t>
            </w:r>
            <w:r w:rsidR="00382B0F" w:rsidRPr="00972554">
              <w:rPr>
                <w:rFonts w:ascii="Calibri" w:hAnsi="Calibri"/>
                <w:b/>
                <w:color w:val="000000"/>
                <w:sz w:val="18"/>
                <w:szCs w:val="18"/>
                <w:lang w:val="sl-SI" w:eastAsia="sl-SI"/>
              </w:rPr>
              <w:t>7</w:t>
            </w:r>
          </w:p>
        </w:tc>
      </w:tr>
      <w:tr w:rsidR="000A3D9F" w:rsidRPr="00972554" w:rsidTr="000A3D9F">
        <w:trPr>
          <w:trHeight w:val="300"/>
          <w:tblHeader/>
        </w:trPr>
        <w:tc>
          <w:tcPr>
            <w:tcW w:w="2113" w:type="pct"/>
            <w:shd w:val="pct25" w:color="auto" w:fill="auto"/>
            <w:noWrap/>
            <w:vAlign w:val="bottom"/>
          </w:tcPr>
          <w:p w:rsidR="000A3D9F" w:rsidRPr="00412299" w:rsidRDefault="000A3D9F" w:rsidP="00716B2A">
            <w:pPr>
              <w:spacing w:line="240" w:lineRule="auto"/>
              <w:jc w:val="left"/>
              <w:rPr>
                <w:rFonts w:ascii="Calibri" w:hAnsi="Calibri"/>
                <w:b/>
                <w:color w:val="000000"/>
                <w:sz w:val="18"/>
                <w:szCs w:val="18"/>
                <w:lang w:val="sl-SI" w:eastAsia="sl-SI"/>
              </w:rPr>
            </w:pPr>
            <w:r w:rsidRPr="00412299">
              <w:rPr>
                <w:rFonts w:ascii="Calibri" w:hAnsi="Calibri"/>
                <w:b/>
                <w:color w:val="000000"/>
                <w:sz w:val="18"/>
                <w:szCs w:val="18"/>
                <w:lang w:val="sl-SI" w:eastAsia="sl-SI"/>
              </w:rPr>
              <w:t>Oznaka in naziv AOP</w:t>
            </w:r>
          </w:p>
        </w:tc>
        <w:tc>
          <w:tcPr>
            <w:tcW w:w="814" w:type="pct"/>
            <w:shd w:val="pct25" w:color="auto" w:fill="auto"/>
            <w:noWrap/>
            <w:vAlign w:val="bottom"/>
          </w:tcPr>
          <w:p w:rsidR="000A3D9F" w:rsidRPr="00972554" w:rsidRDefault="000A3D9F" w:rsidP="00716B2A">
            <w:pPr>
              <w:spacing w:line="240" w:lineRule="auto"/>
              <w:jc w:val="center"/>
              <w:rPr>
                <w:rFonts w:ascii="Calibri" w:hAnsi="Calibri"/>
                <w:b/>
                <w:color w:val="000000"/>
                <w:sz w:val="18"/>
                <w:szCs w:val="18"/>
                <w:lang w:val="sl-SI" w:eastAsia="sl-SI"/>
              </w:rPr>
            </w:pPr>
            <w:r w:rsidRPr="00116FC1">
              <w:rPr>
                <w:rFonts w:ascii="Calibri" w:hAnsi="Calibri"/>
                <w:b/>
                <w:color w:val="000000"/>
                <w:sz w:val="18"/>
                <w:szCs w:val="18"/>
                <w:lang w:val="sl-SI" w:eastAsia="sl-SI"/>
              </w:rPr>
              <w:t>(</w:t>
            </w:r>
            <w:r w:rsidR="00365DB9" w:rsidRPr="00116FC1">
              <w:rPr>
                <w:rFonts w:ascii="Calibri" w:hAnsi="Calibri"/>
                <w:b/>
                <w:color w:val="000000"/>
                <w:sz w:val="18"/>
                <w:szCs w:val="18"/>
                <w:lang w:val="sl-SI" w:eastAsia="sl-SI"/>
              </w:rPr>
              <w:t>€</w:t>
            </w:r>
            <w:r w:rsidRPr="00972554">
              <w:rPr>
                <w:rFonts w:ascii="Calibri" w:hAnsi="Calibri"/>
                <w:b/>
                <w:color w:val="000000"/>
                <w:sz w:val="18"/>
                <w:szCs w:val="18"/>
                <w:lang w:val="sl-SI" w:eastAsia="sl-SI"/>
              </w:rPr>
              <w:t>)</w:t>
            </w:r>
          </w:p>
        </w:tc>
        <w:tc>
          <w:tcPr>
            <w:tcW w:w="814" w:type="pct"/>
            <w:shd w:val="pct25" w:color="auto" w:fill="auto"/>
            <w:noWrap/>
            <w:vAlign w:val="bottom"/>
          </w:tcPr>
          <w:p w:rsidR="000A3D9F" w:rsidRPr="00972554" w:rsidRDefault="000A3D9F" w:rsidP="00716B2A">
            <w:pPr>
              <w:spacing w:line="240" w:lineRule="auto"/>
              <w:jc w:val="center"/>
              <w:rPr>
                <w:rFonts w:ascii="Calibri" w:hAnsi="Calibri"/>
                <w:b/>
                <w:color w:val="000000"/>
                <w:sz w:val="18"/>
                <w:szCs w:val="18"/>
                <w:lang w:val="sl-SI" w:eastAsia="sl-SI"/>
              </w:rPr>
            </w:pPr>
            <w:r w:rsidRPr="00972554">
              <w:rPr>
                <w:rFonts w:ascii="Calibri" w:hAnsi="Calibri"/>
                <w:b/>
                <w:color w:val="000000"/>
                <w:sz w:val="18"/>
                <w:szCs w:val="18"/>
                <w:lang w:val="sl-SI" w:eastAsia="sl-SI"/>
              </w:rPr>
              <w:t>(</w:t>
            </w:r>
            <w:r w:rsidR="00365DB9" w:rsidRPr="00972554">
              <w:rPr>
                <w:rFonts w:ascii="Calibri" w:hAnsi="Calibri"/>
                <w:b/>
                <w:color w:val="000000"/>
                <w:sz w:val="18"/>
                <w:szCs w:val="18"/>
                <w:lang w:val="sl-SI" w:eastAsia="sl-SI"/>
              </w:rPr>
              <w:t>€</w:t>
            </w:r>
            <w:r w:rsidRPr="00972554">
              <w:rPr>
                <w:rFonts w:ascii="Calibri" w:hAnsi="Calibri"/>
                <w:b/>
                <w:color w:val="000000"/>
                <w:sz w:val="18"/>
                <w:szCs w:val="18"/>
                <w:lang w:val="sl-SI" w:eastAsia="sl-SI"/>
              </w:rPr>
              <w:t>)</w:t>
            </w:r>
          </w:p>
        </w:tc>
        <w:tc>
          <w:tcPr>
            <w:tcW w:w="666" w:type="pct"/>
            <w:shd w:val="pct25" w:color="auto" w:fill="auto"/>
            <w:noWrap/>
            <w:vAlign w:val="bottom"/>
          </w:tcPr>
          <w:p w:rsidR="000A3D9F" w:rsidRPr="00972554" w:rsidRDefault="00365DB9" w:rsidP="00716B2A">
            <w:pPr>
              <w:spacing w:line="240" w:lineRule="auto"/>
              <w:jc w:val="center"/>
              <w:rPr>
                <w:rFonts w:ascii="Calibri" w:hAnsi="Calibri"/>
                <w:b/>
                <w:color w:val="000000"/>
                <w:sz w:val="18"/>
                <w:szCs w:val="18"/>
                <w:lang w:val="sl-SI" w:eastAsia="sl-SI"/>
              </w:rPr>
            </w:pPr>
            <w:r w:rsidRPr="00972554">
              <w:rPr>
                <w:rFonts w:ascii="Calibri" w:hAnsi="Calibri"/>
                <w:b/>
                <w:color w:val="000000"/>
                <w:sz w:val="18"/>
                <w:szCs w:val="18"/>
                <w:lang w:val="sl-SI" w:eastAsia="sl-SI"/>
              </w:rPr>
              <w:t>%</w:t>
            </w:r>
          </w:p>
        </w:tc>
        <w:tc>
          <w:tcPr>
            <w:tcW w:w="593" w:type="pct"/>
            <w:shd w:val="pct25" w:color="auto" w:fill="auto"/>
            <w:noWrap/>
            <w:vAlign w:val="bottom"/>
          </w:tcPr>
          <w:p w:rsidR="000A3D9F" w:rsidRPr="00972554" w:rsidRDefault="0053047D" w:rsidP="006932B0">
            <w:pPr>
              <w:spacing w:line="240" w:lineRule="auto"/>
              <w:jc w:val="center"/>
              <w:rPr>
                <w:rFonts w:ascii="Calibri" w:hAnsi="Calibri"/>
                <w:b/>
                <w:color w:val="000000"/>
                <w:sz w:val="18"/>
                <w:szCs w:val="18"/>
                <w:lang w:val="sl-SI" w:eastAsia="sl-SI"/>
              </w:rPr>
            </w:pPr>
            <w:r w:rsidRPr="00972554">
              <w:rPr>
                <w:rFonts w:ascii="Calibri" w:hAnsi="Calibri"/>
                <w:b/>
                <w:color w:val="000000"/>
                <w:sz w:val="18"/>
                <w:szCs w:val="18"/>
                <w:lang w:val="sl-SI" w:eastAsia="sl-SI"/>
              </w:rPr>
              <w:t>(</w:t>
            </w:r>
            <w:r w:rsidR="00365DB9" w:rsidRPr="00972554">
              <w:rPr>
                <w:rFonts w:ascii="Calibri" w:hAnsi="Calibri"/>
                <w:b/>
                <w:color w:val="000000"/>
                <w:sz w:val="18"/>
                <w:szCs w:val="18"/>
                <w:lang w:val="sl-SI" w:eastAsia="sl-SI"/>
              </w:rPr>
              <w:t>%</w:t>
            </w:r>
            <w:r w:rsidRPr="00972554">
              <w:rPr>
                <w:rFonts w:ascii="Calibri" w:hAnsi="Calibri"/>
                <w:b/>
                <w:color w:val="000000"/>
                <w:sz w:val="18"/>
                <w:szCs w:val="18"/>
                <w:lang w:val="sl-SI" w:eastAsia="sl-SI"/>
              </w:rPr>
              <w:t>)</w:t>
            </w:r>
          </w:p>
        </w:tc>
      </w:tr>
      <w:tr w:rsidR="000A3D9F" w:rsidRPr="00972554" w:rsidTr="000A3D9F">
        <w:trPr>
          <w:trHeight w:val="300"/>
          <w:tblHeader/>
        </w:trPr>
        <w:tc>
          <w:tcPr>
            <w:tcW w:w="2113" w:type="pct"/>
            <w:shd w:val="pct25" w:color="auto" w:fill="auto"/>
            <w:noWrap/>
            <w:vAlign w:val="bottom"/>
          </w:tcPr>
          <w:p w:rsidR="000A3D9F" w:rsidRPr="00412299" w:rsidRDefault="000A3D9F" w:rsidP="00716B2A">
            <w:pPr>
              <w:spacing w:line="240" w:lineRule="auto"/>
              <w:jc w:val="center"/>
              <w:rPr>
                <w:rFonts w:ascii="Calibri" w:hAnsi="Calibri"/>
                <w:b/>
                <w:color w:val="000000"/>
                <w:sz w:val="18"/>
                <w:szCs w:val="18"/>
                <w:lang w:val="sl-SI" w:eastAsia="sl-SI"/>
              </w:rPr>
            </w:pPr>
            <w:r w:rsidRPr="00412299">
              <w:rPr>
                <w:rFonts w:ascii="Calibri" w:hAnsi="Calibri"/>
                <w:b/>
                <w:color w:val="000000"/>
                <w:sz w:val="18"/>
                <w:szCs w:val="18"/>
                <w:lang w:val="sl-SI" w:eastAsia="sl-SI"/>
              </w:rPr>
              <w:t>1</w:t>
            </w:r>
          </w:p>
        </w:tc>
        <w:tc>
          <w:tcPr>
            <w:tcW w:w="814" w:type="pct"/>
            <w:shd w:val="pct25" w:color="auto" w:fill="auto"/>
            <w:noWrap/>
            <w:vAlign w:val="bottom"/>
          </w:tcPr>
          <w:p w:rsidR="000A3D9F" w:rsidRPr="00116FC1" w:rsidRDefault="000A3D9F" w:rsidP="00716B2A">
            <w:pPr>
              <w:spacing w:line="240" w:lineRule="auto"/>
              <w:jc w:val="center"/>
              <w:rPr>
                <w:rFonts w:ascii="Calibri" w:hAnsi="Calibri"/>
                <w:b/>
                <w:color w:val="000000"/>
                <w:sz w:val="18"/>
                <w:szCs w:val="18"/>
                <w:lang w:val="sl-SI" w:eastAsia="sl-SI"/>
              </w:rPr>
            </w:pPr>
            <w:r w:rsidRPr="00116FC1">
              <w:rPr>
                <w:rFonts w:ascii="Calibri" w:hAnsi="Calibri"/>
                <w:b/>
                <w:color w:val="000000"/>
                <w:sz w:val="18"/>
                <w:szCs w:val="18"/>
                <w:lang w:val="sl-SI" w:eastAsia="sl-SI"/>
              </w:rPr>
              <w:t>2</w:t>
            </w:r>
          </w:p>
        </w:tc>
        <w:tc>
          <w:tcPr>
            <w:tcW w:w="814" w:type="pct"/>
            <w:shd w:val="pct25" w:color="auto" w:fill="auto"/>
            <w:noWrap/>
            <w:vAlign w:val="bottom"/>
          </w:tcPr>
          <w:p w:rsidR="000A3D9F" w:rsidRPr="00972554" w:rsidRDefault="000A3D9F" w:rsidP="00716B2A">
            <w:pPr>
              <w:spacing w:line="240" w:lineRule="auto"/>
              <w:jc w:val="center"/>
              <w:rPr>
                <w:rFonts w:ascii="Calibri" w:hAnsi="Calibri"/>
                <w:b/>
                <w:color w:val="000000"/>
                <w:sz w:val="18"/>
                <w:szCs w:val="18"/>
                <w:lang w:val="sl-SI" w:eastAsia="sl-SI"/>
              </w:rPr>
            </w:pPr>
            <w:r w:rsidRPr="00972554">
              <w:rPr>
                <w:rFonts w:ascii="Calibri" w:hAnsi="Calibri"/>
                <w:b/>
                <w:color w:val="000000"/>
                <w:sz w:val="18"/>
                <w:szCs w:val="18"/>
                <w:lang w:val="sl-SI" w:eastAsia="sl-SI"/>
              </w:rPr>
              <w:t>3</w:t>
            </w:r>
          </w:p>
        </w:tc>
        <w:tc>
          <w:tcPr>
            <w:tcW w:w="666" w:type="pct"/>
            <w:shd w:val="pct25" w:color="auto" w:fill="auto"/>
            <w:noWrap/>
            <w:vAlign w:val="bottom"/>
          </w:tcPr>
          <w:p w:rsidR="000A3D9F" w:rsidRPr="00972554" w:rsidRDefault="000A3D9F" w:rsidP="00716B2A">
            <w:pPr>
              <w:spacing w:line="240" w:lineRule="auto"/>
              <w:jc w:val="center"/>
              <w:rPr>
                <w:rFonts w:ascii="Calibri" w:hAnsi="Calibri"/>
                <w:b/>
                <w:color w:val="000000"/>
                <w:sz w:val="18"/>
                <w:szCs w:val="18"/>
                <w:lang w:val="sl-SI" w:eastAsia="sl-SI"/>
              </w:rPr>
            </w:pPr>
            <w:r w:rsidRPr="00972554">
              <w:rPr>
                <w:rFonts w:ascii="Calibri" w:hAnsi="Calibri"/>
                <w:b/>
                <w:color w:val="000000"/>
                <w:sz w:val="18"/>
                <w:szCs w:val="18"/>
                <w:lang w:val="sl-SI" w:eastAsia="sl-SI"/>
              </w:rPr>
              <w:t>4=2/3</w:t>
            </w:r>
          </w:p>
        </w:tc>
        <w:tc>
          <w:tcPr>
            <w:tcW w:w="593" w:type="pct"/>
            <w:shd w:val="pct25" w:color="auto" w:fill="auto"/>
            <w:noWrap/>
            <w:vAlign w:val="bottom"/>
          </w:tcPr>
          <w:p w:rsidR="000A3D9F" w:rsidRPr="00972554" w:rsidRDefault="000A3D9F" w:rsidP="00716B2A">
            <w:pPr>
              <w:spacing w:line="240" w:lineRule="auto"/>
              <w:jc w:val="center"/>
              <w:rPr>
                <w:rFonts w:ascii="Calibri" w:hAnsi="Calibri"/>
                <w:b/>
                <w:color w:val="000000"/>
                <w:sz w:val="18"/>
                <w:szCs w:val="18"/>
                <w:lang w:val="sl-SI" w:eastAsia="sl-SI"/>
              </w:rPr>
            </w:pPr>
            <w:r w:rsidRPr="00972554">
              <w:rPr>
                <w:rFonts w:ascii="Calibri" w:hAnsi="Calibri"/>
                <w:b/>
                <w:color w:val="000000"/>
                <w:sz w:val="18"/>
                <w:szCs w:val="18"/>
                <w:lang w:val="sl-SI" w:eastAsia="sl-SI"/>
              </w:rPr>
              <w:t>5=2-3</w:t>
            </w:r>
          </w:p>
        </w:tc>
      </w:tr>
      <w:tr w:rsidR="00382B0F" w:rsidRPr="00972554" w:rsidTr="00972554">
        <w:trPr>
          <w:trHeight w:val="300"/>
        </w:trPr>
        <w:tc>
          <w:tcPr>
            <w:tcW w:w="2113" w:type="pct"/>
            <w:shd w:val="clear" w:color="auto" w:fill="auto"/>
            <w:noWrap/>
            <w:vAlign w:val="bottom"/>
            <w:hideMark/>
          </w:tcPr>
          <w:p w:rsidR="00382B0F" w:rsidRPr="00116FC1" w:rsidRDefault="00382B0F" w:rsidP="00716B2A">
            <w:pPr>
              <w:spacing w:line="240" w:lineRule="auto"/>
              <w:rPr>
                <w:rFonts w:ascii="Calibri" w:hAnsi="Calibri"/>
                <w:color w:val="000000"/>
                <w:sz w:val="18"/>
                <w:szCs w:val="18"/>
                <w:lang w:eastAsia="sl-SI"/>
              </w:rPr>
            </w:pPr>
            <w:r w:rsidRPr="00412299">
              <w:rPr>
                <w:rFonts w:ascii="Calibri" w:hAnsi="Calibri"/>
                <w:color w:val="000000"/>
                <w:sz w:val="18"/>
                <w:szCs w:val="18"/>
                <w:lang w:eastAsia="sl-SI"/>
              </w:rPr>
              <w:t>200-Sedanja vrednost</w:t>
            </w:r>
            <w:r w:rsidRPr="00116FC1">
              <w:rPr>
                <w:rFonts w:ascii="Calibri" w:hAnsi="Calibri"/>
                <w:color w:val="000000"/>
                <w:sz w:val="18"/>
                <w:szCs w:val="18"/>
                <w:lang w:eastAsia="sl-SI"/>
              </w:rPr>
              <w:t xml:space="preserve"> neopredmetenih sredstev in dolgoročnih aktivnih časovnih razmejitev</w:t>
            </w:r>
          </w:p>
        </w:tc>
        <w:tc>
          <w:tcPr>
            <w:tcW w:w="814" w:type="pct"/>
            <w:shd w:val="clear" w:color="auto" w:fill="auto"/>
            <w:noWrap/>
            <w:vAlign w:val="bottom"/>
            <w:hideMark/>
          </w:tcPr>
          <w:p w:rsidR="00382B0F" w:rsidRPr="00116FC1" w:rsidRDefault="00382B0F"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11.089.116 </w:t>
            </w:r>
          </w:p>
        </w:tc>
        <w:tc>
          <w:tcPr>
            <w:tcW w:w="814" w:type="pct"/>
            <w:shd w:val="clear" w:color="auto" w:fill="auto"/>
            <w:noWrap/>
            <w:vAlign w:val="bottom"/>
            <w:hideMark/>
          </w:tcPr>
          <w:p w:rsidR="00382B0F" w:rsidRPr="00972554" w:rsidRDefault="00382B0F" w:rsidP="00716B2A">
            <w:pPr>
              <w:spacing w:line="240" w:lineRule="auto"/>
              <w:jc w:val="right"/>
              <w:rPr>
                <w:rFonts w:ascii="Calibri" w:hAnsi="Calibri"/>
                <w:color w:val="000000"/>
                <w:sz w:val="18"/>
                <w:szCs w:val="18"/>
                <w:lang w:eastAsia="sl-SI"/>
              </w:rPr>
            </w:pPr>
            <w:r w:rsidRPr="00972554">
              <w:rPr>
                <w:rFonts w:ascii="Calibri" w:hAnsi="Calibri" w:cs="Calibri"/>
                <w:color w:val="000000"/>
                <w:sz w:val="18"/>
                <w:szCs w:val="18"/>
                <w:lang w:val="sl-SI" w:eastAsia="sl-SI"/>
              </w:rPr>
              <w:t xml:space="preserve">10.146.289 </w:t>
            </w:r>
          </w:p>
        </w:tc>
        <w:tc>
          <w:tcPr>
            <w:tcW w:w="666" w:type="pct"/>
            <w:shd w:val="clear" w:color="auto" w:fill="auto"/>
            <w:noWrap/>
            <w:vAlign w:val="bottom"/>
            <w:hideMark/>
          </w:tcPr>
          <w:p w:rsidR="00382B0F" w:rsidRPr="00116FC1" w:rsidRDefault="00382B0F" w:rsidP="00412299">
            <w:pPr>
              <w:spacing w:line="240" w:lineRule="auto"/>
              <w:jc w:val="right"/>
              <w:rPr>
                <w:rFonts w:ascii="Calibri" w:hAnsi="Calibri"/>
                <w:color w:val="000000"/>
                <w:sz w:val="18"/>
                <w:szCs w:val="18"/>
                <w:lang w:eastAsia="sl-SI"/>
              </w:rPr>
            </w:pPr>
            <w:r w:rsidRPr="00972554">
              <w:rPr>
                <w:rFonts w:ascii="Calibri" w:hAnsi="Calibri"/>
                <w:sz w:val="18"/>
                <w:szCs w:val="18"/>
              </w:rPr>
              <w:t>109,29</w:t>
            </w:r>
          </w:p>
        </w:tc>
        <w:tc>
          <w:tcPr>
            <w:tcW w:w="593" w:type="pct"/>
            <w:shd w:val="clear" w:color="auto" w:fill="auto"/>
            <w:noWrap/>
            <w:vAlign w:val="bottom"/>
            <w:hideMark/>
          </w:tcPr>
          <w:p w:rsidR="00382B0F" w:rsidRPr="00116FC1" w:rsidRDefault="00382B0F" w:rsidP="00116FC1">
            <w:pPr>
              <w:spacing w:line="240" w:lineRule="auto"/>
              <w:jc w:val="right"/>
              <w:rPr>
                <w:rFonts w:ascii="Calibri" w:hAnsi="Calibri"/>
                <w:color w:val="000000"/>
                <w:sz w:val="18"/>
                <w:szCs w:val="18"/>
                <w:lang w:eastAsia="sl-SI"/>
              </w:rPr>
            </w:pPr>
            <w:r w:rsidRPr="00972554">
              <w:rPr>
                <w:rFonts w:ascii="Calibri" w:hAnsi="Calibri"/>
                <w:sz w:val="18"/>
                <w:szCs w:val="18"/>
              </w:rPr>
              <w:t xml:space="preserve">942.827 </w:t>
            </w:r>
          </w:p>
        </w:tc>
      </w:tr>
      <w:tr w:rsidR="00382B0F" w:rsidRPr="00972554" w:rsidTr="00972554">
        <w:trPr>
          <w:trHeight w:val="300"/>
        </w:trPr>
        <w:tc>
          <w:tcPr>
            <w:tcW w:w="2113" w:type="pct"/>
            <w:shd w:val="clear" w:color="auto" w:fill="auto"/>
            <w:noWrap/>
            <w:vAlign w:val="bottom"/>
            <w:hideMark/>
          </w:tcPr>
          <w:p w:rsidR="00382B0F" w:rsidRPr="00412299" w:rsidRDefault="00382B0F" w:rsidP="00716B2A">
            <w:pPr>
              <w:spacing w:line="240" w:lineRule="auto"/>
              <w:rPr>
                <w:rFonts w:ascii="Calibri" w:hAnsi="Calibri"/>
                <w:color w:val="000000"/>
                <w:sz w:val="18"/>
                <w:szCs w:val="18"/>
                <w:lang w:eastAsia="sl-SI"/>
              </w:rPr>
            </w:pPr>
            <w:r w:rsidRPr="00412299">
              <w:rPr>
                <w:rFonts w:ascii="Calibri" w:hAnsi="Calibri"/>
                <w:color w:val="000000"/>
                <w:sz w:val="18"/>
                <w:szCs w:val="18"/>
                <w:lang w:eastAsia="sl-SI"/>
              </w:rPr>
              <w:t>201-Nabavna vrednost neopredmetenih sredstev in dolgoročnih aktivnih časovnih razmejitev</w:t>
            </w:r>
          </w:p>
        </w:tc>
        <w:tc>
          <w:tcPr>
            <w:tcW w:w="814" w:type="pct"/>
            <w:shd w:val="clear" w:color="auto" w:fill="auto"/>
            <w:noWrap/>
            <w:vAlign w:val="bottom"/>
            <w:hideMark/>
          </w:tcPr>
          <w:p w:rsidR="00382B0F" w:rsidRPr="00972554" w:rsidRDefault="00382B0F"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35.844.063 </w:t>
            </w:r>
          </w:p>
        </w:tc>
        <w:tc>
          <w:tcPr>
            <w:tcW w:w="814" w:type="pct"/>
            <w:shd w:val="clear" w:color="auto" w:fill="auto"/>
            <w:noWrap/>
            <w:vAlign w:val="bottom"/>
            <w:hideMark/>
          </w:tcPr>
          <w:p w:rsidR="00382B0F" w:rsidRPr="00972554" w:rsidRDefault="00382B0F" w:rsidP="00716B2A">
            <w:pPr>
              <w:spacing w:line="240" w:lineRule="auto"/>
              <w:jc w:val="right"/>
              <w:rPr>
                <w:rFonts w:ascii="Calibri" w:hAnsi="Calibri"/>
                <w:color w:val="000000"/>
                <w:sz w:val="18"/>
                <w:szCs w:val="18"/>
                <w:lang w:eastAsia="sl-SI"/>
              </w:rPr>
            </w:pPr>
            <w:r w:rsidRPr="00972554">
              <w:rPr>
                <w:rFonts w:ascii="Calibri" w:hAnsi="Calibri" w:cs="Calibri"/>
                <w:color w:val="000000"/>
                <w:sz w:val="18"/>
                <w:szCs w:val="18"/>
                <w:lang w:val="sl-SI" w:eastAsia="sl-SI"/>
              </w:rPr>
              <w:t xml:space="preserve">33.442.616 </w:t>
            </w:r>
          </w:p>
        </w:tc>
        <w:tc>
          <w:tcPr>
            <w:tcW w:w="666" w:type="pct"/>
            <w:shd w:val="clear" w:color="auto" w:fill="auto"/>
            <w:noWrap/>
            <w:vAlign w:val="bottom"/>
            <w:hideMark/>
          </w:tcPr>
          <w:p w:rsidR="00382B0F" w:rsidRPr="00116FC1" w:rsidRDefault="00382B0F" w:rsidP="00412299">
            <w:pPr>
              <w:spacing w:line="240" w:lineRule="auto"/>
              <w:jc w:val="right"/>
              <w:rPr>
                <w:rFonts w:ascii="Calibri" w:hAnsi="Calibri"/>
                <w:color w:val="000000"/>
                <w:sz w:val="18"/>
                <w:szCs w:val="18"/>
                <w:lang w:eastAsia="sl-SI"/>
              </w:rPr>
            </w:pPr>
            <w:r w:rsidRPr="00972554">
              <w:rPr>
                <w:rFonts w:ascii="Calibri" w:hAnsi="Calibri"/>
                <w:sz w:val="18"/>
                <w:szCs w:val="18"/>
              </w:rPr>
              <w:t>107,18</w:t>
            </w:r>
          </w:p>
        </w:tc>
        <w:tc>
          <w:tcPr>
            <w:tcW w:w="593" w:type="pct"/>
            <w:shd w:val="clear" w:color="auto" w:fill="auto"/>
            <w:noWrap/>
            <w:vAlign w:val="bottom"/>
            <w:hideMark/>
          </w:tcPr>
          <w:p w:rsidR="00382B0F" w:rsidRPr="00116FC1" w:rsidRDefault="00382B0F" w:rsidP="00116FC1">
            <w:pPr>
              <w:spacing w:line="240" w:lineRule="auto"/>
              <w:jc w:val="right"/>
              <w:rPr>
                <w:rFonts w:ascii="Calibri" w:hAnsi="Calibri"/>
                <w:color w:val="000000"/>
                <w:sz w:val="18"/>
                <w:szCs w:val="18"/>
                <w:lang w:eastAsia="sl-SI"/>
              </w:rPr>
            </w:pPr>
            <w:r w:rsidRPr="00972554">
              <w:rPr>
                <w:rFonts w:ascii="Calibri" w:hAnsi="Calibri"/>
                <w:sz w:val="18"/>
                <w:szCs w:val="18"/>
              </w:rPr>
              <w:t xml:space="preserve">2.401.447 </w:t>
            </w:r>
          </w:p>
        </w:tc>
      </w:tr>
      <w:tr w:rsidR="00382B0F" w:rsidRPr="00972554" w:rsidTr="00972554">
        <w:trPr>
          <w:trHeight w:val="300"/>
        </w:trPr>
        <w:tc>
          <w:tcPr>
            <w:tcW w:w="2113" w:type="pct"/>
            <w:shd w:val="clear" w:color="auto" w:fill="auto"/>
            <w:noWrap/>
            <w:vAlign w:val="bottom"/>
            <w:hideMark/>
          </w:tcPr>
          <w:p w:rsidR="00382B0F" w:rsidRPr="00412299" w:rsidRDefault="00382B0F" w:rsidP="00716B2A">
            <w:pPr>
              <w:spacing w:line="240" w:lineRule="auto"/>
              <w:rPr>
                <w:rFonts w:ascii="Calibri" w:hAnsi="Calibri"/>
                <w:color w:val="000000"/>
                <w:sz w:val="18"/>
                <w:szCs w:val="18"/>
                <w:lang w:eastAsia="sl-SI"/>
              </w:rPr>
            </w:pPr>
            <w:r w:rsidRPr="00412299">
              <w:rPr>
                <w:rFonts w:ascii="Calibri" w:hAnsi="Calibri"/>
                <w:color w:val="000000"/>
                <w:sz w:val="18"/>
                <w:szCs w:val="18"/>
                <w:lang w:eastAsia="sl-SI"/>
              </w:rPr>
              <w:t>202-Popravki vrednosti neopredmetenih sredstev</w:t>
            </w:r>
          </w:p>
        </w:tc>
        <w:tc>
          <w:tcPr>
            <w:tcW w:w="814" w:type="pct"/>
            <w:shd w:val="clear" w:color="auto" w:fill="auto"/>
            <w:noWrap/>
            <w:vAlign w:val="bottom"/>
            <w:hideMark/>
          </w:tcPr>
          <w:p w:rsidR="00382B0F" w:rsidRPr="00116FC1" w:rsidRDefault="00382B0F"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24.754.947 </w:t>
            </w:r>
          </w:p>
        </w:tc>
        <w:tc>
          <w:tcPr>
            <w:tcW w:w="814" w:type="pct"/>
            <w:shd w:val="clear" w:color="auto" w:fill="auto"/>
            <w:noWrap/>
            <w:vAlign w:val="bottom"/>
            <w:hideMark/>
          </w:tcPr>
          <w:p w:rsidR="00382B0F" w:rsidRPr="00972554" w:rsidRDefault="00382B0F" w:rsidP="00716B2A">
            <w:pPr>
              <w:spacing w:line="240" w:lineRule="auto"/>
              <w:jc w:val="right"/>
              <w:rPr>
                <w:rFonts w:ascii="Calibri" w:hAnsi="Calibri"/>
                <w:color w:val="000000"/>
                <w:sz w:val="18"/>
                <w:szCs w:val="18"/>
                <w:lang w:eastAsia="sl-SI"/>
              </w:rPr>
            </w:pPr>
            <w:r w:rsidRPr="00972554">
              <w:rPr>
                <w:rFonts w:ascii="Calibri" w:hAnsi="Calibri" w:cs="Calibri"/>
                <w:color w:val="000000"/>
                <w:sz w:val="18"/>
                <w:szCs w:val="18"/>
                <w:lang w:val="sl-SI" w:eastAsia="sl-SI"/>
              </w:rPr>
              <w:t xml:space="preserve">23.296.327 </w:t>
            </w:r>
          </w:p>
        </w:tc>
        <w:tc>
          <w:tcPr>
            <w:tcW w:w="666" w:type="pct"/>
            <w:shd w:val="clear" w:color="auto" w:fill="auto"/>
            <w:noWrap/>
            <w:vAlign w:val="bottom"/>
            <w:hideMark/>
          </w:tcPr>
          <w:p w:rsidR="00382B0F" w:rsidRPr="00116FC1" w:rsidRDefault="00382B0F" w:rsidP="00412299">
            <w:pPr>
              <w:spacing w:line="240" w:lineRule="auto"/>
              <w:jc w:val="right"/>
              <w:rPr>
                <w:rFonts w:ascii="Calibri" w:hAnsi="Calibri"/>
                <w:color w:val="000000"/>
                <w:sz w:val="18"/>
                <w:szCs w:val="18"/>
                <w:lang w:eastAsia="sl-SI"/>
              </w:rPr>
            </w:pPr>
            <w:r w:rsidRPr="00972554">
              <w:rPr>
                <w:rFonts w:ascii="Calibri" w:hAnsi="Calibri"/>
                <w:sz w:val="18"/>
                <w:szCs w:val="18"/>
              </w:rPr>
              <w:t>106,26</w:t>
            </w:r>
          </w:p>
        </w:tc>
        <w:tc>
          <w:tcPr>
            <w:tcW w:w="593" w:type="pct"/>
            <w:shd w:val="clear" w:color="auto" w:fill="auto"/>
            <w:noWrap/>
            <w:vAlign w:val="bottom"/>
            <w:hideMark/>
          </w:tcPr>
          <w:p w:rsidR="00382B0F" w:rsidRPr="00116FC1" w:rsidRDefault="00382B0F" w:rsidP="00116FC1">
            <w:pPr>
              <w:spacing w:line="240" w:lineRule="auto"/>
              <w:jc w:val="right"/>
              <w:rPr>
                <w:rFonts w:ascii="Calibri" w:hAnsi="Calibri"/>
                <w:color w:val="000000"/>
                <w:sz w:val="18"/>
                <w:szCs w:val="18"/>
                <w:lang w:eastAsia="sl-SI"/>
              </w:rPr>
            </w:pPr>
            <w:r w:rsidRPr="00972554">
              <w:rPr>
                <w:rFonts w:ascii="Calibri" w:hAnsi="Calibri"/>
                <w:sz w:val="18"/>
                <w:szCs w:val="18"/>
              </w:rPr>
              <w:t xml:space="preserve">1.458.620 </w:t>
            </w:r>
          </w:p>
        </w:tc>
      </w:tr>
      <w:tr w:rsidR="00382B0F" w:rsidRPr="00972554" w:rsidTr="00972554">
        <w:trPr>
          <w:trHeight w:val="300"/>
        </w:trPr>
        <w:tc>
          <w:tcPr>
            <w:tcW w:w="2113" w:type="pct"/>
            <w:shd w:val="clear" w:color="auto" w:fill="auto"/>
            <w:noWrap/>
            <w:vAlign w:val="bottom"/>
            <w:hideMark/>
          </w:tcPr>
          <w:p w:rsidR="00382B0F" w:rsidRPr="00412299" w:rsidRDefault="00382B0F" w:rsidP="00716B2A">
            <w:pPr>
              <w:spacing w:line="240" w:lineRule="auto"/>
              <w:rPr>
                <w:rFonts w:ascii="Calibri" w:hAnsi="Calibri"/>
                <w:color w:val="000000"/>
                <w:sz w:val="18"/>
                <w:szCs w:val="18"/>
                <w:lang w:eastAsia="sl-SI"/>
              </w:rPr>
            </w:pPr>
            <w:r w:rsidRPr="00412299">
              <w:rPr>
                <w:rFonts w:ascii="Calibri" w:hAnsi="Calibri"/>
                <w:color w:val="000000"/>
                <w:sz w:val="18"/>
                <w:szCs w:val="18"/>
                <w:lang w:eastAsia="sl-SI"/>
              </w:rPr>
              <w:t>203-Sedanja vrednost nepremičnin</w:t>
            </w:r>
          </w:p>
        </w:tc>
        <w:tc>
          <w:tcPr>
            <w:tcW w:w="814" w:type="pct"/>
            <w:shd w:val="clear" w:color="auto" w:fill="auto"/>
            <w:noWrap/>
            <w:vAlign w:val="bottom"/>
            <w:hideMark/>
          </w:tcPr>
          <w:p w:rsidR="00382B0F" w:rsidRPr="00116FC1" w:rsidRDefault="00382B0F"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2.810.079.658 </w:t>
            </w:r>
          </w:p>
        </w:tc>
        <w:tc>
          <w:tcPr>
            <w:tcW w:w="814" w:type="pct"/>
            <w:shd w:val="clear" w:color="auto" w:fill="auto"/>
            <w:noWrap/>
            <w:vAlign w:val="bottom"/>
            <w:hideMark/>
          </w:tcPr>
          <w:p w:rsidR="00382B0F" w:rsidRPr="00972554" w:rsidRDefault="00382B0F" w:rsidP="00716B2A">
            <w:pPr>
              <w:spacing w:line="240" w:lineRule="auto"/>
              <w:jc w:val="right"/>
              <w:rPr>
                <w:rFonts w:ascii="Calibri" w:hAnsi="Calibri"/>
                <w:color w:val="000000"/>
                <w:sz w:val="18"/>
                <w:szCs w:val="18"/>
                <w:lang w:eastAsia="sl-SI"/>
              </w:rPr>
            </w:pPr>
            <w:r w:rsidRPr="00972554">
              <w:rPr>
                <w:rFonts w:ascii="Calibri" w:hAnsi="Calibri" w:cs="Calibri"/>
                <w:color w:val="000000"/>
                <w:sz w:val="18"/>
                <w:szCs w:val="18"/>
                <w:lang w:val="sl-SI" w:eastAsia="sl-SI"/>
              </w:rPr>
              <w:t xml:space="preserve">2.753.371.766 </w:t>
            </w:r>
          </w:p>
        </w:tc>
        <w:tc>
          <w:tcPr>
            <w:tcW w:w="666" w:type="pct"/>
            <w:shd w:val="clear" w:color="auto" w:fill="auto"/>
            <w:noWrap/>
            <w:vAlign w:val="bottom"/>
            <w:hideMark/>
          </w:tcPr>
          <w:p w:rsidR="00382B0F" w:rsidRPr="00116FC1" w:rsidRDefault="00382B0F" w:rsidP="00412299">
            <w:pPr>
              <w:spacing w:line="240" w:lineRule="auto"/>
              <w:jc w:val="right"/>
              <w:rPr>
                <w:rFonts w:ascii="Calibri" w:hAnsi="Calibri"/>
                <w:color w:val="000000"/>
                <w:sz w:val="18"/>
                <w:szCs w:val="18"/>
                <w:lang w:eastAsia="sl-SI"/>
              </w:rPr>
            </w:pPr>
            <w:r w:rsidRPr="00972554">
              <w:rPr>
                <w:rFonts w:ascii="Calibri" w:hAnsi="Calibri"/>
                <w:sz w:val="18"/>
                <w:szCs w:val="18"/>
              </w:rPr>
              <w:t>102,06</w:t>
            </w:r>
          </w:p>
        </w:tc>
        <w:tc>
          <w:tcPr>
            <w:tcW w:w="593" w:type="pct"/>
            <w:shd w:val="clear" w:color="auto" w:fill="auto"/>
            <w:noWrap/>
            <w:vAlign w:val="bottom"/>
            <w:hideMark/>
          </w:tcPr>
          <w:p w:rsidR="00382B0F" w:rsidRPr="00116FC1" w:rsidRDefault="00382B0F" w:rsidP="00116FC1">
            <w:pPr>
              <w:spacing w:line="240" w:lineRule="auto"/>
              <w:jc w:val="right"/>
              <w:rPr>
                <w:rFonts w:ascii="Calibri" w:hAnsi="Calibri"/>
                <w:color w:val="000000"/>
                <w:sz w:val="18"/>
                <w:szCs w:val="18"/>
                <w:lang w:eastAsia="sl-SI"/>
              </w:rPr>
            </w:pPr>
            <w:r w:rsidRPr="00972554">
              <w:rPr>
                <w:rFonts w:ascii="Calibri" w:hAnsi="Calibri"/>
                <w:sz w:val="18"/>
                <w:szCs w:val="18"/>
              </w:rPr>
              <w:t xml:space="preserve">56.707.892 </w:t>
            </w:r>
          </w:p>
        </w:tc>
      </w:tr>
      <w:tr w:rsidR="00382B0F" w:rsidRPr="00972554" w:rsidTr="00972554">
        <w:trPr>
          <w:trHeight w:val="300"/>
        </w:trPr>
        <w:tc>
          <w:tcPr>
            <w:tcW w:w="2113" w:type="pct"/>
            <w:shd w:val="clear" w:color="auto" w:fill="auto"/>
            <w:noWrap/>
            <w:vAlign w:val="bottom"/>
            <w:hideMark/>
          </w:tcPr>
          <w:p w:rsidR="00382B0F" w:rsidRPr="00412299" w:rsidRDefault="00382B0F" w:rsidP="00716B2A">
            <w:pPr>
              <w:spacing w:line="240" w:lineRule="auto"/>
              <w:rPr>
                <w:rFonts w:ascii="Calibri" w:hAnsi="Calibri"/>
                <w:color w:val="000000"/>
                <w:sz w:val="18"/>
                <w:szCs w:val="18"/>
                <w:lang w:eastAsia="sl-SI"/>
              </w:rPr>
            </w:pPr>
            <w:r w:rsidRPr="00412299">
              <w:rPr>
                <w:rFonts w:ascii="Calibri" w:hAnsi="Calibri"/>
                <w:color w:val="000000"/>
                <w:sz w:val="18"/>
                <w:szCs w:val="18"/>
                <w:lang w:eastAsia="sl-SI"/>
              </w:rPr>
              <w:t>204-Nabavna vrednost nepremičnin</w:t>
            </w:r>
          </w:p>
        </w:tc>
        <w:tc>
          <w:tcPr>
            <w:tcW w:w="814" w:type="pct"/>
            <w:shd w:val="clear" w:color="auto" w:fill="auto"/>
            <w:noWrap/>
            <w:vAlign w:val="bottom"/>
            <w:hideMark/>
          </w:tcPr>
          <w:p w:rsidR="00382B0F" w:rsidRPr="00116FC1" w:rsidRDefault="00382B0F"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4.325.450.695 </w:t>
            </w:r>
          </w:p>
        </w:tc>
        <w:tc>
          <w:tcPr>
            <w:tcW w:w="814" w:type="pct"/>
            <w:shd w:val="clear" w:color="auto" w:fill="auto"/>
            <w:noWrap/>
            <w:vAlign w:val="bottom"/>
            <w:hideMark/>
          </w:tcPr>
          <w:p w:rsidR="00382B0F" w:rsidRPr="00972554" w:rsidRDefault="00382B0F" w:rsidP="00716B2A">
            <w:pPr>
              <w:spacing w:line="240" w:lineRule="auto"/>
              <w:jc w:val="right"/>
              <w:rPr>
                <w:rFonts w:ascii="Calibri" w:hAnsi="Calibri"/>
                <w:color w:val="000000"/>
                <w:sz w:val="18"/>
                <w:szCs w:val="18"/>
                <w:lang w:eastAsia="sl-SI"/>
              </w:rPr>
            </w:pPr>
            <w:r w:rsidRPr="00972554">
              <w:rPr>
                <w:rFonts w:ascii="Calibri" w:hAnsi="Calibri" w:cs="Calibri"/>
                <w:color w:val="000000"/>
                <w:sz w:val="18"/>
                <w:szCs w:val="18"/>
                <w:lang w:val="sl-SI" w:eastAsia="sl-SI"/>
              </w:rPr>
              <w:t xml:space="preserve">4.153.412.961 </w:t>
            </w:r>
          </w:p>
        </w:tc>
        <w:tc>
          <w:tcPr>
            <w:tcW w:w="666" w:type="pct"/>
            <w:shd w:val="clear" w:color="auto" w:fill="auto"/>
            <w:noWrap/>
            <w:vAlign w:val="bottom"/>
            <w:hideMark/>
          </w:tcPr>
          <w:p w:rsidR="00382B0F" w:rsidRPr="00116FC1" w:rsidRDefault="00382B0F" w:rsidP="00412299">
            <w:pPr>
              <w:spacing w:line="240" w:lineRule="auto"/>
              <w:jc w:val="right"/>
              <w:rPr>
                <w:rFonts w:ascii="Calibri" w:hAnsi="Calibri"/>
                <w:color w:val="000000"/>
                <w:sz w:val="18"/>
                <w:szCs w:val="18"/>
                <w:lang w:eastAsia="sl-SI"/>
              </w:rPr>
            </w:pPr>
            <w:r w:rsidRPr="00972554">
              <w:rPr>
                <w:rFonts w:ascii="Calibri" w:hAnsi="Calibri"/>
                <w:sz w:val="18"/>
                <w:szCs w:val="18"/>
              </w:rPr>
              <w:t>104,14</w:t>
            </w:r>
          </w:p>
        </w:tc>
        <w:tc>
          <w:tcPr>
            <w:tcW w:w="593" w:type="pct"/>
            <w:shd w:val="clear" w:color="auto" w:fill="auto"/>
            <w:noWrap/>
            <w:vAlign w:val="bottom"/>
            <w:hideMark/>
          </w:tcPr>
          <w:p w:rsidR="00382B0F" w:rsidRPr="00116FC1" w:rsidRDefault="00382B0F" w:rsidP="00116FC1">
            <w:pPr>
              <w:spacing w:line="240" w:lineRule="auto"/>
              <w:jc w:val="right"/>
              <w:rPr>
                <w:rFonts w:ascii="Calibri" w:hAnsi="Calibri"/>
                <w:color w:val="000000"/>
                <w:sz w:val="18"/>
                <w:szCs w:val="18"/>
                <w:lang w:eastAsia="sl-SI"/>
              </w:rPr>
            </w:pPr>
            <w:r w:rsidRPr="00972554">
              <w:rPr>
                <w:rFonts w:ascii="Calibri" w:hAnsi="Calibri"/>
                <w:sz w:val="18"/>
                <w:szCs w:val="18"/>
              </w:rPr>
              <w:t xml:space="preserve">172.037.734 </w:t>
            </w:r>
          </w:p>
        </w:tc>
      </w:tr>
      <w:tr w:rsidR="00382B0F" w:rsidRPr="00972554" w:rsidTr="00972554">
        <w:trPr>
          <w:trHeight w:val="300"/>
        </w:trPr>
        <w:tc>
          <w:tcPr>
            <w:tcW w:w="2113" w:type="pct"/>
            <w:shd w:val="clear" w:color="auto" w:fill="auto"/>
            <w:noWrap/>
            <w:vAlign w:val="bottom"/>
            <w:hideMark/>
          </w:tcPr>
          <w:p w:rsidR="00382B0F" w:rsidRPr="00412299" w:rsidRDefault="00382B0F" w:rsidP="00716B2A">
            <w:pPr>
              <w:spacing w:line="240" w:lineRule="auto"/>
              <w:rPr>
                <w:rFonts w:ascii="Calibri" w:hAnsi="Calibri"/>
                <w:color w:val="000000"/>
                <w:sz w:val="18"/>
                <w:szCs w:val="18"/>
                <w:lang w:eastAsia="sl-SI"/>
              </w:rPr>
            </w:pPr>
            <w:r w:rsidRPr="00412299">
              <w:rPr>
                <w:rFonts w:ascii="Calibri" w:hAnsi="Calibri"/>
                <w:color w:val="000000"/>
                <w:sz w:val="18"/>
                <w:szCs w:val="18"/>
                <w:lang w:eastAsia="sl-SI"/>
              </w:rPr>
              <w:t>205-Popravek vrednosti nepremičnin</w:t>
            </w:r>
          </w:p>
        </w:tc>
        <w:tc>
          <w:tcPr>
            <w:tcW w:w="814" w:type="pct"/>
            <w:shd w:val="clear" w:color="auto" w:fill="auto"/>
            <w:noWrap/>
            <w:vAlign w:val="bottom"/>
            <w:hideMark/>
          </w:tcPr>
          <w:p w:rsidR="00382B0F" w:rsidRPr="00116FC1" w:rsidRDefault="00382B0F"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1.515.371.037 </w:t>
            </w:r>
          </w:p>
        </w:tc>
        <w:tc>
          <w:tcPr>
            <w:tcW w:w="814" w:type="pct"/>
            <w:shd w:val="clear" w:color="auto" w:fill="auto"/>
            <w:noWrap/>
            <w:vAlign w:val="bottom"/>
            <w:hideMark/>
          </w:tcPr>
          <w:p w:rsidR="00382B0F" w:rsidRPr="00972554" w:rsidRDefault="00382B0F" w:rsidP="00716B2A">
            <w:pPr>
              <w:spacing w:line="240" w:lineRule="auto"/>
              <w:jc w:val="right"/>
              <w:rPr>
                <w:rFonts w:ascii="Calibri" w:hAnsi="Calibri"/>
                <w:color w:val="000000"/>
                <w:sz w:val="18"/>
                <w:szCs w:val="18"/>
                <w:lang w:eastAsia="sl-SI"/>
              </w:rPr>
            </w:pPr>
            <w:r w:rsidRPr="00972554">
              <w:rPr>
                <w:rFonts w:ascii="Calibri" w:hAnsi="Calibri" w:cs="Calibri"/>
                <w:color w:val="000000"/>
                <w:sz w:val="18"/>
                <w:szCs w:val="18"/>
                <w:lang w:val="sl-SI" w:eastAsia="sl-SI"/>
              </w:rPr>
              <w:t xml:space="preserve">1.400.041.195 </w:t>
            </w:r>
          </w:p>
        </w:tc>
        <w:tc>
          <w:tcPr>
            <w:tcW w:w="666" w:type="pct"/>
            <w:shd w:val="clear" w:color="auto" w:fill="auto"/>
            <w:noWrap/>
            <w:vAlign w:val="bottom"/>
            <w:hideMark/>
          </w:tcPr>
          <w:p w:rsidR="00382B0F" w:rsidRPr="00116FC1" w:rsidRDefault="00382B0F" w:rsidP="00412299">
            <w:pPr>
              <w:spacing w:line="240" w:lineRule="auto"/>
              <w:jc w:val="right"/>
              <w:rPr>
                <w:rFonts w:ascii="Calibri" w:hAnsi="Calibri"/>
                <w:color w:val="000000"/>
                <w:sz w:val="18"/>
                <w:szCs w:val="18"/>
                <w:lang w:eastAsia="sl-SI"/>
              </w:rPr>
            </w:pPr>
            <w:r w:rsidRPr="00972554">
              <w:rPr>
                <w:rFonts w:ascii="Calibri" w:hAnsi="Calibri"/>
                <w:sz w:val="18"/>
                <w:szCs w:val="18"/>
              </w:rPr>
              <w:t>108,24</w:t>
            </w:r>
          </w:p>
        </w:tc>
        <w:tc>
          <w:tcPr>
            <w:tcW w:w="593" w:type="pct"/>
            <w:shd w:val="clear" w:color="auto" w:fill="auto"/>
            <w:noWrap/>
            <w:vAlign w:val="bottom"/>
            <w:hideMark/>
          </w:tcPr>
          <w:p w:rsidR="00382B0F" w:rsidRPr="00116FC1" w:rsidRDefault="00382B0F" w:rsidP="00116FC1">
            <w:pPr>
              <w:spacing w:line="240" w:lineRule="auto"/>
              <w:jc w:val="right"/>
              <w:rPr>
                <w:rFonts w:ascii="Calibri" w:hAnsi="Calibri"/>
                <w:color w:val="000000"/>
                <w:sz w:val="18"/>
                <w:szCs w:val="18"/>
                <w:lang w:eastAsia="sl-SI"/>
              </w:rPr>
            </w:pPr>
            <w:r w:rsidRPr="00972554">
              <w:rPr>
                <w:rFonts w:ascii="Calibri" w:hAnsi="Calibri"/>
                <w:sz w:val="18"/>
                <w:szCs w:val="18"/>
              </w:rPr>
              <w:t xml:space="preserve">115.329.842 </w:t>
            </w:r>
          </w:p>
        </w:tc>
      </w:tr>
      <w:tr w:rsidR="00382B0F" w:rsidRPr="00972554" w:rsidTr="00972554">
        <w:trPr>
          <w:trHeight w:val="300"/>
        </w:trPr>
        <w:tc>
          <w:tcPr>
            <w:tcW w:w="2113" w:type="pct"/>
            <w:shd w:val="clear" w:color="auto" w:fill="auto"/>
            <w:noWrap/>
            <w:vAlign w:val="bottom"/>
            <w:hideMark/>
          </w:tcPr>
          <w:p w:rsidR="00382B0F" w:rsidRPr="00412299" w:rsidRDefault="00382B0F" w:rsidP="00716B2A">
            <w:pPr>
              <w:spacing w:line="240" w:lineRule="auto"/>
              <w:rPr>
                <w:rFonts w:ascii="Calibri" w:hAnsi="Calibri"/>
                <w:color w:val="000000"/>
                <w:sz w:val="18"/>
                <w:szCs w:val="18"/>
                <w:lang w:eastAsia="sl-SI"/>
              </w:rPr>
            </w:pPr>
            <w:r w:rsidRPr="00412299">
              <w:rPr>
                <w:rFonts w:ascii="Calibri" w:hAnsi="Calibri"/>
                <w:color w:val="000000"/>
                <w:sz w:val="18"/>
                <w:szCs w:val="18"/>
                <w:lang w:eastAsia="sl-SI"/>
              </w:rPr>
              <w:t>206-Sedanja vrednost opreme in drugih opredmetenih osnovnih sredstev</w:t>
            </w:r>
          </w:p>
        </w:tc>
        <w:tc>
          <w:tcPr>
            <w:tcW w:w="814" w:type="pct"/>
            <w:shd w:val="clear" w:color="auto" w:fill="auto"/>
            <w:noWrap/>
            <w:vAlign w:val="bottom"/>
            <w:hideMark/>
          </w:tcPr>
          <w:p w:rsidR="00382B0F" w:rsidRPr="00116FC1" w:rsidRDefault="00382B0F"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218.578.186 </w:t>
            </w:r>
          </w:p>
        </w:tc>
        <w:tc>
          <w:tcPr>
            <w:tcW w:w="814" w:type="pct"/>
            <w:shd w:val="clear" w:color="auto" w:fill="auto"/>
            <w:noWrap/>
            <w:vAlign w:val="bottom"/>
            <w:hideMark/>
          </w:tcPr>
          <w:p w:rsidR="00382B0F" w:rsidRPr="00972554" w:rsidRDefault="00382B0F" w:rsidP="00716B2A">
            <w:pPr>
              <w:spacing w:line="240" w:lineRule="auto"/>
              <w:jc w:val="right"/>
              <w:rPr>
                <w:rFonts w:ascii="Calibri" w:hAnsi="Calibri"/>
                <w:color w:val="000000"/>
                <w:sz w:val="18"/>
                <w:szCs w:val="18"/>
                <w:lang w:eastAsia="sl-SI"/>
              </w:rPr>
            </w:pPr>
            <w:r w:rsidRPr="00972554">
              <w:rPr>
                <w:rFonts w:ascii="Calibri" w:hAnsi="Calibri" w:cs="Calibri"/>
                <w:color w:val="000000"/>
                <w:sz w:val="18"/>
                <w:szCs w:val="18"/>
                <w:lang w:val="sl-SI" w:eastAsia="sl-SI"/>
              </w:rPr>
              <w:t xml:space="preserve">207.736.082 </w:t>
            </w:r>
          </w:p>
        </w:tc>
        <w:tc>
          <w:tcPr>
            <w:tcW w:w="666" w:type="pct"/>
            <w:shd w:val="clear" w:color="auto" w:fill="auto"/>
            <w:noWrap/>
            <w:vAlign w:val="bottom"/>
            <w:hideMark/>
          </w:tcPr>
          <w:p w:rsidR="00382B0F" w:rsidRPr="00116FC1" w:rsidRDefault="00382B0F" w:rsidP="00412299">
            <w:pPr>
              <w:spacing w:line="240" w:lineRule="auto"/>
              <w:jc w:val="right"/>
              <w:rPr>
                <w:rFonts w:ascii="Calibri" w:hAnsi="Calibri"/>
                <w:color w:val="000000"/>
                <w:sz w:val="18"/>
                <w:szCs w:val="18"/>
                <w:lang w:eastAsia="sl-SI"/>
              </w:rPr>
            </w:pPr>
            <w:r w:rsidRPr="00972554">
              <w:rPr>
                <w:rFonts w:ascii="Calibri" w:hAnsi="Calibri"/>
                <w:sz w:val="18"/>
                <w:szCs w:val="18"/>
              </w:rPr>
              <w:t>105,22</w:t>
            </w:r>
          </w:p>
        </w:tc>
        <w:tc>
          <w:tcPr>
            <w:tcW w:w="593" w:type="pct"/>
            <w:shd w:val="clear" w:color="auto" w:fill="auto"/>
            <w:noWrap/>
            <w:vAlign w:val="bottom"/>
            <w:hideMark/>
          </w:tcPr>
          <w:p w:rsidR="00382B0F" w:rsidRPr="00116FC1" w:rsidRDefault="00382B0F" w:rsidP="00116FC1">
            <w:pPr>
              <w:spacing w:line="240" w:lineRule="auto"/>
              <w:jc w:val="right"/>
              <w:rPr>
                <w:rFonts w:ascii="Calibri" w:hAnsi="Calibri"/>
                <w:color w:val="000000"/>
                <w:sz w:val="18"/>
                <w:szCs w:val="18"/>
                <w:lang w:eastAsia="sl-SI"/>
              </w:rPr>
            </w:pPr>
            <w:r w:rsidRPr="00972554">
              <w:rPr>
                <w:rFonts w:ascii="Calibri" w:hAnsi="Calibri"/>
                <w:sz w:val="18"/>
                <w:szCs w:val="18"/>
              </w:rPr>
              <w:t xml:space="preserve">10.842.104 </w:t>
            </w:r>
          </w:p>
        </w:tc>
      </w:tr>
      <w:tr w:rsidR="00382B0F" w:rsidRPr="00972554" w:rsidTr="00972554">
        <w:trPr>
          <w:trHeight w:val="300"/>
        </w:trPr>
        <w:tc>
          <w:tcPr>
            <w:tcW w:w="2113" w:type="pct"/>
            <w:shd w:val="clear" w:color="auto" w:fill="auto"/>
            <w:noWrap/>
            <w:vAlign w:val="bottom"/>
            <w:hideMark/>
          </w:tcPr>
          <w:p w:rsidR="00382B0F" w:rsidRPr="00116FC1" w:rsidRDefault="00382B0F" w:rsidP="00716B2A">
            <w:pPr>
              <w:spacing w:line="240" w:lineRule="auto"/>
              <w:rPr>
                <w:rFonts w:ascii="Calibri" w:hAnsi="Calibri"/>
                <w:color w:val="000000"/>
                <w:sz w:val="18"/>
                <w:szCs w:val="18"/>
                <w:lang w:eastAsia="sl-SI"/>
              </w:rPr>
            </w:pPr>
            <w:r w:rsidRPr="00412299">
              <w:rPr>
                <w:rFonts w:ascii="Calibri" w:hAnsi="Calibri"/>
                <w:color w:val="000000"/>
                <w:sz w:val="18"/>
                <w:szCs w:val="18"/>
                <w:lang w:eastAsia="sl-SI"/>
              </w:rPr>
              <w:t>207-Nabavna vrednost opreme in drug</w:t>
            </w:r>
            <w:r w:rsidRPr="00116FC1">
              <w:rPr>
                <w:rFonts w:ascii="Calibri" w:hAnsi="Calibri"/>
                <w:color w:val="000000"/>
                <w:sz w:val="18"/>
                <w:szCs w:val="18"/>
                <w:lang w:eastAsia="sl-SI"/>
              </w:rPr>
              <w:t>ih opredmetenih osnovnih sredstev</w:t>
            </w:r>
          </w:p>
        </w:tc>
        <w:tc>
          <w:tcPr>
            <w:tcW w:w="814" w:type="pct"/>
            <w:shd w:val="clear" w:color="auto" w:fill="auto"/>
            <w:noWrap/>
            <w:vAlign w:val="bottom"/>
            <w:hideMark/>
          </w:tcPr>
          <w:p w:rsidR="00382B0F" w:rsidRPr="00116FC1" w:rsidRDefault="00382B0F"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1.227.448.802 </w:t>
            </w:r>
          </w:p>
        </w:tc>
        <w:tc>
          <w:tcPr>
            <w:tcW w:w="814" w:type="pct"/>
            <w:shd w:val="clear" w:color="auto" w:fill="auto"/>
            <w:noWrap/>
            <w:vAlign w:val="bottom"/>
            <w:hideMark/>
          </w:tcPr>
          <w:p w:rsidR="00382B0F" w:rsidRPr="00972554" w:rsidRDefault="00382B0F" w:rsidP="00716B2A">
            <w:pPr>
              <w:spacing w:line="240" w:lineRule="auto"/>
              <w:jc w:val="right"/>
              <w:rPr>
                <w:rFonts w:ascii="Calibri" w:hAnsi="Calibri"/>
                <w:color w:val="000000"/>
                <w:sz w:val="18"/>
                <w:szCs w:val="18"/>
                <w:lang w:eastAsia="sl-SI"/>
              </w:rPr>
            </w:pPr>
            <w:r w:rsidRPr="00972554">
              <w:rPr>
                <w:rFonts w:ascii="Calibri" w:hAnsi="Calibri" w:cs="Calibri"/>
                <w:color w:val="000000"/>
                <w:sz w:val="18"/>
                <w:szCs w:val="18"/>
                <w:lang w:val="sl-SI" w:eastAsia="sl-SI"/>
              </w:rPr>
              <w:t xml:space="preserve">1.171.154.426 </w:t>
            </w:r>
          </w:p>
        </w:tc>
        <w:tc>
          <w:tcPr>
            <w:tcW w:w="666" w:type="pct"/>
            <w:shd w:val="clear" w:color="auto" w:fill="auto"/>
            <w:noWrap/>
            <w:vAlign w:val="bottom"/>
            <w:hideMark/>
          </w:tcPr>
          <w:p w:rsidR="00382B0F" w:rsidRPr="00116FC1" w:rsidRDefault="00382B0F" w:rsidP="00412299">
            <w:pPr>
              <w:spacing w:line="240" w:lineRule="auto"/>
              <w:jc w:val="right"/>
              <w:rPr>
                <w:rFonts w:ascii="Calibri" w:hAnsi="Calibri"/>
                <w:color w:val="000000"/>
                <w:sz w:val="18"/>
                <w:szCs w:val="18"/>
                <w:lang w:eastAsia="sl-SI"/>
              </w:rPr>
            </w:pPr>
            <w:r w:rsidRPr="00972554">
              <w:rPr>
                <w:rFonts w:ascii="Calibri" w:hAnsi="Calibri"/>
                <w:sz w:val="18"/>
                <w:szCs w:val="18"/>
              </w:rPr>
              <w:t>104,81</w:t>
            </w:r>
          </w:p>
        </w:tc>
        <w:tc>
          <w:tcPr>
            <w:tcW w:w="593" w:type="pct"/>
            <w:shd w:val="clear" w:color="auto" w:fill="auto"/>
            <w:noWrap/>
            <w:vAlign w:val="bottom"/>
            <w:hideMark/>
          </w:tcPr>
          <w:p w:rsidR="00382B0F" w:rsidRPr="00116FC1" w:rsidRDefault="00382B0F" w:rsidP="00116FC1">
            <w:pPr>
              <w:spacing w:line="240" w:lineRule="auto"/>
              <w:jc w:val="right"/>
              <w:rPr>
                <w:rFonts w:ascii="Calibri" w:hAnsi="Calibri"/>
                <w:color w:val="000000"/>
                <w:sz w:val="18"/>
                <w:szCs w:val="18"/>
                <w:lang w:eastAsia="sl-SI"/>
              </w:rPr>
            </w:pPr>
            <w:r w:rsidRPr="00972554">
              <w:rPr>
                <w:rFonts w:ascii="Calibri" w:hAnsi="Calibri"/>
                <w:sz w:val="18"/>
                <w:szCs w:val="18"/>
              </w:rPr>
              <w:t xml:space="preserve">56.294.376 </w:t>
            </w:r>
          </w:p>
        </w:tc>
      </w:tr>
      <w:tr w:rsidR="00382B0F" w:rsidRPr="00972554" w:rsidTr="00972554">
        <w:trPr>
          <w:trHeight w:val="300"/>
        </w:trPr>
        <w:tc>
          <w:tcPr>
            <w:tcW w:w="2113" w:type="pct"/>
            <w:shd w:val="clear" w:color="auto" w:fill="auto"/>
            <w:noWrap/>
            <w:vAlign w:val="bottom"/>
            <w:hideMark/>
          </w:tcPr>
          <w:p w:rsidR="00382B0F" w:rsidRPr="00412299" w:rsidRDefault="00382B0F" w:rsidP="00716B2A">
            <w:pPr>
              <w:spacing w:line="240" w:lineRule="auto"/>
              <w:rPr>
                <w:rFonts w:ascii="Calibri" w:hAnsi="Calibri"/>
                <w:color w:val="000000"/>
                <w:sz w:val="18"/>
                <w:szCs w:val="18"/>
                <w:lang w:eastAsia="sl-SI"/>
              </w:rPr>
            </w:pPr>
            <w:r w:rsidRPr="00412299">
              <w:rPr>
                <w:rFonts w:ascii="Calibri" w:hAnsi="Calibri"/>
                <w:color w:val="000000"/>
                <w:sz w:val="18"/>
                <w:szCs w:val="18"/>
                <w:lang w:eastAsia="sl-SI"/>
              </w:rPr>
              <w:t>208-Popravek vrednosti opreme in drugih opredmetenih osnovnih sredstev</w:t>
            </w:r>
          </w:p>
        </w:tc>
        <w:tc>
          <w:tcPr>
            <w:tcW w:w="814" w:type="pct"/>
            <w:shd w:val="clear" w:color="auto" w:fill="auto"/>
            <w:noWrap/>
            <w:vAlign w:val="bottom"/>
            <w:hideMark/>
          </w:tcPr>
          <w:p w:rsidR="00382B0F" w:rsidRPr="00116FC1" w:rsidRDefault="00382B0F"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1.008.870.616 </w:t>
            </w:r>
          </w:p>
        </w:tc>
        <w:tc>
          <w:tcPr>
            <w:tcW w:w="814" w:type="pct"/>
            <w:shd w:val="clear" w:color="auto" w:fill="auto"/>
            <w:noWrap/>
            <w:vAlign w:val="bottom"/>
            <w:hideMark/>
          </w:tcPr>
          <w:p w:rsidR="00382B0F" w:rsidRPr="00972554" w:rsidRDefault="00382B0F" w:rsidP="00716B2A">
            <w:pPr>
              <w:spacing w:line="240" w:lineRule="auto"/>
              <w:jc w:val="right"/>
              <w:rPr>
                <w:rFonts w:ascii="Calibri" w:hAnsi="Calibri"/>
                <w:color w:val="000000"/>
                <w:sz w:val="18"/>
                <w:szCs w:val="18"/>
                <w:lang w:eastAsia="sl-SI"/>
              </w:rPr>
            </w:pPr>
            <w:r w:rsidRPr="00972554">
              <w:rPr>
                <w:rFonts w:ascii="Calibri" w:hAnsi="Calibri" w:cs="Calibri"/>
                <w:color w:val="000000"/>
                <w:sz w:val="18"/>
                <w:szCs w:val="18"/>
                <w:lang w:val="sl-SI" w:eastAsia="sl-SI"/>
              </w:rPr>
              <w:t xml:space="preserve">963.418.344 </w:t>
            </w:r>
          </w:p>
        </w:tc>
        <w:tc>
          <w:tcPr>
            <w:tcW w:w="666" w:type="pct"/>
            <w:shd w:val="clear" w:color="auto" w:fill="auto"/>
            <w:noWrap/>
            <w:vAlign w:val="bottom"/>
            <w:hideMark/>
          </w:tcPr>
          <w:p w:rsidR="00382B0F" w:rsidRPr="00116FC1" w:rsidRDefault="00382B0F" w:rsidP="00412299">
            <w:pPr>
              <w:spacing w:line="240" w:lineRule="auto"/>
              <w:jc w:val="right"/>
              <w:rPr>
                <w:rFonts w:ascii="Calibri" w:hAnsi="Calibri"/>
                <w:color w:val="000000"/>
                <w:sz w:val="18"/>
                <w:szCs w:val="18"/>
                <w:lang w:eastAsia="sl-SI"/>
              </w:rPr>
            </w:pPr>
            <w:r w:rsidRPr="00972554">
              <w:rPr>
                <w:rFonts w:ascii="Calibri" w:hAnsi="Calibri"/>
                <w:sz w:val="18"/>
                <w:szCs w:val="18"/>
              </w:rPr>
              <w:t>104,72</w:t>
            </w:r>
          </w:p>
        </w:tc>
        <w:tc>
          <w:tcPr>
            <w:tcW w:w="593" w:type="pct"/>
            <w:shd w:val="clear" w:color="auto" w:fill="auto"/>
            <w:noWrap/>
            <w:vAlign w:val="bottom"/>
            <w:hideMark/>
          </w:tcPr>
          <w:p w:rsidR="00382B0F" w:rsidRPr="00116FC1" w:rsidRDefault="00382B0F" w:rsidP="00116FC1">
            <w:pPr>
              <w:spacing w:line="240" w:lineRule="auto"/>
              <w:jc w:val="right"/>
              <w:rPr>
                <w:rFonts w:ascii="Calibri" w:hAnsi="Calibri"/>
                <w:color w:val="000000"/>
                <w:sz w:val="18"/>
                <w:szCs w:val="18"/>
                <w:lang w:eastAsia="sl-SI"/>
              </w:rPr>
            </w:pPr>
            <w:r w:rsidRPr="00972554">
              <w:rPr>
                <w:rFonts w:ascii="Calibri" w:hAnsi="Calibri"/>
                <w:sz w:val="18"/>
                <w:szCs w:val="18"/>
              </w:rPr>
              <w:t xml:space="preserve">45.452.272 </w:t>
            </w:r>
          </w:p>
        </w:tc>
      </w:tr>
      <w:tr w:rsidR="00382B0F" w:rsidRPr="00972554" w:rsidTr="00972554">
        <w:trPr>
          <w:trHeight w:val="300"/>
        </w:trPr>
        <w:tc>
          <w:tcPr>
            <w:tcW w:w="2113" w:type="pct"/>
            <w:shd w:val="clear" w:color="auto" w:fill="auto"/>
            <w:noWrap/>
            <w:vAlign w:val="bottom"/>
            <w:hideMark/>
          </w:tcPr>
          <w:p w:rsidR="00382B0F" w:rsidRPr="00412299" w:rsidRDefault="00382B0F" w:rsidP="00716B2A">
            <w:pPr>
              <w:spacing w:line="240" w:lineRule="auto"/>
              <w:rPr>
                <w:rFonts w:ascii="Calibri" w:hAnsi="Calibri"/>
                <w:color w:val="000000"/>
                <w:sz w:val="18"/>
                <w:szCs w:val="18"/>
                <w:lang w:eastAsia="sl-SI"/>
              </w:rPr>
            </w:pPr>
            <w:r w:rsidRPr="00412299">
              <w:rPr>
                <w:rFonts w:ascii="Calibri" w:hAnsi="Calibri"/>
                <w:color w:val="000000"/>
                <w:sz w:val="18"/>
                <w:szCs w:val="18"/>
                <w:lang w:eastAsia="sl-SI"/>
              </w:rPr>
              <w:t>209-Zaloge</w:t>
            </w:r>
          </w:p>
        </w:tc>
        <w:tc>
          <w:tcPr>
            <w:tcW w:w="814" w:type="pct"/>
            <w:shd w:val="clear" w:color="auto" w:fill="auto"/>
            <w:noWrap/>
            <w:vAlign w:val="bottom"/>
            <w:hideMark/>
          </w:tcPr>
          <w:p w:rsidR="00382B0F" w:rsidRPr="00116FC1" w:rsidRDefault="00382B0F"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41.477.826 </w:t>
            </w:r>
          </w:p>
        </w:tc>
        <w:tc>
          <w:tcPr>
            <w:tcW w:w="814" w:type="pct"/>
            <w:shd w:val="clear" w:color="auto" w:fill="auto"/>
            <w:noWrap/>
            <w:vAlign w:val="bottom"/>
            <w:hideMark/>
          </w:tcPr>
          <w:p w:rsidR="00382B0F" w:rsidRPr="00972554" w:rsidRDefault="00382B0F" w:rsidP="00716B2A">
            <w:pPr>
              <w:spacing w:line="240" w:lineRule="auto"/>
              <w:jc w:val="right"/>
              <w:rPr>
                <w:rFonts w:ascii="Calibri" w:hAnsi="Calibri"/>
                <w:color w:val="000000"/>
                <w:sz w:val="18"/>
                <w:szCs w:val="18"/>
                <w:lang w:eastAsia="sl-SI"/>
              </w:rPr>
            </w:pPr>
            <w:r w:rsidRPr="00972554">
              <w:rPr>
                <w:rFonts w:ascii="Calibri" w:hAnsi="Calibri" w:cs="Calibri"/>
                <w:color w:val="000000"/>
                <w:sz w:val="18"/>
                <w:szCs w:val="18"/>
                <w:lang w:val="sl-SI" w:eastAsia="sl-SI"/>
              </w:rPr>
              <w:t xml:space="preserve">39.200.900 </w:t>
            </w:r>
          </w:p>
        </w:tc>
        <w:tc>
          <w:tcPr>
            <w:tcW w:w="666" w:type="pct"/>
            <w:shd w:val="clear" w:color="auto" w:fill="auto"/>
            <w:noWrap/>
            <w:vAlign w:val="bottom"/>
            <w:hideMark/>
          </w:tcPr>
          <w:p w:rsidR="00382B0F" w:rsidRPr="00116FC1" w:rsidRDefault="00382B0F" w:rsidP="00412299">
            <w:pPr>
              <w:spacing w:line="240" w:lineRule="auto"/>
              <w:jc w:val="right"/>
              <w:rPr>
                <w:rFonts w:ascii="Calibri" w:hAnsi="Calibri"/>
                <w:color w:val="000000"/>
                <w:sz w:val="18"/>
                <w:szCs w:val="18"/>
                <w:lang w:eastAsia="sl-SI"/>
              </w:rPr>
            </w:pPr>
            <w:r w:rsidRPr="00972554">
              <w:rPr>
                <w:rFonts w:ascii="Calibri" w:hAnsi="Calibri"/>
                <w:sz w:val="18"/>
                <w:szCs w:val="18"/>
              </w:rPr>
              <w:t>105,81</w:t>
            </w:r>
          </w:p>
        </w:tc>
        <w:tc>
          <w:tcPr>
            <w:tcW w:w="593" w:type="pct"/>
            <w:shd w:val="clear" w:color="auto" w:fill="auto"/>
            <w:noWrap/>
            <w:vAlign w:val="bottom"/>
            <w:hideMark/>
          </w:tcPr>
          <w:p w:rsidR="00382B0F" w:rsidRPr="00116FC1" w:rsidRDefault="00382B0F" w:rsidP="00116FC1">
            <w:pPr>
              <w:spacing w:line="240" w:lineRule="auto"/>
              <w:jc w:val="right"/>
              <w:rPr>
                <w:rFonts w:ascii="Calibri" w:hAnsi="Calibri"/>
                <w:color w:val="000000"/>
                <w:sz w:val="18"/>
                <w:szCs w:val="18"/>
                <w:lang w:eastAsia="sl-SI"/>
              </w:rPr>
            </w:pPr>
            <w:r w:rsidRPr="00972554">
              <w:rPr>
                <w:rFonts w:ascii="Calibri" w:hAnsi="Calibri"/>
                <w:sz w:val="18"/>
                <w:szCs w:val="18"/>
              </w:rPr>
              <w:t xml:space="preserve">2.276.926 </w:t>
            </w:r>
          </w:p>
        </w:tc>
      </w:tr>
      <w:tr w:rsidR="00382B0F" w:rsidRPr="00972554" w:rsidTr="00972554">
        <w:trPr>
          <w:trHeight w:val="300"/>
        </w:trPr>
        <w:tc>
          <w:tcPr>
            <w:tcW w:w="2113" w:type="pct"/>
            <w:shd w:val="clear" w:color="auto" w:fill="auto"/>
            <w:noWrap/>
            <w:vAlign w:val="bottom"/>
            <w:hideMark/>
          </w:tcPr>
          <w:p w:rsidR="00382B0F" w:rsidRPr="00412299" w:rsidRDefault="00382B0F" w:rsidP="00716B2A">
            <w:pPr>
              <w:spacing w:line="240" w:lineRule="auto"/>
              <w:rPr>
                <w:rFonts w:ascii="Calibri" w:hAnsi="Calibri"/>
                <w:color w:val="000000"/>
                <w:sz w:val="18"/>
                <w:szCs w:val="18"/>
                <w:lang w:eastAsia="sl-SI"/>
              </w:rPr>
            </w:pPr>
            <w:r w:rsidRPr="00412299">
              <w:rPr>
                <w:rFonts w:ascii="Calibri" w:hAnsi="Calibri"/>
                <w:color w:val="000000"/>
                <w:sz w:val="18"/>
                <w:szCs w:val="18"/>
                <w:lang w:eastAsia="sl-SI"/>
              </w:rPr>
              <w:t>210-Dolgoročne finančne naložbe</w:t>
            </w:r>
          </w:p>
        </w:tc>
        <w:tc>
          <w:tcPr>
            <w:tcW w:w="814" w:type="pct"/>
            <w:shd w:val="clear" w:color="auto" w:fill="auto"/>
            <w:noWrap/>
            <w:vAlign w:val="bottom"/>
            <w:hideMark/>
          </w:tcPr>
          <w:p w:rsidR="00382B0F" w:rsidRPr="00116FC1" w:rsidRDefault="00382B0F"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8.602.326 </w:t>
            </w:r>
          </w:p>
        </w:tc>
        <w:tc>
          <w:tcPr>
            <w:tcW w:w="814" w:type="pct"/>
            <w:shd w:val="clear" w:color="auto" w:fill="auto"/>
            <w:noWrap/>
            <w:vAlign w:val="bottom"/>
            <w:hideMark/>
          </w:tcPr>
          <w:p w:rsidR="00382B0F" w:rsidRPr="00972554" w:rsidRDefault="00382B0F" w:rsidP="00716B2A">
            <w:pPr>
              <w:spacing w:line="240" w:lineRule="auto"/>
              <w:jc w:val="right"/>
              <w:rPr>
                <w:rFonts w:ascii="Calibri" w:hAnsi="Calibri"/>
                <w:color w:val="000000"/>
                <w:sz w:val="18"/>
                <w:szCs w:val="18"/>
                <w:lang w:eastAsia="sl-SI"/>
              </w:rPr>
            </w:pPr>
            <w:r w:rsidRPr="00972554">
              <w:rPr>
                <w:rFonts w:ascii="Calibri" w:hAnsi="Calibri" w:cs="Calibri"/>
                <w:color w:val="000000"/>
                <w:sz w:val="18"/>
                <w:szCs w:val="18"/>
                <w:lang w:val="sl-SI" w:eastAsia="sl-SI"/>
              </w:rPr>
              <w:t xml:space="preserve">8.168.118 </w:t>
            </w:r>
          </w:p>
        </w:tc>
        <w:tc>
          <w:tcPr>
            <w:tcW w:w="666" w:type="pct"/>
            <w:shd w:val="clear" w:color="auto" w:fill="auto"/>
            <w:noWrap/>
            <w:vAlign w:val="bottom"/>
            <w:hideMark/>
          </w:tcPr>
          <w:p w:rsidR="00382B0F" w:rsidRPr="00116FC1" w:rsidRDefault="00382B0F" w:rsidP="00412299">
            <w:pPr>
              <w:spacing w:line="240" w:lineRule="auto"/>
              <w:jc w:val="right"/>
              <w:rPr>
                <w:rFonts w:ascii="Calibri" w:hAnsi="Calibri"/>
                <w:color w:val="000000"/>
                <w:sz w:val="18"/>
                <w:szCs w:val="18"/>
                <w:lang w:eastAsia="sl-SI"/>
              </w:rPr>
            </w:pPr>
            <w:r w:rsidRPr="00972554">
              <w:rPr>
                <w:rFonts w:ascii="Calibri" w:hAnsi="Calibri"/>
                <w:sz w:val="18"/>
                <w:szCs w:val="18"/>
              </w:rPr>
              <w:t>105,32</w:t>
            </w:r>
          </w:p>
        </w:tc>
        <w:tc>
          <w:tcPr>
            <w:tcW w:w="593" w:type="pct"/>
            <w:shd w:val="clear" w:color="auto" w:fill="auto"/>
            <w:noWrap/>
            <w:vAlign w:val="bottom"/>
            <w:hideMark/>
          </w:tcPr>
          <w:p w:rsidR="00382B0F" w:rsidRPr="00116FC1" w:rsidRDefault="00382B0F" w:rsidP="00116FC1">
            <w:pPr>
              <w:spacing w:line="240" w:lineRule="auto"/>
              <w:jc w:val="right"/>
              <w:rPr>
                <w:rFonts w:ascii="Calibri" w:hAnsi="Calibri"/>
                <w:color w:val="000000"/>
                <w:sz w:val="18"/>
                <w:szCs w:val="18"/>
                <w:lang w:eastAsia="sl-SI"/>
              </w:rPr>
            </w:pPr>
            <w:r w:rsidRPr="00972554">
              <w:rPr>
                <w:rFonts w:ascii="Calibri" w:hAnsi="Calibri"/>
                <w:sz w:val="18"/>
                <w:szCs w:val="18"/>
              </w:rPr>
              <w:t xml:space="preserve">434.208 </w:t>
            </w:r>
          </w:p>
        </w:tc>
      </w:tr>
      <w:tr w:rsidR="00382B0F" w:rsidRPr="00972554" w:rsidTr="00972554">
        <w:trPr>
          <w:trHeight w:val="300"/>
        </w:trPr>
        <w:tc>
          <w:tcPr>
            <w:tcW w:w="2113" w:type="pct"/>
            <w:shd w:val="clear" w:color="auto" w:fill="auto"/>
            <w:noWrap/>
            <w:vAlign w:val="bottom"/>
            <w:hideMark/>
          </w:tcPr>
          <w:p w:rsidR="00382B0F" w:rsidRPr="00116FC1" w:rsidRDefault="00382B0F" w:rsidP="00716B2A">
            <w:pPr>
              <w:spacing w:line="240" w:lineRule="auto"/>
              <w:rPr>
                <w:rFonts w:ascii="Calibri" w:hAnsi="Calibri"/>
                <w:color w:val="000000"/>
                <w:sz w:val="18"/>
                <w:szCs w:val="18"/>
                <w:lang w:eastAsia="sl-SI"/>
              </w:rPr>
            </w:pPr>
            <w:r w:rsidRPr="00412299">
              <w:rPr>
                <w:rFonts w:ascii="Calibri" w:hAnsi="Calibri"/>
                <w:color w:val="000000"/>
                <w:sz w:val="18"/>
                <w:szCs w:val="18"/>
                <w:lang w:eastAsia="sl-SI"/>
              </w:rPr>
              <w:t>211-Dolgoročno dana pos</w:t>
            </w:r>
            <w:r w:rsidRPr="00116FC1">
              <w:rPr>
                <w:rFonts w:ascii="Calibri" w:hAnsi="Calibri"/>
                <w:color w:val="000000"/>
                <w:sz w:val="18"/>
                <w:szCs w:val="18"/>
                <w:lang w:eastAsia="sl-SI"/>
              </w:rPr>
              <w:t>ojila in depoziti</w:t>
            </w:r>
          </w:p>
        </w:tc>
        <w:tc>
          <w:tcPr>
            <w:tcW w:w="814" w:type="pct"/>
            <w:shd w:val="clear" w:color="auto" w:fill="auto"/>
            <w:noWrap/>
            <w:vAlign w:val="bottom"/>
            <w:hideMark/>
          </w:tcPr>
          <w:p w:rsidR="00382B0F" w:rsidRPr="00116FC1" w:rsidRDefault="00382B0F"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8.004.938 </w:t>
            </w:r>
          </w:p>
        </w:tc>
        <w:tc>
          <w:tcPr>
            <w:tcW w:w="814" w:type="pct"/>
            <w:shd w:val="clear" w:color="auto" w:fill="auto"/>
            <w:noWrap/>
            <w:vAlign w:val="bottom"/>
            <w:hideMark/>
          </w:tcPr>
          <w:p w:rsidR="00382B0F" w:rsidRPr="00972554" w:rsidRDefault="00382B0F" w:rsidP="00716B2A">
            <w:pPr>
              <w:spacing w:line="240" w:lineRule="auto"/>
              <w:jc w:val="right"/>
              <w:rPr>
                <w:rFonts w:ascii="Calibri" w:hAnsi="Calibri"/>
                <w:color w:val="000000"/>
                <w:sz w:val="18"/>
                <w:szCs w:val="18"/>
                <w:lang w:eastAsia="sl-SI"/>
              </w:rPr>
            </w:pPr>
            <w:r w:rsidRPr="00972554">
              <w:rPr>
                <w:rFonts w:ascii="Calibri" w:hAnsi="Calibri" w:cs="Calibri"/>
                <w:color w:val="000000"/>
                <w:sz w:val="18"/>
                <w:szCs w:val="18"/>
                <w:lang w:val="sl-SI" w:eastAsia="sl-SI"/>
              </w:rPr>
              <w:t xml:space="preserve">8.231.845 </w:t>
            </w:r>
          </w:p>
        </w:tc>
        <w:tc>
          <w:tcPr>
            <w:tcW w:w="666" w:type="pct"/>
            <w:shd w:val="clear" w:color="auto" w:fill="auto"/>
            <w:noWrap/>
            <w:vAlign w:val="bottom"/>
            <w:hideMark/>
          </w:tcPr>
          <w:p w:rsidR="00382B0F" w:rsidRPr="00116FC1" w:rsidRDefault="00382B0F" w:rsidP="00412299">
            <w:pPr>
              <w:spacing w:line="240" w:lineRule="auto"/>
              <w:jc w:val="right"/>
              <w:rPr>
                <w:rFonts w:ascii="Calibri" w:hAnsi="Calibri"/>
                <w:color w:val="000000"/>
                <w:sz w:val="18"/>
                <w:szCs w:val="18"/>
                <w:lang w:eastAsia="sl-SI"/>
              </w:rPr>
            </w:pPr>
            <w:r w:rsidRPr="00972554">
              <w:rPr>
                <w:rFonts w:ascii="Calibri" w:hAnsi="Calibri"/>
                <w:sz w:val="18"/>
                <w:szCs w:val="18"/>
              </w:rPr>
              <w:t>97,24</w:t>
            </w:r>
          </w:p>
        </w:tc>
        <w:tc>
          <w:tcPr>
            <w:tcW w:w="593" w:type="pct"/>
            <w:shd w:val="clear" w:color="auto" w:fill="auto"/>
            <w:noWrap/>
            <w:vAlign w:val="bottom"/>
            <w:hideMark/>
          </w:tcPr>
          <w:p w:rsidR="00382B0F" w:rsidRPr="00116FC1" w:rsidRDefault="00382B0F" w:rsidP="00116FC1">
            <w:pPr>
              <w:spacing w:line="240" w:lineRule="auto"/>
              <w:jc w:val="right"/>
              <w:rPr>
                <w:rFonts w:ascii="Calibri" w:hAnsi="Calibri"/>
                <w:color w:val="000000"/>
                <w:sz w:val="18"/>
                <w:szCs w:val="18"/>
                <w:lang w:eastAsia="sl-SI"/>
              </w:rPr>
            </w:pPr>
            <w:r w:rsidRPr="00972554">
              <w:rPr>
                <w:rFonts w:ascii="Calibri" w:hAnsi="Calibri"/>
                <w:sz w:val="18"/>
                <w:szCs w:val="18"/>
              </w:rPr>
              <w:t xml:space="preserve">-226.907 </w:t>
            </w:r>
          </w:p>
        </w:tc>
      </w:tr>
      <w:tr w:rsidR="00382B0F" w:rsidRPr="00972554" w:rsidTr="00972554">
        <w:trPr>
          <w:trHeight w:val="300"/>
        </w:trPr>
        <w:tc>
          <w:tcPr>
            <w:tcW w:w="2113" w:type="pct"/>
            <w:shd w:val="clear" w:color="auto" w:fill="auto"/>
            <w:noWrap/>
            <w:vAlign w:val="bottom"/>
            <w:hideMark/>
          </w:tcPr>
          <w:p w:rsidR="00382B0F" w:rsidRPr="00412299" w:rsidRDefault="00382B0F" w:rsidP="00716B2A">
            <w:pPr>
              <w:spacing w:line="240" w:lineRule="auto"/>
              <w:rPr>
                <w:rFonts w:ascii="Calibri" w:hAnsi="Calibri"/>
                <w:color w:val="000000"/>
                <w:sz w:val="18"/>
                <w:szCs w:val="18"/>
                <w:lang w:eastAsia="sl-SI"/>
              </w:rPr>
            </w:pPr>
            <w:r w:rsidRPr="00412299">
              <w:rPr>
                <w:rFonts w:ascii="Calibri" w:hAnsi="Calibri"/>
                <w:color w:val="000000"/>
                <w:sz w:val="18"/>
                <w:szCs w:val="18"/>
                <w:lang w:eastAsia="sl-SI"/>
              </w:rPr>
              <w:t>212-Dolgoročne terjatve iz poslovanja</w:t>
            </w:r>
          </w:p>
        </w:tc>
        <w:tc>
          <w:tcPr>
            <w:tcW w:w="814" w:type="pct"/>
            <w:shd w:val="clear" w:color="auto" w:fill="auto"/>
            <w:noWrap/>
            <w:vAlign w:val="bottom"/>
            <w:hideMark/>
          </w:tcPr>
          <w:p w:rsidR="00382B0F" w:rsidRPr="00116FC1" w:rsidRDefault="00382B0F"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3.975.554 </w:t>
            </w:r>
          </w:p>
        </w:tc>
        <w:tc>
          <w:tcPr>
            <w:tcW w:w="814" w:type="pct"/>
            <w:shd w:val="clear" w:color="auto" w:fill="auto"/>
            <w:noWrap/>
            <w:vAlign w:val="bottom"/>
            <w:hideMark/>
          </w:tcPr>
          <w:p w:rsidR="00382B0F" w:rsidRPr="00972554" w:rsidRDefault="00382B0F" w:rsidP="00716B2A">
            <w:pPr>
              <w:spacing w:line="240" w:lineRule="auto"/>
              <w:jc w:val="right"/>
              <w:rPr>
                <w:rFonts w:ascii="Calibri" w:hAnsi="Calibri"/>
                <w:color w:val="000000"/>
                <w:sz w:val="18"/>
                <w:szCs w:val="18"/>
                <w:lang w:eastAsia="sl-SI"/>
              </w:rPr>
            </w:pPr>
            <w:r w:rsidRPr="00972554">
              <w:rPr>
                <w:rFonts w:ascii="Calibri" w:hAnsi="Calibri" w:cs="Calibri"/>
                <w:color w:val="000000"/>
                <w:sz w:val="18"/>
                <w:szCs w:val="18"/>
                <w:lang w:val="sl-SI" w:eastAsia="sl-SI"/>
              </w:rPr>
              <w:t xml:space="preserve">4.137.728 </w:t>
            </w:r>
          </w:p>
        </w:tc>
        <w:tc>
          <w:tcPr>
            <w:tcW w:w="666" w:type="pct"/>
            <w:shd w:val="clear" w:color="auto" w:fill="auto"/>
            <w:noWrap/>
            <w:vAlign w:val="bottom"/>
            <w:hideMark/>
          </w:tcPr>
          <w:p w:rsidR="00382B0F" w:rsidRPr="00116FC1" w:rsidRDefault="00382B0F" w:rsidP="00412299">
            <w:pPr>
              <w:spacing w:line="240" w:lineRule="auto"/>
              <w:jc w:val="right"/>
              <w:rPr>
                <w:rFonts w:ascii="Calibri" w:hAnsi="Calibri"/>
                <w:color w:val="000000"/>
                <w:sz w:val="18"/>
                <w:szCs w:val="18"/>
                <w:lang w:eastAsia="sl-SI"/>
              </w:rPr>
            </w:pPr>
            <w:r w:rsidRPr="00972554">
              <w:rPr>
                <w:rFonts w:ascii="Calibri" w:hAnsi="Calibri"/>
                <w:sz w:val="18"/>
                <w:szCs w:val="18"/>
              </w:rPr>
              <w:t>96,08</w:t>
            </w:r>
          </w:p>
        </w:tc>
        <w:tc>
          <w:tcPr>
            <w:tcW w:w="593" w:type="pct"/>
            <w:shd w:val="clear" w:color="auto" w:fill="auto"/>
            <w:noWrap/>
            <w:vAlign w:val="bottom"/>
            <w:hideMark/>
          </w:tcPr>
          <w:p w:rsidR="00382B0F" w:rsidRPr="00116FC1" w:rsidRDefault="00382B0F" w:rsidP="00116FC1">
            <w:pPr>
              <w:spacing w:line="240" w:lineRule="auto"/>
              <w:jc w:val="right"/>
              <w:rPr>
                <w:rFonts w:ascii="Calibri" w:hAnsi="Calibri"/>
                <w:color w:val="000000"/>
                <w:sz w:val="18"/>
                <w:szCs w:val="18"/>
                <w:lang w:eastAsia="sl-SI"/>
              </w:rPr>
            </w:pPr>
            <w:r w:rsidRPr="00972554">
              <w:rPr>
                <w:rFonts w:ascii="Calibri" w:hAnsi="Calibri"/>
                <w:sz w:val="18"/>
                <w:szCs w:val="18"/>
              </w:rPr>
              <w:t xml:space="preserve">-162.174 </w:t>
            </w:r>
          </w:p>
        </w:tc>
      </w:tr>
      <w:tr w:rsidR="00382B0F" w:rsidRPr="00972554" w:rsidTr="00972554">
        <w:trPr>
          <w:trHeight w:val="300"/>
        </w:trPr>
        <w:tc>
          <w:tcPr>
            <w:tcW w:w="2113" w:type="pct"/>
            <w:shd w:val="clear" w:color="auto" w:fill="auto"/>
            <w:noWrap/>
            <w:vAlign w:val="bottom"/>
            <w:hideMark/>
          </w:tcPr>
          <w:p w:rsidR="00382B0F" w:rsidRPr="00412299" w:rsidRDefault="00382B0F" w:rsidP="00716B2A">
            <w:pPr>
              <w:spacing w:line="240" w:lineRule="auto"/>
              <w:rPr>
                <w:rFonts w:ascii="Calibri" w:hAnsi="Calibri"/>
                <w:color w:val="000000"/>
                <w:sz w:val="18"/>
                <w:szCs w:val="18"/>
                <w:lang w:eastAsia="sl-SI"/>
              </w:rPr>
            </w:pPr>
            <w:r w:rsidRPr="00412299">
              <w:rPr>
                <w:rFonts w:ascii="Calibri" w:hAnsi="Calibri"/>
                <w:color w:val="000000"/>
                <w:sz w:val="18"/>
                <w:szCs w:val="18"/>
                <w:lang w:eastAsia="sl-SI"/>
              </w:rPr>
              <w:t>213-Denarna sredstva</w:t>
            </w:r>
          </w:p>
        </w:tc>
        <w:tc>
          <w:tcPr>
            <w:tcW w:w="814" w:type="pct"/>
            <w:shd w:val="clear" w:color="auto" w:fill="auto"/>
            <w:noWrap/>
            <w:vAlign w:val="bottom"/>
            <w:hideMark/>
          </w:tcPr>
          <w:p w:rsidR="00382B0F" w:rsidRPr="00116FC1" w:rsidRDefault="00382B0F"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20.247.480 </w:t>
            </w:r>
          </w:p>
        </w:tc>
        <w:tc>
          <w:tcPr>
            <w:tcW w:w="814" w:type="pct"/>
            <w:shd w:val="clear" w:color="auto" w:fill="auto"/>
            <w:noWrap/>
            <w:vAlign w:val="bottom"/>
            <w:hideMark/>
          </w:tcPr>
          <w:p w:rsidR="00382B0F" w:rsidRPr="00972554" w:rsidRDefault="00382B0F" w:rsidP="00716B2A">
            <w:pPr>
              <w:spacing w:line="240" w:lineRule="auto"/>
              <w:jc w:val="right"/>
              <w:rPr>
                <w:rFonts w:ascii="Calibri" w:hAnsi="Calibri"/>
                <w:color w:val="000000"/>
                <w:sz w:val="18"/>
                <w:szCs w:val="18"/>
                <w:lang w:eastAsia="sl-SI"/>
              </w:rPr>
            </w:pPr>
            <w:r w:rsidRPr="00972554">
              <w:rPr>
                <w:rFonts w:ascii="Calibri" w:hAnsi="Calibri" w:cs="Calibri"/>
                <w:color w:val="000000"/>
                <w:sz w:val="18"/>
                <w:szCs w:val="18"/>
                <w:lang w:val="sl-SI" w:eastAsia="sl-SI"/>
              </w:rPr>
              <w:t xml:space="preserve">19.494.992 </w:t>
            </w:r>
          </w:p>
        </w:tc>
        <w:tc>
          <w:tcPr>
            <w:tcW w:w="666" w:type="pct"/>
            <w:shd w:val="clear" w:color="auto" w:fill="auto"/>
            <w:noWrap/>
            <w:vAlign w:val="bottom"/>
            <w:hideMark/>
          </w:tcPr>
          <w:p w:rsidR="00382B0F" w:rsidRPr="00116FC1" w:rsidRDefault="00382B0F" w:rsidP="00412299">
            <w:pPr>
              <w:spacing w:line="240" w:lineRule="auto"/>
              <w:jc w:val="right"/>
              <w:rPr>
                <w:rFonts w:ascii="Calibri" w:hAnsi="Calibri"/>
                <w:color w:val="000000"/>
                <w:sz w:val="18"/>
                <w:szCs w:val="18"/>
                <w:lang w:eastAsia="sl-SI"/>
              </w:rPr>
            </w:pPr>
            <w:r w:rsidRPr="00972554">
              <w:rPr>
                <w:rFonts w:ascii="Calibri" w:hAnsi="Calibri"/>
                <w:sz w:val="18"/>
                <w:szCs w:val="18"/>
              </w:rPr>
              <w:t>103,86</w:t>
            </w:r>
          </w:p>
        </w:tc>
        <w:tc>
          <w:tcPr>
            <w:tcW w:w="593" w:type="pct"/>
            <w:shd w:val="clear" w:color="auto" w:fill="auto"/>
            <w:noWrap/>
            <w:vAlign w:val="bottom"/>
            <w:hideMark/>
          </w:tcPr>
          <w:p w:rsidR="00382B0F" w:rsidRPr="00116FC1" w:rsidRDefault="00382B0F" w:rsidP="00116FC1">
            <w:pPr>
              <w:spacing w:line="240" w:lineRule="auto"/>
              <w:jc w:val="right"/>
              <w:rPr>
                <w:rFonts w:ascii="Calibri" w:hAnsi="Calibri"/>
                <w:color w:val="000000"/>
                <w:sz w:val="18"/>
                <w:szCs w:val="18"/>
                <w:lang w:eastAsia="sl-SI"/>
              </w:rPr>
            </w:pPr>
            <w:r w:rsidRPr="00972554">
              <w:rPr>
                <w:rFonts w:ascii="Calibri" w:hAnsi="Calibri"/>
                <w:sz w:val="18"/>
                <w:szCs w:val="18"/>
              </w:rPr>
              <w:t xml:space="preserve">752.488 </w:t>
            </w:r>
          </w:p>
        </w:tc>
      </w:tr>
      <w:tr w:rsidR="00382B0F" w:rsidRPr="00972554" w:rsidTr="00972554">
        <w:trPr>
          <w:trHeight w:val="300"/>
        </w:trPr>
        <w:tc>
          <w:tcPr>
            <w:tcW w:w="2113" w:type="pct"/>
            <w:shd w:val="clear" w:color="auto" w:fill="auto"/>
            <w:noWrap/>
            <w:vAlign w:val="bottom"/>
            <w:hideMark/>
          </w:tcPr>
          <w:p w:rsidR="00382B0F" w:rsidRPr="00412299" w:rsidRDefault="00382B0F" w:rsidP="00716B2A">
            <w:pPr>
              <w:spacing w:line="240" w:lineRule="auto"/>
              <w:rPr>
                <w:rFonts w:ascii="Calibri" w:hAnsi="Calibri"/>
                <w:color w:val="000000"/>
                <w:sz w:val="18"/>
                <w:szCs w:val="18"/>
                <w:lang w:eastAsia="sl-SI"/>
              </w:rPr>
            </w:pPr>
            <w:r w:rsidRPr="00412299">
              <w:rPr>
                <w:rFonts w:ascii="Calibri" w:hAnsi="Calibri"/>
                <w:color w:val="000000"/>
                <w:sz w:val="18"/>
                <w:szCs w:val="18"/>
                <w:lang w:eastAsia="sl-SI"/>
              </w:rPr>
              <w:t>214-Kratkoročne terjatve</w:t>
            </w:r>
          </w:p>
        </w:tc>
        <w:tc>
          <w:tcPr>
            <w:tcW w:w="814" w:type="pct"/>
            <w:shd w:val="clear" w:color="auto" w:fill="auto"/>
            <w:noWrap/>
            <w:vAlign w:val="bottom"/>
            <w:hideMark/>
          </w:tcPr>
          <w:p w:rsidR="00382B0F" w:rsidRPr="00116FC1" w:rsidRDefault="00382B0F"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130.531.915 </w:t>
            </w:r>
          </w:p>
        </w:tc>
        <w:tc>
          <w:tcPr>
            <w:tcW w:w="814" w:type="pct"/>
            <w:shd w:val="clear" w:color="auto" w:fill="auto"/>
            <w:noWrap/>
            <w:vAlign w:val="bottom"/>
            <w:hideMark/>
          </w:tcPr>
          <w:p w:rsidR="00382B0F" w:rsidRPr="00972554" w:rsidRDefault="00382B0F" w:rsidP="00716B2A">
            <w:pPr>
              <w:spacing w:line="240" w:lineRule="auto"/>
              <w:jc w:val="right"/>
              <w:rPr>
                <w:rFonts w:ascii="Calibri" w:hAnsi="Calibri"/>
                <w:color w:val="000000"/>
                <w:sz w:val="18"/>
                <w:szCs w:val="18"/>
                <w:lang w:eastAsia="sl-SI"/>
              </w:rPr>
            </w:pPr>
            <w:r w:rsidRPr="00972554">
              <w:rPr>
                <w:rFonts w:ascii="Calibri" w:hAnsi="Calibri" w:cs="Calibri"/>
                <w:color w:val="000000"/>
                <w:sz w:val="18"/>
                <w:szCs w:val="18"/>
                <w:lang w:val="sl-SI" w:eastAsia="sl-SI"/>
              </w:rPr>
              <w:t xml:space="preserve">134.307.932 </w:t>
            </w:r>
          </w:p>
        </w:tc>
        <w:tc>
          <w:tcPr>
            <w:tcW w:w="666" w:type="pct"/>
            <w:shd w:val="clear" w:color="auto" w:fill="auto"/>
            <w:noWrap/>
            <w:vAlign w:val="bottom"/>
            <w:hideMark/>
          </w:tcPr>
          <w:p w:rsidR="00382B0F" w:rsidRPr="00116FC1" w:rsidRDefault="00382B0F" w:rsidP="00412299">
            <w:pPr>
              <w:spacing w:line="240" w:lineRule="auto"/>
              <w:jc w:val="right"/>
              <w:rPr>
                <w:rFonts w:ascii="Calibri" w:hAnsi="Calibri"/>
                <w:color w:val="000000"/>
                <w:sz w:val="18"/>
                <w:szCs w:val="18"/>
                <w:lang w:eastAsia="sl-SI"/>
              </w:rPr>
            </w:pPr>
            <w:r w:rsidRPr="00972554">
              <w:rPr>
                <w:rFonts w:ascii="Calibri" w:hAnsi="Calibri"/>
                <w:sz w:val="18"/>
                <w:szCs w:val="18"/>
              </w:rPr>
              <w:t>97,19</w:t>
            </w:r>
          </w:p>
        </w:tc>
        <w:tc>
          <w:tcPr>
            <w:tcW w:w="593" w:type="pct"/>
            <w:shd w:val="clear" w:color="auto" w:fill="auto"/>
            <w:noWrap/>
            <w:vAlign w:val="bottom"/>
            <w:hideMark/>
          </w:tcPr>
          <w:p w:rsidR="00382B0F" w:rsidRPr="00116FC1" w:rsidRDefault="00382B0F" w:rsidP="00116FC1">
            <w:pPr>
              <w:spacing w:line="240" w:lineRule="auto"/>
              <w:jc w:val="right"/>
              <w:rPr>
                <w:rFonts w:ascii="Calibri" w:hAnsi="Calibri"/>
                <w:color w:val="000000"/>
                <w:sz w:val="18"/>
                <w:szCs w:val="18"/>
                <w:lang w:eastAsia="sl-SI"/>
              </w:rPr>
            </w:pPr>
            <w:r w:rsidRPr="00972554">
              <w:rPr>
                <w:rFonts w:ascii="Calibri" w:hAnsi="Calibri"/>
                <w:sz w:val="18"/>
                <w:szCs w:val="18"/>
              </w:rPr>
              <w:t xml:space="preserve">-3.776.017 </w:t>
            </w:r>
          </w:p>
        </w:tc>
      </w:tr>
      <w:tr w:rsidR="00382B0F" w:rsidRPr="00972554" w:rsidTr="00972554">
        <w:trPr>
          <w:trHeight w:val="300"/>
        </w:trPr>
        <w:tc>
          <w:tcPr>
            <w:tcW w:w="2113" w:type="pct"/>
            <w:tcBorders>
              <w:bottom w:val="single" w:sz="4" w:space="0" w:color="auto"/>
            </w:tcBorders>
            <w:shd w:val="clear" w:color="auto" w:fill="auto"/>
            <w:noWrap/>
            <w:vAlign w:val="bottom"/>
            <w:hideMark/>
          </w:tcPr>
          <w:p w:rsidR="00382B0F" w:rsidRPr="00412299" w:rsidRDefault="00382B0F" w:rsidP="00716B2A">
            <w:pPr>
              <w:spacing w:line="240" w:lineRule="auto"/>
              <w:rPr>
                <w:rFonts w:ascii="Calibri" w:hAnsi="Calibri"/>
                <w:color w:val="000000"/>
                <w:sz w:val="18"/>
                <w:szCs w:val="18"/>
                <w:lang w:eastAsia="sl-SI"/>
              </w:rPr>
            </w:pPr>
            <w:r w:rsidRPr="00412299">
              <w:rPr>
                <w:rFonts w:ascii="Calibri" w:hAnsi="Calibri"/>
                <w:color w:val="000000"/>
                <w:sz w:val="18"/>
                <w:szCs w:val="18"/>
                <w:lang w:eastAsia="sl-SI"/>
              </w:rPr>
              <w:t>215-Druge terjatve</w:t>
            </w:r>
          </w:p>
        </w:tc>
        <w:tc>
          <w:tcPr>
            <w:tcW w:w="814" w:type="pct"/>
            <w:tcBorders>
              <w:bottom w:val="single" w:sz="4" w:space="0" w:color="auto"/>
            </w:tcBorders>
            <w:shd w:val="clear" w:color="auto" w:fill="auto"/>
            <w:noWrap/>
            <w:vAlign w:val="bottom"/>
            <w:hideMark/>
          </w:tcPr>
          <w:p w:rsidR="00382B0F" w:rsidRPr="00116FC1" w:rsidRDefault="00382B0F"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133.048.977 </w:t>
            </w:r>
          </w:p>
        </w:tc>
        <w:tc>
          <w:tcPr>
            <w:tcW w:w="814" w:type="pct"/>
            <w:tcBorders>
              <w:bottom w:val="single" w:sz="4" w:space="0" w:color="auto"/>
            </w:tcBorders>
            <w:shd w:val="clear" w:color="auto" w:fill="auto"/>
            <w:noWrap/>
            <w:vAlign w:val="bottom"/>
            <w:hideMark/>
          </w:tcPr>
          <w:p w:rsidR="00382B0F" w:rsidRPr="00972554" w:rsidRDefault="00382B0F" w:rsidP="00716B2A">
            <w:pPr>
              <w:spacing w:line="240" w:lineRule="auto"/>
              <w:jc w:val="right"/>
              <w:rPr>
                <w:rFonts w:ascii="Calibri" w:hAnsi="Calibri"/>
                <w:color w:val="000000"/>
                <w:sz w:val="18"/>
                <w:szCs w:val="18"/>
                <w:lang w:eastAsia="sl-SI"/>
              </w:rPr>
            </w:pPr>
            <w:r w:rsidRPr="00972554">
              <w:rPr>
                <w:rFonts w:ascii="Calibri" w:hAnsi="Calibri" w:cs="Calibri"/>
                <w:color w:val="000000"/>
                <w:sz w:val="18"/>
                <w:szCs w:val="18"/>
                <w:lang w:val="sl-SI" w:eastAsia="sl-SI"/>
              </w:rPr>
              <w:t xml:space="preserve">123.498.514 </w:t>
            </w:r>
          </w:p>
        </w:tc>
        <w:tc>
          <w:tcPr>
            <w:tcW w:w="666" w:type="pct"/>
            <w:tcBorders>
              <w:bottom w:val="single" w:sz="4" w:space="0" w:color="auto"/>
            </w:tcBorders>
            <w:shd w:val="clear" w:color="auto" w:fill="auto"/>
            <w:noWrap/>
            <w:vAlign w:val="bottom"/>
            <w:hideMark/>
          </w:tcPr>
          <w:p w:rsidR="00382B0F" w:rsidRPr="00116FC1" w:rsidRDefault="00382B0F" w:rsidP="00412299">
            <w:pPr>
              <w:spacing w:line="240" w:lineRule="auto"/>
              <w:jc w:val="right"/>
              <w:rPr>
                <w:rFonts w:ascii="Calibri" w:hAnsi="Calibri"/>
                <w:color w:val="000000"/>
                <w:sz w:val="18"/>
                <w:szCs w:val="18"/>
                <w:lang w:eastAsia="sl-SI"/>
              </w:rPr>
            </w:pPr>
            <w:r w:rsidRPr="00972554">
              <w:rPr>
                <w:rFonts w:ascii="Calibri" w:hAnsi="Calibri"/>
                <w:sz w:val="18"/>
                <w:szCs w:val="18"/>
              </w:rPr>
              <w:t>107,73</w:t>
            </w:r>
          </w:p>
        </w:tc>
        <w:tc>
          <w:tcPr>
            <w:tcW w:w="593" w:type="pct"/>
            <w:tcBorders>
              <w:bottom w:val="single" w:sz="4" w:space="0" w:color="auto"/>
            </w:tcBorders>
            <w:shd w:val="clear" w:color="auto" w:fill="auto"/>
            <w:noWrap/>
            <w:vAlign w:val="bottom"/>
            <w:hideMark/>
          </w:tcPr>
          <w:p w:rsidR="00382B0F" w:rsidRPr="00972554" w:rsidRDefault="00382B0F" w:rsidP="00116FC1">
            <w:pPr>
              <w:spacing w:line="240" w:lineRule="auto"/>
              <w:jc w:val="right"/>
              <w:rPr>
                <w:rFonts w:ascii="Calibri" w:hAnsi="Calibri"/>
                <w:color w:val="000000"/>
                <w:sz w:val="18"/>
                <w:szCs w:val="18"/>
                <w:lang w:eastAsia="sl-SI"/>
              </w:rPr>
            </w:pPr>
            <w:r w:rsidRPr="00972554">
              <w:rPr>
                <w:rFonts w:ascii="Calibri" w:hAnsi="Calibri"/>
                <w:sz w:val="18"/>
                <w:szCs w:val="18"/>
              </w:rPr>
              <w:t xml:space="preserve">9.550.463 </w:t>
            </w:r>
          </w:p>
        </w:tc>
      </w:tr>
      <w:tr w:rsidR="00382B0F" w:rsidRPr="00972554" w:rsidTr="00972554">
        <w:trPr>
          <w:trHeight w:val="300"/>
        </w:trPr>
        <w:tc>
          <w:tcPr>
            <w:tcW w:w="2113" w:type="pct"/>
            <w:shd w:val="clear" w:color="auto" w:fill="92D050"/>
            <w:noWrap/>
            <w:vAlign w:val="bottom"/>
            <w:hideMark/>
          </w:tcPr>
          <w:p w:rsidR="00382B0F" w:rsidRPr="00412299" w:rsidRDefault="00382B0F" w:rsidP="00716B2A">
            <w:pPr>
              <w:spacing w:line="240" w:lineRule="auto"/>
              <w:rPr>
                <w:rFonts w:ascii="Calibri" w:hAnsi="Calibri"/>
                <w:b/>
                <w:i/>
                <w:color w:val="000000"/>
                <w:sz w:val="18"/>
                <w:szCs w:val="18"/>
                <w:lang w:eastAsia="sl-SI"/>
              </w:rPr>
            </w:pPr>
            <w:r w:rsidRPr="00412299">
              <w:rPr>
                <w:rFonts w:ascii="Calibri" w:hAnsi="Calibri"/>
                <w:b/>
                <w:i/>
                <w:color w:val="000000"/>
                <w:sz w:val="18"/>
                <w:szCs w:val="18"/>
                <w:lang w:eastAsia="sl-SI"/>
              </w:rPr>
              <w:t>216-Skupaj aktiva</w:t>
            </w:r>
          </w:p>
        </w:tc>
        <w:tc>
          <w:tcPr>
            <w:tcW w:w="814" w:type="pct"/>
            <w:shd w:val="clear" w:color="auto" w:fill="92D050"/>
            <w:noWrap/>
            <w:vAlign w:val="bottom"/>
            <w:hideMark/>
          </w:tcPr>
          <w:p w:rsidR="00382B0F" w:rsidRPr="00116FC1" w:rsidRDefault="00382B0F" w:rsidP="00412299">
            <w:pPr>
              <w:spacing w:line="240" w:lineRule="auto"/>
              <w:jc w:val="right"/>
              <w:rPr>
                <w:rFonts w:ascii="Calibri" w:hAnsi="Calibri"/>
                <w:b/>
                <w:i/>
                <w:color w:val="000000"/>
                <w:sz w:val="18"/>
                <w:szCs w:val="18"/>
                <w:lang w:eastAsia="sl-SI"/>
              </w:rPr>
            </w:pPr>
            <w:r w:rsidRPr="00972554">
              <w:rPr>
                <w:rFonts w:ascii="Calibri" w:hAnsi="Calibri"/>
                <w:b/>
                <w:i/>
                <w:sz w:val="18"/>
                <w:szCs w:val="18"/>
              </w:rPr>
              <w:t xml:space="preserve">3.385.635.976 </w:t>
            </w:r>
          </w:p>
        </w:tc>
        <w:tc>
          <w:tcPr>
            <w:tcW w:w="814" w:type="pct"/>
            <w:shd w:val="clear" w:color="auto" w:fill="92D050"/>
            <w:noWrap/>
            <w:vAlign w:val="bottom"/>
            <w:hideMark/>
          </w:tcPr>
          <w:p w:rsidR="00382B0F" w:rsidRPr="00972554" w:rsidRDefault="00382B0F" w:rsidP="00716B2A">
            <w:pPr>
              <w:spacing w:line="240" w:lineRule="auto"/>
              <w:jc w:val="right"/>
              <w:rPr>
                <w:rFonts w:ascii="Calibri" w:hAnsi="Calibri"/>
                <w:b/>
                <w:i/>
                <w:color w:val="000000"/>
                <w:sz w:val="18"/>
                <w:szCs w:val="18"/>
                <w:lang w:eastAsia="sl-SI"/>
              </w:rPr>
            </w:pPr>
            <w:r w:rsidRPr="00972554">
              <w:rPr>
                <w:rFonts w:ascii="Calibri" w:hAnsi="Calibri"/>
                <w:b/>
                <w:i/>
                <w:color w:val="000000"/>
                <w:sz w:val="18"/>
                <w:szCs w:val="18"/>
                <w:lang w:eastAsia="sl-SI"/>
              </w:rPr>
              <w:t xml:space="preserve">3.308.294.166 </w:t>
            </w:r>
          </w:p>
        </w:tc>
        <w:tc>
          <w:tcPr>
            <w:tcW w:w="666" w:type="pct"/>
            <w:shd w:val="clear" w:color="auto" w:fill="92D050"/>
            <w:noWrap/>
            <w:vAlign w:val="bottom"/>
            <w:hideMark/>
          </w:tcPr>
          <w:p w:rsidR="00382B0F" w:rsidRPr="00116FC1" w:rsidRDefault="00382B0F" w:rsidP="00412299">
            <w:pPr>
              <w:spacing w:line="240" w:lineRule="auto"/>
              <w:jc w:val="right"/>
              <w:rPr>
                <w:rFonts w:ascii="Calibri" w:hAnsi="Calibri"/>
                <w:b/>
                <w:i/>
                <w:color w:val="000000"/>
                <w:sz w:val="18"/>
                <w:szCs w:val="18"/>
                <w:lang w:eastAsia="sl-SI"/>
              </w:rPr>
            </w:pPr>
            <w:r w:rsidRPr="00972554">
              <w:rPr>
                <w:rFonts w:ascii="Calibri" w:hAnsi="Calibri"/>
                <w:b/>
                <w:i/>
                <w:sz w:val="18"/>
                <w:szCs w:val="18"/>
              </w:rPr>
              <w:t>102,34</w:t>
            </w:r>
          </w:p>
        </w:tc>
        <w:tc>
          <w:tcPr>
            <w:tcW w:w="593" w:type="pct"/>
            <w:shd w:val="clear" w:color="auto" w:fill="92D050"/>
            <w:noWrap/>
            <w:vAlign w:val="bottom"/>
            <w:hideMark/>
          </w:tcPr>
          <w:p w:rsidR="00382B0F" w:rsidRPr="00116FC1" w:rsidRDefault="00382B0F" w:rsidP="00116FC1">
            <w:pPr>
              <w:spacing w:line="240" w:lineRule="auto"/>
              <w:jc w:val="right"/>
              <w:rPr>
                <w:rFonts w:ascii="Calibri" w:hAnsi="Calibri"/>
                <w:b/>
                <w:i/>
                <w:color w:val="000000"/>
                <w:sz w:val="18"/>
                <w:szCs w:val="18"/>
                <w:lang w:eastAsia="sl-SI"/>
              </w:rPr>
            </w:pPr>
            <w:r w:rsidRPr="00972554">
              <w:rPr>
                <w:rFonts w:ascii="Calibri" w:hAnsi="Calibri"/>
                <w:b/>
                <w:i/>
                <w:sz w:val="18"/>
                <w:szCs w:val="18"/>
              </w:rPr>
              <w:t xml:space="preserve">77.341.810 </w:t>
            </w:r>
          </w:p>
        </w:tc>
      </w:tr>
      <w:tr w:rsidR="00382B0F" w:rsidRPr="00972554" w:rsidTr="00972554">
        <w:trPr>
          <w:trHeight w:val="300"/>
        </w:trPr>
        <w:tc>
          <w:tcPr>
            <w:tcW w:w="2113" w:type="pct"/>
            <w:shd w:val="clear" w:color="auto" w:fill="auto"/>
            <w:noWrap/>
            <w:vAlign w:val="bottom"/>
            <w:hideMark/>
          </w:tcPr>
          <w:p w:rsidR="00382B0F" w:rsidRPr="00412299" w:rsidRDefault="00382B0F" w:rsidP="00716B2A">
            <w:pPr>
              <w:spacing w:line="240" w:lineRule="auto"/>
              <w:rPr>
                <w:rFonts w:ascii="Calibri" w:hAnsi="Calibri"/>
                <w:color w:val="000000"/>
                <w:sz w:val="18"/>
                <w:szCs w:val="18"/>
                <w:lang w:eastAsia="sl-SI"/>
              </w:rPr>
            </w:pPr>
            <w:r w:rsidRPr="00412299">
              <w:rPr>
                <w:rFonts w:ascii="Calibri" w:hAnsi="Calibri"/>
                <w:color w:val="000000"/>
                <w:sz w:val="18"/>
                <w:szCs w:val="18"/>
                <w:lang w:eastAsia="sl-SI"/>
              </w:rPr>
              <w:t>217-Splošni sklad</w:t>
            </w:r>
          </w:p>
        </w:tc>
        <w:tc>
          <w:tcPr>
            <w:tcW w:w="814" w:type="pct"/>
            <w:shd w:val="clear" w:color="auto" w:fill="auto"/>
            <w:noWrap/>
            <w:vAlign w:val="bottom"/>
            <w:hideMark/>
          </w:tcPr>
          <w:p w:rsidR="00382B0F" w:rsidRPr="00116FC1" w:rsidRDefault="00382B0F"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302.045 </w:t>
            </w:r>
          </w:p>
        </w:tc>
        <w:tc>
          <w:tcPr>
            <w:tcW w:w="814" w:type="pct"/>
            <w:shd w:val="clear" w:color="auto" w:fill="auto"/>
            <w:noWrap/>
            <w:vAlign w:val="bottom"/>
            <w:hideMark/>
          </w:tcPr>
          <w:p w:rsidR="00382B0F" w:rsidRPr="00972554" w:rsidRDefault="00382B0F" w:rsidP="00716B2A">
            <w:pPr>
              <w:spacing w:line="240" w:lineRule="auto"/>
              <w:jc w:val="right"/>
              <w:rPr>
                <w:rFonts w:ascii="Calibri" w:hAnsi="Calibri"/>
                <w:color w:val="000000"/>
                <w:sz w:val="18"/>
                <w:szCs w:val="18"/>
                <w:lang w:eastAsia="sl-SI"/>
              </w:rPr>
            </w:pPr>
            <w:r w:rsidRPr="00972554">
              <w:rPr>
                <w:rFonts w:ascii="Calibri" w:hAnsi="Calibri" w:cs="Calibri"/>
                <w:color w:val="000000"/>
                <w:sz w:val="18"/>
                <w:szCs w:val="18"/>
                <w:lang w:val="sl-SI" w:eastAsia="sl-SI"/>
              </w:rPr>
              <w:t xml:space="preserve">204.707 </w:t>
            </w:r>
          </w:p>
        </w:tc>
        <w:tc>
          <w:tcPr>
            <w:tcW w:w="666" w:type="pct"/>
            <w:shd w:val="clear" w:color="auto" w:fill="auto"/>
            <w:noWrap/>
            <w:vAlign w:val="bottom"/>
            <w:hideMark/>
          </w:tcPr>
          <w:p w:rsidR="00382B0F" w:rsidRPr="00116FC1" w:rsidRDefault="00382B0F" w:rsidP="00412299">
            <w:pPr>
              <w:spacing w:line="240" w:lineRule="auto"/>
              <w:jc w:val="right"/>
              <w:rPr>
                <w:rFonts w:ascii="Calibri" w:hAnsi="Calibri"/>
                <w:color w:val="000000"/>
                <w:sz w:val="18"/>
                <w:szCs w:val="18"/>
                <w:lang w:eastAsia="sl-SI"/>
              </w:rPr>
            </w:pPr>
            <w:r w:rsidRPr="00972554">
              <w:rPr>
                <w:rFonts w:ascii="Calibri" w:hAnsi="Calibri"/>
                <w:sz w:val="18"/>
                <w:szCs w:val="18"/>
              </w:rPr>
              <w:t>147,55</w:t>
            </w:r>
          </w:p>
        </w:tc>
        <w:tc>
          <w:tcPr>
            <w:tcW w:w="593" w:type="pct"/>
            <w:shd w:val="clear" w:color="auto" w:fill="auto"/>
            <w:noWrap/>
            <w:vAlign w:val="bottom"/>
            <w:hideMark/>
          </w:tcPr>
          <w:p w:rsidR="00382B0F" w:rsidRPr="00116FC1" w:rsidRDefault="00382B0F" w:rsidP="00116FC1">
            <w:pPr>
              <w:spacing w:line="240" w:lineRule="auto"/>
              <w:jc w:val="right"/>
              <w:rPr>
                <w:rFonts w:ascii="Calibri" w:hAnsi="Calibri"/>
                <w:color w:val="000000"/>
                <w:sz w:val="18"/>
                <w:szCs w:val="18"/>
                <w:lang w:eastAsia="sl-SI"/>
              </w:rPr>
            </w:pPr>
            <w:r w:rsidRPr="00972554">
              <w:rPr>
                <w:rFonts w:ascii="Calibri" w:hAnsi="Calibri"/>
                <w:sz w:val="18"/>
                <w:szCs w:val="18"/>
              </w:rPr>
              <w:t xml:space="preserve">97.338 </w:t>
            </w:r>
          </w:p>
        </w:tc>
      </w:tr>
      <w:tr w:rsidR="00382B0F" w:rsidRPr="00972554" w:rsidTr="00972554">
        <w:trPr>
          <w:trHeight w:val="300"/>
        </w:trPr>
        <w:tc>
          <w:tcPr>
            <w:tcW w:w="2113" w:type="pct"/>
            <w:shd w:val="clear" w:color="auto" w:fill="auto"/>
            <w:noWrap/>
            <w:vAlign w:val="bottom"/>
            <w:hideMark/>
          </w:tcPr>
          <w:p w:rsidR="00382B0F" w:rsidRPr="00116FC1" w:rsidRDefault="00382B0F" w:rsidP="00716B2A">
            <w:pPr>
              <w:spacing w:line="240" w:lineRule="auto"/>
              <w:rPr>
                <w:rFonts w:ascii="Calibri" w:hAnsi="Calibri"/>
                <w:color w:val="000000"/>
                <w:sz w:val="18"/>
                <w:szCs w:val="18"/>
                <w:lang w:eastAsia="sl-SI"/>
              </w:rPr>
            </w:pPr>
            <w:r w:rsidRPr="00412299">
              <w:rPr>
                <w:rFonts w:ascii="Calibri" w:hAnsi="Calibri"/>
                <w:color w:val="000000"/>
                <w:sz w:val="18"/>
                <w:szCs w:val="18"/>
                <w:lang w:eastAsia="sl-SI"/>
              </w:rPr>
              <w:t>218-Sklad premoženja v javnih skladih in drugih pravnih os</w:t>
            </w:r>
            <w:r w:rsidRPr="00116FC1">
              <w:rPr>
                <w:rFonts w:ascii="Calibri" w:hAnsi="Calibri"/>
                <w:color w:val="000000"/>
                <w:sz w:val="18"/>
                <w:szCs w:val="18"/>
                <w:lang w:eastAsia="sl-SI"/>
              </w:rPr>
              <w:t>ebah javnega prava, ki je v njihovi lasti</w:t>
            </w:r>
          </w:p>
        </w:tc>
        <w:tc>
          <w:tcPr>
            <w:tcW w:w="814" w:type="pct"/>
            <w:shd w:val="clear" w:color="auto" w:fill="auto"/>
            <w:noWrap/>
            <w:vAlign w:val="bottom"/>
            <w:hideMark/>
          </w:tcPr>
          <w:p w:rsidR="00382B0F" w:rsidRPr="00116FC1" w:rsidRDefault="00382B0F"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431.452.350 </w:t>
            </w:r>
          </w:p>
        </w:tc>
        <w:tc>
          <w:tcPr>
            <w:tcW w:w="814" w:type="pct"/>
            <w:shd w:val="clear" w:color="auto" w:fill="auto"/>
            <w:noWrap/>
            <w:vAlign w:val="bottom"/>
            <w:hideMark/>
          </w:tcPr>
          <w:p w:rsidR="00382B0F" w:rsidRPr="00972554" w:rsidRDefault="00382B0F" w:rsidP="00716B2A">
            <w:pPr>
              <w:spacing w:line="240" w:lineRule="auto"/>
              <w:jc w:val="right"/>
              <w:rPr>
                <w:rFonts w:ascii="Calibri" w:hAnsi="Calibri"/>
                <w:color w:val="000000"/>
                <w:sz w:val="18"/>
                <w:szCs w:val="18"/>
                <w:lang w:eastAsia="sl-SI"/>
              </w:rPr>
            </w:pPr>
            <w:r w:rsidRPr="00972554">
              <w:rPr>
                <w:rFonts w:ascii="Calibri" w:hAnsi="Calibri" w:cs="Calibri"/>
                <w:color w:val="000000"/>
                <w:sz w:val="18"/>
                <w:szCs w:val="18"/>
                <w:lang w:val="sl-SI" w:eastAsia="sl-SI"/>
              </w:rPr>
              <w:t xml:space="preserve">438.195.870 </w:t>
            </w:r>
          </w:p>
        </w:tc>
        <w:tc>
          <w:tcPr>
            <w:tcW w:w="666" w:type="pct"/>
            <w:shd w:val="clear" w:color="auto" w:fill="auto"/>
            <w:noWrap/>
            <w:vAlign w:val="bottom"/>
            <w:hideMark/>
          </w:tcPr>
          <w:p w:rsidR="00382B0F" w:rsidRPr="00116FC1" w:rsidRDefault="00382B0F" w:rsidP="00412299">
            <w:pPr>
              <w:spacing w:line="240" w:lineRule="auto"/>
              <w:jc w:val="right"/>
              <w:rPr>
                <w:rFonts w:ascii="Calibri" w:hAnsi="Calibri"/>
                <w:color w:val="000000"/>
                <w:sz w:val="18"/>
                <w:szCs w:val="18"/>
                <w:lang w:eastAsia="sl-SI"/>
              </w:rPr>
            </w:pPr>
            <w:r w:rsidRPr="00972554">
              <w:rPr>
                <w:rFonts w:ascii="Calibri" w:hAnsi="Calibri"/>
                <w:sz w:val="18"/>
                <w:szCs w:val="18"/>
              </w:rPr>
              <w:t>98,46</w:t>
            </w:r>
          </w:p>
        </w:tc>
        <w:tc>
          <w:tcPr>
            <w:tcW w:w="593" w:type="pct"/>
            <w:shd w:val="clear" w:color="auto" w:fill="auto"/>
            <w:noWrap/>
            <w:vAlign w:val="bottom"/>
            <w:hideMark/>
          </w:tcPr>
          <w:p w:rsidR="00382B0F" w:rsidRPr="00116FC1" w:rsidRDefault="00382B0F" w:rsidP="00116FC1">
            <w:pPr>
              <w:spacing w:line="240" w:lineRule="auto"/>
              <w:jc w:val="right"/>
              <w:rPr>
                <w:rFonts w:ascii="Calibri" w:hAnsi="Calibri"/>
                <w:color w:val="000000"/>
                <w:sz w:val="18"/>
                <w:szCs w:val="18"/>
                <w:lang w:eastAsia="sl-SI"/>
              </w:rPr>
            </w:pPr>
            <w:r w:rsidRPr="00972554">
              <w:rPr>
                <w:rFonts w:ascii="Calibri" w:hAnsi="Calibri"/>
                <w:sz w:val="18"/>
                <w:szCs w:val="18"/>
              </w:rPr>
              <w:t xml:space="preserve">-6.743.520 </w:t>
            </w:r>
          </w:p>
        </w:tc>
      </w:tr>
      <w:tr w:rsidR="00382B0F" w:rsidRPr="00972554" w:rsidTr="00972554">
        <w:trPr>
          <w:trHeight w:val="300"/>
        </w:trPr>
        <w:tc>
          <w:tcPr>
            <w:tcW w:w="2113" w:type="pct"/>
            <w:shd w:val="clear" w:color="auto" w:fill="auto"/>
            <w:noWrap/>
            <w:vAlign w:val="bottom"/>
            <w:hideMark/>
          </w:tcPr>
          <w:p w:rsidR="00382B0F" w:rsidRPr="00412299" w:rsidRDefault="00382B0F" w:rsidP="00716B2A">
            <w:pPr>
              <w:spacing w:line="240" w:lineRule="auto"/>
              <w:rPr>
                <w:rFonts w:ascii="Calibri" w:hAnsi="Calibri"/>
                <w:color w:val="000000"/>
                <w:sz w:val="18"/>
                <w:szCs w:val="18"/>
                <w:lang w:eastAsia="sl-SI"/>
              </w:rPr>
            </w:pPr>
            <w:r w:rsidRPr="00412299">
              <w:rPr>
                <w:rFonts w:ascii="Calibri" w:hAnsi="Calibri"/>
                <w:color w:val="000000"/>
                <w:sz w:val="18"/>
                <w:szCs w:val="18"/>
                <w:lang w:eastAsia="sl-SI"/>
              </w:rPr>
              <w:t>219-Obveznosti za sredstva prejeta v upravljanje</w:t>
            </w:r>
          </w:p>
        </w:tc>
        <w:tc>
          <w:tcPr>
            <w:tcW w:w="814" w:type="pct"/>
            <w:shd w:val="clear" w:color="auto" w:fill="auto"/>
            <w:noWrap/>
            <w:vAlign w:val="bottom"/>
            <w:hideMark/>
          </w:tcPr>
          <w:p w:rsidR="00382B0F" w:rsidRPr="00116FC1" w:rsidRDefault="00382B0F"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2.659.175.864 </w:t>
            </w:r>
          </w:p>
        </w:tc>
        <w:tc>
          <w:tcPr>
            <w:tcW w:w="814" w:type="pct"/>
            <w:shd w:val="clear" w:color="auto" w:fill="auto"/>
            <w:noWrap/>
            <w:vAlign w:val="bottom"/>
            <w:hideMark/>
          </w:tcPr>
          <w:p w:rsidR="00382B0F" w:rsidRPr="00972554" w:rsidRDefault="00382B0F" w:rsidP="00716B2A">
            <w:pPr>
              <w:spacing w:line="240" w:lineRule="auto"/>
              <w:jc w:val="right"/>
              <w:rPr>
                <w:rFonts w:ascii="Calibri" w:hAnsi="Calibri"/>
                <w:color w:val="000000"/>
                <w:sz w:val="18"/>
                <w:szCs w:val="18"/>
                <w:lang w:eastAsia="sl-SI"/>
              </w:rPr>
            </w:pPr>
            <w:r w:rsidRPr="00972554">
              <w:rPr>
                <w:rFonts w:ascii="Calibri" w:hAnsi="Calibri" w:cs="Calibri"/>
                <w:color w:val="000000"/>
                <w:sz w:val="18"/>
                <w:szCs w:val="18"/>
                <w:lang w:val="sl-SI" w:eastAsia="sl-SI"/>
              </w:rPr>
              <w:t xml:space="preserve">2.589.042.865 </w:t>
            </w:r>
          </w:p>
        </w:tc>
        <w:tc>
          <w:tcPr>
            <w:tcW w:w="666" w:type="pct"/>
            <w:shd w:val="clear" w:color="auto" w:fill="auto"/>
            <w:noWrap/>
            <w:vAlign w:val="bottom"/>
            <w:hideMark/>
          </w:tcPr>
          <w:p w:rsidR="00382B0F" w:rsidRPr="00116FC1" w:rsidRDefault="00382B0F" w:rsidP="00412299">
            <w:pPr>
              <w:spacing w:line="240" w:lineRule="auto"/>
              <w:jc w:val="right"/>
              <w:rPr>
                <w:rFonts w:ascii="Calibri" w:hAnsi="Calibri"/>
                <w:color w:val="000000"/>
                <w:sz w:val="18"/>
                <w:szCs w:val="18"/>
                <w:lang w:eastAsia="sl-SI"/>
              </w:rPr>
            </w:pPr>
            <w:r w:rsidRPr="00972554">
              <w:rPr>
                <w:rFonts w:ascii="Calibri" w:hAnsi="Calibri"/>
                <w:sz w:val="18"/>
                <w:szCs w:val="18"/>
              </w:rPr>
              <w:t>102,71</w:t>
            </w:r>
          </w:p>
        </w:tc>
        <w:tc>
          <w:tcPr>
            <w:tcW w:w="593" w:type="pct"/>
            <w:shd w:val="clear" w:color="auto" w:fill="auto"/>
            <w:noWrap/>
            <w:vAlign w:val="bottom"/>
            <w:hideMark/>
          </w:tcPr>
          <w:p w:rsidR="00382B0F" w:rsidRPr="00116FC1" w:rsidRDefault="00382B0F" w:rsidP="00116FC1">
            <w:pPr>
              <w:spacing w:line="240" w:lineRule="auto"/>
              <w:jc w:val="right"/>
              <w:rPr>
                <w:rFonts w:ascii="Calibri" w:hAnsi="Calibri"/>
                <w:color w:val="000000"/>
                <w:sz w:val="18"/>
                <w:szCs w:val="18"/>
                <w:lang w:eastAsia="sl-SI"/>
              </w:rPr>
            </w:pPr>
            <w:r w:rsidRPr="00972554">
              <w:rPr>
                <w:rFonts w:ascii="Calibri" w:hAnsi="Calibri"/>
                <w:sz w:val="18"/>
                <w:szCs w:val="18"/>
              </w:rPr>
              <w:t xml:space="preserve">70.132.999 </w:t>
            </w:r>
          </w:p>
        </w:tc>
      </w:tr>
      <w:tr w:rsidR="00382B0F" w:rsidRPr="00972554" w:rsidTr="00972554">
        <w:trPr>
          <w:trHeight w:val="300"/>
        </w:trPr>
        <w:tc>
          <w:tcPr>
            <w:tcW w:w="2113" w:type="pct"/>
            <w:shd w:val="clear" w:color="auto" w:fill="auto"/>
            <w:noWrap/>
            <w:vAlign w:val="bottom"/>
            <w:hideMark/>
          </w:tcPr>
          <w:p w:rsidR="00382B0F" w:rsidRPr="00412299" w:rsidRDefault="00382B0F" w:rsidP="00716B2A">
            <w:pPr>
              <w:spacing w:line="240" w:lineRule="auto"/>
              <w:rPr>
                <w:rFonts w:ascii="Calibri" w:hAnsi="Calibri"/>
                <w:color w:val="000000"/>
                <w:sz w:val="18"/>
                <w:szCs w:val="18"/>
                <w:lang w:eastAsia="sl-SI"/>
              </w:rPr>
            </w:pPr>
            <w:r w:rsidRPr="00412299">
              <w:rPr>
                <w:rFonts w:ascii="Calibri" w:hAnsi="Calibri"/>
                <w:color w:val="000000"/>
                <w:sz w:val="18"/>
                <w:szCs w:val="18"/>
                <w:lang w:eastAsia="sl-SI"/>
              </w:rPr>
              <w:t>220-Rezervni sklad</w:t>
            </w:r>
          </w:p>
        </w:tc>
        <w:tc>
          <w:tcPr>
            <w:tcW w:w="814" w:type="pct"/>
            <w:shd w:val="clear" w:color="auto" w:fill="auto"/>
            <w:noWrap/>
            <w:vAlign w:val="bottom"/>
            <w:hideMark/>
          </w:tcPr>
          <w:p w:rsidR="00382B0F" w:rsidRPr="00116FC1" w:rsidRDefault="00382B0F"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1.977.082 </w:t>
            </w:r>
          </w:p>
        </w:tc>
        <w:tc>
          <w:tcPr>
            <w:tcW w:w="814" w:type="pct"/>
            <w:shd w:val="clear" w:color="auto" w:fill="auto"/>
            <w:noWrap/>
            <w:vAlign w:val="bottom"/>
            <w:hideMark/>
          </w:tcPr>
          <w:p w:rsidR="00382B0F" w:rsidRPr="00972554" w:rsidRDefault="00382B0F" w:rsidP="00716B2A">
            <w:pPr>
              <w:spacing w:line="240" w:lineRule="auto"/>
              <w:jc w:val="right"/>
              <w:rPr>
                <w:rFonts w:ascii="Calibri" w:hAnsi="Calibri"/>
                <w:color w:val="000000"/>
                <w:sz w:val="18"/>
                <w:szCs w:val="18"/>
                <w:lang w:eastAsia="sl-SI"/>
              </w:rPr>
            </w:pPr>
            <w:r w:rsidRPr="00972554">
              <w:rPr>
                <w:rFonts w:ascii="Calibri" w:hAnsi="Calibri" w:cs="Calibri"/>
                <w:color w:val="000000"/>
                <w:sz w:val="18"/>
                <w:szCs w:val="18"/>
                <w:lang w:val="sl-SI" w:eastAsia="sl-SI"/>
              </w:rPr>
              <w:t xml:space="preserve">1.752.074 </w:t>
            </w:r>
          </w:p>
        </w:tc>
        <w:tc>
          <w:tcPr>
            <w:tcW w:w="666" w:type="pct"/>
            <w:shd w:val="clear" w:color="auto" w:fill="auto"/>
            <w:noWrap/>
            <w:vAlign w:val="bottom"/>
            <w:hideMark/>
          </w:tcPr>
          <w:p w:rsidR="00382B0F" w:rsidRPr="00116FC1" w:rsidRDefault="00382B0F" w:rsidP="00412299">
            <w:pPr>
              <w:spacing w:line="240" w:lineRule="auto"/>
              <w:jc w:val="right"/>
              <w:rPr>
                <w:rFonts w:ascii="Calibri" w:hAnsi="Calibri"/>
                <w:color w:val="000000"/>
                <w:sz w:val="18"/>
                <w:szCs w:val="18"/>
                <w:lang w:eastAsia="sl-SI"/>
              </w:rPr>
            </w:pPr>
            <w:r w:rsidRPr="00972554">
              <w:rPr>
                <w:rFonts w:ascii="Calibri" w:hAnsi="Calibri"/>
                <w:sz w:val="18"/>
                <w:szCs w:val="18"/>
              </w:rPr>
              <w:t>112,84</w:t>
            </w:r>
          </w:p>
        </w:tc>
        <w:tc>
          <w:tcPr>
            <w:tcW w:w="593" w:type="pct"/>
            <w:shd w:val="clear" w:color="auto" w:fill="auto"/>
            <w:noWrap/>
            <w:vAlign w:val="bottom"/>
            <w:hideMark/>
          </w:tcPr>
          <w:p w:rsidR="00382B0F" w:rsidRPr="00116FC1" w:rsidRDefault="00382B0F" w:rsidP="00116FC1">
            <w:pPr>
              <w:spacing w:line="240" w:lineRule="auto"/>
              <w:jc w:val="right"/>
              <w:rPr>
                <w:rFonts w:ascii="Calibri" w:hAnsi="Calibri"/>
                <w:color w:val="000000"/>
                <w:sz w:val="18"/>
                <w:szCs w:val="18"/>
                <w:lang w:eastAsia="sl-SI"/>
              </w:rPr>
            </w:pPr>
            <w:r w:rsidRPr="00972554">
              <w:rPr>
                <w:rFonts w:ascii="Calibri" w:hAnsi="Calibri"/>
                <w:sz w:val="18"/>
                <w:szCs w:val="18"/>
              </w:rPr>
              <w:t xml:space="preserve">225.008 </w:t>
            </w:r>
          </w:p>
        </w:tc>
      </w:tr>
      <w:tr w:rsidR="00382B0F" w:rsidRPr="00972554" w:rsidTr="00972554">
        <w:trPr>
          <w:trHeight w:val="300"/>
        </w:trPr>
        <w:tc>
          <w:tcPr>
            <w:tcW w:w="2113" w:type="pct"/>
            <w:shd w:val="clear" w:color="auto" w:fill="auto"/>
            <w:noWrap/>
            <w:vAlign w:val="bottom"/>
            <w:hideMark/>
          </w:tcPr>
          <w:p w:rsidR="00382B0F" w:rsidRPr="00412299" w:rsidRDefault="00382B0F" w:rsidP="00716B2A">
            <w:pPr>
              <w:spacing w:line="240" w:lineRule="auto"/>
              <w:rPr>
                <w:rFonts w:ascii="Calibri" w:hAnsi="Calibri"/>
                <w:color w:val="000000"/>
                <w:sz w:val="18"/>
                <w:szCs w:val="18"/>
                <w:lang w:eastAsia="sl-SI"/>
              </w:rPr>
            </w:pPr>
            <w:r w:rsidRPr="00412299">
              <w:rPr>
                <w:rFonts w:ascii="Calibri" w:hAnsi="Calibri"/>
                <w:color w:val="000000"/>
                <w:sz w:val="18"/>
                <w:szCs w:val="18"/>
                <w:lang w:eastAsia="sl-SI"/>
              </w:rPr>
              <w:t>221-Dolgoročno prejeta posojila</w:t>
            </w:r>
          </w:p>
        </w:tc>
        <w:tc>
          <w:tcPr>
            <w:tcW w:w="814" w:type="pct"/>
            <w:shd w:val="clear" w:color="auto" w:fill="auto"/>
            <w:noWrap/>
            <w:vAlign w:val="bottom"/>
            <w:hideMark/>
          </w:tcPr>
          <w:p w:rsidR="00382B0F" w:rsidRPr="00116FC1" w:rsidRDefault="00382B0F"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22.398.008 </w:t>
            </w:r>
          </w:p>
        </w:tc>
        <w:tc>
          <w:tcPr>
            <w:tcW w:w="814" w:type="pct"/>
            <w:shd w:val="clear" w:color="auto" w:fill="auto"/>
            <w:noWrap/>
            <w:vAlign w:val="bottom"/>
            <w:hideMark/>
          </w:tcPr>
          <w:p w:rsidR="00382B0F" w:rsidRPr="00972554" w:rsidRDefault="00382B0F" w:rsidP="00716B2A">
            <w:pPr>
              <w:spacing w:line="240" w:lineRule="auto"/>
              <w:jc w:val="right"/>
              <w:rPr>
                <w:rFonts w:ascii="Calibri" w:hAnsi="Calibri"/>
                <w:color w:val="000000"/>
                <w:sz w:val="18"/>
                <w:szCs w:val="18"/>
                <w:lang w:eastAsia="sl-SI"/>
              </w:rPr>
            </w:pPr>
            <w:r w:rsidRPr="00972554">
              <w:rPr>
                <w:rFonts w:ascii="Calibri" w:hAnsi="Calibri" w:cs="Calibri"/>
                <w:color w:val="000000"/>
                <w:sz w:val="18"/>
                <w:szCs w:val="18"/>
                <w:lang w:val="sl-SI" w:eastAsia="sl-SI"/>
              </w:rPr>
              <w:t xml:space="preserve">20.473.727 </w:t>
            </w:r>
          </w:p>
        </w:tc>
        <w:tc>
          <w:tcPr>
            <w:tcW w:w="666" w:type="pct"/>
            <w:shd w:val="clear" w:color="auto" w:fill="auto"/>
            <w:noWrap/>
            <w:vAlign w:val="bottom"/>
            <w:hideMark/>
          </w:tcPr>
          <w:p w:rsidR="00382B0F" w:rsidRPr="00116FC1" w:rsidRDefault="00382B0F" w:rsidP="00412299">
            <w:pPr>
              <w:spacing w:line="240" w:lineRule="auto"/>
              <w:jc w:val="right"/>
              <w:rPr>
                <w:rFonts w:ascii="Calibri" w:hAnsi="Calibri"/>
                <w:color w:val="000000"/>
                <w:sz w:val="18"/>
                <w:szCs w:val="18"/>
                <w:lang w:eastAsia="sl-SI"/>
              </w:rPr>
            </w:pPr>
            <w:r w:rsidRPr="00972554">
              <w:rPr>
                <w:rFonts w:ascii="Calibri" w:hAnsi="Calibri"/>
                <w:sz w:val="18"/>
                <w:szCs w:val="18"/>
              </w:rPr>
              <w:t>109,40</w:t>
            </w:r>
          </w:p>
        </w:tc>
        <w:tc>
          <w:tcPr>
            <w:tcW w:w="593" w:type="pct"/>
            <w:shd w:val="clear" w:color="auto" w:fill="auto"/>
            <w:noWrap/>
            <w:vAlign w:val="bottom"/>
            <w:hideMark/>
          </w:tcPr>
          <w:p w:rsidR="00382B0F" w:rsidRPr="00116FC1" w:rsidRDefault="00382B0F" w:rsidP="00116FC1">
            <w:pPr>
              <w:spacing w:line="240" w:lineRule="auto"/>
              <w:jc w:val="right"/>
              <w:rPr>
                <w:rFonts w:ascii="Calibri" w:hAnsi="Calibri"/>
                <w:color w:val="000000"/>
                <w:sz w:val="18"/>
                <w:szCs w:val="18"/>
                <w:lang w:eastAsia="sl-SI"/>
              </w:rPr>
            </w:pPr>
            <w:r w:rsidRPr="00972554">
              <w:rPr>
                <w:rFonts w:ascii="Calibri" w:hAnsi="Calibri"/>
                <w:sz w:val="18"/>
                <w:szCs w:val="18"/>
              </w:rPr>
              <w:t xml:space="preserve">1.924.281 </w:t>
            </w:r>
          </w:p>
        </w:tc>
      </w:tr>
      <w:tr w:rsidR="00382B0F" w:rsidRPr="00972554" w:rsidTr="00972554">
        <w:trPr>
          <w:trHeight w:val="300"/>
        </w:trPr>
        <w:tc>
          <w:tcPr>
            <w:tcW w:w="2113" w:type="pct"/>
            <w:shd w:val="clear" w:color="auto" w:fill="auto"/>
            <w:noWrap/>
            <w:vAlign w:val="bottom"/>
            <w:hideMark/>
          </w:tcPr>
          <w:p w:rsidR="00382B0F" w:rsidRPr="00116FC1" w:rsidRDefault="00382B0F" w:rsidP="00716B2A">
            <w:pPr>
              <w:spacing w:line="240" w:lineRule="auto"/>
              <w:rPr>
                <w:rFonts w:ascii="Calibri" w:hAnsi="Calibri"/>
                <w:color w:val="000000"/>
                <w:sz w:val="18"/>
                <w:szCs w:val="18"/>
                <w:lang w:eastAsia="sl-SI"/>
              </w:rPr>
            </w:pPr>
            <w:r w:rsidRPr="00412299">
              <w:rPr>
                <w:rFonts w:ascii="Calibri" w:hAnsi="Calibri"/>
                <w:color w:val="000000"/>
                <w:sz w:val="18"/>
                <w:szCs w:val="18"/>
                <w:lang w:eastAsia="sl-SI"/>
              </w:rPr>
              <w:t>222-Dolgoročne obveznosti iz poslovanj</w:t>
            </w:r>
            <w:r w:rsidRPr="00116FC1">
              <w:rPr>
                <w:rFonts w:ascii="Calibri" w:hAnsi="Calibri"/>
                <w:color w:val="000000"/>
                <w:sz w:val="18"/>
                <w:szCs w:val="18"/>
                <w:lang w:eastAsia="sl-SI"/>
              </w:rPr>
              <w:t>a</w:t>
            </w:r>
          </w:p>
        </w:tc>
        <w:tc>
          <w:tcPr>
            <w:tcW w:w="814" w:type="pct"/>
            <w:shd w:val="clear" w:color="auto" w:fill="auto"/>
            <w:noWrap/>
            <w:vAlign w:val="bottom"/>
            <w:hideMark/>
          </w:tcPr>
          <w:p w:rsidR="00382B0F" w:rsidRPr="00116FC1" w:rsidRDefault="00382B0F"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14.013.495 </w:t>
            </w:r>
          </w:p>
        </w:tc>
        <w:tc>
          <w:tcPr>
            <w:tcW w:w="814" w:type="pct"/>
            <w:shd w:val="clear" w:color="auto" w:fill="auto"/>
            <w:noWrap/>
            <w:vAlign w:val="bottom"/>
            <w:hideMark/>
          </w:tcPr>
          <w:p w:rsidR="00382B0F" w:rsidRPr="00972554" w:rsidRDefault="00382B0F" w:rsidP="00716B2A">
            <w:pPr>
              <w:spacing w:line="240" w:lineRule="auto"/>
              <w:jc w:val="right"/>
              <w:rPr>
                <w:rFonts w:ascii="Calibri" w:hAnsi="Calibri"/>
                <w:color w:val="000000"/>
                <w:sz w:val="18"/>
                <w:szCs w:val="18"/>
                <w:lang w:eastAsia="sl-SI"/>
              </w:rPr>
            </w:pPr>
            <w:r w:rsidRPr="00972554">
              <w:rPr>
                <w:rFonts w:ascii="Calibri" w:hAnsi="Calibri" w:cs="Calibri"/>
                <w:color w:val="000000"/>
                <w:sz w:val="18"/>
                <w:szCs w:val="18"/>
                <w:lang w:val="sl-SI" w:eastAsia="sl-SI"/>
              </w:rPr>
              <w:t xml:space="preserve">16.829.532 </w:t>
            </w:r>
          </w:p>
        </w:tc>
        <w:tc>
          <w:tcPr>
            <w:tcW w:w="666" w:type="pct"/>
            <w:shd w:val="clear" w:color="auto" w:fill="auto"/>
            <w:noWrap/>
            <w:vAlign w:val="bottom"/>
            <w:hideMark/>
          </w:tcPr>
          <w:p w:rsidR="00382B0F" w:rsidRPr="00116FC1" w:rsidRDefault="00382B0F" w:rsidP="00412299">
            <w:pPr>
              <w:spacing w:line="240" w:lineRule="auto"/>
              <w:jc w:val="right"/>
              <w:rPr>
                <w:rFonts w:ascii="Calibri" w:hAnsi="Calibri"/>
                <w:color w:val="000000"/>
                <w:sz w:val="18"/>
                <w:szCs w:val="18"/>
                <w:lang w:eastAsia="sl-SI"/>
              </w:rPr>
            </w:pPr>
            <w:r w:rsidRPr="00972554">
              <w:rPr>
                <w:rFonts w:ascii="Calibri" w:hAnsi="Calibri"/>
                <w:sz w:val="18"/>
                <w:szCs w:val="18"/>
              </w:rPr>
              <w:t>83,27</w:t>
            </w:r>
          </w:p>
        </w:tc>
        <w:tc>
          <w:tcPr>
            <w:tcW w:w="593" w:type="pct"/>
            <w:shd w:val="clear" w:color="auto" w:fill="auto"/>
            <w:noWrap/>
            <w:vAlign w:val="bottom"/>
            <w:hideMark/>
          </w:tcPr>
          <w:p w:rsidR="00382B0F" w:rsidRPr="00116FC1" w:rsidRDefault="00382B0F" w:rsidP="00116FC1">
            <w:pPr>
              <w:spacing w:line="240" w:lineRule="auto"/>
              <w:jc w:val="right"/>
              <w:rPr>
                <w:rFonts w:ascii="Calibri" w:hAnsi="Calibri"/>
                <w:color w:val="000000"/>
                <w:sz w:val="18"/>
                <w:szCs w:val="18"/>
                <w:lang w:eastAsia="sl-SI"/>
              </w:rPr>
            </w:pPr>
            <w:r w:rsidRPr="00972554">
              <w:rPr>
                <w:rFonts w:ascii="Calibri" w:hAnsi="Calibri"/>
                <w:sz w:val="18"/>
                <w:szCs w:val="18"/>
              </w:rPr>
              <w:t xml:space="preserve">-2.816.037 </w:t>
            </w:r>
          </w:p>
        </w:tc>
      </w:tr>
      <w:tr w:rsidR="00382B0F" w:rsidRPr="00972554" w:rsidTr="00972554">
        <w:trPr>
          <w:trHeight w:val="300"/>
        </w:trPr>
        <w:tc>
          <w:tcPr>
            <w:tcW w:w="2113" w:type="pct"/>
            <w:shd w:val="clear" w:color="auto" w:fill="auto"/>
            <w:noWrap/>
            <w:vAlign w:val="bottom"/>
            <w:hideMark/>
          </w:tcPr>
          <w:p w:rsidR="00382B0F" w:rsidRPr="00412299" w:rsidRDefault="00382B0F" w:rsidP="00716B2A">
            <w:pPr>
              <w:spacing w:line="240" w:lineRule="auto"/>
              <w:rPr>
                <w:rFonts w:ascii="Calibri" w:hAnsi="Calibri"/>
                <w:color w:val="000000"/>
                <w:sz w:val="18"/>
                <w:szCs w:val="18"/>
                <w:lang w:eastAsia="sl-SI"/>
              </w:rPr>
            </w:pPr>
            <w:r w:rsidRPr="00412299">
              <w:rPr>
                <w:rFonts w:ascii="Calibri" w:hAnsi="Calibri"/>
                <w:color w:val="000000"/>
                <w:sz w:val="18"/>
                <w:szCs w:val="18"/>
                <w:lang w:eastAsia="sl-SI"/>
              </w:rPr>
              <w:t>223-Kratkoročne obveznosti</w:t>
            </w:r>
          </w:p>
        </w:tc>
        <w:tc>
          <w:tcPr>
            <w:tcW w:w="814" w:type="pct"/>
            <w:shd w:val="clear" w:color="auto" w:fill="auto"/>
            <w:noWrap/>
            <w:vAlign w:val="bottom"/>
            <w:hideMark/>
          </w:tcPr>
          <w:p w:rsidR="00382B0F" w:rsidRPr="00116FC1" w:rsidRDefault="00382B0F"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229.312.675 </w:t>
            </w:r>
          </w:p>
        </w:tc>
        <w:tc>
          <w:tcPr>
            <w:tcW w:w="814" w:type="pct"/>
            <w:shd w:val="clear" w:color="auto" w:fill="auto"/>
            <w:noWrap/>
            <w:vAlign w:val="bottom"/>
            <w:hideMark/>
          </w:tcPr>
          <w:p w:rsidR="00382B0F" w:rsidRPr="00972554" w:rsidRDefault="00382B0F" w:rsidP="00716B2A">
            <w:pPr>
              <w:spacing w:line="240" w:lineRule="auto"/>
              <w:jc w:val="right"/>
              <w:rPr>
                <w:rFonts w:ascii="Calibri" w:hAnsi="Calibri"/>
                <w:color w:val="000000"/>
                <w:sz w:val="18"/>
                <w:szCs w:val="18"/>
                <w:lang w:eastAsia="sl-SI"/>
              </w:rPr>
            </w:pPr>
            <w:r w:rsidRPr="00972554">
              <w:rPr>
                <w:rFonts w:ascii="Calibri" w:hAnsi="Calibri" w:cs="Calibri"/>
                <w:color w:val="000000"/>
                <w:sz w:val="18"/>
                <w:szCs w:val="18"/>
                <w:lang w:val="sl-SI" w:eastAsia="sl-SI"/>
              </w:rPr>
              <w:t xml:space="preserve">218.560.679 </w:t>
            </w:r>
          </w:p>
        </w:tc>
        <w:tc>
          <w:tcPr>
            <w:tcW w:w="666" w:type="pct"/>
            <w:shd w:val="clear" w:color="auto" w:fill="auto"/>
            <w:noWrap/>
            <w:vAlign w:val="bottom"/>
            <w:hideMark/>
          </w:tcPr>
          <w:p w:rsidR="00382B0F" w:rsidRPr="00116FC1" w:rsidRDefault="00382B0F" w:rsidP="00412299">
            <w:pPr>
              <w:spacing w:line="240" w:lineRule="auto"/>
              <w:jc w:val="right"/>
              <w:rPr>
                <w:rFonts w:ascii="Calibri" w:hAnsi="Calibri"/>
                <w:color w:val="000000"/>
                <w:sz w:val="18"/>
                <w:szCs w:val="18"/>
                <w:lang w:eastAsia="sl-SI"/>
              </w:rPr>
            </w:pPr>
            <w:r w:rsidRPr="00972554">
              <w:rPr>
                <w:rFonts w:ascii="Calibri" w:hAnsi="Calibri"/>
                <w:sz w:val="18"/>
                <w:szCs w:val="18"/>
              </w:rPr>
              <w:t>104,92</w:t>
            </w:r>
          </w:p>
        </w:tc>
        <w:tc>
          <w:tcPr>
            <w:tcW w:w="593" w:type="pct"/>
            <w:shd w:val="clear" w:color="auto" w:fill="auto"/>
            <w:noWrap/>
            <w:vAlign w:val="bottom"/>
            <w:hideMark/>
          </w:tcPr>
          <w:p w:rsidR="00382B0F" w:rsidRPr="00116FC1" w:rsidRDefault="00382B0F" w:rsidP="00116FC1">
            <w:pPr>
              <w:spacing w:line="240" w:lineRule="auto"/>
              <w:jc w:val="right"/>
              <w:rPr>
                <w:rFonts w:ascii="Calibri" w:hAnsi="Calibri"/>
                <w:color w:val="000000"/>
                <w:sz w:val="18"/>
                <w:szCs w:val="18"/>
                <w:lang w:eastAsia="sl-SI"/>
              </w:rPr>
            </w:pPr>
            <w:r w:rsidRPr="00972554">
              <w:rPr>
                <w:rFonts w:ascii="Calibri" w:hAnsi="Calibri"/>
                <w:sz w:val="18"/>
                <w:szCs w:val="18"/>
              </w:rPr>
              <w:t xml:space="preserve">10.751.996 </w:t>
            </w:r>
          </w:p>
        </w:tc>
      </w:tr>
      <w:tr w:rsidR="00382B0F" w:rsidRPr="00972554" w:rsidTr="00972554">
        <w:trPr>
          <w:trHeight w:val="300"/>
        </w:trPr>
        <w:tc>
          <w:tcPr>
            <w:tcW w:w="2113" w:type="pct"/>
            <w:tcBorders>
              <w:bottom w:val="single" w:sz="4" w:space="0" w:color="auto"/>
            </w:tcBorders>
            <w:shd w:val="clear" w:color="auto" w:fill="auto"/>
            <w:noWrap/>
            <w:vAlign w:val="bottom"/>
            <w:hideMark/>
          </w:tcPr>
          <w:p w:rsidR="00382B0F" w:rsidRPr="00412299" w:rsidRDefault="00382B0F" w:rsidP="00716B2A">
            <w:pPr>
              <w:spacing w:line="240" w:lineRule="auto"/>
              <w:rPr>
                <w:rFonts w:ascii="Calibri" w:hAnsi="Calibri"/>
                <w:color w:val="000000"/>
                <w:sz w:val="18"/>
                <w:szCs w:val="18"/>
                <w:lang w:eastAsia="sl-SI"/>
              </w:rPr>
            </w:pPr>
            <w:r w:rsidRPr="00412299">
              <w:rPr>
                <w:rFonts w:ascii="Calibri" w:hAnsi="Calibri"/>
                <w:color w:val="000000"/>
                <w:sz w:val="18"/>
                <w:szCs w:val="18"/>
                <w:lang w:eastAsia="sl-SI"/>
              </w:rPr>
              <w:t>224-Druge obveznosti</w:t>
            </w:r>
          </w:p>
        </w:tc>
        <w:tc>
          <w:tcPr>
            <w:tcW w:w="814" w:type="pct"/>
            <w:tcBorders>
              <w:bottom w:val="single" w:sz="4" w:space="0" w:color="auto"/>
            </w:tcBorders>
            <w:shd w:val="clear" w:color="auto" w:fill="auto"/>
            <w:noWrap/>
            <w:vAlign w:val="bottom"/>
            <w:hideMark/>
          </w:tcPr>
          <w:p w:rsidR="00382B0F" w:rsidRPr="00116FC1" w:rsidRDefault="00382B0F" w:rsidP="00412299">
            <w:pPr>
              <w:spacing w:line="240" w:lineRule="auto"/>
              <w:jc w:val="right"/>
              <w:rPr>
                <w:rFonts w:ascii="Calibri" w:hAnsi="Calibri"/>
                <w:color w:val="000000"/>
                <w:sz w:val="18"/>
                <w:szCs w:val="18"/>
                <w:lang w:eastAsia="sl-SI"/>
              </w:rPr>
            </w:pPr>
            <w:r w:rsidRPr="00972554">
              <w:rPr>
                <w:rFonts w:ascii="Calibri" w:hAnsi="Calibri"/>
                <w:sz w:val="18"/>
                <w:szCs w:val="18"/>
              </w:rPr>
              <w:t xml:space="preserve">27.004.457 </w:t>
            </w:r>
          </w:p>
        </w:tc>
        <w:tc>
          <w:tcPr>
            <w:tcW w:w="814" w:type="pct"/>
            <w:tcBorders>
              <w:bottom w:val="single" w:sz="4" w:space="0" w:color="auto"/>
            </w:tcBorders>
            <w:shd w:val="clear" w:color="auto" w:fill="auto"/>
            <w:noWrap/>
            <w:vAlign w:val="bottom"/>
            <w:hideMark/>
          </w:tcPr>
          <w:p w:rsidR="00382B0F" w:rsidRPr="00972554" w:rsidRDefault="00382B0F" w:rsidP="00716B2A">
            <w:pPr>
              <w:spacing w:line="240" w:lineRule="auto"/>
              <w:jc w:val="right"/>
              <w:rPr>
                <w:rFonts w:ascii="Calibri" w:hAnsi="Calibri"/>
                <w:color w:val="000000"/>
                <w:sz w:val="18"/>
                <w:szCs w:val="18"/>
                <w:lang w:eastAsia="sl-SI"/>
              </w:rPr>
            </w:pPr>
            <w:r w:rsidRPr="00972554">
              <w:rPr>
                <w:rFonts w:ascii="Calibri" w:hAnsi="Calibri" w:cs="Calibri"/>
                <w:color w:val="000000"/>
                <w:sz w:val="18"/>
                <w:szCs w:val="18"/>
                <w:lang w:val="sl-SI" w:eastAsia="sl-SI"/>
              </w:rPr>
              <w:t xml:space="preserve">23.234.712 </w:t>
            </w:r>
          </w:p>
        </w:tc>
        <w:tc>
          <w:tcPr>
            <w:tcW w:w="666" w:type="pct"/>
            <w:tcBorders>
              <w:bottom w:val="single" w:sz="4" w:space="0" w:color="auto"/>
            </w:tcBorders>
            <w:shd w:val="clear" w:color="auto" w:fill="auto"/>
            <w:noWrap/>
            <w:vAlign w:val="bottom"/>
            <w:hideMark/>
          </w:tcPr>
          <w:p w:rsidR="00382B0F" w:rsidRPr="00116FC1" w:rsidRDefault="00382B0F" w:rsidP="00412299">
            <w:pPr>
              <w:spacing w:line="240" w:lineRule="auto"/>
              <w:jc w:val="right"/>
              <w:rPr>
                <w:rFonts w:ascii="Calibri" w:hAnsi="Calibri"/>
                <w:color w:val="000000"/>
                <w:sz w:val="18"/>
                <w:szCs w:val="18"/>
                <w:lang w:eastAsia="sl-SI"/>
              </w:rPr>
            </w:pPr>
            <w:r w:rsidRPr="00972554">
              <w:rPr>
                <w:rFonts w:ascii="Calibri" w:hAnsi="Calibri"/>
                <w:sz w:val="18"/>
                <w:szCs w:val="18"/>
              </w:rPr>
              <w:t>116,22</w:t>
            </w:r>
          </w:p>
        </w:tc>
        <w:tc>
          <w:tcPr>
            <w:tcW w:w="593" w:type="pct"/>
            <w:tcBorders>
              <w:bottom w:val="single" w:sz="4" w:space="0" w:color="auto"/>
            </w:tcBorders>
            <w:shd w:val="clear" w:color="auto" w:fill="auto"/>
            <w:noWrap/>
            <w:vAlign w:val="bottom"/>
            <w:hideMark/>
          </w:tcPr>
          <w:p w:rsidR="00382B0F" w:rsidRPr="00116FC1" w:rsidRDefault="00382B0F" w:rsidP="00116FC1">
            <w:pPr>
              <w:spacing w:line="240" w:lineRule="auto"/>
              <w:jc w:val="right"/>
              <w:rPr>
                <w:rFonts w:ascii="Calibri" w:hAnsi="Calibri"/>
                <w:color w:val="000000"/>
                <w:sz w:val="18"/>
                <w:szCs w:val="18"/>
                <w:lang w:eastAsia="sl-SI"/>
              </w:rPr>
            </w:pPr>
            <w:r w:rsidRPr="00972554">
              <w:rPr>
                <w:rFonts w:ascii="Calibri" w:hAnsi="Calibri"/>
                <w:sz w:val="18"/>
                <w:szCs w:val="18"/>
              </w:rPr>
              <w:t xml:space="preserve">3.769.745 </w:t>
            </w:r>
          </w:p>
        </w:tc>
      </w:tr>
      <w:tr w:rsidR="00382B0F" w:rsidRPr="00972554" w:rsidTr="00972554">
        <w:trPr>
          <w:trHeight w:val="300"/>
        </w:trPr>
        <w:tc>
          <w:tcPr>
            <w:tcW w:w="2113" w:type="pct"/>
            <w:shd w:val="clear" w:color="auto" w:fill="92D050"/>
            <w:noWrap/>
            <w:vAlign w:val="bottom"/>
            <w:hideMark/>
          </w:tcPr>
          <w:p w:rsidR="00382B0F" w:rsidRPr="00412299" w:rsidRDefault="00382B0F" w:rsidP="00716B2A">
            <w:pPr>
              <w:spacing w:line="240" w:lineRule="auto"/>
              <w:rPr>
                <w:rFonts w:ascii="Calibri" w:hAnsi="Calibri"/>
                <w:b/>
                <w:i/>
                <w:color w:val="000000"/>
                <w:sz w:val="18"/>
                <w:szCs w:val="18"/>
                <w:lang w:eastAsia="sl-SI"/>
              </w:rPr>
            </w:pPr>
            <w:r w:rsidRPr="00412299">
              <w:rPr>
                <w:rFonts w:ascii="Calibri" w:hAnsi="Calibri"/>
                <w:b/>
                <w:i/>
                <w:color w:val="000000"/>
                <w:sz w:val="18"/>
                <w:szCs w:val="18"/>
                <w:lang w:eastAsia="sl-SI"/>
              </w:rPr>
              <w:t>225-Skupaj pasiva</w:t>
            </w:r>
          </w:p>
        </w:tc>
        <w:tc>
          <w:tcPr>
            <w:tcW w:w="814" w:type="pct"/>
            <w:shd w:val="clear" w:color="auto" w:fill="92D050"/>
            <w:noWrap/>
            <w:vAlign w:val="bottom"/>
            <w:hideMark/>
          </w:tcPr>
          <w:p w:rsidR="00382B0F" w:rsidRPr="00116FC1" w:rsidRDefault="00382B0F" w:rsidP="00412299">
            <w:pPr>
              <w:spacing w:line="240" w:lineRule="auto"/>
              <w:jc w:val="right"/>
              <w:rPr>
                <w:rFonts w:ascii="Calibri" w:hAnsi="Calibri"/>
                <w:b/>
                <w:i/>
                <w:color w:val="000000"/>
                <w:sz w:val="18"/>
                <w:szCs w:val="18"/>
                <w:lang w:eastAsia="sl-SI"/>
              </w:rPr>
            </w:pPr>
            <w:r w:rsidRPr="00972554">
              <w:rPr>
                <w:rFonts w:ascii="Calibri" w:hAnsi="Calibri"/>
                <w:b/>
                <w:i/>
                <w:sz w:val="18"/>
                <w:szCs w:val="18"/>
              </w:rPr>
              <w:t xml:space="preserve">3.385.635.976 </w:t>
            </w:r>
          </w:p>
        </w:tc>
        <w:tc>
          <w:tcPr>
            <w:tcW w:w="814" w:type="pct"/>
            <w:shd w:val="clear" w:color="auto" w:fill="92D050"/>
            <w:noWrap/>
            <w:vAlign w:val="bottom"/>
            <w:hideMark/>
          </w:tcPr>
          <w:p w:rsidR="00382B0F" w:rsidRPr="00972554" w:rsidRDefault="00382B0F" w:rsidP="00716B2A">
            <w:pPr>
              <w:spacing w:line="240" w:lineRule="auto"/>
              <w:jc w:val="right"/>
              <w:rPr>
                <w:rFonts w:ascii="Calibri" w:hAnsi="Calibri"/>
                <w:b/>
                <w:i/>
                <w:color w:val="000000"/>
                <w:sz w:val="18"/>
                <w:szCs w:val="18"/>
                <w:lang w:eastAsia="sl-SI"/>
              </w:rPr>
            </w:pPr>
            <w:r w:rsidRPr="00972554">
              <w:rPr>
                <w:rFonts w:ascii="Calibri" w:hAnsi="Calibri"/>
                <w:b/>
                <w:i/>
                <w:color w:val="000000"/>
                <w:sz w:val="18"/>
                <w:szCs w:val="18"/>
                <w:lang w:eastAsia="sl-SI"/>
              </w:rPr>
              <w:t xml:space="preserve">3.308.294.166 </w:t>
            </w:r>
          </w:p>
        </w:tc>
        <w:tc>
          <w:tcPr>
            <w:tcW w:w="666" w:type="pct"/>
            <w:shd w:val="clear" w:color="auto" w:fill="92D050"/>
            <w:noWrap/>
            <w:vAlign w:val="bottom"/>
            <w:hideMark/>
          </w:tcPr>
          <w:p w:rsidR="00382B0F" w:rsidRPr="00116FC1" w:rsidRDefault="00382B0F" w:rsidP="00412299">
            <w:pPr>
              <w:spacing w:line="240" w:lineRule="auto"/>
              <w:jc w:val="right"/>
              <w:rPr>
                <w:rFonts w:ascii="Calibri" w:hAnsi="Calibri"/>
                <w:b/>
                <w:i/>
                <w:color w:val="000000"/>
                <w:sz w:val="18"/>
                <w:szCs w:val="18"/>
                <w:lang w:eastAsia="sl-SI"/>
              </w:rPr>
            </w:pPr>
            <w:r w:rsidRPr="00972554">
              <w:rPr>
                <w:rFonts w:ascii="Calibri" w:hAnsi="Calibri"/>
                <w:b/>
                <w:i/>
                <w:sz w:val="18"/>
                <w:szCs w:val="18"/>
              </w:rPr>
              <w:t>102,34</w:t>
            </w:r>
          </w:p>
        </w:tc>
        <w:tc>
          <w:tcPr>
            <w:tcW w:w="593" w:type="pct"/>
            <w:shd w:val="clear" w:color="auto" w:fill="92D050"/>
            <w:noWrap/>
            <w:vAlign w:val="bottom"/>
            <w:hideMark/>
          </w:tcPr>
          <w:p w:rsidR="00382B0F" w:rsidRPr="00116FC1" w:rsidRDefault="00382B0F" w:rsidP="00116FC1">
            <w:pPr>
              <w:spacing w:line="240" w:lineRule="auto"/>
              <w:jc w:val="right"/>
              <w:rPr>
                <w:rFonts w:ascii="Calibri" w:hAnsi="Calibri"/>
                <w:b/>
                <w:i/>
                <w:color w:val="000000"/>
                <w:sz w:val="18"/>
                <w:szCs w:val="18"/>
                <w:lang w:eastAsia="sl-SI"/>
              </w:rPr>
            </w:pPr>
            <w:r w:rsidRPr="00972554">
              <w:rPr>
                <w:rFonts w:ascii="Calibri" w:hAnsi="Calibri"/>
                <w:b/>
                <w:i/>
                <w:sz w:val="18"/>
                <w:szCs w:val="18"/>
              </w:rPr>
              <w:t xml:space="preserve">77.341.810 </w:t>
            </w:r>
          </w:p>
        </w:tc>
      </w:tr>
    </w:tbl>
    <w:p w:rsidR="0014168C" w:rsidRPr="0014168C" w:rsidRDefault="0014168C" w:rsidP="0014168C"/>
    <w:p w:rsidR="00CE55C4" w:rsidRDefault="008765C4" w:rsidP="00DD471B">
      <w:pPr>
        <w:rPr>
          <w:noProof/>
        </w:rPr>
      </w:pPr>
      <w:r>
        <w:lastRenderedPageBreak/>
        <w:t xml:space="preserve">Analiza premoženja PPU občinskih proračunov, ki je predstavljena v </w:t>
      </w:r>
      <w:r w:rsidR="0049258E">
        <w:fldChar w:fldCharType="begin"/>
      </w:r>
      <w:r w:rsidR="0049258E">
        <w:instrText xml:space="preserve"> REF _Ref390070126 \h </w:instrText>
      </w:r>
      <w:r w:rsidR="00130CD7">
        <w:instrText xml:space="preserve"> \* MERGEFORMAT </w:instrText>
      </w:r>
      <w:r w:rsidR="0049258E">
        <w:fldChar w:fldCharType="separate"/>
      </w:r>
    </w:p>
    <w:p w:rsidR="008765C4" w:rsidRDefault="00CE55C4" w:rsidP="00DD471B">
      <w:pPr>
        <w:rPr>
          <w:noProof/>
        </w:rPr>
      </w:pPr>
      <w:r>
        <w:rPr>
          <w:noProof/>
        </w:rPr>
        <w:t>Tabela 21</w:t>
      </w:r>
      <w:r w:rsidR="0049258E">
        <w:fldChar w:fldCharType="end"/>
      </w:r>
      <w:r w:rsidR="0049258E">
        <w:t xml:space="preserve"> </w:t>
      </w:r>
      <w:r w:rsidR="008765C4">
        <w:t xml:space="preserve">prikazuje število </w:t>
      </w:r>
      <w:r w:rsidR="002A0750">
        <w:t>P</w:t>
      </w:r>
      <w:r w:rsidR="008765C4">
        <w:t xml:space="preserve">PU glede </w:t>
      </w:r>
      <w:proofErr w:type="gramStart"/>
      <w:r w:rsidR="008765C4">
        <w:t>na</w:t>
      </w:r>
      <w:proofErr w:type="gramEnd"/>
      <w:r w:rsidR="008765C4">
        <w:t xml:space="preserve"> vrednost bilančne vsote (razdeljena v 4 razrede) na dan 31.12.201</w:t>
      </w:r>
      <w:r w:rsidR="001A53B5">
        <w:t>8</w:t>
      </w:r>
      <w:r w:rsidR="00C97006">
        <w:t>.</w:t>
      </w:r>
    </w:p>
    <w:p w:rsidR="003A2B05" w:rsidRDefault="003A2B05" w:rsidP="00DD471B">
      <w:bookmarkStart w:id="106" w:name="_Ref390070126"/>
    </w:p>
    <w:p w:rsidR="008765C4" w:rsidRDefault="008765C4" w:rsidP="008765C4">
      <w:pPr>
        <w:pStyle w:val="Caption"/>
      </w:pPr>
      <w:bookmarkStart w:id="107" w:name="_Toc49771343"/>
      <w:r>
        <w:t xml:space="preserve">Tabela </w:t>
      </w:r>
      <w:r>
        <w:fldChar w:fldCharType="begin"/>
      </w:r>
      <w:r>
        <w:instrText xml:space="preserve"> SEQ Tabela \* ARABIC </w:instrText>
      </w:r>
      <w:r>
        <w:fldChar w:fldCharType="separate"/>
      </w:r>
      <w:r w:rsidR="00CE55C4">
        <w:rPr>
          <w:noProof/>
        </w:rPr>
        <w:t>21</w:t>
      </w:r>
      <w:r>
        <w:fldChar w:fldCharType="end"/>
      </w:r>
      <w:bookmarkEnd w:id="106"/>
      <w:r>
        <w:t xml:space="preserve">: Število </w:t>
      </w:r>
      <w:r w:rsidR="00D434F4">
        <w:t>PPU občinskih proračunov</w:t>
      </w:r>
      <w:r>
        <w:t xml:space="preserve"> glede </w:t>
      </w:r>
      <w:proofErr w:type="gramStart"/>
      <w:r>
        <w:t>na</w:t>
      </w:r>
      <w:proofErr w:type="gramEnd"/>
      <w:r>
        <w:t xml:space="preserve"> vrednost bilančne vsote na dan 31.12.201</w:t>
      </w:r>
      <w:r w:rsidR="001A53B5">
        <w:t>8</w:t>
      </w:r>
      <w:bookmarkEnd w:id="10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387"/>
        <w:gridCol w:w="2090"/>
      </w:tblGrid>
      <w:tr w:rsidR="008765C4" w:rsidRPr="008C7D08" w:rsidTr="00002C2A">
        <w:trPr>
          <w:tblHeader/>
        </w:trPr>
        <w:tc>
          <w:tcPr>
            <w:tcW w:w="1809" w:type="dxa"/>
            <w:shd w:val="pct25" w:color="auto" w:fill="auto"/>
          </w:tcPr>
          <w:p w:rsidR="008765C4" w:rsidRPr="008C7D08" w:rsidRDefault="008765C4" w:rsidP="003B58A5">
            <w:pPr>
              <w:jc w:val="center"/>
              <w:rPr>
                <w:rFonts w:cs="Arial"/>
                <w:b/>
                <w:color w:val="000000"/>
                <w:sz w:val="18"/>
                <w:szCs w:val="18"/>
              </w:rPr>
            </w:pPr>
            <w:r w:rsidRPr="008C7D08">
              <w:rPr>
                <w:rFonts w:cs="Arial"/>
                <w:b/>
                <w:color w:val="000000"/>
                <w:sz w:val="18"/>
                <w:szCs w:val="18"/>
              </w:rPr>
              <w:t>Razred</w:t>
            </w:r>
          </w:p>
        </w:tc>
        <w:tc>
          <w:tcPr>
            <w:tcW w:w="5387" w:type="dxa"/>
            <w:shd w:val="pct25" w:color="auto" w:fill="auto"/>
            <w:vAlign w:val="bottom"/>
          </w:tcPr>
          <w:p w:rsidR="008765C4" w:rsidRPr="008C7D08" w:rsidRDefault="008765C4" w:rsidP="003B58A5">
            <w:pPr>
              <w:jc w:val="center"/>
              <w:rPr>
                <w:rFonts w:cs="Arial"/>
                <w:b/>
                <w:color w:val="000000"/>
                <w:sz w:val="18"/>
                <w:szCs w:val="18"/>
              </w:rPr>
            </w:pPr>
            <w:r w:rsidRPr="008C7D08">
              <w:rPr>
                <w:rFonts w:cs="Arial"/>
                <w:b/>
                <w:color w:val="000000"/>
                <w:sz w:val="18"/>
                <w:szCs w:val="18"/>
              </w:rPr>
              <w:t>Znesek bilanč</w:t>
            </w:r>
            <w:r w:rsidR="00D434F4">
              <w:rPr>
                <w:rFonts w:cs="Arial"/>
                <w:b/>
                <w:color w:val="000000"/>
                <w:sz w:val="18"/>
                <w:szCs w:val="18"/>
              </w:rPr>
              <w:t>n</w:t>
            </w:r>
            <w:r w:rsidRPr="008C7D08">
              <w:rPr>
                <w:rFonts w:cs="Arial"/>
                <w:b/>
                <w:color w:val="000000"/>
                <w:sz w:val="18"/>
                <w:szCs w:val="18"/>
              </w:rPr>
              <w:t xml:space="preserve">e vsote </w:t>
            </w:r>
            <w:r w:rsidR="00DB7EB2">
              <w:rPr>
                <w:rFonts w:cs="Arial"/>
                <w:b/>
                <w:color w:val="000000"/>
                <w:sz w:val="18"/>
                <w:szCs w:val="18"/>
              </w:rPr>
              <w:t>(</w:t>
            </w:r>
            <w:r w:rsidR="00895582">
              <w:rPr>
                <w:rFonts w:cs="Arial"/>
                <w:b/>
                <w:color w:val="000000"/>
                <w:sz w:val="18"/>
                <w:szCs w:val="18"/>
              </w:rPr>
              <w:t>€</w:t>
            </w:r>
            <w:r w:rsidR="00DB7EB2">
              <w:rPr>
                <w:rFonts w:cs="Arial"/>
                <w:b/>
                <w:color w:val="000000"/>
                <w:sz w:val="18"/>
                <w:szCs w:val="18"/>
              </w:rPr>
              <w:t>)</w:t>
            </w:r>
          </w:p>
        </w:tc>
        <w:tc>
          <w:tcPr>
            <w:tcW w:w="2090" w:type="dxa"/>
            <w:shd w:val="pct25" w:color="auto" w:fill="auto"/>
            <w:vAlign w:val="bottom"/>
          </w:tcPr>
          <w:p w:rsidR="008765C4" w:rsidRPr="008C7D08" w:rsidRDefault="008765C4" w:rsidP="00116FC1">
            <w:pPr>
              <w:jc w:val="center"/>
              <w:rPr>
                <w:rFonts w:cs="Arial"/>
                <w:b/>
                <w:color w:val="000000"/>
                <w:sz w:val="18"/>
                <w:szCs w:val="18"/>
              </w:rPr>
            </w:pPr>
            <w:r>
              <w:rPr>
                <w:rFonts w:cs="Arial"/>
                <w:b/>
                <w:color w:val="000000"/>
                <w:sz w:val="18"/>
                <w:szCs w:val="18"/>
              </w:rPr>
              <w:t xml:space="preserve">Število </w:t>
            </w:r>
            <w:r w:rsidR="00367CF5">
              <w:rPr>
                <w:rFonts w:cs="Arial"/>
                <w:b/>
                <w:color w:val="000000"/>
                <w:sz w:val="18"/>
                <w:szCs w:val="18"/>
              </w:rPr>
              <w:t>P</w:t>
            </w:r>
            <w:r>
              <w:rPr>
                <w:rFonts w:cs="Arial"/>
                <w:b/>
                <w:color w:val="000000"/>
                <w:sz w:val="18"/>
                <w:szCs w:val="18"/>
              </w:rPr>
              <w:t>PU</w:t>
            </w:r>
            <w:r w:rsidR="00895582">
              <w:rPr>
                <w:rFonts w:cs="Arial"/>
                <w:b/>
                <w:color w:val="000000"/>
                <w:sz w:val="18"/>
                <w:szCs w:val="18"/>
              </w:rPr>
              <w:t xml:space="preserve"> </w:t>
            </w:r>
            <w:r w:rsidR="00367CF5">
              <w:rPr>
                <w:rFonts w:cs="Arial"/>
                <w:b/>
                <w:color w:val="000000"/>
                <w:sz w:val="18"/>
                <w:szCs w:val="18"/>
              </w:rPr>
              <w:t>(∑ 105</w:t>
            </w:r>
            <w:r w:rsidR="002E2D23">
              <w:rPr>
                <w:rFonts w:cs="Arial"/>
                <w:b/>
                <w:color w:val="000000"/>
                <w:sz w:val="18"/>
                <w:szCs w:val="18"/>
              </w:rPr>
              <w:t>8</w:t>
            </w:r>
            <w:r w:rsidR="00367CF5">
              <w:rPr>
                <w:rFonts w:cs="Arial"/>
                <w:b/>
                <w:color w:val="000000"/>
                <w:sz w:val="18"/>
                <w:szCs w:val="18"/>
              </w:rPr>
              <w:t>)</w:t>
            </w:r>
          </w:p>
        </w:tc>
      </w:tr>
      <w:tr w:rsidR="00895582" w:rsidRPr="008C7D08" w:rsidTr="000F6B5B">
        <w:tc>
          <w:tcPr>
            <w:tcW w:w="1809" w:type="dxa"/>
            <w:shd w:val="pct25" w:color="auto" w:fill="auto"/>
          </w:tcPr>
          <w:p w:rsidR="00895582" w:rsidRPr="003B58A5" w:rsidRDefault="00895582" w:rsidP="003B58A5">
            <w:pPr>
              <w:jc w:val="center"/>
              <w:rPr>
                <w:rFonts w:ascii="Calibri" w:hAnsi="Calibri" w:cs="Arial"/>
                <w:color w:val="000000"/>
                <w:sz w:val="18"/>
                <w:szCs w:val="18"/>
              </w:rPr>
            </w:pPr>
            <w:r w:rsidRPr="003B58A5">
              <w:rPr>
                <w:rFonts w:ascii="Calibri" w:hAnsi="Calibri" w:cs="Arial"/>
                <w:color w:val="000000"/>
                <w:sz w:val="18"/>
                <w:szCs w:val="18"/>
              </w:rPr>
              <w:t>1</w:t>
            </w:r>
          </w:p>
        </w:tc>
        <w:tc>
          <w:tcPr>
            <w:tcW w:w="5387" w:type="dxa"/>
            <w:shd w:val="clear" w:color="auto" w:fill="auto"/>
            <w:vAlign w:val="bottom"/>
          </w:tcPr>
          <w:p w:rsidR="00895582" w:rsidRPr="003B58A5" w:rsidRDefault="00895582" w:rsidP="003B58A5">
            <w:pPr>
              <w:jc w:val="center"/>
              <w:rPr>
                <w:rFonts w:ascii="Calibri" w:hAnsi="Calibri" w:cs="Arial"/>
                <w:color w:val="000000"/>
                <w:sz w:val="18"/>
                <w:szCs w:val="18"/>
              </w:rPr>
            </w:pPr>
            <w:r w:rsidRPr="003B58A5">
              <w:rPr>
                <w:rFonts w:ascii="Calibri" w:hAnsi="Calibri" w:cs="Arial"/>
                <w:color w:val="000000"/>
                <w:sz w:val="18"/>
                <w:szCs w:val="18"/>
              </w:rPr>
              <w:t>0</w:t>
            </w:r>
            <w:r>
              <w:rPr>
                <w:rFonts w:ascii="Calibri" w:hAnsi="Calibri" w:cs="Arial"/>
                <w:color w:val="000000"/>
                <w:sz w:val="18"/>
                <w:szCs w:val="18"/>
              </w:rPr>
              <w:t xml:space="preserve"> </w:t>
            </w:r>
          </w:p>
        </w:tc>
        <w:tc>
          <w:tcPr>
            <w:tcW w:w="2090" w:type="dxa"/>
            <w:shd w:val="clear" w:color="auto" w:fill="auto"/>
          </w:tcPr>
          <w:p w:rsidR="00895582" w:rsidRPr="00CD4BFC" w:rsidRDefault="00895582" w:rsidP="008765C4">
            <w:pPr>
              <w:jc w:val="center"/>
              <w:rPr>
                <w:rFonts w:ascii="Calibri" w:hAnsi="Calibri" w:cs="Arial"/>
                <w:color w:val="000000"/>
                <w:sz w:val="18"/>
                <w:szCs w:val="18"/>
              </w:rPr>
            </w:pPr>
            <w:r w:rsidRPr="000F6B5B">
              <w:rPr>
                <w:rFonts w:ascii="Calibri" w:hAnsi="Calibri" w:cs="Arial"/>
                <w:color w:val="000000"/>
                <w:sz w:val="18"/>
                <w:szCs w:val="18"/>
                <w:lang w:val="sl-SI" w:eastAsia="sl-SI"/>
              </w:rPr>
              <w:t>4</w:t>
            </w:r>
          </w:p>
        </w:tc>
      </w:tr>
      <w:tr w:rsidR="00895582" w:rsidRPr="008C7D08" w:rsidTr="000F6B5B">
        <w:tc>
          <w:tcPr>
            <w:tcW w:w="1809" w:type="dxa"/>
            <w:shd w:val="pct25" w:color="auto" w:fill="auto"/>
          </w:tcPr>
          <w:p w:rsidR="00895582" w:rsidRPr="003B58A5" w:rsidRDefault="00895582" w:rsidP="003B58A5">
            <w:pPr>
              <w:jc w:val="center"/>
              <w:rPr>
                <w:rFonts w:ascii="Calibri" w:hAnsi="Calibri" w:cs="Arial"/>
                <w:color w:val="000000"/>
                <w:sz w:val="18"/>
                <w:szCs w:val="18"/>
              </w:rPr>
            </w:pPr>
            <w:r w:rsidRPr="003B58A5">
              <w:rPr>
                <w:rFonts w:ascii="Calibri" w:hAnsi="Calibri" w:cs="Arial"/>
                <w:color w:val="000000"/>
                <w:sz w:val="18"/>
                <w:szCs w:val="18"/>
              </w:rPr>
              <w:t>2</w:t>
            </w:r>
          </w:p>
        </w:tc>
        <w:tc>
          <w:tcPr>
            <w:tcW w:w="5387" w:type="dxa"/>
            <w:shd w:val="clear" w:color="auto" w:fill="auto"/>
            <w:vAlign w:val="bottom"/>
          </w:tcPr>
          <w:p w:rsidR="00895582" w:rsidRPr="003B58A5" w:rsidRDefault="00895582" w:rsidP="003B58A5">
            <w:pPr>
              <w:jc w:val="center"/>
              <w:rPr>
                <w:rFonts w:ascii="Calibri" w:hAnsi="Calibri" w:cs="Arial"/>
                <w:color w:val="000000"/>
                <w:sz w:val="18"/>
                <w:szCs w:val="18"/>
              </w:rPr>
            </w:pPr>
            <w:r w:rsidRPr="003B58A5">
              <w:rPr>
                <w:rFonts w:ascii="Calibri" w:hAnsi="Calibri" w:cs="Arial"/>
                <w:color w:val="000000"/>
                <w:sz w:val="18"/>
                <w:szCs w:val="18"/>
              </w:rPr>
              <w:t>0</w:t>
            </w:r>
            <w:r>
              <w:rPr>
                <w:rFonts w:ascii="Calibri" w:hAnsi="Calibri" w:cs="Arial"/>
                <w:color w:val="000000"/>
                <w:sz w:val="18"/>
                <w:szCs w:val="18"/>
              </w:rPr>
              <w:t xml:space="preserve"> </w:t>
            </w:r>
            <w:r w:rsidRPr="003B58A5">
              <w:rPr>
                <w:rFonts w:ascii="Calibri" w:hAnsi="Calibri" w:cs="Arial"/>
                <w:color w:val="000000"/>
                <w:sz w:val="18"/>
                <w:szCs w:val="18"/>
              </w:rPr>
              <w:t xml:space="preserve"> &lt; Bilančna vsota &lt; 100.000</w:t>
            </w:r>
            <w:r>
              <w:rPr>
                <w:rFonts w:ascii="Calibri" w:hAnsi="Calibri" w:cs="Arial"/>
                <w:color w:val="000000"/>
                <w:sz w:val="18"/>
                <w:szCs w:val="18"/>
              </w:rPr>
              <w:t xml:space="preserve"> </w:t>
            </w:r>
          </w:p>
        </w:tc>
        <w:tc>
          <w:tcPr>
            <w:tcW w:w="2090" w:type="dxa"/>
            <w:shd w:val="clear" w:color="auto" w:fill="auto"/>
          </w:tcPr>
          <w:p w:rsidR="00895582" w:rsidRPr="00CD4BFC" w:rsidRDefault="0059557D" w:rsidP="008765C4">
            <w:pPr>
              <w:jc w:val="center"/>
              <w:rPr>
                <w:rFonts w:ascii="Calibri" w:hAnsi="Calibri" w:cs="Arial"/>
                <w:color w:val="000000"/>
                <w:sz w:val="18"/>
                <w:szCs w:val="18"/>
              </w:rPr>
            </w:pPr>
            <w:r>
              <w:rPr>
                <w:rFonts w:ascii="Calibri" w:hAnsi="Calibri" w:cs="Arial"/>
                <w:color w:val="000000"/>
                <w:sz w:val="18"/>
                <w:szCs w:val="18"/>
                <w:lang w:val="sl-SI" w:eastAsia="sl-SI"/>
              </w:rPr>
              <w:t>67</w:t>
            </w:r>
          </w:p>
        </w:tc>
      </w:tr>
      <w:tr w:rsidR="00895582" w:rsidRPr="008C7D08" w:rsidTr="000F6B5B">
        <w:tc>
          <w:tcPr>
            <w:tcW w:w="1809" w:type="dxa"/>
            <w:shd w:val="pct25" w:color="auto" w:fill="auto"/>
          </w:tcPr>
          <w:p w:rsidR="00895582" w:rsidRPr="003B58A5" w:rsidRDefault="00895582" w:rsidP="003B58A5">
            <w:pPr>
              <w:jc w:val="center"/>
              <w:rPr>
                <w:rFonts w:ascii="Calibri" w:hAnsi="Calibri" w:cs="Arial"/>
                <w:color w:val="000000"/>
                <w:sz w:val="18"/>
                <w:szCs w:val="18"/>
              </w:rPr>
            </w:pPr>
            <w:r w:rsidRPr="003B58A5">
              <w:rPr>
                <w:rFonts w:ascii="Calibri" w:hAnsi="Calibri" w:cs="Arial"/>
                <w:color w:val="000000"/>
                <w:sz w:val="18"/>
                <w:szCs w:val="18"/>
              </w:rPr>
              <w:t>3</w:t>
            </w:r>
          </w:p>
        </w:tc>
        <w:tc>
          <w:tcPr>
            <w:tcW w:w="5387" w:type="dxa"/>
            <w:shd w:val="clear" w:color="auto" w:fill="auto"/>
            <w:vAlign w:val="bottom"/>
          </w:tcPr>
          <w:p w:rsidR="00895582" w:rsidRPr="003B58A5" w:rsidRDefault="00895582" w:rsidP="003B58A5">
            <w:pPr>
              <w:jc w:val="center"/>
              <w:rPr>
                <w:rFonts w:ascii="Calibri" w:hAnsi="Calibri" w:cs="Arial"/>
                <w:color w:val="000000"/>
                <w:sz w:val="18"/>
                <w:szCs w:val="18"/>
              </w:rPr>
            </w:pPr>
            <w:r w:rsidRPr="003B58A5">
              <w:rPr>
                <w:rFonts w:ascii="Calibri" w:hAnsi="Calibri" w:cs="Arial"/>
                <w:color w:val="000000"/>
                <w:sz w:val="18"/>
                <w:szCs w:val="18"/>
              </w:rPr>
              <w:t>100.000</w:t>
            </w:r>
            <w:r>
              <w:rPr>
                <w:rFonts w:ascii="Calibri" w:hAnsi="Calibri" w:cs="Arial"/>
                <w:color w:val="000000"/>
                <w:sz w:val="18"/>
                <w:szCs w:val="18"/>
              </w:rPr>
              <w:t xml:space="preserve"> </w:t>
            </w:r>
            <w:r w:rsidRPr="003B58A5">
              <w:rPr>
                <w:rFonts w:ascii="Calibri" w:hAnsi="Calibri" w:cs="Arial"/>
                <w:color w:val="000000"/>
                <w:sz w:val="18"/>
                <w:szCs w:val="18"/>
              </w:rPr>
              <w:t xml:space="preserve"> &lt; Bilančna vsota &lt; 10.000.000</w:t>
            </w:r>
            <w:r>
              <w:rPr>
                <w:rFonts w:ascii="Calibri" w:hAnsi="Calibri" w:cs="Arial"/>
                <w:color w:val="000000"/>
                <w:sz w:val="18"/>
                <w:szCs w:val="18"/>
              </w:rPr>
              <w:t xml:space="preserve"> </w:t>
            </w:r>
          </w:p>
        </w:tc>
        <w:tc>
          <w:tcPr>
            <w:tcW w:w="2090" w:type="dxa"/>
            <w:shd w:val="clear" w:color="auto" w:fill="auto"/>
          </w:tcPr>
          <w:p w:rsidR="00895582" w:rsidRPr="00CD4BFC" w:rsidRDefault="00895582" w:rsidP="008765C4">
            <w:pPr>
              <w:jc w:val="center"/>
              <w:rPr>
                <w:rFonts w:ascii="Calibri" w:hAnsi="Calibri" w:cs="Arial"/>
                <w:color w:val="000000"/>
                <w:sz w:val="18"/>
                <w:szCs w:val="18"/>
              </w:rPr>
            </w:pPr>
            <w:r w:rsidRPr="000F6B5B">
              <w:rPr>
                <w:rFonts w:ascii="Calibri" w:hAnsi="Calibri" w:cs="Arial"/>
                <w:color w:val="000000"/>
                <w:sz w:val="18"/>
                <w:szCs w:val="18"/>
                <w:lang w:val="sl-SI" w:eastAsia="sl-SI"/>
              </w:rPr>
              <w:t>95</w:t>
            </w:r>
            <w:r w:rsidR="0059557D">
              <w:rPr>
                <w:rFonts w:ascii="Calibri" w:hAnsi="Calibri" w:cs="Arial"/>
                <w:color w:val="000000"/>
                <w:sz w:val="18"/>
                <w:szCs w:val="18"/>
                <w:lang w:val="sl-SI" w:eastAsia="sl-SI"/>
              </w:rPr>
              <w:t>8</w:t>
            </w:r>
          </w:p>
        </w:tc>
      </w:tr>
      <w:tr w:rsidR="00895582" w:rsidRPr="008C7D08" w:rsidTr="000F6B5B">
        <w:tc>
          <w:tcPr>
            <w:tcW w:w="1809" w:type="dxa"/>
            <w:shd w:val="pct25" w:color="auto" w:fill="auto"/>
          </w:tcPr>
          <w:p w:rsidR="00895582" w:rsidRPr="003B58A5" w:rsidRDefault="00895582" w:rsidP="003B58A5">
            <w:pPr>
              <w:jc w:val="center"/>
              <w:rPr>
                <w:rFonts w:ascii="Calibri" w:hAnsi="Calibri" w:cs="Arial"/>
                <w:color w:val="000000"/>
                <w:sz w:val="18"/>
                <w:szCs w:val="18"/>
              </w:rPr>
            </w:pPr>
            <w:r w:rsidRPr="003B58A5">
              <w:rPr>
                <w:rFonts w:ascii="Calibri" w:hAnsi="Calibri" w:cs="Arial"/>
                <w:color w:val="000000"/>
                <w:sz w:val="18"/>
                <w:szCs w:val="18"/>
              </w:rPr>
              <w:t>4</w:t>
            </w:r>
          </w:p>
        </w:tc>
        <w:tc>
          <w:tcPr>
            <w:tcW w:w="5387" w:type="dxa"/>
            <w:shd w:val="clear" w:color="auto" w:fill="auto"/>
            <w:vAlign w:val="bottom"/>
          </w:tcPr>
          <w:p w:rsidR="00895582" w:rsidRPr="003B58A5" w:rsidRDefault="00895582" w:rsidP="003B58A5">
            <w:pPr>
              <w:jc w:val="center"/>
              <w:rPr>
                <w:rFonts w:ascii="Calibri" w:hAnsi="Calibri" w:cs="Arial"/>
                <w:color w:val="000000"/>
                <w:sz w:val="18"/>
                <w:szCs w:val="18"/>
              </w:rPr>
            </w:pPr>
            <w:r w:rsidRPr="003B58A5">
              <w:rPr>
                <w:rFonts w:ascii="Calibri" w:hAnsi="Calibri" w:cs="Arial"/>
                <w:color w:val="000000"/>
                <w:sz w:val="18"/>
                <w:szCs w:val="18"/>
              </w:rPr>
              <w:t>&gt; 10.000.000</w:t>
            </w:r>
            <w:r>
              <w:rPr>
                <w:rFonts w:ascii="Calibri" w:hAnsi="Calibri" w:cs="Arial"/>
                <w:color w:val="000000"/>
                <w:sz w:val="18"/>
                <w:szCs w:val="18"/>
              </w:rPr>
              <w:t xml:space="preserve"> </w:t>
            </w:r>
          </w:p>
        </w:tc>
        <w:tc>
          <w:tcPr>
            <w:tcW w:w="2090" w:type="dxa"/>
            <w:shd w:val="clear" w:color="auto" w:fill="auto"/>
          </w:tcPr>
          <w:p w:rsidR="00895582" w:rsidRPr="00CD4BFC" w:rsidRDefault="00895582" w:rsidP="008765C4">
            <w:pPr>
              <w:jc w:val="center"/>
              <w:rPr>
                <w:rFonts w:ascii="Calibri" w:hAnsi="Calibri" w:cs="Arial"/>
                <w:color w:val="000000"/>
                <w:sz w:val="18"/>
                <w:szCs w:val="18"/>
              </w:rPr>
            </w:pPr>
            <w:r w:rsidRPr="000F6B5B">
              <w:rPr>
                <w:rFonts w:ascii="Calibri" w:hAnsi="Calibri" w:cs="Arial"/>
                <w:color w:val="000000"/>
                <w:sz w:val="18"/>
                <w:szCs w:val="18"/>
                <w:lang w:val="sl-SI" w:eastAsia="sl-SI"/>
              </w:rPr>
              <w:t>29</w:t>
            </w:r>
          </w:p>
        </w:tc>
      </w:tr>
    </w:tbl>
    <w:p w:rsidR="008765C4" w:rsidRDefault="008765C4" w:rsidP="00B33A8D"/>
    <w:p w:rsidR="006252B3" w:rsidRDefault="00895582" w:rsidP="00B33A8D">
      <w:r>
        <w:t xml:space="preserve">Štirje </w:t>
      </w:r>
      <w:r w:rsidR="006252B3">
        <w:t>PPU občinskih proračunov nima</w:t>
      </w:r>
      <w:r>
        <w:t>jo</w:t>
      </w:r>
      <w:r w:rsidR="006252B3">
        <w:t xml:space="preserve"> nobenega premoženja, zato bi bilo smiselno, da občine preverijo </w:t>
      </w:r>
      <w:proofErr w:type="gramStart"/>
      <w:r w:rsidR="006252B3">
        <w:t>ali</w:t>
      </w:r>
      <w:proofErr w:type="gramEnd"/>
      <w:r w:rsidR="006252B3">
        <w:t xml:space="preserve"> </w:t>
      </w:r>
      <w:r w:rsidR="00F625F9">
        <w:t xml:space="preserve">je </w:t>
      </w:r>
      <w:r w:rsidR="006252B3">
        <w:t xml:space="preserve">obstoj takšnih PPU </w:t>
      </w:r>
      <w:r w:rsidR="00A32C54">
        <w:t>upravičen</w:t>
      </w:r>
      <w:r w:rsidR="006252B3">
        <w:t>.</w:t>
      </w:r>
      <w:r w:rsidR="00B20DAF">
        <w:t xml:space="preserve"> Podobno velja tudi za </w:t>
      </w:r>
      <w:r w:rsidR="004645C4">
        <w:t xml:space="preserve">ostalih </w:t>
      </w:r>
      <w:r w:rsidR="0059557D">
        <w:t xml:space="preserve">67 </w:t>
      </w:r>
      <w:r w:rsidR="00B20DAF">
        <w:t xml:space="preserve">PPU, katerih bilančna vsota je manjša </w:t>
      </w:r>
      <w:proofErr w:type="gramStart"/>
      <w:r w:rsidR="00B20DAF">
        <w:t>od</w:t>
      </w:r>
      <w:proofErr w:type="gramEnd"/>
      <w:r w:rsidR="00B20DAF">
        <w:t xml:space="preserve"> 100.000 EUR.</w:t>
      </w:r>
    </w:p>
    <w:p w:rsidR="006252B3" w:rsidRDefault="006252B3" w:rsidP="00B33A8D"/>
    <w:p w:rsidR="00442CCE" w:rsidRDefault="00D52CCE" w:rsidP="00442CCE">
      <w:r>
        <w:t>Povzetek razporeditve izbranih oblik premoženja in obveznosti po izbranih skupinah SKD na dan 31.12.201</w:t>
      </w:r>
      <w:r w:rsidR="00263BEC">
        <w:t>8</w:t>
      </w:r>
      <w:r>
        <w:t xml:space="preserve">  prikazuje</w:t>
      </w:r>
      <w:r w:rsidR="005A3892">
        <w:t xml:space="preserve"> </w:t>
      </w:r>
      <w:r w:rsidR="005A3892">
        <w:fldChar w:fldCharType="begin"/>
      </w:r>
      <w:r w:rsidR="005A3892">
        <w:instrText xml:space="preserve"> REF _Ref390159585 \h </w:instrText>
      </w:r>
      <w:r w:rsidR="00B33A8D">
        <w:instrText xml:space="preserve"> \* MERGEFORMAT </w:instrText>
      </w:r>
      <w:r w:rsidR="005A3892">
        <w:fldChar w:fldCharType="separate"/>
      </w:r>
      <w:r w:rsidR="00CE55C4" w:rsidRPr="00CE55C4">
        <w:t xml:space="preserve">Tabela </w:t>
      </w:r>
      <w:r w:rsidR="00CE55C4" w:rsidRPr="00CE55C4">
        <w:rPr>
          <w:noProof/>
        </w:rPr>
        <w:t>22</w:t>
      </w:r>
      <w:r w:rsidR="005A3892">
        <w:fldChar w:fldCharType="end"/>
      </w:r>
      <w:r w:rsidR="008A7BCE">
        <w:t>,</w:t>
      </w:r>
      <w:r>
        <w:t xml:space="preserve"> iz katere je razvidno, da ima največji del dolgoročnih</w:t>
      </w:r>
      <w:r w:rsidR="00DD027A">
        <w:t xml:space="preserve"> finančnih naložb lekarniška dejavnost, največji del</w:t>
      </w:r>
      <w:r w:rsidR="00976B52">
        <w:t xml:space="preserve"> </w:t>
      </w:r>
      <w:r>
        <w:t xml:space="preserve">kratkoročnih finančnih naložb </w:t>
      </w:r>
      <w:r w:rsidR="00465BE7">
        <w:t>splošna zunajbolnišnična zdravstena dejavnost (zdravstveni domovi)</w:t>
      </w:r>
      <w:r>
        <w:t>, ki je</w:t>
      </w:r>
      <w:r w:rsidR="00465BE7">
        <w:t xml:space="preserve"> gledano absolutno in v primerjavi z bolnišnično zdravstveno dejavnostjo (glej </w:t>
      </w:r>
      <w:r w:rsidR="00465BE7">
        <w:fldChar w:fldCharType="begin"/>
      </w:r>
      <w:r w:rsidR="00465BE7">
        <w:instrText xml:space="preserve"> REF _Ref390156174 \h </w:instrText>
      </w:r>
      <w:r w:rsidR="00B33A8D">
        <w:instrText xml:space="preserve"> \* MERGEFORMAT </w:instrText>
      </w:r>
      <w:r w:rsidR="00465BE7">
        <w:fldChar w:fldCharType="separate"/>
      </w:r>
      <w:r w:rsidR="00CE55C4">
        <w:t xml:space="preserve">Tabela </w:t>
      </w:r>
      <w:r w:rsidR="00CE55C4">
        <w:rPr>
          <w:noProof/>
        </w:rPr>
        <w:t>13</w:t>
      </w:r>
      <w:r w:rsidR="00465BE7">
        <w:fldChar w:fldCharType="end"/>
      </w:r>
      <w:r w:rsidR="00465BE7">
        <w:t>) malo zadolžena</w:t>
      </w:r>
      <w:r>
        <w:t>.</w:t>
      </w:r>
    </w:p>
    <w:p w:rsidR="00442CCE" w:rsidRDefault="00442CCE" w:rsidP="00442CCE"/>
    <w:p w:rsidR="00442CCE" w:rsidRPr="00442CCE" w:rsidRDefault="00442CCE" w:rsidP="00442CCE">
      <w:pPr>
        <w:rPr>
          <w:b/>
        </w:rPr>
      </w:pPr>
      <w:bookmarkStart w:id="108" w:name="_Ref390159585"/>
      <w:bookmarkStart w:id="109" w:name="_Toc49771344"/>
      <w:r w:rsidRPr="00442CCE">
        <w:rPr>
          <w:b/>
        </w:rPr>
        <w:t xml:space="preserve">Tabela </w:t>
      </w:r>
      <w:r w:rsidRPr="00442CCE">
        <w:rPr>
          <w:b/>
        </w:rPr>
        <w:fldChar w:fldCharType="begin"/>
      </w:r>
      <w:r w:rsidRPr="00442CCE">
        <w:rPr>
          <w:b/>
        </w:rPr>
        <w:instrText xml:space="preserve"> SEQ Tabela \* ARABIC </w:instrText>
      </w:r>
      <w:r w:rsidRPr="00442CCE">
        <w:rPr>
          <w:b/>
        </w:rPr>
        <w:fldChar w:fldCharType="separate"/>
      </w:r>
      <w:r w:rsidR="00CE55C4">
        <w:rPr>
          <w:b/>
          <w:noProof/>
        </w:rPr>
        <w:t>22</w:t>
      </w:r>
      <w:r w:rsidRPr="00442CCE">
        <w:rPr>
          <w:b/>
        </w:rPr>
        <w:fldChar w:fldCharType="end"/>
      </w:r>
      <w:bookmarkEnd w:id="108"/>
      <w:r w:rsidRPr="00442CCE">
        <w:rPr>
          <w:b/>
        </w:rPr>
        <w:t xml:space="preserve">: Prikaz dolgoročnih in kratkoročnih finančnih naložb ter dolgoročnih in kratkoročnih finančnih obveznosti po izbranih skupinah SKD za </w:t>
      </w:r>
      <w:r>
        <w:rPr>
          <w:b/>
        </w:rPr>
        <w:t xml:space="preserve">PPU občinskih proračunov </w:t>
      </w:r>
      <w:proofErr w:type="gramStart"/>
      <w:r>
        <w:rPr>
          <w:b/>
        </w:rPr>
        <w:t>na</w:t>
      </w:r>
      <w:proofErr w:type="gramEnd"/>
      <w:r>
        <w:rPr>
          <w:b/>
        </w:rPr>
        <w:t xml:space="preserve"> dan </w:t>
      </w:r>
      <w:r w:rsidRPr="00442CCE">
        <w:rPr>
          <w:b/>
        </w:rPr>
        <w:t>31.12.201</w:t>
      </w:r>
      <w:r w:rsidR="00972554">
        <w:rPr>
          <w:b/>
        </w:rPr>
        <w:t>8</w:t>
      </w:r>
      <w:bookmarkEnd w:id="109"/>
    </w:p>
    <w:tbl>
      <w:tblPr>
        <w:tblpPr w:leftFromText="141" w:rightFromText="141" w:vertAnchor="text" w:horzAnchor="margin" w:tblpY="123"/>
        <w:tblW w:w="5233" w:type="pct"/>
        <w:tblLayout w:type="fixed"/>
        <w:tblCellMar>
          <w:left w:w="70" w:type="dxa"/>
          <w:right w:w="70" w:type="dxa"/>
        </w:tblCellMar>
        <w:tblLook w:val="04A0" w:firstRow="1" w:lastRow="0" w:firstColumn="1" w:lastColumn="0" w:noHBand="0" w:noVBand="1"/>
      </w:tblPr>
      <w:tblGrid>
        <w:gridCol w:w="778"/>
        <w:gridCol w:w="1421"/>
        <w:gridCol w:w="1558"/>
        <w:gridCol w:w="1560"/>
        <w:gridCol w:w="1700"/>
        <w:gridCol w:w="1274"/>
        <w:gridCol w:w="1348"/>
      </w:tblGrid>
      <w:tr w:rsidR="00442CCE" w:rsidRPr="00465BE7" w:rsidTr="00442CCE">
        <w:trPr>
          <w:trHeight w:val="983"/>
        </w:trPr>
        <w:tc>
          <w:tcPr>
            <w:tcW w:w="404" w:type="pct"/>
            <w:tcBorders>
              <w:top w:val="single" w:sz="4" w:space="0" w:color="auto"/>
              <w:left w:val="single" w:sz="4" w:space="0" w:color="auto"/>
              <w:bottom w:val="single" w:sz="4" w:space="0" w:color="auto"/>
              <w:right w:val="single" w:sz="4" w:space="0" w:color="auto"/>
            </w:tcBorders>
            <w:shd w:val="clear" w:color="auto" w:fill="BFBFBF"/>
            <w:noWrap/>
            <w:hideMark/>
          </w:tcPr>
          <w:p w:rsidR="00442CCE" w:rsidRDefault="00442CCE" w:rsidP="00442CCE">
            <w:pPr>
              <w:spacing w:line="240" w:lineRule="auto"/>
              <w:jc w:val="left"/>
              <w:rPr>
                <w:rFonts w:ascii="Calibri" w:hAnsi="Calibri" w:cs="Arial"/>
                <w:b/>
                <w:bCs/>
                <w:sz w:val="18"/>
                <w:szCs w:val="18"/>
                <w:lang w:val="sl-SI" w:eastAsia="sl-SI"/>
              </w:rPr>
            </w:pPr>
          </w:p>
          <w:p w:rsidR="00442CCE" w:rsidRPr="00465BE7" w:rsidRDefault="00442CCE" w:rsidP="00442CCE">
            <w:pPr>
              <w:spacing w:line="240" w:lineRule="auto"/>
              <w:jc w:val="left"/>
              <w:rPr>
                <w:rFonts w:ascii="Calibri" w:hAnsi="Calibri" w:cs="Arial"/>
                <w:b/>
                <w:bCs/>
                <w:sz w:val="18"/>
                <w:szCs w:val="18"/>
                <w:lang w:val="sl-SI" w:eastAsia="sl-SI"/>
              </w:rPr>
            </w:pPr>
            <w:r>
              <w:rPr>
                <w:rFonts w:ascii="Calibri" w:hAnsi="Calibri" w:cs="Arial"/>
                <w:b/>
                <w:bCs/>
                <w:sz w:val="18"/>
                <w:szCs w:val="18"/>
                <w:lang w:val="sl-SI" w:eastAsia="sl-SI"/>
              </w:rPr>
              <w:t>SKD</w:t>
            </w:r>
            <w:r>
              <w:rPr>
                <w:rStyle w:val="FootnoteReference"/>
                <w:rFonts w:ascii="Calibri" w:hAnsi="Calibri"/>
                <w:b/>
                <w:bCs/>
                <w:sz w:val="18"/>
                <w:szCs w:val="18"/>
                <w:lang w:val="sl-SI" w:eastAsia="sl-SI"/>
              </w:rPr>
              <w:footnoteReference w:id="5"/>
            </w:r>
          </w:p>
        </w:tc>
        <w:tc>
          <w:tcPr>
            <w:tcW w:w="737" w:type="pct"/>
            <w:tcBorders>
              <w:top w:val="single" w:sz="4" w:space="0" w:color="auto"/>
              <w:left w:val="nil"/>
              <w:bottom w:val="single" w:sz="4" w:space="0" w:color="auto"/>
              <w:right w:val="single" w:sz="4" w:space="0" w:color="auto"/>
            </w:tcBorders>
            <w:shd w:val="clear" w:color="auto" w:fill="BFBFBF"/>
            <w:hideMark/>
          </w:tcPr>
          <w:p w:rsidR="00442CCE" w:rsidRPr="00465BE7" w:rsidRDefault="00442CCE" w:rsidP="00442CCE">
            <w:pPr>
              <w:spacing w:line="240" w:lineRule="auto"/>
              <w:jc w:val="left"/>
              <w:rPr>
                <w:rFonts w:ascii="Calibri" w:hAnsi="Calibri" w:cs="Arial"/>
                <w:b/>
                <w:bCs/>
                <w:sz w:val="18"/>
                <w:szCs w:val="18"/>
                <w:lang w:val="sl-SI" w:eastAsia="sl-SI"/>
              </w:rPr>
            </w:pPr>
            <w:r w:rsidRPr="00465BE7">
              <w:rPr>
                <w:rFonts w:ascii="Calibri" w:hAnsi="Calibri" w:cs="Arial"/>
                <w:b/>
                <w:bCs/>
                <w:sz w:val="18"/>
                <w:szCs w:val="18"/>
                <w:lang w:val="sl-SI" w:eastAsia="sl-SI"/>
              </w:rPr>
              <w:t>Naložbe v delnice v državi in tujini</w:t>
            </w:r>
          </w:p>
        </w:tc>
        <w:tc>
          <w:tcPr>
            <w:tcW w:w="808" w:type="pct"/>
            <w:tcBorders>
              <w:top w:val="single" w:sz="4" w:space="0" w:color="auto"/>
              <w:left w:val="nil"/>
              <w:bottom w:val="single" w:sz="4" w:space="0" w:color="auto"/>
              <w:right w:val="single" w:sz="4" w:space="0" w:color="auto"/>
            </w:tcBorders>
            <w:shd w:val="clear" w:color="auto" w:fill="BFBFBF"/>
            <w:hideMark/>
          </w:tcPr>
          <w:p w:rsidR="00442CCE" w:rsidRPr="00465BE7" w:rsidRDefault="00442CCE" w:rsidP="00442CCE">
            <w:pPr>
              <w:spacing w:line="240" w:lineRule="auto"/>
              <w:jc w:val="left"/>
              <w:rPr>
                <w:rFonts w:ascii="Calibri" w:hAnsi="Calibri" w:cs="Arial"/>
                <w:b/>
                <w:bCs/>
                <w:sz w:val="18"/>
                <w:szCs w:val="18"/>
                <w:lang w:val="sl-SI" w:eastAsia="sl-SI"/>
              </w:rPr>
            </w:pPr>
            <w:r w:rsidRPr="00465BE7">
              <w:rPr>
                <w:rFonts w:ascii="Calibri" w:hAnsi="Calibri" w:cs="Arial"/>
                <w:b/>
                <w:bCs/>
                <w:sz w:val="18"/>
                <w:szCs w:val="18"/>
                <w:lang w:val="sl-SI" w:eastAsia="sl-SI"/>
              </w:rPr>
              <w:t>Druge dolgočne kapitalske naložbe v državi in tujini</w:t>
            </w:r>
          </w:p>
        </w:tc>
        <w:tc>
          <w:tcPr>
            <w:tcW w:w="809" w:type="pct"/>
            <w:tcBorders>
              <w:top w:val="single" w:sz="4" w:space="0" w:color="auto"/>
              <w:left w:val="nil"/>
              <w:bottom w:val="single" w:sz="4" w:space="0" w:color="auto"/>
              <w:right w:val="single" w:sz="4" w:space="0" w:color="auto"/>
            </w:tcBorders>
            <w:shd w:val="clear" w:color="auto" w:fill="BFBFBF"/>
            <w:hideMark/>
          </w:tcPr>
          <w:p w:rsidR="00442CCE" w:rsidRPr="00465BE7" w:rsidRDefault="00442CCE" w:rsidP="00442CCE">
            <w:pPr>
              <w:spacing w:line="240" w:lineRule="auto"/>
              <w:jc w:val="left"/>
              <w:rPr>
                <w:rFonts w:ascii="Calibri" w:hAnsi="Calibri" w:cs="Arial"/>
                <w:b/>
                <w:bCs/>
                <w:sz w:val="18"/>
                <w:szCs w:val="18"/>
                <w:lang w:val="sl-SI" w:eastAsia="sl-SI"/>
              </w:rPr>
            </w:pPr>
            <w:r>
              <w:rPr>
                <w:rFonts w:ascii="Calibri" w:hAnsi="Calibri" w:cs="Arial"/>
                <w:b/>
                <w:bCs/>
                <w:sz w:val="18"/>
                <w:szCs w:val="18"/>
                <w:lang w:val="sl-SI" w:eastAsia="sl-SI"/>
              </w:rPr>
              <w:t>K</w:t>
            </w:r>
            <w:r w:rsidRPr="00465BE7">
              <w:rPr>
                <w:rFonts w:ascii="Calibri" w:hAnsi="Calibri" w:cs="Arial"/>
                <w:b/>
                <w:bCs/>
                <w:sz w:val="18"/>
                <w:szCs w:val="18"/>
                <w:lang w:val="sl-SI" w:eastAsia="sl-SI"/>
              </w:rPr>
              <w:t>ratkoročne finančne naložbe</w:t>
            </w:r>
          </w:p>
        </w:tc>
        <w:tc>
          <w:tcPr>
            <w:tcW w:w="882" w:type="pct"/>
            <w:tcBorders>
              <w:top w:val="single" w:sz="4" w:space="0" w:color="auto"/>
              <w:left w:val="nil"/>
              <w:bottom w:val="single" w:sz="4" w:space="0" w:color="auto"/>
              <w:right w:val="single" w:sz="4" w:space="0" w:color="auto"/>
            </w:tcBorders>
            <w:shd w:val="clear" w:color="auto" w:fill="BFBFBF"/>
            <w:hideMark/>
          </w:tcPr>
          <w:p w:rsidR="00442CCE" w:rsidRPr="00465BE7" w:rsidRDefault="00442CCE" w:rsidP="00442CCE">
            <w:pPr>
              <w:spacing w:line="240" w:lineRule="auto"/>
              <w:jc w:val="left"/>
              <w:rPr>
                <w:rFonts w:ascii="Calibri" w:hAnsi="Calibri" w:cs="Arial"/>
                <w:b/>
                <w:bCs/>
                <w:sz w:val="18"/>
                <w:szCs w:val="18"/>
                <w:lang w:val="sl-SI" w:eastAsia="sl-SI"/>
              </w:rPr>
            </w:pPr>
            <w:r w:rsidRPr="00465BE7">
              <w:rPr>
                <w:rFonts w:ascii="Calibri" w:hAnsi="Calibri" w:cs="Arial"/>
                <w:b/>
                <w:bCs/>
                <w:sz w:val="18"/>
                <w:szCs w:val="18"/>
                <w:lang w:val="sl-SI" w:eastAsia="sl-SI"/>
              </w:rPr>
              <w:t>Kratkoročni krediti, prejeti na podlagi posojilnih pogodb -  od uporabnikov EKN</w:t>
            </w:r>
          </w:p>
        </w:tc>
        <w:tc>
          <w:tcPr>
            <w:tcW w:w="661" w:type="pct"/>
            <w:tcBorders>
              <w:top w:val="single" w:sz="4" w:space="0" w:color="auto"/>
              <w:left w:val="nil"/>
              <w:bottom w:val="single" w:sz="4" w:space="0" w:color="auto"/>
              <w:right w:val="single" w:sz="4" w:space="0" w:color="auto"/>
            </w:tcBorders>
            <w:shd w:val="clear" w:color="auto" w:fill="BFBFBF"/>
            <w:hideMark/>
          </w:tcPr>
          <w:p w:rsidR="00442CCE" w:rsidRPr="00465BE7" w:rsidRDefault="00442CCE" w:rsidP="00442CCE">
            <w:pPr>
              <w:spacing w:line="240" w:lineRule="auto"/>
              <w:jc w:val="left"/>
              <w:rPr>
                <w:rFonts w:ascii="Calibri" w:hAnsi="Calibri" w:cs="Arial"/>
                <w:b/>
                <w:bCs/>
                <w:sz w:val="18"/>
                <w:szCs w:val="18"/>
                <w:lang w:val="sl-SI" w:eastAsia="sl-SI"/>
              </w:rPr>
            </w:pPr>
            <w:r>
              <w:rPr>
                <w:rFonts w:ascii="Calibri" w:hAnsi="Calibri" w:cs="Arial"/>
                <w:b/>
                <w:bCs/>
                <w:sz w:val="18"/>
                <w:szCs w:val="18"/>
                <w:lang w:val="sl-SI" w:eastAsia="sl-SI"/>
              </w:rPr>
              <w:t>K</w:t>
            </w:r>
            <w:r w:rsidRPr="00465BE7">
              <w:rPr>
                <w:rFonts w:ascii="Calibri" w:hAnsi="Calibri" w:cs="Arial"/>
                <w:b/>
                <w:bCs/>
                <w:sz w:val="18"/>
                <w:szCs w:val="18"/>
                <w:lang w:val="sl-SI" w:eastAsia="sl-SI"/>
              </w:rPr>
              <w:t>ratkoročne obveznosti do financerjev</w:t>
            </w:r>
          </w:p>
        </w:tc>
        <w:tc>
          <w:tcPr>
            <w:tcW w:w="699" w:type="pct"/>
            <w:tcBorders>
              <w:top w:val="single" w:sz="4" w:space="0" w:color="auto"/>
              <w:left w:val="nil"/>
              <w:bottom w:val="single" w:sz="4" w:space="0" w:color="auto"/>
              <w:right w:val="single" w:sz="4" w:space="0" w:color="auto"/>
            </w:tcBorders>
            <w:shd w:val="clear" w:color="auto" w:fill="BFBFBF"/>
            <w:hideMark/>
          </w:tcPr>
          <w:p w:rsidR="00442CCE" w:rsidRPr="00465BE7" w:rsidRDefault="00442CCE" w:rsidP="00442CCE">
            <w:pPr>
              <w:spacing w:line="240" w:lineRule="auto"/>
              <w:jc w:val="left"/>
              <w:rPr>
                <w:rFonts w:ascii="Calibri" w:hAnsi="Calibri" w:cs="Arial"/>
                <w:b/>
                <w:bCs/>
                <w:sz w:val="18"/>
                <w:szCs w:val="18"/>
                <w:lang w:val="sl-SI" w:eastAsia="sl-SI"/>
              </w:rPr>
            </w:pPr>
            <w:r>
              <w:rPr>
                <w:rFonts w:ascii="Calibri" w:hAnsi="Calibri" w:cs="Arial"/>
                <w:b/>
                <w:bCs/>
                <w:sz w:val="18"/>
                <w:szCs w:val="18"/>
                <w:lang w:val="sl-SI" w:eastAsia="sl-SI"/>
              </w:rPr>
              <w:t>D</w:t>
            </w:r>
            <w:r w:rsidRPr="00465BE7">
              <w:rPr>
                <w:rFonts w:ascii="Calibri" w:hAnsi="Calibri" w:cs="Arial"/>
                <w:b/>
                <w:bCs/>
                <w:sz w:val="18"/>
                <w:szCs w:val="18"/>
                <w:lang w:val="sl-SI" w:eastAsia="sl-SI"/>
              </w:rPr>
              <w:t>olgoročne finančne obveznosti</w:t>
            </w:r>
          </w:p>
        </w:tc>
      </w:tr>
      <w:tr w:rsidR="00442CCE" w:rsidRPr="00465BE7" w:rsidTr="00442CCE">
        <w:trPr>
          <w:trHeight w:val="240"/>
        </w:trPr>
        <w:tc>
          <w:tcPr>
            <w:tcW w:w="404" w:type="pct"/>
            <w:tcBorders>
              <w:top w:val="single" w:sz="4" w:space="0" w:color="auto"/>
              <w:left w:val="single" w:sz="4" w:space="0" w:color="auto"/>
              <w:bottom w:val="single" w:sz="4" w:space="0" w:color="auto"/>
              <w:right w:val="single" w:sz="4" w:space="0" w:color="auto"/>
            </w:tcBorders>
            <w:shd w:val="clear" w:color="auto" w:fill="BFBFBF"/>
            <w:noWrap/>
            <w:vAlign w:val="bottom"/>
          </w:tcPr>
          <w:p w:rsidR="00442CCE" w:rsidRDefault="00442CCE" w:rsidP="00442CCE">
            <w:pPr>
              <w:spacing w:line="240" w:lineRule="auto"/>
              <w:jc w:val="left"/>
              <w:rPr>
                <w:rFonts w:cs="Arial"/>
                <w:sz w:val="18"/>
                <w:szCs w:val="18"/>
                <w:lang w:val="sl-SI" w:eastAsia="sl-SI"/>
              </w:rPr>
            </w:pPr>
          </w:p>
        </w:tc>
        <w:tc>
          <w:tcPr>
            <w:tcW w:w="737" w:type="pct"/>
            <w:tcBorders>
              <w:top w:val="nil"/>
              <w:left w:val="nil"/>
              <w:bottom w:val="single" w:sz="4" w:space="0" w:color="auto"/>
              <w:right w:val="single" w:sz="4" w:space="0" w:color="auto"/>
            </w:tcBorders>
            <w:shd w:val="clear" w:color="auto" w:fill="auto"/>
            <w:noWrap/>
            <w:vAlign w:val="bottom"/>
          </w:tcPr>
          <w:p w:rsidR="00442CCE" w:rsidRPr="000F6B5B" w:rsidRDefault="00442CCE" w:rsidP="00442CCE">
            <w:pPr>
              <w:spacing w:line="240" w:lineRule="auto"/>
              <w:jc w:val="center"/>
              <w:rPr>
                <w:rFonts w:ascii="Calibri" w:hAnsi="Calibri" w:cs="Arial"/>
                <w:sz w:val="18"/>
                <w:szCs w:val="18"/>
                <w:lang w:val="sl-SI" w:eastAsia="sl-SI"/>
              </w:rPr>
            </w:pPr>
            <w:r w:rsidRPr="000F6B5B">
              <w:rPr>
                <w:rFonts w:ascii="Calibri" w:hAnsi="Calibri" w:cs="Arial"/>
                <w:sz w:val="18"/>
                <w:szCs w:val="18"/>
                <w:lang w:val="sl-SI" w:eastAsia="sl-SI"/>
              </w:rPr>
              <w:t>(€)</w:t>
            </w:r>
          </w:p>
        </w:tc>
        <w:tc>
          <w:tcPr>
            <w:tcW w:w="808" w:type="pct"/>
            <w:tcBorders>
              <w:top w:val="nil"/>
              <w:left w:val="nil"/>
              <w:bottom w:val="single" w:sz="4" w:space="0" w:color="auto"/>
              <w:right w:val="single" w:sz="4" w:space="0" w:color="auto"/>
            </w:tcBorders>
            <w:shd w:val="clear" w:color="auto" w:fill="auto"/>
            <w:noWrap/>
          </w:tcPr>
          <w:p w:rsidR="00442CCE" w:rsidRPr="000F6B5B" w:rsidRDefault="00442CCE" w:rsidP="00442CCE">
            <w:pPr>
              <w:spacing w:line="240" w:lineRule="auto"/>
              <w:jc w:val="center"/>
              <w:rPr>
                <w:rFonts w:ascii="Calibri" w:hAnsi="Calibri" w:cs="Arial"/>
                <w:sz w:val="18"/>
                <w:szCs w:val="18"/>
                <w:lang w:val="sl-SI" w:eastAsia="sl-SI"/>
              </w:rPr>
            </w:pPr>
            <w:r w:rsidRPr="000F6B5B">
              <w:rPr>
                <w:rFonts w:ascii="Calibri" w:hAnsi="Calibri" w:cs="Arial"/>
                <w:sz w:val="18"/>
                <w:szCs w:val="18"/>
                <w:lang w:val="sl-SI" w:eastAsia="sl-SI"/>
              </w:rPr>
              <w:t>(€)</w:t>
            </w:r>
          </w:p>
        </w:tc>
        <w:tc>
          <w:tcPr>
            <w:tcW w:w="809" w:type="pct"/>
            <w:tcBorders>
              <w:top w:val="nil"/>
              <w:left w:val="nil"/>
              <w:bottom w:val="single" w:sz="4" w:space="0" w:color="auto"/>
              <w:right w:val="single" w:sz="4" w:space="0" w:color="auto"/>
            </w:tcBorders>
            <w:shd w:val="clear" w:color="auto" w:fill="auto"/>
            <w:noWrap/>
          </w:tcPr>
          <w:p w:rsidR="00442CCE" w:rsidRPr="000F6B5B" w:rsidRDefault="00442CCE" w:rsidP="00442CCE">
            <w:pPr>
              <w:spacing w:line="240" w:lineRule="auto"/>
              <w:jc w:val="center"/>
              <w:rPr>
                <w:rFonts w:ascii="Calibri" w:hAnsi="Calibri" w:cs="Arial"/>
                <w:sz w:val="18"/>
                <w:szCs w:val="18"/>
                <w:lang w:val="sl-SI" w:eastAsia="sl-SI"/>
              </w:rPr>
            </w:pPr>
            <w:r w:rsidRPr="000F6B5B">
              <w:rPr>
                <w:rFonts w:ascii="Calibri" w:hAnsi="Calibri" w:cs="Arial"/>
                <w:sz w:val="18"/>
                <w:szCs w:val="18"/>
                <w:lang w:val="sl-SI" w:eastAsia="sl-SI"/>
              </w:rPr>
              <w:t>(€)</w:t>
            </w:r>
          </w:p>
        </w:tc>
        <w:tc>
          <w:tcPr>
            <w:tcW w:w="882" w:type="pct"/>
            <w:tcBorders>
              <w:top w:val="nil"/>
              <w:left w:val="nil"/>
              <w:bottom w:val="single" w:sz="4" w:space="0" w:color="auto"/>
              <w:right w:val="single" w:sz="4" w:space="0" w:color="auto"/>
            </w:tcBorders>
            <w:shd w:val="clear" w:color="auto" w:fill="auto"/>
            <w:noWrap/>
          </w:tcPr>
          <w:p w:rsidR="00442CCE" w:rsidRPr="000F6B5B" w:rsidRDefault="00442CCE" w:rsidP="00442CCE">
            <w:pPr>
              <w:spacing w:line="240" w:lineRule="auto"/>
              <w:jc w:val="center"/>
              <w:rPr>
                <w:rFonts w:ascii="Calibri" w:hAnsi="Calibri" w:cs="Arial"/>
                <w:sz w:val="18"/>
                <w:szCs w:val="18"/>
                <w:lang w:val="sl-SI" w:eastAsia="sl-SI"/>
              </w:rPr>
            </w:pPr>
            <w:r w:rsidRPr="000F6B5B">
              <w:rPr>
                <w:rFonts w:ascii="Calibri" w:hAnsi="Calibri" w:cs="Arial"/>
                <w:sz w:val="18"/>
                <w:szCs w:val="18"/>
                <w:lang w:val="sl-SI" w:eastAsia="sl-SI"/>
              </w:rPr>
              <w:t>(€)</w:t>
            </w:r>
          </w:p>
        </w:tc>
        <w:tc>
          <w:tcPr>
            <w:tcW w:w="661" w:type="pct"/>
            <w:tcBorders>
              <w:top w:val="nil"/>
              <w:left w:val="nil"/>
              <w:bottom w:val="single" w:sz="4" w:space="0" w:color="auto"/>
              <w:right w:val="single" w:sz="4" w:space="0" w:color="auto"/>
            </w:tcBorders>
            <w:shd w:val="clear" w:color="auto" w:fill="auto"/>
            <w:noWrap/>
          </w:tcPr>
          <w:p w:rsidR="00442CCE" w:rsidRPr="000F6B5B" w:rsidRDefault="00442CCE" w:rsidP="00442CCE">
            <w:pPr>
              <w:spacing w:line="240" w:lineRule="auto"/>
              <w:jc w:val="center"/>
              <w:rPr>
                <w:rFonts w:ascii="Calibri" w:hAnsi="Calibri" w:cs="Arial"/>
                <w:sz w:val="18"/>
                <w:szCs w:val="18"/>
                <w:lang w:val="sl-SI" w:eastAsia="sl-SI"/>
              </w:rPr>
            </w:pPr>
            <w:r w:rsidRPr="000F6B5B">
              <w:rPr>
                <w:rFonts w:ascii="Calibri" w:hAnsi="Calibri" w:cs="Arial"/>
                <w:sz w:val="18"/>
                <w:szCs w:val="18"/>
                <w:lang w:val="sl-SI" w:eastAsia="sl-SI"/>
              </w:rPr>
              <w:t>(€)</w:t>
            </w:r>
          </w:p>
        </w:tc>
        <w:tc>
          <w:tcPr>
            <w:tcW w:w="699" w:type="pct"/>
            <w:tcBorders>
              <w:top w:val="nil"/>
              <w:left w:val="nil"/>
              <w:bottom w:val="single" w:sz="4" w:space="0" w:color="auto"/>
              <w:right w:val="single" w:sz="4" w:space="0" w:color="auto"/>
            </w:tcBorders>
            <w:shd w:val="clear" w:color="auto" w:fill="auto"/>
            <w:noWrap/>
          </w:tcPr>
          <w:p w:rsidR="00442CCE" w:rsidRPr="000F6B5B" w:rsidRDefault="00442CCE" w:rsidP="00442CCE">
            <w:pPr>
              <w:spacing w:line="240" w:lineRule="auto"/>
              <w:jc w:val="center"/>
              <w:rPr>
                <w:rFonts w:ascii="Calibri" w:hAnsi="Calibri" w:cs="Arial"/>
                <w:sz w:val="18"/>
                <w:szCs w:val="18"/>
                <w:lang w:val="sl-SI" w:eastAsia="sl-SI"/>
              </w:rPr>
            </w:pPr>
            <w:r w:rsidRPr="000F6B5B">
              <w:rPr>
                <w:rFonts w:ascii="Calibri" w:hAnsi="Calibri" w:cs="Arial"/>
                <w:sz w:val="18"/>
                <w:szCs w:val="18"/>
                <w:lang w:val="sl-SI" w:eastAsia="sl-SI"/>
              </w:rPr>
              <w:t>(€)</w:t>
            </w:r>
          </w:p>
        </w:tc>
      </w:tr>
      <w:tr w:rsidR="007C0982" w:rsidRPr="00465BE7" w:rsidTr="00972554">
        <w:trPr>
          <w:trHeight w:val="240"/>
        </w:trPr>
        <w:tc>
          <w:tcPr>
            <w:tcW w:w="404" w:type="pct"/>
            <w:tcBorders>
              <w:top w:val="single" w:sz="4" w:space="0" w:color="auto"/>
              <w:left w:val="single" w:sz="4" w:space="0" w:color="auto"/>
              <w:bottom w:val="single" w:sz="4" w:space="0" w:color="auto"/>
              <w:right w:val="single" w:sz="4" w:space="0" w:color="auto"/>
            </w:tcBorders>
            <w:shd w:val="clear" w:color="auto" w:fill="BFBFBF"/>
            <w:noWrap/>
            <w:vAlign w:val="bottom"/>
          </w:tcPr>
          <w:p w:rsidR="007C0982" w:rsidRPr="000F6B5B" w:rsidRDefault="007C0982" w:rsidP="00442CCE">
            <w:pPr>
              <w:spacing w:line="240" w:lineRule="auto"/>
              <w:jc w:val="left"/>
              <w:rPr>
                <w:rFonts w:ascii="Calibri" w:hAnsi="Calibri" w:cs="Arial"/>
                <w:sz w:val="18"/>
                <w:szCs w:val="18"/>
                <w:lang w:val="sl-SI" w:eastAsia="sl-SI"/>
              </w:rPr>
            </w:pPr>
            <w:r w:rsidRPr="000F6B5B">
              <w:rPr>
                <w:rFonts w:ascii="Calibri" w:hAnsi="Calibri" w:cs="Arial"/>
                <w:sz w:val="18"/>
                <w:szCs w:val="18"/>
                <w:lang w:val="sl-SI" w:eastAsia="sl-SI"/>
              </w:rPr>
              <w:t>47.730</w:t>
            </w:r>
          </w:p>
        </w:tc>
        <w:tc>
          <w:tcPr>
            <w:tcW w:w="737" w:type="pct"/>
            <w:tcBorders>
              <w:top w:val="nil"/>
              <w:left w:val="nil"/>
              <w:bottom w:val="single" w:sz="4" w:space="0" w:color="auto"/>
              <w:right w:val="single" w:sz="4" w:space="0" w:color="auto"/>
            </w:tcBorders>
            <w:shd w:val="clear" w:color="auto" w:fill="auto"/>
            <w:noWrap/>
            <w:vAlign w:val="bottom"/>
          </w:tcPr>
          <w:p w:rsidR="007C0982" w:rsidRPr="00972554" w:rsidRDefault="007C0982" w:rsidP="00116FC1">
            <w:pPr>
              <w:spacing w:line="240" w:lineRule="auto"/>
              <w:jc w:val="right"/>
              <w:rPr>
                <w:rFonts w:ascii="Calibri" w:hAnsi="Calibri" w:cs="Calibri"/>
                <w:color w:val="000000"/>
                <w:sz w:val="18"/>
                <w:szCs w:val="18"/>
                <w:lang w:val="sl-SI" w:eastAsia="sl-SI"/>
              </w:rPr>
            </w:pPr>
            <w:r w:rsidRPr="00972554">
              <w:rPr>
                <w:rFonts w:ascii="Calibri" w:hAnsi="Calibri" w:cs="Calibri"/>
                <w:color w:val="000000"/>
                <w:sz w:val="18"/>
                <w:szCs w:val="18"/>
                <w:lang w:val="sl-SI" w:eastAsia="sl-SI"/>
              </w:rPr>
              <w:t xml:space="preserve">8.030.507,06 </w:t>
            </w:r>
          </w:p>
        </w:tc>
        <w:tc>
          <w:tcPr>
            <w:tcW w:w="808" w:type="pct"/>
            <w:tcBorders>
              <w:top w:val="nil"/>
              <w:left w:val="nil"/>
              <w:bottom w:val="single" w:sz="4" w:space="0" w:color="auto"/>
              <w:right w:val="single" w:sz="4" w:space="0" w:color="auto"/>
            </w:tcBorders>
            <w:shd w:val="clear" w:color="auto" w:fill="auto"/>
            <w:noWrap/>
            <w:vAlign w:val="bottom"/>
          </w:tcPr>
          <w:p w:rsidR="007C0982" w:rsidRPr="00972554" w:rsidRDefault="007C0982" w:rsidP="00972554">
            <w:pPr>
              <w:spacing w:line="240" w:lineRule="auto"/>
              <w:jc w:val="right"/>
              <w:rPr>
                <w:rFonts w:ascii="Calibri" w:hAnsi="Calibri" w:cs="Calibri"/>
                <w:color w:val="000000"/>
                <w:sz w:val="18"/>
                <w:szCs w:val="18"/>
                <w:lang w:val="sl-SI" w:eastAsia="sl-SI"/>
              </w:rPr>
            </w:pPr>
            <w:r w:rsidRPr="00972554">
              <w:rPr>
                <w:rFonts w:ascii="Calibri" w:hAnsi="Calibri" w:cs="Calibri"/>
                <w:color w:val="000000"/>
                <w:sz w:val="18"/>
                <w:szCs w:val="18"/>
                <w:lang w:val="sl-SI" w:eastAsia="sl-SI"/>
              </w:rPr>
              <w:t xml:space="preserve">0,00 </w:t>
            </w:r>
          </w:p>
        </w:tc>
        <w:tc>
          <w:tcPr>
            <w:tcW w:w="809" w:type="pct"/>
            <w:tcBorders>
              <w:top w:val="nil"/>
              <w:left w:val="nil"/>
              <w:bottom w:val="single" w:sz="4" w:space="0" w:color="auto"/>
              <w:right w:val="single" w:sz="4" w:space="0" w:color="auto"/>
            </w:tcBorders>
            <w:shd w:val="clear" w:color="auto" w:fill="auto"/>
            <w:noWrap/>
            <w:vAlign w:val="bottom"/>
          </w:tcPr>
          <w:p w:rsidR="007C0982" w:rsidRPr="00972554" w:rsidRDefault="007C0982" w:rsidP="00972554">
            <w:pPr>
              <w:spacing w:line="240" w:lineRule="auto"/>
              <w:jc w:val="right"/>
              <w:rPr>
                <w:rFonts w:ascii="Calibri" w:hAnsi="Calibri" w:cs="Calibri"/>
                <w:color w:val="000000"/>
                <w:sz w:val="18"/>
                <w:szCs w:val="18"/>
                <w:lang w:val="sl-SI" w:eastAsia="sl-SI"/>
              </w:rPr>
            </w:pPr>
            <w:r w:rsidRPr="00972554">
              <w:rPr>
                <w:rFonts w:ascii="Calibri" w:hAnsi="Calibri" w:cs="Calibri"/>
                <w:color w:val="000000"/>
                <w:sz w:val="18"/>
                <w:szCs w:val="18"/>
                <w:lang w:val="sl-SI" w:eastAsia="sl-SI"/>
              </w:rPr>
              <w:t xml:space="preserve">12.902.682,09 </w:t>
            </w:r>
          </w:p>
        </w:tc>
        <w:tc>
          <w:tcPr>
            <w:tcW w:w="882" w:type="pct"/>
            <w:tcBorders>
              <w:top w:val="nil"/>
              <w:left w:val="nil"/>
              <w:bottom w:val="single" w:sz="4" w:space="0" w:color="auto"/>
              <w:right w:val="single" w:sz="4" w:space="0" w:color="auto"/>
            </w:tcBorders>
            <w:shd w:val="clear" w:color="auto" w:fill="auto"/>
            <w:noWrap/>
            <w:vAlign w:val="bottom"/>
          </w:tcPr>
          <w:p w:rsidR="007C0982" w:rsidRPr="00972554" w:rsidRDefault="007C0982" w:rsidP="00972554">
            <w:pPr>
              <w:spacing w:line="240" w:lineRule="auto"/>
              <w:jc w:val="right"/>
              <w:rPr>
                <w:rFonts w:ascii="Calibri" w:hAnsi="Calibri" w:cs="Calibri"/>
                <w:color w:val="000000"/>
                <w:sz w:val="18"/>
                <w:szCs w:val="18"/>
                <w:lang w:val="sl-SI" w:eastAsia="sl-SI"/>
              </w:rPr>
            </w:pPr>
            <w:r w:rsidRPr="00972554">
              <w:rPr>
                <w:rFonts w:ascii="Calibri" w:hAnsi="Calibri" w:cs="Calibri"/>
                <w:color w:val="000000"/>
                <w:sz w:val="18"/>
                <w:szCs w:val="18"/>
                <w:lang w:val="sl-SI" w:eastAsia="sl-SI"/>
              </w:rPr>
              <w:t xml:space="preserve">0,00 </w:t>
            </w:r>
          </w:p>
        </w:tc>
        <w:tc>
          <w:tcPr>
            <w:tcW w:w="661" w:type="pct"/>
            <w:tcBorders>
              <w:top w:val="nil"/>
              <w:left w:val="nil"/>
              <w:bottom w:val="single" w:sz="4" w:space="0" w:color="auto"/>
              <w:right w:val="single" w:sz="4" w:space="0" w:color="auto"/>
            </w:tcBorders>
            <w:shd w:val="clear" w:color="auto" w:fill="auto"/>
            <w:noWrap/>
            <w:vAlign w:val="bottom"/>
          </w:tcPr>
          <w:p w:rsidR="007C0982" w:rsidRPr="00972554" w:rsidRDefault="007C0982" w:rsidP="00972554">
            <w:pPr>
              <w:spacing w:line="240" w:lineRule="auto"/>
              <w:jc w:val="right"/>
              <w:rPr>
                <w:rFonts w:ascii="Calibri" w:hAnsi="Calibri" w:cs="Calibri"/>
                <w:color w:val="000000"/>
                <w:sz w:val="18"/>
                <w:szCs w:val="18"/>
                <w:lang w:val="sl-SI" w:eastAsia="sl-SI"/>
              </w:rPr>
            </w:pPr>
            <w:r w:rsidRPr="00972554">
              <w:rPr>
                <w:rFonts w:ascii="Calibri" w:hAnsi="Calibri" w:cs="Calibri"/>
                <w:color w:val="000000"/>
                <w:sz w:val="18"/>
                <w:szCs w:val="18"/>
                <w:lang w:val="sl-SI" w:eastAsia="sl-SI"/>
              </w:rPr>
              <w:t xml:space="preserve">650.000,00 </w:t>
            </w:r>
          </w:p>
        </w:tc>
        <w:tc>
          <w:tcPr>
            <w:tcW w:w="699" w:type="pct"/>
            <w:tcBorders>
              <w:top w:val="nil"/>
              <w:left w:val="nil"/>
              <w:bottom w:val="single" w:sz="4" w:space="0" w:color="auto"/>
              <w:right w:val="single" w:sz="4" w:space="0" w:color="auto"/>
            </w:tcBorders>
            <w:shd w:val="clear" w:color="auto" w:fill="auto"/>
            <w:noWrap/>
            <w:vAlign w:val="bottom"/>
          </w:tcPr>
          <w:p w:rsidR="007C0982" w:rsidRPr="00972554" w:rsidRDefault="007C0982" w:rsidP="00972554">
            <w:pPr>
              <w:spacing w:line="240" w:lineRule="auto"/>
              <w:jc w:val="right"/>
              <w:rPr>
                <w:rFonts w:ascii="Calibri" w:hAnsi="Calibri" w:cs="Calibri"/>
                <w:color w:val="000000"/>
                <w:sz w:val="18"/>
                <w:szCs w:val="18"/>
                <w:lang w:val="sl-SI" w:eastAsia="sl-SI"/>
              </w:rPr>
            </w:pPr>
            <w:r w:rsidRPr="00972554">
              <w:rPr>
                <w:rFonts w:ascii="Calibri" w:hAnsi="Calibri" w:cs="Calibri"/>
                <w:color w:val="000000"/>
                <w:sz w:val="18"/>
                <w:szCs w:val="18"/>
                <w:lang w:val="sl-SI" w:eastAsia="sl-SI"/>
              </w:rPr>
              <w:t xml:space="preserve">0,00 </w:t>
            </w:r>
          </w:p>
        </w:tc>
      </w:tr>
      <w:tr w:rsidR="007C0982" w:rsidRPr="00465BE7" w:rsidTr="00972554">
        <w:trPr>
          <w:trHeight w:val="240"/>
        </w:trPr>
        <w:tc>
          <w:tcPr>
            <w:tcW w:w="404"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7C0982" w:rsidRPr="000F6B5B" w:rsidRDefault="007C0982" w:rsidP="00442CCE">
            <w:pPr>
              <w:spacing w:line="240" w:lineRule="auto"/>
              <w:jc w:val="left"/>
              <w:rPr>
                <w:rFonts w:ascii="Calibri" w:hAnsi="Calibri" w:cs="Arial"/>
                <w:sz w:val="18"/>
                <w:szCs w:val="18"/>
                <w:lang w:val="sl-SI" w:eastAsia="sl-SI"/>
              </w:rPr>
            </w:pPr>
            <w:r w:rsidRPr="000F6B5B">
              <w:rPr>
                <w:rFonts w:ascii="Calibri" w:hAnsi="Calibri" w:cs="Arial"/>
                <w:sz w:val="18"/>
                <w:szCs w:val="18"/>
                <w:lang w:val="sl-SI" w:eastAsia="sl-SI"/>
              </w:rPr>
              <w:t>85.200</w:t>
            </w:r>
          </w:p>
        </w:tc>
        <w:tc>
          <w:tcPr>
            <w:tcW w:w="737" w:type="pct"/>
            <w:tcBorders>
              <w:top w:val="nil"/>
              <w:left w:val="nil"/>
              <w:bottom w:val="single" w:sz="4" w:space="0" w:color="auto"/>
              <w:right w:val="single" w:sz="4" w:space="0" w:color="auto"/>
            </w:tcBorders>
            <w:shd w:val="clear" w:color="auto" w:fill="auto"/>
            <w:noWrap/>
            <w:vAlign w:val="bottom"/>
            <w:hideMark/>
          </w:tcPr>
          <w:p w:rsidR="007C0982" w:rsidRPr="00972554" w:rsidRDefault="007C0982" w:rsidP="00116FC1">
            <w:pPr>
              <w:spacing w:line="240" w:lineRule="auto"/>
              <w:jc w:val="right"/>
              <w:rPr>
                <w:rFonts w:ascii="Calibri" w:hAnsi="Calibri" w:cs="Calibri"/>
                <w:color w:val="000000"/>
                <w:sz w:val="18"/>
                <w:szCs w:val="18"/>
                <w:lang w:val="sl-SI" w:eastAsia="sl-SI"/>
              </w:rPr>
            </w:pPr>
            <w:r w:rsidRPr="00972554">
              <w:rPr>
                <w:rFonts w:ascii="Calibri" w:hAnsi="Calibri" w:cs="Calibri"/>
                <w:color w:val="000000"/>
                <w:sz w:val="18"/>
                <w:szCs w:val="18"/>
                <w:lang w:val="sl-SI" w:eastAsia="sl-SI"/>
              </w:rPr>
              <w:t xml:space="preserve">0,00 </w:t>
            </w:r>
          </w:p>
        </w:tc>
        <w:tc>
          <w:tcPr>
            <w:tcW w:w="808" w:type="pct"/>
            <w:tcBorders>
              <w:top w:val="nil"/>
              <w:left w:val="nil"/>
              <w:bottom w:val="single" w:sz="4" w:space="0" w:color="auto"/>
              <w:right w:val="single" w:sz="4" w:space="0" w:color="auto"/>
            </w:tcBorders>
            <w:shd w:val="clear" w:color="auto" w:fill="auto"/>
            <w:noWrap/>
            <w:vAlign w:val="bottom"/>
            <w:hideMark/>
          </w:tcPr>
          <w:p w:rsidR="007C0982" w:rsidRPr="00972554" w:rsidRDefault="007C0982" w:rsidP="00972554">
            <w:pPr>
              <w:spacing w:line="240" w:lineRule="auto"/>
              <w:jc w:val="right"/>
              <w:rPr>
                <w:rFonts w:ascii="Calibri" w:hAnsi="Calibri" w:cs="Calibri"/>
                <w:color w:val="000000"/>
                <w:sz w:val="18"/>
                <w:szCs w:val="18"/>
                <w:lang w:val="sl-SI" w:eastAsia="sl-SI"/>
              </w:rPr>
            </w:pPr>
            <w:r w:rsidRPr="00972554">
              <w:rPr>
                <w:rFonts w:ascii="Calibri" w:hAnsi="Calibri" w:cs="Calibri"/>
                <w:color w:val="000000"/>
                <w:sz w:val="18"/>
                <w:szCs w:val="18"/>
                <w:lang w:val="sl-SI" w:eastAsia="sl-SI"/>
              </w:rPr>
              <w:t xml:space="preserve">0,00 </w:t>
            </w:r>
          </w:p>
        </w:tc>
        <w:tc>
          <w:tcPr>
            <w:tcW w:w="809" w:type="pct"/>
            <w:tcBorders>
              <w:top w:val="nil"/>
              <w:left w:val="nil"/>
              <w:bottom w:val="single" w:sz="4" w:space="0" w:color="auto"/>
              <w:right w:val="single" w:sz="4" w:space="0" w:color="auto"/>
            </w:tcBorders>
            <w:shd w:val="clear" w:color="auto" w:fill="auto"/>
            <w:noWrap/>
            <w:vAlign w:val="bottom"/>
            <w:hideMark/>
          </w:tcPr>
          <w:p w:rsidR="007C0982" w:rsidRPr="00972554" w:rsidRDefault="007C0982" w:rsidP="00972554">
            <w:pPr>
              <w:spacing w:line="240" w:lineRule="auto"/>
              <w:jc w:val="right"/>
              <w:rPr>
                <w:rFonts w:ascii="Calibri" w:hAnsi="Calibri" w:cs="Calibri"/>
                <w:color w:val="000000"/>
                <w:sz w:val="18"/>
                <w:szCs w:val="18"/>
                <w:lang w:val="sl-SI" w:eastAsia="sl-SI"/>
              </w:rPr>
            </w:pPr>
            <w:r w:rsidRPr="00972554">
              <w:rPr>
                <w:rFonts w:ascii="Calibri" w:hAnsi="Calibri" w:cs="Calibri"/>
                <w:color w:val="000000"/>
                <w:sz w:val="18"/>
                <w:szCs w:val="18"/>
                <w:lang w:val="sl-SI" w:eastAsia="sl-SI"/>
              </w:rPr>
              <w:t xml:space="preserve">773.603,33 </w:t>
            </w:r>
          </w:p>
        </w:tc>
        <w:tc>
          <w:tcPr>
            <w:tcW w:w="882" w:type="pct"/>
            <w:tcBorders>
              <w:top w:val="nil"/>
              <w:left w:val="nil"/>
              <w:bottom w:val="single" w:sz="4" w:space="0" w:color="auto"/>
              <w:right w:val="single" w:sz="4" w:space="0" w:color="auto"/>
            </w:tcBorders>
            <w:shd w:val="clear" w:color="auto" w:fill="auto"/>
            <w:noWrap/>
            <w:vAlign w:val="bottom"/>
            <w:hideMark/>
          </w:tcPr>
          <w:p w:rsidR="007C0982" w:rsidRPr="00972554" w:rsidRDefault="007C0982" w:rsidP="00972554">
            <w:pPr>
              <w:spacing w:line="240" w:lineRule="auto"/>
              <w:jc w:val="right"/>
              <w:rPr>
                <w:rFonts w:ascii="Calibri" w:hAnsi="Calibri" w:cs="Calibri"/>
                <w:color w:val="000000"/>
                <w:sz w:val="18"/>
                <w:szCs w:val="18"/>
                <w:lang w:val="sl-SI" w:eastAsia="sl-SI"/>
              </w:rPr>
            </w:pPr>
            <w:r w:rsidRPr="00972554">
              <w:rPr>
                <w:rFonts w:ascii="Calibri" w:hAnsi="Calibri" w:cs="Calibri"/>
                <w:color w:val="000000"/>
                <w:sz w:val="18"/>
                <w:szCs w:val="18"/>
                <w:lang w:val="sl-SI" w:eastAsia="sl-SI"/>
              </w:rPr>
              <w:t xml:space="preserve">0,00 </w:t>
            </w:r>
          </w:p>
        </w:tc>
        <w:tc>
          <w:tcPr>
            <w:tcW w:w="661" w:type="pct"/>
            <w:tcBorders>
              <w:top w:val="nil"/>
              <w:left w:val="nil"/>
              <w:bottom w:val="single" w:sz="4" w:space="0" w:color="auto"/>
              <w:right w:val="single" w:sz="4" w:space="0" w:color="auto"/>
            </w:tcBorders>
            <w:shd w:val="clear" w:color="auto" w:fill="auto"/>
            <w:noWrap/>
            <w:vAlign w:val="bottom"/>
          </w:tcPr>
          <w:p w:rsidR="007C0982" w:rsidRPr="00972554" w:rsidRDefault="007C0982" w:rsidP="00972554">
            <w:pPr>
              <w:spacing w:line="240" w:lineRule="auto"/>
              <w:jc w:val="right"/>
              <w:rPr>
                <w:rFonts w:ascii="Calibri" w:hAnsi="Calibri" w:cs="Calibri"/>
                <w:color w:val="000000"/>
                <w:sz w:val="18"/>
                <w:szCs w:val="18"/>
                <w:lang w:val="sl-SI" w:eastAsia="sl-SI"/>
              </w:rPr>
            </w:pPr>
            <w:r w:rsidRPr="00972554">
              <w:rPr>
                <w:rFonts w:ascii="Calibri" w:hAnsi="Calibri" w:cs="Calibri"/>
                <w:color w:val="000000"/>
                <w:sz w:val="18"/>
                <w:szCs w:val="18"/>
                <w:lang w:val="sl-SI" w:eastAsia="sl-SI"/>
              </w:rPr>
              <w:t xml:space="preserve">23.000,00 </w:t>
            </w:r>
          </w:p>
        </w:tc>
        <w:tc>
          <w:tcPr>
            <w:tcW w:w="699" w:type="pct"/>
            <w:tcBorders>
              <w:top w:val="nil"/>
              <w:left w:val="nil"/>
              <w:bottom w:val="single" w:sz="4" w:space="0" w:color="auto"/>
              <w:right w:val="single" w:sz="4" w:space="0" w:color="auto"/>
            </w:tcBorders>
            <w:shd w:val="clear" w:color="auto" w:fill="auto"/>
            <w:noWrap/>
            <w:vAlign w:val="bottom"/>
            <w:hideMark/>
          </w:tcPr>
          <w:p w:rsidR="007C0982" w:rsidRPr="00972554" w:rsidRDefault="007C0982" w:rsidP="00972554">
            <w:pPr>
              <w:spacing w:line="240" w:lineRule="auto"/>
              <w:jc w:val="right"/>
              <w:rPr>
                <w:rFonts w:ascii="Calibri" w:hAnsi="Calibri" w:cs="Calibri"/>
                <w:color w:val="000000"/>
                <w:sz w:val="18"/>
                <w:szCs w:val="18"/>
                <w:lang w:val="sl-SI" w:eastAsia="sl-SI"/>
              </w:rPr>
            </w:pPr>
            <w:r w:rsidRPr="00972554">
              <w:rPr>
                <w:rFonts w:ascii="Calibri" w:hAnsi="Calibri" w:cs="Calibri"/>
                <w:color w:val="000000"/>
                <w:sz w:val="18"/>
                <w:szCs w:val="18"/>
                <w:lang w:val="sl-SI" w:eastAsia="sl-SI"/>
              </w:rPr>
              <w:t xml:space="preserve">35.000,00 </w:t>
            </w:r>
          </w:p>
        </w:tc>
      </w:tr>
      <w:tr w:rsidR="007C0982" w:rsidRPr="00465BE7" w:rsidTr="00972554">
        <w:trPr>
          <w:trHeight w:val="240"/>
        </w:trPr>
        <w:tc>
          <w:tcPr>
            <w:tcW w:w="404"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7C0982" w:rsidRPr="000F6B5B" w:rsidRDefault="007C0982" w:rsidP="00442CCE">
            <w:pPr>
              <w:spacing w:line="240" w:lineRule="auto"/>
              <w:jc w:val="left"/>
              <w:rPr>
                <w:rFonts w:ascii="Calibri" w:hAnsi="Calibri" w:cs="Arial"/>
                <w:sz w:val="18"/>
                <w:szCs w:val="18"/>
                <w:lang w:val="sl-SI" w:eastAsia="sl-SI"/>
              </w:rPr>
            </w:pPr>
            <w:r w:rsidRPr="000F6B5B">
              <w:rPr>
                <w:rFonts w:ascii="Calibri" w:hAnsi="Calibri" w:cs="Arial"/>
                <w:sz w:val="18"/>
                <w:szCs w:val="18"/>
                <w:lang w:val="sl-SI" w:eastAsia="sl-SI"/>
              </w:rPr>
              <w:t>86.210</w:t>
            </w:r>
          </w:p>
        </w:tc>
        <w:tc>
          <w:tcPr>
            <w:tcW w:w="737" w:type="pct"/>
            <w:tcBorders>
              <w:top w:val="nil"/>
              <w:left w:val="nil"/>
              <w:bottom w:val="single" w:sz="4" w:space="0" w:color="auto"/>
              <w:right w:val="single" w:sz="4" w:space="0" w:color="auto"/>
            </w:tcBorders>
            <w:shd w:val="clear" w:color="auto" w:fill="auto"/>
            <w:noWrap/>
            <w:vAlign w:val="bottom"/>
            <w:hideMark/>
          </w:tcPr>
          <w:p w:rsidR="007C0982" w:rsidRPr="00972554" w:rsidRDefault="007C0982" w:rsidP="00116FC1">
            <w:pPr>
              <w:spacing w:line="240" w:lineRule="auto"/>
              <w:jc w:val="right"/>
              <w:rPr>
                <w:rFonts w:ascii="Calibri" w:hAnsi="Calibri" w:cs="Calibri"/>
                <w:color w:val="000000"/>
                <w:sz w:val="18"/>
                <w:szCs w:val="18"/>
                <w:lang w:val="sl-SI" w:eastAsia="sl-SI"/>
              </w:rPr>
            </w:pPr>
            <w:r w:rsidRPr="00972554">
              <w:rPr>
                <w:rFonts w:ascii="Calibri" w:hAnsi="Calibri" w:cs="Calibri"/>
                <w:color w:val="000000"/>
                <w:sz w:val="18"/>
                <w:szCs w:val="18"/>
                <w:lang w:val="sl-SI" w:eastAsia="sl-SI"/>
              </w:rPr>
              <w:t xml:space="preserve">31.247,83 </w:t>
            </w:r>
          </w:p>
        </w:tc>
        <w:tc>
          <w:tcPr>
            <w:tcW w:w="808" w:type="pct"/>
            <w:tcBorders>
              <w:top w:val="nil"/>
              <w:left w:val="nil"/>
              <w:bottom w:val="single" w:sz="4" w:space="0" w:color="auto"/>
              <w:right w:val="single" w:sz="4" w:space="0" w:color="auto"/>
            </w:tcBorders>
            <w:shd w:val="clear" w:color="auto" w:fill="auto"/>
            <w:noWrap/>
            <w:vAlign w:val="bottom"/>
            <w:hideMark/>
          </w:tcPr>
          <w:p w:rsidR="007C0982" w:rsidRPr="00972554" w:rsidRDefault="007C0982" w:rsidP="00972554">
            <w:pPr>
              <w:spacing w:line="240" w:lineRule="auto"/>
              <w:jc w:val="right"/>
              <w:rPr>
                <w:rFonts w:ascii="Calibri" w:hAnsi="Calibri" w:cs="Calibri"/>
                <w:color w:val="000000"/>
                <w:sz w:val="18"/>
                <w:szCs w:val="18"/>
                <w:lang w:val="sl-SI" w:eastAsia="sl-SI"/>
              </w:rPr>
            </w:pPr>
            <w:r w:rsidRPr="00972554">
              <w:rPr>
                <w:rFonts w:ascii="Calibri" w:hAnsi="Calibri" w:cs="Calibri"/>
                <w:color w:val="000000"/>
                <w:sz w:val="18"/>
                <w:szCs w:val="18"/>
                <w:lang w:val="sl-SI" w:eastAsia="sl-SI"/>
              </w:rPr>
              <w:t xml:space="preserve">104.778,30 </w:t>
            </w:r>
          </w:p>
        </w:tc>
        <w:tc>
          <w:tcPr>
            <w:tcW w:w="809" w:type="pct"/>
            <w:tcBorders>
              <w:top w:val="nil"/>
              <w:left w:val="nil"/>
              <w:bottom w:val="single" w:sz="4" w:space="0" w:color="auto"/>
              <w:right w:val="single" w:sz="4" w:space="0" w:color="auto"/>
            </w:tcBorders>
            <w:shd w:val="clear" w:color="auto" w:fill="auto"/>
            <w:noWrap/>
            <w:vAlign w:val="bottom"/>
            <w:hideMark/>
          </w:tcPr>
          <w:p w:rsidR="007C0982" w:rsidRPr="00972554" w:rsidRDefault="007C0982" w:rsidP="00972554">
            <w:pPr>
              <w:spacing w:line="240" w:lineRule="auto"/>
              <w:jc w:val="right"/>
              <w:rPr>
                <w:rFonts w:ascii="Calibri" w:hAnsi="Calibri" w:cs="Calibri"/>
                <w:color w:val="000000"/>
                <w:sz w:val="18"/>
                <w:szCs w:val="18"/>
                <w:lang w:val="sl-SI" w:eastAsia="sl-SI"/>
              </w:rPr>
            </w:pPr>
            <w:r w:rsidRPr="00972554">
              <w:rPr>
                <w:rFonts w:ascii="Calibri" w:hAnsi="Calibri" w:cs="Calibri"/>
                <w:color w:val="000000"/>
                <w:sz w:val="18"/>
                <w:szCs w:val="18"/>
                <w:lang w:val="sl-SI" w:eastAsia="sl-SI"/>
              </w:rPr>
              <w:t xml:space="preserve">44.880.614,85 </w:t>
            </w:r>
          </w:p>
        </w:tc>
        <w:tc>
          <w:tcPr>
            <w:tcW w:w="882" w:type="pct"/>
            <w:tcBorders>
              <w:top w:val="nil"/>
              <w:left w:val="nil"/>
              <w:bottom w:val="single" w:sz="4" w:space="0" w:color="auto"/>
              <w:right w:val="single" w:sz="4" w:space="0" w:color="auto"/>
            </w:tcBorders>
            <w:shd w:val="clear" w:color="auto" w:fill="auto"/>
            <w:noWrap/>
            <w:vAlign w:val="bottom"/>
            <w:hideMark/>
          </w:tcPr>
          <w:p w:rsidR="007C0982" w:rsidRPr="00972554" w:rsidRDefault="007C0982" w:rsidP="00972554">
            <w:pPr>
              <w:spacing w:line="240" w:lineRule="auto"/>
              <w:jc w:val="right"/>
              <w:rPr>
                <w:rFonts w:ascii="Calibri" w:hAnsi="Calibri" w:cs="Calibri"/>
                <w:color w:val="000000"/>
                <w:sz w:val="18"/>
                <w:szCs w:val="18"/>
                <w:lang w:val="sl-SI" w:eastAsia="sl-SI"/>
              </w:rPr>
            </w:pPr>
            <w:r w:rsidRPr="00972554">
              <w:rPr>
                <w:rFonts w:ascii="Calibri" w:hAnsi="Calibri" w:cs="Calibri"/>
                <w:color w:val="000000"/>
                <w:sz w:val="18"/>
                <w:szCs w:val="18"/>
                <w:lang w:val="sl-SI" w:eastAsia="sl-SI"/>
              </w:rPr>
              <w:t xml:space="preserve">0,00 </w:t>
            </w:r>
          </w:p>
        </w:tc>
        <w:tc>
          <w:tcPr>
            <w:tcW w:w="661" w:type="pct"/>
            <w:tcBorders>
              <w:top w:val="nil"/>
              <w:left w:val="nil"/>
              <w:bottom w:val="single" w:sz="4" w:space="0" w:color="auto"/>
              <w:right w:val="single" w:sz="4" w:space="0" w:color="auto"/>
            </w:tcBorders>
            <w:shd w:val="clear" w:color="auto" w:fill="auto"/>
            <w:noWrap/>
            <w:vAlign w:val="bottom"/>
          </w:tcPr>
          <w:p w:rsidR="007C0982" w:rsidRPr="00972554" w:rsidRDefault="007C0982" w:rsidP="00972554">
            <w:pPr>
              <w:spacing w:line="240" w:lineRule="auto"/>
              <w:jc w:val="right"/>
              <w:rPr>
                <w:rFonts w:ascii="Calibri" w:hAnsi="Calibri" w:cs="Calibri"/>
                <w:color w:val="000000"/>
                <w:sz w:val="18"/>
                <w:szCs w:val="18"/>
                <w:lang w:val="sl-SI" w:eastAsia="sl-SI"/>
              </w:rPr>
            </w:pPr>
            <w:r w:rsidRPr="00972554">
              <w:rPr>
                <w:rFonts w:ascii="Calibri" w:hAnsi="Calibri" w:cs="Calibri"/>
                <w:color w:val="000000"/>
                <w:sz w:val="18"/>
                <w:szCs w:val="18"/>
                <w:lang w:val="sl-SI" w:eastAsia="sl-SI"/>
              </w:rPr>
              <w:t xml:space="preserve">170.601,27 </w:t>
            </w:r>
          </w:p>
        </w:tc>
        <w:tc>
          <w:tcPr>
            <w:tcW w:w="699" w:type="pct"/>
            <w:tcBorders>
              <w:top w:val="nil"/>
              <w:left w:val="nil"/>
              <w:bottom w:val="single" w:sz="4" w:space="0" w:color="auto"/>
              <w:right w:val="single" w:sz="4" w:space="0" w:color="auto"/>
            </w:tcBorders>
            <w:shd w:val="clear" w:color="auto" w:fill="auto"/>
            <w:noWrap/>
            <w:vAlign w:val="bottom"/>
            <w:hideMark/>
          </w:tcPr>
          <w:p w:rsidR="007C0982" w:rsidRPr="00972554" w:rsidRDefault="007C0982" w:rsidP="00972554">
            <w:pPr>
              <w:spacing w:line="240" w:lineRule="auto"/>
              <w:jc w:val="right"/>
              <w:rPr>
                <w:rFonts w:ascii="Calibri" w:hAnsi="Calibri" w:cs="Calibri"/>
                <w:color w:val="000000"/>
                <w:sz w:val="18"/>
                <w:szCs w:val="18"/>
                <w:lang w:val="sl-SI" w:eastAsia="sl-SI"/>
              </w:rPr>
            </w:pPr>
            <w:r w:rsidRPr="00972554">
              <w:rPr>
                <w:rFonts w:ascii="Calibri" w:hAnsi="Calibri" w:cs="Calibri"/>
                <w:color w:val="000000"/>
                <w:sz w:val="18"/>
                <w:szCs w:val="18"/>
                <w:lang w:val="sl-SI" w:eastAsia="sl-SI"/>
              </w:rPr>
              <w:t xml:space="preserve">2.831.843,38 </w:t>
            </w:r>
          </w:p>
        </w:tc>
      </w:tr>
    </w:tbl>
    <w:p w:rsidR="00442CCE" w:rsidRDefault="0000426A" w:rsidP="00036E70">
      <w:proofErr w:type="gramStart"/>
      <w:r>
        <w:t>Iz tabele izhaja, da imajo javni zavodi v lekarniški dejavnosti naložbe v delnice in druge kapitalske naložbe, kar je v neskladnju z določili ZJF.</w:t>
      </w:r>
      <w:proofErr w:type="gramEnd"/>
    </w:p>
    <w:p w:rsidR="00442CCE" w:rsidRDefault="00442CCE" w:rsidP="00442CCE"/>
    <w:p w:rsidR="00C343A9" w:rsidRPr="00E119F6" w:rsidRDefault="00C343A9" w:rsidP="0000426A">
      <w:r w:rsidRPr="00E119F6">
        <w:t xml:space="preserve">Povzetek izkazanih presežkov prihodkov nad odhodki oziroma presežkov odhodkov nad </w:t>
      </w:r>
      <w:proofErr w:type="gramStart"/>
      <w:r w:rsidRPr="00E119F6">
        <w:t>prihodki  za</w:t>
      </w:r>
      <w:proofErr w:type="gramEnd"/>
      <w:r w:rsidRPr="00E119F6">
        <w:t xml:space="preserve"> izbrane skupine SKD na dan 31.12.201</w:t>
      </w:r>
      <w:r w:rsidR="009F55A5">
        <w:t>8</w:t>
      </w:r>
      <w:r w:rsidR="001C2CD4">
        <w:t xml:space="preserve"> </w:t>
      </w:r>
      <w:r w:rsidRPr="00E119F6">
        <w:t>prikazuje</w:t>
      </w:r>
      <w:r w:rsidR="008837A6">
        <w:t xml:space="preserve"> Slika 13. N</w:t>
      </w:r>
      <w:r w:rsidR="00D60F20" w:rsidRPr="00E119F6">
        <w:t xml:space="preserve">ajvišjo vrednost presežka prihodkov </w:t>
      </w:r>
      <w:proofErr w:type="gramStart"/>
      <w:r w:rsidR="00D60F20" w:rsidRPr="00E119F6">
        <w:t>nad</w:t>
      </w:r>
      <w:proofErr w:type="gramEnd"/>
      <w:r w:rsidR="00D60F20" w:rsidRPr="00E119F6">
        <w:t xml:space="preserve"> odhodki </w:t>
      </w:r>
      <w:r w:rsidR="008837A6">
        <w:t xml:space="preserve">izkazuje </w:t>
      </w:r>
      <w:r w:rsidR="00D60F20" w:rsidRPr="00E119F6">
        <w:t xml:space="preserve">lekarniška dejavnost, sledi </w:t>
      </w:r>
      <w:r w:rsidRPr="00E119F6">
        <w:t>splošna zunajbolnišnična zdravstvena dejavnost</w:t>
      </w:r>
      <w:r w:rsidR="00D60F20" w:rsidRPr="00E119F6">
        <w:t xml:space="preserve"> (zdravstveni domovi) in nato</w:t>
      </w:r>
      <w:r w:rsidRPr="00E119F6">
        <w:t xml:space="preserve"> dejavnost osnovnošolskega izobraževanja.</w:t>
      </w:r>
    </w:p>
    <w:p w:rsidR="00C343A9" w:rsidRDefault="00C343A9" w:rsidP="0000426A"/>
    <w:p w:rsidR="00B67E7D" w:rsidRDefault="00B67E7D">
      <w:pPr>
        <w:spacing w:line="240" w:lineRule="auto"/>
        <w:jc w:val="left"/>
        <w:rPr>
          <w:b/>
        </w:rPr>
      </w:pPr>
      <w:bookmarkStart w:id="110" w:name="_Ref390176010"/>
      <w:bookmarkStart w:id="111" w:name="_Ref391635157"/>
      <w:r>
        <w:rPr>
          <w:b/>
        </w:rPr>
        <w:br w:type="page"/>
      </w:r>
    </w:p>
    <w:p w:rsidR="00442CCE" w:rsidRDefault="008A518F" w:rsidP="00B67E7D">
      <w:pPr>
        <w:rPr>
          <w:b/>
        </w:rPr>
      </w:pPr>
      <w:bookmarkStart w:id="112" w:name="_Toc49771358"/>
      <w:r w:rsidRPr="0000426A">
        <w:rPr>
          <w:b/>
        </w:rPr>
        <w:lastRenderedPageBreak/>
        <w:t>S</w:t>
      </w:r>
      <w:r w:rsidR="00C343A9" w:rsidRPr="0000426A">
        <w:rPr>
          <w:b/>
        </w:rPr>
        <w:t xml:space="preserve">lika </w:t>
      </w:r>
      <w:r w:rsidR="00C343A9" w:rsidRPr="0000426A">
        <w:rPr>
          <w:b/>
        </w:rPr>
        <w:fldChar w:fldCharType="begin"/>
      </w:r>
      <w:r w:rsidR="00C343A9" w:rsidRPr="0000426A">
        <w:rPr>
          <w:b/>
        </w:rPr>
        <w:instrText xml:space="preserve"> SEQ Slika \* ARABIC </w:instrText>
      </w:r>
      <w:r w:rsidR="00C343A9" w:rsidRPr="0000426A">
        <w:rPr>
          <w:b/>
        </w:rPr>
        <w:fldChar w:fldCharType="separate"/>
      </w:r>
      <w:r w:rsidR="00CE55C4">
        <w:rPr>
          <w:b/>
          <w:noProof/>
        </w:rPr>
        <w:t>13</w:t>
      </w:r>
      <w:r w:rsidR="00C343A9" w:rsidRPr="0000426A">
        <w:rPr>
          <w:b/>
        </w:rPr>
        <w:fldChar w:fldCharType="end"/>
      </w:r>
      <w:bookmarkEnd w:id="110"/>
      <w:bookmarkEnd w:id="111"/>
      <w:r w:rsidR="00C343A9" w:rsidRPr="0000426A">
        <w:rPr>
          <w:b/>
        </w:rPr>
        <w:t xml:space="preserve">: Prikaz presežkov prihodkov nad odhodki oziroma presežkov odhodkov nad </w:t>
      </w:r>
      <w:proofErr w:type="gramStart"/>
      <w:r w:rsidR="00C343A9" w:rsidRPr="0000426A">
        <w:rPr>
          <w:b/>
        </w:rPr>
        <w:t>prihodki  po</w:t>
      </w:r>
      <w:proofErr w:type="gramEnd"/>
      <w:r w:rsidR="00C343A9" w:rsidRPr="0000426A">
        <w:rPr>
          <w:b/>
        </w:rPr>
        <w:t xml:space="preserve"> izbranih skupinah SKD za PPU občinskih proračunov na dan 31.12.201</w:t>
      </w:r>
      <w:r w:rsidR="009F55A5">
        <w:rPr>
          <w:b/>
        </w:rPr>
        <w:t>8</w:t>
      </w:r>
      <w:r w:rsidR="001103B4" w:rsidRPr="0000426A">
        <w:rPr>
          <w:b/>
        </w:rPr>
        <w:t xml:space="preserve"> v</w:t>
      </w:r>
      <w:r w:rsidR="00C343A9" w:rsidRPr="0000426A">
        <w:rPr>
          <w:b/>
        </w:rPr>
        <w:t xml:space="preserve"> (</w:t>
      </w:r>
      <w:r w:rsidR="00476EF5" w:rsidRPr="0000426A">
        <w:rPr>
          <w:b/>
        </w:rPr>
        <w:t>€</w:t>
      </w:r>
      <w:r w:rsidR="00C343A9" w:rsidRPr="0000426A">
        <w:rPr>
          <w:b/>
        </w:rPr>
        <w:t>)</w:t>
      </w:r>
      <w:bookmarkEnd w:id="112"/>
    </w:p>
    <w:p w:rsidR="00B67E7D" w:rsidRPr="00B67E7D" w:rsidRDefault="00B67E7D" w:rsidP="00B67E7D">
      <w:pPr>
        <w:spacing w:line="240" w:lineRule="auto"/>
        <w:rPr>
          <w:b/>
        </w:rPr>
      </w:pPr>
      <w:r>
        <w:rPr>
          <w:b/>
          <w:noProof/>
          <w:lang w:val="sl-SI" w:eastAsia="sl-SI"/>
        </w:rPr>
        <w:drawing>
          <wp:inline distT="0" distB="0" distL="0" distR="0" wp14:anchorId="7DCFEE17">
            <wp:extent cx="5844845" cy="1600306"/>
            <wp:effectExtent l="0" t="0" r="3810" b="0"/>
            <wp:docPr id="6" name="Picture 6" descr="Prikaz dobička/izgube po izbranih skupinah SKD za PPUO na dan 31.12.2018 v (€)" title="Prikaz presežkov prihodkov nad odhodki oziroma presežkov odhodkov nad prihodki  po izbranih skupinah SKD za PPU občinskih proračunov na dan 31.12.2018 v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41864" cy="1599490"/>
                    </a:xfrm>
                    <a:prstGeom prst="rect">
                      <a:avLst/>
                    </a:prstGeom>
                    <a:noFill/>
                  </pic:spPr>
                </pic:pic>
              </a:graphicData>
            </a:graphic>
          </wp:inline>
        </w:drawing>
      </w:r>
    </w:p>
    <w:p w:rsidR="0000426A" w:rsidRDefault="0000426A" w:rsidP="00B33A8D"/>
    <w:p w:rsidR="000A3D9F" w:rsidRDefault="000A3D9F" w:rsidP="00B33A8D">
      <w:proofErr w:type="gramStart"/>
      <w:r>
        <w:t>Podrobna analiza strukture porazdelitve premoženja in obveznosti PPU občinskih proračunov je prikazana v</w:t>
      </w:r>
      <w:r w:rsidR="00FF29CD">
        <w:t xml:space="preserve"> </w:t>
      </w:r>
      <w:r w:rsidR="00FF29CD">
        <w:fldChar w:fldCharType="begin"/>
      </w:r>
      <w:r w:rsidR="00FF29CD">
        <w:instrText xml:space="preserve"> REF _Ref391640322 \h </w:instrText>
      </w:r>
      <w:r w:rsidR="00A36697">
        <w:instrText xml:space="preserve"> \* MERGEFORMAT </w:instrText>
      </w:r>
      <w:r w:rsidR="00FF29CD">
        <w:fldChar w:fldCharType="separate"/>
      </w:r>
      <w:r w:rsidR="00CE55C4">
        <w:t xml:space="preserve">Tabela </w:t>
      </w:r>
      <w:r w:rsidR="00CE55C4">
        <w:rPr>
          <w:noProof/>
        </w:rPr>
        <w:t>23</w:t>
      </w:r>
      <w:r w:rsidR="00FF29CD">
        <w:fldChar w:fldCharType="end"/>
      </w:r>
      <w:r>
        <w:t xml:space="preserve"> (za </w:t>
      </w:r>
      <w:r w:rsidR="00311248">
        <w:t>3</w:t>
      </w:r>
      <w:r>
        <w:t xml:space="preserve"> PPU občinskih proračunov z največjo vrednostjo).</w:t>
      </w:r>
      <w:proofErr w:type="gramEnd"/>
    </w:p>
    <w:p w:rsidR="006252B3" w:rsidRDefault="006252B3" w:rsidP="00B33A8D"/>
    <w:p w:rsidR="00A46201" w:rsidRDefault="000A3D9F" w:rsidP="000A3D9F">
      <w:pPr>
        <w:pStyle w:val="Caption"/>
      </w:pPr>
      <w:bookmarkStart w:id="113" w:name="_Ref391640322"/>
      <w:bookmarkStart w:id="114" w:name="_Toc49771345"/>
      <w:r>
        <w:t xml:space="preserve">Tabela </w:t>
      </w:r>
      <w:r>
        <w:fldChar w:fldCharType="begin"/>
      </w:r>
      <w:r>
        <w:instrText xml:space="preserve"> SEQ Tabela \* ARABIC </w:instrText>
      </w:r>
      <w:r>
        <w:fldChar w:fldCharType="separate"/>
      </w:r>
      <w:r w:rsidR="00CE55C4">
        <w:rPr>
          <w:noProof/>
        </w:rPr>
        <w:t>23</w:t>
      </w:r>
      <w:r>
        <w:fldChar w:fldCharType="end"/>
      </w:r>
      <w:bookmarkEnd w:id="113"/>
      <w:r>
        <w:t xml:space="preserve">: Struktura porazdelitve premoženja PPU občinskih proračunov po PU </w:t>
      </w:r>
      <w:proofErr w:type="gramStart"/>
      <w:r>
        <w:t>na</w:t>
      </w:r>
      <w:proofErr w:type="gramEnd"/>
      <w:r>
        <w:t xml:space="preserve"> dan 31.12.201</w:t>
      </w:r>
      <w:r w:rsidR="001C5EB6">
        <w:t>8</w:t>
      </w:r>
      <w:bookmarkEnd w:id="114"/>
    </w:p>
    <w:p w:rsidR="007536AB" w:rsidRDefault="007536AB" w:rsidP="007536A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33"/>
        <w:gridCol w:w="1558"/>
        <w:gridCol w:w="919"/>
      </w:tblGrid>
      <w:tr w:rsidR="00C21A98" w:rsidRPr="00972554" w:rsidTr="00C21A98">
        <w:trPr>
          <w:trHeight w:val="300"/>
          <w:tblHeader/>
        </w:trPr>
        <w:tc>
          <w:tcPr>
            <w:tcW w:w="3655" w:type="pct"/>
            <w:shd w:val="pct25" w:color="auto" w:fill="auto"/>
            <w:noWrap/>
            <w:vAlign w:val="bottom"/>
          </w:tcPr>
          <w:p w:rsidR="00C21A98" w:rsidRPr="00412299" w:rsidRDefault="00C21A98" w:rsidP="00716B2A">
            <w:pPr>
              <w:spacing w:line="240" w:lineRule="auto"/>
              <w:rPr>
                <w:rFonts w:ascii="Calibri" w:hAnsi="Calibri"/>
                <w:b/>
                <w:bCs/>
                <w:color w:val="000000"/>
                <w:sz w:val="18"/>
                <w:szCs w:val="18"/>
                <w:lang w:eastAsia="sl-SI"/>
              </w:rPr>
            </w:pPr>
          </w:p>
        </w:tc>
        <w:tc>
          <w:tcPr>
            <w:tcW w:w="1345" w:type="pct"/>
            <w:gridSpan w:val="2"/>
            <w:shd w:val="pct25" w:color="auto" w:fill="auto"/>
            <w:noWrap/>
            <w:vAlign w:val="bottom"/>
          </w:tcPr>
          <w:p w:rsidR="00C21A98" w:rsidRPr="00116FC1" w:rsidRDefault="00C21A98" w:rsidP="00412299">
            <w:pPr>
              <w:spacing w:line="240" w:lineRule="auto"/>
              <w:jc w:val="center"/>
              <w:rPr>
                <w:rFonts w:ascii="Calibri" w:hAnsi="Calibri"/>
                <w:b/>
                <w:bCs/>
                <w:sz w:val="18"/>
                <w:szCs w:val="18"/>
                <w:lang w:eastAsia="sl-SI"/>
              </w:rPr>
            </w:pPr>
            <w:r w:rsidRPr="00412299">
              <w:rPr>
                <w:rFonts w:ascii="Calibri" w:hAnsi="Calibri"/>
                <w:b/>
                <w:bCs/>
                <w:sz w:val="18"/>
                <w:szCs w:val="18"/>
                <w:lang w:eastAsia="sl-SI"/>
              </w:rPr>
              <w:t>Stanje na dan 31.12.201</w:t>
            </w:r>
            <w:r w:rsidR="001C5EB6" w:rsidRPr="00412299">
              <w:rPr>
                <w:rFonts w:ascii="Calibri" w:hAnsi="Calibri"/>
                <w:b/>
                <w:bCs/>
                <w:sz w:val="18"/>
                <w:szCs w:val="18"/>
                <w:lang w:eastAsia="sl-SI"/>
              </w:rPr>
              <w:t>8</w:t>
            </w:r>
          </w:p>
        </w:tc>
      </w:tr>
      <w:tr w:rsidR="00C21A98" w:rsidRPr="00972554" w:rsidTr="00C21A98">
        <w:trPr>
          <w:trHeight w:val="300"/>
          <w:tblHeader/>
        </w:trPr>
        <w:tc>
          <w:tcPr>
            <w:tcW w:w="3655" w:type="pct"/>
            <w:shd w:val="pct25" w:color="auto" w:fill="auto"/>
            <w:noWrap/>
            <w:vAlign w:val="bottom"/>
          </w:tcPr>
          <w:p w:rsidR="00C21A98" w:rsidRPr="00412299" w:rsidRDefault="00C21A98" w:rsidP="00716B2A">
            <w:pPr>
              <w:spacing w:line="240" w:lineRule="auto"/>
              <w:rPr>
                <w:rFonts w:ascii="Calibri" w:hAnsi="Calibri"/>
                <w:b/>
                <w:bCs/>
                <w:color w:val="000000"/>
                <w:sz w:val="18"/>
                <w:szCs w:val="18"/>
                <w:lang w:eastAsia="sl-SI"/>
              </w:rPr>
            </w:pPr>
            <w:r w:rsidRPr="00412299">
              <w:rPr>
                <w:rFonts w:ascii="Calibri" w:hAnsi="Calibri"/>
                <w:b/>
                <w:bCs/>
                <w:color w:val="000000"/>
                <w:sz w:val="18"/>
                <w:szCs w:val="18"/>
                <w:lang w:eastAsia="sl-SI"/>
              </w:rPr>
              <w:t>Oznaka in naziv AOP/PU z največjo vrednostjo</w:t>
            </w:r>
          </w:p>
        </w:tc>
        <w:tc>
          <w:tcPr>
            <w:tcW w:w="846" w:type="pct"/>
            <w:shd w:val="pct25" w:color="auto" w:fill="auto"/>
            <w:noWrap/>
            <w:vAlign w:val="bottom"/>
          </w:tcPr>
          <w:p w:rsidR="00C21A98" w:rsidRPr="00116FC1" w:rsidRDefault="002A354F" w:rsidP="00716B2A">
            <w:pPr>
              <w:spacing w:line="240" w:lineRule="auto"/>
              <w:jc w:val="center"/>
              <w:rPr>
                <w:rFonts w:ascii="Calibri" w:hAnsi="Calibri"/>
                <w:b/>
                <w:bCs/>
                <w:color w:val="000000"/>
                <w:sz w:val="18"/>
                <w:szCs w:val="18"/>
                <w:lang w:eastAsia="sl-SI"/>
              </w:rPr>
            </w:pPr>
            <w:r w:rsidRPr="00116FC1">
              <w:rPr>
                <w:rFonts w:ascii="Calibri" w:hAnsi="Calibri"/>
                <w:b/>
                <w:bCs/>
                <w:color w:val="000000"/>
                <w:sz w:val="18"/>
                <w:szCs w:val="18"/>
                <w:lang w:eastAsia="sl-SI"/>
              </w:rPr>
              <w:t>(</w:t>
            </w:r>
            <w:r w:rsidR="003251F3">
              <w:rPr>
                <w:rFonts w:ascii="Calibri" w:hAnsi="Calibri"/>
                <w:b/>
                <w:bCs/>
                <w:color w:val="000000"/>
                <w:sz w:val="18"/>
                <w:szCs w:val="18"/>
                <w:lang w:eastAsia="sl-SI"/>
              </w:rPr>
              <w:t>€</w:t>
            </w:r>
            <w:r w:rsidRPr="00116FC1">
              <w:rPr>
                <w:rFonts w:ascii="Calibri" w:hAnsi="Calibri"/>
                <w:b/>
                <w:bCs/>
                <w:color w:val="000000"/>
                <w:sz w:val="18"/>
                <w:szCs w:val="18"/>
                <w:lang w:eastAsia="sl-SI"/>
              </w:rPr>
              <w:t>)</w:t>
            </w:r>
          </w:p>
        </w:tc>
        <w:tc>
          <w:tcPr>
            <w:tcW w:w="499" w:type="pct"/>
            <w:shd w:val="pct25" w:color="auto" w:fill="auto"/>
            <w:noWrap/>
            <w:vAlign w:val="bottom"/>
          </w:tcPr>
          <w:p w:rsidR="00C21A98" w:rsidRPr="00972554" w:rsidRDefault="003251F3" w:rsidP="00716B2A">
            <w:pPr>
              <w:spacing w:line="240" w:lineRule="auto"/>
              <w:jc w:val="center"/>
              <w:rPr>
                <w:rFonts w:ascii="Calibri" w:hAnsi="Calibri"/>
                <w:b/>
                <w:bCs/>
                <w:sz w:val="18"/>
                <w:szCs w:val="18"/>
                <w:lang w:eastAsia="sl-SI"/>
              </w:rPr>
            </w:pPr>
            <w:r>
              <w:rPr>
                <w:rFonts w:ascii="Calibri" w:hAnsi="Calibri"/>
                <w:b/>
                <w:bCs/>
                <w:sz w:val="18"/>
                <w:szCs w:val="18"/>
                <w:lang w:eastAsia="sl-SI"/>
              </w:rPr>
              <w:t>%</w:t>
            </w:r>
          </w:p>
        </w:tc>
      </w:tr>
      <w:tr w:rsidR="00C21A98" w:rsidRPr="00972554" w:rsidTr="00C21A98">
        <w:trPr>
          <w:trHeight w:val="300"/>
          <w:tblHeader/>
        </w:trPr>
        <w:tc>
          <w:tcPr>
            <w:tcW w:w="3655" w:type="pct"/>
            <w:shd w:val="pct25" w:color="auto" w:fill="auto"/>
            <w:noWrap/>
            <w:vAlign w:val="bottom"/>
          </w:tcPr>
          <w:p w:rsidR="00C21A98" w:rsidRPr="00412299" w:rsidRDefault="00C21A98" w:rsidP="00716B2A">
            <w:pPr>
              <w:spacing w:line="240" w:lineRule="auto"/>
              <w:jc w:val="center"/>
              <w:rPr>
                <w:rFonts w:ascii="Calibri" w:hAnsi="Calibri"/>
                <w:b/>
                <w:bCs/>
                <w:color w:val="000000"/>
                <w:sz w:val="18"/>
                <w:szCs w:val="18"/>
                <w:lang w:eastAsia="sl-SI"/>
              </w:rPr>
            </w:pPr>
            <w:r w:rsidRPr="00412299">
              <w:rPr>
                <w:rFonts w:ascii="Calibri" w:hAnsi="Calibri"/>
                <w:b/>
                <w:bCs/>
                <w:color w:val="000000"/>
                <w:sz w:val="18"/>
                <w:szCs w:val="18"/>
                <w:lang w:eastAsia="sl-SI"/>
              </w:rPr>
              <w:t>1</w:t>
            </w:r>
          </w:p>
        </w:tc>
        <w:tc>
          <w:tcPr>
            <w:tcW w:w="846" w:type="pct"/>
            <w:shd w:val="pct25" w:color="auto" w:fill="auto"/>
            <w:noWrap/>
            <w:vAlign w:val="bottom"/>
          </w:tcPr>
          <w:p w:rsidR="00C21A98" w:rsidRPr="00116FC1" w:rsidRDefault="00C21A98" w:rsidP="00716B2A">
            <w:pPr>
              <w:spacing w:line="240" w:lineRule="auto"/>
              <w:jc w:val="center"/>
              <w:rPr>
                <w:rFonts w:ascii="Calibri" w:hAnsi="Calibri"/>
                <w:b/>
                <w:bCs/>
                <w:color w:val="000000"/>
                <w:sz w:val="18"/>
                <w:szCs w:val="18"/>
                <w:lang w:eastAsia="sl-SI"/>
              </w:rPr>
            </w:pPr>
            <w:r w:rsidRPr="00116FC1">
              <w:rPr>
                <w:rFonts w:ascii="Calibri" w:hAnsi="Calibri"/>
                <w:b/>
                <w:bCs/>
                <w:color w:val="000000"/>
                <w:sz w:val="18"/>
                <w:szCs w:val="18"/>
                <w:lang w:eastAsia="sl-SI"/>
              </w:rPr>
              <w:t>2</w:t>
            </w:r>
          </w:p>
        </w:tc>
        <w:tc>
          <w:tcPr>
            <w:tcW w:w="499" w:type="pct"/>
            <w:shd w:val="pct25" w:color="auto" w:fill="auto"/>
            <w:noWrap/>
            <w:vAlign w:val="bottom"/>
          </w:tcPr>
          <w:p w:rsidR="00C21A98" w:rsidRPr="00972554" w:rsidRDefault="00C21A98" w:rsidP="00716B2A">
            <w:pPr>
              <w:spacing w:line="240" w:lineRule="auto"/>
              <w:jc w:val="center"/>
              <w:rPr>
                <w:rFonts w:ascii="Calibri" w:hAnsi="Calibri"/>
                <w:b/>
                <w:bCs/>
                <w:sz w:val="18"/>
                <w:szCs w:val="18"/>
                <w:lang w:eastAsia="sl-SI"/>
              </w:rPr>
            </w:pPr>
            <w:r w:rsidRPr="00972554">
              <w:rPr>
                <w:rFonts w:ascii="Calibri" w:hAnsi="Calibri"/>
                <w:b/>
                <w:bCs/>
                <w:sz w:val="18"/>
                <w:szCs w:val="18"/>
                <w:lang w:eastAsia="sl-SI"/>
              </w:rPr>
              <w:t>3</w:t>
            </w:r>
          </w:p>
        </w:tc>
      </w:tr>
      <w:tr w:rsidR="001C5EB6" w:rsidRPr="00972554" w:rsidTr="00972554">
        <w:trPr>
          <w:trHeight w:val="300"/>
        </w:trPr>
        <w:tc>
          <w:tcPr>
            <w:tcW w:w="3655" w:type="pct"/>
            <w:shd w:val="clear" w:color="auto" w:fill="auto"/>
            <w:noWrap/>
            <w:hideMark/>
          </w:tcPr>
          <w:p w:rsidR="001C5EB6" w:rsidRPr="00116FC1" w:rsidRDefault="001C5EB6"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200-Sedanja vrednost neopredmetenih sredstev in dolgoročnih aktivnih časovnih razmejitev </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b/>
                <w:bCs/>
                <w:sz w:val="18"/>
                <w:szCs w:val="18"/>
                <w:lang w:eastAsia="sl-SI"/>
              </w:rPr>
            </w:pPr>
            <w:r w:rsidRPr="00972554">
              <w:rPr>
                <w:rFonts w:ascii="Calibri" w:hAnsi="Calibri"/>
                <w:b/>
                <w:sz w:val="18"/>
                <w:szCs w:val="18"/>
              </w:rPr>
              <w:t xml:space="preserve">11.089.116 </w:t>
            </w:r>
          </w:p>
        </w:tc>
        <w:tc>
          <w:tcPr>
            <w:tcW w:w="499" w:type="pct"/>
            <w:shd w:val="clear" w:color="auto" w:fill="FFFFFF"/>
            <w:noWrap/>
            <w:vAlign w:val="bottom"/>
            <w:hideMark/>
          </w:tcPr>
          <w:p w:rsidR="001C5EB6" w:rsidRPr="00972554" w:rsidRDefault="001C5EB6" w:rsidP="00116FC1">
            <w:pPr>
              <w:spacing w:line="240" w:lineRule="auto"/>
              <w:jc w:val="right"/>
              <w:rPr>
                <w:rFonts w:ascii="Calibri" w:hAnsi="Calibri"/>
                <w:b/>
                <w:bCs/>
                <w:sz w:val="18"/>
                <w:szCs w:val="18"/>
                <w:lang w:eastAsia="sl-SI"/>
              </w:rPr>
            </w:pPr>
          </w:p>
        </w:tc>
      </w:tr>
      <w:tr w:rsidR="001C5EB6" w:rsidRPr="00972554" w:rsidTr="00972554">
        <w:trPr>
          <w:trHeight w:val="300"/>
        </w:trPr>
        <w:tc>
          <w:tcPr>
            <w:tcW w:w="3655" w:type="pct"/>
            <w:shd w:val="clear" w:color="auto" w:fill="auto"/>
            <w:noWrap/>
            <w:hideMark/>
          </w:tcPr>
          <w:p w:rsidR="001C5EB6" w:rsidRPr="00116FC1"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ZAVOD ZA KULTURO, TURIZEM IN ŠPORT VRANSKO</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3.648.981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32,91</w:t>
            </w:r>
          </w:p>
        </w:tc>
      </w:tr>
      <w:tr w:rsidR="001C5EB6" w:rsidRPr="00972554" w:rsidTr="00972554">
        <w:trPr>
          <w:trHeight w:val="300"/>
        </w:trPr>
        <w:tc>
          <w:tcPr>
            <w:tcW w:w="3655" w:type="pct"/>
            <w:shd w:val="clear" w:color="auto" w:fill="auto"/>
            <w:noWrap/>
            <w:hideMark/>
          </w:tcPr>
          <w:p w:rsidR="001C5EB6" w:rsidRPr="00116FC1"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JAVNI ZAVOD LEKARNA LJUBLJANA</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1.409.601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12,71</w:t>
            </w:r>
          </w:p>
        </w:tc>
      </w:tr>
      <w:tr w:rsidR="001C5EB6" w:rsidRPr="00972554" w:rsidTr="00972554">
        <w:trPr>
          <w:trHeight w:val="300"/>
        </w:trPr>
        <w:tc>
          <w:tcPr>
            <w:tcW w:w="3655" w:type="pct"/>
            <w:shd w:val="clear" w:color="auto" w:fill="auto"/>
            <w:noWrap/>
            <w:hideMark/>
          </w:tcPr>
          <w:p w:rsidR="001C5EB6" w:rsidRPr="00116FC1"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KNJIŽNICA LJUBLJANA</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387.615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3,50</w:t>
            </w:r>
          </w:p>
        </w:tc>
      </w:tr>
      <w:tr w:rsidR="001C5EB6" w:rsidRPr="00972554" w:rsidTr="00972554">
        <w:trPr>
          <w:trHeight w:val="300"/>
        </w:trPr>
        <w:tc>
          <w:tcPr>
            <w:tcW w:w="3655" w:type="pct"/>
            <w:shd w:val="clear" w:color="auto" w:fill="auto"/>
            <w:noWrap/>
            <w:hideMark/>
          </w:tcPr>
          <w:p w:rsidR="001C5EB6" w:rsidRPr="00972554" w:rsidRDefault="001C5EB6"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201-Nabavna vrednost neopredmetenih sredstev in dolgoročnih aktivnih časovnih razmejitev </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b/>
                <w:bCs/>
                <w:sz w:val="18"/>
                <w:szCs w:val="18"/>
                <w:lang w:eastAsia="sl-SI"/>
              </w:rPr>
            </w:pPr>
            <w:r w:rsidRPr="00972554">
              <w:rPr>
                <w:rFonts w:ascii="Calibri" w:hAnsi="Calibri"/>
                <w:b/>
                <w:sz w:val="18"/>
                <w:szCs w:val="18"/>
              </w:rPr>
              <w:t xml:space="preserve">35.844.063 </w:t>
            </w:r>
          </w:p>
        </w:tc>
        <w:tc>
          <w:tcPr>
            <w:tcW w:w="499" w:type="pct"/>
            <w:shd w:val="clear" w:color="auto" w:fill="FFFFFF"/>
            <w:noWrap/>
            <w:vAlign w:val="bottom"/>
            <w:hideMark/>
          </w:tcPr>
          <w:p w:rsidR="001C5EB6" w:rsidRPr="00972554" w:rsidRDefault="001C5EB6" w:rsidP="00116FC1">
            <w:pPr>
              <w:spacing w:line="240" w:lineRule="auto"/>
              <w:jc w:val="right"/>
              <w:rPr>
                <w:rFonts w:ascii="Calibri" w:hAnsi="Calibri"/>
                <w:b/>
                <w:bCs/>
                <w:sz w:val="18"/>
                <w:szCs w:val="18"/>
                <w:lang w:eastAsia="sl-SI"/>
              </w:rPr>
            </w:pPr>
          </w:p>
        </w:tc>
      </w:tr>
      <w:tr w:rsidR="001C5EB6" w:rsidRPr="00972554" w:rsidTr="00972554">
        <w:trPr>
          <w:trHeight w:val="300"/>
        </w:trPr>
        <w:tc>
          <w:tcPr>
            <w:tcW w:w="3655" w:type="pct"/>
            <w:shd w:val="clear" w:color="auto" w:fill="auto"/>
            <w:noWrap/>
            <w:hideMark/>
          </w:tcPr>
          <w:p w:rsidR="001C5EB6" w:rsidRPr="00116FC1"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ZAVOD ZA KULTURO, TURIZEM IN ŠPORT VRANSKO</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4.096.713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11,43</w:t>
            </w:r>
          </w:p>
        </w:tc>
      </w:tr>
      <w:tr w:rsidR="001C5EB6" w:rsidRPr="00972554" w:rsidTr="00972554">
        <w:trPr>
          <w:trHeight w:val="300"/>
        </w:trPr>
        <w:tc>
          <w:tcPr>
            <w:tcW w:w="3655" w:type="pct"/>
            <w:shd w:val="clear" w:color="auto" w:fill="auto"/>
            <w:noWrap/>
            <w:hideMark/>
          </w:tcPr>
          <w:p w:rsidR="001C5EB6" w:rsidRPr="00972554"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ZDRAVSTVENI DOM LJUBLJANA</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2.935.589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8,19</w:t>
            </w:r>
          </w:p>
        </w:tc>
      </w:tr>
      <w:tr w:rsidR="001C5EB6" w:rsidRPr="00972554" w:rsidTr="00972554">
        <w:trPr>
          <w:trHeight w:val="300"/>
        </w:trPr>
        <w:tc>
          <w:tcPr>
            <w:tcW w:w="3655" w:type="pct"/>
            <w:shd w:val="clear" w:color="auto" w:fill="auto"/>
            <w:noWrap/>
            <w:hideMark/>
          </w:tcPr>
          <w:p w:rsidR="001C5EB6" w:rsidRPr="00116FC1"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JAVNI ZAVOD LEKARNA LJUBLJANA</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2.876.037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8,02</w:t>
            </w:r>
          </w:p>
        </w:tc>
      </w:tr>
      <w:tr w:rsidR="001C5EB6" w:rsidRPr="00972554" w:rsidTr="00972554">
        <w:trPr>
          <w:trHeight w:val="300"/>
        </w:trPr>
        <w:tc>
          <w:tcPr>
            <w:tcW w:w="3655" w:type="pct"/>
            <w:shd w:val="clear" w:color="auto" w:fill="auto"/>
            <w:noWrap/>
            <w:hideMark/>
          </w:tcPr>
          <w:p w:rsidR="001C5EB6" w:rsidRPr="00116FC1" w:rsidRDefault="001C5EB6"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202-Popravki vrednosti neopredmetenih sredstev </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b/>
                <w:bCs/>
                <w:sz w:val="18"/>
                <w:szCs w:val="18"/>
                <w:lang w:eastAsia="sl-SI"/>
              </w:rPr>
            </w:pPr>
            <w:r w:rsidRPr="00972554">
              <w:rPr>
                <w:rFonts w:ascii="Calibri" w:hAnsi="Calibri"/>
                <w:b/>
                <w:sz w:val="18"/>
                <w:szCs w:val="18"/>
              </w:rPr>
              <w:t xml:space="preserve">24.754.947 </w:t>
            </w:r>
          </w:p>
        </w:tc>
        <w:tc>
          <w:tcPr>
            <w:tcW w:w="499" w:type="pct"/>
            <w:shd w:val="clear" w:color="auto" w:fill="FFFFFF"/>
            <w:noWrap/>
            <w:vAlign w:val="bottom"/>
            <w:hideMark/>
          </w:tcPr>
          <w:p w:rsidR="001C5EB6" w:rsidRPr="00972554" w:rsidRDefault="001C5EB6" w:rsidP="00116FC1">
            <w:pPr>
              <w:spacing w:line="240" w:lineRule="auto"/>
              <w:jc w:val="right"/>
              <w:rPr>
                <w:rFonts w:ascii="Calibri" w:hAnsi="Calibri"/>
                <w:b/>
                <w:bCs/>
                <w:sz w:val="18"/>
                <w:szCs w:val="18"/>
                <w:lang w:eastAsia="sl-SI"/>
              </w:rPr>
            </w:pPr>
          </w:p>
        </w:tc>
      </w:tr>
      <w:tr w:rsidR="001C5EB6" w:rsidRPr="00972554" w:rsidTr="00972554">
        <w:trPr>
          <w:trHeight w:val="300"/>
        </w:trPr>
        <w:tc>
          <w:tcPr>
            <w:tcW w:w="3655" w:type="pct"/>
            <w:shd w:val="clear" w:color="auto" w:fill="auto"/>
            <w:noWrap/>
            <w:hideMark/>
          </w:tcPr>
          <w:p w:rsidR="001C5EB6" w:rsidRPr="00116FC1"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ZDRAVSTVENI DOM LJUBLJANA</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2.715.099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10,97</w:t>
            </w:r>
          </w:p>
        </w:tc>
      </w:tr>
      <w:tr w:rsidR="001C5EB6" w:rsidRPr="00972554" w:rsidTr="00972554">
        <w:trPr>
          <w:trHeight w:val="300"/>
        </w:trPr>
        <w:tc>
          <w:tcPr>
            <w:tcW w:w="3655" w:type="pct"/>
            <w:shd w:val="clear" w:color="auto" w:fill="auto"/>
            <w:noWrap/>
            <w:hideMark/>
          </w:tcPr>
          <w:p w:rsidR="001C5EB6" w:rsidRPr="00116FC1"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JAVNI STANOVANJSKI SKLAD MESTNE OBČINE LJUBLJANA</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1.567.159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6,33</w:t>
            </w:r>
          </w:p>
        </w:tc>
      </w:tr>
      <w:tr w:rsidR="001C5EB6" w:rsidRPr="00972554" w:rsidTr="00972554">
        <w:trPr>
          <w:trHeight w:val="300"/>
        </w:trPr>
        <w:tc>
          <w:tcPr>
            <w:tcW w:w="3655" w:type="pct"/>
            <w:shd w:val="clear" w:color="auto" w:fill="auto"/>
            <w:noWrap/>
            <w:hideMark/>
          </w:tcPr>
          <w:p w:rsidR="001C5EB6" w:rsidRPr="00972554"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JAVNI ZAVOD LEKARNA LJUBLJANA</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1.466.436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5,92</w:t>
            </w:r>
          </w:p>
        </w:tc>
      </w:tr>
      <w:tr w:rsidR="001C5EB6" w:rsidRPr="00972554" w:rsidTr="00972554">
        <w:trPr>
          <w:trHeight w:val="300"/>
        </w:trPr>
        <w:tc>
          <w:tcPr>
            <w:tcW w:w="3655" w:type="pct"/>
            <w:shd w:val="clear" w:color="auto" w:fill="auto"/>
            <w:noWrap/>
            <w:hideMark/>
          </w:tcPr>
          <w:p w:rsidR="001C5EB6" w:rsidRPr="00116FC1" w:rsidRDefault="001C5EB6"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203-Sedanja vrednost nepremičnin </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b/>
                <w:bCs/>
                <w:sz w:val="18"/>
                <w:szCs w:val="18"/>
                <w:lang w:eastAsia="sl-SI"/>
              </w:rPr>
            </w:pPr>
            <w:r w:rsidRPr="00972554">
              <w:rPr>
                <w:rFonts w:ascii="Calibri" w:hAnsi="Calibri"/>
                <w:b/>
                <w:sz w:val="18"/>
                <w:szCs w:val="18"/>
              </w:rPr>
              <w:t xml:space="preserve">2.810.079.658 </w:t>
            </w:r>
          </w:p>
        </w:tc>
        <w:tc>
          <w:tcPr>
            <w:tcW w:w="499" w:type="pct"/>
            <w:shd w:val="clear" w:color="auto" w:fill="FFFFFF"/>
            <w:noWrap/>
            <w:vAlign w:val="bottom"/>
            <w:hideMark/>
          </w:tcPr>
          <w:p w:rsidR="001C5EB6" w:rsidRPr="00972554" w:rsidRDefault="001C5EB6" w:rsidP="00116FC1">
            <w:pPr>
              <w:spacing w:line="240" w:lineRule="auto"/>
              <w:jc w:val="right"/>
              <w:rPr>
                <w:rFonts w:ascii="Calibri" w:hAnsi="Calibri"/>
                <w:b/>
                <w:bCs/>
                <w:sz w:val="18"/>
                <w:szCs w:val="18"/>
                <w:lang w:eastAsia="sl-SI"/>
              </w:rPr>
            </w:pPr>
          </w:p>
        </w:tc>
      </w:tr>
      <w:tr w:rsidR="001C5EB6" w:rsidRPr="00972554" w:rsidTr="00972554">
        <w:trPr>
          <w:trHeight w:val="300"/>
        </w:trPr>
        <w:tc>
          <w:tcPr>
            <w:tcW w:w="3655" w:type="pct"/>
            <w:shd w:val="clear" w:color="auto" w:fill="auto"/>
            <w:noWrap/>
            <w:hideMark/>
          </w:tcPr>
          <w:p w:rsidR="001C5EB6" w:rsidRPr="00116FC1"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JAVNI STANOVANJSKI SKLAD MESTNE OBČINE LJUBLJANA</w:t>
            </w:r>
          </w:p>
        </w:tc>
        <w:tc>
          <w:tcPr>
            <w:tcW w:w="846" w:type="pct"/>
            <w:shd w:val="clear" w:color="auto" w:fill="auto"/>
            <w:noWrap/>
            <w:vAlign w:val="bottom"/>
            <w:hideMark/>
          </w:tcPr>
          <w:p w:rsidR="001C5EB6" w:rsidRPr="00972554"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297.819.541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10,60</w:t>
            </w:r>
          </w:p>
        </w:tc>
      </w:tr>
      <w:tr w:rsidR="001C5EB6" w:rsidRPr="00972554" w:rsidTr="00972554">
        <w:trPr>
          <w:trHeight w:val="300"/>
        </w:trPr>
        <w:tc>
          <w:tcPr>
            <w:tcW w:w="3655" w:type="pct"/>
            <w:shd w:val="clear" w:color="auto" w:fill="auto"/>
            <w:noWrap/>
            <w:hideMark/>
          </w:tcPr>
          <w:p w:rsidR="001C5EB6" w:rsidRPr="00116FC1"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Javni zavod ŠPORT LJUBLJANA</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131.938.458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4,70</w:t>
            </w:r>
          </w:p>
        </w:tc>
      </w:tr>
      <w:tr w:rsidR="001C5EB6" w:rsidRPr="00972554" w:rsidTr="00972554">
        <w:trPr>
          <w:trHeight w:val="300"/>
        </w:trPr>
        <w:tc>
          <w:tcPr>
            <w:tcW w:w="3655" w:type="pct"/>
            <w:shd w:val="clear" w:color="auto" w:fill="auto"/>
            <w:noWrap/>
            <w:hideMark/>
          </w:tcPr>
          <w:p w:rsidR="001C5EB6" w:rsidRPr="00116FC1"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JAVNI MEDOBČINSKI STANOVANJSKI SKLAD MARIBOR</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91.221.010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3,25</w:t>
            </w:r>
          </w:p>
        </w:tc>
      </w:tr>
      <w:tr w:rsidR="001C5EB6" w:rsidRPr="00972554" w:rsidTr="00972554">
        <w:trPr>
          <w:trHeight w:val="300"/>
        </w:trPr>
        <w:tc>
          <w:tcPr>
            <w:tcW w:w="3655" w:type="pct"/>
            <w:shd w:val="clear" w:color="auto" w:fill="auto"/>
            <w:noWrap/>
            <w:hideMark/>
          </w:tcPr>
          <w:p w:rsidR="001C5EB6" w:rsidRPr="00116FC1" w:rsidRDefault="001C5EB6"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204-Nabavna vrednost nepremičnin </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b/>
                <w:bCs/>
                <w:sz w:val="18"/>
                <w:szCs w:val="18"/>
                <w:lang w:eastAsia="sl-SI"/>
              </w:rPr>
            </w:pPr>
            <w:r w:rsidRPr="00972554">
              <w:rPr>
                <w:rFonts w:ascii="Calibri" w:hAnsi="Calibri"/>
                <w:b/>
                <w:sz w:val="18"/>
                <w:szCs w:val="18"/>
              </w:rPr>
              <w:t xml:space="preserve">4.325.450.695 </w:t>
            </w:r>
          </w:p>
        </w:tc>
        <w:tc>
          <w:tcPr>
            <w:tcW w:w="499" w:type="pct"/>
            <w:shd w:val="clear" w:color="auto" w:fill="FFFFFF"/>
            <w:noWrap/>
            <w:vAlign w:val="bottom"/>
            <w:hideMark/>
          </w:tcPr>
          <w:p w:rsidR="001C5EB6" w:rsidRPr="00972554" w:rsidRDefault="001C5EB6" w:rsidP="00116FC1">
            <w:pPr>
              <w:spacing w:line="240" w:lineRule="auto"/>
              <w:jc w:val="right"/>
              <w:rPr>
                <w:rFonts w:ascii="Calibri" w:hAnsi="Calibri"/>
                <w:b/>
                <w:bCs/>
                <w:sz w:val="18"/>
                <w:szCs w:val="18"/>
                <w:lang w:eastAsia="sl-SI"/>
              </w:rPr>
            </w:pPr>
          </w:p>
        </w:tc>
      </w:tr>
      <w:tr w:rsidR="001C5EB6" w:rsidRPr="00972554" w:rsidTr="00972554">
        <w:trPr>
          <w:trHeight w:val="300"/>
        </w:trPr>
        <w:tc>
          <w:tcPr>
            <w:tcW w:w="3655" w:type="pct"/>
            <w:shd w:val="clear" w:color="auto" w:fill="auto"/>
            <w:noWrap/>
            <w:hideMark/>
          </w:tcPr>
          <w:p w:rsidR="001C5EB6" w:rsidRPr="00116FC1"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JAVNI STANOVANJSKI SKLAD MESTNE OBČINE LJUBLJANA</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398.109.941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9,20</w:t>
            </w:r>
          </w:p>
        </w:tc>
      </w:tr>
      <w:tr w:rsidR="001C5EB6" w:rsidRPr="00972554" w:rsidTr="00972554">
        <w:trPr>
          <w:trHeight w:val="300"/>
        </w:trPr>
        <w:tc>
          <w:tcPr>
            <w:tcW w:w="3655" w:type="pct"/>
            <w:shd w:val="clear" w:color="auto" w:fill="auto"/>
            <w:noWrap/>
            <w:hideMark/>
          </w:tcPr>
          <w:p w:rsidR="001C5EB6" w:rsidRPr="00972554"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Javni zavod ŠPORT LJUBLJANA</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182.348.812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4,22</w:t>
            </w:r>
          </w:p>
        </w:tc>
      </w:tr>
      <w:tr w:rsidR="001C5EB6" w:rsidRPr="00972554" w:rsidTr="00972554">
        <w:trPr>
          <w:trHeight w:val="300"/>
        </w:trPr>
        <w:tc>
          <w:tcPr>
            <w:tcW w:w="3655" w:type="pct"/>
            <w:shd w:val="clear" w:color="auto" w:fill="auto"/>
            <w:noWrap/>
            <w:hideMark/>
          </w:tcPr>
          <w:p w:rsidR="001C5EB6" w:rsidRPr="00116FC1"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JAVNI MEDOBČINSKI STANOVANJSKI SKLAD MARIBOR</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127.671.295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2,95</w:t>
            </w:r>
          </w:p>
        </w:tc>
      </w:tr>
      <w:tr w:rsidR="001C5EB6" w:rsidRPr="00972554" w:rsidTr="00972554">
        <w:trPr>
          <w:trHeight w:val="300"/>
        </w:trPr>
        <w:tc>
          <w:tcPr>
            <w:tcW w:w="3655" w:type="pct"/>
            <w:shd w:val="clear" w:color="auto" w:fill="auto"/>
            <w:noWrap/>
            <w:hideMark/>
          </w:tcPr>
          <w:p w:rsidR="001C5EB6" w:rsidRPr="00116FC1" w:rsidRDefault="001C5EB6"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205-Popravek vrednosti nepremičnin </w:t>
            </w:r>
          </w:p>
        </w:tc>
        <w:tc>
          <w:tcPr>
            <w:tcW w:w="846" w:type="pct"/>
            <w:shd w:val="clear" w:color="auto" w:fill="auto"/>
            <w:noWrap/>
            <w:vAlign w:val="bottom"/>
            <w:hideMark/>
          </w:tcPr>
          <w:p w:rsidR="001C5EB6" w:rsidRPr="00972554" w:rsidRDefault="001C5EB6" w:rsidP="00412299">
            <w:pPr>
              <w:spacing w:line="240" w:lineRule="auto"/>
              <w:jc w:val="right"/>
              <w:rPr>
                <w:rFonts w:ascii="Calibri" w:hAnsi="Calibri"/>
                <w:b/>
                <w:bCs/>
                <w:sz w:val="18"/>
                <w:szCs w:val="18"/>
                <w:lang w:eastAsia="sl-SI"/>
              </w:rPr>
            </w:pPr>
            <w:r w:rsidRPr="00972554">
              <w:rPr>
                <w:rFonts w:ascii="Calibri" w:hAnsi="Calibri"/>
                <w:b/>
                <w:sz w:val="18"/>
                <w:szCs w:val="18"/>
              </w:rPr>
              <w:t xml:space="preserve">1.515.371.037 </w:t>
            </w:r>
          </w:p>
        </w:tc>
        <w:tc>
          <w:tcPr>
            <w:tcW w:w="499" w:type="pct"/>
            <w:shd w:val="clear" w:color="auto" w:fill="FFFFFF"/>
            <w:noWrap/>
            <w:vAlign w:val="bottom"/>
            <w:hideMark/>
          </w:tcPr>
          <w:p w:rsidR="001C5EB6" w:rsidRPr="00972554" w:rsidRDefault="001C5EB6" w:rsidP="00116FC1">
            <w:pPr>
              <w:spacing w:line="240" w:lineRule="auto"/>
              <w:jc w:val="right"/>
              <w:rPr>
                <w:rFonts w:ascii="Calibri" w:hAnsi="Calibri"/>
                <w:b/>
                <w:bCs/>
                <w:sz w:val="18"/>
                <w:szCs w:val="18"/>
                <w:lang w:eastAsia="sl-SI"/>
              </w:rPr>
            </w:pPr>
          </w:p>
        </w:tc>
      </w:tr>
      <w:tr w:rsidR="001C5EB6" w:rsidRPr="00972554" w:rsidTr="00972554">
        <w:trPr>
          <w:trHeight w:val="300"/>
        </w:trPr>
        <w:tc>
          <w:tcPr>
            <w:tcW w:w="3655" w:type="pct"/>
            <w:shd w:val="clear" w:color="auto" w:fill="auto"/>
            <w:noWrap/>
            <w:hideMark/>
          </w:tcPr>
          <w:p w:rsidR="001C5EB6" w:rsidRPr="00116FC1"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JAVNI STANOVANJSKI SKLAD MESTNE OBČINE LJUBLJANA</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100.290.400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6,62</w:t>
            </w:r>
          </w:p>
        </w:tc>
      </w:tr>
      <w:tr w:rsidR="001C5EB6" w:rsidRPr="00972554" w:rsidTr="00972554">
        <w:trPr>
          <w:trHeight w:val="300"/>
        </w:trPr>
        <w:tc>
          <w:tcPr>
            <w:tcW w:w="3655" w:type="pct"/>
            <w:shd w:val="clear" w:color="auto" w:fill="auto"/>
            <w:noWrap/>
            <w:hideMark/>
          </w:tcPr>
          <w:p w:rsidR="001C5EB6" w:rsidRPr="00116FC1"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Javni zavod ŠPORT LJUBLJANA</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50.410.354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3,33</w:t>
            </w:r>
          </w:p>
        </w:tc>
      </w:tr>
      <w:tr w:rsidR="001C5EB6" w:rsidRPr="00972554" w:rsidTr="00972554">
        <w:trPr>
          <w:trHeight w:val="300"/>
        </w:trPr>
        <w:tc>
          <w:tcPr>
            <w:tcW w:w="3655" w:type="pct"/>
            <w:shd w:val="clear" w:color="auto" w:fill="auto"/>
            <w:noWrap/>
            <w:hideMark/>
          </w:tcPr>
          <w:p w:rsidR="001C5EB6" w:rsidRPr="00116FC1"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JAVNI MEDOBČINSKI STANOVANJSKI SKLAD MARIBOR</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36.450.285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2,41</w:t>
            </w:r>
          </w:p>
        </w:tc>
      </w:tr>
      <w:tr w:rsidR="001C5EB6" w:rsidRPr="00972554" w:rsidTr="00972554">
        <w:trPr>
          <w:trHeight w:val="300"/>
        </w:trPr>
        <w:tc>
          <w:tcPr>
            <w:tcW w:w="3655" w:type="pct"/>
            <w:shd w:val="clear" w:color="auto" w:fill="auto"/>
            <w:noWrap/>
            <w:hideMark/>
          </w:tcPr>
          <w:p w:rsidR="001C5EB6" w:rsidRPr="00116FC1" w:rsidRDefault="001C5EB6"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206-Sedanja vrednost opreme in drugih opredmetenih osnovnih sredstev </w:t>
            </w:r>
          </w:p>
        </w:tc>
        <w:tc>
          <w:tcPr>
            <w:tcW w:w="846" w:type="pct"/>
            <w:shd w:val="clear" w:color="auto" w:fill="auto"/>
            <w:noWrap/>
            <w:vAlign w:val="bottom"/>
            <w:hideMark/>
          </w:tcPr>
          <w:p w:rsidR="001C5EB6" w:rsidRPr="00972554" w:rsidRDefault="001C5EB6" w:rsidP="00412299">
            <w:pPr>
              <w:spacing w:line="240" w:lineRule="auto"/>
              <w:jc w:val="right"/>
              <w:rPr>
                <w:rFonts w:ascii="Calibri" w:hAnsi="Calibri"/>
                <w:b/>
                <w:bCs/>
                <w:sz w:val="18"/>
                <w:szCs w:val="18"/>
                <w:lang w:eastAsia="sl-SI"/>
              </w:rPr>
            </w:pPr>
            <w:r w:rsidRPr="00972554">
              <w:rPr>
                <w:rFonts w:ascii="Calibri" w:hAnsi="Calibri"/>
                <w:b/>
                <w:sz w:val="18"/>
                <w:szCs w:val="18"/>
              </w:rPr>
              <w:t xml:space="preserve">218.578.186 </w:t>
            </w:r>
          </w:p>
        </w:tc>
        <w:tc>
          <w:tcPr>
            <w:tcW w:w="499" w:type="pct"/>
            <w:shd w:val="clear" w:color="auto" w:fill="FFFFFF"/>
            <w:noWrap/>
            <w:vAlign w:val="bottom"/>
            <w:hideMark/>
          </w:tcPr>
          <w:p w:rsidR="001C5EB6" w:rsidRPr="00972554" w:rsidRDefault="001C5EB6" w:rsidP="00116FC1">
            <w:pPr>
              <w:spacing w:line="240" w:lineRule="auto"/>
              <w:jc w:val="right"/>
              <w:rPr>
                <w:rFonts w:ascii="Calibri" w:hAnsi="Calibri"/>
                <w:b/>
                <w:bCs/>
                <w:sz w:val="18"/>
                <w:szCs w:val="18"/>
                <w:lang w:eastAsia="sl-SI"/>
              </w:rPr>
            </w:pPr>
          </w:p>
        </w:tc>
      </w:tr>
      <w:tr w:rsidR="001C5EB6" w:rsidRPr="00972554" w:rsidTr="00972554">
        <w:trPr>
          <w:trHeight w:val="300"/>
        </w:trPr>
        <w:tc>
          <w:tcPr>
            <w:tcW w:w="3655" w:type="pct"/>
            <w:shd w:val="clear" w:color="auto" w:fill="auto"/>
            <w:noWrap/>
            <w:hideMark/>
          </w:tcPr>
          <w:p w:rsidR="001C5EB6" w:rsidRPr="00116FC1"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lastRenderedPageBreak/>
              <w:t>POKRAJINSKI MUZEJ PTUJ - ORMOŽ</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7.317.876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3,35</w:t>
            </w:r>
          </w:p>
        </w:tc>
      </w:tr>
      <w:tr w:rsidR="001C5EB6" w:rsidRPr="00972554" w:rsidTr="00972554">
        <w:trPr>
          <w:trHeight w:val="300"/>
        </w:trPr>
        <w:tc>
          <w:tcPr>
            <w:tcW w:w="3655" w:type="pct"/>
            <w:shd w:val="clear" w:color="auto" w:fill="auto"/>
            <w:noWrap/>
            <w:hideMark/>
          </w:tcPr>
          <w:p w:rsidR="001C5EB6" w:rsidRPr="00116FC1"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GALERIJA BOŽIDAR JAKAC KOSTANJEVICA NA KRKI</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7.184.469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3,29</w:t>
            </w:r>
          </w:p>
        </w:tc>
      </w:tr>
      <w:tr w:rsidR="001C5EB6" w:rsidRPr="00972554" w:rsidTr="00972554">
        <w:trPr>
          <w:trHeight w:val="300"/>
        </w:trPr>
        <w:tc>
          <w:tcPr>
            <w:tcW w:w="3655" w:type="pct"/>
            <w:shd w:val="clear" w:color="auto" w:fill="auto"/>
            <w:noWrap/>
            <w:hideMark/>
          </w:tcPr>
          <w:p w:rsidR="001C5EB6" w:rsidRPr="00116FC1"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JAVNI ZAVOD SONČNI KANIN, upravljanje smučišča Kanin</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6.199.636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2,84</w:t>
            </w:r>
          </w:p>
        </w:tc>
      </w:tr>
      <w:tr w:rsidR="001C5EB6" w:rsidRPr="00972554" w:rsidTr="00972554">
        <w:trPr>
          <w:trHeight w:val="300"/>
        </w:trPr>
        <w:tc>
          <w:tcPr>
            <w:tcW w:w="3655" w:type="pct"/>
            <w:shd w:val="clear" w:color="auto" w:fill="auto"/>
            <w:noWrap/>
            <w:hideMark/>
          </w:tcPr>
          <w:p w:rsidR="001C5EB6" w:rsidRPr="00116FC1" w:rsidRDefault="001C5EB6"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207-Nabavna vrednost opreme in drugih opredmetenih osnovnih sredstev </w:t>
            </w:r>
          </w:p>
        </w:tc>
        <w:tc>
          <w:tcPr>
            <w:tcW w:w="846" w:type="pct"/>
            <w:shd w:val="clear" w:color="auto" w:fill="auto"/>
            <w:noWrap/>
            <w:vAlign w:val="bottom"/>
            <w:hideMark/>
          </w:tcPr>
          <w:p w:rsidR="001C5EB6" w:rsidRPr="00972554" w:rsidRDefault="001C5EB6" w:rsidP="00412299">
            <w:pPr>
              <w:spacing w:line="240" w:lineRule="auto"/>
              <w:jc w:val="right"/>
              <w:rPr>
                <w:rFonts w:ascii="Calibri" w:hAnsi="Calibri"/>
                <w:b/>
                <w:bCs/>
                <w:sz w:val="18"/>
                <w:szCs w:val="18"/>
                <w:lang w:eastAsia="sl-SI"/>
              </w:rPr>
            </w:pPr>
            <w:r w:rsidRPr="00972554">
              <w:rPr>
                <w:rFonts w:ascii="Calibri" w:hAnsi="Calibri"/>
                <w:b/>
                <w:sz w:val="18"/>
                <w:szCs w:val="18"/>
              </w:rPr>
              <w:t xml:space="preserve">1.227.448.802 </w:t>
            </w:r>
          </w:p>
        </w:tc>
        <w:tc>
          <w:tcPr>
            <w:tcW w:w="499" w:type="pct"/>
            <w:shd w:val="clear" w:color="auto" w:fill="FFFFFF"/>
            <w:noWrap/>
            <w:vAlign w:val="bottom"/>
            <w:hideMark/>
          </w:tcPr>
          <w:p w:rsidR="001C5EB6" w:rsidRPr="00972554" w:rsidRDefault="001C5EB6" w:rsidP="00116FC1">
            <w:pPr>
              <w:spacing w:line="240" w:lineRule="auto"/>
              <w:jc w:val="right"/>
              <w:rPr>
                <w:rFonts w:ascii="Calibri" w:hAnsi="Calibri"/>
                <w:b/>
                <w:bCs/>
                <w:sz w:val="18"/>
                <w:szCs w:val="18"/>
                <w:lang w:eastAsia="sl-SI"/>
              </w:rPr>
            </w:pPr>
          </w:p>
        </w:tc>
      </w:tr>
      <w:tr w:rsidR="001C5EB6" w:rsidRPr="00972554" w:rsidTr="00972554">
        <w:trPr>
          <w:trHeight w:val="300"/>
        </w:trPr>
        <w:tc>
          <w:tcPr>
            <w:tcW w:w="3655" w:type="pct"/>
            <w:shd w:val="clear" w:color="auto" w:fill="auto"/>
            <w:noWrap/>
            <w:hideMark/>
          </w:tcPr>
          <w:p w:rsidR="001C5EB6" w:rsidRPr="00116FC1"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KNJIŽNICA LJUBLJANA</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26.410.511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2,15</w:t>
            </w:r>
          </w:p>
        </w:tc>
      </w:tr>
      <w:tr w:rsidR="001C5EB6" w:rsidRPr="00972554" w:rsidTr="00972554">
        <w:trPr>
          <w:trHeight w:val="300"/>
        </w:trPr>
        <w:tc>
          <w:tcPr>
            <w:tcW w:w="3655" w:type="pct"/>
            <w:shd w:val="clear" w:color="auto" w:fill="auto"/>
            <w:noWrap/>
            <w:hideMark/>
          </w:tcPr>
          <w:p w:rsidR="001C5EB6" w:rsidRPr="00116FC1"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ZDRAVSTVENI DOM LJUBLJANA</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23.776.519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1,94</w:t>
            </w:r>
          </w:p>
        </w:tc>
      </w:tr>
      <w:tr w:rsidR="001C5EB6" w:rsidRPr="00972554" w:rsidTr="00972554">
        <w:trPr>
          <w:trHeight w:val="300"/>
        </w:trPr>
        <w:tc>
          <w:tcPr>
            <w:tcW w:w="3655" w:type="pct"/>
            <w:shd w:val="clear" w:color="auto" w:fill="auto"/>
            <w:noWrap/>
            <w:hideMark/>
          </w:tcPr>
          <w:p w:rsidR="001C5EB6" w:rsidRPr="00116FC1"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Javni zavod ŠPORT LJUBLJANA</w:t>
            </w:r>
          </w:p>
        </w:tc>
        <w:tc>
          <w:tcPr>
            <w:tcW w:w="846" w:type="pct"/>
            <w:shd w:val="clear" w:color="auto" w:fill="auto"/>
            <w:noWrap/>
            <w:vAlign w:val="bottom"/>
            <w:hideMark/>
          </w:tcPr>
          <w:p w:rsidR="001C5EB6" w:rsidRPr="00972554"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23.641.643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1,93</w:t>
            </w:r>
          </w:p>
        </w:tc>
      </w:tr>
      <w:tr w:rsidR="001C5EB6" w:rsidRPr="00972554" w:rsidTr="00972554">
        <w:trPr>
          <w:trHeight w:val="300"/>
        </w:trPr>
        <w:tc>
          <w:tcPr>
            <w:tcW w:w="3655" w:type="pct"/>
            <w:shd w:val="clear" w:color="auto" w:fill="auto"/>
            <w:noWrap/>
            <w:hideMark/>
          </w:tcPr>
          <w:p w:rsidR="001C5EB6" w:rsidRPr="00116FC1" w:rsidRDefault="001C5EB6"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208-Popravek vrednosti opreme in drugih opredmetenih osnovnih sredstev </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b/>
                <w:bCs/>
                <w:sz w:val="18"/>
                <w:szCs w:val="18"/>
                <w:lang w:eastAsia="sl-SI"/>
              </w:rPr>
            </w:pPr>
            <w:r w:rsidRPr="00972554">
              <w:rPr>
                <w:rFonts w:ascii="Calibri" w:hAnsi="Calibri"/>
                <w:b/>
                <w:sz w:val="18"/>
                <w:szCs w:val="18"/>
              </w:rPr>
              <w:t xml:space="preserve">1.008.870.616 </w:t>
            </w:r>
          </w:p>
        </w:tc>
        <w:tc>
          <w:tcPr>
            <w:tcW w:w="499" w:type="pct"/>
            <w:shd w:val="clear" w:color="auto" w:fill="FFFFFF"/>
            <w:noWrap/>
            <w:vAlign w:val="bottom"/>
            <w:hideMark/>
          </w:tcPr>
          <w:p w:rsidR="001C5EB6" w:rsidRPr="00972554" w:rsidRDefault="001C5EB6" w:rsidP="00116FC1">
            <w:pPr>
              <w:spacing w:line="240" w:lineRule="auto"/>
              <w:jc w:val="right"/>
              <w:rPr>
                <w:rFonts w:ascii="Calibri" w:hAnsi="Calibri"/>
                <w:b/>
                <w:bCs/>
                <w:sz w:val="18"/>
                <w:szCs w:val="18"/>
                <w:lang w:eastAsia="sl-SI"/>
              </w:rPr>
            </w:pPr>
          </w:p>
        </w:tc>
      </w:tr>
      <w:tr w:rsidR="001C5EB6" w:rsidRPr="00972554" w:rsidTr="00972554">
        <w:trPr>
          <w:trHeight w:val="300"/>
        </w:trPr>
        <w:tc>
          <w:tcPr>
            <w:tcW w:w="3655" w:type="pct"/>
            <w:shd w:val="clear" w:color="auto" w:fill="auto"/>
            <w:noWrap/>
            <w:hideMark/>
          </w:tcPr>
          <w:p w:rsidR="001C5EB6" w:rsidRPr="00116FC1"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MESTNA KNJIŽNICA LJUBLJANA</w:t>
            </w:r>
          </w:p>
        </w:tc>
        <w:tc>
          <w:tcPr>
            <w:tcW w:w="846" w:type="pct"/>
            <w:shd w:val="clear" w:color="auto" w:fill="auto"/>
            <w:noWrap/>
            <w:vAlign w:val="bottom"/>
            <w:hideMark/>
          </w:tcPr>
          <w:p w:rsidR="001C5EB6" w:rsidRPr="00972554"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25.714.912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2,55</w:t>
            </w:r>
          </w:p>
        </w:tc>
      </w:tr>
      <w:tr w:rsidR="001C5EB6" w:rsidRPr="00972554" w:rsidTr="00972554">
        <w:trPr>
          <w:trHeight w:val="300"/>
        </w:trPr>
        <w:tc>
          <w:tcPr>
            <w:tcW w:w="3655" w:type="pct"/>
            <w:shd w:val="clear" w:color="auto" w:fill="auto"/>
            <w:noWrap/>
            <w:hideMark/>
          </w:tcPr>
          <w:p w:rsidR="001C5EB6" w:rsidRPr="00116FC1"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ZDRAVSTVENI DOM LJUBLJANA</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20.346.923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2,02</w:t>
            </w:r>
          </w:p>
        </w:tc>
      </w:tr>
      <w:tr w:rsidR="001C5EB6" w:rsidRPr="00972554" w:rsidTr="00972554">
        <w:trPr>
          <w:trHeight w:val="300"/>
        </w:trPr>
        <w:tc>
          <w:tcPr>
            <w:tcW w:w="3655" w:type="pct"/>
            <w:shd w:val="clear" w:color="auto" w:fill="auto"/>
            <w:noWrap/>
            <w:hideMark/>
          </w:tcPr>
          <w:p w:rsidR="001C5EB6" w:rsidRPr="00116FC1"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Javni zavod ŠPORT LJUBLJANA</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17.912.669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1,78</w:t>
            </w:r>
          </w:p>
        </w:tc>
      </w:tr>
      <w:tr w:rsidR="001C5EB6" w:rsidRPr="00972554" w:rsidTr="00972554">
        <w:trPr>
          <w:trHeight w:val="300"/>
        </w:trPr>
        <w:tc>
          <w:tcPr>
            <w:tcW w:w="3655" w:type="pct"/>
            <w:shd w:val="clear" w:color="auto" w:fill="auto"/>
            <w:noWrap/>
            <w:hideMark/>
          </w:tcPr>
          <w:p w:rsidR="001C5EB6" w:rsidRPr="00116FC1" w:rsidRDefault="001C5EB6"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209-Zaloge </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b/>
                <w:bCs/>
                <w:sz w:val="18"/>
                <w:szCs w:val="18"/>
                <w:lang w:eastAsia="sl-SI"/>
              </w:rPr>
            </w:pPr>
            <w:r w:rsidRPr="00972554">
              <w:rPr>
                <w:rFonts w:ascii="Calibri" w:hAnsi="Calibri"/>
                <w:b/>
                <w:sz w:val="18"/>
                <w:szCs w:val="18"/>
              </w:rPr>
              <w:t xml:space="preserve">41.477.826 </w:t>
            </w:r>
          </w:p>
        </w:tc>
        <w:tc>
          <w:tcPr>
            <w:tcW w:w="499" w:type="pct"/>
            <w:shd w:val="clear" w:color="auto" w:fill="FFFFFF"/>
            <w:noWrap/>
            <w:vAlign w:val="bottom"/>
            <w:hideMark/>
          </w:tcPr>
          <w:p w:rsidR="001C5EB6" w:rsidRPr="00972554" w:rsidRDefault="001C5EB6" w:rsidP="00116FC1">
            <w:pPr>
              <w:spacing w:line="240" w:lineRule="auto"/>
              <w:jc w:val="right"/>
              <w:rPr>
                <w:rFonts w:ascii="Calibri" w:hAnsi="Calibri"/>
                <w:b/>
                <w:bCs/>
                <w:sz w:val="18"/>
                <w:szCs w:val="18"/>
                <w:lang w:eastAsia="sl-SI"/>
              </w:rPr>
            </w:pPr>
          </w:p>
        </w:tc>
      </w:tr>
      <w:tr w:rsidR="001C5EB6" w:rsidRPr="00972554" w:rsidTr="00972554">
        <w:trPr>
          <w:trHeight w:val="300"/>
        </w:trPr>
        <w:tc>
          <w:tcPr>
            <w:tcW w:w="3655" w:type="pct"/>
            <w:shd w:val="clear" w:color="auto" w:fill="auto"/>
            <w:noWrap/>
            <w:hideMark/>
          </w:tcPr>
          <w:p w:rsidR="001C5EB6" w:rsidRPr="00116FC1"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JAVNI ZAVOD LEKARNA LJUBLJANA</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10.754.099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25,93</w:t>
            </w:r>
          </w:p>
        </w:tc>
      </w:tr>
      <w:tr w:rsidR="001C5EB6" w:rsidRPr="00972554" w:rsidTr="00972554">
        <w:trPr>
          <w:trHeight w:val="300"/>
        </w:trPr>
        <w:tc>
          <w:tcPr>
            <w:tcW w:w="3655" w:type="pct"/>
            <w:shd w:val="clear" w:color="auto" w:fill="auto"/>
            <w:noWrap/>
            <w:hideMark/>
          </w:tcPr>
          <w:p w:rsidR="001C5EB6" w:rsidRPr="00116FC1"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JAVNI ZDRAVSTVENI ZAVOD MARIBORSKE LEKARNE MARIBOR</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3.922.882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9,46</w:t>
            </w:r>
          </w:p>
        </w:tc>
      </w:tr>
      <w:tr w:rsidR="001C5EB6" w:rsidRPr="00972554" w:rsidTr="00972554">
        <w:trPr>
          <w:trHeight w:val="300"/>
        </w:trPr>
        <w:tc>
          <w:tcPr>
            <w:tcW w:w="3655" w:type="pct"/>
            <w:shd w:val="clear" w:color="auto" w:fill="auto"/>
            <w:noWrap/>
            <w:hideMark/>
          </w:tcPr>
          <w:p w:rsidR="001C5EB6" w:rsidRPr="00116FC1"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GORENJSKE LEKARNE</w:t>
            </w:r>
          </w:p>
        </w:tc>
        <w:tc>
          <w:tcPr>
            <w:tcW w:w="846" w:type="pct"/>
            <w:shd w:val="clear" w:color="auto" w:fill="auto"/>
            <w:noWrap/>
            <w:vAlign w:val="bottom"/>
            <w:hideMark/>
          </w:tcPr>
          <w:p w:rsidR="001C5EB6" w:rsidRPr="00972554"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3.384.786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8,16</w:t>
            </w:r>
          </w:p>
        </w:tc>
      </w:tr>
      <w:tr w:rsidR="001C5EB6" w:rsidRPr="00972554" w:rsidTr="00972554">
        <w:trPr>
          <w:trHeight w:val="300"/>
        </w:trPr>
        <w:tc>
          <w:tcPr>
            <w:tcW w:w="3655" w:type="pct"/>
            <w:shd w:val="clear" w:color="auto" w:fill="auto"/>
            <w:noWrap/>
            <w:hideMark/>
          </w:tcPr>
          <w:p w:rsidR="001C5EB6" w:rsidRPr="00116FC1" w:rsidRDefault="001C5EB6"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210-Dolgoročne finančne naložbe </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b/>
                <w:bCs/>
                <w:sz w:val="18"/>
                <w:szCs w:val="18"/>
                <w:lang w:eastAsia="sl-SI"/>
              </w:rPr>
            </w:pPr>
            <w:r w:rsidRPr="00972554">
              <w:rPr>
                <w:rFonts w:ascii="Calibri" w:hAnsi="Calibri"/>
                <w:b/>
                <w:sz w:val="18"/>
                <w:szCs w:val="18"/>
              </w:rPr>
              <w:t xml:space="preserve">8.602.326 </w:t>
            </w:r>
          </w:p>
        </w:tc>
        <w:tc>
          <w:tcPr>
            <w:tcW w:w="499" w:type="pct"/>
            <w:shd w:val="clear" w:color="auto" w:fill="FFFFFF"/>
            <w:noWrap/>
            <w:vAlign w:val="bottom"/>
            <w:hideMark/>
          </w:tcPr>
          <w:p w:rsidR="001C5EB6" w:rsidRPr="00972554" w:rsidRDefault="001C5EB6" w:rsidP="00116FC1">
            <w:pPr>
              <w:spacing w:line="240" w:lineRule="auto"/>
              <w:jc w:val="right"/>
              <w:rPr>
                <w:rFonts w:ascii="Calibri" w:hAnsi="Calibri"/>
                <w:b/>
                <w:bCs/>
                <w:sz w:val="18"/>
                <w:szCs w:val="18"/>
                <w:lang w:eastAsia="sl-SI"/>
              </w:rPr>
            </w:pPr>
          </w:p>
        </w:tc>
      </w:tr>
      <w:tr w:rsidR="001C5EB6" w:rsidRPr="00972554" w:rsidTr="00972554">
        <w:trPr>
          <w:trHeight w:val="300"/>
        </w:trPr>
        <w:tc>
          <w:tcPr>
            <w:tcW w:w="3655" w:type="pct"/>
            <w:shd w:val="clear" w:color="auto" w:fill="auto"/>
            <w:noWrap/>
            <w:hideMark/>
          </w:tcPr>
          <w:p w:rsidR="001C5EB6" w:rsidRPr="00116FC1"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JAVNI ZAVOD LEKARNA LJUBLJANA</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7.334.164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85,26</w:t>
            </w:r>
          </w:p>
        </w:tc>
      </w:tr>
      <w:tr w:rsidR="001C5EB6" w:rsidRPr="00972554" w:rsidTr="00972554">
        <w:trPr>
          <w:trHeight w:val="300"/>
        </w:trPr>
        <w:tc>
          <w:tcPr>
            <w:tcW w:w="3655" w:type="pct"/>
            <w:shd w:val="clear" w:color="auto" w:fill="auto"/>
            <w:noWrap/>
            <w:hideMark/>
          </w:tcPr>
          <w:p w:rsidR="001C5EB6" w:rsidRPr="00972554"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JAVNI ZDRAVSTVENI ZAVOD MARIBORSKE LEKARNE MARIBOR</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637.707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7,41</w:t>
            </w:r>
          </w:p>
        </w:tc>
      </w:tr>
      <w:tr w:rsidR="001C5EB6" w:rsidRPr="00972554" w:rsidTr="00972554">
        <w:trPr>
          <w:trHeight w:val="300"/>
        </w:trPr>
        <w:tc>
          <w:tcPr>
            <w:tcW w:w="3655" w:type="pct"/>
            <w:shd w:val="clear" w:color="auto" w:fill="auto"/>
            <w:noWrap/>
            <w:hideMark/>
          </w:tcPr>
          <w:p w:rsidR="001C5EB6" w:rsidRPr="00116FC1"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REGIJSKO VIŠJEŠOLSKO IN VISOKOŠOLSKO SREDIŠČE PTUJ</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181.393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2,11</w:t>
            </w:r>
          </w:p>
        </w:tc>
      </w:tr>
      <w:tr w:rsidR="001C5EB6" w:rsidRPr="00972554" w:rsidTr="00972554">
        <w:trPr>
          <w:trHeight w:val="300"/>
        </w:trPr>
        <w:tc>
          <w:tcPr>
            <w:tcW w:w="3655" w:type="pct"/>
            <w:shd w:val="clear" w:color="auto" w:fill="auto"/>
            <w:noWrap/>
            <w:hideMark/>
          </w:tcPr>
          <w:p w:rsidR="001C5EB6" w:rsidRPr="00972554" w:rsidRDefault="001C5EB6"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211-Dolgoročno dana posojila in depoziti </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b/>
                <w:bCs/>
                <w:sz w:val="18"/>
                <w:szCs w:val="18"/>
                <w:lang w:eastAsia="sl-SI"/>
              </w:rPr>
            </w:pPr>
            <w:r w:rsidRPr="00972554">
              <w:rPr>
                <w:rFonts w:ascii="Calibri" w:hAnsi="Calibri"/>
                <w:b/>
                <w:sz w:val="18"/>
                <w:szCs w:val="18"/>
              </w:rPr>
              <w:t xml:space="preserve">8.004.938 </w:t>
            </w:r>
          </w:p>
        </w:tc>
        <w:tc>
          <w:tcPr>
            <w:tcW w:w="499" w:type="pct"/>
            <w:shd w:val="clear" w:color="auto" w:fill="FFFFFF"/>
            <w:noWrap/>
            <w:vAlign w:val="bottom"/>
            <w:hideMark/>
          </w:tcPr>
          <w:p w:rsidR="001C5EB6" w:rsidRPr="00972554" w:rsidRDefault="001C5EB6" w:rsidP="00116FC1">
            <w:pPr>
              <w:spacing w:line="240" w:lineRule="auto"/>
              <w:jc w:val="right"/>
              <w:rPr>
                <w:rFonts w:ascii="Calibri" w:hAnsi="Calibri"/>
                <w:b/>
                <w:bCs/>
                <w:sz w:val="18"/>
                <w:szCs w:val="18"/>
                <w:lang w:eastAsia="sl-SI"/>
              </w:rPr>
            </w:pPr>
          </w:p>
        </w:tc>
      </w:tr>
      <w:tr w:rsidR="001C5EB6" w:rsidRPr="00972554" w:rsidTr="00972554">
        <w:trPr>
          <w:trHeight w:val="300"/>
        </w:trPr>
        <w:tc>
          <w:tcPr>
            <w:tcW w:w="3655" w:type="pct"/>
            <w:shd w:val="clear" w:color="auto" w:fill="auto"/>
            <w:noWrap/>
            <w:hideMark/>
          </w:tcPr>
          <w:p w:rsidR="001C5EB6" w:rsidRPr="00116FC1"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JAVNI SKLAD MALEGA GOSPODARSTVA GORIŠKE - sklad za finančne vzpodbude razvoja</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4.977.640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62,18</w:t>
            </w:r>
          </w:p>
        </w:tc>
      </w:tr>
      <w:tr w:rsidR="001C5EB6" w:rsidRPr="00972554" w:rsidTr="00972554">
        <w:trPr>
          <w:trHeight w:val="300"/>
        </w:trPr>
        <w:tc>
          <w:tcPr>
            <w:tcW w:w="3655" w:type="pct"/>
            <w:shd w:val="clear" w:color="auto" w:fill="auto"/>
            <w:noWrap/>
            <w:hideMark/>
          </w:tcPr>
          <w:p w:rsidR="001C5EB6" w:rsidRPr="00116FC1"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JAVNI ZDRAVSTVENI ZAVOD MARIBORSKE LEKARNE MARIBOR</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1.857.068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23,20</w:t>
            </w:r>
          </w:p>
        </w:tc>
      </w:tr>
      <w:tr w:rsidR="001C5EB6" w:rsidRPr="00972554" w:rsidTr="00972554">
        <w:trPr>
          <w:trHeight w:val="300"/>
        </w:trPr>
        <w:tc>
          <w:tcPr>
            <w:tcW w:w="3655" w:type="pct"/>
            <w:shd w:val="clear" w:color="auto" w:fill="auto"/>
            <w:noWrap/>
            <w:hideMark/>
          </w:tcPr>
          <w:p w:rsidR="001C5EB6" w:rsidRPr="00116FC1"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OBALNE LEKARNE KOPER FARMACIE COSTIERE CAPODISTRIA</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600.000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7,50</w:t>
            </w:r>
          </w:p>
        </w:tc>
      </w:tr>
      <w:tr w:rsidR="001C5EB6" w:rsidRPr="00972554" w:rsidTr="00972554">
        <w:trPr>
          <w:trHeight w:val="300"/>
        </w:trPr>
        <w:tc>
          <w:tcPr>
            <w:tcW w:w="3655" w:type="pct"/>
            <w:shd w:val="clear" w:color="auto" w:fill="auto"/>
            <w:noWrap/>
            <w:hideMark/>
          </w:tcPr>
          <w:p w:rsidR="001C5EB6" w:rsidRPr="00116FC1" w:rsidRDefault="001C5EB6"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212-Dolgoročne terjatve iz poslovanja </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b/>
                <w:bCs/>
                <w:sz w:val="18"/>
                <w:szCs w:val="18"/>
                <w:lang w:eastAsia="sl-SI"/>
              </w:rPr>
            </w:pPr>
            <w:r w:rsidRPr="00972554">
              <w:rPr>
                <w:rFonts w:ascii="Calibri" w:hAnsi="Calibri"/>
                <w:b/>
                <w:sz w:val="18"/>
                <w:szCs w:val="18"/>
              </w:rPr>
              <w:t xml:space="preserve">3.975.554 </w:t>
            </w:r>
          </w:p>
        </w:tc>
        <w:tc>
          <w:tcPr>
            <w:tcW w:w="499" w:type="pct"/>
            <w:shd w:val="clear" w:color="auto" w:fill="FFFFFF"/>
            <w:noWrap/>
            <w:vAlign w:val="bottom"/>
            <w:hideMark/>
          </w:tcPr>
          <w:p w:rsidR="001C5EB6" w:rsidRPr="00972554" w:rsidRDefault="001C5EB6" w:rsidP="00116FC1">
            <w:pPr>
              <w:spacing w:line="240" w:lineRule="auto"/>
              <w:jc w:val="right"/>
              <w:rPr>
                <w:rFonts w:ascii="Calibri" w:hAnsi="Calibri"/>
                <w:b/>
                <w:bCs/>
                <w:sz w:val="18"/>
                <w:szCs w:val="18"/>
                <w:lang w:eastAsia="sl-SI"/>
              </w:rPr>
            </w:pPr>
          </w:p>
        </w:tc>
      </w:tr>
      <w:tr w:rsidR="001C5EB6" w:rsidRPr="00972554" w:rsidTr="00972554">
        <w:trPr>
          <w:trHeight w:val="300"/>
        </w:trPr>
        <w:tc>
          <w:tcPr>
            <w:tcW w:w="3655" w:type="pct"/>
            <w:shd w:val="clear" w:color="auto" w:fill="auto"/>
            <w:noWrap/>
            <w:hideMark/>
          </w:tcPr>
          <w:p w:rsidR="001C5EB6" w:rsidRPr="00116FC1"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JAVNI ZAVOD GASILSKA BRIGADA KOPER ENTE PUBBLICO VIGILI DEL FUOCO, CAPODISTRIA</w:t>
            </w:r>
          </w:p>
        </w:tc>
        <w:tc>
          <w:tcPr>
            <w:tcW w:w="846" w:type="pct"/>
            <w:shd w:val="clear" w:color="auto" w:fill="auto"/>
            <w:noWrap/>
            <w:vAlign w:val="bottom"/>
            <w:hideMark/>
          </w:tcPr>
          <w:p w:rsidR="001C5EB6" w:rsidRPr="00972554"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1.457.326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36,66</w:t>
            </w:r>
          </w:p>
        </w:tc>
      </w:tr>
      <w:tr w:rsidR="001C5EB6" w:rsidRPr="00972554" w:rsidTr="00972554">
        <w:trPr>
          <w:trHeight w:val="300"/>
        </w:trPr>
        <w:tc>
          <w:tcPr>
            <w:tcW w:w="3655" w:type="pct"/>
            <w:shd w:val="clear" w:color="auto" w:fill="auto"/>
            <w:noWrap/>
            <w:hideMark/>
          </w:tcPr>
          <w:p w:rsidR="001C5EB6" w:rsidRPr="00116FC1"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Center za idrijsko dediščino, Idrija</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897.284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22,57</w:t>
            </w:r>
          </w:p>
        </w:tc>
      </w:tr>
      <w:tr w:rsidR="001C5EB6" w:rsidRPr="00972554" w:rsidTr="00972554">
        <w:trPr>
          <w:trHeight w:val="300"/>
        </w:trPr>
        <w:tc>
          <w:tcPr>
            <w:tcW w:w="3655" w:type="pct"/>
            <w:shd w:val="clear" w:color="auto" w:fill="auto"/>
            <w:noWrap/>
            <w:hideMark/>
          </w:tcPr>
          <w:p w:rsidR="001C5EB6" w:rsidRPr="00116FC1"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UPI Ljudska univerza Žalec</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495.532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12,46</w:t>
            </w:r>
          </w:p>
        </w:tc>
      </w:tr>
      <w:tr w:rsidR="001C5EB6" w:rsidRPr="00972554" w:rsidTr="00972554">
        <w:trPr>
          <w:trHeight w:val="300"/>
        </w:trPr>
        <w:tc>
          <w:tcPr>
            <w:tcW w:w="3655" w:type="pct"/>
            <w:shd w:val="clear" w:color="auto" w:fill="auto"/>
            <w:noWrap/>
            <w:hideMark/>
          </w:tcPr>
          <w:p w:rsidR="001C5EB6" w:rsidRPr="00116FC1" w:rsidRDefault="001C5EB6"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213-Denarna sredstva </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b/>
                <w:bCs/>
                <w:sz w:val="18"/>
                <w:szCs w:val="18"/>
                <w:lang w:eastAsia="sl-SI"/>
              </w:rPr>
            </w:pPr>
            <w:r w:rsidRPr="00972554">
              <w:rPr>
                <w:rFonts w:ascii="Calibri" w:hAnsi="Calibri"/>
                <w:b/>
                <w:sz w:val="18"/>
                <w:szCs w:val="18"/>
              </w:rPr>
              <w:t xml:space="preserve">20.247.480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b/>
                <w:bCs/>
                <w:sz w:val="18"/>
                <w:szCs w:val="18"/>
                <w:lang w:eastAsia="sl-SI"/>
              </w:rPr>
            </w:pPr>
          </w:p>
        </w:tc>
      </w:tr>
      <w:tr w:rsidR="001C5EB6" w:rsidRPr="00972554" w:rsidTr="00972554">
        <w:trPr>
          <w:trHeight w:val="300"/>
        </w:trPr>
        <w:tc>
          <w:tcPr>
            <w:tcW w:w="3655" w:type="pct"/>
            <w:shd w:val="clear" w:color="auto" w:fill="auto"/>
            <w:noWrap/>
            <w:hideMark/>
          </w:tcPr>
          <w:p w:rsidR="001C5EB6" w:rsidRPr="00116FC1"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ZDRAVSTVENI DOM Osnovno varstvo Nova Gorica</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5.110.238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25,24</w:t>
            </w:r>
          </w:p>
        </w:tc>
      </w:tr>
      <w:tr w:rsidR="001C5EB6" w:rsidRPr="00972554" w:rsidTr="00972554">
        <w:trPr>
          <w:trHeight w:val="300"/>
        </w:trPr>
        <w:tc>
          <w:tcPr>
            <w:tcW w:w="3655" w:type="pct"/>
            <w:shd w:val="clear" w:color="auto" w:fill="auto"/>
            <w:noWrap/>
            <w:hideMark/>
          </w:tcPr>
          <w:p w:rsidR="001C5EB6" w:rsidRPr="00116FC1"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JAVNI MEDOBČINSKI STANOVANJSKI SKLAD MARIBOR</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2.445.462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12,08</w:t>
            </w:r>
          </w:p>
        </w:tc>
      </w:tr>
      <w:tr w:rsidR="001C5EB6" w:rsidRPr="00972554" w:rsidTr="00972554">
        <w:trPr>
          <w:trHeight w:val="300"/>
        </w:trPr>
        <w:tc>
          <w:tcPr>
            <w:tcW w:w="3655" w:type="pct"/>
            <w:shd w:val="clear" w:color="auto" w:fill="auto"/>
            <w:noWrap/>
            <w:hideMark/>
          </w:tcPr>
          <w:p w:rsidR="001C5EB6" w:rsidRPr="00116FC1"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JAVNI ZDRAVSTVENI ZAVOD MARIBORSKE LEKARNE MARIBOR</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1.456.461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7,19</w:t>
            </w:r>
          </w:p>
        </w:tc>
      </w:tr>
      <w:tr w:rsidR="001C5EB6" w:rsidRPr="00972554" w:rsidTr="00972554">
        <w:trPr>
          <w:trHeight w:val="300"/>
        </w:trPr>
        <w:tc>
          <w:tcPr>
            <w:tcW w:w="3655" w:type="pct"/>
            <w:shd w:val="clear" w:color="auto" w:fill="auto"/>
            <w:noWrap/>
            <w:hideMark/>
          </w:tcPr>
          <w:p w:rsidR="001C5EB6" w:rsidRPr="00116FC1" w:rsidRDefault="001C5EB6"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214-Kratkoročne terjatve </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b/>
                <w:bCs/>
                <w:sz w:val="18"/>
                <w:szCs w:val="18"/>
                <w:lang w:eastAsia="sl-SI"/>
              </w:rPr>
            </w:pPr>
            <w:r w:rsidRPr="00972554">
              <w:rPr>
                <w:rFonts w:ascii="Calibri" w:hAnsi="Calibri"/>
                <w:b/>
                <w:sz w:val="18"/>
                <w:szCs w:val="18"/>
              </w:rPr>
              <w:t xml:space="preserve">130.531.915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b/>
                <w:bCs/>
                <w:sz w:val="18"/>
                <w:szCs w:val="18"/>
                <w:lang w:eastAsia="sl-SI"/>
              </w:rPr>
            </w:pPr>
          </w:p>
        </w:tc>
      </w:tr>
      <w:tr w:rsidR="001C5EB6" w:rsidRPr="00972554" w:rsidTr="00972554">
        <w:trPr>
          <w:trHeight w:val="300"/>
        </w:trPr>
        <w:tc>
          <w:tcPr>
            <w:tcW w:w="3655" w:type="pct"/>
            <w:shd w:val="clear" w:color="auto" w:fill="auto"/>
            <w:noWrap/>
            <w:hideMark/>
          </w:tcPr>
          <w:p w:rsidR="001C5EB6" w:rsidRPr="00116FC1"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OSNOVNO ZDRAVSTVO GORENJSKE</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9.534.548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7,30</w:t>
            </w:r>
          </w:p>
        </w:tc>
      </w:tr>
      <w:tr w:rsidR="001C5EB6" w:rsidRPr="00972554" w:rsidTr="00972554">
        <w:trPr>
          <w:trHeight w:val="300"/>
        </w:trPr>
        <w:tc>
          <w:tcPr>
            <w:tcW w:w="3655" w:type="pct"/>
            <w:shd w:val="clear" w:color="auto" w:fill="auto"/>
            <w:noWrap/>
            <w:hideMark/>
          </w:tcPr>
          <w:p w:rsidR="001C5EB6" w:rsidRPr="00116FC1"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ZDRAVSTVENI DOM LJUBLJANA</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5.722.191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4,38</w:t>
            </w:r>
          </w:p>
        </w:tc>
      </w:tr>
      <w:tr w:rsidR="001C5EB6" w:rsidRPr="00972554" w:rsidTr="00972554">
        <w:trPr>
          <w:trHeight w:val="300"/>
        </w:trPr>
        <w:tc>
          <w:tcPr>
            <w:tcW w:w="3655" w:type="pct"/>
            <w:shd w:val="clear" w:color="auto" w:fill="auto"/>
            <w:noWrap/>
            <w:hideMark/>
          </w:tcPr>
          <w:p w:rsidR="001C5EB6" w:rsidRPr="00116FC1"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JAVNI STANOVANJSKI SKLAD MESTNE OBČINE LJUBLJANA</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5.073.490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3,89</w:t>
            </w:r>
          </w:p>
        </w:tc>
      </w:tr>
      <w:tr w:rsidR="001C5EB6" w:rsidRPr="00972554" w:rsidTr="00972554">
        <w:trPr>
          <w:trHeight w:val="300"/>
        </w:trPr>
        <w:tc>
          <w:tcPr>
            <w:tcW w:w="3655" w:type="pct"/>
            <w:shd w:val="clear" w:color="auto" w:fill="auto"/>
            <w:noWrap/>
            <w:hideMark/>
          </w:tcPr>
          <w:p w:rsidR="001C5EB6" w:rsidRPr="00116FC1" w:rsidRDefault="001C5EB6"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215-Druge terjatve </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b/>
                <w:bCs/>
                <w:sz w:val="18"/>
                <w:szCs w:val="18"/>
                <w:lang w:eastAsia="sl-SI"/>
              </w:rPr>
            </w:pPr>
            <w:r w:rsidRPr="00972554">
              <w:rPr>
                <w:rFonts w:ascii="Calibri" w:hAnsi="Calibri"/>
                <w:b/>
                <w:sz w:val="18"/>
                <w:szCs w:val="18"/>
              </w:rPr>
              <w:t xml:space="preserve">133.048.977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b/>
                <w:bCs/>
                <w:sz w:val="18"/>
                <w:szCs w:val="18"/>
                <w:lang w:eastAsia="sl-SI"/>
              </w:rPr>
            </w:pPr>
          </w:p>
        </w:tc>
      </w:tr>
      <w:tr w:rsidR="001C5EB6" w:rsidRPr="00972554" w:rsidTr="00972554">
        <w:trPr>
          <w:trHeight w:val="300"/>
        </w:trPr>
        <w:tc>
          <w:tcPr>
            <w:tcW w:w="3655" w:type="pct"/>
            <w:shd w:val="clear" w:color="auto" w:fill="auto"/>
            <w:noWrap/>
            <w:hideMark/>
          </w:tcPr>
          <w:p w:rsidR="001C5EB6" w:rsidRPr="00116FC1"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JAVNI ZAVOD LEKARNA LJUBLJANA</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9.685.735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7,28</w:t>
            </w:r>
          </w:p>
        </w:tc>
      </w:tr>
      <w:tr w:rsidR="001C5EB6" w:rsidRPr="00972554" w:rsidTr="00972554">
        <w:trPr>
          <w:trHeight w:val="300"/>
        </w:trPr>
        <w:tc>
          <w:tcPr>
            <w:tcW w:w="3655" w:type="pct"/>
            <w:shd w:val="clear" w:color="auto" w:fill="auto"/>
            <w:noWrap/>
            <w:hideMark/>
          </w:tcPr>
          <w:p w:rsidR="001C5EB6" w:rsidRPr="00116FC1"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JAVNI ZDRAVSTVENI ZAVOD MARIBORSKE LEKARNE MARIBOR</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3.124.547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2,35</w:t>
            </w:r>
          </w:p>
        </w:tc>
      </w:tr>
      <w:tr w:rsidR="001C5EB6" w:rsidRPr="00972554" w:rsidTr="00972554">
        <w:trPr>
          <w:trHeight w:val="300"/>
        </w:trPr>
        <w:tc>
          <w:tcPr>
            <w:tcW w:w="3655" w:type="pct"/>
            <w:shd w:val="clear" w:color="auto" w:fill="auto"/>
            <w:noWrap/>
            <w:hideMark/>
          </w:tcPr>
          <w:p w:rsidR="001C5EB6" w:rsidRPr="00116FC1"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JAVNI ZAVOD MESTNE LEKARNE</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2.797.735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2,10</w:t>
            </w:r>
          </w:p>
        </w:tc>
      </w:tr>
      <w:tr w:rsidR="001C5EB6" w:rsidRPr="00972554" w:rsidTr="00972554">
        <w:trPr>
          <w:trHeight w:val="300"/>
        </w:trPr>
        <w:tc>
          <w:tcPr>
            <w:tcW w:w="3655" w:type="pct"/>
            <w:shd w:val="clear" w:color="auto" w:fill="92D050"/>
            <w:noWrap/>
            <w:hideMark/>
          </w:tcPr>
          <w:p w:rsidR="001C5EB6" w:rsidRPr="00116FC1" w:rsidRDefault="001C5EB6" w:rsidP="00F454FD">
            <w:pPr>
              <w:spacing w:line="240" w:lineRule="auto"/>
              <w:jc w:val="left"/>
              <w:rPr>
                <w:rFonts w:ascii="Calibri" w:hAnsi="Calibri"/>
                <w:b/>
                <w:bCs/>
                <w:i/>
                <w:sz w:val="18"/>
                <w:szCs w:val="18"/>
                <w:lang w:eastAsia="sl-SI"/>
              </w:rPr>
            </w:pPr>
            <w:r w:rsidRPr="00972554">
              <w:rPr>
                <w:rFonts w:ascii="Calibri" w:hAnsi="Calibri"/>
                <w:b/>
                <w:sz w:val="18"/>
                <w:szCs w:val="18"/>
              </w:rPr>
              <w:t xml:space="preserve">216-Skupaj aktiva </w:t>
            </w:r>
          </w:p>
        </w:tc>
        <w:tc>
          <w:tcPr>
            <w:tcW w:w="846" w:type="pct"/>
            <w:shd w:val="clear" w:color="auto" w:fill="92D050"/>
            <w:noWrap/>
            <w:vAlign w:val="bottom"/>
            <w:hideMark/>
          </w:tcPr>
          <w:p w:rsidR="001C5EB6" w:rsidRPr="00116FC1" w:rsidRDefault="001C5EB6" w:rsidP="00412299">
            <w:pPr>
              <w:spacing w:line="240" w:lineRule="auto"/>
              <w:jc w:val="right"/>
              <w:rPr>
                <w:rFonts w:ascii="Calibri" w:hAnsi="Calibri"/>
                <w:b/>
                <w:bCs/>
                <w:i/>
                <w:sz w:val="18"/>
                <w:szCs w:val="18"/>
                <w:lang w:eastAsia="sl-SI"/>
              </w:rPr>
            </w:pPr>
            <w:r w:rsidRPr="00972554">
              <w:rPr>
                <w:rFonts w:ascii="Calibri" w:hAnsi="Calibri"/>
                <w:b/>
                <w:sz w:val="18"/>
                <w:szCs w:val="18"/>
              </w:rPr>
              <w:t xml:space="preserve">3.385.635.976 </w:t>
            </w:r>
          </w:p>
        </w:tc>
        <w:tc>
          <w:tcPr>
            <w:tcW w:w="499" w:type="pct"/>
            <w:shd w:val="clear" w:color="auto" w:fill="92D050"/>
            <w:noWrap/>
            <w:vAlign w:val="bottom"/>
            <w:hideMark/>
          </w:tcPr>
          <w:p w:rsidR="001C5EB6" w:rsidRPr="00116FC1" w:rsidRDefault="001C5EB6" w:rsidP="00116FC1">
            <w:pPr>
              <w:spacing w:line="240" w:lineRule="auto"/>
              <w:jc w:val="right"/>
              <w:rPr>
                <w:rFonts w:ascii="Calibri" w:hAnsi="Calibri"/>
                <w:b/>
                <w:bCs/>
                <w:i/>
                <w:sz w:val="18"/>
                <w:szCs w:val="18"/>
                <w:lang w:eastAsia="sl-SI"/>
              </w:rPr>
            </w:pPr>
          </w:p>
        </w:tc>
      </w:tr>
      <w:tr w:rsidR="001C5EB6" w:rsidRPr="00972554" w:rsidTr="00972554">
        <w:trPr>
          <w:trHeight w:val="300"/>
        </w:trPr>
        <w:tc>
          <w:tcPr>
            <w:tcW w:w="3655" w:type="pct"/>
            <w:shd w:val="clear" w:color="auto" w:fill="auto"/>
            <w:noWrap/>
            <w:hideMark/>
          </w:tcPr>
          <w:p w:rsidR="001C5EB6" w:rsidRPr="00972554"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JAVNI STANOVANJSKI SKLAD MESTNE OBČINE LJUBLJANA</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303.840.367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8,97</w:t>
            </w:r>
          </w:p>
        </w:tc>
      </w:tr>
      <w:tr w:rsidR="001C5EB6" w:rsidRPr="00972554" w:rsidTr="00972554">
        <w:trPr>
          <w:trHeight w:val="300"/>
        </w:trPr>
        <w:tc>
          <w:tcPr>
            <w:tcW w:w="3655" w:type="pct"/>
            <w:shd w:val="clear" w:color="auto" w:fill="auto"/>
            <w:noWrap/>
            <w:hideMark/>
          </w:tcPr>
          <w:p w:rsidR="001C5EB6" w:rsidRPr="00116FC1"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lastRenderedPageBreak/>
              <w:t>Javni zavod ŠPORT LJUBLJANA</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138.653.053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4,10</w:t>
            </w:r>
          </w:p>
        </w:tc>
      </w:tr>
      <w:tr w:rsidR="001C5EB6" w:rsidRPr="00972554" w:rsidTr="00972554">
        <w:trPr>
          <w:trHeight w:val="300"/>
        </w:trPr>
        <w:tc>
          <w:tcPr>
            <w:tcW w:w="3655" w:type="pct"/>
            <w:shd w:val="clear" w:color="auto" w:fill="auto"/>
            <w:noWrap/>
            <w:hideMark/>
          </w:tcPr>
          <w:p w:rsidR="001C5EB6" w:rsidRPr="00116FC1"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JAVNI MEDOBČINSKI STANOVANJSKI SKLAD MARIBOR</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97.275.758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2,87</w:t>
            </w:r>
          </w:p>
        </w:tc>
      </w:tr>
      <w:tr w:rsidR="001C5EB6" w:rsidRPr="00972554" w:rsidTr="00972554">
        <w:trPr>
          <w:trHeight w:val="300"/>
        </w:trPr>
        <w:tc>
          <w:tcPr>
            <w:tcW w:w="3655" w:type="pct"/>
            <w:shd w:val="clear" w:color="auto" w:fill="auto"/>
            <w:noWrap/>
            <w:hideMark/>
          </w:tcPr>
          <w:p w:rsidR="001C5EB6" w:rsidRPr="00116FC1" w:rsidRDefault="001C5EB6"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217-Splošni sklad </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b/>
                <w:bCs/>
                <w:sz w:val="18"/>
                <w:szCs w:val="18"/>
                <w:lang w:eastAsia="sl-SI"/>
              </w:rPr>
            </w:pPr>
            <w:r w:rsidRPr="00972554">
              <w:rPr>
                <w:rFonts w:ascii="Calibri" w:hAnsi="Calibri"/>
                <w:b/>
                <w:sz w:val="18"/>
                <w:szCs w:val="18"/>
              </w:rPr>
              <w:t xml:space="preserve">302.045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b/>
                <w:bCs/>
                <w:sz w:val="18"/>
                <w:szCs w:val="18"/>
                <w:lang w:eastAsia="sl-SI"/>
              </w:rPr>
            </w:pPr>
          </w:p>
        </w:tc>
      </w:tr>
      <w:tr w:rsidR="001C5EB6" w:rsidRPr="00972554" w:rsidTr="00972554">
        <w:trPr>
          <w:trHeight w:val="300"/>
        </w:trPr>
        <w:tc>
          <w:tcPr>
            <w:tcW w:w="3655" w:type="pct"/>
            <w:shd w:val="clear" w:color="auto" w:fill="auto"/>
            <w:noWrap/>
            <w:hideMark/>
          </w:tcPr>
          <w:p w:rsidR="001C5EB6" w:rsidRPr="00972554"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MADŽARSKA SAMOUPRAVNA NARODNA SKUPNOST OBČINE DOBROVNIK DOBRONAK KÖZSEGI MAGYAR ÖNKORMANYZATI NEMZETI KÖZÖSSEG</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301.455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99,80</w:t>
            </w:r>
          </w:p>
        </w:tc>
      </w:tr>
      <w:tr w:rsidR="001C5EB6" w:rsidRPr="00972554" w:rsidTr="00972554">
        <w:trPr>
          <w:trHeight w:val="300"/>
        </w:trPr>
        <w:tc>
          <w:tcPr>
            <w:tcW w:w="3655" w:type="pct"/>
            <w:shd w:val="clear" w:color="auto" w:fill="auto"/>
            <w:noWrap/>
            <w:hideMark/>
          </w:tcPr>
          <w:p w:rsidR="001C5EB6" w:rsidRPr="00116FC1"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OSNOVNA ŠOLA ŠALEK VELENJE</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590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0,20</w:t>
            </w:r>
          </w:p>
        </w:tc>
      </w:tr>
      <w:tr w:rsidR="001C5EB6" w:rsidRPr="00972554" w:rsidTr="00972554">
        <w:trPr>
          <w:trHeight w:val="300"/>
        </w:trPr>
        <w:tc>
          <w:tcPr>
            <w:tcW w:w="3655" w:type="pct"/>
            <w:shd w:val="clear" w:color="auto" w:fill="auto"/>
            <w:noWrap/>
            <w:hideMark/>
          </w:tcPr>
          <w:p w:rsidR="001C5EB6" w:rsidRPr="00116FC1" w:rsidRDefault="001C5EB6"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218-Sklad premoženja v javnih skladih in drugih pravnih osebah javnega prava, ki je v njihovi lasti </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b/>
                <w:bCs/>
                <w:sz w:val="18"/>
                <w:szCs w:val="18"/>
                <w:lang w:eastAsia="sl-SI"/>
              </w:rPr>
            </w:pPr>
            <w:r w:rsidRPr="00972554">
              <w:rPr>
                <w:rFonts w:ascii="Calibri" w:hAnsi="Calibri"/>
                <w:b/>
                <w:sz w:val="18"/>
                <w:szCs w:val="18"/>
              </w:rPr>
              <w:t xml:space="preserve">431.452.350 </w:t>
            </w:r>
          </w:p>
        </w:tc>
        <w:tc>
          <w:tcPr>
            <w:tcW w:w="499" w:type="pct"/>
            <w:shd w:val="clear" w:color="auto" w:fill="FFFFFF"/>
            <w:noWrap/>
            <w:vAlign w:val="bottom"/>
            <w:hideMark/>
          </w:tcPr>
          <w:p w:rsidR="001C5EB6" w:rsidRPr="00412299" w:rsidRDefault="001C5EB6" w:rsidP="00116FC1">
            <w:pPr>
              <w:spacing w:line="240" w:lineRule="auto"/>
              <w:jc w:val="right"/>
              <w:rPr>
                <w:rFonts w:ascii="Calibri" w:hAnsi="Calibri"/>
                <w:b/>
                <w:bCs/>
                <w:sz w:val="18"/>
                <w:szCs w:val="18"/>
                <w:lang w:eastAsia="sl-SI"/>
              </w:rPr>
            </w:pPr>
            <w:r w:rsidRPr="00972554">
              <w:rPr>
                <w:rFonts w:ascii="Calibri" w:hAnsi="Calibri"/>
                <w:b/>
                <w:sz w:val="18"/>
                <w:szCs w:val="18"/>
              </w:rPr>
              <w:t>1,99</w:t>
            </w:r>
          </w:p>
        </w:tc>
      </w:tr>
      <w:tr w:rsidR="001C5EB6" w:rsidRPr="00972554" w:rsidTr="00972554">
        <w:trPr>
          <w:trHeight w:val="300"/>
        </w:trPr>
        <w:tc>
          <w:tcPr>
            <w:tcW w:w="3655" w:type="pct"/>
            <w:shd w:val="clear" w:color="auto" w:fill="auto"/>
            <w:noWrap/>
            <w:hideMark/>
          </w:tcPr>
          <w:p w:rsidR="001C5EB6" w:rsidRPr="00116FC1"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JAVNI STANOVANJSKI SKLAD MESTNE OBČINE LJUBLJANA</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270.691.040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62,74</w:t>
            </w:r>
          </w:p>
        </w:tc>
      </w:tr>
      <w:tr w:rsidR="001C5EB6" w:rsidRPr="00972554" w:rsidTr="00972554">
        <w:trPr>
          <w:trHeight w:val="300"/>
        </w:trPr>
        <w:tc>
          <w:tcPr>
            <w:tcW w:w="3655" w:type="pct"/>
            <w:shd w:val="clear" w:color="auto" w:fill="auto"/>
            <w:noWrap/>
            <w:hideMark/>
          </w:tcPr>
          <w:p w:rsidR="001C5EB6" w:rsidRPr="00116FC1"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JAVNI MEDOBČINSKI STANOVANJSKI SKLAD MARIBOR</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87.179.611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20,21</w:t>
            </w:r>
          </w:p>
        </w:tc>
      </w:tr>
      <w:tr w:rsidR="001C5EB6" w:rsidRPr="00972554" w:rsidTr="00972554">
        <w:trPr>
          <w:trHeight w:val="300"/>
        </w:trPr>
        <w:tc>
          <w:tcPr>
            <w:tcW w:w="3655" w:type="pct"/>
            <w:shd w:val="clear" w:color="auto" w:fill="auto"/>
            <w:noWrap/>
            <w:hideMark/>
          </w:tcPr>
          <w:p w:rsidR="001C5EB6" w:rsidRPr="00116FC1"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JAVNI STANOVANJSKI SKLAD MESTNE OBČINE KOPER FONDO ALLOGGI PUBBLICO DEL COMUNE CITTA DI CAPODISTRIA</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45.256.328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10,49</w:t>
            </w:r>
          </w:p>
        </w:tc>
      </w:tr>
      <w:tr w:rsidR="001C5EB6" w:rsidRPr="00972554" w:rsidTr="00972554">
        <w:trPr>
          <w:trHeight w:val="300"/>
        </w:trPr>
        <w:tc>
          <w:tcPr>
            <w:tcW w:w="3655" w:type="pct"/>
            <w:shd w:val="clear" w:color="auto" w:fill="auto"/>
            <w:noWrap/>
            <w:hideMark/>
          </w:tcPr>
          <w:p w:rsidR="001C5EB6" w:rsidRPr="00116FC1" w:rsidRDefault="001C5EB6"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219-Obveznosti za sredstva prejeta v upravljanje </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b/>
                <w:bCs/>
                <w:sz w:val="18"/>
                <w:szCs w:val="18"/>
                <w:lang w:eastAsia="sl-SI"/>
              </w:rPr>
            </w:pPr>
            <w:r w:rsidRPr="00972554">
              <w:rPr>
                <w:rFonts w:ascii="Calibri" w:hAnsi="Calibri"/>
                <w:b/>
                <w:sz w:val="18"/>
                <w:szCs w:val="18"/>
              </w:rPr>
              <w:t xml:space="preserve">2.659.175.864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b/>
                <w:bCs/>
                <w:sz w:val="18"/>
                <w:szCs w:val="18"/>
                <w:lang w:eastAsia="sl-SI"/>
              </w:rPr>
            </w:pPr>
          </w:p>
        </w:tc>
      </w:tr>
      <w:tr w:rsidR="001C5EB6" w:rsidRPr="00972554" w:rsidTr="00972554">
        <w:trPr>
          <w:trHeight w:val="300"/>
        </w:trPr>
        <w:tc>
          <w:tcPr>
            <w:tcW w:w="3655" w:type="pct"/>
            <w:shd w:val="clear" w:color="auto" w:fill="auto"/>
            <w:noWrap/>
            <w:hideMark/>
          </w:tcPr>
          <w:p w:rsidR="001C5EB6" w:rsidRPr="00116FC1"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Javni zavod ŠPORT LJUBLJANA</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137.250.736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5,16</w:t>
            </w:r>
          </w:p>
        </w:tc>
      </w:tr>
      <w:tr w:rsidR="001C5EB6" w:rsidRPr="00972554" w:rsidTr="00972554">
        <w:trPr>
          <w:trHeight w:val="300"/>
        </w:trPr>
        <w:tc>
          <w:tcPr>
            <w:tcW w:w="3655" w:type="pct"/>
            <w:shd w:val="clear" w:color="auto" w:fill="auto"/>
            <w:noWrap/>
            <w:hideMark/>
          </w:tcPr>
          <w:p w:rsidR="001C5EB6" w:rsidRPr="00116FC1"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JAVNI ZAVOD LEKARNA LJUBLJANA</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49.425.353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1,86</w:t>
            </w:r>
          </w:p>
        </w:tc>
      </w:tr>
      <w:tr w:rsidR="001C5EB6" w:rsidRPr="00972554" w:rsidTr="00972554">
        <w:trPr>
          <w:trHeight w:val="300"/>
        </w:trPr>
        <w:tc>
          <w:tcPr>
            <w:tcW w:w="3655" w:type="pct"/>
            <w:shd w:val="clear" w:color="auto" w:fill="auto"/>
            <w:noWrap/>
            <w:hideMark/>
          </w:tcPr>
          <w:p w:rsidR="001C5EB6" w:rsidRPr="00116FC1"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OSNOVNO ZDRAVSTVO GORENJSKE</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23.443.446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0,88</w:t>
            </w:r>
          </w:p>
        </w:tc>
      </w:tr>
      <w:tr w:rsidR="001C5EB6" w:rsidRPr="00972554" w:rsidTr="00972554">
        <w:trPr>
          <w:trHeight w:val="300"/>
        </w:trPr>
        <w:tc>
          <w:tcPr>
            <w:tcW w:w="3655" w:type="pct"/>
            <w:shd w:val="clear" w:color="auto" w:fill="auto"/>
            <w:noWrap/>
            <w:hideMark/>
          </w:tcPr>
          <w:p w:rsidR="001C5EB6" w:rsidRPr="00116FC1" w:rsidRDefault="001C5EB6"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220-Rezervni sklad </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b/>
                <w:bCs/>
                <w:sz w:val="18"/>
                <w:szCs w:val="18"/>
                <w:lang w:eastAsia="sl-SI"/>
              </w:rPr>
            </w:pPr>
            <w:r w:rsidRPr="00972554">
              <w:rPr>
                <w:rFonts w:ascii="Calibri" w:hAnsi="Calibri"/>
                <w:b/>
                <w:sz w:val="18"/>
                <w:szCs w:val="18"/>
              </w:rPr>
              <w:t xml:space="preserve">1.977.082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b/>
                <w:bCs/>
                <w:sz w:val="18"/>
                <w:szCs w:val="18"/>
                <w:lang w:eastAsia="sl-SI"/>
              </w:rPr>
            </w:pPr>
          </w:p>
        </w:tc>
      </w:tr>
      <w:tr w:rsidR="001C5EB6" w:rsidRPr="00972554" w:rsidTr="00972554">
        <w:trPr>
          <w:trHeight w:val="300"/>
        </w:trPr>
        <w:tc>
          <w:tcPr>
            <w:tcW w:w="3655" w:type="pct"/>
            <w:shd w:val="clear" w:color="auto" w:fill="auto"/>
            <w:noWrap/>
            <w:hideMark/>
          </w:tcPr>
          <w:p w:rsidR="001C5EB6" w:rsidRPr="00116FC1"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JAVNI STANOVANJSKI SKLAD MESTNE OBČINE KOPER FONDO ALLOGGI PUBBLICO DEL COMUNE CITTA DI CAPODISTRIA</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752.438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38,06</w:t>
            </w:r>
          </w:p>
        </w:tc>
      </w:tr>
      <w:tr w:rsidR="001C5EB6" w:rsidRPr="00972554" w:rsidTr="00972554">
        <w:trPr>
          <w:trHeight w:val="300"/>
        </w:trPr>
        <w:tc>
          <w:tcPr>
            <w:tcW w:w="3655" w:type="pct"/>
            <w:shd w:val="clear" w:color="auto" w:fill="auto"/>
            <w:noWrap/>
            <w:hideMark/>
          </w:tcPr>
          <w:p w:rsidR="001C5EB6" w:rsidRPr="00116FC1"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JAVNI MEDOBČINSKI STANOVANJSKI SKLAD MARIBOR</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535.169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27,07</w:t>
            </w:r>
          </w:p>
        </w:tc>
      </w:tr>
      <w:tr w:rsidR="001C5EB6" w:rsidRPr="00972554" w:rsidTr="00972554">
        <w:trPr>
          <w:trHeight w:val="300"/>
        </w:trPr>
        <w:tc>
          <w:tcPr>
            <w:tcW w:w="3655" w:type="pct"/>
            <w:shd w:val="clear" w:color="auto" w:fill="auto"/>
            <w:noWrap/>
            <w:hideMark/>
          </w:tcPr>
          <w:p w:rsidR="001C5EB6" w:rsidRPr="00972554"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JAVNI STANOVANJSKI SKLAD MESTNE OBČINE LJUBLJANA</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477.376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24,15</w:t>
            </w:r>
          </w:p>
        </w:tc>
      </w:tr>
      <w:tr w:rsidR="001C5EB6" w:rsidRPr="00972554" w:rsidTr="00972554">
        <w:trPr>
          <w:trHeight w:val="300"/>
        </w:trPr>
        <w:tc>
          <w:tcPr>
            <w:tcW w:w="3655" w:type="pct"/>
            <w:shd w:val="clear" w:color="auto" w:fill="auto"/>
            <w:noWrap/>
            <w:hideMark/>
          </w:tcPr>
          <w:p w:rsidR="001C5EB6" w:rsidRPr="00116FC1" w:rsidRDefault="001C5EB6"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221-Dolgoročno prejeta posojila </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b/>
                <w:bCs/>
                <w:sz w:val="18"/>
                <w:szCs w:val="18"/>
                <w:lang w:eastAsia="sl-SI"/>
              </w:rPr>
            </w:pPr>
            <w:r w:rsidRPr="00972554">
              <w:rPr>
                <w:rFonts w:ascii="Calibri" w:hAnsi="Calibri"/>
                <w:b/>
                <w:sz w:val="18"/>
                <w:szCs w:val="18"/>
              </w:rPr>
              <w:t xml:space="preserve">22.398.008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b/>
                <w:bCs/>
                <w:sz w:val="18"/>
                <w:szCs w:val="18"/>
                <w:lang w:eastAsia="sl-SI"/>
              </w:rPr>
            </w:pPr>
          </w:p>
        </w:tc>
      </w:tr>
      <w:tr w:rsidR="001C5EB6" w:rsidRPr="00972554" w:rsidTr="00972554">
        <w:trPr>
          <w:trHeight w:val="300"/>
        </w:trPr>
        <w:tc>
          <w:tcPr>
            <w:tcW w:w="3655" w:type="pct"/>
            <w:shd w:val="clear" w:color="auto" w:fill="auto"/>
            <w:noWrap/>
            <w:hideMark/>
          </w:tcPr>
          <w:p w:rsidR="001C5EB6" w:rsidRPr="00116FC1"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JAVNI STANOVANJSKI SKLAD MESTNE OBČINE LJUBLJANA</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13.781.921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61,53</w:t>
            </w:r>
          </w:p>
        </w:tc>
      </w:tr>
      <w:tr w:rsidR="001C5EB6" w:rsidRPr="00972554" w:rsidTr="00972554">
        <w:trPr>
          <w:trHeight w:val="300"/>
        </w:trPr>
        <w:tc>
          <w:tcPr>
            <w:tcW w:w="3655" w:type="pct"/>
            <w:shd w:val="clear" w:color="auto" w:fill="auto"/>
            <w:noWrap/>
            <w:hideMark/>
          </w:tcPr>
          <w:p w:rsidR="001C5EB6" w:rsidRPr="00116FC1"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ZAVOD ZA KULTURO BLED</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1.576.887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7,04</w:t>
            </w:r>
          </w:p>
        </w:tc>
      </w:tr>
      <w:tr w:rsidR="001C5EB6" w:rsidRPr="00972554" w:rsidTr="00972554">
        <w:trPr>
          <w:trHeight w:val="300"/>
        </w:trPr>
        <w:tc>
          <w:tcPr>
            <w:tcW w:w="3655" w:type="pct"/>
            <w:shd w:val="clear" w:color="auto" w:fill="auto"/>
            <w:noWrap/>
            <w:hideMark/>
          </w:tcPr>
          <w:p w:rsidR="001C5EB6" w:rsidRPr="00116FC1"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ZDRAVSTVENI DOM ORMOŽ</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1.300.000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5,80</w:t>
            </w:r>
          </w:p>
        </w:tc>
      </w:tr>
      <w:tr w:rsidR="001C5EB6" w:rsidRPr="00972554" w:rsidTr="00972554">
        <w:trPr>
          <w:trHeight w:val="300"/>
        </w:trPr>
        <w:tc>
          <w:tcPr>
            <w:tcW w:w="3655" w:type="pct"/>
            <w:shd w:val="clear" w:color="auto" w:fill="auto"/>
            <w:noWrap/>
            <w:hideMark/>
          </w:tcPr>
          <w:p w:rsidR="001C5EB6" w:rsidRPr="00116FC1" w:rsidRDefault="001C5EB6"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222-Dolgoročne obveznosti iz poslovanja </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b/>
                <w:bCs/>
                <w:sz w:val="18"/>
                <w:szCs w:val="18"/>
                <w:lang w:eastAsia="sl-SI"/>
              </w:rPr>
            </w:pPr>
            <w:r w:rsidRPr="00972554">
              <w:rPr>
                <w:rFonts w:ascii="Calibri" w:hAnsi="Calibri"/>
                <w:b/>
                <w:sz w:val="18"/>
                <w:szCs w:val="18"/>
              </w:rPr>
              <w:t xml:space="preserve">14.013.495 </w:t>
            </w:r>
          </w:p>
        </w:tc>
        <w:tc>
          <w:tcPr>
            <w:tcW w:w="499" w:type="pct"/>
            <w:shd w:val="clear" w:color="auto" w:fill="FFFFFF"/>
            <w:noWrap/>
            <w:vAlign w:val="bottom"/>
          </w:tcPr>
          <w:p w:rsidR="001C5EB6" w:rsidRPr="00116FC1" w:rsidRDefault="001C5EB6" w:rsidP="00116FC1">
            <w:pPr>
              <w:spacing w:line="240" w:lineRule="auto"/>
              <w:jc w:val="right"/>
              <w:rPr>
                <w:rFonts w:ascii="Calibri" w:hAnsi="Calibri"/>
                <w:b/>
                <w:bCs/>
                <w:sz w:val="18"/>
                <w:szCs w:val="18"/>
                <w:lang w:eastAsia="sl-SI"/>
              </w:rPr>
            </w:pPr>
          </w:p>
        </w:tc>
      </w:tr>
      <w:tr w:rsidR="001C5EB6" w:rsidRPr="00972554" w:rsidTr="00972554">
        <w:trPr>
          <w:trHeight w:val="300"/>
        </w:trPr>
        <w:tc>
          <w:tcPr>
            <w:tcW w:w="3655" w:type="pct"/>
            <w:shd w:val="clear" w:color="auto" w:fill="auto"/>
            <w:noWrap/>
            <w:hideMark/>
          </w:tcPr>
          <w:p w:rsidR="001C5EB6" w:rsidRPr="00116FC1"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Javni zavod za šport Mestne občine Koper</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4.801.483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34,26</w:t>
            </w:r>
          </w:p>
        </w:tc>
      </w:tr>
      <w:tr w:rsidR="001C5EB6" w:rsidRPr="00972554" w:rsidTr="00972554">
        <w:trPr>
          <w:trHeight w:val="300"/>
        </w:trPr>
        <w:tc>
          <w:tcPr>
            <w:tcW w:w="3655" w:type="pct"/>
            <w:shd w:val="clear" w:color="auto" w:fill="auto"/>
            <w:noWrap/>
            <w:hideMark/>
          </w:tcPr>
          <w:p w:rsidR="001C5EB6" w:rsidRPr="00116FC1"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JAVNI ZAVOD GASILSKA BRIGADA KOPER ENTE PUBBLICO VIGILI DEL FUOCO, CAPODISTRIA</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3.946.512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28,16</w:t>
            </w:r>
          </w:p>
        </w:tc>
      </w:tr>
      <w:tr w:rsidR="001C5EB6" w:rsidRPr="00972554" w:rsidTr="00972554">
        <w:trPr>
          <w:trHeight w:val="300"/>
        </w:trPr>
        <w:tc>
          <w:tcPr>
            <w:tcW w:w="3655" w:type="pct"/>
            <w:shd w:val="clear" w:color="auto" w:fill="auto"/>
            <w:noWrap/>
            <w:hideMark/>
          </w:tcPr>
          <w:p w:rsidR="001C5EB6" w:rsidRPr="00972554"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OSNOVNA ŠOLA IN VRTEC ANKARAN SCUOLA ELEMENTARE E GIARDINO D'INFANZIA ANCARANO</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1.834.724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13,09</w:t>
            </w:r>
          </w:p>
        </w:tc>
      </w:tr>
      <w:tr w:rsidR="001C5EB6" w:rsidRPr="00972554" w:rsidTr="00972554">
        <w:trPr>
          <w:trHeight w:val="300"/>
        </w:trPr>
        <w:tc>
          <w:tcPr>
            <w:tcW w:w="3655" w:type="pct"/>
            <w:shd w:val="clear" w:color="auto" w:fill="auto"/>
            <w:noWrap/>
            <w:hideMark/>
          </w:tcPr>
          <w:p w:rsidR="001C5EB6" w:rsidRPr="00116FC1" w:rsidRDefault="001C5EB6"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223-Kratkoročne obveznosti </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b/>
                <w:bCs/>
                <w:sz w:val="18"/>
                <w:szCs w:val="18"/>
                <w:lang w:eastAsia="sl-SI"/>
              </w:rPr>
            </w:pPr>
            <w:r w:rsidRPr="00972554">
              <w:rPr>
                <w:rFonts w:ascii="Calibri" w:hAnsi="Calibri"/>
                <w:b/>
                <w:sz w:val="18"/>
                <w:szCs w:val="18"/>
              </w:rPr>
              <w:t xml:space="preserve">229.312.675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b/>
                <w:bCs/>
                <w:sz w:val="18"/>
                <w:szCs w:val="18"/>
                <w:lang w:eastAsia="sl-SI"/>
              </w:rPr>
            </w:pPr>
          </w:p>
        </w:tc>
      </w:tr>
      <w:tr w:rsidR="001C5EB6" w:rsidRPr="00972554" w:rsidTr="00972554">
        <w:trPr>
          <w:trHeight w:val="300"/>
        </w:trPr>
        <w:tc>
          <w:tcPr>
            <w:tcW w:w="3655" w:type="pct"/>
            <w:shd w:val="clear" w:color="auto" w:fill="auto"/>
            <w:noWrap/>
            <w:hideMark/>
          </w:tcPr>
          <w:p w:rsidR="001C5EB6" w:rsidRPr="00116FC1"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JAVNI ZAVOD LEKARNA LJUBLJANA</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8.930.818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3,89</w:t>
            </w:r>
          </w:p>
        </w:tc>
      </w:tr>
      <w:tr w:rsidR="001C5EB6" w:rsidRPr="00972554" w:rsidTr="00972554">
        <w:trPr>
          <w:trHeight w:val="300"/>
        </w:trPr>
        <w:tc>
          <w:tcPr>
            <w:tcW w:w="3655" w:type="pct"/>
            <w:shd w:val="clear" w:color="auto" w:fill="auto"/>
            <w:noWrap/>
            <w:hideMark/>
          </w:tcPr>
          <w:p w:rsidR="001C5EB6" w:rsidRPr="00116FC1"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ZDRAVSTVENI DOM LJUBLJANA</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5.581.263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2,43</w:t>
            </w:r>
          </w:p>
        </w:tc>
      </w:tr>
      <w:tr w:rsidR="001C5EB6" w:rsidRPr="00972554" w:rsidTr="00972554">
        <w:trPr>
          <w:trHeight w:val="300"/>
        </w:trPr>
        <w:tc>
          <w:tcPr>
            <w:tcW w:w="3655" w:type="pct"/>
            <w:shd w:val="clear" w:color="auto" w:fill="auto"/>
            <w:noWrap/>
            <w:hideMark/>
          </w:tcPr>
          <w:p w:rsidR="001C5EB6" w:rsidRPr="00116FC1"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OSNOVNO ZDRAVSTVO GORENJSKE</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3.957.360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1,73</w:t>
            </w:r>
          </w:p>
        </w:tc>
      </w:tr>
      <w:tr w:rsidR="001C5EB6" w:rsidRPr="00972554" w:rsidTr="00972554">
        <w:trPr>
          <w:trHeight w:val="300"/>
        </w:trPr>
        <w:tc>
          <w:tcPr>
            <w:tcW w:w="3655" w:type="pct"/>
            <w:shd w:val="clear" w:color="auto" w:fill="auto"/>
            <w:noWrap/>
            <w:hideMark/>
          </w:tcPr>
          <w:p w:rsidR="001C5EB6" w:rsidRPr="00116FC1" w:rsidRDefault="001C5EB6" w:rsidP="00F454FD">
            <w:pPr>
              <w:spacing w:line="240" w:lineRule="auto"/>
              <w:jc w:val="left"/>
              <w:rPr>
                <w:rFonts w:ascii="Calibri" w:hAnsi="Calibri"/>
                <w:b/>
                <w:bCs/>
                <w:sz w:val="18"/>
                <w:szCs w:val="18"/>
                <w:lang w:eastAsia="sl-SI"/>
              </w:rPr>
            </w:pPr>
            <w:r w:rsidRPr="00972554">
              <w:rPr>
                <w:rFonts w:ascii="Calibri" w:hAnsi="Calibri"/>
                <w:b/>
                <w:sz w:val="18"/>
                <w:szCs w:val="18"/>
              </w:rPr>
              <w:t xml:space="preserve">224-Druge obveznosti </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b/>
                <w:bCs/>
                <w:sz w:val="18"/>
                <w:szCs w:val="18"/>
                <w:lang w:eastAsia="sl-SI"/>
              </w:rPr>
            </w:pPr>
            <w:r w:rsidRPr="00972554">
              <w:rPr>
                <w:rFonts w:ascii="Calibri" w:hAnsi="Calibri"/>
                <w:b/>
                <w:sz w:val="18"/>
                <w:szCs w:val="18"/>
              </w:rPr>
              <w:t xml:space="preserve">27.004.457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b/>
                <w:bCs/>
                <w:sz w:val="18"/>
                <w:szCs w:val="18"/>
                <w:lang w:eastAsia="sl-SI"/>
              </w:rPr>
            </w:pPr>
          </w:p>
        </w:tc>
      </w:tr>
      <w:tr w:rsidR="001C5EB6" w:rsidRPr="00972554" w:rsidTr="00972554">
        <w:trPr>
          <w:trHeight w:val="300"/>
        </w:trPr>
        <w:tc>
          <w:tcPr>
            <w:tcW w:w="3655" w:type="pct"/>
            <w:shd w:val="clear" w:color="auto" w:fill="auto"/>
            <w:noWrap/>
            <w:hideMark/>
          </w:tcPr>
          <w:p w:rsidR="001C5EB6" w:rsidRPr="00116FC1"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JAVNI STANOVANJSKI SKLAD MESTNE OBČINE LJUBLJANA</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11.423.439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42,30</w:t>
            </w:r>
          </w:p>
        </w:tc>
      </w:tr>
      <w:tr w:rsidR="001C5EB6" w:rsidRPr="00972554" w:rsidTr="00972554">
        <w:trPr>
          <w:trHeight w:val="300"/>
        </w:trPr>
        <w:tc>
          <w:tcPr>
            <w:tcW w:w="3655" w:type="pct"/>
            <w:shd w:val="clear" w:color="auto" w:fill="auto"/>
            <w:noWrap/>
            <w:hideMark/>
          </w:tcPr>
          <w:p w:rsidR="001C5EB6" w:rsidRPr="00116FC1"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JAVNI MEDOBČINSKI STANOVANJSKI SKLAD MARIBOR</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2.079.759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7,70</w:t>
            </w:r>
          </w:p>
        </w:tc>
      </w:tr>
      <w:tr w:rsidR="001C5EB6" w:rsidRPr="00972554" w:rsidTr="00972554">
        <w:trPr>
          <w:trHeight w:val="300"/>
        </w:trPr>
        <w:tc>
          <w:tcPr>
            <w:tcW w:w="3655" w:type="pct"/>
            <w:shd w:val="clear" w:color="auto" w:fill="auto"/>
            <w:noWrap/>
            <w:hideMark/>
          </w:tcPr>
          <w:p w:rsidR="001C5EB6" w:rsidRPr="00116FC1"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JAVNI STANOVANJSKI SKLAD MESTNE OBČINE KOPER FONDO ALLOGGI PUBBLICO DEL COMUNE CITTA DI CAPODISTRIA</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852.474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3,16</w:t>
            </w:r>
          </w:p>
        </w:tc>
      </w:tr>
      <w:tr w:rsidR="001C5EB6" w:rsidRPr="00972554" w:rsidTr="00972554">
        <w:trPr>
          <w:trHeight w:val="300"/>
        </w:trPr>
        <w:tc>
          <w:tcPr>
            <w:tcW w:w="3655" w:type="pct"/>
            <w:shd w:val="clear" w:color="auto" w:fill="92D050"/>
            <w:noWrap/>
            <w:hideMark/>
          </w:tcPr>
          <w:p w:rsidR="001C5EB6" w:rsidRPr="00116FC1" w:rsidRDefault="001C5EB6" w:rsidP="00F454FD">
            <w:pPr>
              <w:spacing w:line="240" w:lineRule="auto"/>
              <w:jc w:val="left"/>
              <w:rPr>
                <w:rFonts w:ascii="Calibri" w:hAnsi="Calibri"/>
                <w:b/>
                <w:bCs/>
                <w:i/>
                <w:sz w:val="18"/>
                <w:szCs w:val="18"/>
                <w:lang w:eastAsia="sl-SI"/>
              </w:rPr>
            </w:pPr>
            <w:r w:rsidRPr="00972554">
              <w:rPr>
                <w:rFonts w:ascii="Calibri" w:hAnsi="Calibri"/>
                <w:b/>
                <w:sz w:val="18"/>
                <w:szCs w:val="18"/>
              </w:rPr>
              <w:t xml:space="preserve">225-Skupaj pasiva </w:t>
            </w:r>
          </w:p>
        </w:tc>
        <w:tc>
          <w:tcPr>
            <w:tcW w:w="846" w:type="pct"/>
            <w:shd w:val="clear" w:color="auto" w:fill="92D050"/>
            <w:noWrap/>
            <w:vAlign w:val="bottom"/>
            <w:hideMark/>
          </w:tcPr>
          <w:p w:rsidR="001C5EB6" w:rsidRPr="00116FC1" w:rsidRDefault="001C5EB6" w:rsidP="00412299">
            <w:pPr>
              <w:spacing w:line="240" w:lineRule="auto"/>
              <w:jc w:val="right"/>
              <w:rPr>
                <w:rFonts w:ascii="Calibri" w:hAnsi="Calibri"/>
                <w:b/>
                <w:bCs/>
                <w:i/>
                <w:sz w:val="18"/>
                <w:szCs w:val="18"/>
                <w:lang w:eastAsia="sl-SI"/>
              </w:rPr>
            </w:pPr>
            <w:r w:rsidRPr="00972554">
              <w:rPr>
                <w:rFonts w:ascii="Calibri" w:hAnsi="Calibri"/>
                <w:b/>
                <w:sz w:val="18"/>
                <w:szCs w:val="18"/>
              </w:rPr>
              <w:t xml:space="preserve">3.385.635.976 </w:t>
            </w:r>
          </w:p>
        </w:tc>
        <w:tc>
          <w:tcPr>
            <w:tcW w:w="499" w:type="pct"/>
            <w:shd w:val="clear" w:color="auto" w:fill="92D050"/>
            <w:noWrap/>
            <w:vAlign w:val="bottom"/>
            <w:hideMark/>
          </w:tcPr>
          <w:p w:rsidR="001C5EB6" w:rsidRPr="00116FC1" w:rsidRDefault="001C5EB6" w:rsidP="00116FC1">
            <w:pPr>
              <w:spacing w:line="240" w:lineRule="auto"/>
              <w:jc w:val="right"/>
              <w:rPr>
                <w:rFonts w:ascii="Calibri" w:hAnsi="Calibri"/>
                <w:b/>
                <w:bCs/>
                <w:i/>
                <w:sz w:val="18"/>
                <w:szCs w:val="18"/>
                <w:lang w:eastAsia="sl-SI"/>
              </w:rPr>
            </w:pPr>
          </w:p>
        </w:tc>
      </w:tr>
      <w:tr w:rsidR="001C5EB6" w:rsidRPr="00972554" w:rsidTr="00972554">
        <w:trPr>
          <w:trHeight w:val="300"/>
        </w:trPr>
        <w:tc>
          <w:tcPr>
            <w:tcW w:w="3655" w:type="pct"/>
            <w:shd w:val="clear" w:color="auto" w:fill="auto"/>
            <w:noWrap/>
            <w:hideMark/>
          </w:tcPr>
          <w:p w:rsidR="001C5EB6" w:rsidRPr="00116FC1"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JAVNI STANOVANJSKI SKLAD MESTNE OBČINE LJUBLJANA</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303.840.367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8,97</w:t>
            </w:r>
          </w:p>
        </w:tc>
      </w:tr>
      <w:tr w:rsidR="001C5EB6" w:rsidRPr="00972554" w:rsidTr="00972554">
        <w:trPr>
          <w:trHeight w:val="300"/>
        </w:trPr>
        <w:tc>
          <w:tcPr>
            <w:tcW w:w="3655" w:type="pct"/>
            <w:shd w:val="clear" w:color="auto" w:fill="auto"/>
            <w:noWrap/>
            <w:hideMark/>
          </w:tcPr>
          <w:p w:rsidR="001C5EB6" w:rsidRPr="00116FC1"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Javni zavod ŠPORT LJUBLJANA</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138.653.053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4,10</w:t>
            </w:r>
          </w:p>
        </w:tc>
      </w:tr>
      <w:tr w:rsidR="001C5EB6" w:rsidRPr="00972554" w:rsidTr="00972554">
        <w:trPr>
          <w:trHeight w:val="300"/>
        </w:trPr>
        <w:tc>
          <w:tcPr>
            <w:tcW w:w="3655" w:type="pct"/>
            <w:shd w:val="clear" w:color="auto" w:fill="auto"/>
            <w:noWrap/>
            <w:hideMark/>
          </w:tcPr>
          <w:p w:rsidR="001C5EB6" w:rsidRPr="00972554" w:rsidRDefault="001C5EB6" w:rsidP="00972554">
            <w:pPr>
              <w:spacing w:line="240" w:lineRule="auto"/>
              <w:ind w:firstLineChars="100" w:firstLine="180"/>
              <w:jc w:val="left"/>
              <w:rPr>
                <w:rFonts w:ascii="Calibri" w:hAnsi="Calibri"/>
                <w:sz w:val="18"/>
                <w:szCs w:val="18"/>
                <w:lang w:eastAsia="sl-SI"/>
              </w:rPr>
            </w:pPr>
            <w:r w:rsidRPr="00972554">
              <w:rPr>
                <w:rFonts w:ascii="Calibri" w:hAnsi="Calibri"/>
                <w:sz w:val="18"/>
                <w:szCs w:val="18"/>
              </w:rPr>
              <w:t>JAVNI MEDOBČINSKI STANOVANJSKI SKLAD MARIBOR</w:t>
            </w:r>
          </w:p>
        </w:tc>
        <w:tc>
          <w:tcPr>
            <w:tcW w:w="846" w:type="pct"/>
            <w:shd w:val="clear" w:color="auto" w:fill="auto"/>
            <w:noWrap/>
            <w:vAlign w:val="bottom"/>
            <w:hideMark/>
          </w:tcPr>
          <w:p w:rsidR="001C5EB6" w:rsidRPr="00116FC1" w:rsidRDefault="001C5EB6" w:rsidP="00412299">
            <w:pPr>
              <w:spacing w:line="240" w:lineRule="auto"/>
              <w:jc w:val="right"/>
              <w:rPr>
                <w:rFonts w:ascii="Calibri" w:hAnsi="Calibri"/>
                <w:sz w:val="18"/>
                <w:szCs w:val="18"/>
                <w:lang w:eastAsia="sl-SI"/>
              </w:rPr>
            </w:pPr>
            <w:r w:rsidRPr="00972554">
              <w:rPr>
                <w:rFonts w:ascii="Calibri" w:hAnsi="Calibri"/>
                <w:sz w:val="18"/>
                <w:szCs w:val="18"/>
              </w:rPr>
              <w:t xml:space="preserve">97.275.758 </w:t>
            </w:r>
          </w:p>
        </w:tc>
        <w:tc>
          <w:tcPr>
            <w:tcW w:w="499" w:type="pct"/>
            <w:shd w:val="clear" w:color="auto" w:fill="FFFFFF"/>
            <w:noWrap/>
            <w:vAlign w:val="bottom"/>
            <w:hideMark/>
          </w:tcPr>
          <w:p w:rsidR="001C5EB6" w:rsidRPr="00116FC1" w:rsidRDefault="001C5EB6" w:rsidP="00116FC1">
            <w:pPr>
              <w:spacing w:line="240" w:lineRule="auto"/>
              <w:jc w:val="right"/>
              <w:rPr>
                <w:rFonts w:ascii="Calibri" w:hAnsi="Calibri"/>
                <w:sz w:val="18"/>
                <w:szCs w:val="18"/>
                <w:lang w:eastAsia="sl-SI"/>
              </w:rPr>
            </w:pPr>
            <w:r w:rsidRPr="00972554">
              <w:rPr>
                <w:rFonts w:ascii="Calibri" w:hAnsi="Calibri"/>
                <w:sz w:val="18"/>
                <w:szCs w:val="18"/>
              </w:rPr>
              <w:t>2,87</w:t>
            </w:r>
          </w:p>
        </w:tc>
      </w:tr>
    </w:tbl>
    <w:p w:rsidR="008F0A8D" w:rsidRDefault="008F0A8D" w:rsidP="008F0E60">
      <w:pPr>
        <w:pStyle w:val="Header"/>
      </w:pPr>
      <w:bookmarkStart w:id="115" w:name="_Toc357763048"/>
    </w:p>
    <w:p w:rsidR="008F0A8D" w:rsidRDefault="008F0A8D">
      <w:pPr>
        <w:spacing w:line="240" w:lineRule="auto"/>
        <w:jc w:val="left"/>
        <w:rPr>
          <w:sz w:val="24"/>
          <w:szCs w:val="20"/>
        </w:rPr>
      </w:pPr>
      <w:r>
        <w:lastRenderedPageBreak/>
        <w:br w:type="page"/>
      </w:r>
    </w:p>
    <w:p w:rsidR="008F0E60" w:rsidRPr="003D30C7" w:rsidRDefault="003D30C7" w:rsidP="008F0E60">
      <w:pPr>
        <w:pStyle w:val="Header"/>
        <w:rPr>
          <w:bCs/>
        </w:rPr>
      </w:pPr>
      <w:r>
        <w:lastRenderedPageBreak/>
        <w:t>M</w:t>
      </w:r>
      <w:r w:rsidRPr="003D30C7">
        <w:t xml:space="preserve">etodologija priprave premoženjskih bilanc za </w:t>
      </w:r>
      <w:proofErr w:type="gramStart"/>
      <w:r w:rsidRPr="003D30C7">
        <w:t>leto</w:t>
      </w:r>
      <w:proofErr w:type="gramEnd"/>
      <w:r w:rsidRPr="003D30C7">
        <w:t xml:space="preserve"> 201</w:t>
      </w:r>
      <w:bookmarkEnd w:id="115"/>
      <w:r w:rsidRPr="003D30C7">
        <w:t>8</w:t>
      </w:r>
    </w:p>
    <w:p w:rsidR="008F0E60" w:rsidRDefault="008F0E60" w:rsidP="008F0E60">
      <w:pPr>
        <w:rPr>
          <w:b/>
          <w:bCs/>
          <w:sz w:val="28"/>
        </w:rPr>
      </w:pPr>
    </w:p>
    <w:p w:rsidR="008F0E60" w:rsidRDefault="008F0E60" w:rsidP="008F0E60">
      <w:r>
        <w:t xml:space="preserve">Konsolidirana premoženjska bilanca države in občin </w:t>
      </w:r>
      <w:proofErr w:type="gramStart"/>
      <w:r>
        <w:t>se  sestavlja</w:t>
      </w:r>
      <w:proofErr w:type="gramEnd"/>
      <w:r>
        <w:t xml:space="preserve">  po metodologiji, določeni v PoKPB, in je končni rezultat tronivojskega postopka uskupinjanja računovodskih podatkov NPU in PPU državnega ter občinskih proračunov. Razultat uskupinjenja se za vsak nivo prikaže </w:t>
      </w:r>
      <w:proofErr w:type="gramStart"/>
      <w:r>
        <w:t>na</w:t>
      </w:r>
      <w:proofErr w:type="gramEnd"/>
      <w:r>
        <w:t xml:space="preserve"> posebnem obrazcu premoženjske bilance:</w:t>
      </w:r>
    </w:p>
    <w:p w:rsidR="008F0E60" w:rsidRDefault="008F0E60" w:rsidP="00BC536D">
      <w:pPr>
        <w:numPr>
          <w:ilvl w:val="0"/>
          <w:numId w:val="22"/>
        </w:numPr>
        <w:spacing w:line="240" w:lineRule="auto"/>
      </w:pPr>
      <w:r>
        <w:t>P-1 premoženjska bilanca PPU državnega ali občinskih proračunov; sestavi jo PU pri uskupinjanju na prvem nivoju preko spletnega portala AJPES;</w:t>
      </w:r>
    </w:p>
    <w:p w:rsidR="008F0E60" w:rsidRDefault="008F0E60" w:rsidP="00BC536D">
      <w:pPr>
        <w:numPr>
          <w:ilvl w:val="0"/>
          <w:numId w:val="22"/>
        </w:numPr>
        <w:spacing w:line="240" w:lineRule="auto"/>
      </w:pPr>
      <w:r>
        <w:t>P-3 premoženjska bilanca NPU državnega ali občinskih proračunov; sestavi jo PU pri uskupinjanju na prvem nivoju preko spletnega portala AJPES; na enak način pripravijo svojo premoženjsko bilanco tudi upravljavci sredstev sistema EZRD in EZRO, ZZZS in ZPIZ;</w:t>
      </w:r>
    </w:p>
    <w:p w:rsidR="008F0E60" w:rsidRDefault="008F0E60" w:rsidP="00BC536D">
      <w:pPr>
        <w:numPr>
          <w:ilvl w:val="0"/>
          <w:numId w:val="22"/>
        </w:numPr>
        <w:spacing w:line="240" w:lineRule="auto"/>
      </w:pPr>
      <w:r>
        <w:t xml:space="preserve">P-5 premoženjska bilanca občine; </w:t>
      </w:r>
      <w:r>
        <w:rPr>
          <w:rFonts w:cs="Arial"/>
        </w:rPr>
        <w:t>na podlagi podatkov premoženjskih bilanc PU občinskega proračuna se pripravi obrazec skupne premoženjske bilance občine</w:t>
      </w:r>
      <w:r>
        <w:t xml:space="preserve"> pri uskupinjanju na drugem nivoju</w:t>
      </w:r>
      <w:r w:rsidRPr="008F0E60">
        <w:rPr>
          <w:rFonts w:cs="Arial"/>
        </w:rPr>
        <w:t xml:space="preserve"> </w:t>
      </w:r>
      <w:r>
        <w:rPr>
          <w:rFonts w:cs="Arial"/>
        </w:rPr>
        <w:t>preko spletnega portala AJPES</w:t>
      </w:r>
      <w:r>
        <w:t xml:space="preserve">; </w:t>
      </w:r>
    </w:p>
    <w:p w:rsidR="008F0E60" w:rsidRDefault="008F0E60" w:rsidP="00BC536D">
      <w:pPr>
        <w:numPr>
          <w:ilvl w:val="0"/>
          <w:numId w:val="22"/>
        </w:numPr>
        <w:spacing w:line="240" w:lineRule="auto"/>
      </w:pPr>
      <w:r>
        <w:t xml:space="preserve">P-7 premoženjska bilanca (ožje) države; </w:t>
      </w:r>
      <w:r>
        <w:rPr>
          <w:rFonts w:cs="Arial"/>
        </w:rPr>
        <w:t>na podlagi podatkov premoženjskih bilanc PU državnega proračuna se pripravi obrazec skupne premoženjske bilance države</w:t>
      </w:r>
      <w:r>
        <w:t xml:space="preserve"> pri uskupinjanju na drugem nivoju</w:t>
      </w:r>
      <w:r w:rsidRPr="008F0E60">
        <w:rPr>
          <w:rFonts w:cs="Arial"/>
        </w:rPr>
        <w:t xml:space="preserve"> </w:t>
      </w:r>
      <w:r>
        <w:rPr>
          <w:rFonts w:cs="Arial"/>
        </w:rPr>
        <w:t>preko spletnega portala AJPES</w:t>
      </w:r>
      <w:r>
        <w:t>;</w:t>
      </w:r>
    </w:p>
    <w:p w:rsidR="008F0E60" w:rsidRDefault="008F0E60" w:rsidP="00BC536D">
      <w:pPr>
        <w:numPr>
          <w:ilvl w:val="0"/>
          <w:numId w:val="22"/>
        </w:numPr>
        <w:spacing w:line="240" w:lineRule="auto"/>
        <w:rPr>
          <w:rFonts w:cs="Arial"/>
        </w:rPr>
      </w:pPr>
      <w:r>
        <w:t>P-9 konsolidirana premoženjska bilanca države in občin (</w:t>
      </w:r>
      <w:r>
        <w:rPr>
          <w:rFonts w:cs="Arial"/>
          <w:bCs/>
        </w:rPr>
        <w:t>NPU in PPU</w:t>
      </w:r>
      <w:r w:rsidRPr="000373C9">
        <w:rPr>
          <w:rFonts w:cs="Arial"/>
          <w:bCs/>
        </w:rPr>
        <w:t xml:space="preserve"> državnega oz. občinskih proračunov</w:t>
      </w:r>
      <w:r>
        <w:t>);</w:t>
      </w:r>
      <w:r w:rsidR="00867EC3" w:rsidRPr="00867EC3">
        <w:rPr>
          <w:rFonts w:cs="Arial"/>
        </w:rPr>
        <w:t xml:space="preserve"> </w:t>
      </w:r>
      <w:r w:rsidR="00867EC3">
        <w:rPr>
          <w:rFonts w:cs="Arial"/>
        </w:rPr>
        <w:t>na podlagi podatkov premoženjskih bilanc PU državnega in občinskih proračunov se pripravi obrazec konsolidirane premoženjske bilance države in občin</w:t>
      </w:r>
      <w:r w:rsidR="00867EC3">
        <w:t xml:space="preserve"> pri uskupinjanju na tretjem nivoju</w:t>
      </w:r>
      <w:r w:rsidR="00867EC3" w:rsidRPr="008F0E60">
        <w:rPr>
          <w:rFonts w:cs="Arial"/>
        </w:rPr>
        <w:t xml:space="preserve"> </w:t>
      </w:r>
      <w:r w:rsidR="00867EC3">
        <w:rPr>
          <w:rFonts w:cs="Arial"/>
        </w:rPr>
        <w:t>preko spletnega portala AJPES</w:t>
      </w:r>
    </w:p>
    <w:p w:rsidR="008F0E60" w:rsidRDefault="008F0E60" w:rsidP="00BC536D">
      <w:pPr>
        <w:pStyle w:val="Heading8"/>
        <w:numPr>
          <w:ilvl w:val="7"/>
          <w:numId w:val="9"/>
        </w:numPr>
        <w:jc w:val="left"/>
        <w:rPr>
          <w:b w:val="0"/>
        </w:rPr>
      </w:pPr>
      <w:r>
        <w:t>Zavezanci za oddajo PB</w:t>
      </w:r>
      <w:r>
        <w:rPr>
          <w:b w:val="0"/>
        </w:rPr>
        <w:t xml:space="preserve"> </w:t>
      </w:r>
    </w:p>
    <w:p w:rsidR="008F0E60" w:rsidRDefault="008F0E60" w:rsidP="008F0E60">
      <w:r>
        <w:t xml:space="preserve">V konsolidirani premoženjski bilanci države in občin je zajeto </w:t>
      </w:r>
      <w:proofErr w:type="gramStart"/>
      <w:r>
        <w:t>premoženje :</w:t>
      </w:r>
      <w:proofErr w:type="gramEnd"/>
    </w:p>
    <w:p w:rsidR="008F0E60" w:rsidRDefault="008F0E60" w:rsidP="00BC536D">
      <w:pPr>
        <w:numPr>
          <w:ilvl w:val="0"/>
          <w:numId w:val="21"/>
        </w:numPr>
        <w:spacing w:line="240" w:lineRule="auto"/>
      </w:pPr>
      <w:r>
        <w:t>NPU državnega in občinskih proračunov,</w:t>
      </w:r>
    </w:p>
    <w:p w:rsidR="008F0E60" w:rsidRDefault="008F0E60" w:rsidP="00BC536D">
      <w:pPr>
        <w:numPr>
          <w:ilvl w:val="0"/>
          <w:numId w:val="21"/>
        </w:numPr>
        <w:spacing w:line="240" w:lineRule="auto"/>
      </w:pPr>
      <w:r>
        <w:t>upravljavcev sredstev sistema EZRD in EZRO</w:t>
      </w:r>
    </w:p>
    <w:p w:rsidR="008F0E60" w:rsidRDefault="008F0E60" w:rsidP="00BC536D">
      <w:pPr>
        <w:numPr>
          <w:ilvl w:val="0"/>
          <w:numId w:val="21"/>
        </w:numPr>
        <w:spacing w:line="240" w:lineRule="auto"/>
      </w:pPr>
      <w:r>
        <w:t>PPU državnega in občinskih proračunov,</w:t>
      </w:r>
    </w:p>
    <w:p w:rsidR="008F0E60" w:rsidRDefault="008F0E60" w:rsidP="00BC536D">
      <w:pPr>
        <w:numPr>
          <w:ilvl w:val="0"/>
          <w:numId w:val="21"/>
        </w:numPr>
        <w:spacing w:line="240" w:lineRule="auto"/>
        <w:rPr>
          <w:b/>
        </w:rPr>
      </w:pPr>
      <w:r>
        <w:t>ZPIZ, ZZZS,</w:t>
      </w:r>
    </w:p>
    <w:p w:rsidR="008F0E60" w:rsidRDefault="008F0E60" w:rsidP="008F0E60">
      <w:proofErr w:type="gramStart"/>
      <w:r>
        <w:t>kot</w:t>
      </w:r>
      <w:proofErr w:type="gramEnd"/>
      <w:r>
        <w:t xml:space="preserve"> to določa ZJF oziroma na njegovi podlagi izdan Pravilnik o določitvi neposrednih in posrednih PU državnega in občinskih proračunov.</w:t>
      </w:r>
      <w:r w:rsidR="00977744">
        <w:t xml:space="preserve"> </w:t>
      </w:r>
    </w:p>
    <w:p w:rsidR="008F0E60" w:rsidRDefault="008F0E60" w:rsidP="008F0E60">
      <w:pPr>
        <w:pStyle w:val="BodyText"/>
        <w:tabs>
          <w:tab w:val="left" w:pos="714"/>
        </w:tabs>
        <w:rPr>
          <w:rFonts w:cs="Arial"/>
          <w:b w:val="0"/>
        </w:rPr>
      </w:pPr>
    </w:p>
    <w:p w:rsidR="008F0E60" w:rsidRDefault="008F0E60" w:rsidP="004E2AC3">
      <w:r>
        <w:t xml:space="preserve">Med NPU državnega </w:t>
      </w:r>
      <w:proofErr w:type="gramStart"/>
      <w:r>
        <w:t>ali</w:t>
      </w:r>
      <w:proofErr w:type="gramEnd"/>
      <w:r>
        <w:t xml:space="preserve"> občinskih proračunov se uvrščajo </w:t>
      </w:r>
      <w:r w:rsidR="00977744">
        <w:t>tisti neposredni proračunski uporabniki države in občin, ki so vpisani v register proračunskih uporabnikov, ki ga vodi UJP:</w:t>
      </w:r>
    </w:p>
    <w:p w:rsidR="008F0E60" w:rsidRDefault="008F0E60" w:rsidP="008F0E60"/>
    <w:p w:rsidR="008F0E60" w:rsidRDefault="008F0E60" w:rsidP="008F0E60">
      <w:r>
        <w:t xml:space="preserve">Med PPU državnega </w:t>
      </w:r>
      <w:proofErr w:type="gramStart"/>
      <w:r>
        <w:t>ali</w:t>
      </w:r>
      <w:proofErr w:type="gramEnd"/>
      <w:r>
        <w:t xml:space="preserve"> občinskih proračunov</w:t>
      </w:r>
      <w:r w:rsidR="00977744">
        <w:t xml:space="preserve"> </w:t>
      </w:r>
      <w:r w:rsidR="001227D3">
        <w:t xml:space="preserve">se uvrščajo </w:t>
      </w:r>
      <w:r w:rsidR="00977744">
        <w:t xml:space="preserve">vsi PPU, ki so vpisani v register proračunskih uporabnikov, ki ga vodi UJP. Med </w:t>
      </w:r>
      <w:proofErr w:type="gramStart"/>
      <w:r w:rsidR="00977744">
        <w:t>te</w:t>
      </w:r>
      <w:proofErr w:type="gramEnd"/>
      <w:r>
        <w:t xml:space="preserve"> se uvrščajo:</w:t>
      </w:r>
    </w:p>
    <w:p w:rsidR="008F0E60" w:rsidRDefault="008F0E60" w:rsidP="00BC536D">
      <w:pPr>
        <w:pStyle w:val="TableofFigures"/>
        <w:numPr>
          <w:ilvl w:val="0"/>
          <w:numId w:val="23"/>
        </w:numPr>
        <w:spacing w:line="240" w:lineRule="auto"/>
      </w:pPr>
      <w:r>
        <w:t>javni zavodi, javne agencije in javni skladi, katerih ustanovitelj je ali država ali občine, in se financirajo delno iz proračunov države ali občin, ali pa iz skladov socialnega zavarovanja, delno pa tudi iz nejavnih virov, to je s prodajo svojih proizvodov in storitev;</w:t>
      </w:r>
    </w:p>
    <w:p w:rsidR="008F0E60" w:rsidRDefault="008F0E60" w:rsidP="00BC536D">
      <w:pPr>
        <w:numPr>
          <w:ilvl w:val="0"/>
          <w:numId w:val="23"/>
        </w:numPr>
        <w:spacing w:line="240" w:lineRule="auto"/>
      </w:pPr>
      <w:r>
        <w:t>samoupravne narodnostne skupnosti;</w:t>
      </w:r>
    </w:p>
    <w:p w:rsidR="00977744" w:rsidRDefault="008F0E60" w:rsidP="00BC536D">
      <w:pPr>
        <w:numPr>
          <w:ilvl w:val="0"/>
          <w:numId w:val="23"/>
        </w:numPr>
        <w:spacing w:line="240" w:lineRule="auto"/>
      </w:pPr>
      <w:r>
        <w:t>kmetijsko gozdarska zbornica ter javni zavodi, katerih ustanovitelj je Kmetijsko gozdarska zbornica</w:t>
      </w:r>
      <w:r w:rsidR="00977744">
        <w:t>,</w:t>
      </w:r>
    </w:p>
    <w:p w:rsidR="00977744" w:rsidRDefault="00977744" w:rsidP="00BC536D">
      <w:pPr>
        <w:numPr>
          <w:ilvl w:val="0"/>
          <w:numId w:val="23"/>
        </w:numPr>
        <w:spacing w:line="240" w:lineRule="auto"/>
      </w:pPr>
      <w:r>
        <w:t xml:space="preserve">članice univerze  in </w:t>
      </w:r>
    </w:p>
    <w:p w:rsidR="008F0E60" w:rsidRDefault="00977744" w:rsidP="00BC536D">
      <w:pPr>
        <w:numPr>
          <w:ilvl w:val="0"/>
          <w:numId w:val="23"/>
        </w:numPr>
        <w:spacing w:line="240" w:lineRule="auto"/>
      </w:pPr>
      <w:r w:rsidRPr="00977744">
        <w:t>I</w:t>
      </w:r>
      <w:r>
        <w:t>nženirska akademija Slovenije</w:t>
      </w:r>
    </w:p>
    <w:p w:rsidR="008F0E60" w:rsidRDefault="008F0E60" w:rsidP="008F0E60"/>
    <w:p w:rsidR="008F0E60" w:rsidRDefault="008F0E60" w:rsidP="008F0E60">
      <w:pPr>
        <w:rPr>
          <w:rFonts w:cs="Arial"/>
        </w:rPr>
      </w:pPr>
      <w:proofErr w:type="gramStart"/>
      <w:r>
        <w:t>ZZZS in ZPIZ sta z vidika javnega financiranja posebni samostojni blagajni.</w:t>
      </w:r>
      <w:proofErr w:type="gramEnd"/>
      <w:r>
        <w:t xml:space="preserve"> </w:t>
      </w:r>
      <w:proofErr w:type="gramStart"/>
      <w:r>
        <w:t>Pravilnik o določitvi neposrednih in posrednih uporabnikov državnega in občinskih proračunov ju uvršča med PPU državnega proračuna, v konsolidirano premoženje države in občin pa ga vključi država po pravilih za NPU državnega proračuna.</w:t>
      </w:r>
      <w:proofErr w:type="gramEnd"/>
      <w:r>
        <w:t xml:space="preserve"> </w:t>
      </w:r>
    </w:p>
    <w:p w:rsidR="008F0E60" w:rsidRDefault="008F0E60" w:rsidP="008F0E60"/>
    <w:p w:rsidR="008F0E60" w:rsidRDefault="008F0E60" w:rsidP="008F0E60">
      <w:proofErr w:type="gramStart"/>
      <w:r>
        <w:rPr>
          <w:rFonts w:cs="Arial"/>
          <w:color w:val="222222"/>
        </w:rPr>
        <w:t xml:space="preserve">PoKPB </w:t>
      </w:r>
      <w:r w:rsidRPr="007A6BE7">
        <w:rPr>
          <w:rFonts w:cs="Arial"/>
          <w:color w:val="222222"/>
        </w:rPr>
        <w:t>določ</w:t>
      </w:r>
      <w:r>
        <w:rPr>
          <w:rFonts w:cs="Arial"/>
          <w:color w:val="222222"/>
        </w:rPr>
        <w:t>a</w:t>
      </w:r>
      <w:r w:rsidRPr="007A6BE7">
        <w:rPr>
          <w:rFonts w:cs="Arial"/>
          <w:color w:val="222222"/>
        </w:rPr>
        <w:t>, da upravljavec denarnih sredstev sistema EZR</w:t>
      </w:r>
      <w:r>
        <w:rPr>
          <w:rFonts w:cs="Arial"/>
          <w:color w:val="222222"/>
        </w:rPr>
        <w:t>D in EZRO</w:t>
      </w:r>
      <w:r>
        <w:t xml:space="preserve"> pri izdelavi premoženjske bilance upošteva pravila, ki veljajo za NPU.</w:t>
      </w:r>
      <w:proofErr w:type="gramEnd"/>
    </w:p>
    <w:p w:rsidR="008F0E60" w:rsidRDefault="008F0E60" w:rsidP="00BC536D">
      <w:pPr>
        <w:pStyle w:val="Heading8"/>
        <w:numPr>
          <w:ilvl w:val="7"/>
          <w:numId w:val="20"/>
        </w:numPr>
        <w:jc w:val="left"/>
      </w:pPr>
      <w:r>
        <w:lastRenderedPageBreak/>
        <w:t>Nivoji uskupinjanja</w:t>
      </w:r>
    </w:p>
    <w:p w:rsidR="008F0E60" w:rsidRDefault="008F0E60" w:rsidP="00BC536D">
      <w:pPr>
        <w:pStyle w:val="Heading9"/>
        <w:numPr>
          <w:ilvl w:val="8"/>
          <w:numId w:val="9"/>
        </w:numPr>
      </w:pPr>
      <w:r>
        <w:t>Prvi nivo uskupinjanja</w:t>
      </w:r>
    </w:p>
    <w:p w:rsidR="008F0E60" w:rsidRDefault="008F0E60" w:rsidP="008F0E60">
      <w:r>
        <w:rPr>
          <w:bCs/>
        </w:rPr>
        <w:t>Prvi nivo</w:t>
      </w:r>
      <w:r>
        <w:t xml:space="preserve"> pri pripravi konsolidirane premoženjske bilance države in občin predstavljajo premoženjske bilance PPU in NPU državnega </w:t>
      </w:r>
      <w:proofErr w:type="gramStart"/>
      <w:r>
        <w:t>in  občinskih</w:t>
      </w:r>
      <w:proofErr w:type="gramEnd"/>
      <w:r>
        <w:t xml:space="preserve"> proračunov, ki jih le-ti v zakonsko določenih rokih (93. člen ZJF</w:t>
      </w:r>
      <w:r w:rsidR="00FE0200">
        <w:t xml:space="preserve">, </w:t>
      </w:r>
      <w:r w:rsidR="004C59F5">
        <w:t>67</w:t>
      </w:r>
      <w:r w:rsidR="00425201">
        <w:t xml:space="preserve">.člen </w:t>
      </w:r>
      <w:r w:rsidR="00FE0200">
        <w:t>ZIPRO</w:t>
      </w:r>
      <w:r w:rsidR="00425201">
        <w:t xml:space="preserve"> </w:t>
      </w:r>
      <w:r w:rsidR="00EC1E30">
        <w:t>201</w:t>
      </w:r>
      <w:r w:rsidR="004C59F5">
        <w:t>8</w:t>
      </w:r>
      <w:r w:rsidR="00425201">
        <w:t>/</w:t>
      </w:r>
      <w:r w:rsidR="004C59F5">
        <w:t>2019</w:t>
      </w:r>
      <w:r>
        <w:t xml:space="preserve">) </w:t>
      </w:r>
      <w:r w:rsidR="001227D3">
        <w:t xml:space="preserve">oddajo </w:t>
      </w:r>
      <w:r w:rsidR="00FE0200">
        <w:t>preko spletnega portala AJPES</w:t>
      </w:r>
      <w:r>
        <w:t>.</w:t>
      </w:r>
    </w:p>
    <w:p w:rsidR="00977744" w:rsidRDefault="00977744" w:rsidP="008F0E60"/>
    <w:p w:rsidR="00401743" w:rsidRDefault="008F0E60" w:rsidP="008F0E60">
      <w:proofErr w:type="gramStart"/>
      <w:r>
        <w:t>Podlaga za pripravo premoženjske bilance PU so njegovi računovodski podatki, ki se uporabljajo pri izdelavi bilance stanja in podatki iz poslovnih knjig.</w:t>
      </w:r>
      <w:proofErr w:type="gramEnd"/>
    </w:p>
    <w:p w:rsidR="00401743" w:rsidRDefault="00401743" w:rsidP="008F0E60"/>
    <w:p w:rsidR="008F0E60" w:rsidRPr="00475CA5" w:rsidRDefault="008F0E60" w:rsidP="008F0E60">
      <w:r w:rsidRPr="00475CA5">
        <w:t>Na tem nivoju se s terjatvami ter obveznostmi ostalih PPU in NPU, ki pripadajo istemu proračunu, pobotajo:</w:t>
      </w:r>
    </w:p>
    <w:p w:rsidR="008F0E60" w:rsidRDefault="008F0E60" w:rsidP="00BC536D">
      <w:pPr>
        <w:numPr>
          <w:ilvl w:val="0"/>
          <w:numId w:val="19"/>
        </w:numPr>
        <w:spacing w:line="240" w:lineRule="auto"/>
      </w:pPr>
      <w:r w:rsidRPr="00475CA5">
        <w:t>terjatve ter</w:t>
      </w:r>
      <w:r>
        <w:t xml:space="preserve"> obveznosti in</w:t>
      </w:r>
    </w:p>
    <w:p w:rsidR="008F0E60" w:rsidRDefault="008F0E60" w:rsidP="00BC536D">
      <w:pPr>
        <w:numPr>
          <w:ilvl w:val="0"/>
          <w:numId w:val="19"/>
        </w:numPr>
        <w:spacing w:line="240" w:lineRule="auto"/>
      </w:pPr>
      <w:proofErr w:type="gramStart"/>
      <w:r>
        <w:t>pasivne</w:t>
      </w:r>
      <w:proofErr w:type="gramEnd"/>
      <w:r>
        <w:t xml:space="preserve"> kratkoročne časovne razmejitve ter aktivne kratkoročne časovne razmejitve (razen zneska vrednotnic).</w:t>
      </w:r>
    </w:p>
    <w:p w:rsidR="008F0E60" w:rsidRDefault="008F0E60" w:rsidP="008F0E60">
      <w:r>
        <w:t>Ne pobotajo se:</w:t>
      </w:r>
    </w:p>
    <w:p w:rsidR="008F0E60" w:rsidRDefault="008F0E60" w:rsidP="00BC536D">
      <w:pPr>
        <w:numPr>
          <w:ilvl w:val="0"/>
          <w:numId w:val="17"/>
        </w:numPr>
        <w:spacing w:line="240" w:lineRule="auto"/>
      </w:pPr>
      <w:r>
        <w:t xml:space="preserve">terjatve in obveznosti med državo in občinami, </w:t>
      </w:r>
    </w:p>
    <w:p w:rsidR="008F0E60" w:rsidRDefault="008F0E60" w:rsidP="00BC536D">
      <w:pPr>
        <w:numPr>
          <w:ilvl w:val="0"/>
          <w:numId w:val="17"/>
        </w:numPr>
        <w:spacing w:line="240" w:lineRule="auto"/>
      </w:pPr>
      <w:r>
        <w:t xml:space="preserve">terjatve in obveznosti za sredstva, prejeta v upravljanje in </w:t>
      </w:r>
    </w:p>
    <w:p w:rsidR="008F0E60" w:rsidRDefault="008F0E60" w:rsidP="00BC536D">
      <w:pPr>
        <w:numPr>
          <w:ilvl w:val="0"/>
          <w:numId w:val="17"/>
        </w:numPr>
        <w:spacing w:line="240" w:lineRule="auto"/>
      </w:pPr>
      <w:proofErr w:type="gramStart"/>
      <w:r>
        <w:t>d</w:t>
      </w:r>
      <w:r w:rsidRPr="006D6638">
        <w:t>olgoročne</w:t>
      </w:r>
      <w:proofErr w:type="gramEnd"/>
      <w:r w:rsidRPr="006D6638">
        <w:t xml:space="preserve"> kapitalske naložbe - premoženje preneseno v last drugim uporabnikom enotnega kontnega načrta</w:t>
      </w:r>
      <w:r>
        <w:t xml:space="preserve"> ter </w:t>
      </w:r>
      <w:r w:rsidRPr="006D6638">
        <w:t>Sklad premoženja v javnih skladih in drugih pravnih osebah javnega prava, ki je v njihovi lasti</w:t>
      </w:r>
      <w:r>
        <w:t>.</w:t>
      </w:r>
    </w:p>
    <w:p w:rsidR="008F0E60" w:rsidRDefault="008F0E60" w:rsidP="008F0E60"/>
    <w:p w:rsidR="008F0E60" w:rsidRDefault="008F0E60" w:rsidP="008F0E60">
      <w:pPr>
        <w:rPr>
          <w:b/>
          <w:bCs/>
        </w:rPr>
      </w:pPr>
      <w:r>
        <w:rPr>
          <w:b/>
          <w:bCs/>
        </w:rPr>
        <w:t>NPU državnega in občinskega proračuna</w:t>
      </w:r>
    </w:p>
    <w:p w:rsidR="008F0E60" w:rsidRDefault="008F0E60" w:rsidP="008F0E60">
      <w:r>
        <w:t xml:space="preserve">NPU državnega in občinskega proračuna sestavi premoženjsko bilanco </w:t>
      </w:r>
      <w:proofErr w:type="gramStart"/>
      <w:r>
        <w:t>na</w:t>
      </w:r>
      <w:proofErr w:type="gramEnd"/>
      <w:r>
        <w:t xml:space="preserve"> obrazcu Premoženjska bilanca neposrednega uporabnika proračuna (priloga 3 PoKPB).</w:t>
      </w:r>
    </w:p>
    <w:p w:rsidR="00977744" w:rsidRDefault="00977744" w:rsidP="008F0E60"/>
    <w:p w:rsidR="008F0E60" w:rsidRDefault="008F0E60" w:rsidP="008F0E60">
      <w:proofErr w:type="gramStart"/>
      <w:r>
        <w:t>Za razliko med terjatvami in obveznostmi, ki so predmet pobota ter neplačanimi odhodki in prihodki, NPU v svoji bilanci zmanjša/poveča obveznost za sredstva, prejeta v upravljanje.</w:t>
      </w:r>
      <w:proofErr w:type="gramEnd"/>
    </w:p>
    <w:p w:rsidR="00977744" w:rsidRDefault="00977744" w:rsidP="008F0E60"/>
    <w:p w:rsidR="008F0E60" w:rsidRDefault="008F0E60" w:rsidP="008F0E60">
      <w:proofErr w:type="gramStart"/>
      <w:r>
        <w:t>NPU državnega oziroma občinskega proračuna, ki ima oblikovan tudi splošni sklad, za razliko med terjatvami in obveznostmi, ki so predmet tega pobota, zmanjša/poveča obveznost za sredstva, prejeta v upravljanje.</w:t>
      </w:r>
      <w:proofErr w:type="gramEnd"/>
      <w:r>
        <w:t xml:space="preserve"> Če znesek razlike presega stanje </w:t>
      </w:r>
      <w:proofErr w:type="gramStart"/>
      <w:r>
        <w:t>te</w:t>
      </w:r>
      <w:proofErr w:type="gramEnd"/>
      <w:r>
        <w:t xml:space="preserve"> obveznosti, zmanjša za preostali del razlike splošni sklad.</w:t>
      </w:r>
    </w:p>
    <w:p w:rsidR="008F0E60" w:rsidRDefault="008F0E60" w:rsidP="008F0E60">
      <w:r>
        <w:t xml:space="preserve">ZZZS in ZPIZ Slovenije pri sestavi premoženjske </w:t>
      </w:r>
      <w:proofErr w:type="gramStart"/>
      <w:r>
        <w:t>bilance  v</w:t>
      </w:r>
      <w:proofErr w:type="gramEnd"/>
      <w:r>
        <w:t xml:space="preserve"> skladu z </w:t>
      </w:r>
      <w:r w:rsidR="00FE0200">
        <w:t>14</w:t>
      </w:r>
      <w:r>
        <w:t xml:space="preserve">. </w:t>
      </w:r>
      <w:proofErr w:type="gramStart"/>
      <w:r>
        <w:t>členom</w:t>
      </w:r>
      <w:proofErr w:type="gramEnd"/>
      <w:r>
        <w:t xml:space="preserve"> PoKPB upoštevata določbe, ki veljajo za NPU državnega proračuna. </w:t>
      </w:r>
    </w:p>
    <w:p w:rsidR="008F0E60" w:rsidRDefault="008F0E60" w:rsidP="008F0E60"/>
    <w:p w:rsidR="008F0E60" w:rsidRDefault="008F0E60" w:rsidP="008F0E60">
      <w:pPr>
        <w:rPr>
          <w:b/>
          <w:bCs/>
        </w:rPr>
      </w:pPr>
      <w:r>
        <w:rPr>
          <w:b/>
          <w:bCs/>
        </w:rPr>
        <w:t>PPU državnega in občinskega proračuna</w:t>
      </w:r>
    </w:p>
    <w:p w:rsidR="008F0E60" w:rsidRDefault="008F0E60" w:rsidP="008F0E60">
      <w:r>
        <w:t xml:space="preserve">PPU državnega in občinskega proračuna sestavijo premoženjsko bilanco </w:t>
      </w:r>
      <w:proofErr w:type="gramStart"/>
      <w:r>
        <w:t>na</w:t>
      </w:r>
      <w:proofErr w:type="gramEnd"/>
      <w:r>
        <w:t xml:space="preserve"> obrazcu Premoženjska bilanca posrednega uporabnika proračuna (priloga 1 PoKPB).</w:t>
      </w:r>
    </w:p>
    <w:p w:rsidR="00977744" w:rsidRDefault="00977744" w:rsidP="008F0E60"/>
    <w:p w:rsidR="008F0E60" w:rsidRDefault="008F0E60" w:rsidP="008F0E60">
      <w:proofErr w:type="gramStart"/>
      <w:r>
        <w:t>Za razliko med terjatvami in obveznostmi, ki so predmet pobota, PPU v svoji bilanci zmanjša/poveča obveznost za sredstva, prejeta v upravljanje.</w:t>
      </w:r>
      <w:proofErr w:type="gramEnd"/>
    </w:p>
    <w:p w:rsidR="00977744" w:rsidRDefault="00977744" w:rsidP="008F0E60">
      <w:pPr>
        <w:rPr>
          <w:u w:val="single"/>
        </w:rPr>
      </w:pPr>
    </w:p>
    <w:p w:rsidR="008F0E60" w:rsidRDefault="008F0E60" w:rsidP="008F0E60">
      <w:pPr>
        <w:rPr>
          <w:rFonts w:cs="Arial"/>
        </w:rPr>
      </w:pPr>
      <w:r>
        <w:rPr>
          <w:u w:val="single"/>
        </w:rPr>
        <w:t>Javni sklad</w:t>
      </w:r>
      <w:r>
        <w:t xml:space="preserve">, katerega ustanovitelj je država </w:t>
      </w:r>
      <w:proofErr w:type="gramStart"/>
      <w:r>
        <w:t>ali</w:t>
      </w:r>
      <w:proofErr w:type="gramEnd"/>
      <w:r>
        <w:t xml:space="preserve"> občina, v okviru svojega proračuna medsebojno pobota tudi neplačane odhodke in prihodke, za razliko pa zmanjša/poveča obveznosti za sredstva prejeta v upravljanje. V primeru, da ima oblikovan tudi splošni sklad </w:t>
      </w:r>
      <w:proofErr w:type="gramStart"/>
      <w:r>
        <w:t>ali</w:t>
      </w:r>
      <w:proofErr w:type="gramEnd"/>
      <w:r>
        <w:t xml:space="preserve"> sklad namenskega premoženja, za razliko pobota zmanjša/poveča obveznost za sredstva prejeta v upravljanje. Če znesek razlike presega stanje </w:t>
      </w:r>
      <w:proofErr w:type="gramStart"/>
      <w:r>
        <w:t>te</w:t>
      </w:r>
      <w:proofErr w:type="gramEnd"/>
      <w:r>
        <w:t xml:space="preserve"> obveznosti, </w:t>
      </w:r>
      <w:r w:rsidR="009E6720">
        <w:t xml:space="preserve">se </w:t>
      </w:r>
      <w:r>
        <w:t>zmanjša za znesek, ki presega obveznost, najprej splošni sklad, za preostali del presežka pa sklad namenskega premoženja v javnih skladih.</w:t>
      </w:r>
      <w:r w:rsidR="00977744">
        <w:t xml:space="preserve"> </w:t>
      </w:r>
      <w:proofErr w:type="gramStart"/>
      <w:r w:rsidR="00977744">
        <w:t>Enako velja tudi za članice univerze skladno z zakonom o visokem šolstvu.</w:t>
      </w:r>
      <w:proofErr w:type="gramEnd"/>
    </w:p>
    <w:p w:rsidR="00977744" w:rsidRDefault="00977744" w:rsidP="008F0E60">
      <w:pPr>
        <w:rPr>
          <w:u w:val="single"/>
        </w:rPr>
      </w:pPr>
    </w:p>
    <w:p w:rsidR="008F0E60" w:rsidRDefault="008F0E60" w:rsidP="008F0E60">
      <w:proofErr w:type="gramStart"/>
      <w:r>
        <w:rPr>
          <w:u w:val="single"/>
        </w:rPr>
        <w:t>Javni zavod</w:t>
      </w:r>
      <w:r>
        <w:t>, ki ima oblikovan sklad premoženja v drugih pravnih osebah javnega prava, ki je v njihovi lasti, za razliko med terjatvami in obveznostmi, ki so predmet pobota, zmanjša/poveča navedeni sklad.</w:t>
      </w:r>
      <w:proofErr w:type="gramEnd"/>
    </w:p>
    <w:p w:rsidR="008F0E60" w:rsidRDefault="008F0E60" w:rsidP="008F0E60">
      <w:r>
        <w:t xml:space="preserve"> </w:t>
      </w:r>
    </w:p>
    <w:p w:rsidR="00977744" w:rsidRDefault="00977744" w:rsidP="008F0E60">
      <w:r>
        <w:lastRenderedPageBreak/>
        <w:t xml:space="preserve">Iz navedenega izhaja, da lastništvo premoženja pri PPU </w:t>
      </w:r>
      <w:proofErr w:type="gramStart"/>
      <w:r>
        <w:t>ni</w:t>
      </w:r>
      <w:proofErr w:type="gramEnd"/>
      <w:r>
        <w:t xml:space="preserve"> urejeno na enoten način.</w:t>
      </w:r>
    </w:p>
    <w:p w:rsidR="00977744" w:rsidRDefault="00977744" w:rsidP="008F0E60"/>
    <w:p w:rsidR="008F0E60" w:rsidRDefault="008F0E60" w:rsidP="00BC536D">
      <w:pPr>
        <w:pStyle w:val="Heading9"/>
        <w:numPr>
          <w:ilvl w:val="8"/>
          <w:numId w:val="9"/>
        </w:numPr>
      </w:pPr>
      <w:r>
        <w:t>Drugi nivo uskupinjanja</w:t>
      </w:r>
    </w:p>
    <w:p w:rsidR="008F0E60" w:rsidRDefault="008F0E60" w:rsidP="008F0E60">
      <w:proofErr w:type="gramStart"/>
      <w:r>
        <w:t xml:space="preserve">Na drugem nivoju </w:t>
      </w:r>
      <w:r w:rsidR="00FE0200">
        <w:t>se preko spletnega portala AJPES</w:t>
      </w:r>
      <w:r>
        <w:t xml:space="preserve"> pripravijo iz podatkov premoženjskih bilanc PU </w:t>
      </w:r>
      <w:r w:rsidR="00E85BD6">
        <w:t xml:space="preserve">skupne </w:t>
      </w:r>
      <w:r>
        <w:t>premoženjske bilance države</w:t>
      </w:r>
      <w:r w:rsidR="00E85BD6">
        <w:t xml:space="preserve"> (priloga 7 v PoKPB)</w:t>
      </w:r>
      <w:r>
        <w:t xml:space="preserve"> in </w:t>
      </w:r>
      <w:r w:rsidR="00E85BD6">
        <w:t xml:space="preserve">skupne premoženjske bilance posameznih </w:t>
      </w:r>
      <w:r>
        <w:t>občin</w:t>
      </w:r>
      <w:r w:rsidR="00E85BD6">
        <w:t xml:space="preserve"> (priloga 5 </w:t>
      </w:r>
      <w:r w:rsidR="00E85BD6">
        <w:rPr>
          <w:rFonts w:cs="Arial"/>
        </w:rPr>
        <w:t>PoKPB</w:t>
      </w:r>
      <w:r w:rsidR="00E85BD6">
        <w:t>)</w:t>
      </w:r>
      <w:r>
        <w:t>.</w:t>
      </w:r>
      <w:proofErr w:type="gramEnd"/>
      <w:r>
        <w:t xml:space="preserve"> </w:t>
      </w:r>
      <w:proofErr w:type="gramStart"/>
      <w:r w:rsidR="00E85BD6">
        <w:t>V skupno premoženjsko bilanco države sta v skladu z 14.</w:t>
      </w:r>
      <w:proofErr w:type="gramEnd"/>
      <w:r w:rsidR="00E85BD6">
        <w:t xml:space="preserve"> </w:t>
      </w:r>
      <w:proofErr w:type="gramStart"/>
      <w:r w:rsidR="00E85BD6">
        <w:t>členom</w:t>
      </w:r>
      <w:proofErr w:type="gramEnd"/>
      <w:r w:rsidR="00E85BD6">
        <w:t xml:space="preserve"> </w:t>
      </w:r>
      <w:r w:rsidR="00E85BD6">
        <w:rPr>
          <w:rFonts w:cs="Arial"/>
        </w:rPr>
        <w:t>PoKPB</w:t>
      </w:r>
      <w:r w:rsidR="00E85BD6">
        <w:t xml:space="preserve"> kot neposredna PU vključena tudi ZZZS in ZPIZ.</w:t>
      </w:r>
    </w:p>
    <w:p w:rsidR="00977744" w:rsidRDefault="00977744" w:rsidP="008F0E60"/>
    <w:p w:rsidR="008F0E60" w:rsidRPr="00475CA5" w:rsidRDefault="008F0E60" w:rsidP="008F0E60">
      <w:r w:rsidRPr="00475CA5">
        <w:t>Na tem nivoju se v okviru istega proračuna izvrši medsebojni pobot:</w:t>
      </w:r>
    </w:p>
    <w:p w:rsidR="008F0E60" w:rsidRPr="00475CA5" w:rsidRDefault="008F0E60" w:rsidP="00BC536D">
      <w:pPr>
        <w:numPr>
          <w:ilvl w:val="0"/>
          <w:numId w:val="18"/>
        </w:numPr>
        <w:spacing w:line="240" w:lineRule="auto"/>
      </w:pPr>
      <w:r w:rsidRPr="00475CA5">
        <w:t xml:space="preserve">terjatev za sredstva, dana v upravljanje, in obveznosti za sredstva, prejeta v upravljanje,  razen  terjatev za sredstva, dana v upravljanje pravnim osebam, ki niso PU in </w:t>
      </w:r>
    </w:p>
    <w:p w:rsidR="008F0E60" w:rsidRPr="00475CA5" w:rsidRDefault="008F0E60" w:rsidP="00BC536D">
      <w:pPr>
        <w:numPr>
          <w:ilvl w:val="0"/>
          <w:numId w:val="18"/>
        </w:numPr>
        <w:spacing w:line="240" w:lineRule="auto"/>
      </w:pPr>
      <w:proofErr w:type="gramStart"/>
      <w:r w:rsidRPr="00475CA5">
        <w:t>zneskov</w:t>
      </w:r>
      <w:proofErr w:type="gramEnd"/>
      <w:r w:rsidRPr="00475CA5">
        <w:t xml:space="preserve"> dolgoročnih kapitalskih naložb - premoženje, preneseno v last drugim pravnim osebam javnega prava ter zneskov skladov premoženja v javnih skladih in drugih pravnih osebah javnega prava, ki je v njihovi lasti.</w:t>
      </w:r>
    </w:p>
    <w:p w:rsidR="008F0E60" w:rsidRDefault="008F0E60" w:rsidP="008F0E60"/>
    <w:p w:rsidR="008F0E60" w:rsidRDefault="008F0E60" w:rsidP="008F0E60">
      <w:pPr>
        <w:rPr>
          <w:rFonts w:cs="Arial"/>
        </w:rPr>
      </w:pPr>
      <w:proofErr w:type="gramStart"/>
      <w:r>
        <w:t>Za razliko, nastalo pri medsebojnih pobotih, se zmanjša/poveča splošni sklad.</w:t>
      </w:r>
      <w:proofErr w:type="gramEnd"/>
    </w:p>
    <w:p w:rsidR="008F0E60" w:rsidRDefault="008F0E60" w:rsidP="008F0E60"/>
    <w:p w:rsidR="008F0E60" w:rsidRDefault="008F0E60" w:rsidP="00BC536D">
      <w:pPr>
        <w:pStyle w:val="Heading9"/>
        <w:numPr>
          <w:ilvl w:val="8"/>
          <w:numId w:val="9"/>
        </w:numPr>
      </w:pPr>
      <w:r>
        <w:t>Tretji nivo uskupinjenja</w:t>
      </w:r>
    </w:p>
    <w:p w:rsidR="001224FD" w:rsidRDefault="008F0E60" w:rsidP="00752EEC">
      <w:pPr>
        <w:spacing w:line="240" w:lineRule="auto"/>
        <w:rPr>
          <w:rFonts w:cs="Arial"/>
          <w:iCs/>
          <w:sz w:val="22"/>
          <w:szCs w:val="22"/>
          <w:lang w:val="sl-SI" w:eastAsia="sl-SI"/>
        </w:rPr>
      </w:pPr>
      <w:proofErr w:type="gramStart"/>
      <w:r>
        <w:t xml:space="preserve">Na tretjem nivoju </w:t>
      </w:r>
      <w:r w:rsidR="00E85BD6">
        <w:t>se preko spletnega portala AJPES pripravi</w:t>
      </w:r>
      <w:r>
        <w:t xml:space="preserve"> obrazec Konsolidirane premoženjske bilance države in občin (priloga 9 v PoKPB) iz podatkov premoženjskih bilanc države in občin.</w:t>
      </w:r>
      <w:proofErr w:type="gramEnd"/>
      <w:r>
        <w:t xml:space="preserve"> </w:t>
      </w:r>
      <w:proofErr w:type="gramStart"/>
      <w:r w:rsidRPr="005416EE">
        <w:rPr>
          <w:b/>
        </w:rPr>
        <w:t xml:space="preserve">Na tem nivoju </w:t>
      </w:r>
      <w:r w:rsidR="00C52F3A">
        <w:rPr>
          <w:b/>
        </w:rPr>
        <w:t xml:space="preserve">se </w:t>
      </w:r>
      <w:r w:rsidRPr="005416EE">
        <w:rPr>
          <w:b/>
        </w:rPr>
        <w:t>izvrši medsebojni pobot terjatev in obveznosti med državo ter občinami.</w:t>
      </w:r>
      <w:proofErr w:type="gramEnd"/>
      <w:r>
        <w:t xml:space="preserve"> </w:t>
      </w:r>
      <w:proofErr w:type="gramStart"/>
      <w:r>
        <w:t xml:space="preserve">Za razliko, nastalo med pobotanimi terjatvami in obveznostmi, </w:t>
      </w:r>
      <w:r w:rsidR="00C52F3A">
        <w:t xml:space="preserve">se </w:t>
      </w:r>
      <w:r>
        <w:t>zmanjša/poveča splošni sklad.</w:t>
      </w:r>
      <w:proofErr w:type="gramEnd"/>
      <w:r w:rsidR="00401743">
        <w:rPr>
          <w:rFonts w:cs="Arial"/>
          <w:iCs/>
          <w:sz w:val="22"/>
          <w:szCs w:val="22"/>
          <w:lang w:val="sl-SI" w:eastAsia="sl-SI"/>
        </w:rPr>
        <w:t xml:space="preserve"> </w:t>
      </w:r>
    </w:p>
    <w:p w:rsidR="001224FD" w:rsidRDefault="001224FD">
      <w:pPr>
        <w:spacing w:line="240" w:lineRule="auto"/>
        <w:jc w:val="left"/>
        <w:rPr>
          <w:rFonts w:cs="Arial"/>
          <w:iCs/>
          <w:sz w:val="22"/>
          <w:szCs w:val="22"/>
          <w:lang w:val="sl-SI" w:eastAsia="sl-SI"/>
        </w:rPr>
      </w:pPr>
      <w:r>
        <w:rPr>
          <w:rFonts w:cs="Arial"/>
          <w:iCs/>
          <w:sz w:val="22"/>
          <w:szCs w:val="22"/>
          <w:lang w:val="sl-SI" w:eastAsia="sl-SI"/>
        </w:rPr>
        <w:br w:type="page"/>
      </w:r>
    </w:p>
    <w:p w:rsidR="00844CE7" w:rsidRDefault="00844CE7" w:rsidP="00752EEC">
      <w:pPr>
        <w:spacing w:line="240" w:lineRule="auto"/>
        <w:rPr>
          <w:rFonts w:cs="Arial"/>
          <w:iCs/>
          <w:sz w:val="22"/>
          <w:szCs w:val="22"/>
          <w:lang w:val="sl-SI" w:eastAsia="sl-SI"/>
        </w:rPr>
      </w:pPr>
    </w:p>
    <w:tbl>
      <w:tblPr>
        <w:tblW w:w="5000" w:type="pct"/>
        <w:tblLayout w:type="fixed"/>
        <w:tblCellMar>
          <w:left w:w="70" w:type="dxa"/>
          <w:right w:w="70" w:type="dxa"/>
        </w:tblCellMar>
        <w:tblLook w:val="04A0" w:firstRow="1" w:lastRow="0" w:firstColumn="1" w:lastColumn="0" w:noHBand="0" w:noVBand="1"/>
      </w:tblPr>
      <w:tblGrid>
        <w:gridCol w:w="579"/>
        <w:gridCol w:w="4736"/>
        <w:gridCol w:w="851"/>
        <w:gridCol w:w="1558"/>
        <w:gridCol w:w="1486"/>
      </w:tblGrid>
      <w:tr w:rsidR="000C155F" w:rsidRPr="00311C9C" w:rsidTr="000C155F">
        <w:trPr>
          <w:trHeight w:val="1366"/>
        </w:trPr>
        <w:tc>
          <w:tcPr>
            <w:tcW w:w="5000" w:type="pct"/>
            <w:gridSpan w:val="5"/>
            <w:tcBorders>
              <w:top w:val="single" w:sz="8" w:space="0" w:color="auto"/>
              <w:left w:val="single" w:sz="8" w:space="0" w:color="auto"/>
              <w:bottom w:val="single" w:sz="4" w:space="0" w:color="auto"/>
              <w:right w:val="single" w:sz="8" w:space="0" w:color="auto"/>
            </w:tcBorders>
            <w:shd w:val="clear" w:color="000000" w:fill="FFFFE5"/>
            <w:vAlign w:val="center"/>
          </w:tcPr>
          <w:p w:rsidR="000C155F" w:rsidRDefault="000C155F" w:rsidP="008C6CB1">
            <w:pPr>
              <w:jc w:val="center"/>
              <w:rPr>
                <w:rFonts w:cs="Arial"/>
                <w:b/>
                <w:bCs/>
                <w:sz w:val="32"/>
                <w:szCs w:val="32"/>
              </w:rPr>
            </w:pPr>
          </w:p>
          <w:p w:rsidR="000C155F" w:rsidRPr="000C155F" w:rsidRDefault="000C155F" w:rsidP="003251F3">
            <w:pPr>
              <w:jc w:val="center"/>
              <w:rPr>
                <w:rFonts w:cs="Arial"/>
                <w:b/>
                <w:i/>
                <w:sz w:val="28"/>
                <w:szCs w:val="28"/>
                <w:lang w:eastAsia="sl-SI"/>
              </w:rPr>
            </w:pPr>
            <w:r w:rsidRPr="000C155F">
              <w:rPr>
                <w:rFonts w:cs="Arial"/>
                <w:b/>
                <w:i/>
                <w:sz w:val="28"/>
                <w:szCs w:val="28"/>
                <w:lang w:eastAsia="sl-SI"/>
              </w:rPr>
              <w:t>KONSOLIDIRANA PREMOŽENJSKA BILANCA DRŽAVE IN OBČIN NA DAN 31.12.201</w:t>
            </w:r>
            <w:r w:rsidR="003251F3">
              <w:rPr>
                <w:rFonts w:cs="Arial"/>
                <w:b/>
                <w:i/>
                <w:sz w:val="28"/>
                <w:szCs w:val="28"/>
                <w:lang w:eastAsia="sl-SI"/>
              </w:rPr>
              <w:t>8</w:t>
            </w:r>
          </w:p>
        </w:tc>
      </w:tr>
      <w:tr w:rsidR="000C155F" w:rsidRPr="00311C9C" w:rsidTr="008C6CB1">
        <w:trPr>
          <w:trHeight w:val="319"/>
        </w:trPr>
        <w:tc>
          <w:tcPr>
            <w:tcW w:w="314" w:type="pct"/>
            <w:vMerge w:val="restart"/>
            <w:tcBorders>
              <w:top w:val="single" w:sz="4" w:space="0" w:color="auto"/>
              <w:left w:val="single" w:sz="4" w:space="0" w:color="auto"/>
              <w:bottom w:val="single" w:sz="4" w:space="0" w:color="auto"/>
              <w:right w:val="single" w:sz="4" w:space="0" w:color="auto"/>
            </w:tcBorders>
            <w:shd w:val="clear" w:color="000000" w:fill="FFFFE5"/>
            <w:vAlign w:val="center"/>
            <w:hideMark/>
          </w:tcPr>
          <w:p w:rsidR="000C155F" w:rsidRPr="00311C9C" w:rsidRDefault="000C155F" w:rsidP="008C6CB1">
            <w:pPr>
              <w:spacing w:line="240" w:lineRule="auto"/>
              <w:jc w:val="center"/>
              <w:rPr>
                <w:rFonts w:cs="Arial"/>
                <w:i/>
                <w:sz w:val="16"/>
                <w:szCs w:val="16"/>
                <w:lang w:eastAsia="sl-SI"/>
              </w:rPr>
            </w:pPr>
            <w:r w:rsidRPr="00311C9C">
              <w:rPr>
                <w:rFonts w:cs="Arial"/>
                <w:i/>
                <w:sz w:val="16"/>
                <w:szCs w:val="16"/>
                <w:lang w:eastAsia="sl-SI"/>
              </w:rPr>
              <w:t>Zap. številka</w:t>
            </w:r>
          </w:p>
        </w:tc>
        <w:tc>
          <w:tcPr>
            <w:tcW w:w="2571" w:type="pct"/>
            <w:vMerge w:val="restart"/>
            <w:tcBorders>
              <w:top w:val="single" w:sz="4" w:space="0" w:color="auto"/>
              <w:left w:val="single" w:sz="4" w:space="0" w:color="auto"/>
              <w:bottom w:val="single" w:sz="4" w:space="0" w:color="auto"/>
              <w:right w:val="single" w:sz="4" w:space="0" w:color="auto"/>
            </w:tcBorders>
            <w:shd w:val="clear" w:color="000000" w:fill="FFFFE5"/>
            <w:vAlign w:val="center"/>
            <w:hideMark/>
          </w:tcPr>
          <w:p w:rsidR="000C155F" w:rsidRPr="00311C9C" w:rsidRDefault="000C155F" w:rsidP="008C6CB1">
            <w:pPr>
              <w:spacing w:line="240" w:lineRule="auto"/>
              <w:jc w:val="center"/>
              <w:rPr>
                <w:rFonts w:cs="Arial"/>
                <w:i/>
                <w:sz w:val="16"/>
                <w:szCs w:val="16"/>
                <w:lang w:eastAsia="sl-SI"/>
              </w:rPr>
            </w:pPr>
            <w:r w:rsidRPr="00311C9C">
              <w:rPr>
                <w:rFonts w:cs="Arial"/>
                <w:i/>
                <w:sz w:val="16"/>
                <w:szCs w:val="16"/>
                <w:lang w:eastAsia="sl-SI"/>
              </w:rPr>
              <w:t>Opis postavke premoženjske bilance</w:t>
            </w:r>
          </w:p>
        </w:tc>
        <w:tc>
          <w:tcPr>
            <w:tcW w:w="462" w:type="pct"/>
            <w:vMerge w:val="restart"/>
            <w:tcBorders>
              <w:top w:val="single" w:sz="4" w:space="0" w:color="auto"/>
              <w:left w:val="single" w:sz="4" w:space="0" w:color="auto"/>
              <w:bottom w:val="single" w:sz="4" w:space="0" w:color="auto"/>
              <w:right w:val="single" w:sz="4" w:space="0" w:color="auto"/>
            </w:tcBorders>
            <w:shd w:val="clear" w:color="000000" w:fill="FFFFE5"/>
            <w:vAlign w:val="center"/>
            <w:hideMark/>
          </w:tcPr>
          <w:p w:rsidR="000C155F" w:rsidRPr="00311C9C" w:rsidRDefault="000C155F" w:rsidP="008C6CB1">
            <w:pPr>
              <w:spacing w:line="240" w:lineRule="auto"/>
              <w:jc w:val="center"/>
              <w:rPr>
                <w:rFonts w:cs="Arial"/>
                <w:i/>
                <w:sz w:val="16"/>
                <w:szCs w:val="16"/>
                <w:lang w:eastAsia="sl-SI"/>
              </w:rPr>
            </w:pPr>
            <w:r w:rsidRPr="00311C9C">
              <w:rPr>
                <w:rFonts w:cs="Arial"/>
                <w:i/>
                <w:sz w:val="16"/>
                <w:szCs w:val="16"/>
                <w:lang w:eastAsia="sl-SI"/>
              </w:rPr>
              <w:t>Oznaka AOP</w:t>
            </w:r>
          </w:p>
        </w:tc>
        <w:tc>
          <w:tcPr>
            <w:tcW w:w="1653" w:type="pct"/>
            <w:gridSpan w:val="2"/>
            <w:tcBorders>
              <w:top w:val="single" w:sz="4" w:space="0" w:color="auto"/>
              <w:left w:val="single" w:sz="4" w:space="0" w:color="auto"/>
              <w:bottom w:val="single" w:sz="4" w:space="0" w:color="auto"/>
              <w:right w:val="single" w:sz="4" w:space="0" w:color="auto"/>
            </w:tcBorders>
            <w:shd w:val="clear" w:color="000000" w:fill="FFFFE5"/>
            <w:vAlign w:val="center"/>
            <w:hideMark/>
          </w:tcPr>
          <w:p w:rsidR="000C155F" w:rsidRPr="00311C9C" w:rsidRDefault="000C155F" w:rsidP="008C6CB1">
            <w:pPr>
              <w:spacing w:line="240" w:lineRule="auto"/>
              <w:jc w:val="center"/>
              <w:rPr>
                <w:rFonts w:cs="Arial"/>
                <w:i/>
                <w:sz w:val="16"/>
                <w:szCs w:val="16"/>
                <w:lang w:eastAsia="sl-SI"/>
              </w:rPr>
            </w:pPr>
            <w:r w:rsidRPr="00311C9C">
              <w:rPr>
                <w:rFonts w:cs="Arial"/>
                <w:i/>
                <w:sz w:val="16"/>
                <w:szCs w:val="16"/>
                <w:lang w:eastAsia="sl-SI"/>
              </w:rPr>
              <w:t xml:space="preserve"> Znesek (v evrih, brez centov)</w:t>
            </w:r>
          </w:p>
        </w:tc>
      </w:tr>
      <w:tr w:rsidR="000C155F" w:rsidRPr="00311C9C" w:rsidTr="008C6CB1">
        <w:trPr>
          <w:trHeight w:val="319"/>
        </w:trPr>
        <w:tc>
          <w:tcPr>
            <w:tcW w:w="314" w:type="pct"/>
            <w:vMerge/>
            <w:tcBorders>
              <w:top w:val="single" w:sz="4" w:space="0" w:color="auto"/>
              <w:left w:val="single" w:sz="4" w:space="0" w:color="auto"/>
              <w:bottom w:val="single" w:sz="4" w:space="0" w:color="auto"/>
              <w:right w:val="single" w:sz="4" w:space="0" w:color="auto"/>
            </w:tcBorders>
            <w:vAlign w:val="center"/>
            <w:hideMark/>
          </w:tcPr>
          <w:p w:rsidR="000C155F" w:rsidRPr="00311C9C" w:rsidRDefault="000C155F" w:rsidP="008C6CB1">
            <w:pPr>
              <w:spacing w:line="240" w:lineRule="auto"/>
              <w:rPr>
                <w:rFonts w:cs="Arial"/>
                <w:i/>
                <w:sz w:val="16"/>
                <w:szCs w:val="16"/>
                <w:lang w:eastAsia="sl-SI"/>
              </w:rPr>
            </w:pPr>
          </w:p>
        </w:tc>
        <w:tc>
          <w:tcPr>
            <w:tcW w:w="2571" w:type="pct"/>
            <w:vMerge/>
            <w:tcBorders>
              <w:top w:val="single" w:sz="4" w:space="0" w:color="auto"/>
              <w:left w:val="single" w:sz="4" w:space="0" w:color="auto"/>
              <w:bottom w:val="single" w:sz="4" w:space="0" w:color="auto"/>
              <w:right w:val="single" w:sz="4" w:space="0" w:color="auto"/>
            </w:tcBorders>
            <w:vAlign w:val="center"/>
            <w:hideMark/>
          </w:tcPr>
          <w:p w:rsidR="000C155F" w:rsidRPr="00311C9C" w:rsidRDefault="000C155F" w:rsidP="008C6CB1">
            <w:pPr>
              <w:spacing w:line="240" w:lineRule="auto"/>
              <w:rPr>
                <w:rFonts w:cs="Arial"/>
                <w:i/>
                <w:sz w:val="16"/>
                <w:szCs w:val="16"/>
                <w:lang w:eastAsia="sl-SI"/>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rsidR="000C155F" w:rsidRPr="00311C9C" w:rsidRDefault="000C155F" w:rsidP="008C6CB1">
            <w:pPr>
              <w:spacing w:line="240" w:lineRule="auto"/>
              <w:rPr>
                <w:rFonts w:cs="Arial"/>
                <w:i/>
                <w:sz w:val="16"/>
                <w:szCs w:val="16"/>
                <w:lang w:eastAsia="sl-SI"/>
              </w:rPr>
            </w:pPr>
          </w:p>
        </w:tc>
        <w:tc>
          <w:tcPr>
            <w:tcW w:w="846" w:type="pct"/>
            <w:tcBorders>
              <w:top w:val="single" w:sz="4" w:space="0" w:color="auto"/>
              <w:left w:val="single" w:sz="4" w:space="0" w:color="auto"/>
              <w:bottom w:val="single" w:sz="4" w:space="0" w:color="auto"/>
              <w:right w:val="single" w:sz="4" w:space="0" w:color="auto"/>
            </w:tcBorders>
            <w:shd w:val="clear" w:color="000000" w:fill="FFFFE5"/>
            <w:vAlign w:val="center"/>
            <w:hideMark/>
          </w:tcPr>
          <w:p w:rsidR="000C155F" w:rsidRPr="00311C9C" w:rsidRDefault="000C155F" w:rsidP="008C6CB1">
            <w:pPr>
              <w:spacing w:line="240" w:lineRule="auto"/>
              <w:jc w:val="center"/>
              <w:rPr>
                <w:rFonts w:cs="Arial"/>
                <w:i/>
                <w:sz w:val="16"/>
                <w:szCs w:val="16"/>
                <w:lang w:eastAsia="sl-SI"/>
              </w:rPr>
            </w:pPr>
            <w:r w:rsidRPr="00311C9C">
              <w:rPr>
                <w:rFonts w:cs="Arial"/>
                <w:i/>
                <w:sz w:val="16"/>
                <w:szCs w:val="16"/>
                <w:lang w:eastAsia="sl-SI"/>
              </w:rPr>
              <w:t>Tekoče leto</w:t>
            </w:r>
          </w:p>
        </w:tc>
        <w:tc>
          <w:tcPr>
            <w:tcW w:w="807" w:type="pct"/>
            <w:tcBorders>
              <w:top w:val="single" w:sz="4" w:space="0" w:color="auto"/>
              <w:left w:val="single" w:sz="4" w:space="0" w:color="auto"/>
              <w:bottom w:val="single" w:sz="4" w:space="0" w:color="auto"/>
              <w:right w:val="single" w:sz="4" w:space="0" w:color="auto"/>
            </w:tcBorders>
            <w:shd w:val="clear" w:color="000000" w:fill="FFFFE5"/>
            <w:vAlign w:val="center"/>
            <w:hideMark/>
          </w:tcPr>
          <w:p w:rsidR="000C155F" w:rsidRPr="00311C9C" w:rsidRDefault="000C155F" w:rsidP="008C6CB1">
            <w:pPr>
              <w:spacing w:line="240" w:lineRule="auto"/>
              <w:jc w:val="center"/>
              <w:rPr>
                <w:rFonts w:cs="Arial"/>
                <w:i/>
                <w:sz w:val="16"/>
                <w:szCs w:val="16"/>
                <w:lang w:eastAsia="sl-SI"/>
              </w:rPr>
            </w:pPr>
            <w:r w:rsidRPr="00311C9C">
              <w:rPr>
                <w:rFonts w:cs="Arial"/>
                <w:i/>
                <w:sz w:val="16"/>
                <w:szCs w:val="16"/>
                <w:lang w:eastAsia="sl-SI"/>
              </w:rPr>
              <w:t>Preteklo leto</w:t>
            </w:r>
          </w:p>
        </w:tc>
      </w:tr>
      <w:tr w:rsidR="000C155F" w:rsidRPr="00311C9C" w:rsidTr="008C6CB1">
        <w:trPr>
          <w:trHeight w:val="284"/>
        </w:trPr>
        <w:tc>
          <w:tcPr>
            <w:tcW w:w="314" w:type="pct"/>
            <w:tcBorders>
              <w:top w:val="single" w:sz="4" w:space="0" w:color="auto"/>
              <w:left w:val="single" w:sz="8" w:space="0" w:color="auto"/>
              <w:bottom w:val="single" w:sz="8" w:space="0" w:color="auto"/>
              <w:right w:val="single" w:sz="8" w:space="0" w:color="000000"/>
            </w:tcBorders>
            <w:shd w:val="clear" w:color="000000" w:fill="FFFFE5"/>
            <w:noWrap/>
            <w:vAlign w:val="center"/>
            <w:hideMark/>
          </w:tcPr>
          <w:p w:rsidR="000C155F" w:rsidRPr="00311C9C" w:rsidRDefault="000C155F" w:rsidP="008C6CB1">
            <w:pPr>
              <w:spacing w:line="240" w:lineRule="auto"/>
              <w:jc w:val="center"/>
              <w:rPr>
                <w:rFonts w:cs="Arial"/>
                <w:i/>
                <w:sz w:val="16"/>
                <w:szCs w:val="16"/>
                <w:lang w:eastAsia="sl-SI"/>
              </w:rPr>
            </w:pPr>
            <w:r w:rsidRPr="00311C9C">
              <w:rPr>
                <w:rFonts w:cs="Arial"/>
                <w:i/>
                <w:sz w:val="16"/>
                <w:szCs w:val="16"/>
                <w:lang w:eastAsia="sl-SI"/>
              </w:rPr>
              <w:t>1</w:t>
            </w:r>
          </w:p>
        </w:tc>
        <w:tc>
          <w:tcPr>
            <w:tcW w:w="2571" w:type="pct"/>
            <w:tcBorders>
              <w:top w:val="single" w:sz="4" w:space="0" w:color="auto"/>
              <w:left w:val="nil"/>
              <w:bottom w:val="single" w:sz="8" w:space="0" w:color="auto"/>
              <w:right w:val="single" w:sz="8" w:space="0" w:color="000000"/>
            </w:tcBorders>
            <w:shd w:val="clear" w:color="000000" w:fill="FFFFE5"/>
            <w:noWrap/>
            <w:vAlign w:val="center"/>
            <w:hideMark/>
          </w:tcPr>
          <w:p w:rsidR="000C155F" w:rsidRPr="00311C9C" w:rsidRDefault="000C155F" w:rsidP="008C6CB1">
            <w:pPr>
              <w:spacing w:line="240" w:lineRule="auto"/>
              <w:jc w:val="center"/>
              <w:rPr>
                <w:rFonts w:cs="Arial"/>
                <w:i/>
                <w:sz w:val="16"/>
                <w:szCs w:val="16"/>
                <w:lang w:eastAsia="sl-SI"/>
              </w:rPr>
            </w:pPr>
            <w:r w:rsidRPr="00311C9C">
              <w:rPr>
                <w:rFonts w:cs="Arial"/>
                <w:i/>
                <w:sz w:val="16"/>
                <w:szCs w:val="16"/>
                <w:lang w:eastAsia="sl-SI"/>
              </w:rPr>
              <w:t>2</w:t>
            </w:r>
          </w:p>
        </w:tc>
        <w:tc>
          <w:tcPr>
            <w:tcW w:w="462" w:type="pct"/>
            <w:tcBorders>
              <w:top w:val="single" w:sz="4" w:space="0" w:color="auto"/>
              <w:left w:val="nil"/>
              <w:bottom w:val="single" w:sz="8" w:space="0" w:color="auto"/>
              <w:right w:val="single" w:sz="8" w:space="0" w:color="000000"/>
            </w:tcBorders>
            <w:shd w:val="clear" w:color="000000" w:fill="FFFFE5"/>
            <w:noWrap/>
            <w:vAlign w:val="center"/>
            <w:hideMark/>
          </w:tcPr>
          <w:p w:rsidR="000C155F" w:rsidRPr="00311C9C" w:rsidRDefault="000C155F" w:rsidP="008C6CB1">
            <w:pPr>
              <w:spacing w:line="240" w:lineRule="auto"/>
              <w:jc w:val="center"/>
              <w:rPr>
                <w:rFonts w:cs="Arial"/>
                <w:i/>
                <w:sz w:val="16"/>
                <w:szCs w:val="16"/>
                <w:lang w:eastAsia="sl-SI"/>
              </w:rPr>
            </w:pPr>
            <w:r w:rsidRPr="00311C9C">
              <w:rPr>
                <w:rFonts w:cs="Arial"/>
                <w:i/>
                <w:sz w:val="16"/>
                <w:szCs w:val="16"/>
                <w:lang w:eastAsia="sl-SI"/>
              </w:rPr>
              <w:t>3</w:t>
            </w:r>
          </w:p>
        </w:tc>
        <w:tc>
          <w:tcPr>
            <w:tcW w:w="846" w:type="pct"/>
            <w:tcBorders>
              <w:top w:val="single" w:sz="4" w:space="0" w:color="auto"/>
              <w:left w:val="nil"/>
              <w:bottom w:val="single" w:sz="8" w:space="0" w:color="auto"/>
              <w:right w:val="single" w:sz="8" w:space="0" w:color="000000"/>
            </w:tcBorders>
            <w:shd w:val="clear" w:color="000000" w:fill="FFFFE5"/>
            <w:noWrap/>
            <w:vAlign w:val="center"/>
            <w:hideMark/>
          </w:tcPr>
          <w:p w:rsidR="000C155F" w:rsidRPr="00311C9C" w:rsidRDefault="000C155F" w:rsidP="008C6CB1">
            <w:pPr>
              <w:spacing w:line="240" w:lineRule="auto"/>
              <w:jc w:val="center"/>
              <w:rPr>
                <w:rFonts w:cs="Arial"/>
                <w:i/>
                <w:sz w:val="16"/>
                <w:szCs w:val="16"/>
                <w:lang w:eastAsia="sl-SI"/>
              </w:rPr>
            </w:pPr>
            <w:r w:rsidRPr="00311C9C">
              <w:rPr>
                <w:rFonts w:cs="Arial"/>
                <w:i/>
                <w:sz w:val="16"/>
                <w:szCs w:val="16"/>
                <w:lang w:eastAsia="sl-SI"/>
              </w:rPr>
              <w:t>4</w:t>
            </w:r>
          </w:p>
        </w:tc>
        <w:tc>
          <w:tcPr>
            <w:tcW w:w="807" w:type="pct"/>
            <w:tcBorders>
              <w:top w:val="single" w:sz="4" w:space="0" w:color="auto"/>
              <w:left w:val="nil"/>
              <w:bottom w:val="single" w:sz="8" w:space="0" w:color="auto"/>
              <w:right w:val="single" w:sz="8" w:space="0" w:color="000000"/>
            </w:tcBorders>
            <w:shd w:val="clear" w:color="000000" w:fill="FFFFE5"/>
            <w:noWrap/>
            <w:vAlign w:val="center"/>
            <w:hideMark/>
          </w:tcPr>
          <w:p w:rsidR="000C155F" w:rsidRPr="00311C9C" w:rsidRDefault="000C155F" w:rsidP="008C6CB1">
            <w:pPr>
              <w:spacing w:line="240" w:lineRule="auto"/>
              <w:jc w:val="center"/>
              <w:rPr>
                <w:rFonts w:cs="Arial"/>
                <w:i/>
                <w:sz w:val="16"/>
                <w:szCs w:val="16"/>
                <w:lang w:eastAsia="sl-SI"/>
              </w:rPr>
            </w:pPr>
            <w:r w:rsidRPr="00311C9C">
              <w:rPr>
                <w:rFonts w:cs="Arial"/>
                <w:i/>
                <w:sz w:val="16"/>
                <w:szCs w:val="16"/>
                <w:lang w:eastAsia="sl-SI"/>
              </w:rPr>
              <w:t>5</w:t>
            </w:r>
          </w:p>
        </w:tc>
      </w:tr>
      <w:tr w:rsidR="000C155F" w:rsidRPr="00311C9C" w:rsidTr="008C6CB1">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E5"/>
            <w:noWrap/>
            <w:vAlign w:val="center"/>
            <w:hideMark/>
          </w:tcPr>
          <w:p w:rsidR="000C155F" w:rsidRPr="00311C9C" w:rsidRDefault="000C155F" w:rsidP="008C6CB1">
            <w:pPr>
              <w:spacing w:line="240" w:lineRule="auto"/>
              <w:jc w:val="center"/>
              <w:rPr>
                <w:rFonts w:cs="Arial"/>
                <w:i/>
                <w:sz w:val="16"/>
                <w:szCs w:val="16"/>
                <w:lang w:eastAsia="sl-SI"/>
              </w:rPr>
            </w:pPr>
            <w:r w:rsidRPr="00311C9C">
              <w:rPr>
                <w:rFonts w:cs="Arial"/>
                <w:i/>
                <w:sz w:val="16"/>
                <w:szCs w:val="16"/>
                <w:lang w:eastAsia="sl-SI"/>
              </w:rPr>
              <w:t> </w:t>
            </w:r>
          </w:p>
        </w:tc>
        <w:tc>
          <w:tcPr>
            <w:tcW w:w="2571" w:type="pct"/>
            <w:tcBorders>
              <w:top w:val="nil"/>
              <w:left w:val="nil"/>
              <w:bottom w:val="nil"/>
              <w:right w:val="single" w:sz="8" w:space="0" w:color="000000"/>
            </w:tcBorders>
            <w:shd w:val="clear" w:color="000000" w:fill="FFFFE5"/>
            <w:noWrap/>
            <w:vAlign w:val="bottom"/>
            <w:hideMark/>
          </w:tcPr>
          <w:p w:rsidR="000C155F" w:rsidRPr="00311C9C" w:rsidRDefault="000C155F" w:rsidP="008C6CB1">
            <w:pPr>
              <w:spacing w:line="240" w:lineRule="auto"/>
              <w:rPr>
                <w:rFonts w:cs="Arial"/>
                <w:b/>
                <w:bCs/>
                <w:i/>
                <w:sz w:val="16"/>
                <w:szCs w:val="16"/>
                <w:lang w:eastAsia="sl-SI"/>
              </w:rPr>
            </w:pPr>
            <w:r w:rsidRPr="00311C9C">
              <w:rPr>
                <w:rFonts w:cs="Arial"/>
                <w:b/>
                <w:bCs/>
                <w:i/>
                <w:sz w:val="16"/>
                <w:szCs w:val="16"/>
                <w:lang w:eastAsia="sl-SI"/>
              </w:rPr>
              <w:t>Aktiva</w:t>
            </w:r>
          </w:p>
        </w:tc>
        <w:tc>
          <w:tcPr>
            <w:tcW w:w="462" w:type="pct"/>
            <w:tcBorders>
              <w:top w:val="single" w:sz="8" w:space="0" w:color="auto"/>
              <w:left w:val="nil"/>
              <w:bottom w:val="single" w:sz="8" w:space="0" w:color="auto"/>
              <w:right w:val="single" w:sz="8" w:space="0" w:color="000000"/>
            </w:tcBorders>
            <w:shd w:val="clear" w:color="000000" w:fill="FFFFE5"/>
            <w:noWrap/>
            <w:vAlign w:val="bottom"/>
            <w:hideMark/>
          </w:tcPr>
          <w:p w:rsidR="000C155F" w:rsidRPr="00311C9C" w:rsidRDefault="000C155F" w:rsidP="008C6CB1">
            <w:pPr>
              <w:spacing w:line="240" w:lineRule="auto"/>
              <w:rPr>
                <w:rFonts w:cs="Arial"/>
                <w:i/>
                <w:sz w:val="16"/>
                <w:szCs w:val="16"/>
                <w:lang w:eastAsia="sl-SI"/>
              </w:rPr>
            </w:pPr>
            <w:r w:rsidRPr="00311C9C">
              <w:rPr>
                <w:rFonts w:cs="Arial"/>
                <w:i/>
                <w:sz w:val="16"/>
                <w:szCs w:val="16"/>
                <w:lang w:eastAsia="sl-SI"/>
              </w:rPr>
              <w:t> </w:t>
            </w:r>
          </w:p>
        </w:tc>
        <w:tc>
          <w:tcPr>
            <w:tcW w:w="846" w:type="pct"/>
            <w:tcBorders>
              <w:top w:val="single" w:sz="8" w:space="0" w:color="auto"/>
              <w:left w:val="nil"/>
              <w:bottom w:val="single" w:sz="8" w:space="0" w:color="auto"/>
              <w:right w:val="single" w:sz="8" w:space="0" w:color="000000"/>
            </w:tcBorders>
            <w:shd w:val="clear" w:color="000000" w:fill="FFFFE5"/>
            <w:noWrap/>
            <w:vAlign w:val="bottom"/>
            <w:hideMark/>
          </w:tcPr>
          <w:p w:rsidR="000C155F" w:rsidRPr="00311C9C" w:rsidRDefault="000C155F" w:rsidP="008C6CB1">
            <w:pPr>
              <w:spacing w:line="240" w:lineRule="auto"/>
              <w:rPr>
                <w:rFonts w:cs="Arial"/>
                <w:i/>
                <w:sz w:val="16"/>
                <w:szCs w:val="16"/>
                <w:lang w:eastAsia="sl-SI"/>
              </w:rPr>
            </w:pPr>
            <w:r w:rsidRPr="00311C9C">
              <w:rPr>
                <w:rFonts w:cs="Arial"/>
                <w:i/>
                <w:sz w:val="16"/>
                <w:szCs w:val="16"/>
                <w:lang w:eastAsia="sl-SI"/>
              </w:rPr>
              <w:t> </w:t>
            </w:r>
          </w:p>
        </w:tc>
        <w:tc>
          <w:tcPr>
            <w:tcW w:w="807" w:type="pct"/>
            <w:tcBorders>
              <w:top w:val="single" w:sz="8" w:space="0" w:color="auto"/>
              <w:left w:val="nil"/>
              <w:bottom w:val="single" w:sz="8" w:space="0" w:color="auto"/>
              <w:right w:val="single" w:sz="8" w:space="0" w:color="000000"/>
            </w:tcBorders>
            <w:shd w:val="clear" w:color="000000" w:fill="FFFFE5"/>
            <w:noWrap/>
            <w:vAlign w:val="bottom"/>
            <w:hideMark/>
          </w:tcPr>
          <w:p w:rsidR="000C155F" w:rsidRPr="00311C9C" w:rsidRDefault="000C155F" w:rsidP="008C6CB1">
            <w:pPr>
              <w:spacing w:line="240" w:lineRule="auto"/>
              <w:rPr>
                <w:rFonts w:cs="Arial"/>
                <w:i/>
                <w:sz w:val="16"/>
                <w:szCs w:val="16"/>
                <w:lang w:eastAsia="sl-SI"/>
              </w:rPr>
            </w:pPr>
            <w:r w:rsidRPr="00311C9C">
              <w:rPr>
                <w:rFonts w:cs="Arial"/>
                <w:i/>
                <w:sz w:val="16"/>
                <w:szCs w:val="16"/>
                <w:lang w:eastAsia="sl-SI"/>
              </w:rPr>
              <w:t> </w:t>
            </w:r>
          </w:p>
        </w:tc>
      </w:tr>
      <w:tr w:rsidR="00116FC1" w:rsidRPr="00311C9C" w:rsidTr="00972554">
        <w:trPr>
          <w:trHeight w:val="284"/>
        </w:trPr>
        <w:tc>
          <w:tcPr>
            <w:tcW w:w="314" w:type="pct"/>
            <w:tcBorders>
              <w:top w:val="single" w:sz="8" w:space="0" w:color="auto"/>
              <w:left w:val="single" w:sz="8" w:space="0" w:color="auto"/>
              <w:bottom w:val="nil"/>
              <w:right w:val="single" w:sz="8" w:space="0" w:color="000000"/>
            </w:tcBorders>
            <w:shd w:val="clear" w:color="000000" w:fill="FFFFD9"/>
            <w:vAlign w:val="center"/>
            <w:hideMark/>
          </w:tcPr>
          <w:p w:rsidR="00116FC1" w:rsidRPr="00311C9C" w:rsidRDefault="00116FC1" w:rsidP="00116FC1">
            <w:pPr>
              <w:spacing w:line="240" w:lineRule="auto"/>
              <w:jc w:val="center"/>
              <w:rPr>
                <w:rFonts w:cs="Arial"/>
                <w:i/>
                <w:sz w:val="16"/>
                <w:szCs w:val="16"/>
                <w:lang w:eastAsia="sl-SI"/>
              </w:rPr>
            </w:pPr>
            <w:r w:rsidRPr="00311C9C">
              <w:rPr>
                <w:rFonts w:cs="Arial"/>
                <w:i/>
                <w:sz w:val="16"/>
                <w:szCs w:val="16"/>
                <w:lang w:eastAsia="sl-SI"/>
              </w:rPr>
              <w:t>01</w:t>
            </w:r>
          </w:p>
        </w:tc>
        <w:tc>
          <w:tcPr>
            <w:tcW w:w="2571" w:type="pct"/>
            <w:tcBorders>
              <w:top w:val="single" w:sz="8" w:space="0" w:color="auto"/>
              <w:left w:val="nil"/>
              <w:bottom w:val="nil"/>
              <w:right w:val="single" w:sz="8" w:space="0" w:color="000000"/>
            </w:tcBorders>
            <w:shd w:val="clear" w:color="000000" w:fill="FFFFD9"/>
            <w:vAlign w:val="center"/>
            <w:hideMark/>
          </w:tcPr>
          <w:p w:rsidR="00116FC1" w:rsidRPr="00311C9C" w:rsidRDefault="00116FC1" w:rsidP="00116FC1">
            <w:pPr>
              <w:spacing w:line="240" w:lineRule="auto"/>
              <w:jc w:val="left"/>
              <w:rPr>
                <w:rFonts w:cs="Arial"/>
                <w:b/>
                <w:bCs/>
                <w:i/>
                <w:sz w:val="16"/>
                <w:szCs w:val="16"/>
                <w:lang w:eastAsia="sl-SI"/>
              </w:rPr>
            </w:pPr>
            <w:r w:rsidRPr="00311C9C">
              <w:rPr>
                <w:rFonts w:cs="Arial"/>
                <w:b/>
                <w:bCs/>
                <w:i/>
                <w:sz w:val="16"/>
                <w:szCs w:val="16"/>
                <w:lang w:eastAsia="sl-SI"/>
              </w:rPr>
              <w:t>Sedanja vrednost neopredmetenih sredstev in dolgoročnih aktivnih časovnih razmejitev</w:t>
            </w:r>
            <w:r w:rsidRPr="00311C9C">
              <w:rPr>
                <w:rFonts w:cs="Arial"/>
                <w:b/>
                <w:bCs/>
                <w:i/>
                <w:sz w:val="16"/>
                <w:szCs w:val="16"/>
                <w:lang w:eastAsia="sl-SI"/>
              </w:rPr>
              <w:br/>
            </w:r>
            <w:r w:rsidRPr="00311C9C">
              <w:rPr>
                <w:rFonts w:cs="Arial"/>
                <w:i/>
                <w:sz w:val="16"/>
                <w:szCs w:val="16"/>
                <w:lang w:eastAsia="sl-SI"/>
              </w:rPr>
              <w:t>(AOP901-AOP902)</w:t>
            </w:r>
          </w:p>
        </w:tc>
        <w:tc>
          <w:tcPr>
            <w:tcW w:w="462" w:type="pct"/>
            <w:tcBorders>
              <w:top w:val="single" w:sz="8" w:space="0" w:color="auto"/>
              <w:left w:val="nil"/>
              <w:bottom w:val="nil"/>
              <w:right w:val="single" w:sz="8" w:space="0" w:color="000000"/>
            </w:tcBorders>
            <w:shd w:val="clear" w:color="000000" w:fill="FFFFD9"/>
            <w:vAlign w:val="center"/>
            <w:hideMark/>
          </w:tcPr>
          <w:p w:rsidR="00116FC1" w:rsidRPr="00311C9C" w:rsidRDefault="00116FC1" w:rsidP="00116FC1">
            <w:pPr>
              <w:spacing w:line="240" w:lineRule="auto"/>
              <w:jc w:val="center"/>
              <w:rPr>
                <w:rFonts w:cs="Arial"/>
                <w:i/>
                <w:sz w:val="16"/>
                <w:szCs w:val="16"/>
                <w:lang w:eastAsia="sl-SI"/>
              </w:rPr>
            </w:pPr>
            <w:r w:rsidRPr="00311C9C">
              <w:rPr>
                <w:rFonts w:cs="Arial"/>
                <w:i/>
                <w:sz w:val="16"/>
                <w:szCs w:val="16"/>
                <w:lang w:eastAsia="sl-SI"/>
              </w:rPr>
              <w:t>AOP900</w:t>
            </w:r>
          </w:p>
        </w:tc>
        <w:tc>
          <w:tcPr>
            <w:tcW w:w="846" w:type="pct"/>
            <w:tcBorders>
              <w:top w:val="single" w:sz="8" w:space="0" w:color="auto"/>
              <w:left w:val="nil"/>
              <w:bottom w:val="nil"/>
              <w:right w:val="single" w:sz="8" w:space="0" w:color="000000"/>
            </w:tcBorders>
            <w:shd w:val="clear" w:color="000000" w:fill="FFFFD9"/>
            <w:noWrap/>
            <w:vAlign w:val="center"/>
          </w:tcPr>
          <w:p w:rsidR="00116FC1" w:rsidRPr="00972554" w:rsidRDefault="00116FC1" w:rsidP="00972554">
            <w:pPr>
              <w:spacing w:line="240" w:lineRule="auto"/>
              <w:jc w:val="right"/>
              <w:rPr>
                <w:rFonts w:ascii="Calibri" w:hAnsi="Calibri" w:cs="Calibri"/>
                <w:i/>
                <w:color w:val="000000"/>
                <w:sz w:val="18"/>
                <w:szCs w:val="18"/>
                <w:lang w:val="sl-SI" w:eastAsia="sl-SI"/>
              </w:rPr>
            </w:pPr>
            <w:r w:rsidRPr="00972554">
              <w:rPr>
                <w:rFonts w:ascii="Calibri" w:hAnsi="Calibri" w:cs="Calibri"/>
                <w:color w:val="000000"/>
                <w:sz w:val="18"/>
                <w:szCs w:val="18"/>
                <w:lang w:val="sl-SI" w:eastAsia="sl-SI"/>
              </w:rPr>
              <w:t xml:space="preserve">154.447.295 </w:t>
            </w:r>
          </w:p>
        </w:tc>
        <w:tc>
          <w:tcPr>
            <w:tcW w:w="807" w:type="pct"/>
            <w:tcBorders>
              <w:top w:val="single" w:sz="8" w:space="0" w:color="auto"/>
              <w:left w:val="nil"/>
              <w:bottom w:val="nil"/>
              <w:right w:val="single" w:sz="8" w:space="0" w:color="000000"/>
            </w:tcBorders>
            <w:shd w:val="clear" w:color="000000" w:fill="FFFFD9"/>
            <w:noWrap/>
            <w:vAlign w:val="center"/>
            <w:hideMark/>
          </w:tcPr>
          <w:p w:rsidR="00116FC1" w:rsidRPr="00311C9C" w:rsidRDefault="00116FC1" w:rsidP="00116FC1">
            <w:pPr>
              <w:spacing w:line="240" w:lineRule="auto"/>
              <w:jc w:val="right"/>
              <w:rPr>
                <w:rFonts w:cs="Arial"/>
                <w:i/>
                <w:sz w:val="16"/>
                <w:szCs w:val="16"/>
                <w:lang w:eastAsia="sl-SI"/>
              </w:rPr>
            </w:pPr>
            <w:r w:rsidRPr="000F6B5B">
              <w:rPr>
                <w:rFonts w:ascii="Calibri" w:hAnsi="Calibri" w:cs="Calibri"/>
                <w:i/>
                <w:color w:val="000000"/>
                <w:sz w:val="18"/>
                <w:szCs w:val="18"/>
                <w:lang w:val="sl-SI" w:eastAsia="sl-SI"/>
              </w:rPr>
              <w:t>144.386.771</w:t>
            </w:r>
          </w:p>
        </w:tc>
      </w:tr>
      <w:tr w:rsidR="00116FC1" w:rsidRPr="00311C9C" w:rsidTr="00972554">
        <w:trPr>
          <w:trHeight w:val="284"/>
        </w:trPr>
        <w:tc>
          <w:tcPr>
            <w:tcW w:w="314" w:type="pct"/>
            <w:tcBorders>
              <w:top w:val="single" w:sz="8" w:space="0" w:color="auto"/>
              <w:left w:val="single" w:sz="8" w:space="0" w:color="auto"/>
              <w:bottom w:val="single" w:sz="4" w:space="0" w:color="auto"/>
              <w:right w:val="single" w:sz="8" w:space="0" w:color="000000"/>
            </w:tcBorders>
            <w:shd w:val="clear" w:color="000000" w:fill="FFFFD9"/>
            <w:vAlign w:val="center"/>
            <w:hideMark/>
          </w:tcPr>
          <w:p w:rsidR="00116FC1" w:rsidRPr="00311C9C" w:rsidRDefault="00116FC1" w:rsidP="00116FC1">
            <w:pPr>
              <w:spacing w:line="240" w:lineRule="auto"/>
              <w:jc w:val="center"/>
              <w:rPr>
                <w:rFonts w:cs="Arial"/>
                <w:i/>
                <w:sz w:val="16"/>
                <w:szCs w:val="16"/>
                <w:lang w:eastAsia="sl-SI"/>
              </w:rPr>
            </w:pPr>
            <w:r w:rsidRPr="00311C9C">
              <w:rPr>
                <w:rFonts w:cs="Arial"/>
                <w:i/>
                <w:sz w:val="16"/>
                <w:szCs w:val="16"/>
                <w:lang w:eastAsia="sl-SI"/>
              </w:rPr>
              <w:t>02</w:t>
            </w:r>
          </w:p>
        </w:tc>
        <w:tc>
          <w:tcPr>
            <w:tcW w:w="2571" w:type="pct"/>
            <w:tcBorders>
              <w:top w:val="single" w:sz="8" w:space="0" w:color="auto"/>
              <w:left w:val="nil"/>
              <w:bottom w:val="single" w:sz="4" w:space="0" w:color="auto"/>
              <w:right w:val="single" w:sz="8" w:space="0" w:color="000000"/>
            </w:tcBorders>
            <w:shd w:val="clear" w:color="000000" w:fill="FFFFD9"/>
            <w:vAlign w:val="center"/>
            <w:hideMark/>
          </w:tcPr>
          <w:p w:rsidR="00116FC1" w:rsidRPr="00311C9C" w:rsidRDefault="00116FC1" w:rsidP="00116FC1">
            <w:pPr>
              <w:spacing w:line="240" w:lineRule="auto"/>
              <w:jc w:val="left"/>
              <w:rPr>
                <w:rFonts w:cs="Arial"/>
                <w:i/>
                <w:sz w:val="16"/>
                <w:szCs w:val="16"/>
                <w:lang w:eastAsia="sl-SI"/>
              </w:rPr>
            </w:pPr>
            <w:r w:rsidRPr="00311C9C">
              <w:rPr>
                <w:rFonts w:cs="Arial"/>
                <w:i/>
                <w:sz w:val="16"/>
                <w:szCs w:val="16"/>
                <w:lang w:eastAsia="sl-SI"/>
              </w:rPr>
              <w:t>Nabavna vrednost neopredmetenih sredstev in dolgoročnih aktivnih časovnih razmejitev</w:t>
            </w:r>
          </w:p>
        </w:tc>
        <w:tc>
          <w:tcPr>
            <w:tcW w:w="462" w:type="pct"/>
            <w:tcBorders>
              <w:top w:val="single" w:sz="8" w:space="0" w:color="auto"/>
              <w:left w:val="nil"/>
              <w:bottom w:val="single" w:sz="4" w:space="0" w:color="auto"/>
              <w:right w:val="single" w:sz="8" w:space="0" w:color="000000"/>
            </w:tcBorders>
            <w:shd w:val="clear" w:color="000000" w:fill="FFFFD9"/>
            <w:noWrap/>
            <w:vAlign w:val="center"/>
            <w:hideMark/>
          </w:tcPr>
          <w:p w:rsidR="00116FC1" w:rsidRPr="00311C9C" w:rsidRDefault="00116FC1" w:rsidP="00116FC1">
            <w:pPr>
              <w:spacing w:line="240" w:lineRule="auto"/>
              <w:jc w:val="center"/>
              <w:rPr>
                <w:rFonts w:cs="Arial"/>
                <w:i/>
                <w:sz w:val="16"/>
                <w:szCs w:val="16"/>
                <w:lang w:eastAsia="sl-SI"/>
              </w:rPr>
            </w:pPr>
            <w:r w:rsidRPr="00311C9C">
              <w:rPr>
                <w:rFonts w:cs="Arial"/>
                <w:i/>
                <w:sz w:val="16"/>
                <w:szCs w:val="16"/>
                <w:lang w:eastAsia="sl-SI"/>
              </w:rPr>
              <w:t>AOP901</w:t>
            </w:r>
          </w:p>
        </w:tc>
        <w:tc>
          <w:tcPr>
            <w:tcW w:w="846" w:type="pct"/>
            <w:tcBorders>
              <w:top w:val="single" w:sz="8" w:space="0" w:color="auto"/>
              <w:left w:val="nil"/>
              <w:bottom w:val="single" w:sz="4" w:space="0" w:color="auto"/>
              <w:right w:val="single" w:sz="8" w:space="0" w:color="000000"/>
            </w:tcBorders>
            <w:shd w:val="clear" w:color="auto" w:fill="auto"/>
            <w:noWrap/>
            <w:vAlign w:val="center"/>
          </w:tcPr>
          <w:p w:rsidR="00116FC1" w:rsidRPr="00972554" w:rsidRDefault="00116FC1" w:rsidP="00972554">
            <w:pPr>
              <w:spacing w:line="240" w:lineRule="auto"/>
              <w:jc w:val="right"/>
              <w:rPr>
                <w:rFonts w:ascii="Calibri" w:hAnsi="Calibri" w:cs="Calibri"/>
                <w:i/>
                <w:color w:val="000000"/>
                <w:sz w:val="18"/>
                <w:szCs w:val="18"/>
                <w:lang w:val="sl-SI" w:eastAsia="sl-SI"/>
              </w:rPr>
            </w:pPr>
            <w:r w:rsidRPr="00972554">
              <w:rPr>
                <w:rFonts w:ascii="Calibri" w:hAnsi="Calibri" w:cs="Calibri"/>
                <w:color w:val="000000"/>
                <w:sz w:val="18"/>
                <w:szCs w:val="18"/>
                <w:lang w:val="sl-SI" w:eastAsia="sl-SI"/>
              </w:rPr>
              <w:t xml:space="preserve">738.049.607 </w:t>
            </w:r>
          </w:p>
        </w:tc>
        <w:tc>
          <w:tcPr>
            <w:tcW w:w="807" w:type="pct"/>
            <w:tcBorders>
              <w:top w:val="single" w:sz="8" w:space="0" w:color="auto"/>
              <w:left w:val="nil"/>
              <w:bottom w:val="single" w:sz="4" w:space="0" w:color="auto"/>
              <w:right w:val="single" w:sz="8" w:space="0" w:color="000000"/>
            </w:tcBorders>
            <w:shd w:val="clear" w:color="auto" w:fill="auto"/>
            <w:noWrap/>
            <w:vAlign w:val="center"/>
            <w:hideMark/>
          </w:tcPr>
          <w:p w:rsidR="00116FC1" w:rsidRPr="00311C9C" w:rsidRDefault="00116FC1" w:rsidP="00116FC1">
            <w:pPr>
              <w:spacing w:line="240" w:lineRule="auto"/>
              <w:jc w:val="right"/>
              <w:rPr>
                <w:rFonts w:cs="Arial"/>
                <w:i/>
                <w:sz w:val="16"/>
                <w:szCs w:val="16"/>
                <w:lang w:eastAsia="sl-SI"/>
              </w:rPr>
            </w:pPr>
            <w:r w:rsidRPr="000F6B5B">
              <w:rPr>
                <w:rFonts w:ascii="Calibri" w:hAnsi="Calibri" w:cs="Calibri"/>
                <w:i/>
                <w:color w:val="000000"/>
                <w:sz w:val="18"/>
                <w:szCs w:val="18"/>
                <w:lang w:val="sl-SI" w:eastAsia="sl-SI"/>
              </w:rPr>
              <w:t>710.131.497</w:t>
            </w:r>
          </w:p>
        </w:tc>
      </w:tr>
      <w:tr w:rsidR="00116FC1" w:rsidRPr="00311C9C" w:rsidTr="00972554">
        <w:trPr>
          <w:trHeight w:val="284"/>
        </w:trPr>
        <w:tc>
          <w:tcPr>
            <w:tcW w:w="314" w:type="pct"/>
            <w:tcBorders>
              <w:top w:val="single" w:sz="4" w:space="0" w:color="auto"/>
              <w:left w:val="single" w:sz="8" w:space="0" w:color="auto"/>
              <w:bottom w:val="single" w:sz="4" w:space="0" w:color="auto"/>
              <w:right w:val="single" w:sz="8" w:space="0" w:color="000000"/>
            </w:tcBorders>
            <w:shd w:val="clear" w:color="000000" w:fill="FFFFD9"/>
            <w:vAlign w:val="center"/>
            <w:hideMark/>
          </w:tcPr>
          <w:p w:rsidR="00116FC1" w:rsidRPr="00311C9C" w:rsidRDefault="00116FC1" w:rsidP="00116FC1">
            <w:pPr>
              <w:spacing w:line="240" w:lineRule="auto"/>
              <w:jc w:val="center"/>
              <w:rPr>
                <w:rFonts w:cs="Arial"/>
                <w:i/>
                <w:sz w:val="16"/>
                <w:szCs w:val="16"/>
                <w:lang w:eastAsia="sl-SI"/>
              </w:rPr>
            </w:pPr>
            <w:r w:rsidRPr="00311C9C">
              <w:rPr>
                <w:rFonts w:cs="Arial"/>
                <w:i/>
                <w:sz w:val="16"/>
                <w:szCs w:val="16"/>
                <w:lang w:eastAsia="sl-SI"/>
              </w:rPr>
              <w:t>03</w:t>
            </w:r>
          </w:p>
        </w:tc>
        <w:tc>
          <w:tcPr>
            <w:tcW w:w="2571" w:type="pct"/>
            <w:tcBorders>
              <w:top w:val="nil"/>
              <w:left w:val="nil"/>
              <w:bottom w:val="nil"/>
              <w:right w:val="single" w:sz="8" w:space="0" w:color="000000"/>
            </w:tcBorders>
            <w:shd w:val="clear" w:color="000000" w:fill="FFFFD9"/>
            <w:vAlign w:val="center"/>
            <w:hideMark/>
          </w:tcPr>
          <w:p w:rsidR="00116FC1" w:rsidRPr="00311C9C" w:rsidRDefault="00116FC1" w:rsidP="00116FC1">
            <w:pPr>
              <w:spacing w:line="240" w:lineRule="auto"/>
              <w:jc w:val="left"/>
              <w:rPr>
                <w:rFonts w:cs="Arial"/>
                <w:i/>
                <w:sz w:val="16"/>
                <w:szCs w:val="16"/>
                <w:lang w:eastAsia="sl-SI"/>
              </w:rPr>
            </w:pPr>
            <w:r w:rsidRPr="00311C9C">
              <w:rPr>
                <w:rFonts w:cs="Arial"/>
                <w:i/>
                <w:sz w:val="16"/>
                <w:szCs w:val="16"/>
                <w:lang w:eastAsia="sl-SI"/>
              </w:rPr>
              <w:t>Popravki vrednosti neopredmetenih sredstev</w:t>
            </w:r>
          </w:p>
        </w:tc>
        <w:tc>
          <w:tcPr>
            <w:tcW w:w="462" w:type="pct"/>
            <w:tcBorders>
              <w:top w:val="single" w:sz="4" w:space="0" w:color="auto"/>
              <w:left w:val="nil"/>
              <w:bottom w:val="single" w:sz="4" w:space="0" w:color="auto"/>
              <w:right w:val="single" w:sz="8" w:space="0" w:color="000000"/>
            </w:tcBorders>
            <w:shd w:val="clear" w:color="000000" w:fill="FFFFD9"/>
            <w:vAlign w:val="center"/>
            <w:hideMark/>
          </w:tcPr>
          <w:p w:rsidR="00116FC1" w:rsidRPr="00311C9C" w:rsidRDefault="00116FC1" w:rsidP="00116FC1">
            <w:pPr>
              <w:spacing w:line="240" w:lineRule="auto"/>
              <w:jc w:val="center"/>
              <w:rPr>
                <w:rFonts w:cs="Arial"/>
                <w:i/>
                <w:sz w:val="16"/>
                <w:szCs w:val="16"/>
                <w:lang w:eastAsia="sl-SI"/>
              </w:rPr>
            </w:pPr>
            <w:r w:rsidRPr="00311C9C">
              <w:rPr>
                <w:rFonts w:cs="Arial"/>
                <w:i/>
                <w:sz w:val="16"/>
                <w:szCs w:val="16"/>
                <w:lang w:eastAsia="sl-SI"/>
              </w:rPr>
              <w:t>AOP902</w:t>
            </w:r>
          </w:p>
        </w:tc>
        <w:tc>
          <w:tcPr>
            <w:tcW w:w="846" w:type="pct"/>
            <w:tcBorders>
              <w:top w:val="single" w:sz="4" w:space="0" w:color="auto"/>
              <w:left w:val="nil"/>
              <w:bottom w:val="single" w:sz="8" w:space="0" w:color="auto"/>
              <w:right w:val="single" w:sz="8" w:space="0" w:color="000000"/>
            </w:tcBorders>
            <w:shd w:val="clear" w:color="auto" w:fill="auto"/>
            <w:vAlign w:val="center"/>
          </w:tcPr>
          <w:p w:rsidR="00116FC1" w:rsidRPr="00972554" w:rsidRDefault="00116FC1" w:rsidP="00972554">
            <w:pPr>
              <w:spacing w:line="240" w:lineRule="auto"/>
              <w:jc w:val="right"/>
              <w:rPr>
                <w:rFonts w:ascii="Calibri" w:hAnsi="Calibri" w:cs="Calibri"/>
                <w:i/>
                <w:color w:val="000000"/>
                <w:sz w:val="18"/>
                <w:szCs w:val="18"/>
                <w:lang w:val="sl-SI" w:eastAsia="sl-SI"/>
              </w:rPr>
            </w:pPr>
            <w:r w:rsidRPr="00972554">
              <w:rPr>
                <w:rFonts w:ascii="Calibri" w:hAnsi="Calibri" w:cs="Calibri"/>
                <w:color w:val="000000"/>
                <w:sz w:val="18"/>
                <w:szCs w:val="18"/>
                <w:lang w:val="sl-SI" w:eastAsia="sl-SI"/>
              </w:rPr>
              <w:t xml:space="preserve">583.602.312 </w:t>
            </w:r>
          </w:p>
        </w:tc>
        <w:tc>
          <w:tcPr>
            <w:tcW w:w="807" w:type="pct"/>
            <w:tcBorders>
              <w:top w:val="single" w:sz="4" w:space="0" w:color="auto"/>
              <w:left w:val="nil"/>
              <w:bottom w:val="single" w:sz="8" w:space="0" w:color="auto"/>
              <w:right w:val="single" w:sz="8" w:space="0" w:color="000000"/>
            </w:tcBorders>
            <w:shd w:val="clear" w:color="auto" w:fill="auto"/>
            <w:vAlign w:val="center"/>
            <w:hideMark/>
          </w:tcPr>
          <w:p w:rsidR="00116FC1" w:rsidRPr="00311C9C" w:rsidRDefault="00116FC1" w:rsidP="00116FC1">
            <w:pPr>
              <w:spacing w:line="240" w:lineRule="auto"/>
              <w:jc w:val="right"/>
              <w:rPr>
                <w:rFonts w:cs="Arial"/>
                <w:i/>
                <w:sz w:val="16"/>
                <w:szCs w:val="16"/>
                <w:lang w:eastAsia="sl-SI"/>
              </w:rPr>
            </w:pPr>
            <w:r w:rsidRPr="000F6B5B">
              <w:rPr>
                <w:rFonts w:ascii="Calibri" w:hAnsi="Calibri" w:cs="Calibri"/>
                <w:i/>
                <w:color w:val="000000"/>
                <w:sz w:val="18"/>
                <w:szCs w:val="18"/>
                <w:lang w:val="sl-SI" w:eastAsia="sl-SI"/>
              </w:rPr>
              <w:t>565.744.726</w:t>
            </w:r>
          </w:p>
        </w:tc>
      </w:tr>
      <w:tr w:rsidR="00116FC1" w:rsidRPr="00311C9C" w:rsidTr="00972554">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rsidR="00116FC1" w:rsidRPr="00311C9C" w:rsidRDefault="00116FC1" w:rsidP="00116FC1">
            <w:pPr>
              <w:spacing w:line="240" w:lineRule="auto"/>
              <w:jc w:val="center"/>
              <w:rPr>
                <w:rFonts w:cs="Arial"/>
                <w:i/>
                <w:sz w:val="16"/>
                <w:szCs w:val="16"/>
                <w:lang w:eastAsia="sl-SI"/>
              </w:rPr>
            </w:pPr>
            <w:r w:rsidRPr="00311C9C">
              <w:rPr>
                <w:rFonts w:cs="Arial"/>
                <w:i/>
                <w:sz w:val="16"/>
                <w:szCs w:val="16"/>
                <w:lang w:eastAsia="sl-SI"/>
              </w:rPr>
              <w:t>04</w:t>
            </w:r>
          </w:p>
        </w:tc>
        <w:tc>
          <w:tcPr>
            <w:tcW w:w="2571" w:type="pct"/>
            <w:tcBorders>
              <w:top w:val="single" w:sz="8" w:space="0" w:color="auto"/>
              <w:left w:val="nil"/>
              <w:bottom w:val="single" w:sz="8" w:space="0" w:color="auto"/>
              <w:right w:val="single" w:sz="8" w:space="0" w:color="000000"/>
            </w:tcBorders>
            <w:shd w:val="clear" w:color="000000" w:fill="FFFFD9"/>
            <w:vAlign w:val="center"/>
            <w:hideMark/>
          </w:tcPr>
          <w:p w:rsidR="00116FC1" w:rsidRPr="00311C9C" w:rsidRDefault="00116FC1" w:rsidP="00116FC1">
            <w:pPr>
              <w:spacing w:line="240" w:lineRule="auto"/>
              <w:jc w:val="left"/>
              <w:rPr>
                <w:rFonts w:cs="Arial"/>
                <w:b/>
                <w:bCs/>
                <w:i/>
                <w:sz w:val="16"/>
                <w:szCs w:val="16"/>
                <w:lang w:eastAsia="sl-SI"/>
              </w:rPr>
            </w:pPr>
            <w:r w:rsidRPr="00311C9C">
              <w:rPr>
                <w:rFonts w:cs="Arial"/>
                <w:b/>
                <w:bCs/>
                <w:i/>
                <w:sz w:val="16"/>
                <w:szCs w:val="16"/>
                <w:lang w:eastAsia="sl-SI"/>
              </w:rPr>
              <w:t>Sedanja vrednost nepremičnin</w:t>
            </w:r>
            <w:r w:rsidRPr="00311C9C">
              <w:rPr>
                <w:rFonts w:cs="Arial"/>
                <w:b/>
                <w:bCs/>
                <w:i/>
                <w:sz w:val="16"/>
                <w:szCs w:val="16"/>
                <w:lang w:eastAsia="sl-SI"/>
              </w:rPr>
              <w:br/>
            </w:r>
            <w:r w:rsidRPr="00311C9C">
              <w:rPr>
                <w:rFonts w:cs="Arial"/>
                <w:i/>
                <w:sz w:val="16"/>
                <w:szCs w:val="16"/>
                <w:lang w:eastAsia="sl-SI"/>
              </w:rPr>
              <w:t>(AOP904-AOP905)</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rsidR="00116FC1" w:rsidRPr="00311C9C" w:rsidRDefault="00116FC1" w:rsidP="00116FC1">
            <w:pPr>
              <w:spacing w:line="240" w:lineRule="auto"/>
              <w:jc w:val="center"/>
              <w:rPr>
                <w:rFonts w:cs="Arial"/>
                <w:i/>
                <w:sz w:val="16"/>
                <w:szCs w:val="16"/>
                <w:lang w:eastAsia="sl-SI"/>
              </w:rPr>
            </w:pPr>
            <w:r w:rsidRPr="00311C9C">
              <w:rPr>
                <w:rFonts w:cs="Arial"/>
                <w:i/>
                <w:sz w:val="16"/>
                <w:szCs w:val="16"/>
                <w:lang w:eastAsia="sl-SI"/>
              </w:rPr>
              <w:t>AOP903</w:t>
            </w:r>
          </w:p>
        </w:tc>
        <w:tc>
          <w:tcPr>
            <w:tcW w:w="846" w:type="pct"/>
            <w:tcBorders>
              <w:top w:val="single" w:sz="8" w:space="0" w:color="auto"/>
              <w:left w:val="nil"/>
              <w:bottom w:val="single" w:sz="8" w:space="0" w:color="auto"/>
              <w:right w:val="single" w:sz="8" w:space="0" w:color="000000"/>
            </w:tcBorders>
            <w:shd w:val="clear" w:color="000000" w:fill="FFFFD9"/>
            <w:noWrap/>
            <w:vAlign w:val="center"/>
          </w:tcPr>
          <w:p w:rsidR="00116FC1" w:rsidRPr="00972554" w:rsidRDefault="00116FC1" w:rsidP="00972554">
            <w:pPr>
              <w:spacing w:line="240" w:lineRule="auto"/>
              <w:jc w:val="right"/>
              <w:rPr>
                <w:rFonts w:ascii="Calibri" w:hAnsi="Calibri" w:cs="Calibri"/>
                <w:i/>
                <w:color w:val="000000"/>
                <w:sz w:val="18"/>
                <w:szCs w:val="18"/>
                <w:lang w:val="sl-SI" w:eastAsia="sl-SI"/>
              </w:rPr>
            </w:pPr>
            <w:r w:rsidRPr="00972554">
              <w:rPr>
                <w:rFonts w:ascii="Calibri" w:hAnsi="Calibri" w:cs="Calibri"/>
                <w:color w:val="000000"/>
                <w:sz w:val="18"/>
                <w:szCs w:val="18"/>
                <w:lang w:val="sl-SI" w:eastAsia="sl-SI"/>
              </w:rPr>
              <w:t xml:space="preserve">21.487.845.568 </w:t>
            </w:r>
          </w:p>
        </w:tc>
        <w:tc>
          <w:tcPr>
            <w:tcW w:w="807" w:type="pct"/>
            <w:tcBorders>
              <w:top w:val="single" w:sz="8" w:space="0" w:color="auto"/>
              <w:left w:val="nil"/>
              <w:bottom w:val="single" w:sz="8" w:space="0" w:color="auto"/>
              <w:right w:val="single" w:sz="8" w:space="0" w:color="000000"/>
            </w:tcBorders>
            <w:shd w:val="clear" w:color="000000" w:fill="FFFFD9"/>
            <w:noWrap/>
            <w:vAlign w:val="center"/>
            <w:hideMark/>
          </w:tcPr>
          <w:p w:rsidR="00116FC1" w:rsidRPr="00311C9C" w:rsidRDefault="00116FC1" w:rsidP="00116FC1">
            <w:pPr>
              <w:spacing w:line="240" w:lineRule="auto"/>
              <w:jc w:val="right"/>
              <w:rPr>
                <w:rFonts w:cs="Arial"/>
                <w:i/>
                <w:sz w:val="16"/>
                <w:szCs w:val="16"/>
                <w:lang w:eastAsia="sl-SI"/>
              </w:rPr>
            </w:pPr>
            <w:r w:rsidRPr="000F6B5B">
              <w:rPr>
                <w:rFonts w:ascii="Calibri" w:hAnsi="Calibri" w:cs="Calibri"/>
                <w:i/>
                <w:color w:val="000000"/>
                <w:sz w:val="18"/>
                <w:szCs w:val="18"/>
                <w:lang w:val="sl-SI" w:eastAsia="sl-SI"/>
              </w:rPr>
              <w:t>21.148.705.101</w:t>
            </w:r>
          </w:p>
        </w:tc>
      </w:tr>
      <w:tr w:rsidR="00116FC1" w:rsidRPr="00311C9C" w:rsidTr="00972554">
        <w:trPr>
          <w:trHeight w:val="284"/>
        </w:trPr>
        <w:tc>
          <w:tcPr>
            <w:tcW w:w="314" w:type="pct"/>
            <w:tcBorders>
              <w:top w:val="nil"/>
              <w:left w:val="single" w:sz="8" w:space="0" w:color="auto"/>
              <w:bottom w:val="single" w:sz="4" w:space="0" w:color="auto"/>
              <w:right w:val="single" w:sz="8" w:space="0" w:color="000000"/>
            </w:tcBorders>
            <w:shd w:val="clear" w:color="000000" w:fill="FFFFD9"/>
            <w:vAlign w:val="center"/>
            <w:hideMark/>
          </w:tcPr>
          <w:p w:rsidR="00116FC1" w:rsidRPr="00311C9C" w:rsidRDefault="00116FC1" w:rsidP="00116FC1">
            <w:pPr>
              <w:spacing w:line="240" w:lineRule="auto"/>
              <w:jc w:val="center"/>
              <w:rPr>
                <w:rFonts w:cs="Arial"/>
                <w:i/>
                <w:sz w:val="16"/>
                <w:szCs w:val="16"/>
                <w:lang w:eastAsia="sl-SI"/>
              </w:rPr>
            </w:pPr>
            <w:r w:rsidRPr="00311C9C">
              <w:rPr>
                <w:rFonts w:cs="Arial"/>
                <w:i/>
                <w:sz w:val="16"/>
                <w:szCs w:val="16"/>
                <w:lang w:eastAsia="sl-SI"/>
              </w:rPr>
              <w:t>05</w:t>
            </w:r>
          </w:p>
        </w:tc>
        <w:tc>
          <w:tcPr>
            <w:tcW w:w="2571" w:type="pct"/>
            <w:tcBorders>
              <w:top w:val="nil"/>
              <w:left w:val="nil"/>
              <w:bottom w:val="nil"/>
              <w:right w:val="single" w:sz="8" w:space="0" w:color="000000"/>
            </w:tcBorders>
            <w:shd w:val="clear" w:color="000000" w:fill="FFFFD9"/>
            <w:vAlign w:val="center"/>
            <w:hideMark/>
          </w:tcPr>
          <w:p w:rsidR="00116FC1" w:rsidRPr="00311C9C" w:rsidRDefault="00116FC1" w:rsidP="00116FC1">
            <w:pPr>
              <w:spacing w:line="240" w:lineRule="auto"/>
              <w:jc w:val="left"/>
              <w:rPr>
                <w:rFonts w:cs="Arial"/>
                <w:i/>
                <w:sz w:val="16"/>
                <w:szCs w:val="16"/>
                <w:lang w:eastAsia="sl-SI"/>
              </w:rPr>
            </w:pPr>
            <w:r w:rsidRPr="00311C9C">
              <w:rPr>
                <w:rFonts w:cs="Arial"/>
                <w:i/>
                <w:sz w:val="16"/>
                <w:szCs w:val="16"/>
                <w:lang w:eastAsia="sl-SI"/>
              </w:rPr>
              <w:t>Nabavna vrednost nepremičnin</w:t>
            </w:r>
          </w:p>
        </w:tc>
        <w:tc>
          <w:tcPr>
            <w:tcW w:w="462" w:type="pct"/>
            <w:tcBorders>
              <w:top w:val="nil"/>
              <w:left w:val="nil"/>
              <w:bottom w:val="single" w:sz="4" w:space="0" w:color="auto"/>
              <w:right w:val="single" w:sz="8" w:space="0" w:color="000000"/>
            </w:tcBorders>
            <w:shd w:val="clear" w:color="000000" w:fill="FFFFD9"/>
            <w:vAlign w:val="center"/>
            <w:hideMark/>
          </w:tcPr>
          <w:p w:rsidR="00116FC1" w:rsidRPr="00311C9C" w:rsidRDefault="00116FC1" w:rsidP="00116FC1">
            <w:pPr>
              <w:spacing w:line="240" w:lineRule="auto"/>
              <w:jc w:val="center"/>
              <w:rPr>
                <w:rFonts w:cs="Arial"/>
                <w:i/>
                <w:sz w:val="16"/>
                <w:szCs w:val="16"/>
                <w:lang w:eastAsia="sl-SI"/>
              </w:rPr>
            </w:pPr>
            <w:r w:rsidRPr="00311C9C">
              <w:rPr>
                <w:rFonts w:cs="Arial"/>
                <w:i/>
                <w:sz w:val="16"/>
                <w:szCs w:val="16"/>
                <w:lang w:eastAsia="sl-SI"/>
              </w:rPr>
              <w:t>AOP904</w:t>
            </w:r>
          </w:p>
        </w:tc>
        <w:tc>
          <w:tcPr>
            <w:tcW w:w="846" w:type="pct"/>
            <w:tcBorders>
              <w:top w:val="nil"/>
              <w:left w:val="nil"/>
              <w:bottom w:val="single" w:sz="4" w:space="0" w:color="auto"/>
              <w:right w:val="single" w:sz="8" w:space="0" w:color="000000"/>
            </w:tcBorders>
            <w:shd w:val="clear" w:color="auto" w:fill="auto"/>
            <w:vAlign w:val="center"/>
          </w:tcPr>
          <w:p w:rsidR="00116FC1" w:rsidRPr="00972554" w:rsidRDefault="00116FC1" w:rsidP="00972554">
            <w:pPr>
              <w:spacing w:line="240" w:lineRule="auto"/>
              <w:jc w:val="right"/>
              <w:rPr>
                <w:rFonts w:ascii="Calibri" w:hAnsi="Calibri" w:cs="Calibri"/>
                <w:i/>
                <w:color w:val="000000"/>
                <w:sz w:val="18"/>
                <w:szCs w:val="18"/>
                <w:lang w:val="sl-SI" w:eastAsia="sl-SI"/>
              </w:rPr>
            </w:pPr>
            <w:r w:rsidRPr="00972554">
              <w:rPr>
                <w:rFonts w:ascii="Calibri" w:hAnsi="Calibri" w:cs="Calibri"/>
                <w:color w:val="000000"/>
                <w:sz w:val="18"/>
                <w:szCs w:val="18"/>
                <w:lang w:val="sl-SI" w:eastAsia="sl-SI"/>
              </w:rPr>
              <w:t xml:space="preserve">31.881.591.070 </w:t>
            </w:r>
          </w:p>
        </w:tc>
        <w:tc>
          <w:tcPr>
            <w:tcW w:w="807" w:type="pct"/>
            <w:tcBorders>
              <w:top w:val="nil"/>
              <w:left w:val="nil"/>
              <w:bottom w:val="single" w:sz="4" w:space="0" w:color="auto"/>
              <w:right w:val="single" w:sz="8" w:space="0" w:color="000000"/>
            </w:tcBorders>
            <w:shd w:val="clear" w:color="auto" w:fill="auto"/>
            <w:vAlign w:val="center"/>
            <w:hideMark/>
          </w:tcPr>
          <w:p w:rsidR="00116FC1" w:rsidRPr="00311C9C" w:rsidRDefault="00116FC1" w:rsidP="00116FC1">
            <w:pPr>
              <w:spacing w:line="240" w:lineRule="auto"/>
              <w:jc w:val="right"/>
              <w:rPr>
                <w:rFonts w:cs="Arial"/>
                <w:i/>
                <w:sz w:val="16"/>
                <w:szCs w:val="16"/>
                <w:lang w:eastAsia="sl-SI"/>
              </w:rPr>
            </w:pPr>
            <w:r w:rsidRPr="000F6B5B">
              <w:rPr>
                <w:rFonts w:ascii="Calibri" w:hAnsi="Calibri" w:cs="Calibri"/>
                <w:i/>
                <w:color w:val="000000"/>
                <w:sz w:val="18"/>
                <w:szCs w:val="18"/>
                <w:lang w:val="sl-SI" w:eastAsia="sl-SI"/>
              </w:rPr>
              <w:t>30.948.851.071</w:t>
            </w:r>
          </w:p>
        </w:tc>
      </w:tr>
      <w:tr w:rsidR="00116FC1" w:rsidRPr="00311C9C" w:rsidTr="00972554">
        <w:trPr>
          <w:trHeight w:val="284"/>
        </w:trPr>
        <w:tc>
          <w:tcPr>
            <w:tcW w:w="314" w:type="pct"/>
            <w:tcBorders>
              <w:top w:val="single" w:sz="4" w:space="0" w:color="auto"/>
              <w:left w:val="single" w:sz="8" w:space="0" w:color="auto"/>
              <w:bottom w:val="single" w:sz="4" w:space="0" w:color="auto"/>
              <w:right w:val="single" w:sz="8" w:space="0" w:color="000000"/>
            </w:tcBorders>
            <w:shd w:val="clear" w:color="000000" w:fill="FFFFD9"/>
            <w:vAlign w:val="center"/>
            <w:hideMark/>
          </w:tcPr>
          <w:p w:rsidR="00116FC1" w:rsidRPr="00311C9C" w:rsidRDefault="00116FC1" w:rsidP="00116FC1">
            <w:pPr>
              <w:spacing w:line="240" w:lineRule="auto"/>
              <w:jc w:val="center"/>
              <w:rPr>
                <w:rFonts w:cs="Arial"/>
                <w:i/>
                <w:sz w:val="16"/>
                <w:szCs w:val="16"/>
                <w:lang w:eastAsia="sl-SI"/>
              </w:rPr>
            </w:pPr>
            <w:r w:rsidRPr="00311C9C">
              <w:rPr>
                <w:rFonts w:cs="Arial"/>
                <w:i/>
                <w:sz w:val="16"/>
                <w:szCs w:val="16"/>
                <w:lang w:eastAsia="sl-SI"/>
              </w:rPr>
              <w:t>06</w:t>
            </w:r>
          </w:p>
        </w:tc>
        <w:tc>
          <w:tcPr>
            <w:tcW w:w="2571" w:type="pct"/>
            <w:tcBorders>
              <w:top w:val="single" w:sz="4" w:space="0" w:color="auto"/>
              <w:left w:val="nil"/>
              <w:bottom w:val="single" w:sz="8" w:space="0" w:color="auto"/>
              <w:right w:val="single" w:sz="8" w:space="0" w:color="000000"/>
            </w:tcBorders>
            <w:shd w:val="clear" w:color="000000" w:fill="FFFFD9"/>
            <w:vAlign w:val="center"/>
            <w:hideMark/>
          </w:tcPr>
          <w:p w:rsidR="00116FC1" w:rsidRPr="00311C9C" w:rsidRDefault="00116FC1" w:rsidP="00116FC1">
            <w:pPr>
              <w:spacing w:line="240" w:lineRule="auto"/>
              <w:jc w:val="left"/>
              <w:rPr>
                <w:rFonts w:cs="Arial"/>
                <w:i/>
                <w:sz w:val="16"/>
                <w:szCs w:val="16"/>
                <w:lang w:eastAsia="sl-SI"/>
              </w:rPr>
            </w:pPr>
            <w:r w:rsidRPr="00311C9C">
              <w:rPr>
                <w:rFonts w:cs="Arial"/>
                <w:i/>
                <w:sz w:val="16"/>
                <w:szCs w:val="16"/>
                <w:lang w:eastAsia="sl-SI"/>
              </w:rPr>
              <w:t>Popravek vrednosti nepremičnin</w:t>
            </w:r>
          </w:p>
        </w:tc>
        <w:tc>
          <w:tcPr>
            <w:tcW w:w="462" w:type="pct"/>
            <w:tcBorders>
              <w:top w:val="single" w:sz="4" w:space="0" w:color="auto"/>
              <w:left w:val="nil"/>
              <w:bottom w:val="single" w:sz="4" w:space="0" w:color="auto"/>
              <w:right w:val="single" w:sz="8" w:space="0" w:color="000000"/>
            </w:tcBorders>
            <w:shd w:val="clear" w:color="000000" w:fill="FFFFD9"/>
            <w:vAlign w:val="center"/>
            <w:hideMark/>
          </w:tcPr>
          <w:p w:rsidR="00116FC1" w:rsidRPr="00311C9C" w:rsidRDefault="00116FC1" w:rsidP="00116FC1">
            <w:pPr>
              <w:spacing w:line="240" w:lineRule="auto"/>
              <w:jc w:val="center"/>
              <w:rPr>
                <w:rFonts w:cs="Arial"/>
                <w:i/>
                <w:sz w:val="16"/>
                <w:szCs w:val="16"/>
                <w:lang w:eastAsia="sl-SI"/>
              </w:rPr>
            </w:pPr>
            <w:r w:rsidRPr="00311C9C">
              <w:rPr>
                <w:rFonts w:cs="Arial"/>
                <w:i/>
                <w:sz w:val="16"/>
                <w:szCs w:val="16"/>
                <w:lang w:eastAsia="sl-SI"/>
              </w:rPr>
              <w:t>AOP905</w:t>
            </w:r>
          </w:p>
        </w:tc>
        <w:tc>
          <w:tcPr>
            <w:tcW w:w="846" w:type="pct"/>
            <w:tcBorders>
              <w:top w:val="single" w:sz="4" w:space="0" w:color="auto"/>
              <w:left w:val="nil"/>
              <w:bottom w:val="single" w:sz="8" w:space="0" w:color="auto"/>
              <w:right w:val="single" w:sz="8" w:space="0" w:color="000000"/>
            </w:tcBorders>
            <w:shd w:val="clear" w:color="auto" w:fill="auto"/>
            <w:vAlign w:val="center"/>
          </w:tcPr>
          <w:p w:rsidR="00116FC1" w:rsidRPr="00972554" w:rsidRDefault="00116FC1" w:rsidP="00972554">
            <w:pPr>
              <w:spacing w:line="240" w:lineRule="auto"/>
              <w:jc w:val="right"/>
              <w:rPr>
                <w:rFonts w:ascii="Calibri" w:hAnsi="Calibri" w:cs="Calibri"/>
                <w:i/>
                <w:color w:val="000000"/>
                <w:sz w:val="18"/>
                <w:szCs w:val="18"/>
                <w:lang w:val="sl-SI" w:eastAsia="sl-SI"/>
              </w:rPr>
            </w:pPr>
            <w:r w:rsidRPr="00972554">
              <w:rPr>
                <w:rFonts w:ascii="Calibri" w:hAnsi="Calibri" w:cs="Calibri"/>
                <w:color w:val="000000"/>
                <w:sz w:val="18"/>
                <w:szCs w:val="18"/>
                <w:lang w:val="sl-SI" w:eastAsia="sl-SI"/>
              </w:rPr>
              <w:t xml:space="preserve">10.393.745.502 </w:t>
            </w:r>
          </w:p>
        </w:tc>
        <w:tc>
          <w:tcPr>
            <w:tcW w:w="807" w:type="pct"/>
            <w:tcBorders>
              <w:top w:val="single" w:sz="4" w:space="0" w:color="auto"/>
              <w:left w:val="nil"/>
              <w:bottom w:val="single" w:sz="8" w:space="0" w:color="auto"/>
              <w:right w:val="single" w:sz="8" w:space="0" w:color="000000"/>
            </w:tcBorders>
            <w:shd w:val="clear" w:color="auto" w:fill="auto"/>
            <w:vAlign w:val="center"/>
            <w:hideMark/>
          </w:tcPr>
          <w:p w:rsidR="00116FC1" w:rsidRPr="00311C9C" w:rsidRDefault="00116FC1" w:rsidP="00116FC1">
            <w:pPr>
              <w:spacing w:line="240" w:lineRule="auto"/>
              <w:jc w:val="right"/>
              <w:rPr>
                <w:rFonts w:cs="Arial"/>
                <w:i/>
                <w:sz w:val="16"/>
                <w:szCs w:val="16"/>
                <w:lang w:eastAsia="sl-SI"/>
              </w:rPr>
            </w:pPr>
            <w:r w:rsidRPr="000F6B5B">
              <w:rPr>
                <w:rFonts w:ascii="Calibri" w:hAnsi="Calibri" w:cs="Calibri"/>
                <w:i/>
                <w:color w:val="000000"/>
                <w:sz w:val="18"/>
                <w:szCs w:val="18"/>
                <w:lang w:val="sl-SI" w:eastAsia="sl-SI"/>
              </w:rPr>
              <w:t>9.800.145.970</w:t>
            </w:r>
          </w:p>
        </w:tc>
      </w:tr>
      <w:tr w:rsidR="00116FC1" w:rsidRPr="00311C9C" w:rsidTr="00972554">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rsidR="00116FC1" w:rsidRPr="00311C9C" w:rsidRDefault="00116FC1" w:rsidP="00116FC1">
            <w:pPr>
              <w:spacing w:line="240" w:lineRule="auto"/>
              <w:jc w:val="center"/>
              <w:rPr>
                <w:rFonts w:cs="Arial"/>
                <w:i/>
                <w:sz w:val="16"/>
                <w:szCs w:val="16"/>
                <w:lang w:eastAsia="sl-SI"/>
              </w:rPr>
            </w:pPr>
            <w:r w:rsidRPr="00311C9C">
              <w:rPr>
                <w:rFonts w:cs="Arial"/>
                <w:i/>
                <w:sz w:val="16"/>
                <w:szCs w:val="16"/>
                <w:lang w:eastAsia="sl-SI"/>
              </w:rPr>
              <w:t>07</w:t>
            </w:r>
          </w:p>
        </w:tc>
        <w:tc>
          <w:tcPr>
            <w:tcW w:w="2571" w:type="pct"/>
            <w:tcBorders>
              <w:top w:val="single" w:sz="8" w:space="0" w:color="auto"/>
              <w:left w:val="nil"/>
              <w:bottom w:val="single" w:sz="8" w:space="0" w:color="auto"/>
              <w:right w:val="single" w:sz="8" w:space="0" w:color="000000"/>
            </w:tcBorders>
            <w:shd w:val="clear" w:color="000000" w:fill="FFFFD9"/>
            <w:vAlign w:val="center"/>
            <w:hideMark/>
          </w:tcPr>
          <w:p w:rsidR="00116FC1" w:rsidRPr="00311C9C" w:rsidRDefault="00116FC1" w:rsidP="00116FC1">
            <w:pPr>
              <w:spacing w:line="240" w:lineRule="auto"/>
              <w:jc w:val="left"/>
              <w:rPr>
                <w:rFonts w:cs="Arial"/>
                <w:b/>
                <w:bCs/>
                <w:i/>
                <w:sz w:val="16"/>
                <w:szCs w:val="16"/>
                <w:lang w:eastAsia="sl-SI"/>
              </w:rPr>
            </w:pPr>
            <w:r w:rsidRPr="00311C9C">
              <w:rPr>
                <w:rFonts w:cs="Arial"/>
                <w:b/>
                <w:bCs/>
                <w:i/>
                <w:sz w:val="16"/>
                <w:szCs w:val="16"/>
                <w:lang w:eastAsia="sl-SI"/>
              </w:rPr>
              <w:t>Sedanja vrednost opreme in drugih opredmetenih osnovnih sredstev</w:t>
            </w:r>
            <w:r w:rsidRPr="00311C9C">
              <w:rPr>
                <w:rFonts w:cs="Arial"/>
                <w:b/>
                <w:bCs/>
                <w:i/>
                <w:sz w:val="16"/>
                <w:szCs w:val="16"/>
                <w:lang w:eastAsia="sl-SI"/>
              </w:rPr>
              <w:br/>
            </w:r>
            <w:r w:rsidRPr="00311C9C">
              <w:rPr>
                <w:rFonts w:cs="Arial"/>
                <w:i/>
                <w:sz w:val="16"/>
                <w:szCs w:val="16"/>
                <w:lang w:eastAsia="sl-SI"/>
              </w:rPr>
              <w:t>(AOP907-AOP908)</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rsidR="00116FC1" w:rsidRPr="00311C9C" w:rsidRDefault="00116FC1" w:rsidP="00116FC1">
            <w:pPr>
              <w:spacing w:line="240" w:lineRule="auto"/>
              <w:jc w:val="center"/>
              <w:rPr>
                <w:rFonts w:cs="Arial"/>
                <w:i/>
                <w:sz w:val="16"/>
                <w:szCs w:val="16"/>
                <w:lang w:eastAsia="sl-SI"/>
              </w:rPr>
            </w:pPr>
            <w:r w:rsidRPr="00311C9C">
              <w:rPr>
                <w:rFonts w:cs="Arial"/>
                <w:i/>
                <w:sz w:val="16"/>
                <w:szCs w:val="16"/>
                <w:lang w:eastAsia="sl-SI"/>
              </w:rPr>
              <w:t>AOP906</w:t>
            </w:r>
          </w:p>
        </w:tc>
        <w:tc>
          <w:tcPr>
            <w:tcW w:w="846" w:type="pct"/>
            <w:tcBorders>
              <w:top w:val="single" w:sz="8" w:space="0" w:color="auto"/>
              <w:left w:val="nil"/>
              <w:bottom w:val="single" w:sz="8" w:space="0" w:color="auto"/>
              <w:right w:val="single" w:sz="8" w:space="0" w:color="000000"/>
            </w:tcBorders>
            <w:shd w:val="clear" w:color="000000" w:fill="FFFFD9"/>
            <w:noWrap/>
            <w:vAlign w:val="center"/>
          </w:tcPr>
          <w:p w:rsidR="00116FC1" w:rsidRPr="00972554" w:rsidRDefault="00116FC1" w:rsidP="00972554">
            <w:pPr>
              <w:spacing w:line="240" w:lineRule="auto"/>
              <w:jc w:val="right"/>
              <w:rPr>
                <w:rFonts w:ascii="Calibri" w:hAnsi="Calibri" w:cs="Calibri"/>
                <w:i/>
                <w:color w:val="000000"/>
                <w:sz w:val="18"/>
                <w:szCs w:val="18"/>
                <w:lang w:val="sl-SI" w:eastAsia="sl-SI"/>
              </w:rPr>
            </w:pPr>
            <w:r w:rsidRPr="00972554">
              <w:rPr>
                <w:rFonts w:ascii="Calibri" w:hAnsi="Calibri" w:cs="Calibri"/>
                <w:color w:val="000000"/>
                <w:sz w:val="18"/>
                <w:szCs w:val="18"/>
                <w:lang w:val="sl-SI" w:eastAsia="sl-SI"/>
              </w:rPr>
              <w:t xml:space="preserve">2.097.863.477 </w:t>
            </w:r>
          </w:p>
        </w:tc>
        <w:tc>
          <w:tcPr>
            <w:tcW w:w="807" w:type="pct"/>
            <w:tcBorders>
              <w:top w:val="single" w:sz="8" w:space="0" w:color="auto"/>
              <w:left w:val="nil"/>
              <w:bottom w:val="single" w:sz="8" w:space="0" w:color="auto"/>
              <w:right w:val="single" w:sz="8" w:space="0" w:color="000000"/>
            </w:tcBorders>
            <w:shd w:val="clear" w:color="000000" w:fill="FFFFD9"/>
            <w:noWrap/>
            <w:vAlign w:val="center"/>
            <w:hideMark/>
          </w:tcPr>
          <w:p w:rsidR="00116FC1" w:rsidRPr="00311C9C" w:rsidRDefault="00116FC1" w:rsidP="00116FC1">
            <w:pPr>
              <w:spacing w:line="240" w:lineRule="auto"/>
              <w:jc w:val="right"/>
              <w:rPr>
                <w:rFonts w:cs="Arial"/>
                <w:i/>
                <w:sz w:val="16"/>
                <w:szCs w:val="16"/>
                <w:lang w:eastAsia="sl-SI"/>
              </w:rPr>
            </w:pPr>
            <w:r w:rsidRPr="000F6B5B">
              <w:rPr>
                <w:rFonts w:ascii="Calibri" w:hAnsi="Calibri" w:cs="Calibri"/>
                <w:i/>
                <w:color w:val="000000"/>
                <w:sz w:val="18"/>
                <w:szCs w:val="18"/>
                <w:lang w:val="sl-SI" w:eastAsia="sl-SI"/>
              </w:rPr>
              <w:t>1.644.173.416</w:t>
            </w:r>
          </w:p>
        </w:tc>
      </w:tr>
      <w:tr w:rsidR="00116FC1" w:rsidRPr="00311C9C" w:rsidTr="00972554">
        <w:trPr>
          <w:trHeight w:val="284"/>
        </w:trPr>
        <w:tc>
          <w:tcPr>
            <w:tcW w:w="314" w:type="pct"/>
            <w:tcBorders>
              <w:top w:val="nil"/>
              <w:left w:val="single" w:sz="8" w:space="0" w:color="auto"/>
              <w:bottom w:val="single" w:sz="4" w:space="0" w:color="auto"/>
              <w:right w:val="single" w:sz="8" w:space="0" w:color="000000"/>
            </w:tcBorders>
            <w:shd w:val="clear" w:color="000000" w:fill="FFFFD9"/>
            <w:vAlign w:val="center"/>
            <w:hideMark/>
          </w:tcPr>
          <w:p w:rsidR="00116FC1" w:rsidRPr="00311C9C" w:rsidRDefault="00116FC1" w:rsidP="00116FC1">
            <w:pPr>
              <w:spacing w:line="240" w:lineRule="auto"/>
              <w:jc w:val="center"/>
              <w:rPr>
                <w:rFonts w:cs="Arial"/>
                <w:i/>
                <w:sz w:val="16"/>
                <w:szCs w:val="16"/>
                <w:lang w:eastAsia="sl-SI"/>
              </w:rPr>
            </w:pPr>
            <w:r w:rsidRPr="00311C9C">
              <w:rPr>
                <w:rFonts w:cs="Arial"/>
                <w:i/>
                <w:sz w:val="16"/>
                <w:szCs w:val="16"/>
                <w:lang w:eastAsia="sl-SI"/>
              </w:rPr>
              <w:t>08</w:t>
            </w:r>
          </w:p>
        </w:tc>
        <w:tc>
          <w:tcPr>
            <w:tcW w:w="2571" w:type="pct"/>
            <w:tcBorders>
              <w:top w:val="nil"/>
              <w:left w:val="nil"/>
              <w:bottom w:val="single" w:sz="4" w:space="0" w:color="auto"/>
              <w:right w:val="single" w:sz="8" w:space="0" w:color="000000"/>
            </w:tcBorders>
            <w:shd w:val="clear" w:color="000000" w:fill="FFFFD9"/>
            <w:vAlign w:val="center"/>
            <w:hideMark/>
          </w:tcPr>
          <w:p w:rsidR="00116FC1" w:rsidRPr="00311C9C" w:rsidRDefault="00116FC1" w:rsidP="00116FC1">
            <w:pPr>
              <w:spacing w:line="240" w:lineRule="auto"/>
              <w:jc w:val="left"/>
              <w:rPr>
                <w:rFonts w:cs="Arial"/>
                <w:i/>
                <w:sz w:val="16"/>
                <w:szCs w:val="16"/>
                <w:lang w:eastAsia="sl-SI"/>
              </w:rPr>
            </w:pPr>
            <w:r w:rsidRPr="00311C9C">
              <w:rPr>
                <w:rFonts w:cs="Arial"/>
                <w:i/>
                <w:sz w:val="16"/>
                <w:szCs w:val="16"/>
                <w:lang w:eastAsia="sl-SI"/>
              </w:rPr>
              <w:t>Nabavna vrednost opreme in drugih opredmetenih osnovnih sredstev</w:t>
            </w:r>
          </w:p>
        </w:tc>
        <w:tc>
          <w:tcPr>
            <w:tcW w:w="462" w:type="pct"/>
            <w:tcBorders>
              <w:top w:val="nil"/>
              <w:left w:val="nil"/>
              <w:bottom w:val="single" w:sz="4" w:space="0" w:color="auto"/>
              <w:right w:val="single" w:sz="8" w:space="0" w:color="000000"/>
            </w:tcBorders>
            <w:shd w:val="clear" w:color="000000" w:fill="FFFFD9"/>
            <w:vAlign w:val="center"/>
            <w:hideMark/>
          </w:tcPr>
          <w:p w:rsidR="00116FC1" w:rsidRPr="00311C9C" w:rsidRDefault="00116FC1" w:rsidP="00116FC1">
            <w:pPr>
              <w:spacing w:line="240" w:lineRule="auto"/>
              <w:jc w:val="center"/>
              <w:rPr>
                <w:rFonts w:cs="Arial"/>
                <w:i/>
                <w:sz w:val="16"/>
                <w:szCs w:val="16"/>
                <w:lang w:eastAsia="sl-SI"/>
              </w:rPr>
            </w:pPr>
            <w:r w:rsidRPr="00311C9C">
              <w:rPr>
                <w:rFonts w:cs="Arial"/>
                <w:i/>
                <w:sz w:val="16"/>
                <w:szCs w:val="16"/>
                <w:lang w:eastAsia="sl-SI"/>
              </w:rPr>
              <w:t>AOP907</w:t>
            </w:r>
          </w:p>
        </w:tc>
        <w:tc>
          <w:tcPr>
            <w:tcW w:w="846" w:type="pct"/>
            <w:tcBorders>
              <w:top w:val="nil"/>
              <w:left w:val="nil"/>
              <w:bottom w:val="single" w:sz="4" w:space="0" w:color="auto"/>
              <w:right w:val="single" w:sz="8" w:space="0" w:color="000000"/>
            </w:tcBorders>
            <w:shd w:val="clear" w:color="auto" w:fill="auto"/>
            <w:vAlign w:val="center"/>
          </w:tcPr>
          <w:p w:rsidR="00116FC1" w:rsidRPr="00972554" w:rsidRDefault="00116FC1" w:rsidP="00972554">
            <w:pPr>
              <w:spacing w:line="240" w:lineRule="auto"/>
              <w:jc w:val="right"/>
              <w:rPr>
                <w:rFonts w:ascii="Calibri" w:hAnsi="Calibri" w:cs="Calibri"/>
                <w:i/>
                <w:color w:val="000000"/>
                <w:sz w:val="18"/>
                <w:szCs w:val="18"/>
                <w:lang w:val="sl-SI" w:eastAsia="sl-SI"/>
              </w:rPr>
            </w:pPr>
            <w:r w:rsidRPr="00972554">
              <w:rPr>
                <w:rFonts w:ascii="Calibri" w:hAnsi="Calibri" w:cs="Calibri"/>
                <w:color w:val="000000"/>
                <w:sz w:val="18"/>
                <w:szCs w:val="18"/>
                <w:lang w:val="sl-SI" w:eastAsia="sl-SI"/>
              </w:rPr>
              <w:t xml:space="preserve">7.273.077.414 </w:t>
            </w:r>
          </w:p>
        </w:tc>
        <w:tc>
          <w:tcPr>
            <w:tcW w:w="807" w:type="pct"/>
            <w:tcBorders>
              <w:top w:val="nil"/>
              <w:left w:val="nil"/>
              <w:bottom w:val="single" w:sz="4" w:space="0" w:color="auto"/>
              <w:right w:val="single" w:sz="8" w:space="0" w:color="000000"/>
            </w:tcBorders>
            <w:shd w:val="clear" w:color="auto" w:fill="auto"/>
            <w:vAlign w:val="center"/>
            <w:hideMark/>
          </w:tcPr>
          <w:p w:rsidR="00116FC1" w:rsidRPr="00311C9C" w:rsidRDefault="00116FC1" w:rsidP="00116FC1">
            <w:pPr>
              <w:spacing w:line="240" w:lineRule="auto"/>
              <w:jc w:val="right"/>
              <w:rPr>
                <w:rFonts w:cs="Arial"/>
                <w:i/>
                <w:sz w:val="16"/>
                <w:szCs w:val="16"/>
                <w:lang w:eastAsia="sl-SI"/>
              </w:rPr>
            </w:pPr>
            <w:r w:rsidRPr="000F6B5B">
              <w:rPr>
                <w:rFonts w:ascii="Calibri" w:hAnsi="Calibri" w:cs="Calibri"/>
                <w:i/>
                <w:color w:val="000000"/>
                <w:sz w:val="18"/>
                <w:szCs w:val="18"/>
                <w:lang w:val="sl-SI" w:eastAsia="sl-SI"/>
              </w:rPr>
              <w:t>6.590.146.878</w:t>
            </w:r>
          </w:p>
        </w:tc>
      </w:tr>
      <w:tr w:rsidR="00116FC1" w:rsidRPr="00311C9C" w:rsidTr="00972554">
        <w:trPr>
          <w:trHeight w:val="284"/>
        </w:trPr>
        <w:tc>
          <w:tcPr>
            <w:tcW w:w="314" w:type="pct"/>
            <w:tcBorders>
              <w:top w:val="single" w:sz="4" w:space="0" w:color="auto"/>
              <w:left w:val="single" w:sz="8" w:space="0" w:color="auto"/>
              <w:bottom w:val="nil"/>
              <w:right w:val="single" w:sz="8" w:space="0" w:color="000000"/>
            </w:tcBorders>
            <w:shd w:val="clear" w:color="000000" w:fill="FFFFD9"/>
            <w:vAlign w:val="center"/>
            <w:hideMark/>
          </w:tcPr>
          <w:p w:rsidR="00116FC1" w:rsidRPr="00311C9C" w:rsidRDefault="00116FC1" w:rsidP="00116FC1">
            <w:pPr>
              <w:spacing w:line="240" w:lineRule="auto"/>
              <w:jc w:val="center"/>
              <w:rPr>
                <w:rFonts w:cs="Arial"/>
                <w:i/>
                <w:sz w:val="16"/>
                <w:szCs w:val="16"/>
                <w:lang w:eastAsia="sl-SI"/>
              </w:rPr>
            </w:pPr>
            <w:r w:rsidRPr="00311C9C">
              <w:rPr>
                <w:rFonts w:cs="Arial"/>
                <w:i/>
                <w:sz w:val="16"/>
                <w:szCs w:val="16"/>
                <w:lang w:eastAsia="sl-SI"/>
              </w:rPr>
              <w:t>09</w:t>
            </w:r>
          </w:p>
        </w:tc>
        <w:tc>
          <w:tcPr>
            <w:tcW w:w="2571" w:type="pct"/>
            <w:tcBorders>
              <w:top w:val="nil"/>
              <w:left w:val="nil"/>
              <w:bottom w:val="nil"/>
              <w:right w:val="single" w:sz="8" w:space="0" w:color="000000"/>
            </w:tcBorders>
            <w:shd w:val="clear" w:color="000000" w:fill="FFFFD9"/>
            <w:vAlign w:val="center"/>
            <w:hideMark/>
          </w:tcPr>
          <w:p w:rsidR="00116FC1" w:rsidRPr="00311C9C" w:rsidRDefault="00116FC1" w:rsidP="00116FC1">
            <w:pPr>
              <w:spacing w:line="240" w:lineRule="auto"/>
              <w:jc w:val="left"/>
              <w:rPr>
                <w:rFonts w:cs="Arial"/>
                <w:i/>
                <w:sz w:val="16"/>
                <w:szCs w:val="16"/>
                <w:lang w:eastAsia="sl-SI"/>
              </w:rPr>
            </w:pPr>
            <w:r w:rsidRPr="00311C9C">
              <w:rPr>
                <w:rFonts w:cs="Arial"/>
                <w:i/>
                <w:sz w:val="16"/>
                <w:szCs w:val="16"/>
                <w:lang w:eastAsia="sl-SI"/>
              </w:rPr>
              <w:t>Popravek vrednosti opreme in drugih opredmetenih osnovnih sredstev</w:t>
            </w:r>
          </w:p>
        </w:tc>
        <w:tc>
          <w:tcPr>
            <w:tcW w:w="462" w:type="pct"/>
            <w:tcBorders>
              <w:top w:val="single" w:sz="4" w:space="0" w:color="auto"/>
              <w:left w:val="nil"/>
              <w:bottom w:val="nil"/>
              <w:right w:val="single" w:sz="8" w:space="0" w:color="000000"/>
            </w:tcBorders>
            <w:shd w:val="clear" w:color="000000" w:fill="FFFFD9"/>
            <w:vAlign w:val="center"/>
            <w:hideMark/>
          </w:tcPr>
          <w:p w:rsidR="00116FC1" w:rsidRPr="00311C9C" w:rsidRDefault="00116FC1" w:rsidP="00116FC1">
            <w:pPr>
              <w:spacing w:line="240" w:lineRule="auto"/>
              <w:jc w:val="center"/>
              <w:rPr>
                <w:rFonts w:cs="Arial"/>
                <w:i/>
                <w:sz w:val="16"/>
                <w:szCs w:val="16"/>
                <w:lang w:eastAsia="sl-SI"/>
              </w:rPr>
            </w:pPr>
            <w:r w:rsidRPr="00311C9C">
              <w:rPr>
                <w:rFonts w:cs="Arial"/>
                <w:i/>
                <w:sz w:val="16"/>
                <w:szCs w:val="16"/>
                <w:lang w:eastAsia="sl-SI"/>
              </w:rPr>
              <w:t>AOP908</w:t>
            </w:r>
          </w:p>
        </w:tc>
        <w:tc>
          <w:tcPr>
            <w:tcW w:w="846" w:type="pct"/>
            <w:tcBorders>
              <w:top w:val="single" w:sz="4" w:space="0" w:color="auto"/>
              <w:left w:val="nil"/>
              <w:bottom w:val="single" w:sz="8" w:space="0" w:color="auto"/>
              <w:right w:val="single" w:sz="8" w:space="0" w:color="000000"/>
            </w:tcBorders>
            <w:shd w:val="clear" w:color="auto" w:fill="auto"/>
            <w:vAlign w:val="center"/>
          </w:tcPr>
          <w:p w:rsidR="00116FC1" w:rsidRPr="00972554" w:rsidRDefault="00116FC1" w:rsidP="00972554">
            <w:pPr>
              <w:spacing w:line="240" w:lineRule="auto"/>
              <w:jc w:val="right"/>
              <w:rPr>
                <w:rFonts w:ascii="Calibri" w:hAnsi="Calibri" w:cs="Calibri"/>
                <w:i/>
                <w:color w:val="000000"/>
                <w:sz w:val="18"/>
                <w:szCs w:val="18"/>
                <w:lang w:val="sl-SI" w:eastAsia="sl-SI"/>
              </w:rPr>
            </w:pPr>
            <w:r w:rsidRPr="00972554">
              <w:rPr>
                <w:rFonts w:ascii="Calibri" w:hAnsi="Calibri" w:cs="Calibri"/>
                <w:color w:val="000000"/>
                <w:sz w:val="18"/>
                <w:szCs w:val="18"/>
                <w:lang w:val="sl-SI" w:eastAsia="sl-SI"/>
              </w:rPr>
              <w:t xml:space="preserve">5.175.213.937 </w:t>
            </w:r>
          </w:p>
        </w:tc>
        <w:tc>
          <w:tcPr>
            <w:tcW w:w="807" w:type="pct"/>
            <w:tcBorders>
              <w:top w:val="single" w:sz="4" w:space="0" w:color="auto"/>
              <w:left w:val="nil"/>
              <w:bottom w:val="single" w:sz="8" w:space="0" w:color="auto"/>
              <w:right w:val="single" w:sz="8" w:space="0" w:color="000000"/>
            </w:tcBorders>
            <w:shd w:val="clear" w:color="auto" w:fill="auto"/>
            <w:vAlign w:val="center"/>
            <w:hideMark/>
          </w:tcPr>
          <w:p w:rsidR="00116FC1" w:rsidRPr="00311C9C" w:rsidRDefault="00116FC1" w:rsidP="00116FC1">
            <w:pPr>
              <w:spacing w:line="240" w:lineRule="auto"/>
              <w:jc w:val="right"/>
              <w:rPr>
                <w:rFonts w:cs="Arial"/>
                <w:i/>
                <w:sz w:val="16"/>
                <w:szCs w:val="16"/>
                <w:lang w:eastAsia="sl-SI"/>
              </w:rPr>
            </w:pPr>
            <w:r w:rsidRPr="000F6B5B">
              <w:rPr>
                <w:rFonts w:ascii="Calibri" w:hAnsi="Calibri" w:cs="Calibri"/>
                <w:i/>
                <w:color w:val="000000"/>
                <w:sz w:val="18"/>
                <w:szCs w:val="18"/>
                <w:lang w:val="sl-SI" w:eastAsia="sl-SI"/>
              </w:rPr>
              <w:t>4.945.973.462</w:t>
            </w:r>
          </w:p>
        </w:tc>
      </w:tr>
      <w:tr w:rsidR="00116FC1" w:rsidRPr="00311C9C" w:rsidTr="00972554">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rsidR="00116FC1" w:rsidRPr="00311C9C" w:rsidRDefault="00116FC1" w:rsidP="00116FC1">
            <w:pPr>
              <w:spacing w:line="240" w:lineRule="auto"/>
              <w:jc w:val="center"/>
              <w:rPr>
                <w:rFonts w:cs="Arial"/>
                <w:i/>
                <w:sz w:val="16"/>
                <w:szCs w:val="16"/>
                <w:lang w:eastAsia="sl-SI"/>
              </w:rPr>
            </w:pPr>
            <w:r w:rsidRPr="00311C9C">
              <w:rPr>
                <w:rFonts w:cs="Arial"/>
                <w:i/>
                <w:sz w:val="16"/>
                <w:szCs w:val="16"/>
                <w:lang w:eastAsia="sl-SI"/>
              </w:rPr>
              <w:t>10</w:t>
            </w:r>
          </w:p>
        </w:tc>
        <w:tc>
          <w:tcPr>
            <w:tcW w:w="2571" w:type="pct"/>
            <w:tcBorders>
              <w:top w:val="single" w:sz="8" w:space="0" w:color="auto"/>
              <w:left w:val="nil"/>
              <w:bottom w:val="single" w:sz="8" w:space="0" w:color="auto"/>
              <w:right w:val="single" w:sz="8" w:space="0" w:color="000000"/>
            </w:tcBorders>
            <w:shd w:val="clear" w:color="000000" w:fill="FFFFD9"/>
            <w:vAlign w:val="center"/>
            <w:hideMark/>
          </w:tcPr>
          <w:p w:rsidR="00116FC1" w:rsidRPr="00311C9C" w:rsidRDefault="00116FC1" w:rsidP="00116FC1">
            <w:pPr>
              <w:spacing w:line="240" w:lineRule="auto"/>
              <w:jc w:val="left"/>
              <w:rPr>
                <w:rFonts w:cs="Arial"/>
                <w:b/>
                <w:bCs/>
                <w:i/>
                <w:sz w:val="16"/>
                <w:szCs w:val="16"/>
                <w:lang w:eastAsia="sl-SI"/>
              </w:rPr>
            </w:pPr>
            <w:r w:rsidRPr="00311C9C">
              <w:rPr>
                <w:rFonts w:cs="Arial"/>
                <w:b/>
                <w:bCs/>
                <w:i/>
                <w:sz w:val="16"/>
                <w:szCs w:val="16"/>
                <w:lang w:eastAsia="sl-SI"/>
              </w:rPr>
              <w:t>Terjatve za sredstva dana v upravljanje</w:t>
            </w:r>
            <w:r w:rsidRPr="00311C9C">
              <w:rPr>
                <w:rFonts w:cs="Arial"/>
                <w:b/>
                <w:bCs/>
                <w:i/>
                <w:sz w:val="16"/>
                <w:szCs w:val="16"/>
                <w:lang w:eastAsia="sl-SI"/>
              </w:rPr>
              <w:br/>
            </w:r>
            <w:r w:rsidRPr="00311C9C">
              <w:rPr>
                <w:rFonts w:cs="Arial"/>
                <w:i/>
                <w:sz w:val="16"/>
                <w:szCs w:val="16"/>
                <w:lang w:eastAsia="sl-SI"/>
              </w:rPr>
              <w:t>(AOP910+AOP911)</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rsidR="00116FC1" w:rsidRPr="00311C9C" w:rsidRDefault="00116FC1" w:rsidP="00116FC1">
            <w:pPr>
              <w:spacing w:line="240" w:lineRule="auto"/>
              <w:jc w:val="center"/>
              <w:rPr>
                <w:rFonts w:cs="Arial"/>
                <w:i/>
                <w:sz w:val="16"/>
                <w:szCs w:val="16"/>
                <w:lang w:eastAsia="sl-SI"/>
              </w:rPr>
            </w:pPr>
            <w:r w:rsidRPr="00311C9C">
              <w:rPr>
                <w:rFonts w:cs="Arial"/>
                <w:i/>
                <w:sz w:val="16"/>
                <w:szCs w:val="16"/>
                <w:lang w:eastAsia="sl-SI"/>
              </w:rPr>
              <w:t>AOP909</w:t>
            </w:r>
          </w:p>
        </w:tc>
        <w:tc>
          <w:tcPr>
            <w:tcW w:w="846" w:type="pct"/>
            <w:tcBorders>
              <w:top w:val="single" w:sz="8" w:space="0" w:color="auto"/>
              <w:left w:val="nil"/>
              <w:bottom w:val="single" w:sz="8" w:space="0" w:color="auto"/>
              <w:right w:val="single" w:sz="8" w:space="0" w:color="000000"/>
            </w:tcBorders>
            <w:shd w:val="clear" w:color="000000" w:fill="FFFFD9"/>
            <w:noWrap/>
            <w:vAlign w:val="center"/>
          </w:tcPr>
          <w:p w:rsidR="00116FC1" w:rsidRPr="00972554" w:rsidRDefault="00116FC1" w:rsidP="00972554">
            <w:pPr>
              <w:spacing w:line="240" w:lineRule="auto"/>
              <w:jc w:val="right"/>
              <w:rPr>
                <w:rFonts w:ascii="Calibri" w:hAnsi="Calibri" w:cs="Calibri"/>
                <w:i/>
                <w:color w:val="000000"/>
                <w:sz w:val="18"/>
                <w:szCs w:val="18"/>
                <w:lang w:val="sl-SI" w:eastAsia="sl-SI"/>
              </w:rPr>
            </w:pPr>
            <w:r w:rsidRPr="00972554">
              <w:rPr>
                <w:rFonts w:ascii="Calibri" w:hAnsi="Calibri" w:cs="Calibri"/>
                <w:color w:val="000000"/>
                <w:sz w:val="18"/>
                <w:szCs w:val="18"/>
                <w:lang w:val="sl-SI" w:eastAsia="sl-SI"/>
              </w:rPr>
              <w:t xml:space="preserve">29.907.899 </w:t>
            </w:r>
          </w:p>
        </w:tc>
        <w:tc>
          <w:tcPr>
            <w:tcW w:w="807" w:type="pct"/>
            <w:tcBorders>
              <w:top w:val="single" w:sz="8" w:space="0" w:color="auto"/>
              <w:left w:val="nil"/>
              <w:bottom w:val="single" w:sz="8" w:space="0" w:color="auto"/>
              <w:right w:val="single" w:sz="8" w:space="0" w:color="000000"/>
            </w:tcBorders>
            <w:shd w:val="clear" w:color="000000" w:fill="FFFFD9"/>
            <w:noWrap/>
            <w:vAlign w:val="center"/>
            <w:hideMark/>
          </w:tcPr>
          <w:p w:rsidR="00116FC1" w:rsidRPr="00311C9C" w:rsidRDefault="00116FC1" w:rsidP="00116FC1">
            <w:pPr>
              <w:spacing w:line="240" w:lineRule="auto"/>
              <w:jc w:val="right"/>
              <w:rPr>
                <w:rFonts w:cs="Arial"/>
                <w:i/>
                <w:sz w:val="16"/>
                <w:szCs w:val="16"/>
                <w:lang w:eastAsia="sl-SI"/>
              </w:rPr>
            </w:pPr>
            <w:r w:rsidRPr="000F6B5B">
              <w:rPr>
                <w:rFonts w:ascii="Calibri" w:hAnsi="Calibri" w:cs="Calibri"/>
                <w:i/>
                <w:color w:val="000000"/>
                <w:sz w:val="18"/>
                <w:szCs w:val="18"/>
                <w:lang w:val="sl-SI" w:eastAsia="sl-SI"/>
              </w:rPr>
              <w:t>31.600.754</w:t>
            </w:r>
          </w:p>
        </w:tc>
      </w:tr>
      <w:tr w:rsidR="00116FC1" w:rsidRPr="00311C9C" w:rsidTr="00972554">
        <w:trPr>
          <w:trHeight w:val="284"/>
        </w:trPr>
        <w:tc>
          <w:tcPr>
            <w:tcW w:w="314" w:type="pct"/>
            <w:tcBorders>
              <w:top w:val="nil"/>
              <w:left w:val="single" w:sz="8" w:space="0" w:color="auto"/>
              <w:bottom w:val="single" w:sz="4" w:space="0" w:color="auto"/>
              <w:right w:val="single" w:sz="8" w:space="0" w:color="000000"/>
            </w:tcBorders>
            <w:shd w:val="clear" w:color="000000" w:fill="FFFFD9"/>
            <w:vAlign w:val="center"/>
            <w:hideMark/>
          </w:tcPr>
          <w:p w:rsidR="00116FC1" w:rsidRPr="00311C9C" w:rsidRDefault="00116FC1" w:rsidP="00116FC1">
            <w:pPr>
              <w:spacing w:line="240" w:lineRule="auto"/>
              <w:jc w:val="center"/>
              <w:rPr>
                <w:rFonts w:cs="Arial"/>
                <w:i/>
                <w:sz w:val="16"/>
                <w:szCs w:val="16"/>
                <w:lang w:eastAsia="sl-SI"/>
              </w:rPr>
            </w:pPr>
            <w:r w:rsidRPr="00311C9C">
              <w:rPr>
                <w:rFonts w:cs="Arial"/>
                <w:i/>
                <w:sz w:val="16"/>
                <w:szCs w:val="16"/>
                <w:lang w:eastAsia="sl-SI"/>
              </w:rPr>
              <w:t>11</w:t>
            </w:r>
          </w:p>
        </w:tc>
        <w:tc>
          <w:tcPr>
            <w:tcW w:w="2571" w:type="pct"/>
            <w:tcBorders>
              <w:top w:val="nil"/>
              <w:left w:val="nil"/>
              <w:bottom w:val="single" w:sz="4" w:space="0" w:color="auto"/>
              <w:right w:val="single" w:sz="8" w:space="0" w:color="000000"/>
            </w:tcBorders>
            <w:shd w:val="clear" w:color="000000" w:fill="FFFFD9"/>
            <w:vAlign w:val="center"/>
            <w:hideMark/>
          </w:tcPr>
          <w:p w:rsidR="00116FC1" w:rsidRPr="00311C9C" w:rsidRDefault="00116FC1" w:rsidP="00116FC1">
            <w:pPr>
              <w:spacing w:line="240" w:lineRule="auto"/>
              <w:jc w:val="left"/>
              <w:rPr>
                <w:rFonts w:cs="Arial"/>
                <w:i/>
                <w:sz w:val="16"/>
                <w:szCs w:val="16"/>
                <w:lang w:eastAsia="sl-SI"/>
              </w:rPr>
            </w:pPr>
            <w:r w:rsidRPr="00311C9C">
              <w:rPr>
                <w:rFonts w:cs="Arial"/>
                <w:i/>
                <w:sz w:val="16"/>
                <w:szCs w:val="16"/>
                <w:lang w:eastAsia="sl-SI"/>
              </w:rPr>
              <w:t>Terjatve za sredstva dana v upravljanje drugim v lasti države</w:t>
            </w:r>
          </w:p>
        </w:tc>
        <w:tc>
          <w:tcPr>
            <w:tcW w:w="462" w:type="pct"/>
            <w:tcBorders>
              <w:top w:val="nil"/>
              <w:left w:val="nil"/>
              <w:bottom w:val="single" w:sz="4" w:space="0" w:color="auto"/>
              <w:right w:val="single" w:sz="8" w:space="0" w:color="000000"/>
            </w:tcBorders>
            <w:shd w:val="clear" w:color="000000" w:fill="FFFFD9"/>
            <w:vAlign w:val="center"/>
            <w:hideMark/>
          </w:tcPr>
          <w:p w:rsidR="00116FC1" w:rsidRPr="00311C9C" w:rsidRDefault="00116FC1" w:rsidP="00116FC1">
            <w:pPr>
              <w:spacing w:line="240" w:lineRule="auto"/>
              <w:jc w:val="center"/>
              <w:rPr>
                <w:rFonts w:cs="Arial"/>
                <w:i/>
                <w:sz w:val="16"/>
                <w:szCs w:val="16"/>
                <w:lang w:eastAsia="sl-SI"/>
              </w:rPr>
            </w:pPr>
            <w:r w:rsidRPr="00311C9C">
              <w:rPr>
                <w:rFonts w:cs="Arial"/>
                <w:i/>
                <w:sz w:val="16"/>
                <w:szCs w:val="16"/>
                <w:lang w:eastAsia="sl-SI"/>
              </w:rPr>
              <w:t>AOP910</w:t>
            </w:r>
          </w:p>
        </w:tc>
        <w:tc>
          <w:tcPr>
            <w:tcW w:w="846" w:type="pct"/>
            <w:tcBorders>
              <w:top w:val="nil"/>
              <w:left w:val="nil"/>
              <w:bottom w:val="single" w:sz="4" w:space="0" w:color="auto"/>
              <w:right w:val="single" w:sz="8" w:space="0" w:color="000000"/>
            </w:tcBorders>
            <w:shd w:val="clear" w:color="auto" w:fill="auto"/>
            <w:vAlign w:val="center"/>
          </w:tcPr>
          <w:p w:rsidR="00116FC1" w:rsidRPr="00972554" w:rsidRDefault="00116FC1" w:rsidP="00972554">
            <w:pPr>
              <w:spacing w:line="240" w:lineRule="auto"/>
              <w:jc w:val="right"/>
              <w:rPr>
                <w:rFonts w:ascii="Calibri" w:hAnsi="Calibri" w:cs="Calibri"/>
                <w:i/>
                <w:color w:val="000000"/>
                <w:sz w:val="18"/>
                <w:szCs w:val="18"/>
                <w:lang w:val="sl-SI" w:eastAsia="sl-SI"/>
              </w:rPr>
            </w:pPr>
            <w:r w:rsidRPr="00972554">
              <w:rPr>
                <w:rFonts w:ascii="Calibri" w:hAnsi="Calibri" w:cs="Calibri"/>
                <w:color w:val="000000"/>
                <w:sz w:val="18"/>
                <w:szCs w:val="18"/>
                <w:lang w:val="sl-SI" w:eastAsia="sl-SI"/>
              </w:rPr>
              <w:t xml:space="preserve">3.340.508 </w:t>
            </w:r>
          </w:p>
        </w:tc>
        <w:tc>
          <w:tcPr>
            <w:tcW w:w="807" w:type="pct"/>
            <w:tcBorders>
              <w:top w:val="nil"/>
              <w:left w:val="nil"/>
              <w:bottom w:val="single" w:sz="4" w:space="0" w:color="auto"/>
              <w:right w:val="single" w:sz="8" w:space="0" w:color="000000"/>
            </w:tcBorders>
            <w:shd w:val="clear" w:color="auto" w:fill="auto"/>
            <w:vAlign w:val="center"/>
            <w:hideMark/>
          </w:tcPr>
          <w:p w:rsidR="00116FC1" w:rsidRPr="00311C9C" w:rsidRDefault="00116FC1" w:rsidP="00116FC1">
            <w:pPr>
              <w:spacing w:line="240" w:lineRule="auto"/>
              <w:jc w:val="right"/>
              <w:rPr>
                <w:rFonts w:cs="Arial"/>
                <w:i/>
                <w:sz w:val="16"/>
                <w:szCs w:val="16"/>
                <w:lang w:eastAsia="sl-SI"/>
              </w:rPr>
            </w:pPr>
            <w:r w:rsidRPr="000F6B5B">
              <w:rPr>
                <w:rFonts w:ascii="Calibri" w:hAnsi="Calibri" w:cs="Calibri"/>
                <w:i/>
                <w:color w:val="000000"/>
                <w:sz w:val="18"/>
                <w:szCs w:val="18"/>
                <w:lang w:val="sl-SI" w:eastAsia="sl-SI"/>
              </w:rPr>
              <w:t>4.409.853</w:t>
            </w:r>
          </w:p>
        </w:tc>
      </w:tr>
      <w:tr w:rsidR="00116FC1" w:rsidRPr="00311C9C" w:rsidTr="00972554">
        <w:trPr>
          <w:trHeight w:val="284"/>
        </w:trPr>
        <w:tc>
          <w:tcPr>
            <w:tcW w:w="314" w:type="pct"/>
            <w:tcBorders>
              <w:top w:val="single" w:sz="4" w:space="0" w:color="auto"/>
              <w:left w:val="single" w:sz="8" w:space="0" w:color="auto"/>
              <w:bottom w:val="nil"/>
              <w:right w:val="single" w:sz="8" w:space="0" w:color="000000"/>
            </w:tcBorders>
            <w:shd w:val="clear" w:color="000000" w:fill="FFFFD9"/>
            <w:vAlign w:val="center"/>
            <w:hideMark/>
          </w:tcPr>
          <w:p w:rsidR="00116FC1" w:rsidRPr="00311C9C" w:rsidRDefault="00116FC1" w:rsidP="00116FC1">
            <w:pPr>
              <w:spacing w:line="240" w:lineRule="auto"/>
              <w:jc w:val="center"/>
              <w:rPr>
                <w:rFonts w:cs="Arial"/>
                <w:i/>
                <w:sz w:val="16"/>
                <w:szCs w:val="16"/>
                <w:lang w:eastAsia="sl-SI"/>
              </w:rPr>
            </w:pPr>
            <w:r w:rsidRPr="00311C9C">
              <w:rPr>
                <w:rFonts w:cs="Arial"/>
                <w:i/>
                <w:sz w:val="16"/>
                <w:szCs w:val="16"/>
                <w:lang w:eastAsia="sl-SI"/>
              </w:rPr>
              <w:t>12</w:t>
            </w:r>
          </w:p>
        </w:tc>
        <w:tc>
          <w:tcPr>
            <w:tcW w:w="2571" w:type="pct"/>
            <w:tcBorders>
              <w:top w:val="nil"/>
              <w:left w:val="nil"/>
              <w:bottom w:val="nil"/>
              <w:right w:val="single" w:sz="8" w:space="0" w:color="000000"/>
            </w:tcBorders>
            <w:shd w:val="clear" w:color="000000" w:fill="FFFFD9"/>
            <w:vAlign w:val="center"/>
            <w:hideMark/>
          </w:tcPr>
          <w:p w:rsidR="00116FC1" w:rsidRPr="00311C9C" w:rsidRDefault="00116FC1" w:rsidP="00116FC1">
            <w:pPr>
              <w:spacing w:line="240" w:lineRule="auto"/>
              <w:jc w:val="left"/>
              <w:rPr>
                <w:rFonts w:cs="Arial"/>
                <w:i/>
                <w:sz w:val="16"/>
                <w:szCs w:val="16"/>
                <w:lang w:eastAsia="sl-SI"/>
              </w:rPr>
            </w:pPr>
            <w:r w:rsidRPr="00311C9C">
              <w:rPr>
                <w:rFonts w:cs="Arial"/>
                <w:i/>
                <w:sz w:val="16"/>
                <w:szCs w:val="16"/>
                <w:lang w:eastAsia="sl-SI"/>
              </w:rPr>
              <w:t>Terjatve za sredstva dana v upravljanje drugim v lasti občine</w:t>
            </w:r>
          </w:p>
        </w:tc>
        <w:tc>
          <w:tcPr>
            <w:tcW w:w="462" w:type="pct"/>
            <w:tcBorders>
              <w:top w:val="single" w:sz="4" w:space="0" w:color="auto"/>
              <w:left w:val="nil"/>
              <w:bottom w:val="nil"/>
              <w:right w:val="single" w:sz="8" w:space="0" w:color="000000"/>
            </w:tcBorders>
            <w:shd w:val="clear" w:color="000000" w:fill="FFFFD9"/>
            <w:vAlign w:val="center"/>
            <w:hideMark/>
          </w:tcPr>
          <w:p w:rsidR="00116FC1" w:rsidRPr="00311C9C" w:rsidRDefault="00116FC1" w:rsidP="00116FC1">
            <w:pPr>
              <w:spacing w:line="240" w:lineRule="auto"/>
              <w:jc w:val="center"/>
              <w:rPr>
                <w:rFonts w:cs="Arial"/>
                <w:i/>
                <w:sz w:val="16"/>
                <w:szCs w:val="16"/>
                <w:lang w:eastAsia="sl-SI"/>
              </w:rPr>
            </w:pPr>
            <w:r w:rsidRPr="00311C9C">
              <w:rPr>
                <w:rFonts w:cs="Arial"/>
                <w:i/>
                <w:sz w:val="16"/>
                <w:szCs w:val="16"/>
                <w:lang w:eastAsia="sl-SI"/>
              </w:rPr>
              <w:t>AOP911</w:t>
            </w:r>
          </w:p>
        </w:tc>
        <w:tc>
          <w:tcPr>
            <w:tcW w:w="846" w:type="pct"/>
            <w:tcBorders>
              <w:top w:val="single" w:sz="4" w:space="0" w:color="auto"/>
              <w:left w:val="nil"/>
              <w:bottom w:val="single" w:sz="8" w:space="0" w:color="auto"/>
              <w:right w:val="single" w:sz="8" w:space="0" w:color="000000"/>
            </w:tcBorders>
            <w:shd w:val="clear" w:color="auto" w:fill="auto"/>
            <w:vAlign w:val="center"/>
          </w:tcPr>
          <w:p w:rsidR="00116FC1" w:rsidRPr="00972554" w:rsidRDefault="00116FC1" w:rsidP="00972554">
            <w:pPr>
              <w:spacing w:line="240" w:lineRule="auto"/>
              <w:jc w:val="right"/>
              <w:rPr>
                <w:rFonts w:ascii="Calibri" w:hAnsi="Calibri" w:cs="Calibri"/>
                <w:i/>
                <w:color w:val="000000"/>
                <w:sz w:val="18"/>
                <w:szCs w:val="18"/>
                <w:lang w:val="sl-SI" w:eastAsia="sl-SI"/>
              </w:rPr>
            </w:pPr>
            <w:r w:rsidRPr="00972554">
              <w:rPr>
                <w:rFonts w:ascii="Calibri" w:hAnsi="Calibri" w:cs="Calibri"/>
                <w:color w:val="000000"/>
                <w:sz w:val="18"/>
                <w:szCs w:val="18"/>
                <w:lang w:val="sl-SI" w:eastAsia="sl-SI"/>
              </w:rPr>
              <w:t xml:space="preserve">26.567.391 </w:t>
            </w:r>
          </w:p>
        </w:tc>
        <w:tc>
          <w:tcPr>
            <w:tcW w:w="807" w:type="pct"/>
            <w:tcBorders>
              <w:top w:val="single" w:sz="4" w:space="0" w:color="auto"/>
              <w:left w:val="nil"/>
              <w:bottom w:val="single" w:sz="8" w:space="0" w:color="auto"/>
              <w:right w:val="single" w:sz="8" w:space="0" w:color="000000"/>
            </w:tcBorders>
            <w:shd w:val="clear" w:color="auto" w:fill="auto"/>
            <w:vAlign w:val="center"/>
            <w:hideMark/>
          </w:tcPr>
          <w:p w:rsidR="00116FC1" w:rsidRPr="00311C9C" w:rsidRDefault="00116FC1" w:rsidP="00116FC1">
            <w:pPr>
              <w:spacing w:line="240" w:lineRule="auto"/>
              <w:jc w:val="right"/>
              <w:rPr>
                <w:rFonts w:cs="Arial"/>
                <w:i/>
                <w:sz w:val="16"/>
                <w:szCs w:val="16"/>
                <w:lang w:eastAsia="sl-SI"/>
              </w:rPr>
            </w:pPr>
            <w:r w:rsidRPr="000F6B5B">
              <w:rPr>
                <w:rFonts w:ascii="Calibri" w:hAnsi="Calibri" w:cs="Calibri"/>
                <w:i/>
                <w:color w:val="000000"/>
                <w:sz w:val="18"/>
                <w:szCs w:val="18"/>
                <w:lang w:val="sl-SI" w:eastAsia="sl-SI"/>
              </w:rPr>
              <w:t>27.190.901</w:t>
            </w:r>
          </w:p>
        </w:tc>
      </w:tr>
      <w:tr w:rsidR="00116FC1" w:rsidRPr="00311C9C" w:rsidTr="00972554">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rsidR="00116FC1" w:rsidRPr="00311C9C" w:rsidRDefault="00116FC1" w:rsidP="00116FC1">
            <w:pPr>
              <w:spacing w:line="240" w:lineRule="auto"/>
              <w:jc w:val="center"/>
              <w:rPr>
                <w:rFonts w:cs="Arial"/>
                <w:i/>
                <w:sz w:val="16"/>
                <w:szCs w:val="16"/>
                <w:lang w:eastAsia="sl-SI"/>
              </w:rPr>
            </w:pPr>
            <w:r w:rsidRPr="00311C9C">
              <w:rPr>
                <w:rFonts w:cs="Arial"/>
                <w:i/>
                <w:sz w:val="16"/>
                <w:szCs w:val="16"/>
                <w:lang w:eastAsia="sl-SI"/>
              </w:rPr>
              <w:t>13</w:t>
            </w:r>
          </w:p>
        </w:tc>
        <w:tc>
          <w:tcPr>
            <w:tcW w:w="2571" w:type="pct"/>
            <w:tcBorders>
              <w:top w:val="single" w:sz="8" w:space="0" w:color="auto"/>
              <w:left w:val="nil"/>
              <w:bottom w:val="single" w:sz="8" w:space="0" w:color="auto"/>
              <w:right w:val="single" w:sz="8" w:space="0" w:color="000000"/>
            </w:tcBorders>
            <w:shd w:val="clear" w:color="000000" w:fill="FFFFD9"/>
            <w:vAlign w:val="center"/>
            <w:hideMark/>
          </w:tcPr>
          <w:p w:rsidR="00116FC1" w:rsidRPr="00311C9C" w:rsidRDefault="00116FC1" w:rsidP="00116FC1">
            <w:pPr>
              <w:spacing w:line="240" w:lineRule="auto"/>
              <w:jc w:val="left"/>
              <w:rPr>
                <w:rFonts w:cs="Arial"/>
                <w:b/>
                <w:bCs/>
                <w:i/>
                <w:sz w:val="16"/>
                <w:szCs w:val="16"/>
                <w:lang w:eastAsia="sl-SI"/>
              </w:rPr>
            </w:pPr>
            <w:r w:rsidRPr="00311C9C">
              <w:rPr>
                <w:rFonts w:cs="Arial"/>
                <w:b/>
                <w:bCs/>
                <w:i/>
                <w:sz w:val="16"/>
                <w:szCs w:val="16"/>
                <w:lang w:eastAsia="sl-SI"/>
              </w:rPr>
              <w:t>Zaloge</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rsidR="00116FC1" w:rsidRPr="00311C9C" w:rsidRDefault="00116FC1" w:rsidP="00116FC1">
            <w:pPr>
              <w:spacing w:line="240" w:lineRule="auto"/>
              <w:jc w:val="center"/>
              <w:rPr>
                <w:rFonts w:cs="Arial"/>
                <w:i/>
                <w:sz w:val="16"/>
                <w:szCs w:val="16"/>
                <w:lang w:eastAsia="sl-SI"/>
              </w:rPr>
            </w:pPr>
            <w:r w:rsidRPr="00311C9C">
              <w:rPr>
                <w:rFonts w:cs="Arial"/>
                <w:i/>
                <w:sz w:val="16"/>
                <w:szCs w:val="16"/>
                <w:lang w:eastAsia="sl-SI"/>
              </w:rPr>
              <w:t>AOP912</w:t>
            </w:r>
          </w:p>
        </w:tc>
        <w:tc>
          <w:tcPr>
            <w:tcW w:w="846" w:type="pct"/>
            <w:tcBorders>
              <w:top w:val="single" w:sz="8" w:space="0" w:color="auto"/>
              <w:left w:val="nil"/>
              <w:bottom w:val="single" w:sz="8" w:space="0" w:color="auto"/>
              <w:right w:val="single" w:sz="8" w:space="0" w:color="000000"/>
            </w:tcBorders>
            <w:shd w:val="clear" w:color="auto" w:fill="auto"/>
            <w:vAlign w:val="center"/>
          </w:tcPr>
          <w:p w:rsidR="00116FC1" w:rsidRPr="00972554" w:rsidRDefault="00116FC1" w:rsidP="00972554">
            <w:pPr>
              <w:spacing w:line="240" w:lineRule="auto"/>
              <w:jc w:val="right"/>
              <w:rPr>
                <w:rFonts w:ascii="Calibri" w:hAnsi="Calibri" w:cs="Calibri"/>
                <w:i/>
                <w:color w:val="000000"/>
                <w:sz w:val="18"/>
                <w:szCs w:val="18"/>
                <w:lang w:val="sl-SI" w:eastAsia="sl-SI"/>
              </w:rPr>
            </w:pPr>
            <w:r w:rsidRPr="00972554">
              <w:rPr>
                <w:rFonts w:ascii="Calibri" w:hAnsi="Calibri" w:cs="Calibri"/>
                <w:color w:val="000000"/>
                <w:sz w:val="18"/>
                <w:szCs w:val="18"/>
                <w:lang w:val="sl-SI" w:eastAsia="sl-SI"/>
              </w:rPr>
              <w:t xml:space="preserve">388.973.449 </w:t>
            </w:r>
          </w:p>
        </w:tc>
        <w:tc>
          <w:tcPr>
            <w:tcW w:w="807" w:type="pct"/>
            <w:tcBorders>
              <w:top w:val="single" w:sz="8" w:space="0" w:color="auto"/>
              <w:left w:val="nil"/>
              <w:bottom w:val="single" w:sz="8" w:space="0" w:color="auto"/>
              <w:right w:val="single" w:sz="8" w:space="0" w:color="000000"/>
            </w:tcBorders>
            <w:shd w:val="clear" w:color="auto" w:fill="auto"/>
            <w:vAlign w:val="center"/>
            <w:hideMark/>
          </w:tcPr>
          <w:p w:rsidR="00116FC1" w:rsidRPr="00311C9C" w:rsidRDefault="00116FC1" w:rsidP="00116FC1">
            <w:pPr>
              <w:spacing w:line="240" w:lineRule="auto"/>
              <w:jc w:val="right"/>
              <w:rPr>
                <w:rFonts w:cs="Arial"/>
                <w:i/>
                <w:sz w:val="16"/>
                <w:szCs w:val="16"/>
                <w:lang w:eastAsia="sl-SI"/>
              </w:rPr>
            </w:pPr>
            <w:r w:rsidRPr="000F6B5B">
              <w:rPr>
                <w:rFonts w:ascii="Calibri" w:hAnsi="Calibri" w:cs="Calibri"/>
                <w:i/>
                <w:color w:val="000000"/>
                <w:sz w:val="18"/>
                <w:szCs w:val="18"/>
                <w:lang w:val="sl-SI" w:eastAsia="sl-SI"/>
              </w:rPr>
              <w:t>382.953.302</w:t>
            </w:r>
          </w:p>
        </w:tc>
      </w:tr>
      <w:tr w:rsidR="00116FC1" w:rsidRPr="00311C9C" w:rsidTr="00972554">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rsidR="00116FC1" w:rsidRPr="00311C9C" w:rsidRDefault="00116FC1" w:rsidP="00116FC1">
            <w:pPr>
              <w:spacing w:line="240" w:lineRule="auto"/>
              <w:jc w:val="center"/>
              <w:rPr>
                <w:rFonts w:cs="Arial"/>
                <w:i/>
                <w:sz w:val="16"/>
                <w:szCs w:val="16"/>
                <w:lang w:eastAsia="sl-SI"/>
              </w:rPr>
            </w:pPr>
            <w:r w:rsidRPr="00311C9C">
              <w:rPr>
                <w:rFonts w:cs="Arial"/>
                <w:i/>
                <w:sz w:val="16"/>
                <w:szCs w:val="16"/>
                <w:lang w:eastAsia="sl-SI"/>
              </w:rPr>
              <w:t>14</w:t>
            </w:r>
          </w:p>
        </w:tc>
        <w:tc>
          <w:tcPr>
            <w:tcW w:w="2571" w:type="pct"/>
            <w:tcBorders>
              <w:top w:val="nil"/>
              <w:left w:val="nil"/>
              <w:bottom w:val="nil"/>
              <w:right w:val="single" w:sz="8" w:space="0" w:color="000000"/>
            </w:tcBorders>
            <w:shd w:val="clear" w:color="000000" w:fill="FFFFD9"/>
            <w:vAlign w:val="center"/>
            <w:hideMark/>
          </w:tcPr>
          <w:p w:rsidR="00116FC1" w:rsidRPr="00311C9C" w:rsidRDefault="00116FC1" w:rsidP="00116FC1">
            <w:pPr>
              <w:spacing w:line="240" w:lineRule="auto"/>
              <w:jc w:val="left"/>
              <w:rPr>
                <w:rFonts w:cs="Arial"/>
                <w:b/>
                <w:bCs/>
                <w:i/>
                <w:sz w:val="16"/>
                <w:szCs w:val="16"/>
                <w:lang w:eastAsia="sl-SI"/>
              </w:rPr>
            </w:pPr>
            <w:r w:rsidRPr="00311C9C">
              <w:rPr>
                <w:rFonts w:cs="Arial"/>
                <w:b/>
                <w:bCs/>
                <w:i/>
                <w:sz w:val="16"/>
                <w:szCs w:val="16"/>
                <w:lang w:eastAsia="sl-SI"/>
              </w:rPr>
              <w:t>Dolgoročne finančne naložbe</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rsidR="00116FC1" w:rsidRPr="00311C9C" w:rsidRDefault="00116FC1" w:rsidP="00116FC1">
            <w:pPr>
              <w:spacing w:line="240" w:lineRule="auto"/>
              <w:jc w:val="center"/>
              <w:rPr>
                <w:rFonts w:cs="Arial"/>
                <w:i/>
                <w:sz w:val="16"/>
                <w:szCs w:val="16"/>
                <w:lang w:eastAsia="sl-SI"/>
              </w:rPr>
            </w:pPr>
            <w:r w:rsidRPr="00311C9C">
              <w:rPr>
                <w:rFonts w:cs="Arial"/>
                <w:i/>
                <w:sz w:val="16"/>
                <w:szCs w:val="16"/>
                <w:lang w:eastAsia="sl-SI"/>
              </w:rPr>
              <w:t>AOP913</w:t>
            </w:r>
          </w:p>
        </w:tc>
        <w:tc>
          <w:tcPr>
            <w:tcW w:w="846" w:type="pct"/>
            <w:tcBorders>
              <w:top w:val="single" w:sz="8" w:space="0" w:color="auto"/>
              <w:left w:val="nil"/>
              <w:bottom w:val="single" w:sz="8" w:space="0" w:color="auto"/>
              <w:right w:val="single" w:sz="8" w:space="0" w:color="000000"/>
            </w:tcBorders>
            <w:shd w:val="clear" w:color="auto" w:fill="auto"/>
            <w:vAlign w:val="center"/>
          </w:tcPr>
          <w:p w:rsidR="00116FC1" w:rsidRPr="00972554" w:rsidRDefault="00116FC1" w:rsidP="00972554">
            <w:pPr>
              <w:spacing w:line="240" w:lineRule="auto"/>
              <w:jc w:val="right"/>
              <w:rPr>
                <w:rFonts w:ascii="Calibri" w:hAnsi="Calibri" w:cs="Calibri"/>
                <w:i/>
                <w:color w:val="000000"/>
                <w:sz w:val="18"/>
                <w:szCs w:val="18"/>
                <w:lang w:val="sl-SI" w:eastAsia="sl-SI"/>
              </w:rPr>
            </w:pPr>
            <w:r w:rsidRPr="00972554">
              <w:rPr>
                <w:rFonts w:ascii="Calibri" w:hAnsi="Calibri" w:cs="Calibri"/>
                <w:color w:val="000000"/>
                <w:sz w:val="18"/>
                <w:szCs w:val="18"/>
                <w:lang w:val="sl-SI" w:eastAsia="sl-SI"/>
              </w:rPr>
              <w:t xml:space="preserve">11.694.851.309 </w:t>
            </w:r>
          </w:p>
        </w:tc>
        <w:tc>
          <w:tcPr>
            <w:tcW w:w="807" w:type="pct"/>
            <w:tcBorders>
              <w:top w:val="single" w:sz="8" w:space="0" w:color="auto"/>
              <w:left w:val="nil"/>
              <w:bottom w:val="single" w:sz="8" w:space="0" w:color="auto"/>
              <w:right w:val="single" w:sz="8" w:space="0" w:color="000000"/>
            </w:tcBorders>
            <w:shd w:val="clear" w:color="auto" w:fill="auto"/>
            <w:vAlign w:val="center"/>
            <w:hideMark/>
          </w:tcPr>
          <w:p w:rsidR="00116FC1" w:rsidRPr="00311C9C" w:rsidRDefault="00116FC1" w:rsidP="00116FC1">
            <w:pPr>
              <w:spacing w:line="240" w:lineRule="auto"/>
              <w:jc w:val="right"/>
              <w:rPr>
                <w:rFonts w:cs="Arial"/>
                <w:i/>
                <w:sz w:val="16"/>
                <w:szCs w:val="16"/>
                <w:lang w:eastAsia="sl-SI"/>
              </w:rPr>
            </w:pPr>
            <w:r w:rsidRPr="000F6B5B">
              <w:rPr>
                <w:rFonts w:ascii="Calibri" w:hAnsi="Calibri" w:cs="Calibri"/>
                <w:i/>
                <w:color w:val="000000"/>
                <w:sz w:val="18"/>
                <w:szCs w:val="18"/>
                <w:lang w:val="sl-SI" w:eastAsia="sl-SI"/>
              </w:rPr>
              <w:t>12.542.191.943</w:t>
            </w:r>
          </w:p>
        </w:tc>
      </w:tr>
      <w:tr w:rsidR="00116FC1" w:rsidRPr="00311C9C" w:rsidTr="00972554">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rsidR="00116FC1" w:rsidRPr="00311C9C" w:rsidRDefault="00116FC1" w:rsidP="00116FC1">
            <w:pPr>
              <w:spacing w:line="240" w:lineRule="auto"/>
              <w:jc w:val="center"/>
              <w:rPr>
                <w:rFonts w:cs="Arial"/>
                <w:i/>
                <w:sz w:val="16"/>
                <w:szCs w:val="16"/>
                <w:lang w:eastAsia="sl-SI"/>
              </w:rPr>
            </w:pPr>
            <w:r w:rsidRPr="00311C9C">
              <w:rPr>
                <w:rFonts w:cs="Arial"/>
                <w:i/>
                <w:sz w:val="16"/>
                <w:szCs w:val="16"/>
                <w:lang w:eastAsia="sl-SI"/>
              </w:rPr>
              <w:t>15</w:t>
            </w:r>
          </w:p>
        </w:tc>
        <w:tc>
          <w:tcPr>
            <w:tcW w:w="2571" w:type="pct"/>
            <w:tcBorders>
              <w:top w:val="single" w:sz="8" w:space="0" w:color="auto"/>
              <w:left w:val="nil"/>
              <w:bottom w:val="single" w:sz="8" w:space="0" w:color="auto"/>
              <w:right w:val="single" w:sz="8" w:space="0" w:color="000000"/>
            </w:tcBorders>
            <w:shd w:val="clear" w:color="000000" w:fill="FFFFD9"/>
            <w:vAlign w:val="center"/>
            <w:hideMark/>
          </w:tcPr>
          <w:p w:rsidR="00116FC1" w:rsidRPr="00311C9C" w:rsidRDefault="00116FC1" w:rsidP="00116FC1">
            <w:pPr>
              <w:spacing w:line="240" w:lineRule="auto"/>
              <w:jc w:val="left"/>
              <w:rPr>
                <w:rFonts w:cs="Arial"/>
                <w:b/>
                <w:bCs/>
                <w:i/>
                <w:sz w:val="16"/>
                <w:szCs w:val="16"/>
                <w:lang w:eastAsia="sl-SI"/>
              </w:rPr>
            </w:pPr>
            <w:r w:rsidRPr="00311C9C">
              <w:rPr>
                <w:rFonts w:cs="Arial"/>
                <w:b/>
                <w:bCs/>
                <w:i/>
                <w:sz w:val="16"/>
                <w:szCs w:val="16"/>
                <w:lang w:eastAsia="sl-SI"/>
              </w:rPr>
              <w:t>Dolgoročno dana posojila in depoziti</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rsidR="00116FC1" w:rsidRPr="00311C9C" w:rsidRDefault="00116FC1" w:rsidP="00116FC1">
            <w:pPr>
              <w:spacing w:line="240" w:lineRule="auto"/>
              <w:jc w:val="center"/>
              <w:rPr>
                <w:rFonts w:cs="Arial"/>
                <w:i/>
                <w:sz w:val="16"/>
                <w:szCs w:val="16"/>
                <w:lang w:eastAsia="sl-SI"/>
              </w:rPr>
            </w:pPr>
            <w:r w:rsidRPr="00311C9C">
              <w:rPr>
                <w:rFonts w:cs="Arial"/>
                <w:i/>
                <w:sz w:val="16"/>
                <w:szCs w:val="16"/>
                <w:lang w:eastAsia="sl-SI"/>
              </w:rPr>
              <w:t>AOP914</w:t>
            </w:r>
          </w:p>
        </w:tc>
        <w:tc>
          <w:tcPr>
            <w:tcW w:w="846" w:type="pct"/>
            <w:tcBorders>
              <w:top w:val="single" w:sz="8" w:space="0" w:color="auto"/>
              <w:left w:val="nil"/>
              <w:bottom w:val="single" w:sz="8" w:space="0" w:color="auto"/>
              <w:right w:val="single" w:sz="8" w:space="0" w:color="000000"/>
            </w:tcBorders>
            <w:shd w:val="clear" w:color="auto" w:fill="auto"/>
            <w:vAlign w:val="center"/>
          </w:tcPr>
          <w:p w:rsidR="00116FC1" w:rsidRPr="00972554" w:rsidRDefault="00116FC1" w:rsidP="00972554">
            <w:pPr>
              <w:spacing w:line="240" w:lineRule="auto"/>
              <w:jc w:val="right"/>
              <w:rPr>
                <w:rFonts w:ascii="Calibri" w:hAnsi="Calibri" w:cs="Calibri"/>
                <w:i/>
                <w:color w:val="000000"/>
                <w:sz w:val="18"/>
                <w:szCs w:val="18"/>
                <w:lang w:val="sl-SI" w:eastAsia="sl-SI"/>
              </w:rPr>
            </w:pPr>
            <w:r w:rsidRPr="00972554">
              <w:rPr>
                <w:rFonts w:ascii="Calibri" w:hAnsi="Calibri" w:cs="Calibri"/>
                <w:color w:val="000000"/>
                <w:sz w:val="18"/>
                <w:szCs w:val="18"/>
                <w:lang w:val="sl-SI" w:eastAsia="sl-SI"/>
              </w:rPr>
              <w:t xml:space="preserve">3.644.100.285 </w:t>
            </w:r>
          </w:p>
        </w:tc>
        <w:tc>
          <w:tcPr>
            <w:tcW w:w="807" w:type="pct"/>
            <w:tcBorders>
              <w:top w:val="single" w:sz="8" w:space="0" w:color="auto"/>
              <w:left w:val="nil"/>
              <w:bottom w:val="single" w:sz="8" w:space="0" w:color="auto"/>
              <w:right w:val="single" w:sz="8" w:space="0" w:color="000000"/>
            </w:tcBorders>
            <w:shd w:val="clear" w:color="auto" w:fill="auto"/>
            <w:vAlign w:val="center"/>
            <w:hideMark/>
          </w:tcPr>
          <w:p w:rsidR="00116FC1" w:rsidRPr="00311C9C" w:rsidRDefault="00116FC1" w:rsidP="00116FC1">
            <w:pPr>
              <w:spacing w:line="240" w:lineRule="auto"/>
              <w:jc w:val="right"/>
              <w:rPr>
                <w:rFonts w:cs="Arial"/>
                <w:i/>
                <w:sz w:val="16"/>
                <w:szCs w:val="16"/>
                <w:lang w:eastAsia="sl-SI"/>
              </w:rPr>
            </w:pPr>
            <w:r w:rsidRPr="000F6B5B">
              <w:rPr>
                <w:rFonts w:ascii="Calibri" w:hAnsi="Calibri" w:cs="Calibri"/>
                <w:i/>
                <w:color w:val="000000"/>
                <w:sz w:val="18"/>
                <w:szCs w:val="18"/>
                <w:lang w:val="sl-SI" w:eastAsia="sl-SI"/>
              </w:rPr>
              <w:t>3.317.735.623</w:t>
            </w:r>
          </w:p>
        </w:tc>
      </w:tr>
      <w:tr w:rsidR="00116FC1" w:rsidRPr="00311C9C" w:rsidTr="00972554">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rsidR="00116FC1" w:rsidRPr="00311C9C" w:rsidRDefault="00116FC1" w:rsidP="00116FC1">
            <w:pPr>
              <w:spacing w:line="240" w:lineRule="auto"/>
              <w:jc w:val="center"/>
              <w:rPr>
                <w:rFonts w:cs="Arial"/>
                <w:i/>
                <w:sz w:val="16"/>
                <w:szCs w:val="16"/>
                <w:lang w:eastAsia="sl-SI"/>
              </w:rPr>
            </w:pPr>
            <w:r w:rsidRPr="00311C9C">
              <w:rPr>
                <w:rFonts w:cs="Arial"/>
                <w:i/>
                <w:sz w:val="16"/>
                <w:szCs w:val="16"/>
                <w:lang w:eastAsia="sl-SI"/>
              </w:rPr>
              <w:t>16</w:t>
            </w:r>
          </w:p>
        </w:tc>
        <w:tc>
          <w:tcPr>
            <w:tcW w:w="2571" w:type="pct"/>
            <w:tcBorders>
              <w:top w:val="nil"/>
              <w:left w:val="nil"/>
              <w:bottom w:val="nil"/>
              <w:right w:val="single" w:sz="8" w:space="0" w:color="000000"/>
            </w:tcBorders>
            <w:shd w:val="clear" w:color="000000" w:fill="FFFFD9"/>
            <w:vAlign w:val="center"/>
            <w:hideMark/>
          </w:tcPr>
          <w:p w:rsidR="00116FC1" w:rsidRPr="00311C9C" w:rsidRDefault="00116FC1" w:rsidP="00116FC1">
            <w:pPr>
              <w:spacing w:line="240" w:lineRule="auto"/>
              <w:jc w:val="left"/>
              <w:rPr>
                <w:rFonts w:cs="Arial"/>
                <w:b/>
                <w:bCs/>
                <w:i/>
                <w:sz w:val="16"/>
                <w:szCs w:val="16"/>
                <w:lang w:eastAsia="sl-SI"/>
              </w:rPr>
            </w:pPr>
            <w:r w:rsidRPr="00311C9C">
              <w:rPr>
                <w:rFonts w:cs="Arial"/>
                <w:b/>
                <w:bCs/>
                <w:i/>
                <w:sz w:val="16"/>
                <w:szCs w:val="16"/>
                <w:lang w:eastAsia="sl-SI"/>
              </w:rPr>
              <w:t>Dolgoročne terjatve iz poslovanja</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rsidR="00116FC1" w:rsidRPr="00311C9C" w:rsidRDefault="00116FC1" w:rsidP="00116FC1">
            <w:pPr>
              <w:spacing w:line="240" w:lineRule="auto"/>
              <w:jc w:val="center"/>
              <w:rPr>
                <w:rFonts w:cs="Arial"/>
                <w:i/>
                <w:sz w:val="16"/>
                <w:szCs w:val="16"/>
                <w:lang w:eastAsia="sl-SI"/>
              </w:rPr>
            </w:pPr>
            <w:r w:rsidRPr="00311C9C">
              <w:rPr>
                <w:rFonts w:cs="Arial"/>
                <w:i/>
                <w:sz w:val="16"/>
                <w:szCs w:val="16"/>
                <w:lang w:eastAsia="sl-SI"/>
              </w:rPr>
              <w:t>AOP915</w:t>
            </w:r>
          </w:p>
        </w:tc>
        <w:tc>
          <w:tcPr>
            <w:tcW w:w="846" w:type="pct"/>
            <w:tcBorders>
              <w:top w:val="single" w:sz="8" w:space="0" w:color="auto"/>
              <w:left w:val="nil"/>
              <w:bottom w:val="single" w:sz="8" w:space="0" w:color="auto"/>
              <w:right w:val="single" w:sz="8" w:space="0" w:color="000000"/>
            </w:tcBorders>
            <w:shd w:val="clear" w:color="auto" w:fill="auto"/>
            <w:vAlign w:val="center"/>
          </w:tcPr>
          <w:p w:rsidR="00116FC1" w:rsidRPr="00972554" w:rsidRDefault="00116FC1" w:rsidP="00972554">
            <w:pPr>
              <w:spacing w:line="240" w:lineRule="auto"/>
              <w:jc w:val="right"/>
              <w:rPr>
                <w:rFonts w:ascii="Calibri" w:hAnsi="Calibri" w:cs="Calibri"/>
                <w:i/>
                <w:color w:val="000000"/>
                <w:sz w:val="18"/>
                <w:szCs w:val="18"/>
                <w:lang w:val="sl-SI" w:eastAsia="sl-SI"/>
              </w:rPr>
            </w:pPr>
            <w:r w:rsidRPr="00972554">
              <w:rPr>
                <w:rFonts w:ascii="Calibri" w:hAnsi="Calibri" w:cs="Calibri"/>
                <w:color w:val="000000"/>
                <w:sz w:val="18"/>
                <w:szCs w:val="18"/>
                <w:lang w:val="sl-SI" w:eastAsia="sl-SI"/>
              </w:rPr>
              <w:t xml:space="preserve">425.016.727 </w:t>
            </w:r>
          </w:p>
        </w:tc>
        <w:tc>
          <w:tcPr>
            <w:tcW w:w="807" w:type="pct"/>
            <w:tcBorders>
              <w:top w:val="single" w:sz="8" w:space="0" w:color="auto"/>
              <w:left w:val="nil"/>
              <w:bottom w:val="single" w:sz="8" w:space="0" w:color="auto"/>
              <w:right w:val="single" w:sz="8" w:space="0" w:color="000000"/>
            </w:tcBorders>
            <w:shd w:val="clear" w:color="auto" w:fill="auto"/>
            <w:vAlign w:val="center"/>
            <w:hideMark/>
          </w:tcPr>
          <w:p w:rsidR="00116FC1" w:rsidRPr="00311C9C" w:rsidRDefault="00116FC1" w:rsidP="00116FC1">
            <w:pPr>
              <w:spacing w:line="240" w:lineRule="auto"/>
              <w:jc w:val="right"/>
              <w:rPr>
                <w:rFonts w:cs="Arial"/>
                <w:i/>
                <w:sz w:val="16"/>
                <w:szCs w:val="16"/>
                <w:lang w:eastAsia="sl-SI"/>
              </w:rPr>
            </w:pPr>
            <w:r w:rsidRPr="000F6B5B">
              <w:rPr>
                <w:rFonts w:ascii="Calibri" w:hAnsi="Calibri" w:cs="Calibri"/>
                <w:i/>
                <w:color w:val="000000"/>
                <w:sz w:val="18"/>
                <w:szCs w:val="18"/>
                <w:lang w:val="sl-SI" w:eastAsia="sl-SI"/>
              </w:rPr>
              <w:t>474.912.347</w:t>
            </w:r>
          </w:p>
        </w:tc>
      </w:tr>
      <w:tr w:rsidR="00116FC1" w:rsidRPr="00311C9C" w:rsidTr="00972554">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rsidR="00116FC1" w:rsidRPr="00311C9C" w:rsidRDefault="00116FC1" w:rsidP="00116FC1">
            <w:pPr>
              <w:spacing w:line="240" w:lineRule="auto"/>
              <w:jc w:val="center"/>
              <w:rPr>
                <w:rFonts w:cs="Arial"/>
                <w:i/>
                <w:sz w:val="16"/>
                <w:szCs w:val="16"/>
                <w:lang w:eastAsia="sl-SI"/>
              </w:rPr>
            </w:pPr>
            <w:r w:rsidRPr="00311C9C">
              <w:rPr>
                <w:rFonts w:cs="Arial"/>
                <w:i/>
                <w:sz w:val="16"/>
                <w:szCs w:val="16"/>
                <w:lang w:eastAsia="sl-SI"/>
              </w:rPr>
              <w:t>17</w:t>
            </w:r>
          </w:p>
        </w:tc>
        <w:tc>
          <w:tcPr>
            <w:tcW w:w="2571" w:type="pct"/>
            <w:tcBorders>
              <w:top w:val="single" w:sz="8" w:space="0" w:color="auto"/>
              <w:left w:val="nil"/>
              <w:bottom w:val="single" w:sz="8" w:space="0" w:color="auto"/>
              <w:right w:val="single" w:sz="8" w:space="0" w:color="000000"/>
            </w:tcBorders>
            <w:shd w:val="clear" w:color="000000" w:fill="FFFFD9"/>
            <w:vAlign w:val="center"/>
            <w:hideMark/>
          </w:tcPr>
          <w:p w:rsidR="00116FC1" w:rsidRPr="00311C9C" w:rsidRDefault="00116FC1" w:rsidP="00116FC1">
            <w:pPr>
              <w:spacing w:line="240" w:lineRule="auto"/>
              <w:jc w:val="left"/>
              <w:rPr>
                <w:rFonts w:cs="Arial"/>
                <w:b/>
                <w:bCs/>
                <w:i/>
                <w:sz w:val="16"/>
                <w:szCs w:val="16"/>
                <w:lang w:eastAsia="sl-SI"/>
              </w:rPr>
            </w:pPr>
            <w:r w:rsidRPr="00311C9C">
              <w:rPr>
                <w:rFonts w:cs="Arial"/>
                <w:b/>
                <w:bCs/>
                <w:i/>
                <w:sz w:val="16"/>
                <w:szCs w:val="16"/>
                <w:lang w:eastAsia="sl-SI"/>
              </w:rPr>
              <w:t>Denarna sredstva</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rsidR="00116FC1" w:rsidRPr="00311C9C" w:rsidRDefault="00116FC1" w:rsidP="00116FC1">
            <w:pPr>
              <w:spacing w:line="240" w:lineRule="auto"/>
              <w:jc w:val="center"/>
              <w:rPr>
                <w:rFonts w:cs="Arial"/>
                <w:i/>
                <w:sz w:val="16"/>
                <w:szCs w:val="16"/>
                <w:lang w:eastAsia="sl-SI"/>
              </w:rPr>
            </w:pPr>
            <w:r w:rsidRPr="00311C9C">
              <w:rPr>
                <w:rFonts w:cs="Arial"/>
                <w:i/>
                <w:sz w:val="16"/>
                <w:szCs w:val="16"/>
                <w:lang w:eastAsia="sl-SI"/>
              </w:rPr>
              <w:t>AOP916</w:t>
            </w:r>
          </w:p>
        </w:tc>
        <w:tc>
          <w:tcPr>
            <w:tcW w:w="846" w:type="pct"/>
            <w:tcBorders>
              <w:top w:val="single" w:sz="8" w:space="0" w:color="auto"/>
              <w:left w:val="nil"/>
              <w:bottom w:val="single" w:sz="8" w:space="0" w:color="auto"/>
              <w:right w:val="single" w:sz="8" w:space="0" w:color="000000"/>
            </w:tcBorders>
            <w:shd w:val="clear" w:color="auto" w:fill="auto"/>
            <w:vAlign w:val="center"/>
          </w:tcPr>
          <w:p w:rsidR="00116FC1" w:rsidRPr="00972554" w:rsidRDefault="00116FC1" w:rsidP="00972554">
            <w:pPr>
              <w:spacing w:line="240" w:lineRule="auto"/>
              <w:jc w:val="right"/>
              <w:rPr>
                <w:rFonts w:ascii="Calibri" w:hAnsi="Calibri" w:cs="Calibri"/>
                <w:i/>
                <w:color w:val="000000"/>
                <w:sz w:val="18"/>
                <w:szCs w:val="18"/>
                <w:lang w:val="sl-SI" w:eastAsia="sl-SI"/>
              </w:rPr>
            </w:pPr>
            <w:r w:rsidRPr="00972554">
              <w:rPr>
                <w:rFonts w:ascii="Calibri" w:hAnsi="Calibri" w:cs="Calibri"/>
                <w:color w:val="000000"/>
                <w:sz w:val="18"/>
                <w:szCs w:val="18"/>
                <w:lang w:val="sl-SI" w:eastAsia="sl-SI"/>
              </w:rPr>
              <w:t xml:space="preserve">3.792.312.159 </w:t>
            </w:r>
          </w:p>
        </w:tc>
        <w:tc>
          <w:tcPr>
            <w:tcW w:w="807" w:type="pct"/>
            <w:tcBorders>
              <w:top w:val="single" w:sz="8" w:space="0" w:color="auto"/>
              <w:left w:val="nil"/>
              <w:bottom w:val="single" w:sz="8" w:space="0" w:color="auto"/>
              <w:right w:val="single" w:sz="8" w:space="0" w:color="000000"/>
            </w:tcBorders>
            <w:shd w:val="clear" w:color="auto" w:fill="auto"/>
            <w:vAlign w:val="center"/>
            <w:hideMark/>
          </w:tcPr>
          <w:p w:rsidR="00116FC1" w:rsidRPr="00311C9C" w:rsidRDefault="00116FC1" w:rsidP="00116FC1">
            <w:pPr>
              <w:spacing w:line="240" w:lineRule="auto"/>
              <w:jc w:val="right"/>
              <w:rPr>
                <w:rFonts w:cs="Arial"/>
                <w:i/>
                <w:sz w:val="16"/>
                <w:szCs w:val="16"/>
                <w:lang w:eastAsia="sl-SI"/>
              </w:rPr>
            </w:pPr>
            <w:r w:rsidRPr="000F6B5B">
              <w:rPr>
                <w:rFonts w:ascii="Calibri" w:hAnsi="Calibri" w:cs="Calibri"/>
                <w:i/>
                <w:color w:val="000000"/>
                <w:sz w:val="18"/>
                <w:szCs w:val="18"/>
                <w:lang w:val="sl-SI" w:eastAsia="sl-SI"/>
              </w:rPr>
              <w:t>2.643.686.697</w:t>
            </w:r>
          </w:p>
        </w:tc>
      </w:tr>
      <w:tr w:rsidR="00116FC1" w:rsidRPr="00311C9C" w:rsidTr="00972554">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rsidR="00116FC1" w:rsidRPr="00311C9C" w:rsidRDefault="00116FC1" w:rsidP="00116FC1">
            <w:pPr>
              <w:spacing w:line="240" w:lineRule="auto"/>
              <w:jc w:val="center"/>
              <w:rPr>
                <w:rFonts w:cs="Arial"/>
                <w:i/>
                <w:sz w:val="16"/>
                <w:szCs w:val="16"/>
                <w:lang w:eastAsia="sl-SI"/>
              </w:rPr>
            </w:pPr>
            <w:r w:rsidRPr="00311C9C">
              <w:rPr>
                <w:rFonts w:cs="Arial"/>
                <w:i/>
                <w:sz w:val="16"/>
                <w:szCs w:val="16"/>
                <w:lang w:eastAsia="sl-SI"/>
              </w:rPr>
              <w:t>18</w:t>
            </w:r>
          </w:p>
        </w:tc>
        <w:tc>
          <w:tcPr>
            <w:tcW w:w="2571" w:type="pct"/>
            <w:tcBorders>
              <w:top w:val="nil"/>
              <w:left w:val="nil"/>
              <w:bottom w:val="nil"/>
              <w:right w:val="single" w:sz="8" w:space="0" w:color="000000"/>
            </w:tcBorders>
            <w:shd w:val="clear" w:color="000000" w:fill="FFFFD9"/>
            <w:vAlign w:val="center"/>
            <w:hideMark/>
          </w:tcPr>
          <w:p w:rsidR="00116FC1" w:rsidRPr="00311C9C" w:rsidRDefault="00116FC1" w:rsidP="00116FC1">
            <w:pPr>
              <w:spacing w:line="240" w:lineRule="auto"/>
              <w:jc w:val="left"/>
              <w:rPr>
                <w:rFonts w:cs="Arial"/>
                <w:b/>
                <w:bCs/>
                <w:i/>
                <w:sz w:val="16"/>
                <w:szCs w:val="16"/>
                <w:lang w:eastAsia="sl-SI"/>
              </w:rPr>
            </w:pPr>
            <w:r w:rsidRPr="00311C9C">
              <w:rPr>
                <w:rFonts w:cs="Arial"/>
                <w:b/>
                <w:bCs/>
                <w:i/>
                <w:sz w:val="16"/>
                <w:szCs w:val="16"/>
                <w:lang w:eastAsia="sl-SI"/>
              </w:rPr>
              <w:t>Kratkoročne terjatve</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rsidR="00116FC1" w:rsidRPr="00311C9C" w:rsidRDefault="00116FC1" w:rsidP="00116FC1">
            <w:pPr>
              <w:spacing w:line="240" w:lineRule="auto"/>
              <w:jc w:val="center"/>
              <w:rPr>
                <w:rFonts w:cs="Arial"/>
                <w:i/>
                <w:sz w:val="16"/>
                <w:szCs w:val="16"/>
                <w:lang w:eastAsia="sl-SI"/>
              </w:rPr>
            </w:pPr>
            <w:r w:rsidRPr="00311C9C">
              <w:rPr>
                <w:rFonts w:cs="Arial"/>
                <w:i/>
                <w:sz w:val="16"/>
                <w:szCs w:val="16"/>
                <w:lang w:eastAsia="sl-SI"/>
              </w:rPr>
              <w:t>AOP917</w:t>
            </w:r>
          </w:p>
        </w:tc>
        <w:tc>
          <w:tcPr>
            <w:tcW w:w="846" w:type="pct"/>
            <w:tcBorders>
              <w:top w:val="single" w:sz="8" w:space="0" w:color="auto"/>
              <w:left w:val="nil"/>
              <w:bottom w:val="single" w:sz="8" w:space="0" w:color="auto"/>
              <w:right w:val="single" w:sz="8" w:space="0" w:color="000000"/>
            </w:tcBorders>
            <w:shd w:val="clear" w:color="auto" w:fill="auto"/>
            <w:vAlign w:val="center"/>
          </w:tcPr>
          <w:p w:rsidR="00116FC1" w:rsidRPr="00972554" w:rsidRDefault="00116FC1" w:rsidP="00972554">
            <w:pPr>
              <w:spacing w:line="240" w:lineRule="auto"/>
              <w:jc w:val="right"/>
              <w:rPr>
                <w:rFonts w:ascii="Calibri" w:hAnsi="Calibri" w:cs="Calibri"/>
                <w:i/>
                <w:color w:val="000000"/>
                <w:sz w:val="18"/>
                <w:szCs w:val="18"/>
                <w:lang w:val="sl-SI" w:eastAsia="sl-SI"/>
              </w:rPr>
            </w:pPr>
            <w:r w:rsidRPr="00972554">
              <w:rPr>
                <w:rFonts w:ascii="Calibri" w:hAnsi="Calibri" w:cs="Calibri"/>
                <w:color w:val="000000"/>
                <w:sz w:val="18"/>
                <w:szCs w:val="18"/>
                <w:lang w:val="sl-SI" w:eastAsia="sl-SI"/>
              </w:rPr>
              <w:t xml:space="preserve">4.754.196.702 </w:t>
            </w:r>
          </w:p>
        </w:tc>
        <w:tc>
          <w:tcPr>
            <w:tcW w:w="807" w:type="pct"/>
            <w:tcBorders>
              <w:top w:val="single" w:sz="8" w:space="0" w:color="auto"/>
              <w:left w:val="nil"/>
              <w:bottom w:val="single" w:sz="8" w:space="0" w:color="auto"/>
              <w:right w:val="single" w:sz="8" w:space="0" w:color="000000"/>
            </w:tcBorders>
            <w:shd w:val="clear" w:color="auto" w:fill="auto"/>
            <w:vAlign w:val="center"/>
            <w:hideMark/>
          </w:tcPr>
          <w:p w:rsidR="00116FC1" w:rsidRPr="00311C9C" w:rsidRDefault="00116FC1" w:rsidP="00116FC1">
            <w:pPr>
              <w:spacing w:line="240" w:lineRule="auto"/>
              <w:jc w:val="right"/>
              <w:rPr>
                <w:rFonts w:cs="Arial"/>
                <w:i/>
                <w:sz w:val="16"/>
                <w:szCs w:val="16"/>
                <w:lang w:eastAsia="sl-SI"/>
              </w:rPr>
            </w:pPr>
            <w:r w:rsidRPr="000F6B5B">
              <w:rPr>
                <w:rFonts w:ascii="Calibri" w:hAnsi="Calibri" w:cs="Calibri"/>
                <w:i/>
                <w:color w:val="000000"/>
                <w:sz w:val="18"/>
                <w:szCs w:val="18"/>
                <w:lang w:val="sl-SI" w:eastAsia="sl-SI"/>
              </w:rPr>
              <w:t>4.636.800.889</w:t>
            </w:r>
          </w:p>
        </w:tc>
      </w:tr>
      <w:tr w:rsidR="00116FC1" w:rsidRPr="00311C9C" w:rsidTr="00972554">
        <w:trPr>
          <w:trHeight w:val="284"/>
        </w:trPr>
        <w:tc>
          <w:tcPr>
            <w:tcW w:w="314" w:type="pct"/>
            <w:tcBorders>
              <w:top w:val="single" w:sz="8" w:space="0" w:color="auto"/>
              <w:left w:val="single" w:sz="8" w:space="0" w:color="auto"/>
              <w:bottom w:val="nil"/>
              <w:right w:val="single" w:sz="8" w:space="0" w:color="000000"/>
            </w:tcBorders>
            <w:shd w:val="clear" w:color="000000" w:fill="FFFFD9"/>
            <w:noWrap/>
            <w:vAlign w:val="center"/>
            <w:hideMark/>
          </w:tcPr>
          <w:p w:rsidR="00116FC1" w:rsidRPr="00311C9C" w:rsidRDefault="00116FC1" w:rsidP="00116FC1">
            <w:pPr>
              <w:spacing w:line="240" w:lineRule="auto"/>
              <w:jc w:val="center"/>
              <w:rPr>
                <w:rFonts w:cs="Arial"/>
                <w:i/>
                <w:sz w:val="16"/>
                <w:szCs w:val="16"/>
                <w:lang w:eastAsia="sl-SI"/>
              </w:rPr>
            </w:pPr>
            <w:r w:rsidRPr="00311C9C">
              <w:rPr>
                <w:rFonts w:cs="Arial"/>
                <w:i/>
                <w:sz w:val="16"/>
                <w:szCs w:val="16"/>
                <w:lang w:eastAsia="sl-SI"/>
              </w:rPr>
              <w:t>19</w:t>
            </w:r>
          </w:p>
        </w:tc>
        <w:tc>
          <w:tcPr>
            <w:tcW w:w="2571" w:type="pct"/>
            <w:tcBorders>
              <w:top w:val="single" w:sz="8" w:space="0" w:color="auto"/>
              <w:left w:val="nil"/>
              <w:bottom w:val="nil"/>
              <w:right w:val="single" w:sz="8" w:space="0" w:color="000000"/>
            </w:tcBorders>
            <w:shd w:val="clear" w:color="000000" w:fill="FFFFD9"/>
            <w:vAlign w:val="center"/>
            <w:hideMark/>
          </w:tcPr>
          <w:p w:rsidR="00116FC1" w:rsidRPr="00311C9C" w:rsidRDefault="00116FC1" w:rsidP="00116FC1">
            <w:pPr>
              <w:spacing w:line="240" w:lineRule="auto"/>
              <w:jc w:val="left"/>
              <w:rPr>
                <w:rFonts w:cs="Arial"/>
                <w:b/>
                <w:bCs/>
                <w:i/>
                <w:sz w:val="16"/>
                <w:szCs w:val="16"/>
                <w:lang w:eastAsia="sl-SI"/>
              </w:rPr>
            </w:pPr>
            <w:r w:rsidRPr="00311C9C">
              <w:rPr>
                <w:rFonts w:cs="Arial"/>
                <w:b/>
                <w:bCs/>
                <w:i/>
                <w:sz w:val="16"/>
                <w:szCs w:val="16"/>
                <w:lang w:eastAsia="sl-SI"/>
              </w:rPr>
              <w:t>Skupaj aktiva</w:t>
            </w:r>
            <w:r w:rsidRPr="00311C9C">
              <w:rPr>
                <w:rFonts w:cs="Arial"/>
                <w:b/>
                <w:bCs/>
                <w:i/>
                <w:sz w:val="16"/>
                <w:szCs w:val="16"/>
                <w:lang w:eastAsia="sl-SI"/>
              </w:rPr>
              <w:br/>
            </w:r>
            <w:r w:rsidRPr="00311C9C">
              <w:rPr>
                <w:rFonts w:cs="Arial"/>
                <w:i/>
                <w:sz w:val="16"/>
                <w:szCs w:val="16"/>
                <w:lang w:eastAsia="sl-SI"/>
              </w:rPr>
              <w:t>(AOP900+AOP903+AOP906+AOP909+AOP912+AOP913+AOP914+AOP915+AOP916+AOP917)</w:t>
            </w:r>
          </w:p>
        </w:tc>
        <w:tc>
          <w:tcPr>
            <w:tcW w:w="462" w:type="pct"/>
            <w:tcBorders>
              <w:top w:val="single" w:sz="8" w:space="0" w:color="auto"/>
              <w:left w:val="nil"/>
              <w:bottom w:val="nil"/>
              <w:right w:val="single" w:sz="8" w:space="0" w:color="000000"/>
            </w:tcBorders>
            <w:shd w:val="clear" w:color="000000" w:fill="FFFFD9"/>
            <w:vAlign w:val="center"/>
            <w:hideMark/>
          </w:tcPr>
          <w:p w:rsidR="00116FC1" w:rsidRPr="00311C9C" w:rsidRDefault="00116FC1" w:rsidP="00116FC1">
            <w:pPr>
              <w:spacing w:line="240" w:lineRule="auto"/>
              <w:jc w:val="center"/>
              <w:rPr>
                <w:rFonts w:cs="Arial"/>
                <w:i/>
                <w:sz w:val="16"/>
                <w:szCs w:val="16"/>
                <w:lang w:eastAsia="sl-SI"/>
              </w:rPr>
            </w:pPr>
            <w:r w:rsidRPr="00311C9C">
              <w:rPr>
                <w:rFonts w:cs="Arial"/>
                <w:i/>
                <w:sz w:val="16"/>
                <w:szCs w:val="16"/>
                <w:lang w:eastAsia="sl-SI"/>
              </w:rPr>
              <w:t>AOP918</w:t>
            </w:r>
          </w:p>
        </w:tc>
        <w:tc>
          <w:tcPr>
            <w:tcW w:w="846" w:type="pct"/>
            <w:tcBorders>
              <w:top w:val="single" w:sz="8" w:space="0" w:color="auto"/>
              <w:left w:val="nil"/>
              <w:bottom w:val="nil"/>
              <w:right w:val="single" w:sz="8" w:space="0" w:color="000000"/>
            </w:tcBorders>
            <w:shd w:val="clear" w:color="000000" w:fill="FFFFD9"/>
            <w:vAlign w:val="center"/>
          </w:tcPr>
          <w:p w:rsidR="00116FC1" w:rsidRPr="00972554" w:rsidRDefault="00116FC1" w:rsidP="00972554">
            <w:pPr>
              <w:spacing w:line="240" w:lineRule="auto"/>
              <w:jc w:val="right"/>
              <w:rPr>
                <w:rFonts w:ascii="Calibri" w:hAnsi="Calibri" w:cs="Calibri"/>
                <w:i/>
                <w:color w:val="000000"/>
                <w:sz w:val="18"/>
                <w:szCs w:val="18"/>
                <w:lang w:val="sl-SI" w:eastAsia="sl-SI"/>
              </w:rPr>
            </w:pPr>
            <w:r w:rsidRPr="00972554">
              <w:rPr>
                <w:rFonts w:ascii="Calibri" w:hAnsi="Calibri"/>
                <w:i/>
                <w:color w:val="000000"/>
                <w:sz w:val="18"/>
                <w:szCs w:val="18"/>
                <w:lang w:val="sl-SI" w:eastAsia="sl-SI"/>
              </w:rPr>
              <w:t xml:space="preserve">48.469.514.870 </w:t>
            </w:r>
          </w:p>
        </w:tc>
        <w:tc>
          <w:tcPr>
            <w:tcW w:w="807" w:type="pct"/>
            <w:tcBorders>
              <w:top w:val="single" w:sz="8" w:space="0" w:color="auto"/>
              <w:left w:val="nil"/>
              <w:bottom w:val="nil"/>
              <w:right w:val="single" w:sz="8" w:space="0" w:color="000000"/>
            </w:tcBorders>
            <w:shd w:val="clear" w:color="000000" w:fill="FFFFD9"/>
            <w:noWrap/>
            <w:vAlign w:val="center"/>
            <w:hideMark/>
          </w:tcPr>
          <w:p w:rsidR="00116FC1" w:rsidRPr="00311C9C" w:rsidRDefault="00116FC1" w:rsidP="00116FC1">
            <w:pPr>
              <w:spacing w:line="240" w:lineRule="auto"/>
              <w:jc w:val="right"/>
              <w:rPr>
                <w:rFonts w:cs="Arial"/>
                <w:i/>
                <w:sz w:val="16"/>
                <w:szCs w:val="16"/>
                <w:lang w:eastAsia="sl-SI"/>
              </w:rPr>
            </w:pPr>
            <w:r w:rsidRPr="000F6B5B">
              <w:rPr>
                <w:rFonts w:ascii="Calibri" w:hAnsi="Calibri" w:cs="Calibri"/>
                <w:i/>
                <w:color w:val="000000"/>
                <w:sz w:val="18"/>
                <w:szCs w:val="18"/>
                <w:lang w:val="sl-SI" w:eastAsia="sl-SI"/>
              </w:rPr>
              <w:t>46.967.146.843</w:t>
            </w:r>
          </w:p>
        </w:tc>
      </w:tr>
      <w:tr w:rsidR="00116FC1" w:rsidRPr="00311C9C" w:rsidTr="00972554">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noWrap/>
            <w:vAlign w:val="center"/>
            <w:hideMark/>
          </w:tcPr>
          <w:p w:rsidR="00116FC1" w:rsidRPr="00311C9C" w:rsidRDefault="00116FC1" w:rsidP="008C6CB1">
            <w:pPr>
              <w:spacing w:line="240" w:lineRule="auto"/>
              <w:jc w:val="center"/>
              <w:rPr>
                <w:rFonts w:cs="Arial"/>
                <w:i/>
                <w:sz w:val="16"/>
                <w:szCs w:val="16"/>
                <w:lang w:eastAsia="sl-SI"/>
              </w:rPr>
            </w:pPr>
            <w:r w:rsidRPr="00311C9C">
              <w:rPr>
                <w:rFonts w:cs="Arial"/>
                <w:i/>
                <w:sz w:val="16"/>
                <w:szCs w:val="16"/>
                <w:lang w:eastAsia="sl-SI"/>
              </w:rPr>
              <w:t> </w:t>
            </w:r>
          </w:p>
        </w:tc>
        <w:tc>
          <w:tcPr>
            <w:tcW w:w="2571" w:type="pct"/>
            <w:tcBorders>
              <w:top w:val="single" w:sz="8" w:space="0" w:color="auto"/>
              <w:left w:val="nil"/>
              <w:bottom w:val="single" w:sz="8" w:space="0" w:color="auto"/>
              <w:right w:val="single" w:sz="8" w:space="0" w:color="000000"/>
            </w:tcBorders>
            <w:shd w:val="clear" w:color="000000" w:fill="FFFFD9"/>
            <w:noWrap/>
            <w:vAlign w:val="bottom"/>
            <w:hideMark/>
          </w:tcPr>
          <w:p w:rsidR="00116FC1" w:rsidRPr="00311C9C" w:rsidRDefault="00116FC1" w:rsidP="000C155F">
            <w:pPr>
              <w:spacing w:line="240" w:lineRule="auto"/>
              <w:jc w:val="left"/>
              <w:rPr>
                <w:rFonts w:cs="Arial"/>
                <w:b/>
                <w:bCs/>
                <w:i/>
                <w:sz w:val="16"/>
                <w:szCs w:val="16"/>
                <w:lang w:eastAsia="sl-SI"/>
              </w:rPr>
            </w:pPr>
            <w:r w:rsidRPr="00311C9C">
              <w:rPr>
                <w:rFonts w:cs="Arial"/>
                <w:b/>
                <w:bCs/>
                <w:i/>
                <w:sz w:val="16"/>
                <w:szCs w:val="16"/>
                <w:lang w:eastAsia="sl-SI"/>
              </w:rPr>
              <w:t>Pasiva</w:t>
            </w:r>
          </w:p>
        </w:tc>
        <w:tc>
          <w:tcPr>
            <w:tcW w:w="462" w:type="pct"/>
            <w:tcBorders>
              <w:top w:val="single" w:sz="8" w:space="0" w:color="auto"/>
              <w:left w:val="nil"/>
              <w:bottom w:val="single" w:sz="8" w:space="0" w:color="auto"/>
              <w:right w:val="single" w:sz="8" w:space="0" w:color="000000"/>
            </w:tcBorders>
            <w:shd w:val="clear" w:color="000000" w:fill="FFFFD9"/>
            <w:noWrap/>
            <w:vAlign w:val="bottom"/>
            <w:hideMark/>
          </w:tcPr>
          <w:p w:rsidR="00116FC1" w:rsidRPr="00311C9C" w:rsidRDefault="00116FC1" w:rsidP="008C6CB1">
            <w:pPr>
              <w:spacing w:line="240" w:lineRule="auto"/>
              <w:rPr>
                <w:rFonts w:cs="Arial"/>
                <w:i/>
                <w:sz w:val="16"/>
                <w:szCs w:val="16"/>
                <w:lang w:eastAsia="sl-SI"/>
              </w:rPr>
            </w:pPr>
            <w:r w:rsidRPr="00311C9C">
              <w:rPr>
                <w:rFonts w:cs="Arial"/>
                <w:i/>
                <w:sz w:val="16"/>
                <w:szCs w:val="16"/>
                <w:lang w:eastAsia="sl-SI"/>
              </w:rPr>
              <w:t> </w:t>
            </w:r>
          </w:p>
        </w:tc>
        <w:tc>
          <w:tcPr>
            <w:tcW w:w="846" w:type="pct"/>
            <w:tcBorders>
              <w:top w:val="single" w:sz="8" w:space="0" w:color="auto"/>
              <w:left w:val="nil"/>
              <w:bottom w:val="single" w:sz="8" w:space="0" w:color="auto"/>
              <w:right w:val="single" w:sz="8" w:space="0" w:color="000000"/>
            </w:tcBorders>
            <w:shd w:val="clear" w:color="000000" w:fill="FFFFD9"/>
            <w:noWrap/>
            <w:vAlign w:val="center"/>
          </w:tcPr>
          <w:p w:rsidR="00116FC1" w:rsidRPr="00972554" w:rsidRDefault="00116FC1" w:rsidP="00972554">
            <w:pPr>
              <w:spacing w:line="240" w:lineRule="auto"/>
              <w:jc w:val="right"/>
              <w:rPr>
                <w:rFonts w:ascii="Calibri" w:hAnsi="Calibri" w:cs="Calibri"/>
                <w:i/>
                <w:color w:val="000000"/>
                <w:sz w:val="18"/>
                <w:szCs w:val="18"/>
                <w:lang w:val="sl-SI" w:eastAsia="sl-SI"/>
              </w:rPr>
            </w:pPr>
          </w:p>
        </w:tc>
        <w:tc>
          <w:tcPr>
            <w:tcW w:w="807" w:type="pct"/>
            <w:tcBorders>
              <w:top w:val="single" w:sz="8" w:space="0" w:color="auto"/>
              <w:left w:val="nil"/>
              <w:bottom w:val="single" w:sz="8" w:space="0" w:color="auto"/>
              <w:right w:val="single" w:sz="8" w:space="0" w:color="000000"/>
            </w:tcBorders>
            <w:shd w:val="clear" w:color="000000" w:fill="FFFFD9"/>
            <w:noWrap/>
            <w:vAlign w:val="center"/>
            <w:hideMark/>
          </w:tcPr>
          <w:p w:rsidR="00116FC1" w:rsidRPr="00311C9C" w:rsidRDefault="00116FC1" w:rsidP="008C6CB1">
            <w:pPr>
              <w:spacing w:line="240" w:lineRule="auto"/>
              <w:jc w:val="right"/>
              <w:rPr>
                <w:rFonts w:cs="Arial"/>
                <w:i/>
                <w:sz w:val="16"/>
                <w:szCs w:val="16"/>
                <w:lang w:eastAsia="sl-SI"/>
              </w:rPr>
            </w:pPr>
          </w:p>
        </w:tc>
      </w:tr>
      <w:tr w:rsidR="00116FC1" w:rsidRPr="00311C9C" w:rsidTr="00972554">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rsidR="00116FC1" w:rsidRPr="00311C9C" w:rsidRDefault="00116FC1" w:rsidP="00116FC1">
            <w:pPr>
              <w:spacing w:line="240" w:lineRule="auto"/>
              <w:jc w:val="center"/>
              <w:rPr>
                <w:rFonts w:cs="Arial"/>
                <w:i/>
                <w:sz w:val="16"/>
                <w:szCs w:val="16"/>
                <w:lang w:eastAsia="sl-SI"/>
              </w:rPr>
            </w:pPr>
            <w:r w:rsidRPr="00311C9C">
              <w:rPr>
                <w:rFonts w:cs="Arial"/>
                <w:i/>
                <w:sz w:val="16"/>
                <w:szCs w:val="16"/>
                <w:lang w:eastAsia="sl-SI"/>
              </w:rPr>
              <w:t>20</w:t>
            </w:r>
          </w:p>
        </w:tc>
        <w:tc>
          <w:tcPr>
            <w:tcW w:w="2571" w:type="pct"/>
            <w:tcBorders>
              <w:top w:val="nil"/>
              <w:left w:val="nil"/>
              <w:bottom w:val="nil"/>
              <w:right w:val="single" w:sz="8" w:space="0" w:color="000000"/>
            </w:tcBorders>
            <w:shd w:val="clear" w:color="000000" w:fill="FFFFD9"/>
            <w:vAlign w:val="center"/>
            <w:hideMark/>
          </w:tcPr>
          <w:p w:rsidR="00116FC1" w:rsidRPr="00311C9C" w:rsidRDefault="00116FC1" w:rsidP="00116FC1">
            <w:pPr>
              <w:spacing w:line="240" w:lineRule="auto"/>
              <w:jc w:val="left"/>
              <w:rPr>
                <w:rFonts w:cs="Arial"/>
                <w:b/>
                <w:bCs/>
                <w:i/>
                <w:sz w:val="16"/>
                <w:szCs w:val="16"/>
                <w:lang w:eastAsia="sl-SI"/>
              </w:rPr>
            </w:pPr>
            <w:r w:rsidRPr="00311C9C">
              <w:rPr>
                <w:rFonts w:cs="Arial"/>
                <w:b/>
                <w:bCs/>
                <w:i/>
                <w:sz w:val="16"/>
                <w:szCs w:val="16"/>
                <w:lang w:eastAsia="sl-SI"/>
              </w:rPr>
              <w:t>Splošni sklad</w:t>
            </w:r>
          </w:p>
        </w:tc>
        <w:tc>
          <w:tcPr>
            <w:tcW w:w="462" w:type="pct"/>
            <w:tcBorders>
              <w:top w:val="single" w:sz="8" w:space="0" w:color="auto"/>
              <w:left w:val="nil"/>
              <w:bottom w:val="single" w:sz="8" w:space="0" w:color="auto"/>
              <w:right w:val="single" w:sz="8" w:space="0" w:color="000000"/>
            </w:tcBorders>
            <w:shd w:val="clear" w:color="000000" w:fill="FFFFD9"/>
            <w:noWrap/>
            <w:vAlign w:val="center"/>
            <w:hideMark/>
          </w:tcPr>
          <w:p w:rsidR="00116FC1" w:rsidRPr="00311C9C" w:rsidRDefault="00116FC1" w:rsidP="00116FC1">
            <w:pPr>
              <w:spacing w:line="240" w:lineRule="auto"/>
              <w:jc w:val="center"/>
              <w:rPr>
                <w:rFonts w:cs="Arial"/>
                <w:i/>
                <w:sz w:val="16"/>
                <w:szCs w:val="16"/>
                <w:lang w:eastAsia="sl-SI"/>
              </w:rPr>
            </w:pPr>
            <w:r w:rsidRPr="00311C9C">
              <w:rPr>
                <w:rFonts w:cs="Arial"/>
                <w:i/>
                <w:sz w:val="16"/>
                <w:szCs w:val="16"/>
                <w:lang w:eastAsia="sl-SI"/>
              </w:rPr>
              <w:t>AOP919</w:t>
            </w:r>
          </w:p>
        </w:tc>
        <w:tc>
          <w:tcPr>
            <w:tcW w:w="846" w:type="pct"/>
            <w:tcBorders>
              <w:top w:val="single" w:sz="8" w:space="0" w:color="auto"/>
              <w:left w:val="nil"/>
              <w:bottom w:val="single" w:sz="8" w:space="0" w:color="auto"/>
              <w:right w:val="single" w:sz="8" w:space="0" w:color="000000"/>
            </w:tcBorders>
            <w:shd w:val="clear" w:color="auto" w:fill="auto"/>
            <w:vAlign w:val="center"/>
          </w:tcPr>
          <w:p w:rsidR="00116FC1" w:rsidRPr="00972554" w:rsidRDefault="00116FC1" w:rsidP="00972554">
            <w:pPr>
              <w:spacing w:line="240" w:lineRule="auto"/>
              <w:jc w:val="right"/>
              <w:rPr>
                <w:rFonts w:ascii="Calibri" w:hAnsi="Calibri" w:cs="Calibri"/>
                <w:i/>
                <w:color w:val="000000"/>
                <w:sz w:val="18"/>
                <w:szCs w:val="18"/>
                <w:lang w:val="sl-SI" w:eastAsia="sl-SI"/>
              </w:rPr>
            </w:pPr>
            <w:r w:rsidRPr="00972554">
              <w:rPr>
                <w:rFonts w:ascii="Calibri" w:hAnsi="Calibri" w:cs="Calibri"/>
                <w:color w:val="000000"/>
                <w:sz w:val="18"/>
                <w:szCs w:val="18"/>
                <w:lang w:val="sl-SI" w:eastAsia="sl-SI"/>
              </w:rPr>
              <w:t xml:space="preserve">15.510.139.605 </w:t>
            </w:r>
          </w:p>
        </w:tc>
        <w:tc>
          <w:tcPr>
            <w:tcW w:w="807" w:type="pct"/>
            <w:tcBorders>
              <w:top w:val="single" w:sz="8" w:space="0" w:color="auto"/>
              <w:left w:val="nil"/>
              <w:bottom w:val="single" w:sz="8" w:space="0" w:color="auto"/>
              <w:right w:val="single" w:sz="8" w:space="0" w:color="000000"/>
            </w:tcBorders>
            <w:shd w:val="clear" w:color="auto" w:fill="auto"/>
            <w:noWrap/>
            <w:vAlign w:val="center"/>
            <w:hideMark/>
          </w:tcPr>
          <w:p w:rsidR="00116FC1" w:rsidRPr="00311C9C" w:rsidRDefault="00116FC1" w:rsidP="00116FC1">
            <w:pPr>
              <w:spacing w:line="240" w:lineRule="auto"/>
              <w:jc w:val="right"/>
              <w:rPr>
                <w:rFonts w:cs="Arial"/>
                <w:i/>
                <w:sz w:val="16"/>
                <w:szCs w:val="16"/>
                <w:lang w:eastAsia="sl-SI"/>
              </w:rPr>
            </w:pPr>
            <w:r w:rsidRPr="000F6B5B">
              <w:rPr>
                <w:rFonts w:ascii="Calibri" w:hAnsi="Calibri" w:cs="Calibri"/>
                <w:i/>
                <w:color w:val="000000"/>
                <w:sz w:val="18"/>
                <w:szCs w:val="18"/>
                <w:lang w:val="sl-SI" w:eastAsia="sl-SI"/>
              </w:rPr>
              <w:t>14.438.628.826</w:t>
            </w:r>
          </w:p>
        </w:tc>
      </w:tr>
      <w:tr w:rsidR="00116FC1" w:rsidRPr="00311C9C" w:rsidTr="00972554">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rsidR="00116FC1" w:rsidRPr="00311C9C" w:rsidRDefault="00116FC1" w:rsidP="00116FC1">
            <w:pPr>
              <w:spacing w:line="240" w:lineRule="auto"/>
              <w:jc w:val="center"/>
              <w:rPr>
                <w:rFonts w:cs="Arial"/>
                <w:i/>
                <w:sz w:val="16"/>
                <w:szCs w:val="16"/>
                <w:lang w:eastAsia="sl-SI"/>
              </w:rPr>
            </w:pPr>
            <w:r w:rsidRPr="00311C9C">
              <w:rPr>
                <w:rFonts w:cs="Arial"/>
                <w:i/>
                <w:sz w:val="16"/>
                <w:szCs w:val="16"/>
                <w:lang w:eastAsia="sl-SI"/>
              </w:rPr>
              <w:t>21</w:t>
            </w:r>
          </w:p>
        </w:tc>
        <w:tc>
          <w:tcPr>
            <w:tcW w:w="2571" w:type="pct"/>
            <w:tcBorders>
              <w:top w:val="single" w:sz="8" w:space="0" w:color="auto"/>
              <w:left w:val="nil"/>
              <w:bottom w:val="single" w:sz="8" w:space="0" w:color="auto"/>
              <w:right w:val="single" w:sz="8" w:space="0" w:color="000000"/>
            </w:tcBorders>
            <w:shd w:val="clear" w:color="000000" w:fill="FFFFD9"/>
            <w:vAlign w:val="center"/>
            <w:hideMark/>
          </w:tcPr>
          <w:p w:rsidR="00116FC1" w:rsidRPr="00311C9C" w:rsidRDefault="00116FC1" w:rsidP="00116FC1">
            <w:pPr>
              <w:spacing w:line="240" w:lineRule="auto"/>
              <w:jc w:val="left"/>
              <w:rPr>
                <w:rFonts w:cs="Arial"/>
                <w:b/>
                <w:bCs/>
                <w:i/>
                <w:sz w:val="16"/>
                <w:szCs w:val="16"/>
                <w:lang w:eastAsia="sl-SI"/>
              </w:rPr>
            </w:pPr>
            <w:r w:rsidRPr="00311C9C">
              <w:rPr>
                <w:rFonts w:cs="Arial"/>
                <w:b/>
                <w:bCs/>
                <w:i/>
                <w:sz w:val="16"/>
                <w:szCs w:val="16"/>
                <w:lang w:eastAsia="sl-SI"/>
              </w:rPr>
              <w:t>Rezervni sklad</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rsidR="00116FC1" w:rsidRPr="00311C9C" w:rsidRDefault="00116FC1" w:rsidP="00116FC1">
            <w:pPr>
              <w:spacing w:line="240" w:lineRule="auto"/>
              <w:jc w:val="center"/>
              <w:rPr>
                <w:rFonts w:cs="Arial"/>
                <w:i/>
                <w:sz w:val="16"/>
                <w:szCs w:val="16"/>
                <w:lang w:eastAsia="sl-SI"/>
              </w:rPr>
            </w:pPr>
            <w:r w:rsidRPr="00311C9C">
              <w:rPr>
                <w:rFonts w:cs="Arial"/>
                <w:i/>
                <w:sz w:val="16"/>
                <w:szCs w:val="16"/>
                <w:lang w:eastAsia="sl-SI"/>
              </w:rPr>
              <w:t>AOP920</w:t>
            </w:r>
          </w:p>
        </w:tc>
        <w:tc>
          <w:tcPr>
            <w:tcW w:w="846" w:type="pct"/>
            <w:tcBorders>
              <w:top w:val="single" w:sz="8" w:space="0" w:color="auto"/>
              <w:left w:val="nil"/>
              <w:bottom w:val="single" w:sz="8" w:space="0" w:color="auto"/>
              <w:right w:val="single" w:sz="8" w:space="0" w:color="000000"/>
            </w:tcBorders>
            <w:shd w:val="clear" w:color="auto" w:fill="auto"/>
            <w:vAlign w:val="center"/>
          </w:tcPr>
          <w:p w:rsidR="00116FC1" w:rsidRPr="00972554" w:rsidRDefault="00116FC1" w:rsidP="00972554">
            <w:pPr>
              <w:spacing w:line="240" w:lineRule="auto"/>
              <w:jc w:val="right"/>
              <w:rPr>
                <w:rFonts w:ascii="Calibri" w:hAnsi="Calibri" w:cs="Calibri"/>
                <w:i/>
                <w:color w:val="000000"/>
                <w:sz w:val="18"/>
                <w:szCs w:val="18"/>
                <w:lang w:val="sl-SI" w:eastAsia="sl-SI"/>
              </w:rPr>
            </w:pPr>
            <w:r w:rsidRPr="00972554">
              <w:rPr>
                <w:rFonts w:ascii="Calibri" w:hAnsi="Calibri" w:cs="Calibri"/>
                <w:color w:val="000000"/>
                <w:sz w:val="18"/>
                <w:szCs w:val="18"/>
                <w:lang w:val="sl-SI" w:eastAsia="sl-SI"/>
              </w:rPr>
              <w:t xml:space="preserve">95.512.752 </w:t>
            </w:r>
          </w:p>
        </w:tc>
        <w:tc>
          <w:tcPr>
            <w:tcW w:w="807" w:type="pct"/>
            <w:tcBorders>
              <w:top w:val="single" w:sz="8" w:space="0" w:color="auto"/>
              <w:left w:val="nil"/>
              <w:bottom w:val="single" w:sz="8" w:space="0" w:color="auto"/>
              <w:right w:val="single" w:sz="8" w:space="0" w:color="000000"/>
            </w:tcBorders>
            <w:shd w:val="clear" w:color="auto" w:fill="auto"/>
            <w:vAlign w:val="center"/>
            <w:hideMark/>
          </w:tcPr>
          <w:p w:rsidR="00116FC1" w:rsidRPr="00311C9C" w:rsidRDefault="00116FC1" w:rsidP="00116FC1">
            <w:pPr>
              <w:spacing w:line="240" w:lineRule="auto"/>
              <w:jc w:val="right"/>
              <w:rPr>
                <w:rFonts w:cs="Arial"/>
                <w:i/>
                <w:sz w:val="16"/>
                <w:szCs w:val="16"/>
                <w:lang w:eastAsia="sl-SI"/>
              </w:rPr>
            </w:pPr>
            <w:r w:rsidRPr="000F6B5B">
              <w:rPr>
                <w:rFonts w:ascii="Calibri" w:hAnsi="Calibri" w:cs="Calibri"/>
                <w:i/>
                <w:color w:val="000000"/>
                <w:sz w:val="18"/>
                <w:szCs w:val="18"/>
                <w:lang w:val="sl-SI" w:eastAsia="sl-SI"/>
              </w:rPr>
              <w:t>97.421.795</w:t>
            </w:r>
          </w:p>
        </w:tc>
      </w:tr>
      <w:tr w:rsidR="00116FC1" w:rsidRPr="00311C9C" w:rsidTr="00972554">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rsidR="00116FC1" w:rsidRPr="00311C9C" w:rsidRDefault="00116FC1" w:rsidP="00116FC1">
            <w:pPr>
              <w:spacing w:line="240" w:lineRule="auto"/>
              <w:jc w:val="center"/>
              <w:rPr>
                <w:rFonts w:cs="Arial"/>
                <w:i/>
                <w:sz w:val="16"/>
                <w:szCs w:val="16"/>
                <w:lang w:eastAsia="sl-SI"/>
              </w:rPr>
            </w:pPr>
            <w:r w:rsidRPr="00311C9C">
              <w:rPr>
                <w:rFonts w:cs="Arial"/>
                <w:i/>
                <w:sz w:val="16"/>
                <w:szCs w:val="16"/>
                <w:lang w:eastAsia="sl-SI"/>
              </w:rPr>
              <w:t>22</w:t>
            </w:r>
          </w:p>
        </w:tc>
        <w:tc>
          <w:tcPr>
            <w:tcW w:w="2571" w:type="pct"/>
            <w:tcBorders>
              <w:top w:val="single" w:sz="8" w:space="0" w:color="auto"/>
              <w:left w:val="nil"/>
              <w:bottom w:val="single" w:sz="8" w:space="0" w:color="auto"/>
              <w:right w:val="single" w:sz="8" w:space="0" w:color="000000"/>
            </w:tcBorders>
            <w:shd w:val="clear" w:color="000000" w:fill="FFFFD9"/>
            <w:vAlign w:val="center"/>
            <w:hideMark/>
          </w:tcPr>
          <w:p w:rsidR="00116FC1" w:rsidRPr="00311C9C" w:rsidRDefault="00116FC1" w:rsidP="00116FC1">
            <w:pPr>
              <w:spacing w:line="240" w:lineRule="auto"/>
              <w:jc w:val="left"/>
              <w:rPr>
                <w:rFonts w:cs="Arial"/>
                <w:b/>
                <w:bCs/>
                <w:i/>
                <w:sz w:val="16"/>
                <w:szCs w:val="16"/>
                <w:lang w:eastAsia="sl-SI"/>
              </w:rPr>
            </w:pPr>
            <w:r w:rsidRPr="00311C9C">
              <w:rPr>
                <w:rFonts w:cs="Arial"/>
                <w:b/>
                <w:bCs/>
                <w:i/>
                <w:sz w:val="16"/>
                <w:szCs w:val="16"/>
                <w:lang w:eastAsia="sl-SI"/>
              </w:rPr>
              <w:t>Dolgoročno prejeta posojila</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rsidR="00116FC1" w:rsidRPr="00311C9C" w:rsidRDefault="00116FC1" w:rsidP="00116FC1">
            <w:pPr>
              <w:spacing w:line="240" w:lineRule="auto"/>
              <w:jc w:val="center"/>
              <w:rPr>
                <w:rFonts w:cs="Arial"/>
                <w:i/>
                <w:sz w:val="16"/>
                <w:szCs w:val="16"/>
                <w:lang w:eastAsia="sl-SI"/>
              </w:rPr>
            </w:pPr>
            <w:r w:rsidRPr="00311C9C">
              <w:rPr>
                <w:rFonts w:cs="Arial"/>
                <w:i/>
                <w:sz w:val="16"/>
                <w:szCs w:val="16"/>
                <w:lang w:eastAsia="sl-SI"/>
              </w:rPr>
              <w:t>AOP921</w:t>
            </w:r>
          </w:p>
        </w:tc>
        <w:tc>
          <w:tcPr>
            <w:tcW w:w="846" w:type="pct"/>
            <w:tcBorders>
              <w:top w:val="single" w:sz="8" w:space="0" w:color="auto"/>
              <w:left w:val="nil"/>
              <w:bottom w:val="single" w:sz="8" w:space="0" w:color="auto"/>
              <w:right w:val="single" w:sz="8" w:space="0" w:color="000000"/>
            </w:tcBorders>
            <w:shd w:val="clear" w:color="auto" w:fill="auto"/>
            <w:vAlign w:val="center"/>
          </w:tcPr>
          <w:p w:rsidR="00116FC1" w:rsidRPr="00972554" w:rsidRDefault="00116FC1" w:rsidP="00972554">
            <w:pPr>
              <w:spacing w:line="240" w:lineRule="auto"/>
              <w:jc w:val="right"/>
              <w:rPr>
                <w:rFonts w:ascii="Calibri" w:hAnsi="Calibri" w:cs="Calibri"/>
                <w:i/>
                <w:color w:val="000000"/>
                <w:sz w:val="18"/>
                <w:szCs w:val="18"/>
                <w:lang w:val="sl-SI" w:eastAsia="sl-SI"/>
              </w:rPr>
            </w:pPr>
            <w:r w:rsidRPr="00972554">
              <w:rPr>
                <w:rFonts w:ascii="Calibri" w:hAnsi="Calibri" w:cs="Calibri"/>
                <w:color w:val="000000"/>
                <w:sz w:val="18"/>
                <w:szCs w:val="18"/>
                <w:lang w:val="sl-SI" w:eastAsia="sl-SI"/>
              </w:rPr>
              <w:t xml:space="preserve">29.476.696.012 </w:t>
            </w:r>
          </w:p>
        </w:tc>
        <w:tc>
          <w:tcPr>
            <w:tcW w:w="807" w:type="pct"/>
            <w:tcBorders>
              <w:top w:val="single" w:sz="8" w:space="0" w:color="auto"/>
              <w:left w:val="nil"/>
              <w:bottom w:val="single" w:sz="8" w:space="0" w:color="auto"/>
              <w:right w:val="single" w:sz="8" w:space="0" w:color="000000"/>
            </w:tcBorders>
            <w:shd w:val="clear" w:color="auto" w:fill="auto"/>
            <w:vAlign w:val="center"/>
            <w:hideMark/>
          </w:tcPr>
          <w:p w:rsidR="00116FC1" w:rsidRPr="00311C9C" w:rsidRDefault="00116FC1" w:rsidP="00116FC1">
            <w:pPr>
              <w:spacing w:line="240" w:lineRule="auto"/>
              <w:jc w:val="right"/>
              <w:rPr>
                <w:rFonts w:cs="Arial"/>
                <w:i/>
                <w:sz w:val="16"/>
                <w:szCs w:val="16"/>
                <w:lang w:eastAsia="sl-SI"/>
              </w:rPr>
            </w:pPr>
            <w:r w:rsidRPr="000F6B5B">
              <w:rPr>
                <w:rFonts w:ascii="Calibri" w:hAnsi="Calibri" w:cs="Calibri"/>
                <w:i/>
                <w:color w:val="000000"/>
                <w:sz w:val="18"/>
                <w:szCs w:val="18"/>
                <w:lang w:val="sl-SI" w:eastAsia="sl-SI"/>
              </w:rPr>
              <w:t>29.032.428.243</w:t>
            </w:r>
          </w:p>
        </w:tc>
      </w:tr>
      <w:tr w:rsidR="00116FC1" w:rsidRPr="00311C9C" w:rsidTr="00972554">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rsidR="00116FC1" w:rsidRPr="00311C9C" w:rsidRDefault="00116FC1" w:rsidP="00116FC1">
            <w:pPr>
              <w:spacing w:line="240" w:lineRule="auto"/>
              <w:jc w:val="center"/>
              <w:rPr>
                <w:rFonts w:cs="Arial"/>
                <w:i/>
                <w:sz w:val="16"/>
                <w:szCs w:val="16"/>
                <w:lang w:eastAsia="sl-SI"/>
              </w:rPr>
            </w:pPr>
            <w:r w:rsidRPr="00311C9C">
              <w:rPr>
                <w:rFonts w:cs="Arial"/>
                <w:i/>
                <w:sz w:val="16"/>
                <w:szCs w:val="16"/>
                <w:lang w:eastAsia="sl-SI"/>
              </w:rPr>
              <w:t>23</w:t>
            </w:r>
          </w:p>
        </w:tc>
        <w:tc>
          <w:tcPr>
            <w:tcW w:w="2571" w:type="pct"/>
            <w:tcBorders>
              <w:top w:val="nil"/>
              <w:left w:val="nil"/>
              <w:bottom w:val="nil"/>
              <w:right w:val="single" w:sz="8" w:space="0" w:color="000000"/>
            </w:tcBorders>
            <w:shd w:val="clear" w:color="000000" w:fill="FFFFD9"/>
            <w:vAlign w:val="center"/>
            <w:hideMark/>
          </w:tcPr>
          <w:p w:rsidR="00116FC1" w:rsidRPr="00311C9C" w:rsidRDefault="00116FC1" w:rsidP="00116FC1">
            <w:pPr>
              <w:spacing w:line="240" w:lineRule="auto"/>
              <w:jc w:val="left"/>
              <w:rPr>
                <w:rFonts w:cs="Arial"/>
                <w:b/>
                <w:bCs/>
                <w:i/>
                <w:sz w:val="16"/>
                <w:szCs w:val="16"/>
                <w:lang w:eastAsia="sl-SI"/>
              </w:rPr>
            </w:pPr>
            <w:r w:rsidRPr="00311C9C">
              <w:rPr>
                <w:rFonts w:cs="Arial"/>
                <w:b/>
                <w:bCs/>
                <w:i/>
                <w:sz w:val="16"/>
                <w:szCs w:val="16"/>
                <w:lang w:eastAsia="sl-SI"/>
              </w:rPr>
              <w:t>Dolgoročne obveznosti iz poslovanja</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rsidR="00116FC1" w:rsidRPr="00311C9C" w:rsidRDefault="00116FC1" w:rsidP="00116FC1">
            <w:pPr>
              <w:spacing w:line="240" w:lineRule="auto"/>
              <w:jc w:val="center"/>
              <w:rPr>
                <w:rFonts w:cs="Arial"/>
                <w:i/>
                <w:sz w:val="16"/>
                <w:szCs w:val="16"/>
                <w:lang w:eastAsia="sl-SI"/>
              </w:rPr>
            </w:pPr>
            <w:r w:rsidRPr="00311C9C">
              <w:rPr>
                <w:rFonts w:cs="Arial"/>
                <w:i/>
                <w:sz w:val="16"/>
                <w:szCs w:val="16"/>
                <w:lang w:eastAsia="sl-SI"/>
              </w:rPr>
              <w:t>AOP922</w:t>
            </w:r>
          </w:p>
        </w:tc>
        <w:tc>
          <w:tcPr>
            <w:tcW w:w="846" w:type="pct"/>
            <w:tcBorders>
              <w:top w:val="single" w:sz="8" w:space="0" w:color="auto"/>
              <w:left w:val="nil"/>
              <w:bottom w:val="single" w:sz="8" w:space="0" w:color="auto"/>
              <w:right w:val="single" w:sz="8" w:space="0" w:color="000000"/>
            </w:tcBorders>
            <w:shd w:val="clear" w:color="auto" w:fill="auto"/>
            <w:vAlign w:val="center"/>
          </w:tcPr>
          <w:p w:rsidR="00116FC1" w:rsidRPr="00972554" w:rsidRDefault="00116FC1" w:rsidP="00972554">
            <w:pPr>
              <w:spacing w:line="240" w:lineRule="auto"/>
              <w:jc w:val="right"/>
              <w:rPr>
                <w:rFonts w:ascii="Calibri" w:hAnsi="Calibri" w:cs="Calibri"/>
                <w:i/>
                <w:color w:val="000000"/>
                <w:sz w:val="18"/>
                <w:szCs w:val="18"/>
                <w:lang w:val="sl-SI" w:eastAsia="sl-SI"/>
              </w:rPr>
            </w:pPr>
            <w:r w:rsidRPr="00972554">
              <w:rPr>
                <w:rFonts w:ascii="Calibri" w:hAnsi="Calibri" w:cs="Calibri"/>
                <w:color w:val="000000"/>
                <w:sz w:val="18"/>
                <w:szCs w:val="18"/>
                <w:lang w:val="sl-SI" w:eastAsia="sl-SI"/>
              </w:rPr>
              <w:t xml:space="preserve">322.940.819 </w:t>
            </w:r>
          </w:p>
        </w:tc>
        <w:tc>
          <w:tcPr>
            <w:tcW w:w="807" w:type="pct"/>
            <w:tcBorders>
              <w:top w:val="single" w:sz="8" w:space="0" w:color="auto"/>
              <w:left w:val="nil"/>
              <w:bottom w:val="single" w:sz="8" w:space="0" w:color="auto"/>
              <w:right w:val="single" w:sz="8" w:space="0" w:color="000000"/>
            </w:tcBorders>
            <w:shd w:val="clear" w:color="auto" w:fill="auto"/>
            <w:vAlign w:val="center"/>
            <w:hideMark/>
          </w:tcPr>
          <w:p w:rsidR="00116FC1" w:rsidRPr="00311C9C" w:rsidRDefault="00116FC1" w:rsidP="00116FC1">
            <w:pPr>
              <w:spacing w:line="240" w:lineRule="auto"/>
              <w:jc w:val="right"/>
              <w:rPr>
                <w:rFonts w:cs="Arial"/>
                <w:i/>
                <w:sz w:val="16"/>
                <w:szCs w:val="16"/>
                <w:lang w:eastAsia="sl-SI"/>
              </w:rPr>
            </w:pPr>
            <w:r w:rsidRPr="000F6B5B">
              <w:rPr>
                <w:rFonts w:ascii="Calibri" w:hAnsi="Calibri" w:cs="Calibri"/>
                <w:i/>
                <w:color w:val="000000"/>
                <w:sz w:val="18"/>
                <w:szCs w:val="18"/>
                <w:lang w:val="sl-SI" w:eastAsia="sl-SI"/>
              </w:rPr>
              <w:t>429.180.955</w:t>
            </w:r>
          </w:p>
        </w:tc>
      </w:tr>
      <w:tr w:rsidR="00116FC1" w:rsidRPr="00311C9C" w:rsidTr="00972554">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rsidR="00116FC1" w:rsidRPr="00311C9C" w:rsidRDefault="00116FC1" w:rsidP="00116FC1">
            <w:pPr>
              <w:spacing w:line="240" w:lineRule="auto"/>
              <w:jc w:val="center"/>
              <w:rPr>
                <w:rFonts w:cs="Arial"/>
                <w:i/>
                <w:sz w:val="16"/>
                <w:szCs w:val="16"/>
                <w:lang w:eastAsia="sl-SI"/>
              </w:rPr>
            </w:pPr>
            <w:r w:rsidRPr="00311C9C">
              <w:rPr>
                <w:rFonts w:cs="Arial"/>
                <w:i/>
                <w:sz w:val="16"/>
                <w:szCs w:val="16"/>
                <w:lang w:eastAsia="sl-SI"/>
              </w:rPr>
              <w:t>24</w:t>
            </w:r>
          </w:p>
        </w:tc>
        <w:tc>
          <w:tcPr>
            <w:tcW w:w="2571" w:type="pct"/>
            <w:tcBorders>
              <w:top w:val="single" w:sz="8" w:space="0" w:color="auto"/>
              <w:left w:val="nil"/>
              <w:bottom w:val="single" w:sz="8" w:space="0" w:color="auto"/>
              <w:right w:val="single" w:sz="8" w:space="0" w:color="000000"/>
            </w:tcBorders>
            <w:shd w:val="clear" w:color="000000" w:fill="FFFFD9"/>
            <w:vAlign w:val="center"/>
            <w:hideMark/>
          </w:tcPr>
          <w:p w:rsidR="00116FC1" w:rsidRPr="00311C9C" w:rsidRDefault="00116FC1" w:rsidP="00116FC1">
            <w:pPr>
              <w:spacing w:line="240" w:lineRule="auto"/>
              <w:jc w:val="left"/>
              <w:rPr>
                <w:rFonts w:cs="Arial"/>
                <w:b/>
                <w:bCs/>
                <w:i/>
                <w:sz w:val="16"/>
                <w:szCs w:val="16"/>
                <w:lang w:eastAsia="sl-SI"/>
              </w:rPr>
            </w:pPr>
            <w:r w:rsidRPr="00311C9C">
              <w:rPr>
                <w:rFonts w:cs="Arial"/>
                <w:b/>
                <w:bCs/>
                <w:i/>
                <w:sz w:val="16"/>
                <w:szCs w:val="16"/>
                <w:lang w:eastAsia="sl-SI"/>
              </w:rPr>
              <w:t>Kratkoročne obveznosti</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rsidR="00116FC1" w:rsidRPr="00311C9C" w:rsidRDefault="00116FC1" w:rsidP="00116FC1">
            <w:pPr>
              <w:spacing w:line="240" w:lineRule="auto"/>
              <w:jc w:val="center"/>
              <w:rPr>
                <w:rFonts w:cs="Arial"/>
                <w:i/>
                <w:sz w:val="16"/>
                <w:szCs w:val="16"/>
                <w:lang w:eastAsia="sl-SI"/>
              </w:rPr>
            </w:pPr>
            <w:r w:rsidRPr="00311C9C">
              <w:rPr>
                <w:rFonts w:cs="Arial"/>
                <w:i/>
                <w:sz w:val="16"/>
                <w:szCs w:val="16"/>
                <w:lang w:eastAsia="sl-SI"/>
              </w:rPr>
              <w:t>AOP923</w:t>
            </w:r>
          </w:p>
        </w:tc>
        <w:tc>
          <w:tcPr>
            <w:tcW w:w="846" w:type="pct"/>
            <w:tcBorders>
              <w:top w:val="single" w:sz="8" w:space="0" w:color="auto"/>
              <w:left w:val="nil"/>
              <w:bottom w:val="single" w:sz="8" w:space="0" w:color="auto"/>
              <w:right w:val="single" w:sz="8" w:space="0" w:color="000000"/>
            </w:tcBorders>
            <w:shd w:val="clear" w:color="auto" w:fill="auto"/>
            <w:vAlign w:val="center"/>
          </w:tcPr>
          <w:p w:rsidR="00116FC1" w:rsidRPr="00972554" w:rsidRDefault="00116FC1" w:rsidP="00972554">
            <w:pPr>
              <w:spacing w:line="240" w:lineRule="auto"/>
              <w:jc w:val="right"/>
              <w:rPr>
                <w:rFonts w:ascii="Calibri" w:hAnsi="Calibri" w:cs="Calibri"/>
                <w:i/>
                <w:color w:val="000000"/>
                <w:sz w:val="18"/>
                <w:szCs w:val="18"/>
                <w:lang w:val="sl-SI" w:eastAsia="sl-SI"/>
              </w:rPr>
            </w:pPr>
            <w:r w:rsidRPr="00972554">
              <w:rPr>
                <w:rFonts w:ascii="Calibri" w:hAnsi="Calibri" w:cs="Calibri"/>
                <w:color w:val="000000"/>
                <w:sz w:val="18"/>
                <w:szCs w:val="18"/>
                <w:lang w:val="sl-SI" w:eastAsia="sl-SI"/>
              </w:rPr>
              <w:t xml:space="preserve">3.064.225.682 </w:t>
            </w:r>
          </w:p>
        </w:tc>
        <w:tc>
          <w:tcPr>
            <w:tcW w:w="807" w:type="pct"/>
            <w:tcBorders>
              <w:top w:val="single" w:sz="8" w:space="0" w:color="auto"/>
              <w:left w:val="nil"/>
              <w:bottom w:val="single" w:sz="8" w:space="0" w:color="auto"/>
              <w:right w:val="single" w:sz="8" w:space="0" w:color="000000"/>
            </w:tcBorders>
            <w:shd w:val="clear" w:color="auto" w:fill="auto"/>
            <w:vAlign w:val="center"/>
            <w:hideMark/>
          </w:tcPr>
          <w:p w:rsidR="00116FC1" w:rsidRPr="00311C9C" w:rsidRDefault="00116FC1" w:rsidP="00116FC1">
            <w:pPr>
              <w:spacing w:line="240" w:lineRule="auto"/>
              <w:jc w:val="right"/>
              <w:rPr>
                <w:rFonts w:cs="Arial"/>
                <w:i/>
                <w:sz w:val="16"/>
                <w:szCs w:val="16"/>
                <w:lang w:eastAsia="sl-SI"/>
              </w:rPr>
            </w:pPr>
            <w:r w:rsidRPr="000F6B5B">
              <w:rPr>
                <w:rFonts w:ascii="Calibri" w:hAnsi="Calibri" w:cs="Calibri"/>
                <w:i/>
                <w:color w:val="000000"/>
                <w:sz w:val="18"/>
                <w:szCs w:val="18"/>
                <w:lang w:val="sl-SI" w:eastAsia="sl-SI"/>
              </w:rPr>
              <w:t>2.969.487.024</w:t>
            </w:r>
          </w:p>
        </w:tc>
      </w:tr>
      <w:tr w:rsidR="00116FC1" w:rsidRPr="00311C9C" w:rsidTr="00972554">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noWrap/>
            <w:vAlign w:val="center"/>
            <w:hideMark/>
          </w:tcPr>
          <w:p w:rsidR="00116FC1" w:rsidRPr="00311C9C" w:rsidRDefault="00116FC1" w:rsidP="00116FC1">
            <w:pPr>
              <w:spacing w:line="240" w:lineRule="auto"/>
              <w:jc w:val="center"/>
              <w:rPr>
                <w:rFonts w:cs="Arial"/>
                <w:i/>
                <w:sz w:val="16"/>
                <w:szCs w:val="16"/>
                <w:lang w:eastAsia="sl-SI"/>
              </w:rPr>
            </w:pPr>
            <w:r w:rsidRPr="00311C9C">
              <w:rPr>
                <w:rFonts w:cs="Arial"/>
                <w:i/>
                <w:sz w:val="16"/>
                <w:szCs w:val="16"/>
                <w:lang w:eastAsia="sl-SI"/>
              </w:rPr>
              <w:t>25</w:t>
            </w:r>
          </w:p>
        </w:tc>
        <w:tc>
          <w:tcPr>
            <w:tcW w:w="2571" w:type="pct"/>
            <w:tcBorders>
              <w:top w:val="single" w:sz="8" w:space="0" w:color="auto"/>
              <w:left w:val="nil"/>
              <w:bottom w:val="single" w:sz="8" w:space="0" w:color="auto"/>
              <w:right w:val="single" w:sz="8" w:space="0" w:color="000000"/>
            </w:tcBorders>
            <w:shd w:val="clear" w:color="000000" w:fill="FFFFD9"/>
            <w:vAlign w:val="center"/>
            <w:hideMark/>
          </w:tcPr>
          <w:p w:rsidR="00116FC1" w:rsidRPr="00311C9C" w:rsidRDefault="00116FC1" w:rsidP="00116FC1">
            <w:pPr>
              <w:spacing w:line="240" w:lineRule="auto"/>
              <w:jc w:val="left"/>
              <w:rPr>
                <w:rFonts w:cs="Arial"/>
                <w:b/>
                <w:bCs/>
                <w:i/>
                <w:sz w:val="16"/>
                <w:szCs w:val="16"/>
                <w:lang w:eastAsia="sl-SI"/>
              </w:rPr>
            </w:pPr>
            <w:r w:rsidRPr="00311C9C">
              <w:rPr>
                <w:rFonts w:cs="Arial"/>
                <w:b/>
                <w:bCs/>
                <w:i/>
                <w:sz w:val="16"/>
                <w:szCs w:val="16"/>
                <w:lang w:eastAsia="sl-SI"/>
              </w:rPr>
              <w:t>Skupaj pasiva</w:t>
            </w:r>
            <w:r w:rsidRPr="00311C9C">
              <w:rPr>
                <w:rFonts w:cs="Arial"/>
                <w:b/>
                <w:bCs/>
                <w:i/>
                <w:sz w:val="16"/>
                <w:szCs w:val="16"/>
                <w:lang w:eastAsia="sl-SI"/>
              </w:rPr>
              <w:br/>
            </w:r>
            <w:r w:rsidRPr="00311C9C">
              <w:rPr>
                <w:rFonts w:cs="Arial"/>
                <w:i/>
                <w:sz w:val="16"/>
                <w:szCs w:val="16"/>
                <w:lang w:eastAsia="sl-SI"/>
              </w:rPr>
              <w:t>(AOP919+AOP920+AOP921+AOP922+AOP923)</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rsidR="00116FC1" w:rsidRPr="00311C9C" w:rsidRDefault="00116FC1" w:rsidP="00116FC1">
            <w:pPr>
              <w:spacing w:line="240" w:lineRule="auto"/>
              <w:jc w:val="center"/>
              <w:rPr>
                <w:rFonts w:cs="Arial"/>
                <w:i/>
                <w:sz w:val="16"/>
                <w:szCs w:val="16"/>
                <w:lang w:eastAsia="sl-SI"/>
              </w:rPr>
            </w:pPr>
            <w:r w:rsidRPr="00311C9C">
              <w:rPr>
                <w:rFonts w:cs="Arial"/>
                <w:i/>
                <w:sz w:val="16"/>
                <w:szCs w:val="16"/>
                <w:lang w:eastAsia="sl-SI"/>
              </w:rPr>
              <w:t>AOP924</w:t>
            </w:r>
          </w:p>
        </w:tc>
        <w:tc>
          <w:tcPr>
            <w:tcW w:w="846" w:type="pct"/>
            <w:tcBorders>
              <w:top w:val="single" w:sz="8" w:space="0" w:color="auto"/>
              <w:left w:val="nil"/>
              <w:bottom w:val="single" w:sz="8" w:space="0" w:color="auto"/>
              <w:right w:val="single" w:sz="8" w:space="0" w:color="000000"/>
            </w:tcBorders>
            <w:shd w:val="clear" w:color="000000" w:fill="FFFFD9"/>
            <w:vAlign w:val="center"/>
          </w:tcPr>
          <w:p w:rsidR="00116FC1" w:rsidRPr="00972554" w:rsidRDefault="00116FC1" w:rsidP="00972554">
            <w:pPr>
              <w:spacing w:line="240" w:lineRule="auto"/>
              <w:jc w:val="right"/>
              <w:rPr>
                <w:rFonts w:ascii="Calibri" w:hAnsi="Calibri" w:cs="Calibri"/>
                <w:i/>
                <w:color w:val="000000"/>
                <w:sz w:val="18"/>
                <w:szCs w:val="18"/>
                <w:lang w:val="sl-SI" w:eastAsia="sl-SI"/>
              </w:rPr>
            </w:pPr>
            <w:r w:rsidRPr="00972554">
              <w:rPr>
                <w:rFonts w:ascii="Calibri" w:hAnsi="Calibri"/>
                <w:i/>
                <w:color w:val="000000"/>
                <w:sz w:val="18"/>
                <w:szCs w:val="18"/>
                <w:lang w:val="sl-SI" w:eastAsia="sl-SI"/>
              </w:rPr>
              <w:t xml:space="preserve">48.469.514.870 </w:t>
            </w:r>
          </w:p>
        </w:tc>
        <w:tc>
          <w:tcPr>
            <w:tcW w:w="807" w:type="pct"/>
            <w:tcBorders>
              <w:top w:val="single" w:sz="8" w:space="0" w:color="auto"/>
              <w:left w:val="nil"/>
              <w:bottom w:val="single" w:sz="8" w:space="0" w:color="auto"/>
              <w:right w:val="single" w:sz="8" w:space="0" w:color="000000"/>
            </w:tcBorders>
            <w:shd w:val="clear" w:color="000000" w:fill="FFFFD9"/>
            <w:noWrap/>
            <w:vAlign w:val="center"/>
            <w:hideMark/>
          </w:tcPr>
          <w:p w:rsidR="00116FC1" w:rsidRPr="00311C9C" w:rsidRDefault="00116FC1" w:rsidP="00116FC1">
            <w:pPr>
              <w:spacing w:line="240" w:lineRule="auto"/>
              <w:jc w:val="right"/>
              <w:rPr>
                <w:rFonts w:cs="Arial"/>
                <w:i/>
                <w:sz w:val="16"/>
                <w:szCs w:val="16"/>
                <w:lang w:eastAsia="sl-SI"/>
              </w:rPr>
            </w:pPr>
            <w:r w:rsidRPr="000F6B5B">
              <w:rPr>
                <w:rFonts w:ascii="Calibri" w:hAnsi="Calibri" w:cs="Calibri"/>
                <w:i/>
                <w:color w:val="000000"/>
                <w:sz w:val="18"/>
                <w:szCs w:val="18"/>
                <w:lang w:val="sl-SI" w:eastAsia="sl-SI"/>
              </w:rPr>
              <w:t>46.967.146.843</w:t>
            </w:r>
          </w:p>
        </w:tc>
      </w:tr>
    </w:tbl>
    <w:p w:rsidR="00781575" w:rsidRDefault="00781575" w:rsidP="00752EEC">
      <w:pPr>
        <w:spacing w:line="240" w:lineRule="auto"/>
        <w:rPr>
          <w:rFonts w:cs="Arial"/>
          <w:iCs/>
          <w:sz w:val="22"/>
          <w:szCs w:val="22"/>
          <w:lang w:val="sl-SI" w:eastAsia="sl-SI"/>
        </w:rPr>
      </w:pPr>
    </w:p>
    <w:sectPr w:rsidR="00781575" w:rsidSect="0042664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619" w:rsidRDefault="00237619">
      <w:r>
        <w:separator/>
      </w:r>
    </w:p>
    <w:p w:rsidR="00237619" w:rsidRDefault="00237619"/>
  </w:endnote>
  <w:endnote w:type="continuationSeparator" w:id="0">
    <w:p w:rsidR="00237619" w:rsidRDefault="00237619">
      <w:r>
        <w:continuationSeparator/>
      </w:r>
    </w:p>
    <w:p w:rsidR="00237619" w:rsidRDefault="002376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Bold">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Republika">
    <w:altName w:val="Franklin Gothic Medium Cond"/>
    <w:charset w:val="EE"/>
    <w:family w:val="auto"/>
    <w:pitch w:val="variable"/>
    <w:sig w:usb0="00000001" w:usb1="40002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EE3" w:rsidRDefault="00C83EE3" w:rsidP="00C454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83EE3" w:rsidRDefault="00C83EE3" w:rsidP="0057003F">
    <w:pPr>
      <w:pStyle w:val="Footer"/>
      <w:ind w:right="360"/>
    </w:pPr>
  </w:p>
  <w:p w:rsidR="00C83EE3" w:rsidRDefault="00C83EE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EE3" w:rsidRDefault="00C83EE3" w:rsidP="00C454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6E2A">
      <w:rPr>
        <w:rStyle w:val="PageNumber"/>
        <w:noProof/>
      </w:rPr>
      <w:t>3</w:t>
    </w:r>
    <w:r>
      <w:rPr>
        <w:rStyle w:val="PageNumber"/>
      </w:rPr>
      <w:fldChar w:fldCharType="end"/>
    </w:r>
  </w:p>
  <w:p w:rsidR="00C83EE3" w:rsidRDefault="00C83EE3" w:rsidP="0057003F">
    <w:pPr>
      <w:pStyle w:val="Footer"/>
      <w:ind w:right="360"/>
    </w:pPr>
  </w:p>
  <w:p w:rsidR="00C83EE3" w:rsidRDefault="00C83EE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EE3" w:rsidRDefault="00C83E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619" w:rsidRDefault="00237619">
      <w:r>
        <w:separator/>
      </w:r>
    </w:p>
    <w:p w:rsidR="00237619" w:rsidRDefault="00237619"/>
  </w:footnote>
  <w:footnote w:type="continuationSeparator" w:id="0">
    <w:p w:rsidR="00237619" w:rsidRDefault="00237619">
      <w:r>
        <w:continuationSeparator/>
      </w:r>
    </w:p>
    <w:p w:rsidR="00237619" w:rsidRDefault="00237619"/>
  </w:footnote>
  <w:footnote w:id="1">
    <w:p w:rsidR="00C83EE3" w:rsidRPr="00002C2A" w:rsidRDefault="00C83EE3" w:rsidP="009B22FF">
      <w:pPr>
        <w:pStyle w:val="FootnoteText"/>
        <w:rPr>
          <w:rFonts w:ascii="Calibri" w:hAnsi="Calibri"/>
          <w:sz w:val="18"/>
          <w:szCs w:val="18"/>
        </w:rPr>
      </w:pPr>
      <w:r>
        <w:rPr>
          <w:rStyle w:val="FootnoteReference"/>
        </w:rPr>
        <w:footnoteRef/>
      </w:r>
      <w:r>
        <w:t xml:space="preserve"> </w:t>
      </w:r>
      <w:r>
        <w:rPr>
          <w:rFonts w:ascii="Calibri" w:hAnsi="Calibri"/>
          <w:sz w:val="18"/>
          <w:szCs w:val="18"/>
        </w:rPr>
        <w:t>Zavezanci za oddajo PB so vsi NPU in PPU proračuna države in občin, ki so vpisani v register proračunskih uporabnikov, ki ga vodi Uprava RS za javna plačila.</w:t>
      </w:r>
    </w:p>
  </w:footnote>
  <w:footnote w:id="2">
    <w:p w:rsidR="00C83EE3" w:rsidRPr="00002C2A" w:rsidRDefault="00C83EE3">
      <w:pPr>
        <w:pStyle w:val="FootnoteText"/>
        <w:rPr>
          <w:rFonts w:ascii="Calibri" w:hAnsi="Calibri"/>
          <w:sz w:val="18"/>
          <w:szCs w:val="18"/>
        </w:rPr>
      </w:pPr>
      <w:r>
        <w:rPr>
          <w:rStyle w:val="FootnoteReference"/>
        </w:rPr>
        <w:footnoteRef/>
      </w:r>
      <w:r>
        <w:t xml:space="preserve"> </w:t>
      </w:r>
      <w:r w:rsidRPr="009823C2">
        <w:rPr>
          <w:rFonts w:ascii="Calibri" w:hAnsi="Calibri"/>
          <w:sz w:val="18"/>
          <w:szCs w:val="18"/>
        </w:rPr>
        <w:t>Upravljavci sredstev sistema EZR oddajajo premoženjsko bilanco kot NPU</w:t>
      </w:r>
      <w:r>
        <w:rPr>
          <w:rFonts w:ascii="Calibri" w:hAnsi="Calibri"/>
          <w:sz w:val="18"/>
          <w:szCs w:val="18"/>
        </w:rPr>
        <w:t>.</w:t>
      </w:r>
    </w:p>
  </w:footnote>
  <w:footnote w:id="3">
    <w:p w:rsidR="00C83EE3" w:rsidRDefault="00C83EE3" w:rsidP="00FD2C67">
      <w:pPr>
        <w:pStyle w:val="FootnoteText"/>
      </w:pPr>
      <w:r>
        <w:rPr>
          <w:rStyle w:val="FootnoteReference"/>
        </w:rPr>
        <w:footnoteRef/>
      </w:r>
      <w:r>
        <w:t xml:space="preserve"> </w:t>
      </w:r>
      <w:r w:rsidRPr="009011CB">
        <w:rPr>
          <w:rFonts w:ascii="Calibri" w:hAnsi="Calibri"/>
          <w:color w:val="000000"/>
          <w:sz w:val="18"/>
          <w:szCs w:val="18"/>
        </w:rPr>
        <w:t>Pri NPU obveznosti za sredstva prejeta v upravljanje ne zajemajo več dolgoročnih pasivnih časovnih razmejitev (sprememba v letu 2014).</w:t>
      </w:r>
    </w:p>
  </w:footnote>
  <w:footnote w:id="4">
    <w:p w:rsidR="00C83EE3" w:rsidRDefault="00C83EE3">
      <w:pPr>
        <w:pStyle w:val="FootnoteText"/>
      </w:pPr>
      <w:r>
        <w:rPr>
          <w:rStyle w:val="FootnoteReference"/>
        </w:rPr>
        <w:footnoteRef/>
      </w:r>
      <w:r>
        <w:t xml:space="preserve"> </w:t>
      </w:r>
      <w:r w:rsidRPr="004E2AC3">
        <w:rPr>
          <w:rFonts w:ascii="Calibri" w:hAnsi="Calibri"/>
          <w:sz w:val="18"/>
          <w:szCs w:val="18"/>
        </w:rPr>
        <w:t>85.310, 85.320- srednješolsko izobraževanje; 85.422-visokošolsko izobraževanje; 86.100-Bolnišnična zdravstvena dejavnost; 87.300- oskrba starejših in invalidnih oseb</w:t>
      </w:r>
    </w:p>
  </w:footnote>
  <w:footnote w:id="5">
    <w:p w:rsidR="00C83EE3" w:rsidRPr="00AC48A2" w:rsidRDefault="00C83EE3" w:rsidP="00442CCE">
      <w:pPr>
        <w:pStyle w:val="FootnoteText"/>
        <w:rPr>
          <w:sz w:val="18"/>
          <w:szCs w:val="18"/>
        </w:rPr>
      </w:pPr>
      <w:r w:rsidRPr="00AC48A2">
        <w:rPr>
          <w:rStyle w:val="FootnoteReference"/>
          <w:sz w:val="18"/>
          <w:szCs w:val="18"/>
        </w:rPr>
        <w:footnoteRef/>
      </w:r>
      <w:r w:rsidRPr="00AC48A2">
        <w:rPr>
          <w:sz w:val="18"/>
          <w:szCs w:val="18"/>
        </w:rPr>
        <w:t xml:space="preserve"> 47.730;-trgovina na drobno v specializiranih prodajalnah s farmacevtskimi izdelki</w:t>
      </w:r>
      <w:r>
        <w:rPr>
          <w:sz w:val="18"/>
          <w:szCs w:val="18"/>
        </w:rPr>
        <w:t>;</w:t>
      </w:r>
      <w:r w:rsidRPr="00AC48A2">
        <w:rPr>
          <w:sz w:val="18"/>
          <w:szCs w:val="18"/>
        </w:rPr>
        <w:t xml:space="preserve"> 85.200-osnovnošolska izobraževalna dejavnost; 86.210-splošna zunajbolnišnična zdravstena dejavnost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EE3" w:rsidRDefault="00C83E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EE3" w:rsidRDefault="00C83EE3">
    <w:pPr>
      <w:pStyle w:val="Header"/>
      <w:rPr>
        <w:lang w:val="sl-SI"/>
      </w:rPr>
    </w:pPr>
  </w:p>
  <w:p w:rsidR="00C83EE3" w:rsidRDefault="00C83EE3">
    <w:pPr>
      <w:pStyle w:val="Header"/>
      <w:rPr>
        <w:lang w:val="sl-SI"/>
      </w:rPr>
    </w:pPr>
  </w:p>
  <w:p w:rsidR="00C83EE3" w:rsidRDefault="00C83EE3" w:rsidP="00A870DA">
    <w:pPr>
      <w:pStyle w:val="Header"/>
      <w:tabs>
        <w:tab w:val="clear" w:pos="4320"/>
        <w:tab w:val="clear" w:pos="8640"/>
        <w:tab w:val="left" w:pos="284"/>
        <w:tab w:val="left" w:pos="5112"/>
      </w:tabs>
      <w:spacing w:before="120" w:line="240" w:lineRule="exact"/>
      <w:ind w:firstLine="28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C83EE3" w:rsidRPr="008F3500" w:rsidTr="004B7BEE">
      <w:trPr>
        <w:cantSplit/>
        <w:trHeight w:hRule="exact" w:val="847"/>
      </w:trPr>
      <w:tc>
        <w:tcPr>
          <w:tcW w:w="567" w:type="dxa"/>
        </w:tcPr>
        <w:p w:rsidR="00C83EE3" w:rsidRPr="008F3500" w:rsidRDefault="00C83EE3" w:rsidP="008F7649">
          <w:pPr>
            <w:autoSpaceDE w:val="0"/>
            <w:autoSpaceDN w:val="0"/>
            <w:adjustRightInd w:val="0"/>
            <w:spacing w:line="240" w:lineRule="auto"/>
            <w:rPr>
              <w:rFonts w:ascii="Republika" w:hAnsi="Republika"/>
              <w:color w:val="529DBA"/>
              <w:sz w:val="60"/>
              <w:szCs w:val="60"/>
            </w:rPr>
          </w:pPr>
        </w:p>
      </w:tc>
    </w:tr>
    <w:tr w:rsidR="00C83EE3" w:rsidRPr="008F3500" w:rsidTr="004B7BEE">
      <w:trPr>
        <w:cantSplit/>
        <w:trHeight w:hRule="exact" w:val="847"/>
      </w:trPr>
      <w:tc>
        <w:tcPr>
          <w:tcW w:w="567" w:type="dxa"/>
        </w:tcPr>
        <w:p w:rsidR="00C83EE3" w:rsidRPr="008F3500" w:rsidRDefault="00C83EE3" w:rsidP="008F7649">
          <w:pPr>
            <w:autoSpaceDE w:val="0"/>
            <w:autoSpaceDN w:val="0"/>
            <w:adjustRightInd w:val="0"/>
            <w:spacing w:line="240" w:lineRule="auto"/>
            <w:rPr>
              <w:rFonts w:ascii="Republika" w:hAnsi="Republika"/>
              <w:color w:val="529DBA"/>
              <w:sz w:val="60"/>
              <w:szCs w:val="60"/>
            </w:rPr>
          </w:pPr>
        </w:p>
      </w:tc>
    </w:tr>
  </w:tbl>
  <w:p w:rsidR="00C83EE3" w:rsidRDefault="00C83EE3" w:rsidP="0068365C">
    <w:pPr>
      <w:pStyle w:val="Header"/>
      <w:tabs>
        <w:tab w:val="clear" w:pos="4320"/>
        <w:tab w:val="left" w:pos="5112"/>
      </w:tabs>
      <w:spacing w:before="120" w:line="240" w:lineRule="auto"/>
      <w:jc w:val="left"/>
      <w:rPr>
        <w:rFonts w:cs="Arial"/>
        <w:sz w:val="16"/>
      </w:rPr>
    </w:pPr>
    <w:r>
      <w:rPr>
        <w:noProof/>
        <w:lang w:val="sl-SI" w:eastAsia="sl-SI"/>
      </w:rPr>
      <w:drawing>
        <wp:inline distT="0" distB="0" distL="0" distR="0" wp14:anchorId="4F257BE7" wp14:editId="6C0F3404">
          <wp:extent cx="4321810" cy="972185"/>
          <wp:effectExtent l="0" t="0" r="2540" b="0"/>
          <wp:docPr id="8" name="Picture 21" descr="Description: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102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inline>
      </w:drawing>
    </w:r>
    <w:r>
      <w:rPr>
        <w:rFonts w:cs="Arial"/>
        <w:sz w:val="16"/>
      </w:rPr>
      <w:t xml:space="preserve"> </w:t>
    </w:r>
  </w:p>
  <w:p w:rsidR="00C83EE3" w:rsidRDefault="00C83EE3" w:rsidP="006B3971">
    <w:pPr>
      <w:pStyle w:val="Header"/>
      <w:tabs>
        <w:tab w:val="clear" w:pos="4320"/>
        <w:tab w:val="left" w:pos="5112"/>
      </w:tabs>
      <w:spacing w:before="120" w:line="240" w:lineRule="exact"/>
      <w:rPr>
        <w:rFonts w:cs="Arial"/>
        <w:sz w:val="16"/>
      </w:rPr>
    </w:pPr>
    <w:r>
      <w:rPr>
        <w:rFonts w:cs="Arial"/>
        <w:sz w:val="16"/>
      </w:rPr>
      <w:t>Gregorčičeva 20–25, Sl-1001 Ljubljana</w:t>
    </w:r>
  </w:p>
  <w:p w:rsidR="00C83EE3" w:rsidRDefault="00C83EE3" w:rsidP="006B3971">
    <w:pPr>
      <w:pStyle w:val="Header"/>
      <w:tabs>
        <w:tab w:val="clear" w:pos="4320"/>
        <w:tab w:val="left" w:pos="5112"/>
      </w:tabs>
      <w:spacing w:line="240" w:lineRule="auto"/>
      <w:rPr>
        <w:rFonts w:cs="Arial"/>
        <w:sz w:val="16"/>
      </w:rPr>
    </w:pPr>
    <w:r>
      <w:rPr>
        <w:rFonts w:cs="Arial"/>
        <w:sz w:val="16"/>
      </w:rPr>
      <w:tab/>
    </w:r>
    <w:r>
      <w:rPr>
        <w:rFonts w:cs="Arial"/>
        <w:sz w:val="16"/>
      </w:rPr>
      <w:tab/>
      <w:t>T: +386 1 478 1000</w:t>
    </w:r>
  </w:p>
  <w:p w:rsidR="00C83EE3" w:rsidRDefault="00C83EE3" w:rsidP="006B3971">
    <w:pPr>
      <w:pStyle w:val="Header"/>
      <w:tabs>
        <w:tab w:val="clear" w:pos="4320"/>
        <w:tab w:val="left" w:pos="5112"/>
      </w:tabs>
      <w:spacing w:line="240" w:lineRule="auto"/>
      <w:rPr>
        <w:rFonts w:cs="Arial"/>
        <w:sz w:val="16"/>
      </w:rPr>
    </w:pPr>
    <w:r>
      <w:rPr>
        <w:rFonts w:cs="Arial"/>
        <w:sz w:val="16"/>
      </w:rPr>
      <w:tab/>
    </w:r>
    <w:r>
      <w:rPr>
        <w:rFonts w:cs="Arial"/>
        <w:sz w:val="16"/>
      </w:rPr>
      <w:tab/>
      <w:t>F: +386 1 478 1607</w:t>
    </w:r>
  </w:p>
  <w:p w:rsidR="00C83EE3" w:rsidRPr="006B3971" w:rsidRDefault="00C83EE3" w:rsidP="006B3971">
    <w:pPr>
      <w:pStyle w:val="Header"/>
      <w:tabs>
        <w:tab w:val="clear" w:pos="4320"/>
        <w:tab w:val="left" w:pos="5112"/>
      </w:tabs>
      <w:spacing w:line="240" w:lineRule="auto"/>
      <w:rPr>
        <w:rFonts w:cs="Arial"/>
        <w:sz w:val="16"/>
      </w:rPr>
    </w:pPr>
    <w:r>
      <w:rPr>
        <w:rFonts w:cs="Arial"/>
        <w:sz w:val="16"/>
      </w:rPr>
      <w:tab/>
    </w:r>
    <w:r>
      <w:rPr>
        <w:rFonts w:cs="Arial"/>
        <w:sz w:val="16"/>
      </w:rPr>
      <w:tab/>
      <w:t>E:</w:t>
    </w:r>
    <w:r>
      <w:t xml:space="preserve"> </w:t>
    </w:r>
    <w:hyperlink r:id="rId2" w:history="1">
      <w:r w:rsidRPr="00C65A87">
        <w:rPr>
          <w:rStyle w:val="Hyperlink"/>
          <w:rFonts w:cs="Arial"/>
          <w:sz w:val="16"/>
        </w:rPr>
        <w:t>gp.gs@gov.si</w:t>
      </w:r>
    </w:hyperlink>
  </w:p>
  <w:p w:rsidR="00C83EE3" w:rsidRPr="00552062" w:rsidRDefault="00C83EE3" w:rsidP="006B3971">
    <w:pPr>
      <w:pStyle w:val="Header"/>
      <w:tabs>
        <w:tab w:val="clear" w:pos="4320"/>
        <w:tab w:val="left" w:pos="5112"/>
      </w:tabs>
      <w:spacing w:line="240" w:lineRule="auto"/>
    </w:pPr>
    <w:r>
      <w:rPr>
        <w:rFonts w:cs="Arial"/>
        <w:sz w:val="16"/>
      </w:rPr>
      <w:tab/>
    </w:r>
    <w:r>
      <w:rPr>
        <w:rFonts w:cs="Arial"/>
        <w:sz w:val="16"/>
      </w:rPr>
      <w:tab/>
      <w:t>http://www.vlada.si/</w:t>
    </w:r>
  </w:p>
  <w:p w:rsidR="00C83EE3" w:rsidRPr="008F3500" w:rsidRDefault="00C83EE3" w:rsidP="007D75CF">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2CC3"/>
    <w:multiLevelType w:val="hybridMultilevel"/>
    <w:tmpl w:val="3252F414"/>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
    <w:nsid w:val="06883BA5"/>
    <w:multiLevelType w:val="hybridMultilevel"/>
    <w:tmpl w:val="ABE63362"/>
    <w:lvl w:ilvl="0" w:tplc="E860539A">
      <w:start w:val="1"/>
      <w:numFmt w:val="decimal"/>
      <w:lvlText w:val="%1)"/>
      <w:lvlJc w:val="left"/>
      <w:pPr>
        <w:ind w:left="360" w:hanging="360"/>
      </w:pPr>
      <w:rPr>
        <w:rFonts w:hint="default"/>
        <w:b/>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7AD2A2C"/>
    <w:multiLevelType w:val="hybridMultilevel"/>
    <w:tmpl w:val="ABE63362"/>
    <w:lvl w:ilvl="0" w:tplc="E860539A">
      <w:start w:val="1"/>
      <w:numFmt w:val="decimal"/>
      <w:lvlText w:val="%1)"/>
      <w:lvlJc w:val="left"/>
      <w:pPr>
        <w:ind w:left="360" w:hanging="360"/>
      </w:pPr>
      <w:rPr>
        <w:rFonts w:hint="default"/>
        <w:b/>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92F01CE"/>
    <w:multiLevelType w:val="hybridMultilevel"/>
    <w:tmpl w:val="3252F414"/>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
    <w:nsid w:val="0B770C7D"/>
    <w:multiLevelType w:val="multilevel"/>
    <w:tmpl w:val="B3FE8CB8"/>
    <w:lvl w:ilvl="0">
      <w:start w:val="1"/>
      <w:numFmt w:val="upperRoman"/>
      <w:suff w:val="space"/>
      <w:lvlText w:val="%1."/>
      <w:lvlJc w:val="left"/>
      <w:pPr>
        <w:ind w:left="432" w:hanging="432"/>
      </w:pPr>
      <w:rPr>
        <w:rFonts w:ascii="Arial Bold" w:hAnsi="Arial Bold"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431" w:hanging="431"/>
      </w:pPr>
      <w:rPr>
        <w:rFonts w:ascii="Arial" w:hAnsi="Arial"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454" w:hanging="454"/>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454" w:hanging="454"/>
      </w:pPr>
      <w:rPr>
        <w:rFonts w:ascii="Arial" w:hAnsi="Arial" w:cs="Arial" w:hint="default"/>
        <w:b/>
        <w:i w:val="0"/>
        <w:sz w:val="22"/>
        <w:szCs w:val="22"/>
      </w:rPr>
    </w:lvl>
    <w:lvl w:ilvl="4">
      <w:start w:val="1"/>
      <w:numFmt w:val="decimal"/>
      <w:suff w:val="space"/>
      <w:lvlText w:val="%5)"/>
      <w:lvlJc w:val="left"/>
      <w:pPr>
        <w:ind w:left="227" w:hanging="227"/>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5.%6)"/>
      <w:lvlJc w:val="left"/>
      <w:pPr>
        <w:tabs>
          <w:tab w:val="num" w:pos="454"/>
        </w:tabs>
        <w:ind w:left="454" w:hanging="454"/>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814"/>
        </w:tabs>
        <w:ind w:left="794" w:hanging="34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454"/>
        </w:tabs>
        <w:ind w:left="454" w:hanging="454"/>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8.%9."/>
      <w:lvlJc w:val="left"/>
      <w:pPr>
        <w:tabs>
          <w:tab w:val="num" w:pos="720"/>
        </w:tabs>
        <w:ind w:left="0" w:firstLine="0"/>
      </w:pPr>
      <w:rPr>
        <w:rFonts w:ascii="Arial" w:hAnsi="Arial"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0BE73DD5"/>
    <w:multiLevelType w:val="hybridMultilevel"/>
    <w:tmpl w:val="468CCE32"/>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nsid w:val="0D424AC8"/>
    <w:multiLevelType w:val="hybridMultilevel"/>
    <w:tmpl w:val="5A388EEE"/>
    <w:lvl w:ilvl="0" w:tplc="F8C68E9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533EC1"/>
    <w:multiLevelType w:val="hybridMultilevel"/>
    <w:tmpl w:val="ABE63362"/>
    <w:lvl w:ilvl="0" w:tplc="E860539A">
      <w:start w:val="1"/>
      <w:numFmt w:val="decimal"/>
      <w:lvlText w:val="%1)"/>
      <w:lvlJc w:val="left"/>
      <w:pPr>
        <w:ind w:left="360" w:hanging="360"/>
      </w:pPr>
      <w:rPr>
        <w:rFonts w:hint="default"/>
        <w:b/>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40C43C3"/>
    <w:multiLevelType w:val="hybridMultilevel"/>
    <w:tmpl w:val="9C5CE888"/>
    <w:lvl w:ilvl="0" w:tplc="3668B46C">
      <w:start w:val="1"/>
      <w:numFmt w:val="decimal"/>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1C3C5682"/>
    <w:multiLevelType w:val="hybridMultilevel"/>
    <w:tmpl w:val="760C1568"/>
    <w:lvl w:ilvl="0" w:tplc="52DA0AB0">
      <w:start w:val="1"/>
      <w:numFmt w:val="upperRoman"/>
      <w:lvlText w:val="%1."/>
      <w:lvlJc w:val="left"/>
      <w:pPr>
        <w:ind w:left="1080" w:hanging="72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0">
    <w:nsid w:val="1E6E1F97"/>
    <w:multiLevelType w:val="hybridMultilevel"/>
    <w:tmpl w:val="38B4AE82"/>
    <w:lvl w:ilvl="0" w:tplc="4FC24016">
      <w:start w:val="1"/>
      <w:numFmt w:val="decimal"/>
      <w:lvlText w:val="%1)"/>
      <w:lvlJc w:val="left"/>
      <w:pPr>
        <w:ind w:left="36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22264E67"/>
    <w:multiLevelType w:val="hybridMultilevel"/>
    <w:tmpl w:val="1580345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nsid w:val="281146B3"/>
    <w:multiLevelType w:val="hybridMultilevel"/>
    <w:tmpl w:val="FA4E3E38"/>
    <w:lvl w:ilvl="0" w:tplc="2A7C2130">
      <w:start w:val="2"/>
      <w:numFmt w:val="bullet"/>
      <w:lvlText w:val="-"/>
      <w:lvlJc w:val="left"/>
      <w:pPr>
        <w:tabs>
          <w:tab w:val="num" w:pos="454"/>
        </w:tabs>
        <w:ind w:left="454" w:hanging="45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8366C76"/>
    <w:multiLevelType w:val="hybridMultilevel"/>
    <w:tmpl w:val="2DBA860E"/>
    <w:lvl w:ilvl="0" w:tplc="E860539A">
      <w:start w:val="1"/>
      <w:numFmt w:val="decimal"/>
      <w:lvlText w:val="%1)"/>
      <w:lvlJc w:val="left"/>
      <w:pPr>
        <w:ind w:left="360" w:hanging="360"/>
      </w:pPr>
      <w:rPr>
        <w:rFonts w:hint="default"/>
        <w:b/>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289A675A"/>
    <w:multiLevelType w:val="hybridMultilevel"/>
    <w:tmpl w:val="61B827DC"/>
    <w:lvl w:ilvl="0" w:tplc="2A7C2130">
      <w:start w:val="2"/>
      <w:numFmt w:val="bullet"/>
      <w:lvlText w:val="-"/>
      <w:lvlJc w:val="left"/>
      <w:pPr>
        <w:tabs>
          <w:tab w:val="num" w:pos="454"/>
        </w:tabs>
        <w:ind w:left="454" w:hanging="45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A0C51CB"/>
    <w:multiLevelType w:val="hybridMultilevel"/>
    <w:tmpl w:val="9C5CE888"/>
    <w:lvl w:ilvl="0" w:tplc="3668B46C">
      <w:start w:val="1"/>
      <w:numFmt w:val="decimal"/>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2A873CE1"/>
    <w:multiLevelType w:val="hybridMultilevel"/>
    <w:tmpl w:val="7FE4CAC0"/>
    <w:lvl w:ilvl="0" w:tplc="5A3ACD80">
      <w:start w:val="1"/>
      <w:numFmt w:val="decimal"/>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nsid w:val="2AF36418"/>
    <w:multiLevelType w:val="hybridMultilevel"/>
    <w:tmpl w:val="CDFCBB3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9">
    <w:nsid w:val="2D566D8A"/>
    <w:multiLevelType w:val="hybridMultilevel"/>
    <w:tmpl w:val="1E9CAFBE"/>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0">
    <w:nsid w:val="2E4E1624"/>
    <w:multiLevelType w:val="hybridMultilevel"/>
    <w:tmpl w:val="389ABCF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320D50BA"/>
    <w:multiLevelType w:val="hybridMultilevel"/>
    <w:tmpl w:val="7FE4CAC0"/>
    <w:lvl w:ilvl="0" w:tplc="5A3ACD80">
      <w:start w:val="1"/>
      <w:numFmt w:val="decimal"/>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33475C81"/>
    <w:multiLevelType w:val="hybridMultilevel"/>
    <w:tmpl w:val="F5789EE4"/>
    <w:lvl w:ilvl="0" w:tplc="0424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35A4C4C"/>
    <w:multiLevelType w:val="hybridMultilevel"/>
    <w:tmpl w:val="6B366B8E"/>
    <w:lvl w:ilvl="0" w:tplc="0424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3E64ED4"/>
    <w:multiLevelType w:val="hybridMultilevel"/>
    <w:tmpl w:val="3252F414"/>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5">
    <w:nsid w:val="34362971"/>
    <w:multiLevelType w:val="hybridMultilevel"/>
    <w:tmpl w:val="7FE4CAC0"/>
    <w:lvl w:ilvl="0" w:tplc="5A3ACD80">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hint="default"/>
      </w:rPr>
    </w:lvl>
    <w:lvl w:ilvl="1" w:tplc="04240003" w:tentative="1">
      <w:start w:val="1"/>
      <w:numFmt w:val="bullet"/>
      <w:lvlText w:val="o"/>
      <w:lvlJc w:val="left"/>
      <w:pPr>
        <w:ind w:left="2148" w:hanging="360"/>
      </w:pPr>
      <w:rPr>
        <w:rFonts w:ascii="Courier New" w:hAnsi="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7">
    <w:nsid w:val="38781FF2"/>
    <w:multiLevelType w:val="hybridMultilevel"/>
    <w:tmpl w:val="090EAB98"/>
    <w:lvl w:ilvl="0" w:tplc="D61C8940">
      <w:start w:val="1"/>
      <w:numFmt w:val="bullet"/>
      <w:lvlText w:val="-"/>
      <w:lvlJc w:val="left"/>
      <w:pPr>
        <w:ind w:left="720" w:hanging="360"/>
      </w:pPr>
      <w:rPr>
        <w:rFonts w:ascii="Times New Roman" w:eastAsia="Times New Roman" w:hAnsi="Times New Roman" w:cs="Times New Roman" w:hint="default"/>
      </w:rPr>
    </w:lvl>
    <w:lvl w:ilvl="1" w:tplc="61B4CA16">
      <w:numFmt w:val="bullet"/>
      <w:lvlText w:val="•"/>
      <w:lvlJc w:val="left"/>
      <w:pPr>
        <w:ind w:left="1788" w:hanging="708"/>
      </w:pPr>
      <w:rPr>
        <w:rFonts w:ascii="Arial" w:eastAsia="Times New Roman" w:hAnsi="Arial" w:cs="Arial" w:hint="default"/>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8">
    <w:nsid w:val="39745F03"/>
    <w:multiLevelType w:val="hybridMultilevel"/>
    <w:tmpl w:val="4D1A77E2"/>
    <w:lvl w:ilvl="0" w:tplc="85E2B9C4">
      <w:start w:val="1"/>
      <w:numFmt w:val="lowerLetter"/>
      <w:pStyle w:val="rkovnatokazaodstavkom"/>
      <w:lvlText w:val="%1)"/>
      <w:lvlJc w:val="left"/>
      <w:pPr>
        <w:ind w:left="1068" w:hanging="360"/>
      </w:pPr>
      <w:rPr>
        <w:rFonts w:cs="Times New Roman" w:hint="default"/>
      </w:rPr>
    </w:lvl>
    <w:lvl w:ilvl="1" w:tplc="04240019">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29">
    <w:nsid w:val="3B5D17B2"/>
    <w:multiLevelType w:val="hybridMultilevel"/>
    <w:tmpl w:val="E034AEA8"/>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nsid w:val="3BD47EB1"/>
    <w:multiLevelType w:val="hybridMultilevel"/>
    <w:tmpl w:val="38B4AE82"/>
    <w:lvl w:ilvl="0" w:tplc="4FC24016">
      <w:start w:val="1"/>
      <w:numFmt w:val="decimal"/>
      <w:lvlText w:val="%1)"/>
      <w:lvlJc w:val="left"/>
      <w:pPr>
        <w:ind w:left="36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3D772E58"/>
    <w:multiLevelType w:val="hybridMultilevel"/>
    <w:tmpl w:val="ABE63362"/>
    <w:lvl w:ilvl="0" w:tplc="E860539A">
      <w:start w:val="1"/>
      <w:numFmt w:val="decimal"/>
      <w:lvlText w:val="%1)"/>
      <w:lvlJc w:val="left"/>
      <w:pPr>
        <w:ind w:left="360" w:hanging="360"/>
      </w:pPr>
      <w:rPr>
        <w:rFonts w:hint="default"/>
        <w:b/>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nsid w:val="480F2C0B"/>
    <w:multiLevelType w:val="multilevel"/>
    <w:tmpl w:val="F7E018A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nsid w:val="58C952CB"/>
    <w:multiLevelType w:val="hybridMultilevel"/>
    <w:tmpl w:val="2DBA860E"/>
    <w:lvl w:ilvl="0" w:tplc="E860539A">
      <w:start w:val="1"/>
      <w:numFmt w:val="decimal"/>
      <w:lvlText w:val="%1)"/>
      <w:lvlJc w:val="left"/>
      <w:pPr>
        <w:ind w:left="360" w:hanging="360"/>
      </w:pPr>
      <w:rPr>
        <w:rFonts w:hint="default"/>
        <w:b/>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5D1D7368"/>
    <w:multiLevelType w:val="hybridMultilevel"/>
    <w:tmpl w:val="40101A20"/>
    <w:lvl w:ilvl="0" w:tplc="04240011">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nsid w:val="5EA47A7A"/>
    <w:multiLevelType w:val="hybridMultilevel"/>
    <w:tmpl w:val="389ABCF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nsid w:val="5EAD507F"/>
    <w:multiLevelType w:val="hybridMultilevel"/>
    <w:tmpl w:val="9AC4EA8C"/>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8">
    <w:nsid w:val="60817F03"/>
    <w:multiLevelType w:val="hybridMultilevel"/>
    <w:tmpl w:val="F600F140"/>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nsid w:val="61537AA8"/>
    <w:multiLevelType w:val="hybridMultilevel"/>
    <w:tmpl w:val="A9E40028"/>
    <w:lvl w:ilvl="0" w:tplc="5388F098">
      <w:start w:val="2"/>
      <w:numFmt w:val="bullet"/>
      <w:lvlText w:val="-"/>
      <w:lvlJc w:val="left"/>
      <w:pPr>
        <w:tabs>
          <w:tab w:val="num" w:pos="360"/>
        </w:tabs>
        <w:ind w:left="227" w:hanging="22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43F14F3"/>
    <w:multiLevelType w:val="hybridMultilevel"/>
    <w:tmpl w:val="38B4AE82"/>
    <w:lvl w:ilvl="0" w:tplc="4FC24016">
      <w:start w:val="1"/>
      <w:numFmt w:val="decimal"/>
      <w:lvlText w:val="%1)"/>
      <w:lvlJc w:val="left"/>
      <w:pPr>
        <w:ind w:left="36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nsid w:val="64E33201"/>
    <w:multiLevelType w:val="hybridMultilevel"/>
    <w:tmpl w:val="3DE02DAC"/>
    <w:lvl w:ilvl="0" w:tplc="CD0CCA8A">
      <w:start w:val="1"/>
      <w:numFmt w:val="decimal"/>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68C643E6"/>
    <w:multiLevelType w:val="hybridMultilevel"/>
    <w:tmpl w:val="389ABCF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nsid w:val="69D906B4"/>
    <w:multiLevelType w:val="hybridMultilevel"/>
    <w:tmpl w:val="ABE63362"/>
    <w:lvl w:ilvl="0" w:tplc="E860539A">
      <w:start w:val="1"/>
      <w:numFmt w:val="decimal"/>
      <w:lvlText w:val="%1)"/>
      <w:lvlJc w:val="left"/>
      <w:pPr>
        <w:ind w:left="360" w:hanging="360"/>
      </w:pPr>
      <w:rPr>
        <w:rFonts w:hint="default"/>
        <w:b/>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nsid w:val="6A04590F"/>
    <w:multiLevelType w:val="hybridMultilevel"/>
    <w:tmpl w:val="2DBA860E"/>
    <w:lvl w:ilvl="0" w:tplc="E860539A">
      <w:start w:val="1"/>
      <w:numFmt w:val="decimal"/>
      <w:lvlText w:val="%1)"/>
      <w:lvlJc w:val="left"/>
      <w:pPr>
        <w:ind w:left="360" w:hanging="360"/>
      </w:pPr>
      <w:rPr>
        <w:rFonts w:hint="default"/>
        <w:b/>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nsid w:val="6E452EA2"/>
    <w:multiLevelType w:val="hybridMultilevel"/>
    <w:tmpl w:val="58A87F9A"/>
    <w:lvl w:ilvl="0" w:tplc="F35211F6">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7">
    <w:nsid w:val="71C015EA"/>
    <w:multiLevelType w:val="hybridMultilevel"/>
    <w:tmpl w:val="B1AEFCE2"/>
    <w:lvl w:ilvl="0" w:tplc="0424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2C65487"/>
    <w:multiLevelType w:val="hybridMultilevel"/>
    <w:tmpl w:val="2DBA860E"/>
    <w:lvl w:ilvl="0" w:tplc="E860539A">
      <w:start w:val="1"/>
      <w:numFmt w:val="decimal"/>
      <w:lvlText w:val="%1)"/>
      <w:lvlJc w:val="left"/>
      <w:pPr>
        <w:ind w:left="360" w:hanging="360"/>
      </w:pPr>
      <w:rPr>
        <w:rFonts w:hint="default"/>
        <w:b/>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nsid w:val="737404DE"/>
    <w:multiLevelType w:val="hybridMultilevel"/>
    <w:tmpl w:val="2DBA860E"/>
    <w:lvl w:ilvl="0" w:tplc="E860539A">
      <w:start w:val="1"/>
      <w:numFmt w:val="decimal"/>
      <w:lvlText w:val="%1)"/>
      <w:lvlJc w:val="left"/>
      <w:pPr>
        <w:ind w:left="360" w:hanging="360"/>
      </w:pPr>
      <w:rPr>
        <w:rFonts w:hint="default"/>
        <w:b/>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nsid w:val="775847E6"/>
    <w:multiLevelType w:val="hybridMultilevel"/>
    <w:tmpl w:val="3252F414"/>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51">
    <w:nsid w:val="7E0F5918"/>
    <w:multiLevelType w:val="hybridMultilevel"/>
    <w:tmpl w:val="7FE4CAC0"/>
    <w:lvl w:ilvl="0" w:tplc="5A3ACD80">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nsid w:val="7F4A1D11"/>
    <w:multiLevelType w:val="hybridMultilevel"/>
    <w:tmpl w:val="1E9CAFBE"/>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num w:numId="1">
    <w:abstractNumId w:val="9"/>
  </w:num>
  <w:num w:numId="2">
    <w:abstractNumId w:val="26"/>
  </w:num>
  <w:num w:numId="3">
    <w:abstractNumId w:val="28"/>
    <w:lvlOverride w:ilvl="0">
      <w:startOverride w:val="1"/>
    </w:lvlOverride>
  </w:num>
  <w:num w:numId="4">
    <w:abstractNumId w:val="11"/>
  </w:num>
  <w:num w:numId="5">
    <w:abstractNumId w:val="42"/>
  </w:num>
  <w:num w:numId="6">
    <w:abstractNumId w:val="52"/>
  </w:num>
  <w:num w:numId="7">
    <w:abstractNumId w:val="38"/>
  </w:num>
  <w:num w:numId="8">
    <w:abstractNumId w:val="46"/>
    <w:lvlOverride w:ilvl="0">
      <w:startOverride w:val="1"/>
    </w:lvlOverride>
  </w:num>
  <w:num w:numId="9">
    <w:abstractNumId w:val="4"/>
  </w:num>
  <w:num w:numId="10">
    <w:abstractNumId w:val="5"/>
  </w:num>
  <w:num w:numId="11">
    <w:abstractNumId w:val="29"/>
  </w:num>
  <w:num w:numId="12">
    <w:abstractNumId w:val="33"/>
  </w:num>
  <w:num w:numId="13">
    <w:abstractNumId w:val="36"/>
  </w:num>
  <w:num w:numId="14">
    <w:abstractNumId w:val="20"/>
  </w:num>
  <w:num w:numId="15">
    <w:abstractNumId w:val="43"/>
  </w:num>
  <w:num w:numId="16">
    <w:abstractNumId w:val="35"/>
  </w:num>
  <w:num w:numId="17">
    <w:abstractNumId w:val="23"/>
  </w:num>
  <w:num w:numId="18">
    <w:abstractNumId w:val="22"/>
  </w:num>
  <w:num w:numId="19">
    <w:abstractNumId w:val="47"/>
  </w:num>
  <w:num w:numId="20">
    <w:abstractNumId w:val="4"/>
    <w:lvlOverride w:ilvl="0">
      <w:startOverride w:val="4"/>
    </w:lvlOverride>
    <w:lvlOverride w:ilvl="1">
      <w:startOverride w:val="3"/>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2"/>
    </w:lvlOverride>
    <w:lvlOverride w:ilvl="8">
      <w:startOverride w:val="1"/>
    </w:lvlOverride>
  </w:num>
  <w:num w:numId="21">
    <w:abstractNumId w:val="39"/>
  </w:num>
  <w:num w:numId="22">
    <w:abstractNumId w:val="12"/>
  </w:num>
  <w:num w:numId="23">
    <w:abstractNumId w:val="14"/>
  </w:num>
  <w:num w:numId="24">
    <w:abstractNumId w:val="44"/>
  </w:num>
  <w:num w:numId="25">
    <w:abstractNumId w:val="8"/>
  </w:num>
  <w:num w:numId="26">
    <w:abstractNumId w:val="41"/>
  </w:num>
  <w:num w:numId="27">
    <w:abstractNumId w:val="16"/>
  </w:num>
  <w:num w:numId="28">
    <w:abstractNumId w:val="32"/>
  </w:num>
  <w:num w:numId="29">
    <w:abstractNumId w:val="17"/>
  </w:num>
  <w:num w:numId="30">
    <w:abstractNumId w:val="3"/>
  </w:num>
  <w:num w:numId="31">
    <w:abstractNumId w:val="34"/>
  </w:num>
  <w:num w:numId="32">
    <w:abstractNumId w:val="31"/>
  </w:num>
  <w:num w:numId="33">
    <w:abstractNumId w:val="40"/>
  </w:num>
  <w:num w:numId="34">
    <w:abstractNumId w:val="45"/>
  </w:num>
  <w:num w:numId="35">
    <w:abstractNumId w:val="19"/>
  </w:num>
  <w:num w:numId="36">
    <w:abstractNumId w:val="7"/>
  </w:num>
  <w:num w:numId="37">
    <w:abstractNumId w:val="15"/>
  </w:num>
  <w:num w:numId="38">
    <w:abstractNumId w:val="49"/>
  </w:num>
  <w:num w:numId="39">
    <w:abstractNumId w:val="25"/>
  </w:num>
  <w:num w:numId="40">
    <w:abstractNumId w:val="37"/>
  </w:num>
  <w:num w:numId="41">
    <w:abstractNumId w:val="0"/>
  </w:num>
  <w:num w:numId="42">
    <w:abstractNumId w:val="53"/>
  </w:num>
  <w:num w:numId="43">
    <w:abstractNumId w:val="50"/>
  </w:num>
  <w:num w:numId="44">
    <w:abstractNumId w:val="24"/>
  </w:num>
  <w:num w:numId="45">
    <w:abstractNumId w:val="2"/>
  </w:num>
  <w:num w:numId="46">
    <w:abstractNumId w:val="10"/>
  </w:num>
  <w:num w:numId="47">
    <w:abstractNumId w:val="13"/>
  </w:num>
  <w:num w:numId="48">
    <w:abstractNumId w:val="51"/>
  </w:num>
  <w:num w:numId="49">
    <w:abstractNumId w:val="1"/>
  </w:num>
  <w:num w:numId="50">
    <w:abstractNumId w:val="30"/>
  </w:num>
  <w:num w:numId="51">
    <w:abstractNumId w:val="48"/>
  </w:num>
  <w:num w:numId="52">
    <w:abstractNumId w:val="21"/>
  </w:num>
  <w:num w:numId="53">
    <w:abstractNumId w:val="6"/>
  </w:num>
  <w:num w:numId="54">
    <w:abstractNumId w:val="27"/>
  </w:num>
  <w:num w:numId="55">
    <w:abstractNumId w:val="18"/>
  </w:num>
  <w:num w:numId="56">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701"/>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style="mso-position-horizontal-relative:margin;mso-position-vertical-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05"/>
    <w:rsid w:val="00000D90"/>
    <w:rsid w:val="00001544"/>
    <w:rsid w:val="00002061"/>
    <w:rsid w:val="00002C2A"/>
    <w:rsid w:val="00003336"/>
    <w:rsid w:val="0000426A"/>
    <w:rsid w:val="00004CC8"/>
    <w:rsid w:val="0000593C"/>
    <w:rsid w:val="00007500"/>
    <w:rsid w:val="00007BED"/>
    <w:rsid w:val="00007D56"/>
    <w:rsid w:val="00007E01"/>
    <w:rsid w:val="00010142"/>
    <w:rsid w:val="000131DC"/>
    <w:rsid w:val="000141AD"/>
    <w:rsid w:val="0001451D"/>
    <w:rsid w:val="000151E4"/>
    <w:rsid w:val="00015F00"/>
    <w:rsid w:val="0002077F"/>
    <w:rsid w:val="000235A7"/>
    <w:rsid w:val="00023A88"/>
    <w:rsid w:val="00025764"/>
    <w:rsid w:val="00025B7A"/>
    <w:rsid w:val="00025D7B"/>
    <w:rsid w:val="0002681D"/>
    <w:rsid w:val="00026B77"/>
    <w:rsid w:val="000300F6"/>
    <w:rsid w:val="00030912"/>
    <w:rsid w:val="00031F8E"/>
    <w:rsid w:val="00032FFB"/>
    <w:rsid w:val="000335F1"/>
    <w:rsid w:val="00033FA4"/>
    <w:rsid w:val="00034B8B"/>
    <w:rsid w:val="000357D9"/>
    <w:rsid w:val="00035AAE"/>
    <w:rsid w:val="0003648F"/>
    <w:rsid w:val="00036E70"/>
    <w:rsid w:val="0004181B"/>
    <w:rsid w:val="00042E05"/>
    <w:rsid w:val="00043608"/>
    <w:rsid w:val="00044B37"/>
    <w:rsid w:val="00046C7D"/>
    <w:rsid w:val="00046F50"/>
    <w:rsid w:val="00050423"/>
    <w:rsid w:val="00052194"/>
    <w:rsid w:val="00052705"/>
    <w:rsid w:val="00052B06"/>
    <w:rsid w:val="00052B5C"/>
    <w:rsid w:val="0005765C"/>
    <w:rsid w:val="00060CB8"/>
    <w:rsid w:val="000633CD"/>
    <w:rsid w:val="0006476D"/>
    <w:rsid w:val="00067018"/>
    <w:rsid w:val="0006751F"/>
    <w:rsid w:val="000711C0"/>
    <w:rsid w:val="00072B6F"/>
    <w:rsid w:val="000733E2"/>
    <w:rsid w:val="00073EF0"/>
    <w:rsid w:val="000753D1"/>
    <w:rsid w:val="0008031E"/>
    <w:rsid w:val="000803BC"/>
    <w:rsid w:val="00085CEF"/>
    <w:rsid w:val="00087BCA"/>
    <w:rsid w:val="00091431"/>
    <w:rsid w:val="00091E43"/>
    <w:rsid w:val="00092BD1"/>
    <w:rsid w:val="00092C1F"/>
    <w:rsid w:val="00094891"/>
    <w:rsid w:val="00097AFE"/>
    <w:rsid w:val="000A057A"/>
    <w:rsid w:val="000A094D"/>
    <w:rsid w:val="000A1828"/>
    <w:rsid w:val="000A19E2"/>
    <w:rsid w:val="000A2357"/>
    <w:rsid w:val="000A2992"/>
    <w:rsid w:val="000A3D9F"/>
    <w:rsid w:val="000A4A7C"/>
    <w:rsid w:val="000A574A"/>
    <w:rsid w:val="000A5CBE"/>
    <w:rsid w:val="000A681B"/>
    <w:rsid w:val="000A6850"/>
    <w:rsid w:val="000A7238"/>
    <w:rsid w:val="000A7612"/>
    <w:rsid w:val="000B0314"/>
    <w:rsid w:val="000B1395"/>
    <w:rsid w:val="000B15CF"/>
    <w:rsid w:val="000B4029"/>
    <w:rsid w:val="000B4231"/>
    <w:rsid w:val="000B4E69"/>
    <w:rsid w:val="000B56D4"/>
    <w:rsid w:val="000B633D"/>
    <w:rsid w:val="000B640C"/>
    <w:rsid w:val="000B6552"/>
    <w:rsid w:val="000B6906"/>
    <w:rsid w:val="000C00D4"/>
    <w:rsid w:val="000C1172"/>
    <w:rsid w:val="000C155F"/>
    <w:rsid w:val="000C1EC5"/>
    <w:rsid w:val="000C32A2"/>
    <w:rsid w:val="000C4FC3"/>
    <w:rsid w:val="000C6022"/>
    <w:rsid w:val="000C6AD4"/>
    <w:rsid w:val="000C7AE4"/>
    <w:rsid w:val="000D1328"/>
    <w:rsid w:val="000D14D7"/>
    <w:rsid w:val="000D5762"/>
    <w:rsid w:val="000D6139"/>
    <w:rsid w:val="000D7381"/>
    <w:rsid w:val="000D7FDD"/>
    <w:rsid w:val="000E00B4"/>
    <w:rsid w:val="000E1805"/>
    <w:rsid w:val="000E3BB9"/>
    <w:rsid w:val="000E3DC7"/>
    <w:rsid w:val="000E5539"/>
    <w:rsid w:val="000E799C"/>
    <w:rsid w:val="000F0608"/>
    <w:rsid w:val="000F13A1"/>
    <w:rsid w:val="000F49F8"/>
    <w:rsid w:val="000F5112"/>
    <w:rsid w:val="000F53BB"/>
    <w:rsid w:val="000F6B5B"/>
    <w:rsid w:val="000F7EAA"/>
    <w:rsid w:val="00100D6D"/>
    <w:rsid w:val="00101277"/>
    <w:rsid w:val="00101484"/>
    <w:rsid w:val="00105016"/>
    <w:rsid w:val="00107DDE"/>
    <w:rsid w:val="001103B4"/>
    <w:rsid w:val="00110B0C"/>
    <w:rsid w:val="00110C4B"/>
    <w:rsid w:val="00112267"/>
    <w:rsid w:val="001123A8"/>
    <w:rsid w:val="001153B4"/>
    <w:rsid w:val="00116FC1"/>
    <w:rsid w:val="001224FD"/>
    <w:rsid w:val="001227B0"/>
    <w:rsid w:val="001227D3"/>
    <w:rsid w:val="00125083"/>
    <w:rsid w:val="00125278"/>
    <w:rsid w:val="00127BE5"/>
    <w:rsid w:val="00130CD7"/>
    <w:rsid w:val="00130E09"/>
    <w:rsid w:val="001330FD"/>
    <w:rsid w:val="001357B2"/>
    <w:rsid w:val="00135E12"/>
    <w:rsid w:val="001415CB"/>
    <w:rsid w:val="0014168C"/>
    <w:rsid w:val="0014227A"/>
    <w:rsid w:val="0014246F"/>
    <w:rsid w:val="0014247D"/>
    <w:rsid w:val="00142866"/>
    <w:rsid w:val="00143EEE"/>
    <w:rsid w:val="001449CC"/>
    <w:rsid w:val="00144D7D"/>
    <w:rsid w:val="00144DCB"/>
    <w:rsid w:val="001461BF"/>
    <w:rsid w:val="00146596"/>
    <w:rsid w:val="0014686D"/>
    <w:rsid w:val="001468A1"/>
    <w:rsid w:val="001478DB"/>
    <w:rsid w:val="00147CAE"/>
    <w:rsid w:val="00150664"/>
    <w:rsid w:val="00150A07"/>
    <w:rsid w:val="0015355C"/>
    <w:rsid w:val="00153589"/>
    <w:rsid w:val="00154DAE"/>
    <w:rsid w:val="00157F41"/>
    <w:rsid w:val="00164427"/>
    <w:rsid w:val="00164BD8"/>
    <w:rsid w:val="001668F8"/>
    <w:rsid w:val="001671A0"/>
    <w:rsid w:val="00170620"/>
    <w:rsid w:val="00170BD8"/>
    <w:rsid w:val="0017193D"/>
    <w:rsid w:val="0017217A"/>
    <w:rsid w:val="0017478F"/>
    <w:rsid w:val="001767A5"/>
    <w:rsid w:val="0017755D"/>
    <w:rsid w:val="0018075C"/>
    <w:rsid w:val="00187069"/>
    <w:rsid w:val="001903C2"/>
    <w:rsid w:val="00190B1A"/>
    <w:rsid w:val="0019198E"/>
    <w:rsid w:val="00192599"/>
    <w:rsid w:val="001955DB"/>
    <w:rsid w:val="0019610B"/>
    <w:rsid w:val="0019788C"/>
    <w:rsid w:val="001A0C1A"/>
    <w:rsid w:val="001A27E7"/>
    <w:rsid w:val="001A3F4D"/>
    <w:rsid w:val="001A53B5"/>
    <w:rsid w:val="001A61C0"/>
    <w:rsid w:val="001A6CC4"/>
    <w:rsid w:val="001B0D3D"/>
    <w:rsid w:val="001B1024"/>
    <w:rsid w:val="001B1147"/>
    <w:rsid w:val="001B25C9"/>
    <w:rsid w:val="001B3EC0"/>
    <w:rsid w:val="001B58C6"/>
    <w:rsid w:val="001C0751"/>
    <w:rsid w:val="001C0FB7"/>
    <w:rsid w:val="001C10FD"/>
    <w:rsid w:val="001C20CC"/>
    <w:rsid w:val="001C27B1"/>
    <w:rsid w:val="001C2CD4"/>
    <w:rsid w:val="001C5A9B"/>
    <w:rsid w:val="001C5EB6"/>
    <w:rsid w:val="001C6D6E"/>
    <w:rsid w:val="001C7950"/>
    <w:rsid w:val="001D0EC7"/>
    <w:rsid w:val="001D23D2"/>
    <w:rsid w:val="001D2B04"/>
    <w:rsid w:val="001D5139"/>
    <w:rsid w:val="001D5E61"/>
    <w:rsid w:val="001D6A1E"/>
    <w:rsid w:val="001D7FDE"/>
    <w:rsid w:val="001E0D95"/>
    <w:rsid w:val="001E1D7C"/>
    <w:rsid w:val="001E3293"/>
    <w:rsid w:val="001E33E3"/>
    <w:rsid w:val="001E3719"/>
    <w:rsid w:val="001E40D5"/>
    <w:rsid w:val="001E5119"/>
    <w:rsid w:val="001E7947"/>
    <w:rsid w:val="001E7DF0"/>
    <w:rsid w:val="001F4EA9"/>
    <w:rsid w:val="001F69BA"/>
    <w:rsid w:val="001F6A16"/>
    <w:rsid w:val="0020087A"/>
    <w:rsid w:val="00200A88"/>
    <w:rsid w:val="002019DE"/>
    <w:rsid w:val="0020290F"/>
    <w:rsid w:val="00202A77"/>
    <w:rsid w:val="002032AC"/>
    <w:rsid w:val="00206B1C"/>
    <w:rsid w:val="0020760E"/>
    <w:rsid w:val="002077DF"/>
    <w:rsid w:val="002100C5"/>
    <w:rsid w:val="00211B4C"/>
    <w:rsid w:val="00213734"/>
    <w:rsid w:val="00214216"/>
    <w:rsid w:val="002151A6"/>
    <w:rsid w:val="00215AB7"/>
    <w:rsid w:val="002160E6"/>
    <w:rsid w:val="00216659"/>
    <w:rsid w:val="00217CDC"/>
    <w:rsid w:val="00220FFF"/>
    <w:rsid w:val="00221DE5"/>
    <w:rsid w:val="00222F75"/>
    <w:rsid w:val="00223991"/>
    <w:rsid w:val="0022473A"/>
    <w:rsid w:val="00225204"/>
    <w:rsid w:val="00225455"/>
    <w:rsid w:val="00225C8A"/>
    <w:rsid w:val="002261F6"/>
    <w:rsid w:val="00226448"/>
    <w:rsid w:val="00230147"/>
    <w:rsid w:val="00231721"/>
    <w:rsid w:val="0023213F"/>
    <w:rsid w:val="00233555"/>
    <w:rsid w:val="00234A0F"/>
    <w:rsid w:val="00234CCA"/>
    <w:rsid w:val="00237619"/>
    <w:rsid w:val="00243F36"/>
    <w:rsid w:val="00244EA9"/>
    <w:rsid w:val="00245460"/>
    <w:rsid w:val="002479D6"/>
    <w:rsid w:val="00251C76"/>
    <w:rsid w:val="00253ADE"/>
    <w:rsid w:val="00255720"/>
    <w:rsid w:val="00255A09"/>
    <w:rsid w:val="00260DF9"/>
    <w:rsid w:val="00263BE3"/>
    <w:rsid w:val="00263BEC"/>
    <w:rsid w:val="00263ED0"/>
    <w:rsid w:val="002646C9"/>
    <w:rsid w:val="00265137"/>
    <w:rsid w:val="002657C9"/>
    <w:rsid w:val="00265DF2"/>
    <w:rsid w:val="002673C1"/>
    <w:rsid w:val="00267940"/>
    <w:rsid w:val="00270B17"/>
    <w:rsid w:val="0027173E"/>
    <w:rsid w:val="00271CE5"/>
    <w:rsid w:val="00276404"/>
    <w:rsid w:val="002812AE"/>
    <w:rsid w:val="0028175F"/>
    <w:rsid w:val="00282020"/>
    <w:rsid w:val="00282232"/>
    <w:rsid w:val="002823FE"/>
    <w:rsid w:val="002832D0"/>
    <w:rsid w:val="00283A45"/>
    <w:rsid w:val="00284C86"/>
    <w:rsid w:val="00284DC2"/>
    <w:rsid w:val="00286183"/>
    <w:rsid w:val="002868FA"/>
    <w:rsid w:val="00286FC2"/>
    <w:rsid w:val="00287EBB"/>
    <w:rsid w:val="00296D16"/>
    <w:rsid w:val="00297741"/>
    <w:rsid w:val="002A0750"/>
    <w:rsid w:val="002A2B69"/>
    <w:rsid w:val="002A354F"/>
    <w:rsid w:val="002A40EC"/>
    <w:rsid w:val="002A48A6"/>
    <w:rsid w:val="002A5B52"/>
    <w:rsid w:val="002A68C3"/>
    <w:rsid w:val="002A6FFC"/>
    <w:rsid w:val="002A7142"/>
    <w:rsid w:val="002B2E98"/>
    <w:rsid w:val="002B3A48"/>
    <w:rsid w:val="002B4756"/>
    <w:rsid w:val="002B503B"/>
    <w:rsid w:val="002B569A"/>
    <w:rsid w:val="002B5FA2"/>
    <w:rsid w:val="002B775E"/>
    <w:rsid w:val="002C026D"/>
    <w:rsid w:val="002C1FA5"/>
    <w:rsid w:val="002C2184"/>
    <w:rsid w:val="002C2D5E"/>
    <w:rsid w:val="002C377C"/>
    <w:rsid w:val="002C46A3"/>
    <w:rsid w:val="002C4CFD"/>
    <w:rsid w:val="002C5243"/>
    <w:rsid w:val="002C692B"/>
    <w:rsid w:val="002C7571"/>
    <w:rsid w:val="002C7910"/>
    <w:rsid w:val="002C7DD1"/>
    <w:rsid w:val="002D04DE"/>
    <w:rsid w:val="002D1487"/>
    <w:rsid w:val="002D1CE8"/>
    <w:rsid w:val="002D3344"/>
    <w:rsid w:val="002D59EA"/>
    <w:rsid w:val="002D5A63"/>
    <w:rsid w:val="002D5EB8"/>
    <w:rsid w:val="002D6B97"/>
    <w:rsid w:val="002E17CC"/>
    <w:rsid w:val="002E248B"/>
    <w:rsid w:val="002E2744"/>
    <w:rsid w:val="002E2D23"/>
    <w:rsid w:val="002E34CA"/>
    <w:rsid w:val="002E43D0"/>
    <w:rsid w:val="002E56C9"/>
    <w:rsid w:val="002E6A06"/>
    <w:rsid w:val="002F05A0"/>
    <w:rsid w:val="002F0752"/>
    <w:rsid w:val="002F4CB5"/>
    <w:rsid w:val="002F53D6"/>
    <w:rsid w:val="00305995"/>
    <w:rsid w:val="00306DCC"/>
    <w:rsid w:val="00310CDA"/>
    <w:rsid w:val="00311248"/>
    <w:rsid w:val="00316034"/>
    <w:rsid w:val="003169B2"/>
    <w:rsid w:val="00317809"/>
    <w:rsid w:val="00322437"/>
    <w:rsid w:val="00322A0C"/>
    <w:rsid w:val="00323B59"/>
    <w:rsid w:val="003251F3"/>
    <w:rsid w:val="00325778"/>
    <w:rsid w:val="0032637C"/>
    <w:rsid w:val="0032772B"/>
    <w:rsid w:val="00332284"/>
    <w:rsid w:val="00333E1C"/>
    <w:rsid w:val="00335037"/>
    <w:rsid w:val="00341737"/>
    <w:rsid w:val="003424EA"/>
    <w:rsid w:val="0035063D"/>
    <w:rsid w:val="00350E80"/>
    <w:rsid w:val="00357E16"/>
    <w:rsid w:val="00357EE9"/>
    <w:rsid w:val="0036160C"/>
    <w:rsid w:val="00361963"/>
    <w:rsid w:val="00362C5B"/>
    <w:rsid w:val="003636BF"/>
    <w:rsid w:val="003648AC"/>
    <w:rsid w:val="0036536D"/>
    <w:rsid w:val="00365DB9"/>
    <w:rsid w:val="00367CF5"/>
    <w:rsid w:val="00367F1B"/>
    <w:rsid w:val="00367F1F"/>
    <w:rsid w:val="00370F77"/>
    <w:rsid w:val="00371442"/>
    <w:rsid w:val="00373FB1"/>
    <w:rsid w:val="00376559"/>
    <w:rsid w:val="0037758F"/>
    <w:rsid w:val="00377651"/>
    <w:rsid w:val="00377F82"/>
    <w:rsid w:val="00382B0F"/>
    <w:rsid w:val="00382E06"/>
    <w:rsid w:val="00383A06"/>
    <w:rsid w:val="00384207"/>
    <w:rsid w:val="003843D8"/>
    <w:rsid w:val="003845B4"/>
    <w:rsid w:val="003849A6"/>
    <w:rsid w:val="00385775"/>
    <w:rsid w:val="003863F1"/>
    <w:rsid w:val="00386999"/>
    <w:rsid w:val="00387B1A"/>
    <w:rsid w:val="00390051"/>
    <w:rsid w:val="00390D0D"/>
    <w:rsid w:val="003920C3"/>
    <w:rsid w:val="00393D8A"/>
    <w:rsid w:val="00393DBA"/>
    <w:rsid w:val="00394B4B"/>
    <w:rsid w:val="00395D4C"/>
    <w:rsid w:val="003968F7"/>
    <w:rsid w:val="00396C2C"/>
    <w:rsid w:val="003979F0"/>
    <w:rsid w:val="003A2B05"/>
    <w:rsid w:val="003A3ED5"/>
    <w:rsid w:val="003A5BC7"/>
    <w:rsid w:val="003A66CC"/>
    <w:rsid w:val="003A7840"/>
    <w:rsid w:val="003B0283"/>
    <w:rsid w:val="003B5398"/>
    <w:rsid w:val="003B58A5"/>
    <w:rsid w:val="003B608A"/>
    <w:rsid w:val="003B7C21"/>
    <w:rsid w:val="003C5B95"/>
    <w:rsid w:val="003C5EE5"/>
    <w:rsid w:val="003D278B"/>
    <w:rsid w:val="003D287E"/>
    <w:rsid w:val="003D30C7"/>
    <w:rsid w:val="003D33DB"/>
    <w:rsid w:val="003D39F1"/>
    <w:rsid w:val="003D40F4"/>
    <w:rsid w:val="003D64EF"/>
    <w:rsid w:val="003D7252"/>
    <w:rsid w:val="003E1C74"/>
    <w:rsid w:val="003E405F"/>
    <w:rsid w:val="003E4199"/>
    <w:rsid w:val="003E4441"/>
    <w:rsid w:val="003E451F"/>
    <w:rsid w:val="003E4C4E"/>
    <w:rsid w:val="003E5CEF"/>
    <w:rsid w:val="003E6898"/>
    <w:rsid w:val="003E70EC"/>
    <w:rsid w:val="003E7EC1"/>
    <w:rsid w:val="003F2160"/>
    <w:rsid w:val="003F21F4"/>
    <w:rsid w:val="003F39B8"/>
    <w:rsid w:val="003F3CF7"/>
    <w:rsid w:val="003F485E"/>
    <w:rsid w:val="003F52A3"/>
    <w:rsid w:val="003F5EEE"/>
    <w:rsid w:val="003F6D55"/>
    <w:rsid w:val="003F7743"/>
    <w:rsid w:val="00400E05"/>
    <w:rsid w:val="00401743"/>
    <w:rsid w:val="00402C22"/>
    <w:rsid w:val="00402FBC"/>
    <w:rsid w:val="00404336"/>
    <w:rsid w:val="00412299"/>
    <w:rsid w:val="00412A9A"/>
    <w:rsid w:val="004139ED"/>
    <w:rsid w:val="00415811"/>
    <w:rsid w:val="00416955"/>
    <w:rsid w:val="00416D45"/>
    <w:rsid w:val="00417028"/>
    <w:rsid w:val="00417245"/>
    <w:rsid w:val="00417E70"/>
    <w:rsid w:val="00417EAA"/>
    <w:rsid w:val="004215C3"/>
    <w:rsid w:val="00422433"/>
    <w:rsid w:val="004232DB"/>
    <w:rsid w:val="00423A15"/>
    <w:rsid w:val="00425201"/>
    <w:rsid w:val="004257E3"/>
    <w:rsid w:val="004258A0"/>
    <w:rsid w:val="00425C87"/>
    <w:rsid w:val="0042621C"/>
    <w:rsid w:val="004262A6"/>
    <w:rsid w:val="0042664D"/>
    <w:rsid w:val="00431F68"/>
    <w:rsid w:val="0043236C"/>
    <w:rsid w:val="00432A35"/>
    <w:rsid w:val="00433BB1"/>
    <w:rsid w:val="00433C66"/>
    <w:rsid w:val="00435F28"/>
    <w:rsid w:val="0044258A"/>
    <w:rsid w:val="00442CCE"/>
    <w:rsid w:val="00444189"/>
    <w:rsid w:val="0044439E"/>
    <w:rsid w:val="00445340"/>
    <w:rsid w:val="00446474"/>
    <w:rsid w:val="00446FAE"/>
    <w:rsid w:val="004512B8"/>
    <w:rsid w:val="0045136D"/>
    <w:rsid w:val="00452B1F"/>
    <w:rsid w:val="004530FA"/>
    <w:rsid w:val="004547E1"/>
    <w:rsid w:val="0045796D"/>
    <w:rsid w:val="00461455"/>
    <w:rsid w:val="00462A66"/>
    <w:rsid w:val="004640FB"/>
    <w:rsid w:val="004645C4"/>
    <w:rsid w:val="0046528A"/>
    <w:rsid w:val="004657EE"/>
    <w:rsid w:val="00465BE7"/>
    <w:rsid w:val="0046725A"/>
    <w:rsid w:val="00470ABD"/>
    <w:rsid w:val="00471A36"/>
    <w:rsid w:val="00471B3B"/>
    <w:rsid w:val="00472EE9"/>
    <w:rsid w:val="004740E2"/>
    <w:rsid w:val="00475CA5"/>
    <w:rsid w:val="00475D62"/>
    <w:rsid w:val="00475FE1"/>
    <w:rsid w:val="00476227"/>
    <w:rsid w:val="00476EF5"/>
    <w:rsid w:val="0047791E"/>
    <w:rsid w:val="00477B03"/>
    <w:rsid w:val="00480080"/>
    <w:rsid w:val="00480FF3"/>
    <w:rsid w:val="004813FF"/>
    <w:rsid w:val="00481D8B"/>
    <w:rsid w:val="004824DA"/>
    <w:rsid w:val="00482C77"/>
    <w:rsid w:val="00483594"/>
    <w:rsid w:val="0048422B"/>
    <w:rsid w:val="0048680C"/>
    <w:rsid w:val="004872AD"/>
    <w:rsid w:val="00491884"/>
    <w:rsid w:val="0049205E"/>
    <w:rsid w:val="0049258E"/>
    <w:rsid w:val="0049286C"/>
    <w:rsid w:val="00492928"/>
    <w:rsid w:val="00493ED9"/>
    <w:rsid w:val="00494786"/>
    <w:rsid w:val="00494DFA"/>
    <w:rsid w:val="0049543A"/>
    <w:rsid w:val="00497F39"/>
    <w:rsid w:val="004A0194"/>
    <w:rsid w:val="004A1079"/>
    <w:rsid w:val="004A27DD"/>
    <w:rsid w:val="004A3FF9"/>
    <w:rsid w:val="004A41CC"/>
    <w:rsid w:val="004A59ED"/>
    <w:rsid w:val="004A6C8F"/>
    <w:rsid w:val="004A793F"/>
    <w:rsid w:val="004A7EA5"/>
    <w:rsid w:val="004A7F75"/>
    <w:rsid w:val="004B01E4"/>
    <w:rsid w:val="004B22ED"/>
    <w:rsid w:val="004B23BC"/>
    <w:rsid w:val="004B2C1E"/>
    <w:rsid w:val="004B30F6"/>
    <w:rsid w:val="004B3A90"/>
    <w:rsid w:val="004B6D45"/>
    <w:rsid w:val="004B74A3"/>
    <w:rsid w:val="004B74C0"/>
    <w:rsid w:val="004B79FF"/>
    <w:rsid w:val="004B7BEE"/>
    <w:rsid w:val="004B7DE2"/>
    <w:rsid w:val="004C0829"/>
    <w:rsid w:val="004C0BB9"/>
    <w:rsid w:val="004C1360"/>
    <w:rsid w:val="004C2C8D"/>
    <w:rsid w:val="004C321B"/>
    <w:rsid w:val="004C3A98"/>
    <w:rsid w:val="004C4C5D"/>
    <w:rsid w:val="004C59A4"/>
    <w:rsid w:val="004C59F5"/>
    <w:rsid w:val="004C6CDD"/>
    <w:rsid w:val="004C7C3B"/>
    <w:rsid w:val="004D0593"/>
    <w:rsid w:val="004D0BFB"/>
    <w:rsid w:val="004D0F2B"/>
    <w:rsid w:val="004D172E"/>
    <w:rsid w:val="004D3FCD"/>
    <w:rsid w:val="004D5547"/>
    <w:rsid w:val="004D6616"/>
    <w:rsid w:val="004D7A53"/>
    <w:rsid w:val="004E1681"/>
    <w:rsid w:val="004E2AC3"/>
    <w:rsid w:val="004E3775"/>
    <w:rsid w:val="004E3D41"/>
    <w:rsid w:val="004E53D4"/>
    <w:rsid w:val="004E6BBE"/>
    <w:rsid w:val="004F2DF7"/>
    <w:rsid w:val="004F2EB1"/>
    <w:rsid w:val="004F3F69"/>
    <w:rsid w:val="004F44E7"/>
    <w:rsid w:val="004F4B95"/>
    <w:rsid w:val="004F573C"/>
    <w:rsid w:val="004F5A1A"/>
    <w:rsid w:val="00501867"/>
    <w:rsid w:val="00501F85"/>
    <w:rsid w:val="00502179"/>
    <w:rsid w:val="005021D5"/>
    <w:rsid w:val="00503ACA"/>
    <w:rsid w:val="00503C85"/>
    <w:rsid w:val="00504C37"/>
    <w:rsid w:val="00506B25"/>
    <w:rsid w:val="00512575"/>
    <w:rsid w:val="0051302C"/>
    <w:rsid w:val="00513A29"/>
    <w:rsid w:val="00513A81"/>
    <w:rsid w:val="0051779F"/>
    <w:rsid w:val="0052048B"/>
    <w:rsid w:val="0052051F"/>
    <w:rsid w:val="0052111E"/>
    <w:rsid w:val="00524AC3"/>
    <w:rsid w:val="00525DCC"/>
    <w:rsid w:val="00526246"/>
    <w:rsid w:val="0053047D"/>
    <w:rsid w:val="005325BD"/>
    <w:rsid w:val="00533377"/>
    <w:rsid w:val="00537423"/>
    <w:rsid w:val="00537E13"/>
    <w:rsid w:val="005404E0"/>
    <w:rsid w:val="00541B16"/>
    <w:rsid w:val="00541BFF"/>
    <w:rsid w:val="00544A55"/>
    <w:rsid w:val="00546A5D"/>
    <w:rsid w:val="005471CD"/>
    <w:rsid w:val="00547833"/>
    <w:rsid w:val="0055051B"/>
    <w:rsid w:val="00551B94"/>
    <w:rsid w:val="00552062"/>
    <w:rsid w:val="00553996"/>
    <w:rsid w:val="00555F30"/>
    <w:rsid w:val="005571D9"/>
    <w:rsid w:val="0056160C"/>
    <w:rsid w:val="00562365"/>
    <w:rsid w:val="00563C3A"/>
    <w:rsid w:val="00563DE9"/>
    <w:rsid w:val="005657E3"/>
    <w:rsid w:val="00566CA9"/>
    <w:rsid w:val="00567106"/>
    <w:rsid w:val="00567979"/>
    <w:rsid w:val="00567DB5"/>
    <w:rsid w:val="0057003F"/>
    <w:rsid w:val="0057159A"/>
    <w:rsid w:val="00571C5C"/>
    <w:rsid w:val="00573EAE"/>
    <w:rsid w:val="00574007"/>
    <w:rsid w:val="00574101"/>
    <w:rsid w:val="00576A99"/>
    <w:rsid w:val="00576D02"/>
    <w:rsid w:val="00577F29"/>
    <w:rsid w:val="0058067D"/>
    <w:rsid w:val="0058314E"/>
    <w:rsid w:val="00583460"/>
    <w:rsid w:val="00583F4C"/>
    <w:rsid w:val="00585500"/>
    <w:rsid w:val="00585983"/>
    <w:rsid w:val="00585E75"/>
    <w:rsid w:val="005860EA"/>
    <w:rsid w:val="00592CC4"/>
    <w:rsid w:val="0059557D"/>
    <w:rsid w:val="005956A9"/>
    <w:rsid w:val="005957B8"/>
    <w:rsid w:val="0059603D"/>
    <w:rsid w:val="005A043D"/>
    <w:rsid w:val="005A3892"/>
    <w:rsid w:val="005A3A8B"/>
    <w:rsid w:val="005A3E4F"/>
    <w:rsid w:val="005A5AC3"/>
    <w:rsid w:val="005A7F33"/>
    <w:rsid w:val="005B1648"/>
    <w:rsid w:val="005B16C9"/>
    <w:rsid w:val="005B4E9C"/>
    <w:rsid w:val="005B66FA"/>
    <w:rsid w:val="005B6F9F"/>
    <w:rsid w:val="005B71FF"/>
    <w:rsid w:val="005C06FA"/>
    <w:rsid w:val="005C1DCE"/>
    <w:rsid w:val="005C2018"/>
    <w:rsid w:val="005C2512"/>
    <w:rsid w:val="005C275B"/>
    <w:rsid w:val="005C2B73"/>
    <w:rsid w:val="005C3B27"/>
    <w:rsid w:val="005C4331"/>
    <w:rsid w:val="005C71D2"/>
    <w:rsid w:val="005C7E45"/>
    <w:rsid w:val="005D1D8C"/>
    <w:rsid w:val="005D32EA"/>
    <w:rsid w:val="005D65BD"/>
    <w:rsid w:val="005D767C"/>
    <w:rsid w:val="005D7AB0"/>
    <w:rsid w:val="005E0A8D"/>
    <w:rsid w:val="005E0FE6"/>
    <w:rsid w:val="005E1A36"/>
    <w:rsid w:val="005E1D3C"/>
    <w:rsid w:val="005E21DF"/>
    <w:rsid w:val="005E5C41"/>
    <w:rsid w:val="005E6C3E"/>
    <w:rsid w:val="005E77FF"/>
    <w:rsid w:val="005E7DDF"/>
    <w:rsid w:val="005F1124"/>
    <w:rsid w:val="005F1386"/>
    <w:rsid w:val="005F2A32"/>
    <w:rsid w:val="005F31C7"/>
    <w:rsid w:val="005F386F"/>
    <w:rsid w:val="005F60F1"/>
    <w:rsid w:val="006034D2"/>
    <w:rsid w:val="00604BB7"/>
    <w:rsid w:val="00606A81"/>
    <w:rsid w:val="0060764B"/>
    <w:rsid w:val="00610515"/>
    <w:rsid w:val="00615307"/>
    <w:rsid w:val="00615689"/>
    <w:rsid w:val="00616071"/>
    <w:rsid w:val="00616170"/>
    <w:rsid w:val="00617248"/>
    <w:rsid w:val="0062018F"/>
    <w:rsid w:val="00621717"/>
    <w:rsid w:val="00623351"/>
    <w:rsid w:val="00623527"/>
    <w:rsid w:val="006237F8"/>
    <w:rsid w:val="00624F31"/>
    <w:rsid w:val="006252B3"/>
    <w:rsid w:val="00625AE6"/>
    <w:rsid w:val="00625F4F"/>
    <w:rsid w:val="0062710F"/>
    <w:rsid w:val="00631979"/>
    <w:rsid w:val="00632253"/>
    <w:rsid w:val="006334A1"/>
    <w:rsid w:val="006335E5"/>
    <w:rsid w:val="00634E08"/>
    <w:rsid w:val="00634E2B"/>
    <w:rsid w:val="00635537"/>
    <w:rsid w:val="00635595"/>
    <w:rsid w:val="00635CDA"/>
    <w:rsid w:val="006377A8"/>
    <w:rsid w:val="00641551"/>
    <w:rsid w:val="0064217C"/>
    <w:rsid w:val="00642628"/>
    <w:rsid w:val="00642714"/>
    <w:rsid w:val="00642820"/>
    <w:rsid w:val="00643653"/>
    <w:rsid w:val="006437DA"/>
    <w:rsid w:val="00644823"/>
    <w:rsid w:val="006455CE"/>
    <w:rsid w:val="006456C0"/>
    <w:rsid w:val="00651361"/>
    <w:rsid w:val="00652CB8"/>
    <w:rsid w:val="00652F36"/>
    <w:rsid w:val="00654785"/>
    <w:rsid w:val="00655841"/>
    <w:rsid w:val="00655D47"/>
    <w:rsid w:val="00657BFC"/>
    <w:rsid w:val="00660044"/>
    <w:rsid w:val="006608B1"/>
    <w:rsid w:val="0066145A"/>
    <w:rsid w:val="00664339"/>
    <w:rsid w:val="00664984"/>
    <w:rsid w:val="00666F7E"/>
    <w:rsid w:val="006713C7"/>
    <w:rsid w:val="0067300A"/>
    <w:rsid w:val="00673732"/>
    <w:rsid w:val="00673BFD"/>
    <w:rsid w:val="00674927"/>
    <w:rsid w:val="00675787"/>
    <w:rsid w:val="0067641E"/>
    <w:rsid w:val="00677C62"/>
    <w:rsid w:val="00680B09"/>
    <w:rsid w:val="00681D0E"/>
    <w:rsid w:val="0068365C"/>
    <w:rsid w:val="006843AA"/>
    <w:rsid w:val="0068501B"/>
    <w:rsid w:val="00690826"/>
    <w:rsid w:val="00691AF5"/>
    <w:rsid w:val="00691D50"/>
    <w:rsid w:val="006932B0"/>
    <w:rsid w:val="0069378B"/>
    <w:rsid w:val="00694C55"/>
    <w:rsid w:val="00695C6B"/>
    <w:rsid w:val="00697697"/>
    <w:rsid w:val="00697A8A"/>
    <w:rsid w:val="006A06A6"/>
    <w:rsid w:val="006A2B36"/>
    <w:rsid w:val="006A2FC9"/>
    <w:rsid w:val="006A47FC"/>
    <w:rsid w:val="006A4F67"/>
    <w:rsid w:val="006A5E50"/>
    <w:rsid w:val="006A7669"/>
    <w:rsid w:val="006A7E7F"/>
    <w:rsid w:val="006B0BE0"/>
    <w:rsid w:val="006B14AE"/>
    <w:rsid w:val="006B2DAF"/>
    <w:rsid w:val="006B3719"/>
    <w:rsid w:val="006B3971"/>
    <w:rsid w:val="006B52CF"/>
    <w:rsid w:val="006B71E5"/>
    <w:rsid w:val="006B7961"/>
    <w:rsid w:val="006D0328"/>
    <w:rsid w:val="006D2213"/>
    <w:rsid w:val="006D2D72"/>
    <w:rsid w:val="006D6629"/>
    <w:rsid w:val="006D7310"/>
    <w:rsid w:val="006E36E9"/>
    <w:rsid w:val="006E3FBB"/>
    <w:rsid w:val="006E57DC"/>
    <w:rsid w:val="006E6C9E"/>
    <w:rsid w:val="006E7BB3"/>
    <w:rsid w:val="006F1345"/>
    <w:rsid w:val="006F26D8"/>
    <w:rsid w:val="006F2823"/>
    <w:rsid w:val="006F2E28"/>
    <w:rsid w:val="006F3413"/>
    <w:rsid w:val="006F3906"/>
    <w:rsid w:val="006F434C"/>
    <w:rsid w:val="0070296A"/>
    <w:rsid w:val="007050E5"/>
    <w:rsid w:val="00705C23"/>
    <w:rsid w:val="00706BBB"/>
    <w:rsid w:val="00707D9A"/>
    <w:rsid w:val="00712511"/>
    <w:rsid w:val="007135C9"/>
    <w:rsid w:val="0071360D"/>
    <w:rsid w:val="00713DE7"/>
    <w:rsid w:val="00714C71"/>
    <w:rsid w:val="00714D8D"/>
    <w:rsid w:val="00714DE2"/>
    <w:rsid w:val="0071646B"/>
    <w:rsid w:val="0071697E"/>
    <w:rsid w:val="00716B2A"/>
    <w:rsid w:val="0072108F"/>
    <w:rsid w:val="0072149B"/>
    <w:rsid w:val="00724B07"/>
    <w:rsid w:val="007251DE"/>
    <w:rsid w:val="007309FF"/>
    <w:rsid w:val="007318C4"/>
    <w:rsid w:val="00733017"/>
    <w:rsid w:val="007331FB"/>
    <w:rsid w:val="00733290"/>
    <w:rsid w:val="00733EAE"/>
    <w:rsid w:val="00735DD2"/>
    <w:rsid w:val="00736646"/>
    <w:rsid w:val="00737019"/>
    <w:rsid w:val="00737CBE"/>
    <w:rsid w:val="00740304"/>
    <w:rsid w:val="0074072E"/>
    <w:rsid w:val="00741A60"/>
    <w:rsid w:val="0074557D"/>
    <w:rsid w:val="00745EB4"/>
    <w:rsid w:val="007471F9"/>
    <w:rsid w:val="007503CE"/>
    <w:rsid w:val="007515FD"/>
    <w:rsid w:val="007516EF"/>
    <w:rsid w:val="007526D0"/>
    <w:rsid w:val="007527BA"/>
    <w:rsid w:val="00752EEC"/>
    <w:rsid w:val="007536AB"/>
    <w:rsid w:val="007546E5"/>
    <w:rsid w:val="007547E8"/>
    <w:rsid w:val="00754DAA"/>
    <w:rsid w:val="00755919"/>
    <w:rsid w:val="00755DD0"/>
    <w:rsid w:val="00756A6E"/>
    <w:rsid w:val="00756C9B"/>
    <w:rsid w:val="00760F79"/>
    <w:rsid w:val="00762AEE"/>
    <w:rsid w:val="007644E1"/>
    <w:rsid w:val="00766186"/>
    <w:rsid w:val="0076639C"/>
    <w:rsid w:val="0076653C"/>
    <w:rsid w:val="00770741"/>
    <w:rsid w:val="00770AED"/>
    <w:rsid w:val="0077166E"/>
    <w:rsid w:val="00771B6B"/>
    <w:rsid w:val="0077208F"/>
    <w:rsid w:val="00772874"/>
    <w:rsid w:val="00773390"/>
    <w:rsid w:val="00773C8C"/>
    <w:rsid w:val="00775231"/>
    <w:rsid w:val="0077651C"/>
    <w:rsid w:val="00776D34"/>
    <w:rsid w:val="00777C12"/>
    <w:rsid w:val="00781575"/>
    <w:rsid w:val="0078165E"/>
    <w:rsid w:val="00781C15"/>
    <w:rsid w:val="00782DC7"/>
    <w:rsid w:val="00782EE0"/>
    <w:rsid w:val="00783310"/>
    <w:rsid w:val="00784F1C"/>
    <w:rsid w:val="00785012"/>
    <w:rsid w:val="00793EFB"/>
    <w:rsid w:val="007A0DA4"/>
    <w:rsid w:val="007A0EFA"/>
    <w:rsid w:val="007A4A6D"/>
    <w:rsid w:val="007A794E"/>
    <w:rsid w:val="007B0A56"/>
    <w:rsid w:val="007B11B0"/>
    <w:rsid w:val="007B1779"/>
    <w:rsid w:val="007B6C80"/>
    <w:rsid w:val="007B7F95"/>
    <w:rsid w:val="007C0982"/>
    <w:rsid w:val="007C0DE4"/>
    <w:rsid w:val="007C2F85"/>
    <w:rsid w:val="007C3BC7"/>
    <w:rsid w:val="007C3DB4"/>
    <w:rsid w:val="007C5EC8"/>
    <w:rsid w:val="007C7C1C"/>
    <w:rsid w:val="007D1BCF"/>
    <w:rsid w:val="007D2726"/>
    <w:rsid w:val="007D2E13"/>
    <w:rsid w:val="007D3957"/>
    <w:rsid w:val="007D4213"/>
    <w:rsid w:val="007D5455"/>
    <w:rsid w:val="007D6332"/>
    <w:rsid w:val="007D75CF"/>
    <w:rsid w:val="007D76B3"/>
    <w:rsid w:val="007D76C0"/>
    <w:rsid w:val="007E0440"/>
    <w:rsid w:val="007E20C7"/>
    <w:rsid w:val="007E2653"/>
    <w:rsid w:val="007E2A52"/>
    <w:rsid w:val="007E2C1D"/>
    <w:rsid w:val="007E369D"/>
    <w:rsid w:val="007E4812"/>
    <w:rsid w:val="007E6B82"/>
    <w:rsid w:val="007E6DC5"/>
    <w:rsid w:val="007E7824"/>
    <w:rsid w:val="007F15A4"/>
    <w:rsid w:val="007F2C22"/>
    <w:rsid w:val="007F3DE4"/>
    <w:rsid w:val="007F42D8"/>
    <w:rsid w:val="007F4717"/>
    <w:rsid w:val="007F7545"/>
    <w:rsid w:val="007F7CEA"/>
    <w:rsid w:val="0080134E"/>
    <w:rsid w:val="00802257"/>
    <w:rsid w:val="008025AF"/>
    <w:rsid w:val="0080439E"/>
    <w:rsid w:val="00805CF2"/>
    <w:rsid w:val="008062B4"/>
    <w:rsid w:val="00812AE8"/>
    <w:rsid w:val="00813E16"/>
    <w:rsid w:val="008145B1"/>
    <w:rsid w:val="00814FD0"/>
    <w:rsid w:val="008151FD"/>
    <w:rsid w:val="008161E6"/>
    <w:rsid w:val="00817F24"/>
    <w:rsid w:val="008205FF"/>
    <w:rsid w:val="008219C6"/>
    <w:rsid w:val="00822630"/>
    <w:rsid w:val="00822DDC"/>
    <w:rsid w:val="008248BD"/>
    <w:rsid w:val="008250B9"/>
    <w:rsid w:val="00830751"/>
    <w:rsid w:val="00831B6F"/>
    <w:rsid w:val="008328F9"/>
    <w:rsid w:val="00832AA3"/>
    <w:rsid w:val="00832C1C"/>
    <w:rsid w:val="00833260"/>
    <w:rsid w:val="00834708"/>
    <w:rsid w:val="008357E6"/>
    <w:rsid w:val="00836283"/>
    <w:rsid w:val="008373D9"/>
    <w:rsid w:val="008413C8"/>
    <w:rsid w:val="008419F7"/>
    <w:rsid w:val="00842A83"/>
    <w:rsid w:val="008431B2"/>
    <w:rsid w:val="0084324A"/>
    <w:rsid w:val="008439B6"/>
    <w:rsid w:val="00844806"/>
    <w:rsid w:val="00844CE7"/>
    <w:rsid w:val="00847472"/>
    <w:rsid w:val="008511B3"/>
    <w:rsid w:val="008527E9"/>
    <w:rsid w:val="00852FAD"/>
    <w:rsid w:val="0085365C"/>
    <w:rsid w:val="00862CFB"/>
    <w:rsid w:val="008637E8"/>
    <w:rsid w:val="008640DA"/>
    <w:rsid w:val="0086567B"/>
    <w:rsid w:val="00865C81"/>
    <w:rsid w:val="00866160"/>
    <w:rsid w:val="008669B1"/>
    <w:rsid w:val="00866EF2"/>
    <w:rsid w:val="00867EC3"/>
    <w:rsid w:val="00867EE9"/>
    <w:rsid w:val="00870953"/>
    <w:rsid w:val="008709FE"/>
    <w:rsid w:val="00870D78"/>
    <w:rsid w:val="00871BDA"/>
    <w:rsid w:val="00871D79"/>
    <w:rsid w:val="008728DC"/>
    <w:rsid w:val="00872B54"/>
    <w:rsid w:val="0087351D"/>
    <w:rsid w:val="008749A1"/>
    <w:rsid w:val="00875F64"/>
    <w:rsid w:val="008765C4"/>
    <w:rsid w:val="00876CBA"/>
    <w:rsid w:val="0088043C"/>
    <w:rsid w:val="00881FFD"/>
    <w:rsid w:val="008837A6"/>
    <w:rsid w:val="00884277"/>
    <w:rsid w:val="008844DB"/>
    <w:rsid w:val="00884889"/>
    <w:rsid w:val="00885D29"/>
    <w:rsid w:val="0088753B"/>
    <w:rsid w:val="008877CC"/>
    <w:rsid w:val="0089044F"/>
    <w:rsid w:val="008906C9"/>
    <w:rsid w:val="00894F02"/>
    <w:rsid w:val="00895402"/>
    <w:rsid w:val="00895582"/>
    <w:rsid w:val="00895A2C"/>
    <w:rsid w:val="008A38A5"/>
    <w:rsid w:val="008A518F"/>
    <w:rsid w:val="008A75CC"/>
    <w:rsid w:val="008A7BCE"/>
    <w:rsid w:val="008B07D4"/>
    <w:rsid w:val="008B17E3"/>
    <w:rsid w:val="008B2E01"/>
    <w:rsid w:val="008B308E"/>
    <w:rsid w:val="008B3271"/>
    <w:rsid w:val="008B3530"/>
    <w:rsid w:val="008B3CB7"/>
    <w:rsid w:val="008B4905"/>
    <w:rsid w:val="008B4C95"/>
    <w:rsid w:val="008C330B"/>
    <w:rsid w:val="008C4C53"/>
    <w:rsid w:val="008C5738"/>
    <w:rsid w:val="008C59EF"/>
    <w:rsid w:val="008C6238"/>
    <w:rsid w:val="008C66AF"/>
    <w:rsid w:val="008C6CB1"/>
    <w:rsid w:val="008C7D08"/>
    <w:rsid w:val="008C7DC7"/>
    <w:rsid w:val="008D0258"/>
    <w:rsid w:val="008D04F0"/>
    <w:rsid w:val="008D0B31"/>
    <w:rsid w:val="008D12A8"/>
    <w:rsid w:val="008D2034"/>
    <w:rsid w:val="008D22AE"/>
    <w:rsid w:val="008D3F11"/>
    <w:rsid w:val="008D41D9"/>
    <w:rsid w:val="008D5A9E"/>
    <w:rsid w:val="008D618B"/>
    <w:rsid w:val="008D6A25"/>
    <w:rsid w:val="008D6DF6"/>
    <w:rsid w:val="008D77B0"/>
    <w:rsid w:val="008D7D04"/>
    <w:rsid w:val="008D7DCE"/>
    <w:rsid w:val="008E2377"/>
    <w:rsid w:val="008E4DCB"/>
    <w:rsid w:val="008E66B8"/>
    <w:rsid w:val="008E6E2A"/>
    <w:rsid w:val="008F0A8D"/>
    <w:rsid w:val="008F0E60"/>
    <w:rsid w:val="008F3500"/>
    <w:rsid w:val="008F4E9F"/>
    <w:rsid w:val="008F7649"/>
    <w:rsid w:val="009011CB"/>
    <w:rsid w:val="00901246"/>
    <w:rsid w:val="00901E87"/>
    <w:rsid w:val="00903D44"/>
    <w:rsid w:val="00903E76"/>
    <w:rsid w:val="009068C0"/>
    <w:rsid w:val="00912D7A"/>
    <w:rsid w:val="00913FA8"/>
    <w:rsid w:val="00914441"/>
    <w:rsid w:val="009156FD"/>
    <w:rsid w:val="00920643"/>
    <w:rsid w:val="009208CE"/>
    <w:rsid w:val="0092344B"/>
    <w:rsid w:val="00924E3C"/>
    <w:rsid w:val="00924E98"/>
    <w:rsid w:val="009261F4"/>
    <w:rsid w:val="00926747"/>
    <w:rsid w:val="009272B7"/>
    <w:rsid w:val="00930C85"/>
    <w:rsid w:val="00930EC1"/>
    <w:rsid w:val="00930FF3"/>
    <w:rsid w:val="009316A8"/>
    <w:rsid w:val="00932A0C"/>
    <w:rsid w:val="00932E96"/>
    <w:rsid w:val="009344FE"/>
    <w:rsid w:val="00935389"/>
    <w:rsid w:val="009367AC"/>
    <w:rsid w:val="00936B7C"/>
    <w:rsid w:val="00937F90"/>
    <w:rsid w:val="00940280"/>
    <w:rsid w:val="00942CF9"/>
    <w:rsid w:val="009441DA"/>
    <w:rsid w:val="00946DF9"/>
    <w:rsid w:val="009479D7"/>
    <w:rsid w:val="0095041B"/>
    <w:rsid w:val="00951053"/>
    <w:rsid w:val="00951B58"/>
    <w:rsid w:val="009535E8"/>
    <w:rsid w:val="009542A6"/>
    <w:rsid w:val="00955146"/>
    <w:rsid w:val="00957AA3"/>
    <w:rsid w:val="00957F6A"/>
    <w:rsid w:val="0096007A"/>
    <w:rsid w:val="009612BB"/>
    <w:rsid w:val="00965371"/>
    <w:rsid w:val="009670CA"/>
    <w:rsid w:val="00967DB4"/>
    <w:rsid w:val="00967F58"/>
    <w:rsid w:val="009709D6"/>
    <w:rsid w:val="00972554"/>
    <w:rsid w:val="00973761"/>
    <w:rsid w:val="009757D7"/>
    <w:rsid w:val="009760F6"/>
    <w:rsid w:val="0097611F"/>
    <w:rsid w:val="009769A2"/>
    <w:rsid w:val="00976B52"/>
    <w:rsid w:val="0097771C"/>
    <w:rsid w:val="00977744"/>
    <w:rsid w:val="00977A2F"/>
    <w:rsid w:val="00981E2E"/>
    <w:rsid w:val="009823C2"/>
    <w:rsid w:val="00982F06"/>
    <w:rsid w:val="009832FE"/>
    <w:rsid w:val="0098351D"/>
    <w:rsid w:val="00984533"/>
    <w:rsid w:val="00984BDF"/>
    <w:rsid w:val="00984F04"/>
    <w:rsid w:val="0098567E"/>
    <w:rsid w:val="009901DB"/>
    <w:rsid w:val="00990B04"/>
    <w:rsid w:val="00990B94"/>
    <w:rsid w:val="00990FD5"/>
    <w:rsid w:val="0099141C"/>
    <w:rsid w:val="0099287D"/>
    <w:rsid w:val="009956D2"/>
    <w:rsid w:val="009A0EB5"/>
    <w:rsid w:val="009A12F0"/>
    <w:rsid w:val="009A12F1"/>
    <w:rsid w:val="009A3DB0"/>
    <w:rsid w:val="009A53F9"/>
    <w:rsid w:val="009A70B5"/>
    <w:rsid w:val="009B1D41"/>
    <w:rsid w:val="009B22FF"/>
    <w:rsid w:val="009B4901"/>
    <w:rsid w:val="009B6455"/>
    <w:rsid w:val="009B6F42"/>
    <w:rsid w:val="009C08C6"/>
    <w:rsid w:val="009C0D8A"/>
    <w:rsid w:val="009C16CE"/>
    <w:rsid w:val="009C4E7D"/>
    <w:rsid w:val="009C59A2"/>
    <w:rsid w:val="009C740A"/>
    <w:rsid w:val="009C74FD"/>
    <w:rsid w:val="009C7792"/>
    <w:rsid w:val="009C7A45"/>
    <w:rsid w:val="009D1AA7"/>
    <w:rsid w:val="009D26CE"/>
    <w:rsid w:val="009D29F1"/>
    <w:rsid w:val="009D32D0"/>
    <w:rsid w:val="009D484F"/>
    <w:rsid w:val="009E1CCA"/>
    <w:rsid w:val="009E1F48"/>
    <w:rsid w:val="009E34E4"/>
    <w:rsid w:val="009E39EA"/>
    <w:rsid w:val="009E4ACE"/>
    <w:rsid w:val="009E5921"/>
    <w:rsid w:val="009E6720"/>
    <w:rsid w:val="009F014E"/>
    <w:rsid w:val="009F061E"/>
    <w:rsid w:val="009F0C9B"/>
    <w:rsid w:val="009F0F5F"/>
    <w:rsid w:val="009F55A5"/>
    <w:rsid w:val="00A00817"/>
    <w:rsid w:val="00A014D9"/>
    <w:rsid w:val="00A024B1"/>
    <w:rsid w:val="00A03F3A"/>
    <w:rsid w:val="00A05764"/>
    <w:rsid w:val="00A06768"/>
    <w:rsid w:val="00A1022B"/>
    <w:rsid w:val="00A10557"/>
    <w:rsid w:val="00A125C5"/>
    <w:rsid w:val="00A12D27"/>
    <w:rsid w:val="00A17429"/>
    <w:rsid w:val="00A17E4E"/>
    <w:rsid w:val="00A2125C"/>
    <w:rsid w:val="00A213A6"/>
    <w:rsid w:val="00A22074"/>
    <w:rsid w:val="00A22687"/>
    <w:rsid w:val="00A2451C"/>
    <w:rsid w:val="00A302A6"/>
    <w:rsid w:val="00A32C54"/>
    <w:rsid w:val="00A33975"/>
    <w:rsid w:val="00A355E3"/>
    <w:rsid w:val="00A35780"/>
    <w:rsid w:val="00A36697"/>
    <w:rsid w:val="00A36B5A"/>
    <w:rsid w:val="00A37225"/>
    <w:rsid w:val="00A379D9"/>
    <w:rsid w:val="00A40C00"/>
    <w:rsid w:val="00A41641"/>
    <w:rsid w:val="00A426EF"/>
    <w:rsid w:val="00A4284B"/>
    <w:rsid w:val="00A436DA"/>
    <w:rsid w:val="00A461EF"/>
    <w:rsid w:val="00A46201"/>
    <w:rsid w:val="00A47EE9"/>
    <w:rsid w:val="00A516F2"/>
    <w:rsid w:val="00A5245E"/>
    <w:rsid w:val="00A53190"/>
    <w:rsid w:val="00A55488"/>
    <w:rsid w:val="00A57891"/>
    <w:rsid w:val="00A615F3"/>
    <w:rsid w:val="00A62364"/>
    <w:rsid w:val="00A65EE7"/>
    <w:rsid w:val="00A67AB5"/>
    <w:rsid w:val="00A70133"/>
    <w:rsid w:val="00A72196"/>
    <w:rsid w:val="00A721EB"/>
    <w:rsid w:val="00A722F1"/>
    <w:rsid w:val="00A72BED"/>
    <w:rsid w:val="00A7333C"/>
    <w:rsid w:val="00A741BB"/>
    <w:rsid w:val="00A741E6"/>
    <w:rsid w:val="00A74B04"/>
    <w:rsid w:val="00A74D4B"/>
    <w:rsid w:val="00A76084"/>
    <w:rsid w:val="00A770A6"/>
    <w:rsid w:val="00A77411"/>
    <w:rsid w:val="00A776FE"/>
    <w:rsid w:val="00A77A03"/>
    <w:rsid w:val="00A813B1"/>
    <w:rsid w:val="00A81C30"/>
    <w:rsid w:val="00A834A1"/>
    <w:rsid w:val="00A836D9"/>
    <w:rsid w:val="00A83763"/>
    <w:rsid w:val="00A838C1"/>
    <w:rsid w:val="00A83A84"/>
    <w:rsid w:val="00A855E3"/>
    <w:rsid w:val="00A859CD"/>
    <w:rsid w:val="00A85C10"/>
    <w:rsid w:val="00A85ED6"/>
    <w:rsid w:val="00A86D6C"/>
    <w:rsid w:val="00A870DA"/>
    <w:rsid w:val="00A92AAE"/>
    <w:rsid w:val="00AA0436"/>
    <w:rsid w:val="00AA04DE"/>
    <w:rsid w:val="00AA1A77"/>
    <w:rsid w:val="00AA261D"/>
    <w:rsid w:val="00AA2713"/>
    <w:rsid w:val="00AA3E3F"/>
    <w:rsid w:val="00AA5389"/>
    <w:rsid w:val="00AA59C1"/>
    <w:rsid w:val="00AA75FA"/>
    <w:rsid w:val="00AA76A4"/>
    <w:rsid w:val="00AB1096"/>
    <w:rsid w:val="00AB140E"/>
    <w:rsid w:val="00AB1C20"/>
    <w:rsid w:val="00AB36C4"/>
    <w:rsid w:val="00AB40BE"/>
    <w:rsid w:val="00AB4B52"/>
    <w:rsid w:val="00AB4C40"/>
    <w:rsid w:val="00AC30BA"/>
    <w:rsid w:val="00AC32B2"/>
    <w:rsid w:val="00AC3888"/>
    <w:rsid w:val="00AC48A2"/>
    <w:rsid w:val="00AC54C1"/>
    <w:rsid w:val="00AC7222"/>
    <w:rsid w:val="00AD0318"/>
    <w:rsid w:val="00AD0C6F"/>
    <w:rsid w:val="00AD2CC9"/>
    <w:rsid w:val="00AD305D"/>
    <w:rsid w:val="00AD4328"/>
    <w:rsid w:val="00AD4830"/>
    <w:rsid w:val="00AD59DA"/>
    <w:rsid w:val="00AD602D"/>
    <w:rsid w:val="00AE05F6"/>
    <w:rsid w:val="00AE2A48"/>
    <w:rsid w:val="00AE43BC"/>
    <w:rsid w:val="00AE43F5"/>
    <w:rsid w:val="00AE5E17"/>
    <w:rsid w:val="00AE66CC"/>
    <w:rsid w:val="00AE696A"/>
    <w:rsid w:val="00AF3E8C"/>
    <w:rsid w:val="00AF5198"/>
    <w:rsid w:val="00AF7FED"/>
    <w:rsid w:val="00B01660"/>
    <w:rsid w:val="00B0190A"/>
    <w:rsid w:val="00B0290A"/>
    <w:rsid w:val="00B0458A"/>
    <w:rsid w:val="00B05114"/>
    <w:rsid w:val="00B06398"/>
    <w:rsid w:val="00B1125E"/>
    <w:rsid w:val="00B12A1D"/>
    <w:rsid w:val="00B13CA9"/>
    <w:rsid w:val="00B16315"/>
    <w:rsid w:val="00B16E75"/>
    <w:rsid w:val="00B17141"/>
    <w:rsid w:val="00B203CA"/>
    <w:rsid w:val="00B20DAF"/>
    <w:rsid w:val="00B23A14"/>
    <w:rsid w:val="00B23BE5"/>
    <w:rsid w:val="00B247F0"/>
    <w:rsid w:val="00B25ABC"/>
    <w:rsid w:val="00B30007"/>
    <w:rsid w:val="00B30921"/>
    <w:rsid w:val="00B31429"/>
    <w:rsid w:val="00B31575"/>
    <w:rsid w:val="00B329C4"/>
    <w:rsid w:val="00B33A8D"/>
    <w:rsid w:val="00B34679"/>
    <w:rsid w:val="00B347D6"/>
    <w:rsid w:val="00B34CEC"/>
    <w:rsid w:val="00B36439"/>
    <w:rsid w:val="00B3770F"/>
    <w:rsid w:val="00B37A6D"/>
    <w:rsid w:val="00B40633"/>
    <w:rsid w:val="00B40670"/>
    <w:rsid w:val="00B418FE"/>
    <w:rsid w:val="00B42D8D"/>
    <w:rsid w:val="00B45031"/>
    <w:rsid w:val="00B459C1"/>
    <w:rsid w:val="00B45A7A"/>
    <w:rsid w:val="00B45EEE"/>
    <w:rsid w:val="00B467F0"/>
    <w:rsid w:val="00B47750"/>
    <w:rsid w:val="00B52A31"/>
    <w:rsid w:val="00B53862"/>
    <w:rsid w:val="00B56A10"/>
    <w:rsid w:val="00B57143"/>
    <w:rsid w:val="00B607FE"/>
    <w:rsid w:val="00B6105E"/>
    <w:rsid w:val="00B61856"/>
    <w:rsid w:val="00B620BE"/>
    <w:rsid w:val="00B62D47"/>
    <w:rsid w:val="00B64185"/>
    <w:rsid w:val="00B65BFA"/>
    <w:rsid w:val="00B6651E"/>
    <w:rsid w:val="00B66634"/>
    <w:rsid w:val="00B66D50"/>
    <w:rsid w:val="00B67E7D"/>
    <w:rsid w:val="00B72108"/>
    <w:rsid w:val="00B73C0A"/>
    <w:rsid w:val="00B74599"/>
    <w:rsid w:val="00B74884"/>
    <w:rsid w:val="00B77029"/>
    <w:rsid w:val="00B779AC"/>
    <w:rsid w:val="00B77A8A"/>
    <w:rsid w:val="00B77D70"/>
    <w:rsid w:val="00B80985"/>
    <w:rsid w:val="00B81239"/>
    <w:rsid w:val="00B8145D"/>
    <w:rsid w:val="00B81860"/>
    <w:rsid w:val="00B8399E"/>
    <w:rsid w:val="00B8547D"/>
    <w:rsid w:val="00B85847"/>
    <w:rsid w:val="00B90242"/>
    <w:rsid w:val="00B90FF1"/>
    <w:rsid w:val="00B91A0A"/>
    <w:rsid w:val="00B93230"/>
    <w:rsid w:val="00B934F3"/>
    <w:rsid w:val="00B939C7"/>
    <w:rsid w:val="00B944DE"/>
    <w:rsid w:val="00B9516D"/>
    <w:rsid w:val="00BA009B"/>
    <w:rsid w:val="00BA2549"/>
    <w:rsid w:val="00BA2554"/>
    <w:rsid w:val="00BA4709"/>
    <w:rsid w:val="00BA6184"/>
    <w:rsid w:val="00BA6A7A"/>
    <w:rsid w:val="00BA6FEA"/>
    <w:rsid w:val="00BB0AE2"/>
    <w:rsid w:val="00BB3142"/>
    <w:rsid w:val="00BB4DF9"/>
    <w:rsid w:val="00BB5113"/>
    <w:rsid w:val="00BB619B"/>
    <w:rsid w:val="00BB6754"/>
    <w:rsid w:val="00BB7C6E"/>
    <w:rsid w:val="00BC0D29"/>
    <w:rsid w:val="00BC2D71"/>
    <w:rsid w:val="00BC4E54"/>
    <w:rsid w:val="00BC536D"/>
    <w:rsid w:val="00BC55F7"/>
    <w:rsid w:val="00BC585F"/>
    <w:rsid w:val="00BD0399"/>
    <w:rsid w:val="00BD0B03"/>
    <w:rsid w:val="00BD2DCE"/>
    <w:rsid w:val="00BD7635"/>
    <w:rsid w:val="00BE0909"/>
    <w:rsid w:val="00BE0C15"/>
    <w:rsid w:val="00BE0FA1"/>
    <w:rsid w:val="00BE3DBA"/>
    <w:rsid w:val="00BE4AB2"/>
    <w:rsid w:val="00BE6414"/>
    <w:rsid w:val="00BF0BF6"/>
    <w:rsid w:val="00BF30BF"/>
    <w:rsid w:val="00BF5A6F"/>
    <w:rsid w:val="00BF714F"/>
    <w:rsid w:val="00C0004C"/>
    <w:rsid w:val="00C008DD"/>
    <w:rsid w:val="00C011A0"/>
    <w:rsid w:val="00C0137A"/>
    <w:rsid w:val="00C03513"/>
    <w:rsid w:val="00C045E2"/>
    <w:rsid w:val="00C06695"/>
    <w:rsid w:val="00C107ED"/>
    <w:rsid w:val="00C119DA"/>
    <w:rsid w:val="00C12BFC"/>
    <w:rsid w:val="00C14108"/>
    <w:rsid w:val="00C15074"/>
    <w:rsid w:val="00C1533F"/>
    <w:rsid w:val="00C15447"/>
    <w:rsid w:val="00C17403"/>
    <w:rsid w:val="00C17D7F"/>
    <w:rsid w:val="00C20A98"/>
    <w:rsid w:val="00C21A98"/>
    <w:rsid w:val="00C229B5"/>
    <w:rsid w:val="00C246E0"/>
    <w:rsid w:val="00C24B79"/>
    <w:rsid w:val="00C24DFF"/>
    <w:rsid w:val="00C24E6A"/>
    <w:rsid w:val="00C250D5"/>
    <w:rsid w:val="00C25414"/>
    <w:rsid w:val="00C26EBB"/>
    <w:rsid w:val="00C27D3D"/>
    <w:rsid w:val="00C32258"/>
    <w:rsid w:val="00C331B9"/>
    <w:rsid w:val="00C333D5"/>
    <w:rsid w:val="00C343A9"/>
    <w:rsid w:val="00C34EA5"/>
    <w:rsid w:val="00C35666"/>
    <w:rsid w:val="00C368BC"/>
    <w:rsid w:val="00C3717E"/>
    <w:rsid w:val="00C371D5"/>
    <w:rsid w:val="00C40EF2"/>
    <w:rsid w:val="00C412C1"/>
    <w:rsid w:val="00C42165"/>
    <w:rsid w:val="00C425BC"/>
    <w:rsid w:val="00C42BF4"/>
    <w:rsid w:val="00C4529E"/>
    <w:rsid w:val="00C4546A"/>
    <w:rsid w:val="00C4602E"/>
    <w:rsid w:val="00C46942"/>
    <w:rsid w:val="00C471FC"/>
    <w:rsid w:val="00C50B40"/>
    <w:rsid w:val="00C51623"/>
    <w:rsid w:val="00C52F3A"/>
    <w:rsid w:val="00C53682"/>
    <w:rsid w:val="00C540BA"/>
    <w:rsid w:val="00C561BC"/>
    <w:rsid w:val="00C56C76"/>
    <w:rsid w:val="00C60C17"/>
    <w:rsid w:val="00C61053"/>
    <w:rsid w:val="00C611DB"/>
    <w:rsid w:val="00C61F41"/>
    <w:rsid w:val="00C6208C"/>
    <w:rsid w:val="00C64290"/>
    <w:rsid w:val="00C65A05"/>
    <w:rsid w:val="00C66595"/>
    <w:rsid w:val="00C67990"/>
    <w:rsid w:val="00C701A2"/>
    <w:rsid w:val="00C71FA8"/>
    <w:rsid w:val="00C72685"/>
    <w:rsid w:val="00C74584"/>
    <w:rsid w:val="00C74C49"/>
    <w:rsid w:val="00C7544E"/>
    <w:rsid w:val="00C77624"/>
    <w:rsid w:val="00C7765A"/>
    <w:rsid w:val="00C8251A"/>
    <w:rsid w:val="00C83A05"/>
    <w:rsid w:val="00C83EE3"/>
    <w:rsid w:val="00C84ECA"/>
    <w:rsid w:val="00C8612B"/>
    <w:rsid w:val="00C864AE"/>
    <w:rsid w:val="00C871C7"/>
    <w:rsid w:val="00C87B26"/>
    <w:rsid w:val="00C90389"/>
    <w:rsid w:val="00C905EC"/>
    <w:rsid w:val="00C90765"/>
    <w:rsid w:val="00C90D70"/>
    <w:rsid w:val="00C90F3A"/>
    <w:rsid w:val="00C90F43"/>
    <w:rsid w:val="00C917DC"/>
    <w:rsid w:val="00C91FF0"/>
    <w:rsid w:val="00C92898"/>
    <w:rsid w:val="00C94D0B"/>
    <w:rsid w:val="00C95B45"/>
    <w:rsid w:val="00C95EA1"/>
    <w:rsid w:val="00C963B2"/>
    <w:rsid w:val="00C97006"/>
    <w:rsid w:val="00C97762"/>
    <w:rsid w:val="00CA0BA2"/>
    <w:rsid w:val="00CA0C04"/>
    <w:rsid w:val="00CA1606"/>
    <w:rsid w:val="00CA3019"/>
    <w:rsid w:val="00CA4340"/>
    <w:rsid w:val="00CA55CA"/>
    <w:rsid w:val="00CA6112"/>
    <w:rsid w:val="00CA62BB"/>
    <w:rsid w:val="00CA7513"/>
    <w:rsid w:val="00CB009A"/>
    <w:rsid w:val="00CB3FB4"/>
    <w:rsid w:val="00CB6C57"/>
    <w:rsid w:val="00CB7CB2"/>
    <w:rsid w:val="00CC03E4"/>
    <w:rsid w:val="00CC0A57"/>
    <w:rsid w:val="00CC0A5B"/>
    <w:rsid w:val="00CC3652"/>
    <w:rsid w:val="00CC42C6"/>
    <w:rsid w:val="00CC42F2"/>
    <w:rsid w:val="00CD16A9"/>
    <w:rsid w:val="00CD34E3"/>
    <w:rsid w:val="00CD4BFC"/>
    <w:rsid w:val="00CD5081"/>
    <w:rsid w:val="00CD5440"/>
    <w:rsid w:val="00CD7B22"/>
    <w:rsid w:val="00CE39CC"/>
    <w:rsid w:val="00CE5238"/>
    <w:rsid w:val="00CE52DB"/>
    <w:rsid w:val="00CE55C4"/>
    <w:rsid w:val="00CE6B66"/>
    <w:rsid w:val="00CE7514"/>
    <w:rsid w:val="00CF1D03"/>
    <w:rsid w:val="00CF3312"/>
    <w:rsid w:val="00CF3AF5"/>
    <w:rsid w:val="00CF5799"/>
    <w:rsid w:val="00CF6BD8"/>
    <w:rsid w:val="00CF742A"/>
    <w:rsid w:val="00D00699"/>
    <w:rsid w:val="00D01164"/>
    <w:rsid w:val="00D013B3"/>
    <w:rsid w:val="00D04605"/>
    <w:rsid w:val="00D05B27"/>
    <w:rsid w:val="00D1033B"/>
    <w:rsid w:val="00D119C2"/>
    <w:rsid w:val="00D12A24"/>
    <w:rsid w:val="00D15B2D"/>
    <w:rsid w:val="00D160AB"/>
    <w:rsid w:val="00D161C5"/>
    <w:rsid w:val="00D20E14"/>
    <w:rsid w:val="00D21579"/>
    <w:rsid w:val="00D2243E"/>
    <w:rsid w:val="00D237B2"/>
    <w:rsid w:val="00D2472D"/>
    <w:rsid w:val="00D248DE"/>
    <w:rsid w:val="00D251E6"/>
    <w:rsid w:val="00D26991"/>
    <w:rsid w:val="00D27B01"/>
    <w:rsid w:val="00D32AFB"/>
    <w:rsid w:val="00D33BD5"/>
    <w:rsid w:val="00D35787"/>
    <w:rsid w:val="00D37616"/>
    <w:rsid w:val="00D425CC"/>
    <w:rsid w:val="00D42B4B"/>
    <w:rsid w:val="00D434F4"/>
    <w:rsid w:val="00D43A12"/>
    <w:rsid w:val="00D4621F"/>
    <w:rsid w:val="00D500CD"/>
    <w:rsid w:val="00D50416"/>
    <w:rsid w:val="00D512C0"/>
    <w:rsid w:val="00D519BA"/>
    <w:rsid w:val="00D52CCE"/>
    <w:rsid w:val="00D53097"/>
    <w:rsid w:val="00D539C0"/>
    <w:rsid w:val="00D54490"/>
    <w:rsid w:val="00D55FCA"/>
    <w:rsid w:val="00D56296"/>
    <w:rsid w:val="00D57060"/>
    <w:rsid w:val="00D5775F"/>
    <w:rsid w:val="00D60F20"/>
    <w:rsid w:val="00D61AD7"/>
    <w:rsid w:val="00D63CC5"/>
    <w:rsid w:val="00D64429"/>
    <w:rsid w:val="00D70234"/>
    <w:rsid w:val="00D704E6"/>
    <w:rsid w:val="00D7125C"/>
    <w:rsid w:val="00D754F8"/>
    <w:rsid w:val="00D77DB9"/>
    <w:rsid w:val="00D80610"/>
    <w:rsid w:val="00D83E62"/>
    <w:rsid w:val="00D84673"/>
    <w:rsid w:val="00D8542D"/>
    <w:rsid w:val="00D97D40"/>
    <w:rsid w:val="00DA010C"/>
    <w:rsid w:val="00DA0D2F"/>
    <w:rsid w:val="00DA22AF"/>
    <w:rsid w:val="00DA44BB"/>
    <w:rsid w:val="00DA4768"/>
    <w:rsid w:val="00DA4BD9"/>
    <w:rsid w:val="00DA62BD"/>
    <w:rsid w:val="00DA7B48"/>
    <w:rsid w:val="00DB087B"/>
    <w:rsid w:val="00DB1268"/>
    <w:rsid w:val="00DB1AD0"/>
    <w:rsid w:val="00DB5814"/>
    <w:rsid w:val="00DB59A1"/>
    <w:rsid w:val="00DB5F7A"/>
    <w:rsid w:val="00DB7EB2"/>
    <w:rsid w:val="00DC0A64"/>
    <w:rsid w:val="00DC104D"/>
    <w:rsid w:val="00DC1393"/>
    <w:rsid w:val="00DC16C5"/>
    <w:rsid w:val="00DC1799"/>
    <w:rsid w:val="00DC2BF7"/>
    <w:rsid w:val="00DC460F"/>
    <w:rsid w:val="00DC63B1"/>
    <w:rsid w:val="00DC6A71"/>
    <w:rsid w:val="00DC6D40"/>
    <w:rsid w:val="00DC6E4F"/>
    <w:rsid w:val="00DC7794"/>
    <w:rsid w:val="00DD027A"/>
    <w:rsid w:val="00DD138D"/>
    <w:rsid w:val="00DD20F0"/>
    <w:rsid w:val="00DD265F"/>
    <w:rsid w:val="00DD36C2"/>
    <w:rsid w:val="00DD37B0"/>
    <w:rsid w:val="00DD471B"/>
    <w:rsid w:val="00DD5EFC"/>
    <w:rsid w:val="00DD64EC"/>
    <w:rsid w:val="00DD6AC2"/>
    <w:rsid w:val="00DD6ECC"/>
    <w:rsid w:val="00DD715A"/>
    <w:rsid w:val="00DD7E8A"/>
    <w:rsid w:val="00DE133B"/>
    <w:rsid w:val="00DE3814"/>
    <w:rsid w:val="00DE4D8B"/>
    <w:rsid w:val="00DE664E"/>
    <w:rsid w:val="00DF06EF"/>
    <w:rsid w:val="00DF4629"/>
    <w:rsid w:val="00DF5A10"/>
    <w:rsid w:val="00DF7C1D"/>
    <w:rsid w:val="00E01544"/>
    <w:rsid w:val="00E02675"/>
    <w:rsid w:val="00E0357D"/>
    <w:rsid w:val="00E04DDD"/>
    <w:rsid w:val="00E05D2C"/>
    <w:rsid w:val="00E0726D"/>
    <w:rsid w:val="00E1082E"/>
    <w:rsid w:val="00E10915"/>
    <w:rsid w:val="00E10C80"/>
    <w:rsid w:val="00E11105"/>
    <w:rsid w:val="00E119F6"/>
    <w:rsid w:val="00E16C16"/>
    <w:rsid w:val="00E16C87"/>
    <w:rsid w:val="00E17520"/>
    <w:rsid w:val="00E208AB"/>
    <w:rsid w:val="00E20E26"/>
    <w:rsid w:val="00E21FF9"/>
    <w:rsid w:val="00E22F9C"/>
    <w:rsid w:val="00E24AC0"/>
    <w:rsid w:val="00E25251"/>
    <w:rsid w:val="00E278BD"/>
    <w:rsid w:val="00E312C0"/>
    <w:rsid w:val="00E33A76"/>
    <w:rsid w:val="00E34B95"/>
    <w:rsid w:val="00E34FCB"/>
    <w:rsid w:val="00E3534A"/>
    <w:rsid w:val="00E36CA6"/>
    <w:rsid w:val="00E3711D"/>
    <w:rsid w:val="00E372A2"/>
    <w:rsid w:val="00E405A9"/>
    <w:rsid w:val="00E4103D"/>
    <w:rsid w:val="00E412FA"/>
    <w:rsid w:val="00E415BA"/>
    <w:rsid w:val="00E44270"/>
    <w:rsid w:val="00E44F88"/>
    <w:rsid w:val="00E463E7"/>
    <w:rsid w:val="00E471D2"/>
    <w:rsid w:val="00E47A78"/>
    <w:rsid w:val="00E50140"/>
    <w:rsid w:val="00E5074D"/>
    <w:rsid w:val="00E5227D"/>
    <w:rsid w:val="00E52A08"/>
    <w:rsid w:val="00E52C87"/>
    <w:rsid w:val="00E53E8B"/>
    <w:rsid w:val="00E565C0"/>
    <w:rsid w:val="00E56B1F"/>
    <w:rsid w:val="00E57DAA"/>
    <w:rsid w:val="00E6131E"/>
    <w:rsid w:val="00E6346C"/>
    <w:rsid w:val="00E643B1"/>
    <w:rsid w:val="00E657B0"/>
    <w:rsid w:val="00E6614F"/>
    <w:rsid w:val="00E66B2C"/>
    <w:rsid w:val="00E67D85"/>
    <w:rsid w:val="00E714C5"/>
    <w:rsid w:val="00E71A41"/>
    <w:rsid w:val="00E72DB7"/>
    <w:rsid w:val="00E74C7A"/>
    <w:rsid w:val="00E82298"/>
    <w:rsid w:val="00E84400"/>
    <w:rsid w:val="00E85BD6"/>
    <w:rsid w:val="00E86E6D"/>
    <w:rsid w:val="00E86E8B"/>
    <w:rsid w:val="00E86F7A"/>
    <w:rsid w:val="00E90071"/>
    <w:rsid w:val="00E90CC7"/>
    <w:rsid w:val="00E94802"/>
    <w:rsid w:val="00E94E7B"/>
    <w:rsid w:val="00EA0241"/>
    <w:rsid w:val="00EA08C2"/>
    <w:rsid w:val="00EA236A"/>
    <w:rsid w:val="00EA2484"/>
    <w:rsid w:val="00EA327E"/>
    <w:rsid w:val="00EA3D9A"/>
    <w:rsid w:val="00EA5859"/>
    <w:rsid w:val="00EA5B0F"/>
    <w:rsid w:val="00EA6FD4"/>
    <w:rsid w:val="00EA7850"/>
    <w:rsid w:val="00EB05DA"/>
    <w:rsid w:val="00EB400D"/>
    <w:rsid w:val="00EB789B"/>
    <w:rsid w:val="00EB7951"/>
    <w:rsid w:val="00EC0E04"/>
    <w:rsid w:val="00EC1BF4"/>
    <w:rsid w:val="00EC1E30"/>
    <w:rsid w:val="00EC317E"/>
    <w:rsid w:val="00EC446C"/>
    <w:rsid w:val="00EC46F0"/>
    <w:rsid w:val="00EC63A9"/>
    <w:rsid w:val="00EC6403"/>
    <w:rsid w:val="00EC670E"/>
    <w:rsid w:val="00EC7965"/>
    <w:rsid w:val="00ED1025"/>
    <w:rsid w:val="00ED1C3E"/>
    <w:rsid w:val="00ED5290"/>
    <w:rsid w:val="00ED7A95"/>
    <w:rsid w:val="00EE05D4"/>
    <w:rsid w:val="00EE1E9D"/>
    <w:rsid w:val="00EE27D5"/>
    <w:rsid w:val="00EE5762"/>
    <w:rsid w:val="00EE5F0D"/>
    <w:rsid w:val="00EE746E"/>
    <w:rsid w:val="00EF0717"/>
    <w:rsid w:val="00EF0929"/>
    <w:rsid w:val="00EF3A26"/>
    <w:rsid w:val="00EF4CE3"/>
    <w:rsid w:val="00EF6BAA"/>
    <w:rsid w:val="00F00B31"/>
    <w:rsid w:val="00F00FEE"/>
    <w:rsid w:val="00F03B51"/>
    <w:rsid w:val="00F04211"/>
    <w:rsid w:val="00F0477E"/>
    <w:rsid w:val="00F0688B"/>
    <w:rsid w:val="00F168FF"/>
    <w:rsid w:val="00F16E4E"/>
    <w:rsid w:val="00F207C2"/>
    <w:rsid w:val="00F20C58"/>
    <w:rsid w:val="00F20D64"/>
    <w:rsid w:val="00F20DDD"/>
    <w:rsid w:val="00F23892"/>
    <w:rsid w:val="00F240BB"/>
    <w:rsid w:val="00F24425"/>
    <w:rsid w:val="00F26197"/>
    <w:rsid w:val="00F31068"/>
    <w:rsid w:val="00F31B35"/>
    <w:rsid w:val="00F31E5E"/>
    <w:rsid w:val="00F33664"/>
    <w:rsid w:val="00F364E1"/>
    <w:rsid w:val="00F3742C"/>
    <w:rsid w:val="00F40CB9"/>
    <w:rsid w:val="00F40CC6"/>
    <w:rsid w:val="00F41A45"/>
    <w:rsid w:val="00F41AC5"/>
    <w:rsid w:val="00F41F9D"/>
    <w:rsid w:val="00F420CB"/>
    <w:rsid w:val="00F42F7C"/>
    <w:rsid w:val="00F43DCB"/>
    <w:rsid w:val="00F44EDC"/>
    <w:rsid w:val="00F454FD"/>
    <w:rsid w:val="00F45852"/>
    <w:rsid w:val="00F46105"/>
    <w:rsid w:val="00F46CF0"/>
    <w:rsid w:val="00F51B78"/>
    <w:rsid w:val="00F51C76"/>
    <w:rsid w:val="00F52B9D"/>
    <w:rsid w:val="00F5346C"/>
    <w:rsid w:val="00F53779"/>
    <w:rsid w:val="00F5485A"/>
    <w:rsid w:val="00F54BA0"/>
    <w:rsid w:val="00F578DE"/>
    <w:rsid w:val="00F57AAA"/>
    <w:rsid w:val="00F57D5D"/>
    <w:rsid w:val="00F57FED"/>
    <w:rsid w:val="00F601E2"/>
    <w:rsid w:val="00F60C53"/>
    <w:rsid w:val="00F61046"/>
    <w:rsid w:val="00F61921"/>
    <w:rsid w:val="00F625F9"/>
    <w:rsid w:val="00F62808"/>
    <w:rsid w:val="00F630EC"/>
    <w:rsid w:val="00F64398"/>
    <w:rsid w:val="00F64631"/>
    <w:rsid w:val="00F649DE"/>
    <w:rsid w:val="00F6508A"/>
    <w:rsid w:val="00F70B5E"/>
    <w:rsid w:val="00F70F0A"/>
    <w:rsid w:val="00F72E1F"/>
    <w:rsid w:val="00F736E8"/>
    <w:rsid w:val="00F73833"/>
    <w:rsid w:val="00F751C8"/>
    <w:rsid w:val="00F75215"/>
    <w:rsid w:val="00F7790B"/>
    <w:rsid w:val="00F80F99"/>
    <w:rsid w:val="00F819F5"/>
    <w:rsid w:val="00F81D3E"/>
    <w:rsid w:val="00F83949"/>
    <w:rsid w:val="00F83FBB"/>
    <w:rsid w:val="00F844C8"/>
    <w:rsid w:val="00F852B1"/>
    <w:rsid w:val="00F86166"/>
    <w:rsid w:val="00F87F27"/>
    <w:rsid w:val="00F90CD8"/>
    <w:rsid w:val="00F91560"/>
    <w:rsid w:val="00F918A3"/>
    <w:rsid w:val="00F93A95"/>
    <w:rsid w:val="00F947E2"/>
    <w:rsid w:val="00F94E02"/>
    <w:rsid w:val="00F95483"/>
    <w:rsid w:val="00F95FAA"/>
    <w:rsid w:val="00FA0AE7"/>
    <w:rsid w:val="00FA0D56"/>
    <w:rsid w:val="00FA1455"/>
    <w:rsid w:val="00FA16C9"/>
    <w:rsid w:val="00FA1892"/>
    <w:rsid w:val="00FA3C9F"/>
    <w:rsid w:val="00FA6324"/>
    <w:rsid w:val="00FA6C09"/>
    <w:rsid w:val="00FA754F"/>
    <w:rsid w:val="00FB06B8"/>
    <w:rsid w:val="00FB0BF3"/>
    <w:rsid w:val="00FB0EEC"/>
    <w:rsid w:val="00FB2B85"/>
    <w:rsid w:val="00FB36DF"/>
    <w:rsid w:val="00FB37BB"/>
    <w:rsid w:val="00FB4D36"/>
    <w:rsid w:val="00FB4EAE"/>
    <w:rsid w:val="00FB54D0"/>
    <w:rsid w:val="00FB5509"/>
    <w:rsid w:val="00FB55F7"/>
    <w:rsid w:val="00FB716C"/>
    <w:rsid w:val="00FB719A"/>
    <w:rsid w:val="00FB7A15"/>
    <w:rsid w:val="00FC0BED"/>
    <w:rsid w:val="00FC1E84"/>
    <w:rsid w:val="00FC2036"/>
    <w:rsid w:val="00FC2731"/>
    <w:rsid w:val="00FC5C23"/>
    <w:rsid w:val="00FC6D5D"/>
    <w:rsid w:val="00FC79C6"/>
    <w:rsid w:val="00FD115A"/>
    <w:rsid w:val="00FD1796"/>
    <w:rsid w:val="00FD2C67"/>
    <w:rsid w:val="00FD376A"/>
    <w:rsid w:val="00FD4311"/>
    <w:rsid w:val="00FD45C2"/>
    <w:rsid w:val="00FD653A"/>
    <w:rsid w:val="00FD699B"/>
    <w:rsid w:val="00FE0200"/>
    <w:rsid w:val="00FE24C5"/>
    <w:rsid w:val="00FE3900"/>
    <w:rsid w:val="00FE3F36"/>
    <w:rsid w:val="00FE4A41"/>
    <w:rsid w:val="00FE775F"/>
    <w:rsid w:val="00FE798A"/>
    <w:rsid w:val="00FF0EFB"/>
    <w:rsid w:val="00FF1C77"/>
    <w:rsid w:val="00FF2497"/>
    <w:rsid w:val="00FF24D5"/>
    <w:rsid w:val="00FF29CD"/>
    <w:rsid w:val="00FF2DAD"/>
    <w:rsid w:val="00FF3653"/>
    <w:rsid w:val="00FF444C"/>
    <w:rsid w:val="00FF68BC"/>
    <w:rsid w:val="00FF782C"/>
    <w:rsid w:val="00FF798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margin;mso-position-vertical-relative:margin"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F88"/>
    <w:pPr>
      <w:spacing w:line="260" w:lineRule="exact"/>
      <w:jc w:val="both"/>
    </w:pPr>
    <w:rPr>
      <w:rFonts w:ascii="Arial" w:hAnsi="Arial"/>
      <w:szCs w:val="24"/>
      <w:lang w:val="en-US" w:eastAsia="en-US"/>
    </w:rPr>
  </w:style>
  <w:style w:type="paragraph" w:styleId="Heading1">
    <w:name w:val="heading 1"/>
    <w:basedOn w:val="Normal"/>
    <w:next w:val="Normal"/>
    <w:link w:val="Heading1Char"/>
    <w:autoRedefine/>
    <w:qFormat/>
    <w:rsid w:val="008F0A8D"/>
    <w:pPr>
      <w:keepNext/>
      <w:numPr>
        <w:numId w:val="12"/>
      </w:numPr>
      <w:spacing w:after="120" w:line="240" w:lineRule="auto"/>
      <w:jc w:val="left"/>
      <w:outlineLvl w:val="0"/>
    </w:pPr>
    <w:rPr>
      <w:b/>
      <w:bCs/>
      <w:kern w:val="32"/>
      <w:sz w:val="28"/>
      <w:szCs w:val="32"/>
    </w:rPr>
  </w:style>
  <w:style w:type="paragraph" w:styleId="Heading2">
    <w:name w:val="heading 2"/>
    <w:basedOn w:val="Normal"/>
    <w:next w:val="Normal"/>
    <w:link w:val="Heading2Char"/>
    <w:qFormat/>
    <w:locked/>
    <w:rsid w:val="008373D9"/>
    <w:pPr>
      <w:keepNext/>
      <w:numPr>
        <w:ilvl w:val="1"/>
        <w:numId w:val="12"/>
      </w:numPr>
      <w:spacing w:before="100" w:beforeAutospacing="1" w:after="120" w:line="240" w:lineRule="auto"/>
      <w:jc w:val="left"/>
      <w:outlineLvl w:val="1"/>
    </w:pPr>
    <w:rPr>
      <w:b/>
      <w:bCs/>
      <w:iCs/>
      <w:sz w:val="24"/>
      <w:szCs w:val="28"/>
    </w:rPr>
  </w:style>
  <w:style w:type="paragraph" w:styleId="Heading3">
    <w:name w:val="heading 3"/>
    <w:basedOn w:val="Normal"/>
    <w:next w:val="Normal"/>
    <w:link w:val="Heading3Char"/>
    <w:qFormat/>
    <w:locked/>
    <w:rsid w:val="00F80F99"/>
    <w:pPr>
      <w:keepNext/>
      <w:numPr>
        <w:ilvl w:val="2"/>
        <w:numId w:val="12"/>
      </w:numPr>
      <w:spacing w:before="120" w:line="240" w:lineRule="auto"/>
      <w:jc w:val="left"/>
      <w:outlineLvl w:val="2"/>
    </w:pPr>
    <w:rPr>
      <w:b/>
      <w:noProof/>
      <w:sz w:val="24"/>
      <w:lang w:val="sl-SI"/>
    </w:rPr>
  </w:style>
  <w:style w:type="paragraph" w:styleId="Heading4">
    <w:name w:val="heading 4"/>
    <w:basedOn w:val="Normal"/>
    <w:next w:val="Normal"/>
    <w:link w:val="Heading4Char"/>
    <w:qFormat/>
    <w:locked/>
    <w:rsid w:val="00957F6A"/>
    <w:pPr>
      <w:keepNext/>
      <w:numPr>
        <w:ilvl w:val="3"/>
        <w:numId w:val="12"/>
      </w:numPr>
      <w:spacing w:before="240" w:after="60" w:line="240" w:lineRule="auto"/>
      <w:outlineLvl w:val="3"/>
    </w:pPr>
    <w:rPr>
      <w:b/>
      <w:bCs/>
      <w:sz w:val="22"/>
      <w:szCs w:val="28"/>
      <w:lang w:val="sl-SI" w:eastAsia="sl-SI"/>
    </w:rPr>
  </w:style>
  <w:style w:type="paragraph" w:styleId="Heading5">
    <w:name w:val="heading 5"/>
    <w:basedOn w:val="Normal"/>
    <w:link w:val="Heading5Char"/>
    <w:qFormat/>
    <w:locked/>
    <w:rsid w:val="00957F6A"/>
    <w:pPr>
      <w:numPr>
        <w:ilvl w:val="4"/>
        <w:numId w:val="12"/>
      </w:numPr>
      <w:spacing w:line="240" w:lineRule="auto"/>
      <w:outlineLvl w:val="4"/>
    </w:pPr>
    <w:rPr>
      <w:bCs/>
      <w:iCs/>
      <w:noProof/>
      <w:sz w:val="22"/>
      <w:lang w:val="sl-SI"/>
    </w:rPr>
  </w:style>
  <w:style w:type="paragraph" w:styleId="Heading6">
    <w:name w:val="heading 6"/>
    <w:basedOn w:val="Normal"/>
    <w:link w:val="Heading6Char"/>
    <w:qFormat/>
    <w:locked/>
    <w:rsid w:val="00957F6A"/>
    <w:pPr>
      <w:keepNext/>
      <w:numPr>
        <w:ilvl w:val="5"/>
        <w:numId w:val="12"/>
      </w:numPr>
      <w:spacing w:line="240" w:lineRule="auto"/>
      <w:outlineLvl w:val="5"/>
    </w:pPr>
    <w:rPr>
      <w:noProof/>
      <w:sz w:val="22"/>
      <w:lang w:val="sl-SI"/>
    </w:rPr>
  </w:style>
  <w:style w:type="paragraph" w:styleId="Heading7">
    <w:name w:val="heading 7"/>
    <w:basedOn w:val="Normal"/>
    <w:link w:val="Heading7Char"/>
    <w:qFormat/>
    <w:locked/>
    <w:rsid w:val="00957F6A"/>
    <w:pPr>
      <w:keepNext/>
      <w:numPr>
        <w:ilvl w:val="6"/>
        <w:numId w:val="12"/>
      </w:numPr>
      <w:spacing w:line="240" w:lineRule="auto"/>
      <w:outlineLvl w:val="6"/>
    </w:pPr>
    <w:rPr>
      <w:noProof/>
      <w:sz w:val="22"/>
      <w:lang w:val="sl-SI"/>
    </w:rPr>
  </w:style>
  <w:style w:type="paragraph" w:styleId="Heading8">
    <w:name w:val="heading 8"/>
    <w:basedOn w:val="Normal"/>
    <w:next w:val="Normal"/>
    <w:link w:val="Heading8Char"/>
    <w:qFormat/>
    <w:locked/>
    <w:rsid w:val="00957F6A"/>
    <w:pPr>
      <w:keepNext/>
      <w:numPr>
        <w:ilvl w:val="7"/>
        <w:numId w:val="12"/>
      </w:numPr>
      <w:spacing w:before="240" w:after="120" w:line="240" w:lineRule="auto"/>
      <w:outlineLvl w:val="7"/>
    </w:pPr>
    <w:rPr>
      <w:b/>
      <w:bCs/>
      <w:noProof/>
      <w:sz w:val="24"/>
      <w:lang w:val="sl-SI"/>
    </w:rPr>
  </w:style>
  <w:style w:type="paragraph" w:styleId="Heading9">
    <w:name w:val="heading 9"/>
    <w:basedOn w:val="Normal"/>
    <w:next w:val="Normal"/>
    <w:link w:val="Heading9Char"/>
    <w:qFormat/>
    <w:locked/>
    <w:rsid w:val="00957F6A"/>
    <w:pPr>
      <w:keepNext/>
      <w:numPr>
        <w:ilvl w:val="8"/>
        <w:numId w:val="12"/>
      </w:numPr>
      <w:spacing w:before="120" w:line="240" w:lineRule="auto"/>
      <w:outlineLvl w:val="8"/>
    </w:pPr>
    <w:rPr>
      <w:rFonts w:cs="Arial"/>
      <w:b/>
      <w:bCs/>
      <w:iCs/>
      <w:sz w:val="22"/>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 w:val="24"/>
      <w:szCs w:val="20"/>
    </w:rPr>
  </w:style>
  <w:style w:type="character" w:customStyle="1" w:styleId="Heading2Char">
    <w:name w:val="Heading 2 Char"/>
    <w:link w:val="Heading2"/>
    <w:rsid w:val="008373D9"/>
    <w:rPr>
      <w:rFonts w:ascii="Arial" w:hAnsi="Arial"/>
      <w:b/>
      <w:bCs/>
      <w:iCs/>
      <w:sz w:val="24"/>
      <w:szCs w:val="28"/>
      <w:lang w:val="en-US" w:eastAsia="en-US"/>
    </w:rPr>
  </w:style>
  <w:style w:type="character" w:customStyle="1" w:styleId="Heading1Char">
    <w:name w:val="Heading 1 Char"/>
    <w:link w:val="Heading1"/>
    <w:locked/>
    <w:rsid w:val="008F0A8D"/>
    <w:rPr>
      <w:rFonts w:ascii="Arial" w:hAnsi="Arial"/>
      <w:b/>
      <w:bCs/>
      <w:kern w:val="32"/>
      <w:sz w:val="28"/>
      <w:szCs w:val="32"/>
      <w:lang w:val="en-US" w:eastAsia="en-US"/>
    </w:rPr>
  </w:style>
  <w:style w:type="paragraph" w:styleId="Footer">
    <w:name w:val="footer"/>
    <w:basedOn w:val="Normal"/>
    <w:link w:val="FooterChar"/>
    <w:uiPriority w:val="99"/>
    <w:semiHidden/>
    <w:pPr>
      <w:tabs>
        <w:tab w:val="center" w:pos="4320"/>
        <w:tab w:val="right" w:pos="8640"/>
      </w:tabs>
    </w:pPr>
    <w:rPr>
      <w:sz w:val="24"/>
    </w:rPr>
  </w:style>
  <w:style w:type="character" w:customStyle="1" w:styleId="HeaderChar">
    <w:name w:val="Header Char"/>
    <w:link w:val="Header"/>
    <w:locked/>
    <w:rsid w:val="00552062"/>
    <w:rPr>
      <w:rFonts w:ascii="Arial" w:hAnsi="Arial" w:cs="Times New Roman"/>
      <w:sz w:val="24"/>
      <w:lang w:val="en-US" w:eastAsia="en-US"/>
    </w:rPr>
  </w:style>
  <w:style w:type="paragraph" w:styleId="DocumentMap">
    <w:name w:val="Document Map"/>
    <w:basedOn w:val="Normal"/>
    <w:link w:val="DocumentMapChar"/>
    <w:uiPriority w:val="99"/>
    <w:rsid w:val="00B31575"/>
    <w:rPr>
      <w:rFonts w:ascii="Tahoma" w:hAnsi="Tahoma"/>
      <w:sz w:val="16"/>
      <w:szCs w:val="20"/>
    </w:rPr>
  </w:style>
  <w:style w:type="character" w:customStyle="1" w:styleId="FooterChar">
    <w:name w:val="Footer Char"/>
    <w:link w:val="Footer"/>
    <w:uiPriority w:val="99"/>
    <w:semiHidden/>
    <w:locked/>
    <w:rPr>
      <w:rFonts w:ascii="Arial" w:hAnsi="Arial" w:cs="Times New Roman"/>
      <w:sz w:val="24"/>
      <w:szCs w:val="24"/>
      <w:lang w:val="en-US" w:eastAsia="en-US"/>
    </w:rPr>
  </w:style>
  <w:style w:type="table" w:styleId="TableGrid">
    <w:name w:val="Table Grid"/>
    <w:basedOn w:val="TableNormal"/>
    <w:uiPriority w:val="9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link w:val="DocumentMap"/>
    <w:uiPriority w:val="99"/>
    <w:locked/>
    <w:rsid w:val="00B31575"/>
    <w:rPr>
      <w:rFonts w:ascii="Tahoma" w:hAnsi="Tahoma" w:cs="Times New Roman"/>
      <w:sz w:val="16"/>
      <w:lang w:val="en-US" w:eastAsia="en-US"/>
    </w:rPr>
  </w:style>
  <w:style w:type="paragraph" w:customStyle="1" w:styleId="datumtevilka">
    <w:name w:val="datum številka"/>
    <w:basedOn w:val="Normal"/>
    <w:qFormat/>
    <w:rsid w:val="00DC6A71"/>
    <w:pPr>
      <w:tabs>
        <w:tab w:val="left" w:pos="1701"/>
      </w:tabs>
    </w:pPr>
    <w:rPr>
      <w:szCs w:val="20"/>
      <w:lang w:val="sl-SI" w:eastAsia="sl-SI"/>
    </w:rPr>
  </w:style>
  <w:style w:type="paragraph" w:customStyle="1" w:styleId="ZADEVA">
    <w:name w:val="ZADEVA"/>
    <w:basedOn w:val="Normal"/>
    <w:uiPriority w:val="99"/>
    <w:rsid w:val="00DC6A71"/>
    <w:pPr>
      <w:tabs>
        <w:tab w:val="left" w:pos="1701"/>
      </w:tabs>
      <w:ind w:left="1701" w:hanging="1701"/>
    </w:pPr>
    <w:rPr>
      <w:b/>
      <w:lang w:val="it-IT"/>
    </w:rPr>
  </w:style>
  <w:style w:type="character" w:styleId="Hyperlink">
    <w:name w:val="Hyperlink"/>
    <w:uiPriority w:val="99"/>
    <w:rsid w:val="00783310"/>
    <w:rPr>
      <w:rFonts w:cs="Times New Roman"/>
      <w:color w:val="0000FF"/>
      <w:u w:val="single"/>
    </w:rPr>
  </w:style>
  <w:style w:type="paragraph" w:customStyle="1" w:styleId="podpisi">
    <w:name w:val="podpisi"/>
    <w:basedOn w:val="Normal"/>
    <w:uiPriority w:val="99"/>
    <w:rsid w:val="003E1C74"/>
    <w:pPr>
      <w:tabs>
        <w:tab w:val="left" w:pos="3402"/>
      </w:tabs>
    </w:pPr>
    <w:rPr>
      <w:lang w:val="it-IT"/>
    </w:rPr>
  </w:style>
  <w:style w:type="paragraph" w:customStyle="1" w:styleId="Vrstapredpisa">
    <w:name w:val="Vrsta predpisa"/>
    <w:basedOn w:val="Normal"/>
    <w:link w:val="VrstapredpisaZnak"/>
    <w:uiPriority w:val="99"/>
    <w:rsid w:val="002C2184"/>
    <w:pPr>
      <w:suppressAutoHyphens/>
      <w:overflowPunct w:val="0"/>
      <w:autoSpaceDE w:val="0"/>
      <w:autoSpaceDN w:val="0"/>
      <w:adjustRightInd w:val="0"/>
      <w:spacing w:before="360" w:line="220" w:lineRule="exact"/>
      <w:jc w:val="center"/>
      <w:textAlignment w:val="baseline"/>
    </w:pPr>
    <w:rPr>
      <w:b/>
      <w:color w:val="000000"/>
      <w:spacing w:val="40"/>
      <w:sz w:val="22"/>
      <w:szCs w:val="20"/>
      <w:lang w:val="sl-SI" w:eastAsia="sl-SI"/>
    </w:rPr>
  </w:style>
  <w:style w:type="character" w:customStyle="1" w:styleId="VrstapredpisaZnak">
    <w:name w:val="Vrsta predpisa Znak"/>
    <w:link w:val="Vrstapredpisa"/>
    <w:uiPriority w:val="99"/>
    <w:locked/>
    <w:rsid w:val="002C2184"/>
    <w:rPr>
      <w:rFonts w:ascii="Arial" w:hAnsi="Arial"/>
      <w:b/>
      <w:color w:val="000000"/>
      <w:spacing w:val="40"/>
      <w:sz w:val="22"/>
      <w:lang w:val="sl-SI" w:eastAsia="sl-SI"/>
    </w:rPr>
  </w:style>
  <w:style w:type="paragraph" w:customStyle="1" w:styleId="Naslovpredpisa">
    <w:name w:val="Naslov_predpisa"/>
    <w:basedOn w:val="Normal"/>
    <w:link w:val="NaslovpredpisaZnak"/>
    <w:uiPriority w:val="99"/>
    <w:rsid w:val="002C2184"/>
    <w:pPr>
      <w:suppressAutoHyphens/>
      <w:overflowPunct w:val="0"/>
      <w:autoSpaceDE w:val="0"/>
      <w:autoSpaceDN w:val="0"/>
      <w:adjustRightInd w:val="0"/>
      <w:spacing w:before="120" w:after="160" w:line="200" w:lineRule="exact"/>
      <w:jc w:val="center"/>
      <w:textAlignment w:val="baseline"/>
    </w:pPr>
    <w:rPr>
      <w:b/>
      <w:sz w:val="22"/>
      <w:szCs w:val="20"/>
      <w:lang w:val="sl-SI" w:eastAsia="sl-SI"/>
    </w:rPr>
  </w:style>
  <w:style w:type="character" w:customStyle="1" w:styleId="NaslovpredpisaZnak">
    <w:name w:val="Naslov_predpisa Znak"/>
    <w:link w:val="Naslovpredpisa"/>
    <w:uiPriority w:val="99"/>
    <w:locked/>
    <w:rsid w:val="002C2184"/>
    <w:rPr>
      <w:rFonts w:ascii="Arial" w:hAnsi="Arial"/>
      <w:b/>
      <w:sz w:val="22"/>
      <w:lang w:val="sl-SI" w:eastAsia="sl-SI"/>
    </w:rPr>
  </w:style>
  <w:style w:type="paragraph" w:customStyle="1" w:styleId="Poglavje">
    <w:name w:val="Poglavje"/>
    <w:basedOn w:val="Normal"/>
    <w:uiPriority w:val="99"/>
    <w:rsid w:val="002C2184"/>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ormal"/>
    <w:link w:val="NeotevilenodstavekZnak"/>
    <w:qFormat/>
    <w:rsid w:val="002C2184"/>
    <w:pPr>
      <w:overflowPunct w:val="0"/>
      <w:autoSpaceDE w:val="0"/>
      <w:autoSpaceDN w:val="0"/>
      <w:adjustRightInd w:val="0"/>
      <w:spacing w:before="60" w:after="60" w:line="200" w:lineRule="exact"/>
      <w:textAlignment w:val="baseline"/>
    </w:pPr>
    <w:rPr>
      <w:sz w:val="22"/>
      <w:szCs w:val="20"/>
      <w:lang w:val="sl-SI" w:eastAsia="sl-SI"/>
    </w:rPr>
  </w:style>
  <w:style w:type="character" w:customStyle="1" w:styleId="NeotevilenodstavekZnak">
    <w:name w:val="Neoštevilčen odstavek Znak"/>
    <w:link w:val="Neotevilenodstavek"/>
    <w:locked/>
    <w:rsid w:val="002C2184"/>
    <w:rPr>
      <w:rFonts w:ascii="Arial" w:hAnsi="Arial"/>
      <w:sz w:val="22"/>
      <w:lang w:val="sl-SI" w:eastAsia="sl-SI"/>
    </w:rPr>
  </w:style>
  <w:style w:type="paragraph" w:customStyle="1" w:styleId="Oddelek">
    <w:name w:val="Oddelek"/>
    <w:basedOn w:val="Normal"/>
    <w:link w:val="OddelekZnak1"/>
    <w:qFormat/>
    <w:rsid w:val="002C2184"/>
    <w:pPr>
      <w:numPr>
        <w:numId w:val="2"/>
      </w:numPr>
      <w:suppressAutoHyphens/>
      <w:overflowPunct w:val="0"/>
      <w:autoSpaceDE w:val="0"/>
      <w:autoSpaceDN w:val="0"/>
      <w:adjustRightInd w:val="0"/>
      <w:spacing w:before="280" w:after="60" w:line="200" w:lineRule="exact"/>
      <w:jc w:val="center"/>
      <w:textAlignment w:val="baseline"/>
      <w:outlineLvl w:val="3"/>
    </w:pPr>
    <w:rPr>
      <w:b/>
      <w:sz w:val="22"/>
      <w:szCs w:val="20"/>
      <w:lang w:val="sl-SI" w:eastAsia="sl-SI"/>
    </w:rPr>
  </w:style>
  <w:style w:type="character" w:customStyle="1" w:styleId="OddelekZnak1">
    <w:name w:val="Oddelek Znak1"/>
    <w:link w:val="Oddelek"/>
    <w:locked/>
    <w:rsid w:val="002C2184"/>
    <w:rPr>
      <w:rFonts w:ascii="Arial" w:hAnsi="Arial"/>
      <w:b/>
      <w:sz w:val="22"/>
    </w:rPr>
  </w:style>
  <w:style w:type="paragraph" w:customStyle="1" w:styleId="Alineazaodstavkom">
    <w:name w:val="Alinea za odstavkom"/>
    <w:basedOn w:val="Normal"/>
    <w:link w:val="AlineazaodstavkomZnak"/>
    <w:uiPriority w:val="99"/>
    <w:rsid w:val="002C2184"/>
    <w:pPr>
      <w:overflowPunct w:val="0"/>
      <w:autoSpaceDE w:val="0"/>
      <w:autoSpaceDN w:val="0"/>
      <w:adjustRightInd w:val="0"/>
      <w:spacing w:line="200" w:lineRule="exact"/>
      <w:ind w:left="709" w:hanging="284"/>
      <w:textAlignment w:val="baseline"/>
    </w:pPr>
    <w:rPr>
      <w:sz w:val="22"/>
      <w:szCs w:val="20"/>
      <w:lang w:val="x-none" w:eastAsia="x-none"/>
    </w:rPr>
  </w:style>
  <w:style w:type="character" w:customStyle="1" w:styleId="AlineazaodstavkomZnak">
    <w:name w:val="Alinea za odstavkom Znak"/>
    <w:link w:val="Alineazaodstavkom"/>
    <w:uiPriority w:val="99"/>
    <w:locked/>
    <w:rsid w:val="002C2184"/>
    <w:rPr>
      <w:rFonts w:ascii="Arial" w:hAnsi="Arial"/>
      <w:sz w:val="22"/>
    </w:rPr>
  </w:style>
  <w:style w:type="paragraph" w:customStyle="1" w:styleId="Odstavekseznama1">
    <w:name w:val="Odstavek seznama1"/>
    <w:basedOn w:val="Normal"/>
    <w:qFormat/>
    <w:rsid w:val="000151E4"/>
    <w:pPr>
      <w:spacing w:line="240" w:lineRule="auto"/>
      <w:ind w:left="720"/>
      <w:contextualSpacing/>
    </w:pPr>
    <w:rPr>
      <w:rFonts w:ascii="Times New Roman" w:hAnsi="Times New Roman"/>
      <w:sz w:val="24"/>
      <w:lang w:val="sl-SI" w:eastAsia="sl-SI"/>
    </w:rPr>
  </w:style>
  <w:style w:type="paragraph" w:customStyle="1" w:styleId="Alineazatoko">
    <w:name w:val="Alinea za točko"/>
    <w:basedOn w:val="Normal"/>
    <w:link w:val="AlineazatokoZnak"/>
    <w:uiPriority w:val="99"/>
    <w:rsid w:val="000151E4"/>
    <w:pPr>
      <w:overflowPunct w:val="0"/>
      <w:autoSpaceDE w:val="0"/>
      <w:autoSpaceDN w:val="0"/>
      <w:adjustRightInd w:val="0"/>
      <w:spacing w:line="200" w:lineRule="exact"/>
      <w:ind w:left="1428" w:hanging="360"/>
      <w:textAlignment w:val="baseline"/>
    </w:pPr>
    <w:rPr>
      <w:sz w:val="22"/>
      <w:szCs w:val="20"/>
      <w:lang w:val="x-none" w:eastAsia="x-none"/>
    </w:rPr>
  </w:style>
  <w:style w:type="character" w:customStyle="1" w:styleId="AlineazatokoZnak">
    <w:name w:val="Alinea za točko Znak"/>
    <w:link w:val="Alineazatoko"/>
    <w:uiPriority w:val="99"/>
    <w:locked/>
    <w:rsid w:val="000151E4"/>
    <w:rPr>
      <w:rFonts w:ascii="Arial" w:hAnsi="Arial"/>
      <w:sz w:val="22"/>
    </w:rPr>
  </w:style>
  <w:style w:type="character" w:customStyle="1" w:styleId="rkovnatokazaodstavkomZnak">
    <w:name w:val="Črkovna točka_za odstavkom Znak"/>
    <w:link w:val="rkovnatokazaodstavkom"/>
    <w:uiPriority w:val="99"/>
    <w:locked/>
    <w:rsid w:val="000151E4"/>
    <w:rPr>
      <w:rFonts w:ascii="Arial" w:hAnsi="Arial"/>
      <w:lang w:val="x-none"/>
    </w:rPr>
  </w:style>
  <w:style w:type="paragraph" w:customStyle="1" w:styleId="rkovnatokazaodstavkom">
    <w:name w:val="Črkovna točka_za odstavkom"/>
    <w:basedOn w:val="Normal"/>
    <w:link w:val="rkovnatokazaodstavkomZnak"/>
    <w:uiPriority w:val="99"/>
    <w:rsid w:val="000151E4"/>
    <w:pPr>
      <w:numPr>
        <w:numId w:val="3"/>
      </w:numPr>
      <w:overflowPunct w:val="0"/>
      <w:autoSpaceDE w:val="0"/>
      <w:autoSpaceDN w:val="0"/>
      <w:adjustRightInd w:val="0"/>
      <w:spacing w:line="200" w:lineRule="exact"/>
      <w:textAlignment w:val="baseline"/>
    </w:pPr>
    <w:rPr>
      <w:szCs w:val="20"/>
      <w:lang w:val="x-none" w:eastAsia="sl-SI"/>
    </w:rPr>
  </w:style>
  <w:style w:type="paragraph" w:customStyle="1" w:styleId="Odsek">
    <w:name w:val="Odsek"/>
    <w:basedOn w:val="Oddelek"/>
    <w:link w:val="OdsekZnak"/>
    <w:uiPriority w:val="99"/>
    <w:rsid w:val="000151E4"/>
    <w:pPr>
      <w:numPr>
        <w:numId w:val="0"/>
      </w:numPr>
      <w:tabs>
        <w:tab w:val="num" w:pos="720"/>
      </w:tabs>
    </w:pPr>
  </w:style>
  <w:style w:type="character" w:customStyle="1" w:styleId="OdsekZnak">
    <w:name w:val="Odsek Znak"/>
    <w:link w:val="Odsek"/>
    <w:uiPriority w:val="99"/>
    <w:locked/>
    <w:rsid w:val="000151E4"/>
    <w:rPr>
      <w:rFonts w:ascii="Arial" w:hAnsi="Arial"/>
      <w:b/>
      <w:sz w:val="22"/>
      <w:lang w:val="sl-SI" w:eastAsia="sl-SI"/>
    </w:rPr>
  </w:style>
  <w:style w:type="paragraph" w:styleId="PlainText">
    <w:name w:val="Plain Text"/>
    <w:basedOn w:val="Normal"/>
    <w:link w:val="PlainTextChar"/>
    <w:uiPriority w:val="99"/>
    <w:rsid w:val="00C65A05"/>
    <w:pPr>
      <w:spacing w:line="240" w:lineRule="auto"/>
    </w:pPr>
    <w:rPr>
      <w:rFonts w:ascii="Consolas" w:eastAsia="SimSun" w:hAnsi="Consolas"/>
      <w:sz w:val="21"/>
      <w:szCs w:val="20"/>
      <w:lang w:val="x-none" w:eastAsia="zh-CN"/>
    </w:rPr>
  </w:style>
  <w:style w:type="paragraph" w:styleId="BalloonText">
    <w:name w:val="Balloon Text"/>
    <w:basedOn w:val="Normal"/>
    <w:link w:val="BalloonTextChar"/>
    <w:uiPriority w:val="99"/>
    <w:rsid w:val="00A06768"/>
    <w:pPr>
      <w:spacing w:line="240" w:lineRule="auto"/>
    </w:pPr>
    <w:rPr>
      <w:rFonts w:ascii="Tahoma" w:hAnsi="Tahoma"/>
      <w:sz w:val="16"/>
      <w:szCs w:val="20"/>
    </w:rPr>
  </w:style>
  <w:style w:type="character" w:customStyle="1" w:styleId="PlainTextChar">
    <w:name w:val="Plain Text Char"/>
    <w:link w:val="PlainText"/>
    <w:uiPriority w:val="99"/>
    <w:locked/>
    <w:rsid w:val="00C65A05"/>
    <w:rPr>
      <w:rFonts w:ascii="Consolas" w:eastAsia="SimSun" w:hAnsi="Consolas" w:cs="Times New Roman"/>
      <w:sz w:val="21"/>
      <w:lang w:val="x-none" w:eastAsia="zh-CN"/>
    </w:rPr>
  </w:style>
  <w:style w:type="paragraph" w:customStyle="1" w:styleId="doc">
    <w:name w:val="doc"/>
    <w:basedOn w:val="Normal"/>
    <w:uiPriority w:val="99"/>
    <w:rsid w:val="00C87B26"/>
    <w:pPr>
      <w:spacing w:after="75" w:line="300" w:lineRule="atLeast"/>
    </w:pPr>
    <w:rPr>
      <w:rFonts w:cs="Arial"/>
      <w:szCs w:val="20"/>
      <w:lang w:val="sl-SI" w:eastAsia="sl-SI"/>
    </w:rPr>
  </w:style>
  <w:style w:type="character" w:customStyle="1" w:styleId="BalloonTextChar">
    <w:name w:val="Balloon Text Char"/>
    <w:link w:val="BalloonText"/>
    <w:uiPriority w:val="99"/>
    <w:locked/>
    <w:rsid w:val="00A06768"/>
    <w:rPr>
      <w:rFonts w:ascii="Tahoma" w:hAnsi="Tahoma" w:cs="Times New Roman"/>
      <w:sz w:val="16"/>
      <w:lang w:val="en-US" w:eastAsia="en-US"/>
    </w:rPr>
  </w:style>
  <w:style w:type="paragraph" w:customStyle="1" w:styleId="BesediloTocke">
    <w:name w:val="BesediloTocke"/>
    <w:basedOn w:val="Normal"/>
    <w:uiPriority w:val="99"/>
    <w:rsid w:val="009542A6"/>
    <w:pPr>
      <w:widowControl w:val="0"/>
      <w:overflowPunct w:val="0"/>
      <w:autoSpaceDE w:val="0"/>
      <w:autoSpaceDN w:val="0"/>
      <w:adjustRightInd w:val="0"/>
      <w:spacing w:before="120" w:after="240" w:line="240" w:lineRule="auto"/>
      <w:ind w:left="426"/>
      <w:textAlignment w:val="baseline"/>
    </w:pPr>
    <w:rPr>
      <w:rFonts w:ascii="Tahoma" w:hAnsi="Tahoma"/>
      <w:sz w:val="22"/>
      <w:szCs w:val="20"/>
      <w:lang w:val="sl-SI" w:eastAsia="sl-SI"/>
    </w:rPr>
  </w:style>
  <w:style w:type="paragraph" w:styleId="NormalWeb">
    <w:name w:val="Normal (Web)"/>
    <w:basedOn w:val="Normal"/>
    <w:uiPriority w:val="99"/>
    <w:rsid w:val="008B4905"/>
    <w:pPr>
      <w:spacing w:after="119" w:line="240" w:lineRule="auto"/>
    </w:pPr>
    <w:rPr>
      <w:rFonts w:ascii="Times New Roman" w:hAnsi="Times New Roman"/>
      <w:color w:val="333333"/>
      <w:sz w:val="10"/>
      <w:szCs w:val="10"/>
      <w:lang w:val="sl-SI" w:eastAsia="sl-SI"/>
    </w:rPr>
  </w:style>
  <w:style w:type="paragraph" w:customStyle="1" w:styleId="Odstavekseznama2">
    <w:name w:val="Odstavek seznama2"/>
    <w:basedOn w:val="Normal"/>
    <w:uiPriority w:val="99"/>
    <w:rsid w:val="0066145A"/>
    <w:pPr>
      <w:spacing w:line="260" w:lineRule="atLeast"/>
      <w:ind w:left="708"/>
    </w:pPr>
  </w:style>
  <w:style w:type="paragraph" w:customStyle="1" w:styleId="msolistparagraph0">
    <w:name w:val="msolistparagraph"/>
    <w:basedOn w:val="Normal"/>
    <w:uiPriority w:val="99"/>
    <w:rsid w:val="00AD59DA"/>
    <w:pPr>
      <w:spacing w:line="240" w:lineRule="auto"/>
      <w:ind w:left="720"/>
    </w:pPr>
    <w:rPr>
      <w:rFonts w:ascii="Calibri" w:hAnsi="Calibri"/>
      <w:sz w:val="22"/>
      <w:szCs w:val="22"/>
      <w:lang w:val="sl-SI"/>
    </w:rPr>
  </w:style>
  <w:style w:type="character" w:styleId="Strong">
    <w:name w:val="Strong"/>
    <w:uiPriority w:val="99"/>
    <w:qFormat/>
    <w:rsid w:val="00CB7CB2"/>
    <w:rPr>
      <w:rFonts w:cs="Times New Roman"/>
      <w:b/>
    </w:rPr>
  </w:style>
  <w:style w:type="paragraph" w:styleId="BodyText">
    <w:name w:val="Body Text"/>
    <w:basedOn w:val="Normal"/>
    <w:link w:val="BodyTextChar"/>
    <w:uiPriority w:val="99"/>
    <w:rsid w:val="00615689"/>
    <w:pPr>
      <w:spacing w:line="240" w:lineRule="auto"/>
    </w:pPr>
    <w:rPr>
      <w:b/>
      <w:sz w:val="22"/>
      <w:szCs w:val="20"/>
      <w:lang w:val="en-GB"/>
    </w:rPr>
  </w:style>
  <w:style w:type="character" w:customStyle="1" w:styleId="Bodytext0">
    <w:name w:val="Body text_"/>
    <w:link w:val="BodyText26"/>
    <w:uiPriority w:val="99"/>
    <w:locked/>
    <w:rsid w:val="00B06398"/>
    <w:rPr>
      <w:rFonts w:ascii="Arial" w:hAnsi="Arial"/>
      <w:spacing w:val="10"/>
      <w:sz w:val="17"/>
      <w:shd w:val="clear" w:color="auto" w:fill="FFFFFF"/>
    </w:rPr>
  </w:style>
  <w:style w:type="character" w:customStyle="1" w:styleId="BodyTextChar">
    <w:name w:val="Body Text Char"/>
    <w:link w:val="BodyText"/>
    <w:uiPriority w:val="99"/>
    <w:semiHidden/>
    <w:locked/>
    <w:rsid w:val="00615689"/>
    <w:rPr>
      <w:rFonts w:ascii="Arial" w:hAnsi="Arial" w:cs="Times New Roman"/>
      <w:b/>
      <w:sz w:val="22"/>
      <w:lang w:val="en-GB" w:eastAsia="en-US"/>
    </w:rPr>
  </w:style>
  <w:style w:type="character" w:customStyle="1" w:styleId="Bodytext8">
    <w:name w:val="Body text (8)_"/>
    <w:link w:val="Bodytext80"/>
    <w:uiPriority w:val="99"/>
    <w:locked/>
    <w:rsid w:val="00B06398"/>
    <w:rPr>
      <w:rFonts w:ascii="Arial" w:hAnsi="Arial"/>
      <w:sz w:val="24"/>
      <w:shd w:val="clear" w:color="auto" w:fill="FFFFFF"/>
    </w:rPr>
  </w:style>
  <w:style w:type="character" w:customStyle="1" w:styleId="Heading20">
    <w:name w:val="Heading #2_"/>
    <w:link w:val="Heading21"/>
    <w:uiPriority w:val="99"/>
    <w:locked/>
    <w:rsid w:val="00B06398"/>
    <w:rPr>
      <w:rFonts w:ascii="Arial" w:hAnsi="Arial"/>
      <w:sz w:val="17"/>
      <w:shd w:val="clear" w:color="auto" w:fill="FFFFFF"/>
    </w:rPr>
  </w:style>
  <w:style w:type="character" w:customStyle="1" w:styleId="BodytextBold">
    <w:name w:val="Body text + Bold"/>
    <w:aliases w:val="Spacing 0 pt"/>
    <w:uiPriority w:val="99"/>
    <w:rsid w:val="00B06398"/>
    <w:rPr>
      <w:rFonts w:ascii="Arial" w:hAnsi="Arial"/>
      <w:b/>
      <w:spacing w:val="0"/>
      <w:sz w:val="17"/>
    </w:rPr>
  </w:style>
  <w:style w:type="paragraph" w:customStyle="1" w:styleId="BodyText26">
    <w:name w:val="Body Text26"/>
    <w:basedOn w:val="Normal"/>
    <w:link w:val="Bodytext0"/>
    <w:uiPriority w:val="99"/>
    <w:rsid w:val="00B06398"/>
    <w:pPr>
      <w:shd w:val="clear" w:color="auto" w:fill="FFFFFF"/>
      <w:spacing w:after="720" w:line="240" w:lineRule="exact"/>
      <w:ind w:hanging="360"/>
    </w:pPr>
    <w:rPr>
      <w:spacing w:val="10"/>
      <w:sz w:val="17"/>
      <w:szCs w:val="20"/>
      <w:lang w:val="x-none" w:eastAsia="x-none"/>
    </w:rPr>
  </w:style>
  <w:style w:type="paragraph" w:customStyle="1" w:styleId="Bodytext80">
    <w:name w:val="Body text (8)"/>
    <w:basedOn w:val="Normal"/>
    <w:link w:val="Bodytext8"/>
    <w:uiPriority w:val="99"/>
    <w:rsid w:val="00B06398"/>
    <w:pPr>
      <w:shd w:val="clear" w:color="auto" w:fill="FFFFFF"/>
      <w:spacing w:before="720" w:after="240" w:line="240" w:lineRule="atLeast"/>
      <w:ind w:hanging="340"/>
    </w:pPr>
    <w:rPr>
      <w:sz w:val="24"/>
      <w:szCs w:val="20"/>
      <w:lang w:val="x-none" w:eastAsia="x-none"/>
    </w:rPr>
  </w:style>
  <w:style w:type="paragraph" w:customStyle="1" w:styleId="Heading21">
    <w:name w:val="Heading #2"/>
    <w:basedOn w:val="Normal"/>
    <w:link w:val="Heading20"/>
    <w:uiPriority w:val="99"/>
    <w:rsid w:val="00B06398"/>
    <w:pPr>
      <w:shd w:val="clear" w:color="auto" w:fill="FFFFFF"/>
      <w:spacing w:before="240" w:after="180" w:line="240" w:lineRule="atLeast"/>
      <w:ind w:hanging="340"/>
      <w:outlineLvl w:val="1"/>
    </w:pPr>
    <w:rPr>
      <w:sz w:val="17"/>
      <w:szCs w:val="20"/>
      <w:lang w:val="x-none" w:eastAsia="x-none"/>
    </w:rPr>
  </w:style>
  <w:style w:type="character" w:styleId="PageNumber">
    <w:name w:val="page number"/>
    <w:uiPriority w:val="99"/>
    <w:rsid w:val="008709FE"/>
    <w:rPr>
      <w:rFonts w:cs="Times New Roman"/>
    </w:rPr>
  </w:style>
  <w:style w:type="paragraph" w:customStyle="1" w:styleId="Revizija1">
    <w:name w:val="Revizija1"/>
    <w:hidden/>
    <w:uiPriority w:val="99"/>
    <w:semiHidden/>
    <w:rsid w:val="0057003F"/>
    <w:rPr>
      <w:rFonts w:ascii="Arial" w:hAnsi="Arial"/>
      <w:szCs w:val="24"/>
      <w:lang w:val="en-US" w:eastAsia="en-US"/>
    </w:rPr>
  </w:style>
  <w:style w:type="paragraph" w:customStyle="1" w:styleId="Odstavekseznama3">
    <w:name w:val="Odstavek seznama3"/>
    <w:basedOn w:val="Normal"/>
    <w:link w:val="OdstavekseznamaZnak"/>
    <w:uiPriority w:val="34"/>
    <w:qFormat/>
    <w:rsid w:val="00624F31"/>
    <w:pPr>
      <w:spacing w:after="200" w:line="276" w:lineRule="auto"/>
      <w:ind w:left="720"/>
      <w:contextualSpacing/>
    </w:pPr>
    <w:rPr>
      <w:rFonts w:ascii="Calibri" w:hAnsi="Calibri"/>
      <w:sz w:val="22"/>
      <w:szCs w:val="22"/>
      <w:lang w:val="sl-SI"/>
    </w:rPr>
  </w:style>
  <w:style w:type="character" w:customStyle="1" w:styleId="Bodytext3">
    <w:name w:val="Body text (3)_"/>
    <w:link w:val="Bodytext30"/>
    <w:uiPriority w:val="99"/>
    <w:locked/>
    <w:rsid w:val="00E94E7B"/>
    <w:rPr>
      <w:rFonts w:ascii="Calibri" w:hAnsi="Calibri"/>
      <w:sz w:val="18"/>
      <w:shd w:val="clear" w:color="auto" w:fill="FFFFFF"/>
    </w:rPr>
  </w:style>
  <w:style w:type="paragraph" w:customStyle="1" w:styleId="Bodytext30">
    <w:name w:val="Body text (3)"/>
    <w:basedOn w:val="Normal"/>
    <w:link w:val="Bodytext3"/>
    <w:uiPriority w:val="99"/>
    <w:rsid w:val="00E94E7B"/>
    <w:pPr>
      <w:shd w:val="clear" w:color="auto" w:fill="FFFFFF"/>
      <w:spacing w:before="240" w:after="240" w:line="259" w:lineRule="exact"/>
      <w:ind w:hanging="360"/>
    </w:pPr>
    <w:rPr>
      <w:rFonts w:ascii="Calibri" w:hAnsi="Calibri"/>
      <w:sz w:val="18"/>
      <w:szCs w:val="20"/>
      <w:lang w:val="x-none" w:eastAsia="x-none"/>
    </w:rPr>
  </w:style>
  <w:style w:type="paragraph" w:customStyle="1" w:styleId="BodyText1">
    <w:name w:val="Body Text1"/>
    <w:basedOn w:val="Normal"/>
    <w:uiPriority w:val="99"/>
    <w:rsid w:val="00E94E7B"/>
    <w:pPr>
      <w:shd w:val="clear" w:color="auto" w:fill="FFFFFF"/>
      <w:spacing w:line="259" w:lineRule="exact"/>
    </w:pPr>
    <w:rPr>
      <w:rFonts w:ascii="Calibri" w:hAnsi="Calibri" w:cs="Calibri"/>
      <w:i/>
      <w:iCs/>
      <w:color w:val="000000"/>
      <w:sz w:val="19"/>
      <w:szCs w:val="19"/>
      <w:lang w:val="sl" w:eastAsia="sl-SI"/>
    </w:rPr>
  </w:style>
  <w:style w:type="character" w:customStyle="1" w:styleId="Bodytext9pt">
    <w:name w:val="Body text + 9 pt"/>
    <w:aliases w:val="Not Italic"/>
    <w:uiPriority w:val="99"/>
    <w:rsid w:val="00E94E7B"/>
    <w:rPr>
      <w:rFonts w:ascii="Calibri" w:hAnsi="Calibri"/>
      <w:i/>
      <w:spacing w:val="0"/>
      <w:sz w:val="18"/>
      <w:shd w:val="clear" w:color="auto" w:fill="FFFFFF"/>
    </w:rPr>
  </w:style>
  <w:style w:type="paragraph" w:customStyle="1" w:styleId="Default">
    <w:name w:val="Default"/>
    <w:uiPriority w:val="99"/>
    <w:rsid w:val="00494DF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rsid w:val="008C330B"/>
    <w:rPr>
      <w:rFonts w:cs="Times New Roman"/>
      <w:sz w:val="16"/>
      <w:szCs w:val="16"/>
    </w:rPr>
  </w:style>
  <w:style w:type="paragraph" w:styleId="CommentText">
    <w:name w:val="annotation text"/>
    <w:basedOn w:val="Normal"/>
    <w:link w:val="CommentTextChar"/>
    <w:uiPriority w:val="99"/>
    <w:semiHidden/>
    <w:rsid w:val="008C330B"/>
    <w:rPr>
      <w:szCs w:val="20"/>
    </w:rPr>
  </w:style>
  <w:style w:type="paragraph" w:styleId="CommentSubject">
    <w:name w:val="annotation subject"/>
    <w:basedOn w:val="CommentText"/>
    <w:next w:val="CommentText"/>
    <w:link w:val="CommentSubjectChar"/>
    <w:uiPriority w:val="99"/>
    <w:semiHidden/>
    <w:rsid w:val="008C330B"/>
    <w:rPr>
      <w:b/>
      <w:bCs/>
    </w:rPr>
  </w:style>
  <w:style w:type="character" w:customStyle="1" w:styleId="CommentTextChar">
    <w:name w:val="Comment Text Char"/>
    <w:link w:val="CommentText"/>
    <w:uiPriority w:val="99"/>
    <w:semiHidden/>
    <w:locked/>
    <w:rPr>
      <w:rFonts w:ascii="Arial" w:hAnsi="Arial" w:cs="Times New Roman"/>
      <w:sz w:val="20"/>
      <w:szCs w:val="20"/>
      <w:lang w:val="en-US" w:eastAsia="en-US"/>
    </w:rPr>
  </w:style>
  <w:style w:type="character" w:customStyle="1" w:styleId="CharChar2">
    <w:name w:val="Char Char2"/>
    <w:uiPriority w:val="99"/>
    <w:semiHidden/>
    <w:locked/>
    <w:rsid w:val="00624F31"/>
    <w:rPr>
      <w:rFonts w:ascii="Arial" w:hAnsi="Arial" w:cs="Times New Roman"/>
      <w:sz w:val="24"/>
      <w:szCs w:val="24"/>
      <w:lang w:val="en-US" w:eastAsia="en-US" w:bidi="ar-SA"/>
    </w:rPr>
  </w:style>
  <w:style w:type="character" w:customStyle="1" w:styleId="CommentSubjectChar">
    <w:name w:val="Comment Subject Char"/>
    <w:link w:val="CommentSubject"/>
    <w:uiPriority w:val="99"/>
    <w:semiHidden/>
    <w:locked/>
    <w:rPr>
      <w:rFonts w:ascii="Arial" w:hAnsi="Arial" w:cs="Times New Roman"/>
      <w:b/>
      <w:bCs/>
      <w:sz w:val="20"/>
      <w:szCs w:val="20"/>
      <w:lang w:val="en-US" w:eastAsia="en-US"/>
    </w:rPr>
  </w:style>
  <w:style w:type="paragraph" w:styleId="FootnoteText">
    <w:name w:val="footnote text"/>
    <w:aliases w:val="Footnote,Fußnote,Footnote Text Char Char,FSR footnote,lábléc"/>
    <w:basedOn w:val="Normal"/>
    <w:link w:val="FootnoteTextChar"/>
    <w:rsid w:val="00624F31"/>
    <w:pPr>
      <w:spacing w:line="240" w:lineRule="auto"/>
    </w:pPr>
    <w:rPr>
      <w:rFonts w:cs="Arial"/>
      <w:szCs w:val="20"/>
      <w:lang w:val="sl-SI" w:eastAsia="sl-SI"/>
    </w:rPr>
  </w:style>
  <w:style w:type="character" w:styleId="FootnoteReference">
    <w:name w:val="footnote reference"/>
    <w:semiHidden/>
    <w:rsid w:val="00624F31"/>
    <w:rPr>
      <w:rFonts w:cs="Times New Roman"/>
      <w:vertAlign w:val="superscript"/>
    </w:rPr>
  </w:style>
  <w:style w:type="character" w:customStyle="1" w:styleId="FootnoteTextChar">
    <w:name w:val="Footnote Text Char"/>
    <w:aliases w:val="Footnote Char,Fußnote Char,Footnote Text Char Char Char,FSR footnote Char,lábléc Char"/>
    <w:link w:val="FootnoteText"/>
    <w:locked/>
    <w:rsid w:val="00624F31"/>
    <w:rPr>
      <w:rFonts w:ascii="Arial" w:hAnsi="Arial" w:cs="Arial"/>
      <w:lang w:val="sl-SI" w:eastAsia="sl-SI" w:bidi="ar-SA"/>
    </w:rPr>
  </w:style>
  <w:style w:type="paragraph" w:styleId="BodyTextIndent2">
    <w:name w:val="Body Text Indent 2"/>
    <w:basedOn w:val="Normal"/>
    <w:link w:val="BodyTextIndent2Char"/>
    <w:uiPriority w:val="99"/>
    <w:rsid w:val="00624F31"/>
    <w:pPr>
      <w:spacing w:after="120" w:line="480" w:lineRule="auto"/>
      <w:ind w:left="283"/>
    </w:pPr>
  </w:style>
  <w:style w:type="character" w:customStyle="1" w:styleId="BodyTextIndent2Char">
    <w:name w:val="Body Text Indent 2 Char"/>
    <w:link w:val="BodyTextIndent2"/>
    <w:uiPriority w:val="99"/>
    <w:rPr>
      <w:rFonts w:ascii="Arial" w:hAnsi="Arial"/>
      <w:sz w:val="20"/>
      <w:szCs w:val="24"/>
      <w:lang w:val="en-US" w:eastAsia="en-US"/>
    </w:rPr>
  </w:style>
  <w:style w:type="paragraph" w:customStyle="1" w:styleId="alineazaodstavkom0">
    <w:name w:val="alineazaodstavkom"/>
    <w:basedOn w:val="Normal"/>
    <w:rsid w:val="00551B94"/>
    <w:pPr>
      <w:spacing w:before="100" w:beforeAutospacing="1" w:after="100" w:afterAutospacing="1" w:line="240" w:lineRule="auto"/>
    </w:pPr>
    <w:rPr>
      <w:rFonts w:ascii="Times New Roman" w:hAnsi="Times New Roman"/>
      <w:sz w:val="24"/>
      <w:lang w:val="sl-SI" w:eastAsia="sl-SI"/>
    </w:rPr>
  </w:style>
  <w:style w:type="character" w:customStyle="1" w:styleId="hps">
    <w:name w:val="hps"/>
    <w:rsid w:val="00394B4B"/>
  </w:style>
  <w:style w:type="paragraph" w:styleId="NoSpacing">
    <w:name w:val="No Spacing"/>
    <w:link w:val="NoSpacingChar"/>
    <w:uiPriority w:val="1"/>
    <w:qFormat/>
    <w:rsid w:val="00B467F0"/>
    <w:rPr>
      <w:rFonts w:ascii="Arial" w:hAnsi="Arial"/>
      <w:szCs w:val="24"/>
      <w:lang w:val="en-US" w:eastAsia="en-US"/>
    </w:rPr>
  </w:style>
  <w:style w:type="character" w:styleId="Emphasis">
    <w:name w:val="Emphasis"/>
    <w:uiPriority w:val="20"/>
    <w:qFormat/>
    <w:locked/>
    <w:rsid w:val="00E33A76"/>
    <w:rPr>
      <w:b/>
      <w:bCs/>
      <w:i w:val="0"/>
      <w:iCs w:val="0"/>
    </w:rPr>
  </w:style>
  <w:style w:type="character" w:customStyle="1" w:styleId="st">
    <w:name w:val="st"/>
    <w:rsid w:val="00E33A76"/>
  </w:style>
  <w:style w:type="character" w:customStyle="1" w:styleId="Heading3Char">
    <w:name w:val="Heading 3 Char"/>
    <w:link w:val="Heading3"/>
    <w:rsid w:val="00F80F99"/>
    <w:rPr>
      <w:rFonts w:ascii="Arial" w:hAnsi="Arial"/>
      <w:b/>
      <w:noProof/>
      <w:sz w:val="24"/>
      <w:szCs w:val="24"/>
      <w:lang w:eastAsia="en-US"/>
    </w:rPr>
  </w:style>
  <w:style w:type="character" w:customStyle="1" w:styleId="Heading4Char">
    <w:name w:val="Heading 4 Char"/>
    <w:link w:val="Heading4"/>
    <w:rsid w:val="00957F6A"/>
    <w:rPr>
      <w:rFonts w:ascii="Arial" w:hAnsi="Arial"/>
      <w:b/>
      <w:bCs/>
      <w:sz w:val="22"/>
      <w:szCs w:val="28"/>
    </w:rPr>
  </w:style>
  <w:style w:type="character" w:customStyle="1" w:styleId="Heading5Char">
    <w:name w:val="Heading 5 Char"/>
    <w:link w:val="Heading5"/>
    <w:rsid w:val="00957F6A"/>
    <w:rPr>
      <w:rFonts w:ascii="Arial" w:hAnsi="Arial"/>
      <w:bCs/>
      <w:iCs/>
      <w:noProof/>
      <w:sz w:val="22"/>
      <w:szCs w:val="24"/>
      <w:lang w:eastAsia="en-US"/>
    </w:rPr>
  </w:style>
  <w:style w:type="character" w:customStyle="1" w:styleId="Heading6Char">
    <w:name w:val="Heading 6 Char"/>
    <w:link w:val="Heading6"/>
    <w:rsid w:val="00957F6A"/>
    <w:rPr>
      <w:rFonts w:ascii="Arial" w:hAnsi="Arial"/>
      <w:noProof/>
      <w:sz w:val="22"/>
      <w:szCs w:val="24"/>
      <w:lang w:eastAsia="en-US"/>
    </w:rPr>
  </w:style>
  <w:style w:type="character" w:customStyle="1" w:styleId="Heading7Char">
    <w:name w:val="Heading 7 Char"/>
    <w:link w:val="Heading7"/>
    <w:rsid w:val="00957F6A"/>
    <w:rPr>
      <w:rFonts w:ascii="Arial" w:hAnsi="Arial"/>
      <w:noProof/>
      <w:sz w:val="22"/>
      <w:szCs w:val="24"/>
      <w:lang w:eastAsia="en-US"/>
    </w:rPr>
  </w:style>
  <w:style w:type="character" w:customStyle="1" w:styleId="Heading8Char">
    <w:name w:val="Heading 8 Char"/>
    <w:link w:val="Heading8"/>
    <w:rsid w:val="00957F6A"/>
    <w:rPr>
      <w:rFonts w:ascii="Arial" w:hAnsi="Arial"/>
      <w:b/>
      <w:bCs/>
      <w:noProof/>
      <w:sz w:val="24"/>
      <w:szCs w:val="24"/>
      <w:lang w:eastAsia="en-US"/>
    </w:rPr>
  </w:style>
  <w:style w:type="character" w:customStyle="1" w:styleId="Heading9Char">
    <w:name w:val="Heading 9 Char"/>
    <w:link w:val="Heading9"/>
    <w:rsid w:val="00957F6A"/>
    <w:rPr>
      <w:rFonts w:ascii="Arial" w:hAnsi="Arial" w:cs="Arial"/>
      <w:b/>
      <w:bCs/>
      <w:iCs/>
      <w:sz w:val="22"/>
      <w:szCs w:val="24"/>
    </w:rPr>
  </w:style>
  <w:style w:type="paragraph" w:styleId="TOC2">
    <w:name w:val="toc 2"/>
    <w:basedOn w:val="Normal"/>
    <w:next w:val="Normal"/>
    <w:autoRedefine/>
    <w:uiPriority w:val="39"/>
    <w:locked/>
    <w:rsid w:val="00D425CC"/>
    <w:pPr>
      <w:ind w:left="200"/>
    </w:pPr>
  </w:style>
  <w:style w:type="paragraph" w:styleId="TOCHeading">
    <w:name w:val="TOC Heading"/>
    <w:basedOn w:val="Heading1"/>
    <w:next w:val="Normal"/>
    <w:uiPriority w:val="39"/>
    <w:semiHidden/>
    <w:unhideWhenUsed/>
    <w:qFormat/>
    <w:rsid w:val="009C08C6"/>
    <w:pPr>
      <w:keepLines/>
      <w:spacing w:before="480" w:after="0" w:line="276" w:lineRule="auto"/>
      <w:outlineLvl w:val="9"/>
    </w:pPr>
    <w:rPr>
      <w:rFonts w:ascii="Cambria" w:hAnsi="Cambria"/>
      <w:color w:val="365F91"/>
      <w:kern w:val="0"/>
      <w:szCs w:val="28"/>
      <w:lang w:val="sl-SI" w:eastAsia="sl-SI"/>
    </w:rPr>
  </w:style>
  <w:style w:type="paragraph" w:styleId="TOC1">
    <w:name w:val="toc 1"/>
    <w:basedOn w:val="Normal"/>
    <w:next w:val="Normal"/>
    <w:autoRedefine/>
    <w:uiPriority w:val="39"/>
    <w:locked/>
    <w:rsid w:val="00A379D9"/>
  </w:style>
  <w:style w:type="paragraph" w:styleId="Caption">
    <w:name w:val="caption"/>
    <w:basedOn w:val="Normal"/>
    <w:next w:val="Normal"/>
    <w:unhideWhenUsed/>
    <w:qFormat/>
    <w:locked/>
    <w:rsid w:val="00E4103D"/>
    <w:rPr>
      <w:b/>
      <w:bCs/>
      <w:szCs w:val="20"/>
    </w:rPr>
  </w:style>
  <w:style w:type="paragraph" w:styleId="TableofFigures">
    <w:name w:val="table of figures"/>
    <w:basedOn w:val="Normal"/>
    <w:next w:val="Normal"/>
    <w:uiPriority w:val="99"/>
    <w:unhideWhenUsed/>
    <w:rsid w:val="00E4103D"/>
  </w:style>
  <w:style w:type="paragraph" w:styleId="Revision">
    <w:name w:val="Revision"/>
    <w:hidden/>
    <w:uiPriority w:val="99"/>
    <w:semiHidden/>
    <w:rsid w:val="00C611DB"/>
    <w:rPr>
      <w:rFonts w:ascii="Arial" w:hAnsi="Arial"/>
      <w:szCs w:val="24"/>
      <w:lang w:val="en-US" w:eastAsia="en-US"/>
    </w:rPr>
  </w:style>
  <w:style w:type="paragraph" w:styleId="ListParagraph">
    <w:name w:val="List Paragraph"/>
    <w:basedOn w:val="Normal"/>
    <w:uiPriority w:val="99"/>
    <w:qFormat/>
    <w:rsid w:val="004258A0"/>
    <w:pPr>
      <w:spacing w:after="200" w:line="276" w:lineRule="auto"/>
      <w:ind w:left="720"/>
      <w:contextualSpacing/>
      <w:jc w:val="left"/>
    </w:pPr>
    <w:rPr>
      <w:rFonts w:ascii="Calibri" w:eastAsia="Calibri" w:hAnsi="Calibri"/>
      <w:sz w:val="22"/>
      <w:szCs w:val="22"/>
      <w:lang w:val="sl-SI"/>
    </w:rPr>
  </w:style>
  <w:style w:type="character" w:customStyle="1" w:styleId="OdstavekseznamaZnak">
    <w:name w:val="Odstavek seznama Znak"/>
    <w:link w:val="Odstavekseznama3"/>
    <w:uiPriority w:val="34"/>
    <w:locked/>
    <w:rsid w:val="004258A0"/>
    <w:rPr>
      <w:rFonts w:ascii="Calibri" w:hAnsi="Calibri"/>
      <w:sz w:val="22"/>
      <w:szCs w:val="22"/>
      <w:lang w:eastAsia="en-US"/>
    </w:rPr>
  </w:style>
  <w:style w:type="character" w:customStyle="1" w:styleId="NoSpacingChar">
    <w:name w:val="No Spacing Char"/>
    <w:basedOn w:val="DefaultParagraphFont"/>
    <w:link w:val="NoSpacing"/>
    <w:uiPriority w:val="1"/>
    <w:rsid w:val="007D5455"/>
    <w:rPr>
      <w:rFonts w:ascii="Arial" w:hAnsi="Arial"/>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F88"/>
    <w:pPr>
      <w:spacing w:line="260" w:lineRule="exact"/>
      <w:jc w:val="both"/>
    </w:pPr>
    <w:rPr>
      <w:rFonts w:ascii="Arial" w:hAnsi="Arial"/>
      <w:szCs w:val="24"/>
      <w:lang w:val="en-US" w:eastAsia="en-US"/>
    </w:rPr>
  </w:style>
  <w:style w:type="paragraph" w:styleId="Heading1">
    <w:name w:val="heading 1"/>
    <w:basedOn w:val="Normal"/>
    <w:next w:val="Normal"/>
    <w:link w:val="Heading1Char"/>
    <w:autoRedefine/>
    <w:qFormat/>
    <w:rsid w:val="008F0A8D"/>
    <w:pPr>
      <w:keepNext/>
      <w:numPr>
        <w:numId w:val="12"/>
      </w:numPr>
      <w:spacing w:after="120" w:line="240" w:lineRule="auto"/>
      <w:jc w:val="left"/>
      <w:outlineLvl w:val="0"/>
    </w:pPr>
    <w:rPr>
      <w:b/>
      <w:bCs/>
      <w:kern w:val="32"/>
      <w:sz w:val="28"/>
      <w:szCs w:val="32"/>
    </w:rPr>
  </w:style>
  <w:style w:type="paragraph" w:styleId="Heading2">
    <w:name w:val="heading 2"/>
    <w:basedOn w:val="Normal"/>
    <w:next w:val="Normal"/>
    <w:link w:val="Heading2Char"/>
    <w:qFormat/>
    <w:locked/>
    <w:rsid w:val="008373D9"/>
    <w:pPr>
      <w:keepNext/>
      <w:numPr>
        <w:ilvl w:val="1"/>
        <w:numId w:val="12"/>
      </w:numPr>
      <w:spacing w:before="100" w:beforeAutospacing="1" w:after="120" w:line="240" w:lineRule="auto"/>
      <w:jc w:val="left"/>
      <w:outlineLvl w:val="1"/>
    </w:pPr>
    <w:rPr>
      <w:b/>
      <w:bCs/>
      <w:iCs/>
      <w:sz w:val="24"/>
      <w:szCs w:val="28"/>
    </w:rPr>
  </w:style>
  <w:style w:type="paragraph" w:styleId="Heading3">
    <w:name w:val="heading 3"/>
    <w:basedOn w:val="Normal"/>
    <w:next w:val="Normal"/>
    <w:link w:val="Heading3Char"/>
    <w:qFormat/>
    <w:locked/>
    <w:rsid w:val="00F80F99"/>
    <w:pPr>
      <w:keepNext/>
      <w:numPr>
        <w:ilvl w:val="2"/>
        <w:numId w:val="12"/>
      </w:numPr>
      <w:spacing w:before="120" w:line="240" w:lineRule="auto"/>
      <w:jc w:val="left"/>
      <w:outlineLvl w:val="2"/>
    </w:pPr>
    <w:rPr>
      <w:b/>
      <w:noProof/>
      <w:sz w:val="24"/>
      <w:lang w:val="sl-SI"/>
    </w:rPr>
  </w:style>
  <w:style w:type="paragraph" w:styleId="Heading4">
    <w:name w:val="heading 4"/>
    <w:basedOn w:val="Normal"/>
    <w:next w:val="Normal"/>
    <w:link w:val="Heading4Char"/>
    <w:qFormat/>
    <w:locked/>
    <w:rsid w:val="00957F6A"/>
    <w:pPr>
      <w:keepNext/>
      <w:numPr>
        <w:ilvl w:val="3"/>
        <w:numId w:val="12"/>
      </w:numPr>
      <w:spacing w:before="240" w:after="60" w:line="240" w:lineRule="auto"/>
      <w:outlineLvl w:val="3"/>
    </w:pPr>
    <w:rPr>
      <w:b/>
      <w:bCs/>
      <w:sz w:val="22"/>
      <w:szCs w:val="28"/>
      <w:lang w:val="sl-SI" w:eastAsia="sl-SI"/>
    </w:rPr>
  </w:style>
  <w:style w:type="paragraph" w:styleId="Heading5">
    <w:name w:val="heading 5"/>
    <w:basedOn w:val="Normal"/>
    <w:link w:val="Heading5Char"/>
    <w:qFormat/>
    <w:locked/>
    <w:rsid w:val="00957F6A"/>
    <w:pPr>
      <w:numPr>
        <w:ilvl w:val="4"/>
        <w:numId w:val="12"/>
      </w:numPr>
      <w:spacing w:line="240" w:lineRule="auto"/>
      <w:outlineLvl w:val="4"/>
    </w:pPr>
    <w:rPr>
      <w:bCs/>
      <w:iCs/>
      <w:noProof/>
      <w:sz w:val="22"/>
      <w:lang w:val="sl-SI"/>
    </w:rPr>
  </w:style>
  <w:style w:type="paragraph" w:styleId="Heading6">
    <w:name w:val="heading 6"/>
    <w:basedOn w:val="Normal"/>
    <w:link w:val="Heading6Char"/>
    <w:qFormat/>
    <w:locked/>
    <w:rsid w:val="00957F6A"/>
    <w:pPr>
      <w:keepNext/>
      <w:numPr>
        <w:ilvl w:val="5"/>
        <w:numId w:val="12"/>
      </w:numPr>
      <w:spacing w:line="240" w:lineRule="auto"/>
      <w:outlineLvl w:val="5"/>
    </w:pPr>
    <w:rPr>
      <w:noProof/>
      <w:sz w:val="22"/>
      <w:lang w:val="sl-SI"/>
    </w:rPr>
  </w:style>
  <w:style w:type="paragraph" w:styleId="Heading7">
    <w:name w:val="heading 7"/>
    <w:basedOn w:val="Normal"/>
    <w:link w:val="Heading7Char"/>
    <w:qFormat/>
    <w:locked/>
    <w:rsid w:val="00957F6A"/>
    <w:pPr>
      <w:keepNext/>
      <w:numPr>
        <w:ilvl w:val="6"/>
        <w:numId w:val="12"/>
      </w:numPr>
      <w:spacing w:line="240" w:lineRule="auto"/>
      <w:outlineLvl w:val="6"/>
    </w:pPr>
    <w:rPr>
      <w:noProof/>
      <w:sz w:val="22"/>
      <w:lang w:val="sl-SI"/>
    </w:rPr>
  </w:style>
  <w:style w:type="paragraph" w:styleId="Heading8">
    <w:name w:val="heading 8"/>
    <w:basedOn w:val="Normal"/>
    <w:next w:val="Normal"/>
    <w:link w:val="Heading8Char"/>
    <w:qFormat/>
    <w:locked/>
    <w:rsid w:val="00957F6A"/>
    <w:pPr>
      <w:keepNext/>
      <w:numPr>
        <w:ilvl w:val="7"/>
        <w:numId w:val="12"/>
      </w:numPr>
      <w:spacing w:before="240" w:after="120" w:line="240" w:lineRule="auto"/>
      <w:outlineLvl w:val="7"/>
    </w:pPr>
    <w:rPr>
      <w:b/>
      <w:bCs/>
      <w:noProof/>
      <w:sz w:val="24"/>
      <w:lang w:val="sl-SI"/>
    </w:rPr>
  </w:style>
  <w:style w:type="paragraph" w:styleId="Heading9">
    <w:name w:val="heading 9"/>
    <w:basedOn w:val="Normal"/>
    <w:next w:val="Normal"/>
    <w:link w:val="Heading9Char"/>
    <w:qFormat/>
    <w:locked/>
    <w:rsid w:val="00957F6A"/>
    <w:pPr>
      <w:keepNext/>
      <w:numPr>
        <w:ilvl w:val="8"/>
        <w:numId w:val="12"/>
      </w:numPr>
      <w:spacing w:before="120" w:line="240" w:lineRule="auto"/>
      <w:outlineLvl w:val="8"/>
    </w:pPr>
    <w:rPr>
      <w:rFonts w:cs="Arial"/>
      <w:b/>
      <w:bCs/>
      <w:iCs/>
      <w:sz w:val="22"/>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 w:val="24"/>
      <w:szCs w:val="20"/>
    </w:rPr>
  </w:style>
  <w:style w:type="character" w:customStyle="1" w:styleId="Heading2Char">
    <w:name w:val="Heading 2 Char"/>
    <w:link w:val="Heading2"/>
    <w:rsid w:val="008373D9"/>
    <w:rPr>
      <w:rFonts w:ascii="Arial" w:hAnsi="Arial"/>
      <w:b/>
      <w:bCs/>
      <w:iCs/>
      <w:sz w:val="24"/>
      <w:szCs w:val="28"/>
      <w:lang w:val="en-US" w:eastAsia="en-US"/>
    </w:rPr>
  </w:style>
  <w:style w:type="character" w:customStyle="1" w:styleId="Heading1Char">
    <w:name w:val="Heading 1 Char"/>
    <w:link w:val="Heading1"/>
    <w:locked/>
    <w:rsid w:val="008F0A8D"/>
    <w:rPr>
      <w:rFonts w:ascii="Arial" w:hAnsi="Arial"/>
      <w:b/>
      <w:bCs/>
      <w:kern w:val="32"/>
      <w:sz w:val="28"/>
      <w:szCs w:val="32"/>
      <w:lang w:val="en-US" w:eastAsia="en-US"/>
    </w:rPr>
  </w:style>
  <w:style w:type="paragraph" w:styleId="Footer">
    <w:name w:val="footer"/>
    <w:basedOn w:val="Normal"/>
    <w:link w:val="FooterChar"/>
    <w:uiPriority w:val="99"/>
    <w:semiHidden/>
    <w:pPr>
      <w:tabs>
        <w:tab w:val="center" w:pos="4320"/>
        <w:tab w:val="right" w:pos="8640"/>
      </w:tabs>
    </w:pPr>
    <w:rPr>
      <w:sz w:val="24"/>
    </w:rPr>
  </w:style>
  <w:style w:type="character" w:customStyle="1" w:styleId="HeaderChar">
    <w:name w:val="Header Char"/>
    <w:link w:val="Header"/>
    <w:locked/>
    <w:rsid w:val="00552062"/>
    <w:rPr>
      <w:rFonts w:ascii="Arial" w:hAnsi="Arial" w:cs="Times New Roman"/>
      <w:sz w:val="24"/>
      <w:lang w:val="en-US" w:eastAsia="en-US"/>
    </w:rPr>
  </w:style>
  <w:style w:type="paragraph" w:styleId="DocumentMap">
    <w:name w:val="Document Map"/>
    <w:basedOn w:val="Normal"/>
    <w:link w:val="DocumentMapChar"/>
    <w:uiPriority w:val="99"/>
    <w:rsid w:val="00B31575"/>
    <w:rPr>
      <w:rFonts w:ascii="Tahoma" w:hAnsi="Tahoma"/>
      <w:sz w:val="16"/>
      <w:szCs w:val="20"/>
    </w:rPr>
  </w:style>
  <w:style w:type="character" w:customStyle="1" w:styleId="FooterChar">
    <w:name w:val="Footer Char"/>
    <w:link w:val="Footer"/>
    <w:uiPriority w:val="99"/>
    <w:semiHidden/>
    <w:locked/>
    <w:rPr>
      <w:rFonts w:ascii="Arial" w:hAnsi="Arial" w:cs="Times New Roman"/>
      <w:sz w:val="24"/>
      <w:szCs w:val="24"/>
      <w:lang w:val="en-US" w:eastAsia="en-US"/>
    </w:rPr>
  </w:style>
  <w:style w:type="table" w:styleId="TableGrid">
    <w:name w:val="Table Grid"/>
    <w:basedOn w:val="TableNormal"/>
    <w:uiPriority w:val="9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link w:val="DocumentMap"/>
    <w:uiPriority w:val="99"/>
    <w:locked/>
    <w:rsid w:val="00B31575"/>
    <w:rPr>
      <w:rFonts w:ascii="Tahoma" w:hAnsi="Tahoma" w:cs="Times New Roman"/>
      <w:sz w:val="16"/>
      <w:lang w:val="en-US" w:eastAsia="en-US"/>
    </w:rPr>
  </w:style>
  <w:style w:type="paragraph" w:customStyle="1" w:styleId="datumtevilka">
    <w:name w:val="datum številka"/>
    <w:basedOn w:val="Normal"/>
    <w:qFormat/>
    <w:rsid w:val="00DC6A71"/>
    <w:pPr>
      <w:tabs>
        <w:tab w:val="left" w:pos="1701"/>
      </w:tabs>
    </w:pPr>
    <w:rPr>
      <w:szCs w:val="20"/>
      <w:lang w:val="sl-SI" w:eastAsia="sl-SI"/>
    </w:rPr>
  </w:style>
  <w:style w:type="paragraph" w:customStyle="1" w:styleId="ZADEVA">
    <w:name w:val="ZADEVA"/>
    <w:basedOn w:val="Normal"/>
    <w:uiPriority w:val="99"/>
    <w:rsid w:val="00DC6A71"/>
    <w:pPr>
      <w:tabs>
        <w:tab w:val="left" w:pos="1701"/>
      </w:tabs>
      <w:ind w:left="1701" w:hanging="1701"/>
    </w:pPr>
    <w:rPr>
      <w:b/>
      <w:lang w:val="it-IT"/>
    </w:rPr>
  </w:style>
  <w:style w:type="character" w:styleId="Hyperlink">
    <w:name w:val="Hyperlink"/>
    <w:uiPriority w:val="99"/>
    <w:rsid w:val="00783310"/>
    <w:rPr>
      <w:rFonts w:cs="Times New Roman"/>
      <w:color w:val="0000FF"/>
      <w:u w:val="single"/>
    </w:rPr>
  </w:style>
  <w:style w:type="paragraph" w:customStyle="1" w:styleId="podpisi">
    <w:name w:val="podpisi"/>
    <w:basedOn w:val="Normal"/>
    <w:uiPriority w:val="99"/>
    <w:rsid w:val="003E1C74"/>
    <w:pPr>
      <w:tabs>
        <w:tab w:val="left" w:pos="3402"/>
      </w:tabs>
    </w:pPr>
    <w:rPr>
      <w:lang w:val="it-IT"/>
    </w:rPr>
  </w:style>
  <w:style w:type="paragraph" w:customStyle="1" w:styleId="Vrstapredpisa">
    <w:name w:val="Vrsta predpisa"/>
    <w:basedOn w:val="Normal"/>
    <w:link w:val="VrstapredpisaZnak"/>
    <w:uiPriority w:val="99"/>
    <w:rsid w:val="002C2184"/>
    <w:pPr>
      <w:suppressAutoHyphens/>
      <w:overflowPunct w:val="0"/>
      <w:autoSpaceDE w:val="0"/>
      <w:autoSpaceDN w:val="0"/>
      <w:adjustRightInd w:val="0"/>
      <w:spacing w:before="360" w:line="220" w:lineRule="exact"/>
      <w:jc w:val="center"/>
      <w:textAlignment w:val="baseline"/>
    </w:pPr>
    <w:rPr>
      <w:b/>
      <w:color w:val="000000"/>
      <w:spacing w:val="40"/>
      <w:sz w:val="22"/>
      <w:szCs w:val="20"/>
      <w:lang w:val="sl-SI" w:eastAsia="sl-SI"/>
    </w:rPr>
  </w:style>
  <w:style w:type="character" w:customStyle="1" w:styleId="VrstapredpisaZnak">
    <w:name w:val="Vrsta predpisa Znak"/>
    <w:link w:val="Vrstapredpisa"/>
    <w:uiPriority w:val="99"/>
    <w:locked/>
    <w:rsid w:val="002C2184"/>
    <w:rPr>
      <w:rFonts w:ascii="Arial" w:hAnsi="Arial"/>
      <w:b/>
      <w:color w:val="000000"/>
      <w:spacing w:val="40"/>
      <w:sz w:val="22"/>
      <w:lang w:val="sl-SI" w:eastAsia="sl-SI"/>
    </w:rPr>
  </w:style>
  <w:style w:type="paragraph" w:customStyle="1" w:styleId="Naslovpredpisa">
    <w:name w:val="Naslov_predpisa"/>
    <w:basedOn w:val="Normal"/>
    <w:link w:val="NaslovpredpisaZnak"/>
    <w:uiPriority w:val="99"/>
    <w:rsid w:val="002C2184"/>
    <w:pPr>
      <w:suppressAutoHyphens/>
      <w:overflowPunct w:val="0"/>
      <w:autoSpaceDE w:val="0"/>
      <w:autoSpaceDN w:val="0"/>
      <w:adjustRightInd w:val="0"/>
      <w:spacing w:before="120" w:after="160" w:line="200" w:lineRule="exact"/>
      <w:jc w:val="center"/>
      <w:textAlignment w:val="baseline"/>
    </w:pPr>
    <w:rPr>
      <w:b/>
      <w:sz w:val="22"/>
      <w:szCs w:val="20"/>
      <w:lang w:val="sl-SI" w:eastAsia="sl-SI"/>
    </w:rPr>
  </w:style>
  <w:style w:type="character" w:customStyle="1" w:styleId="NaslovpredpisaZnak">
    <w:name w:val="Naslov_predpisa Znak"/>
    <w:link w:val="Naslovpredpisa"/>
    <w:uiPriority w:val="99"/>
    <w:locked/>
    <w:rsid w:val="002C2184"/>
    <w:rPr>
      <w:rFonts w:ascii="Arial" w:hAnsi="Arial"/>
      <w:b/>
      <w:sz w:val="22"/>
      <w:lang w:val="sl-SI" w:eastAsia="sl-SI"/>
    </w:rPr>
  </w:style>
  <w:style w:type="paragraph" w:customStyle="1" w:styleId="Poglavje">
    <w:name w:val="Poglavje"/>
    <w:basedOn w:val="Normal"/>
    <w:uiPriority w:val="99"/>
    <w:rsid w:val="002C2184"/>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ormal"/>
    <w:link w:val="NeotevilenodstavekZnak"/>
    <w:qFormat/>
    <w:rsid w:val="002C2184"/>
    <w:pPr>
      <w:overflowPunct w:val="0"/>
      <w:autoSpaceDE w:val="0"/>
      <w:autoSpaceDN w:val="0"/>
      <w:adjustRightInd w:val="0"/>
      <w:spacing w:before="60" w:after="60" w:line="200" w:lineRule="exact"/>
      <w:textAlignment w:val="baseline"/>
    </w:pPr>
    <w:rPr>
      <w:sz w:val="22"/>
      <w:szCs w:val="20"/>
      <w:lang w:val="sl-SI" w:eastAsia="sl-SI"/>
    </w:rPr>
  </w:style>
  <w:style w:type="character" w:customStyle="1" w:styleId="NeotevilenodstavekZnak">
    <w:name w:val="Neoštevilčen odstavek Znak"/>
    <w:link w:val="Neotevilenodstavek"/>
    <w:locked/>
    <w:rsid w:val="002C2184"/>
    <w:rPr>
      <w:rFonts w:ascii="Arial" w:hAnsi="Arial"/>
      <w:sz w:val="22"/>
      <w:lang w:val="sl-SI" w:eastAsia="sl-SI"/>
    </w:rPr>
  </w:style>
  <w:style w:type="paragraph" w:customStyle="1" w:styleId="Oddelek">
    <w:name w:val="Oddelek"/>
    <w:basedOn w:val="Normal"/>
    <w:link w:val="OddelekZnak1"/>
    <w:qFormat/>
    <w:rsid w:val="002C2184"/>
    <w:pPr>
      <w:numPr>
        <w:numId w:val="2"/>
      </w:numPr>
      <w:suppressAutoHyphens/>
      <w:overflowPunct w:val="0"/>
      <w:autoSpaceDE w:val="0"/>
      <w:autoSpaceDN w:val="0"/>
      <w:adjustRightInd w:val="0"/>
      <w:spacing w:before="280" w:after="60" w:line="200" w:lineRule="exact"/>
      <w:jc w:val="center"/>
      <w:textAlignment w:val="baseline"/>
      <w:outlineLvl w:val="3"/>
    </w:pPr>
    <w:rPr>
      <w:b/>
      <w:sz w:val="22"/>
      <w:szCs w:val="20"/>
      <w:lang w:val="sl-SI" w:eastAsia="sl-SI"/>
    </w:rPr>
  </w:style>
  <w:style w:type="character" w:customStyle="1" w:styleId="OddelekZnak1">
    <w:name w:val="Oddelek Znak1"/>
    <w:link w:val="Oddelek"/>
    <w:locked/>
    <w:rsid w:val="002C2184"/>
    <w:rPr>
      <w:rFonts w:ascii="Arial" w:hAnsi="Arial"/>
      <w:b/>
      <w:sz w:val="22"/>
    </w:rPr>
  </w:style>
  <w:style w:type="paragraph" w:customStyle="1" w:styleId="Alineazaodstavkom">
    <w:name w:val="Alinea za odstavkom"/>
    <w:basedOn w:val="Normal"/>
    <w:link w:val="AlineazaodstavkomZnak"/>
    <w:uiPriority w:val="99"/>
    <w:rsid w:val="002C2184"/>
    <w:pPr>
      <w:overflowPunct w:val="0"/>
      <w:autoSpaceDE w:val="0"/>
      <w:autoSpaceDN w:val="0"/>
      <w:adjustRightInd w:val="0"/>
      <w:spacing w:line="200" w:lineRule="exact"/>
      <w:ind w:left="709" w:hanging="284"/>
      <w:textAlignment w:val="baseline"/>
    </w:pPr>
    <w:rPr>
      <w:sz w:val="22"/>
      <w:szCs w:val="20"/>
      <w:lang w:val="x-none" w:eastAsia="x-none"/>
    </w:rPr>
  </w:style>
  <w:style w:type="character" w:customStyle="1" w:styleId="AlineazaodstavkomZnak">
    <w:name w:val="Alinea za odstavkom Znak"/>
    <w:link w:val="Alineazaodstavkom"/>
    <w:uiPriority w:val="99"/>
    <w:locked/>
    <w:rsid w:val="002C2184"/>
    <w:rPr>
      <w:rFonts w:ascii="Arial" w:hAnsi="Arial"/>
      <w:sz w:val="22"/>
    </w:rPr>
  </w:style>
  <w:style w:type="paragraph" w:customStyle="1" w:styleId="Odstavekseznama1">
    <w:name w:val="Odstavek seznama1"/>
    <w:basedOn w:val="Normal"/>
    <w:qFormat/>
    <w:rsid w:val="000151E4"/>
    <w:pPr>
      <w:spacing w:line="240" w:lineRule="auto"/>
      <w:ind w:left="720"/>
      <w:contextualSpacing/>
    </w:pPr>
    <w:rPr>
      <w:rFonts w:ascii="Times New Roman" w:hAnsi="Times New Roman"/>
      <w:sz w:val="24"/>
      <w:lang w:val="sl-SI" w:eastAsia="sl-SI"/>
    </w:rPr>
  </w:style>
  <w:style w:type="paragraph" w:customStyle="1" w:styleId="Alineazatoko">
    <w:name w:val="Alinea za točko"/>
    <w:basedOn w:val="Normal"/>
    <w:link w:val="AlineazatokoZnak"/>
    <w:uiPriority w:val="99"/>
    <w:rsid w:val="000151E4"/>
    <w:pPr>
      <w:overflowPunct w:val="0"/>
      <w:autoSpaceDE w:val="0"/>
      <w:autoSpaceDN w:val="0"/>
      <w:adjustRightInd w:val="0"/>
      <w:spacing w:line="200" w:lineRule="exact"/>
      <w:ind w:left="1428" w:hanging="360"/>
      <w:textAlignment w:val="baseline"/>
    </w:pPr>
    <w:rPr>
      <w:sz w:val="22"/>
      <w:szCs w:val="20"/>
      <w:lang w:val="x-none" w:eastAsia="x-none"/>
    </w:rPr>
  </w:style>
  <w:style w:type="character" w:customStyle="1" w:styleId="AlineazatokoZnak">
    <w:name w:val="Alinea za točko Znak"/>
    <w:link w:val="Alineazatoko"/>
    <w:uiPriority w:val="99"/>
    <w:locked/>
    <w:rsid w:val="000151E4"/>
    <w:rPr>
      <w:rFonts w:ascii="Arial" w:hAnsi="Arial"/>
      <w:sz w:val="22"/>
    </w:rPr>
  </w:style>
  <w:style w:type="character" w:customStyle="1" w:styleId="rkovnatokazaodstavkomZnak">
    <w:name w:val="Črkovna točka_za odstavkom Znak"/>
    <w:link w:val="rkovnatokazaodstavkom"/>
    <w:uiPriority w:val="99"/>
    <w:locked/>
    <w:rsid w:val="000151E4"/>
    <w:rPr>
      <w:rFonts w:ascii="Arial" w:hAnsi="Arial"/>
      <w:lang w:val="x-none"/>
    </w:rPr>
  </w:style>
  <w:style w:type="paragraph" w:customStyle="1" w:styleId="rkovnatokazaodstavkom">
    <w:name w:val="Črkovna točka_za odstavkom"/>
    <w:basedOn w:val="Normal"/>
    <w:link w:val="rkovnatokazaodstavkomZnak"/>
    <w:uiPriority w:val="99"/>
    <w:rsid w:val="000151E4"/>
    <w:pPr>
      <w:numPr>
        <w:numId w:val="3"/>
      </w:numPr>
      <w:overflowPunct w:val="0"/>
      <w:autoSpaceDE w:val="0"/>
      <w:autoSpaceDN w:val="0"/>
      <w:adjustRightInd w:val="0"/>
      <w:spacing w:line="200" w:lineRule="exact"/>
      <w:textAlignment w:val="baseline"/>
    </w:pPr>
    <w:rPr>
      <w:szCs w:val="20"/>
      <w:lang w:val="x-none" w:eastAsia="sl-SI"/>
    </w:rPr>
  </w:style>
  <w:style w:type="paragraph" w:customStyle="1" w:styleId="Odsek">
    <w:name w:val="Odsek"/>
    <w:basedOn w:val="Oddelek"/>
    <w:link w:val="OdsekZnak"/>
    <w:uiPriority w:val="99"/>
    <w:rsid w:val="000151E4"/>
    <w:pPr>
      <w:numPr>
        <w:numId w:val="0"/>
      </w:numPr>
      <w:tabs>
        <w:tab w:val="num" w:pos="720"/>
      </w:tabs>
    </w:pPr>
  </w:style>
  <w:style w:type="character" w:customStyle="1" w:styleId="OdsekZnak">
    <w:name w:val="Odsek Znak"/>
    <w:link w:val="Odsek"/>
    <w:uiPriority w:val="99"/>
    <w:locked/>
    <w:rsid w:val="000151E4"/>
    <w:rPr>
      <w:rFonts w:ascii="Arial" w:hAnsi="Arial"/>
      <w:b/>
      <w:sz w:val="22"/>
      <w:lang w:val="sl-SI" w:eastAsia="sl-SI"/>
    </w:rPr>
  </w:style>
  <w:style w:type="paragraph" w:styleId="PlainText">
    <w:name w:val="Plain Text"/>
    <w:basedOn w:val="Normal"/>
    <w:link w:val="PlainTextChar"/>
    <w:uiPriority w:val="99"/>
    <w:rsid w:val="00C65A05"/>
    <w:pPr>
      <w:spacing w:line="240" w:lineRule="auto"/>
    </w:pPr>
    <w:rPr>
      <w:rFonts w:ascii="Consolas" w:eastAsia="SimSun" w:hAnsi="Consolas"/>
      <w:sz w:val="21"/>
      <w:szCs w:val="20"/>
      <w:lang w:val="x-none" w:eastAsia="zh-CN"/>
    </w:rPr>
  </w:style>
  <w:style w:type="paragraph" w:styleId="BalloonText">
    <w:name w:val="Balloon Text"/>
    <w:basedOn w:val="Normal"/>
    <w:link w:val="BalloonTextChar"/>
    <w:uiPriority w:val="99"/>
    <w:rsid w:val="00A06768"/>
    <w:pPr>
      <w:spacing w:line="240" w:lineRule="auto"/>
    </w:pPr>
    <w:rPr>
      <w:rFonts w:ascii="Tahoma" w:hAnsi="Tahoma"/>
      <w:sz w:val="16"/>
      <w:szCs w:val="20"/>
    </w:rPr>
  </w:style>
  <w:style w:type="character" w:customStyle="1" w:styleId="PlainTextChar">
    <w:name w:val="Plain Text Char"/>
    <w:link w:val="PlainText"/>
    <w:uiPriority w:val="99"/>
    <w:locked/>
    <w:rsid w:val="00C65A05"/>
    <w:rPr>
      <w:rFonts w:ascii="Consolas" w:eastAsia="SimSun" w:hAnsi="Consolas" w:cs="Times New Roman"/>
      <w:sz w:val="21"/>
      <w:lang w:val="x-none" w:eastAsia="zh-CN"/>
    </w:rPr>
  </w:style>
  <w:style w:type="paragraph" w:customStyle="1" w:styleId="doc">
    <w:name w:val="doc"/>
    <w:basedOn w:val="Normal"/>
    <w:uiPriority w:val="99"/>
    <w:rsid w:val="00C87B26"/>
    <w:pPr>
      <w:spacing w:after="75" w:line="300" w:lineRule="atLeast"/>
    </w:pPr>
    <w:rPr>
      <w:rFonts w:cs="Arial"/>
      <w:szCs w:val="20"/>
      <w:lang w:val="sl-SI" w:eastAsia="sl-SI"/>
    </w:rPr>
  </w:style>
  <w:style w:type="character" w:customStyle="1" w:styleId="BalloonTextChar">
    <w:name w:val="Balloon Text Char"/>
    <w:link w:val="BalloonText"/>
    <w:uiPriority w:val="99"/>
    <w:locked/>
    <w:rsid w:val="00A06768"/>
    <w:rPr>
      <w:rFonts w:ascii="Tahoma" w:hAnsi="Tahoma" w:cs="Times New Roman"/>
      <w:sz w:val="16"/>
      <w:lang w:val="en-US" w:eastAsia="en-US"/>
    </w:rPr>
  </w:style>
  <w:style w:type="paragraph" w:customStyle="1" w:styleId="BesediloTocke">
    <w:name w:val="BesediloTocke"/>
    <w:basedOn w:val="Normal"/>
    <w:uiPriority w:val="99"/>
    <w:rsid w:val="009542A6"/>
    <w:pPr>
      <w:widowControl w:val="0"/>
      <w:overflowPunct w:val="0"/>
      <w:autoSpaceDE w:val="0"/>
      <w:autoSpaceDN w:val="0"/>
      <w:adjustRightInd w:val="0"/>
      <w:spacing w:before="120" w:after="240" w:line="240" w:lineRule="auto"/>
      <w:ind w:left="426"/>
      <w:textAlignment w:val="baseline"/>
    </w:pPr>
    <w:rPr>
      <w:rFonts w:ascii="Tahoma" w:hAnsi="Tahoma"/>
      <w:sz w:val="22"/>
      <w:szCs w:val="20"/>
      <w:lang w:val="sl-SI" w:eastAsia="sl-SI"/>
    </w:rPr>
  </w:style>
  <w:style w:type="paragraph" w:styleId="NormalWeb">
    <w:name w:val="Normal (Web)"/>
    <w:basedOn w:val="Normal"/>
    <w:uiPriority w:val="99"/>
    <w:rsid w:val="008B4905"/>
    <w:pPr>
      <w:spacing w:after="119" w:line="240" w:lineRule="auto"/>
    </w:pPr>
    <w:rPr>
      <w:rFonts w:ascii="Times New Roman" w:hAnsi="Times New Roman"/>
      <w:color w:val="333333"/>
      <w:sz w:val="10"/>
      <w:szCs w:val="10"/>
      <w:lang w:val="sl-SI" w:eastAsia="sl-SI"/>
    </w:rPr>
  </w:style>
  <w:style w:type="paragraph" w:customStyle="1" w:styleId="Odstavekseznama2">
    <w:name w:val="Odstavek seznama2"/>
    <w:basedOn w:val="Normal"/>
    <w:uiPriority w:val="99"/>
    <w:rsid w:val="0066145A"/>
    <w:pPr>
      <w:spacing w:line="260" w:lineRule="atLeast"/>
      <w:ind w:left="708"/>
    </w:pPr>
  </w:style>
  <w:style w:type="paragraph" w:customStyle="1" w:styleId="msolistparagraph0">
    <w:name w:val="msolistparagraph"/>
    <w:basedOn w:val="Normal"/>
    <w:uiPriority w:val="99"/>
    <w:rsid w:val="00AD59DA"/>
    <w:pPr>
      <w:spacing w:line="240" w:lineRule="auto"/>
      <w:ind w:left="720"/>
    </w:pPr>
    <w:rPr>
      <w:rFonts w:ascii="Calibri" w:hAnsi="Calibri"/>
      <w:sz w:val="22"/>
      <w:szCs w:val="22"/>
      <w:lang w:val="sl-SI"/>
    </w:rPr>
  </w:style>
  <w:style w:type="character" w:styleId="Strong">
    <w:name w:val="Strong"/>
    <w:uiPriority w:val="99"/>
    <w:qFormat/>
    <w:rsid w:val="00CB7CB2"/>
    <w:rPr>
      <w:rFonts w:cs="Times New Roman"/>
      <w:b/>
    </w:rPr>
  </w:style>
  <w:style w:type="paragraph" w:styleId="BodyText">
    <w:name w:val="Body Text"/>
    <w:basedOn w:val="Normal"/>
    <w:link w:val="BodyTextChar"/>
    <w:uiPriority w:val="99"/>
    <w:rsid w:val="00615689"/>
    <w:pPr>
      <w:spacing w:line="240" w:lineRule="auto"/>
    </w:pPr>
    <w:rPr>
      <w:b/>
      <w:sz w:val="22"/>
      <w:szCs w:val="20"/>
      <w:lang w:val="en-GB"/>
    </w:rPr>
  </w:style>
  <w:style w:type="character" w:customStyle="1" w:styleId="Bodytext0">
    <w:name w:val="Body text_"/>
    <w:link w:val="BodyText26"/>
    <w:uiPriority w:val="99"/>
    <w:locked/>
    <w:rsid w:val="00B06398"/>
    <w:rPr>
      <w:rFonts w:ascii="Arial" w:hAnsi="Arial"/>
      <w:spacing w:val="10"/>
      <w:sz w:val="17"/>
      <w:shd w:val="clear" w:color="auto" w:fill="FFFFFF"/>
    </w:rPr>
  </w:style>
  <w:style w:type="character" w:customStyle="1" w:styleId="BodyTextChar">
    <w:name w:val="Body Text Char"/>
    <w:link w:val="BodyText"/>
    <w:uiPriority w:val="99"/>
    <w:semiHidden/>
    <w:locked/>
    <w:rsid w:val="00615689"/>
    <w:rPr>
      <w:rFonts w:ascii="Arial" w:hAnsi="Arial" w:cs="Times New Roman"/>
      <w:b/>
      <w:sz w:val="22"/>
      <w:lang w:val="en-GB" w:eastAsia="en-US"/>
    </w:rPr>
  </w:style>
  <w:style w:type="character" w:customStyle="1" w:styleId="Bodytext8">
    <w:name w:val="Body text (8)_"/>
    <w:link w:val="Bodytext80"/>
    <w:uiPriority w:val="99"/>
    <w:locked/>
    <w:rsid w:val="00B06398"/>
    <w:rPr>
      <w:rFonts w:ascii="Arial" w:hAnsi="Arial"/>
      <w:sz w:val="24"/>
      <w:shd w:val="clear" w:color="auto" w:fill="FFFFFF"/>
    </w:rPr>
  </w:style>
  <w:style w:type="character" w:customStyle="1" w:styleId="Heading20">
    <w:name w:val="Heading #2_"/>
    <w:link w:val="Heading21"/>
    <w:uiPriority w:val="99"/>
    <w:locked/>
    <w:rsid w:val="00B06398"/>
    <w:rPr>
      <w:rFonts w:ascii="Arial" w:hAnsi="Arial"/>
      <w:sz w:val="17"/>
      <w:shd w:val="clear" w:color="auto" w:fill="FFFFFF"/>
    </w:rPr>
  </w:style>
  <w:style w:type="character" w:customStyle="1" w:styleId="BodytextBold">
    <w:name w:val="Body text + Bold"/>
    <w:aliases w:val="Spacing 0 pt"/>
    <w:uiPriority w:val="99"/>
    <w:rsid w:val="00B06398"/>
    <w:rPr>
      <w:rFonts w:ascii="Arial" w:hAnsi="Arial"/>
      <w:b/>
      <w:spacing w:val="0"/>
      <w:sz w:val="17"/>
    </w:rPr>
  </w:style>
  <w:style w:type="paragraph" w:customStyle="1" w:styleId="BodyText26">
    <w:name w:val="Body Text26"/>
    <w:basedOn w:val="Normal"/>
    <w:link w:val="Bodytext0"/>
    <w:uiPriority w:val="99"/>
    <w:rsid w:val="00B06398"/>
    <w:pPr>
      <w:shd w:val="clear" w:color="auto" w:fill="FFFFFF"/>
      <w:spacing w:after="720" w:line="240" w:lineRule="exact"/>
      <w:ind w:hanging="360"/>
    </w:pPr>
    <w:rPr>
      <w:spacing w:val="10"/>
      <w:sz w:val="17"/>
      <w:szCs w:val="20"/>
      <w:lang w:val="x-none" w:eastAsia="x-none"/>
    </w:rPr>
  </w:style>
  <w:style w:type="paragraph" w:customStyle="1" w:styleId="Bodytext80">
    <w:name w:val="Body text (8)"/>
    <w:basedOn w:val="Normal"/>
    <w:link w:val="Bodytext8"/>
    <w:uiPriority w:val="99"/>
    <w:rsid w:val="00B06398"/>
    <w:pPr>
      <w:shd w:val="clear" w:color="auto" w:fill="FFFFFF"/>
      <w:spacing w:before="720" w:after="240" w:line="240" w:lineRule="atLeast"/>
      <w:ind w:hanging="340"/>
    </w:pPr>
    <w:rPr>
      <w:sz w:val="24"/>
      <w:szCs w:val="20"/>
      <w:lang w:val="x-none" w:eastAsia="x-none"/>
    </w:rPr>
  </w:style>
  <w:style w:type="paragraph" w:customStyle="1" w:styleId="Heading21">
    <w:name w:val="Heading #2"/>
    <w:basedOn w:val="Normal"/>
    <w:link w:val="Heading20"/>
    <w:uiPriority w:val="99"/>
    <w:rsid w:val="00B06398"/>
    <w:pPr>
      <w:shd w:val="clear" w:color="auto" w:fill="FFFFFF"/>
      <w:spacing w:before="240" w:after="180" w:line="240" w:lineRule="atLeast"/>
      <w:ind w:hanging="340"/>
      <w:outlineLvl w:val="1"/>
    </w:pPr>
    <w:rPr>
      <w:sz w:val="17"/>
      <w:szCs w:val="20"/>
      <w:lang w:val="x-none" w:eastAsia="x-none"/>
    </w:rPr>
  </w:style>
  <w:style w:type="character" w:styleId="PageNumber">
    <w:name w:val="page number"/>
    <w:uiPriority w:val="99"/>
    <w:rsid w:val="008709FE"/>
    <w:rPr>
      <w:rFonts w:cs="Times New Roman"/>
    </w:rPr>
  </w:style>
  <w:style w:type="paragraph" w:customStyle="1" w:styleId="Revizija1">
    <w:name w:val="Revizija1"/>
    <w:hidden/>
    <w:uiPriority w:val="99"/>
    <w:semiHidden/>
    <w:rsid w:val="0057003F"/>
    <w:rPr>
      <w:rFonts w:ascii="Arial" w:hAnsi="Arial"/>
      <w:szCs w:val="24"/>
      <w:lang w:val="en-US" w:eastAsia="en-US"/>
    </w:rPr>
  </w:style>
  <w:style w:type="paragraph" w:customStyle="1" w:styleId="Odstavekseznama3">
    <w:name w:val="Odstavek seznama3"/>
    <w:basedOn w:val="Normal"/>
    <w:link w:val="OdstavekseznamaZnak"/>
    <w:uiPriority w:val="34"/>
    <w:qFormat/>
    <w:rsid w:val="00624F31"/>
    <w:pPr>
      <w:spacing w:after="200" w:line="276" w:lineRule="auto"/>
      <w:ind w:left="720"/>
      <w:contextualSpacing/>
    </w:pPr>
    <w:rPr>
      <w:rFonts w:ascii="Calibri" w:hAnsi="Calibri"/>
      <w:sz w:val="22"/>
      <w:szCs w:val="22"/>
      <w:lang w:val="sl-SI"/>
    </w:rPr>
  </w:style>
  <w:style w:type="character" w:customStyle="1" w:styleId="Bodytext3">
    <w:name w:val="Body text (3)_"/>
    <w:link w:val="Bodytext30"/>
    <w:uiPriority w:val="99"/>
    <w:locked/>
    <w:rsid w:val="00E94E7B"/>
    <w:rPr>
      <w:rFonts w:ascii="Calibri" w:hAnsi="Calibri"/>
      <w:sz w:val="18"/>
      <w:shd w:val="clear" w:color="auto" w:fill="FFFFFF"/>
    </w:rPr>
  </w:style>
  <w:style w:type="paragraph" w:customStyle="1" w:styleId="Bodytext30">
    <w:name w:val="Body text (3)"/>
    <w:basedOn w:val="Normal"/>
    <w:link w:val="Bodytext3"/>
    <w:uiPriority w:val="99"/>
    <w:rsid w:val="00E94E7B"/>
    <w:pPr>
      <w:shd w:val="clear" w:color="auto" w:fill="FFFFFF"/>
      <w:spacing w:before="240" w:after="240" w:line="259" w:lineRule="exact"/>
      <w:ind w:hanging="360"/>
    </w:pPr>
    <w:rPr>
      <w:rFonts w:ascii="Calibri" w:hAnsi="Calibri"/>
      <w:sz w:val="18"/>
      <w:szCs w:val="20"/>
      <w:lang w:val="x-none" w:eastAsia="x-none"/>
    </w:rPr>
  </w:style>
  <w:style w:type="paragraph" w:customStyle="1" w:styleId="BodyText1">
    <w:name w:val="Body Text1"/>
    <w:basedOn w:val="Normal"/>
    <w:uiPriority w:val="99"/>
    <w:rsid w:val="00E94E7B"/>
    <w:pPr>
      <w:shd w:val="clear" w:color="auto" w:fill="FFFFFF"/>
      <w:spacing w:line="259" w:lineRule="exact"/>
    </w:pPr>
    <w:rPr>
      <w:rFonts w:ascii="Calibri" w:hAnsi="Calibri" w:cs="Calibri"/>
      <w:i/>
      <w:iCs/>
      <w:color w:val="000000"/>
      <w:sz w:val="19"/>
      <w:szCs w:val="19"/>
      <w:lang w:val="sl" w:eastAsia="sl-SI"/>
    </w:rPr>
  </w:style>
  <w:style w:type="character" w:customStyle="1" w:styleId="Bodytext9pt">
    <w:name w:val="Body text + 9 pt"/>
    <w:aliases w:val="Not Italic"/>
    <w:uiPriority w:val="99"/>
    <w:rsid w:val="00E94E7B"/>
    <w:rPr>
      <w:rFonts w:ascii="Calibri" w:hAnsi="Calibri"/>
      <w:i/>
      <w:spacing w:val="0"/>
      <w:sz w:val="18"/>
      <w:shd w:val="clear" w:color="auto" w:fill="FFFFFF"/>
    </w:rPr>
  </w:style>
  <w:style w:type="paragraph" w:customStyle="1" w:styleId="Default">
    <w:name w:val="Default"/>
    <w:uiPriority w:val="99"/>
    <w:rsid w:val="00494DF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rsid w:val="008C330B"/>
    <w:rPr>
      <w:rFonts w:cs="Times New Roman"/>
      <w:sz w:val="16"/>
      <w:szCs w:val="16"/>
    </w:rPr>
  </w:style>
  <w:style w:type="paragraph" w:styleId="CommentText">
    <w:name w:val="annotation text"/>
    <w:basedOn w:val="Normal"/>
    <w:link w:val="CommentTextChar"/>
    <w:uiPriority w:val="99"/>
    <w:semiHidden/>
    <w:rsid w:val="008C330B"/>
    <w:rPr>
      <w:szCs w:val="20"/>
    </w:rPr>
  </w:style>
  <w:style w:type="paragraph" w:styleId="CommentSubject">
    <w:name w:val="annotation subject"/>
    <w:basedOn w:val="CommentText"/>
    <w:next w:val="CommentText"/>
    <w:link w:val="CommentSubjectChar"/>
    <w:uiPriority w:val="99"/>
    <w:semiHidden/>
    <w:rsid w:val="008C330B"/>
    <w:rPr>
      <w:b/>
      <w:bCs/>
    </w:rPr>
  </w:style>
  <w:style w:type="character" w:customStyle="1" w:styleId="CommentTextChar">
    <w:name w:val="Comment Text Char"/>
    <w:link w:val="CommentText"/>
    <w:uiPriority w:val="99"/>
    <w:semiHidden/>
    <w:locked/>
    <w:rPr>
      <w:rFonts w:ascii="Arial" w:hAnsi="Arial" w:cs="Times New Roman"/>
      <w:sz w:val="20"/>
      <w:szCs w:val="20"/>
      <w:lang w:val="en-US" w:eastAsia="en-US"/>
    </w:rPr>
  </w:style>
  <w:style w:type="character" w:customStyle="1" w:styleId="CharChar2">
    <w:name w:val="Char Char2"/>
    <w:uiPriority w:val="99"/>
    <w:semiHidden/>
    <w:locked/>
    <w:rsid w:val="00624F31"/>
    <w:rPr>
      <w:rFonts w:ascii="Arial" w:hAnsi="Arial" w:cs="Times New Roman"/>
      <w:sz w:val="24"/>
      <w:szCs w:val="24"/>
      <w:lang w:val="en-US" w:eastAsia="en-US" w:bidi="ar-SA"/>
    </w:rPr>
  </w:style>
  <w:style w:type="character" w:customStyle="1" w:styleId="CommentSubjectChar">
    <w:name w:val="Comment Subject Char"/>
    <w:link w:val="CommentSubject"/>
    <w:uiPriority w:val="99"/>
    <w:semiHidden/>
    <w:locked/>
    <w:rPr>
      <w:rFonts w:ascii="Arial" w:hAnsi="Arial" w:cs="Times New Roman"/>
      <w:b/>
      <w:bCs/>
      <w:sz w:val="20"/>
      <w:szCs w:val="20"/>
      <w:lang w:val="en-US" w:eastAsia="en-US"/>
    </w:rPr>
  </w:style>
  <w:style w:type="paragraph" w:styleId="FootnoteText">
    <w:name w:val="footnote text"/>
    <w:aliases w:val="Footnote,Fußnote,Footnote Text Char Char,FSR footnote,lábléc"/>
    <w:basedOn w:val="Normal"/>
    <w:link w:val="FootnoteTextChar"/>
    <w:rsid w:val="00624F31"/>
    <w:pPr>
      <w:spacing w:line="240" w:lineRule="auto"/>
    </w:pPr>
    <w:rPr>
      <w:rFonts w:cs="Arial"/>
      <w:szCs w:val="20"/>
      <w:lang w:val="sl-SI" w:eastAsia="sl-SI"/>
    </w:rPr>
  </w:style>
  <w:style w:type="character" w:styleId="FootnoteReference">
    <w:name w:val="footnote reference"/>
    <w:semiHidden/>
    <w:rsid w:val="00624F31"/>
    <w:rPr>
      <w:rFonts w:cs="Times New Roman"/>
      <w:vertAlign w:val="superscript"/>
    </w:rPr>
  </w:style>
  <w:style w:type="character" w:customStyle="1" w:styleId="FootnoteTextChar">
    <w:name w:val="Footnote Text Char"/>
    <w:aliases w:val="Footnote Char,Fußnote Char,Footnote Text Char Char Char,FSR footnote Char,lábléc Char"/>
    <w:link w:val="FootnoteText"/>
    <w:locked/>
    <w:rsid w:val="00624F31"/>
    <w:rPr>
      <w:rFonts w:ascii="Arial" w:hAnsi="Arial" w:cs="Arial"/>
      <w:lang w:val="sl-SI" w:eastAsia="sl-SI" w:bidi="ar-SA"/>
    </w:rPr>
  </w:style>
  <w:style w:type="paragraph" w:styleId="BodyTextIndent2">
    <w:name w:val="Body Text Indent 2"/>
    <w:basedOn w:val="Normal"/>
    <w:link w:val="BodyTextIndent2Char"/>
    <w:uiPriority w:val="99"/>
    <w:rsid w:val="00624F31"/>
    <w:pPr>
      <w:spacing w:after="120" w:line="480" w:lineRule="auto"/>
      <w:ind w:left="283"/>
    </w:pPr>
  </w:style>
  <w:style w:type="character" w:customStyle="1" w:styleId="BodyTextIndent2Char">
    <w:name w:val="Body Text Indent 2 Char"/>
    <w:link w:val="BodyTextIndent2"/>
    <w:uiPriority w:val="99"/>
    <w:rPr>
      <w:rFonts w:ascii="Arial" w:hAnsi="Arial"/>
      <w:sz w:val="20"/>
      <w:szCs w:val="24"/>
      <w:lang w:val="en-US" w:eastAsia="en-US"/>
    </w:rPr>
  </w:style>
  <w:style w:type="paragraph" w:customStyle="1" w:styleId="alineazaodstavkom0">
    <w:name w:val="alineazaodstavkom"/>
    <w:basedOn w:val="Normal"/>
    <w:rsid w:val="00551B94"/>
    <w:pPr>
      <w:spacing w:before="100" w:beforeAutospacing="1" w:after="100" w:afterAutospacing="1" w:line="240" w:lineRule="auto"/>
    </w:pPr>
    <w:rPr>
      <w:rFonts w:ascii="Times New Roman" w:hAnsi="Times New Roman"/>
      <w:sz w:val="24"/>
      <w:lang w:val="sl-SI" w:eastAsia="sl-SI"/>
    </w:rPr>
  </w:style>
  <w:style w:type="character" w:customStyle="1" w:styleId="hps">
    <w:name w:val="hps"/>
    <w:rsid w:val="00394B4B"/>
  </w:style>
  <w:style w:type="paragraph" w:styleId="NoSpacing">
    <w:name w:val="No Spacing"/>
    <w:link w:val="NoSpacingChar"/>
    <w:uiPriority w:val="1"/>
    <w:qFormat/>
    <w:rsid w:val="00B467F0"/>
    <w:rPr>
      <w:rFonts w:ascii="Arial" w:hAnsi="Arial"/>
      <w:szCs w:val="24"/>
      <w:lang w:val="en-US" w:eastAsia="en-US"/>
    </w:rPr>
  </w:style>
  <w:style w:type="character" w:styleId="Emphasis">
    <w:name w:val="Emphasis"/>
    <w:uiPriority w:val="20"/>
    <w:qFormat/>
    <w:locked/>
    <w:rsid w:val="00E33A76"/>
    <w:rPr>
      <w:b/>
      <w:bCs/>
      <w:i w:val="0"/>
      <w:iCs w:val="0"/>
    </w:rPr>
  </w:style>
  <w:style w:type="character" w:customStyle="1" w:styleId="st">
    <w:name w:val="st"/>
    <w:rsid w:val="00E33A76"/>
  </w:style>
  <w:style w:type="character" w:customStyle="1" w:styleId="Heading3Char">
    <w:name w:val="Heading 3 Char"/>
    <w:link w:val="Heading3"/>
    <w:rsid w:val="00F80F99"/>
    <w:rPr>
      <w:rFonts w:ascii="Arial" w:hAnsi="Arial"/>
      <w:b/>
      <w:noProof/>
      <w:sz w:val="24"/>
      <w:szCs w:val="24"/>
      <w:lang w:eastAsia="en-US"/>
    </w:rPr>
  </w:style>
  <w:style w:type="character" w:customStyle="1" w:styleId="Heading4Char">
    <w:name w:val="Heading 4 Char"/>
    <w:link w:val="Heading4"/>
    <w:rsid w:val="00957F6A"/>
    <w:rPr>
      <w:rFonts w:ascii="Arial" w:hAnsi="Arial"/>
      <w:b/>
      <w:bCs/>
      <w:sz w:val="22"/>
      <w:szCs w:val="28"/>
    </w:rPr>
  </w:style>
  <w:style w:type="character" w:customStyle="1" w:styleId="Heading5Char">
    <w:name w:val="Heading 5 Char"/>
    <w:link w:val="Heading5"/>
    <w:rsid w:val="00957F6A"/>
    <w:rPr>
      <w:rFonts w:ascii="Arial" w:hAnsi="Arial"/>
      <w:bCs/>
      <w:iCs/>
      <w:noProof/>
      <w:sz w:val="22"/>
      <w:szCs w:val="24"/>
      <w:lang w:eastAsia="en-US"/>
    </w:rPr>
  </w:style>
  <w:style w:type="character" w:customStyle="1" w:styleId="Heading6Char">
    <w:name w:val="Heading 6 Char"/>
    <w:link w:val="Heading6"/>
    <w:rsid w:val="00957F6A"/>
    <w:rPr>
      <w:rFonts w:ascii="Arial" w:hAnsi="Arial"/>
      <w:noProof/>
      <w:sz w:val="22"/>
      <w:szCs w:val="24"/>
      <w:lang w:eastAsia="en-US"/>
    </w:rPr>
  </w:style>
  <w:style w:type="character" w:customStyle="1" w:styleId="Heading7Char">
    <w:name w:val="Heading 7 Char"/>
    <w:link w:val="Heading7"/>
    <w:rsid w:val="00957F6A"/>
    <w:rPr>
      <w:rFonts w:ascii="Arial" w:hAnsi="Arial"/>
      <w:noProof/>
      <w:sz w:val="22"/>
      <w:szCs w:val="24"/>
      <w:lang w:eastAsia="en-US"/>
    </w:rPr>
  </w:style>
  <w:style w:type="character" w:customStyle="1" w:styleId="Heading8Char">
    <w:name w:val="Heading 8 Char"/>
    <w:link w:val="Heading8"/>
    <w:rsid w:val="00957F6A"/>
    <w:rPr>
      <w:rFonts w:ascii="Arial" w:hAnsi="Arial"/>
      <w:b/>
      <w:bCs/>
      <w:noProof/>
      <w:sz w:val="24"/>
      <w:szCs w:val="24"/>
      <w:lang w:eastAsia="en-US"/>
    </w:rPr>
  </w:style>
  <w:style w:type="character" w:customStyle="1" w:styleId="Heading9Char">
    <w:name w:val="Heading 9 Char"/>
    <w:link w:val="Heading9"/>
    <w:rsid w:val="00957F6A"/>
    <w:rPr>
      <w:rFonts w:ascii="Arial" w:hAnsi="Arial" w:cs="Arial"/>
      <w:b/>
      <w:bCs/>
      <w:iCs/>
      <w:sz w:val="22"/>
      <w:szCs w:val="24"/>
    </w:rPr>
  </w:style>
  <w:style w:type="paragraph" w:styleId="TOC2">
    <w:name w:val="toc 2"/>
    <w:basedOn w:val="Normal"/>
    <w:next w:val="Normal"/>
    <w:autoRedefine/>
    <w:uiPriority w:val="39"/>
    <w:locked/>
    <w:rsid w:val="00D425CC"/>
    <w:pPr>
      <w:ind w:left="200"/>
    </w:pPr>
  </w:style>
  <w:style w:type="paragraph" w:styleId="TOCHeading">
    <w:name w:val="TOC Heading"/>
    <w:basedOn w:val="Heading1"/>
    <w:next w:val="Normal"/>
    <w:uiPriority w:val="39"/>
    <w:semiHidden/>
    <w:unhideWhenUsed/>
    <w:qFormat/>
    <w:rsid w:val="009C08C6"/>
    <w:pPr>
      <w:keepLines/>
      <w:spacing w:before="480" w:after="0" w:line="276" w:lineRule="auto"/>
      <w:outlineLvl w:val="9"/>
    </w:pPr>
    <w:rPr>
      <w:rFonts w:ascii="Cambria" w:hAnsi="Cambria"/>
      <w:color w:val="365F91"/>
      <w:kern w:val="0"/>
      <w:szCs w:val="28"/>
      <w:lang w:val="sl-SI" w:eastAsia="sl-SI"/>
    </w:rPr>
  </w:style>
  <w:style w:type="paragraph" w:styleId="TOC1">
    <w:name w:val="toc 1"/>
    <w:basedOn w:val="Normal"/>
    <w:next w:val="Normal"/>
    <w:autoRedefine/>
    <w:uiPriority w:val="39"/>
    <w:locked/>
    <w:rsid w:val="00A379D9"/>
  </w:style>
  <w:style w:type="paragraph" w:styleId="Caption">
    <w:name w:val="caption"/>
    <w:basedOn w:val="Normal"/>
    <w:next w:val="Normal"/>
    <w:unhideWhenUsed/>
    <w:qFormat/>
    <w:locked/>
    <w:rsid w:val="00E4103D"/>
    <w:rPr>
      <w:b/>
      <w:bCs/>
      <w:szCs w:val="20"/>
    </w:rPr>
  </w:style>
  <w:style w:type="paragraph" w:styleId="TableofFigures">
    <w:name w:val="table of figures"/>
    <w:basedOn w:val="Normal"/>
    <w:next w:val="Normal"/>
    <w:uiPriority w:val="99"/>
    <w:unhideWhenUsed/>
    <w:rsid w:val="00E4103D"/>
  </w:style>
  <w:style w:type="paragraph" w:styleId="Revision">
    <w:name w:val="Revision"/>
    <w:hidden/>
    <w:uiPriority w:val="99"/>
    <w:semiHidden/>
    <w:rsid w:val="00C611DB"/>
    <w:rPr>
      <w:rFonts w:ascii="Arial" w:hAnsi="Arial"/>
      <w:szCs w:val="24"/>
      <w:lang w:val="en-US" w:eastAsia="en-US"/>
    </w:rPr>
  </w:style>
  <w:style w:type="paragraph" w:styleId="ListParagraph">
    <w:name w:val="List Paragraph"/>
    <w:basedOn w:val="Normal"/>
    <w:uiPriority w:val="99"/>
    <w:qFormat/>
    <w:rsid w:val="004258A0"/>
    <w:pPr>
      <w:spacing w:after="200" w:line="276" w:lineRule="auto"/>
      <w:ind w:left="720"/>
      <w:contextualSpacing/>
      <w:jc w:val="left"/>
    </w:pPr>
    <w:rPr>
      <w:rFonts w:ascii="Calibri" w:eastAsia="Calibri" w:hAnsi="Calibri"/>
      <w:sz w:val="22"/>
      <w:szCs w:val="22"/>
      <w:lang w:val="sl-SI"/>
    </w:rPr>
  </w:style>
  <w:style w:type="character" w:customStyle="1" w:styleId="OdstavekseznamaZnak">
    <w:name w:val="Odstavek seznama Znak"/>
    <w:link w:val="Odstavekseznama3"/>
    <w:uiPriority w:val="34"/>
    <w:locked/>
    <w:rsid w:val="004258A0"/>
    <w:rPr>
      <w:rFonts w:ascii="Calibri" w:hAnsi="Calibri"/>
      <w:sz w:val="22"/>
      <w:szCs w:val="22"/>
      <w:lang w:eastAsia="en-US"/>
    </w:rPr>
  </w:style>
  <w:style w:type="character" w:customStyle="1" w:styleId="NoSpacingChar">
    <w:name w:val="No Spacing Char"/>
    <w:basedOn w:val="DefaultParagraphFont"/>
    <w:link w:val="NoSpacing"/>
    <w:uiPriority w:val="1"/>
    <w:rsid w:val="007D5455"/>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473961">
      <w:bodyDiv w:val="1"/>
      <w:marLeft w:val="0"/>
      <w:marRight w:val="0"/>
      <w:marTop w:val="0"/>
      <w:marBottom w:val="0"/>
      <w:divBdr>
        <w:top w:val="none" w:sz="0" w:space="0" w:color="auto"/>
        <w:left w:val="none" w:sz="0" w:space="0" w:color="auto"/>
        <w:bottom w:val="none" w:sz="0" w:space="0" w:color="auto"/>
        <w:right w:val="none" w:sz="0" w:space="0" w:color="auto"/>
      </w:divBdr>
    </w:div>
    <w:div w:id="390034755">
      <w:marLeft w:val="0"/>
      <w:marRight w:val="0"/>
      <w:marTop w:val="0"/>
      <w:marBottom w:val="0"/>
      <w:divBdr>
        <w:top w:val="none" w:sz="0" w:space="0" w:color="auto"/>
        <w:left w:val="none" w:sz="0" w:space="0" w:color="auto"/>
        <w:bottom w:val="none" w:sz="0" w:space="0" w:color="auto"/>
        <w:right w:val="none" w:sz="0" w:space="0" w:color="auto"/>
      </w:divBdr>
    </w:div>
    <w:div w:id="390034757">
      <w:marLeft w:val="0"/>
      <w:marRight w:val="0"/>
      <w:marTop w:val="0"/>
      <w:marBottom w:val="0"/>
      <w:divBdr>
        <w:top w:val="none" w:sz="0" w:space="0" w:color="auto"/>
        <w:left w:val="none" w:sz="0" w:space="0" w:color="auto"/>
        <w:bottom w:val="none" w:sz="0" w:space="0" w:color="auto"/>
        <w:right w:val="none" w:sz="0" w:space="0" w:color="auto"/>
      </w:divBdr>
      <w:divsChild>
        <w:div w:id="390034758">
          <w:marLeft w:val="300"/>
          <w:marRight w:val="300"/>
          <w:marTop w:val="0"/>
          <w:marBottom w:val="0"/>
          <w:divBdr>
            <w:top w:val="none" w:sz="0" w:space="0" w:color="auto"/>
            <w:left w:val="none" w:sz="0" w:space="0" w:color="auto"/>
            <w:bottom w:val="none" w:sz="0" w:space="0" w:color="auto"/>
            <w:right w:val="none" w:sz="0" w:space="0" w:color="auto"/>
          </w:divBdr>
        </w:div>
      </w:divsChild>
    </w:div>
    <w:div w:id="390034759">
      <w:marLeft w:val="0"/>
      <w:marRight w:val="0"/>
      <w:marTop w:val="0"/>
      <w:marBottom w:val="0"/>
      <w:divBdr>
        <w:top w:val="none" w:sz="0" w:space="0" w:color="auto"/>
        <w:left w:val="none" w:sz="0" w:space="0" w:color="auto"/>
        <w:bottom w:val="none" w:sz="0" w:space="0" w:color="auto"/>
        <w:right w:val="none" w:sz="0" w:space="0" w:color="auto"/>
      </w:divBdr>
    </w:div>
    <w:div w:id="390034761">
      <w:marLeft w:val="0"/>
      <w:marRight w:val="0"/>
      <w:marTop w:val="0"/>
      <w:marBottom w:val="0"/>
      <w:divBdr>
        <w:top w:val="none" w:sz="0" w:space="0" w:color="auto"/>
        <w:left w:val="none" w:sz="0" w:space="0" w:color="auto"/>
        <w:bottom w:val="none" w:sz="0" w:space="0" w:color="auto"/>
        <w:right w:val="none" w:sz="0" w:space="0" w:color="auto"/>
      </w:divBdr>
    </w:div>
    <w:div w:id="390034762">
      <w:marLeft w:val="0"/>
      <w:marRight w:val="0"/>
      <w:marTop w:val="0"/>
      <w:marBottom w:val="0"/>
      <w:divBdr>
        <w:top w:val="none" w:sz="0" w:space="0" w:color="auto"/>
        <w:left w:val="none" w:sz="0" w:space="0" w:color="auto"/>
        <w:bottom w:val="none" w:sz="0" w:space="0" w:color="auto"/>
        <w:right w:val="none" w:sz="0" w:space="0" w:color="auto"/>
      </w:divBdr>
    </w:div>
    <w:div w:id="390034763">
      <w:marLeft w:val="0"/>
      <w:marRight w:val="0"/>
      <w:marTop w:val="0"/>
      <w:marBottom w:val="0"/>
      <w:divBdr>
        <w:top w:val="none" w:sz="0" w:space="0" w:color="auto"/>
        <w:left w:val="none" w:sz="0" w:space="0" w:color="auto"/>
        <w:bottom w:val="none" w:sz="0" w:space="0" w:color="auto"/>
        <w:right w:val="none" w:sz="0" w:space="0" w:color="auto"/>
      </w:divBdr>
    </w:div>
    <w:div w:id="390034765">
      <w:marLeft w:val="0"/>
      <w:marRight w:val="0"/>
      <w:marTop w:val="0"/>
      <w:marBottom w:val="0"/>
      <w:divBdr>
        <w:top w:val="none" w:sz="0" w:space="0" w:color="auto"/>
        <w:left w:val="none" w:sz="0" w:space="0" w:color="auto"/>
        <w:bottom w:val="none" w:sz="0" w:space="0" w:color="auto"/>
        <w:right w:val="none" w:sz="0" w:space="0" w:color="auto"/>
      </w:divBdr>
    </w:div>
    <w:div w:id="390034767">
      <w:marLeft w:val="0"/>
      <w:marRight w:val="0"/>
      <w:marTop w:val="0"/>
      <w:marBottom w:val="0"/>
      <w:divBdr>
        <w:top w:val="none" w:sz="0" w:space="0" w:color="auto"/>
        <w:left w:val="none" w:sz="0" w:space="0" w:color="auto"/>
        <w:bottom w:val="none" w:sz="0" w:space="0" w:color="auto"/>
        <w:right w:val="none" w:sz="0" w:space="0" w:color="auto"/>
      </w:divBdr>
    </w:div>
    <w:div w:id="390034768">
      <w:marLeft w:val="0"/>
      <w:marRight w:val="0"/>
      <w:marTop w:val="0"/>
      <w:marBottom w:val="0"/>
      <w:divBdr>
        <w:top w:val="none" w:sz="0" w:space="0" w:color="auto"/>
        <w:left w:val="none" w:sz="0" w:space="0" w:color="auto"/>
        <w:bottom w:val="none" w:sz="0" w:space="0" w:color="auto"/>
        <w:right w:val="none" w:sz="0" w:space="0" w:color="auto"/>
      </w:divBdr>
    </w:div>
    <w:div w:id="390034769">
      <w:marLeft w:val="0"/>
      <w:marRight w:val="0"/>
      <w:marTop w:val="0"/>
      <w:marBottom w:val="0"/>
      <w:divBdr>
        <w:top w:val="none" w:sz="0" w:space="0" w:color="auto"/>
        <w:left w:val="none" w:sz="0" w:space="0" w:color="auto"/>
        <w:bottom w:val="none" w:sz="0" w:space="0" w:color="auto"/>
        <w:right w:val="none" w:sz="0" w:space="0" w:color="auto"/>
      </w:divBdr>
    </w:div>
    <w:div w:id="390034770">
      <w:marLeft w:val="0"/>
      <w:marRight w:val="0"/>
      <w:marTop w:val="0"/>
      <w:marBottom w:val="0"/>
      <w:divBdr>
        <w:top w:val="none" w:sz="0" w:space="0" w:color="auto"/>
        <w:left w:val="none" w:sz="0" w:space="0" w:color="auto"/>
        <w:bottom w:val="none" w:sz="0" w:space="0" w:color="auto"/>
        <w:right w:val="none" w:sz="0" w:space="0" w:color="auto"/>
      </w:divBdr>
    </w:div>
    <w:div w:id="390034772">
      <w:marLeft w:val="0"/>
      <w:marRight w:val="0"/>
      <w:marTop w:val="0"/>
      <w:marBottom w:val="0"/>
      <w:divBdr>
        <w:top w:val="none" w:sz="0" w:space="0" w:color="auto"/>
        <w:left w:val="none" w:sz="0" w:space="0" w:color="auto"/>
        <w:bottom w:val="none" w:sz="0" w:space="0" w:color="auto"/>
        <w:right w:val="none" w:sz="0" w:space="0" w:color="auto"/>
      </w:divBdr>
    </w:div>
    <w:div w:id="390034774">
      <w:marLeft w:val="0"/>
      <w:marRight w:val="0"/>
      <w:marTop w:val="0"/>
      <w:marBottom w:val="0"/>
      <w:divBdr>
        <w:top w:val="none" w:sz="0" w:space="0" w:color="auto"/>
        <w:left w:val="none" w:sz="0" w:space="0" w:color="auto"/>
        <w:bottom w:val="none" w:sz="0" w:space="0" w:color="auto"/>
        <w:right w:val="none" w:sz="0" w:space="0" w:color="auto"/>
      </w:divBdr>
    </w:div>
    <w:div w:id="390034775">
      <w:marLeft w:val="0"/>
      <w:marRight w:val="0"/>
      <w:marTop w:val="0"/>
      <w:marBottom w:val="0"/>
      <w:divBdr>
        <w:top w:val="none" w:sz="0" w:space="0" w:color="auto"/>
        <w:left w:val="none" w:sz="0" w:space="0" w:color="auto"/>
        <w:bottom w:val="none" w:sz="0" w:space="0" w:color="auto"/>
        <w:right w:val="none" w:sz="0" w:space="0" w:color="auto"/>
      </w:divBdr>
    </w:div>
    <w:div w:id="390034776">
      <w:marLeft w:val="0"/>
      <w:marRight w:val="0"/>
      <w:marTop w:val="0"/>
      <w:marBottom w:val="0"/>
      <w:divBdr>
        <w:top w:val="none" w:sz="0" w:space="0" w:color="auto"/>
        <w:left w:val="none" w:sz="0" w:space="0" w:color="auto"/>
        <w:bottom w:val="none" w:sz="0" w:space="0" w:color="auto"/>
        <w:right w:val="none" w:sz="0" w:space="0" w:color="auto"/>
      </w:divBdr>
      <w:divsChild>
        <w:div w:id="390034780">
          <w:marLeft w:val="0"/>
          <w:marRight w:val="0"/>
          <w:marTop w:val="0"/>
          <w:marBottom w:val="0"/>
          <w:divBdr>
            <w:top w:val="none" w:sz="0" w:space="0" w:color="auto"/>
            <w:left w:val="none" w:sz="0" w:space="0" w:color="auto"/>
            <w:bottom w:val="none" w:sz="0" w:space="0" w:color="auto"/>
            <w:right w:val="none" w:sz="0" w:space="0" w:color="auto"/>
          </w:divBdr>
          <w:divsChild>
            <w:div w:id="390034756">
              <w:marLeft w:val="0"/>
              <w:marRight w:val="34"/>
              <w:marTop w:val="0"/>
              <w:marBottom w:val="0"/>
              <w:divBdr>
                <w:top w:val="none" w:sz="0" w:space="0" w:color="auto"/>
                <w:left w:val="none" w:sz="0" w:space="0" w:color="auto"/>
                <w:bottom w:val="none" w:sz="0" w:space="0" w:color="auto"/>
                <w:right w:val="none" w:sz="0" w:space="0" w:color="auto"/>
              </w:divBdr>
              <w:divsChild>
                <w:div w:id="390034773">
                  <w:marLeft w:val="0"/>
                  <w:marRight w:val="0"/>
                  <w:marTop w:val="0"/>
                  <w:marBottom w:val="85"/>
                  <w:divBdr>
                    <w:top w:val="none" w:sz="0" w:space="0" w:color="auto"/>
                    <w:left w:val="none" w:sz="0" w:space="0" w:color="auto"/>
                    <w:bottom w:val="none" w:sz="0" w:space="0" w:color="auto"/>
                    <w:right w:val="none" w:sz="0" w:space="0" w:color="auto"/>
                  </w:divBdr>
                  <w:divsChild>
                    <w:div w:id="390034766">
                      <w:marLeft w:val="0"/>
                      <w:marRight w:val="0"/>
                      <w:marTop w:val="0"/>
                      <w:marBottom w:val="0"/>
                      <w:divBdr>
                        <w:top w:val="none" w:sz="0" w:space="0" w:color="auto"/>
                        <w:left w:val="none" w:sz="0" w:space="0" w:color="auto"/>
                        <w:bottom w:val="none" w:sz="0" w:space="0" w:color="auto"/>
                        <w:right w:val="none" w:sz="0" w:space="0" w:color="auto"/>
                      </w:divBdr>
                      <w:divsChild>
                        <w:div w:id="39003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34777">
      <w:marLeft w:val="0"/>
      <w:marRight w:val="0"/>
      <w:marTop w:val="0"/>
      <w:marBottom w:val="0"/>
      <w:divBdr>
        <w:top w:val="none" w:sz="0" w:space="0" w:color="auto"/>
        <w:left w:val="none" w:sz="0" w:space="0" w:color="auto"/>
        <w:bottom w:val="none" w:sz="0" w:space="0" w:color="auto"/>
        <w:right w:val="none" w:sz="0" w:space="0" w:color="auto"/>
      </w:divBdr>
    </w:div>
    <w:div w:id="390034778">
      <w:marLeft w:val="0"/>
      <w:marRight w:val="0"/>
      <w:marTop w:val="0"/>
      <w:marBottom w:val="0"/>
      <w:divBdr>
        <w:top w:val="none" w:sz="0" w:space="0" w:color="auto"/>
        <w:left w:val="none" w:sz="0" w:space="0" w:color="auto"/>
        <w:bottom w:val="none" w:sz="0" w:space="0" w:color="auto"/>
        <w:right w:val="none" w:sz="0" w:space="0" w:color="auto"/>
      </w:divBdr>
    </w:div>
    <w:div w:id="390034779">
      <w:marLeft w:val="0"/>
      <w:marRight w:val="0"/>
      <w:marTop w:val="0"/>
      <w:marBottom w:val="0"/>
      <w:divBdr>
        <w:top w:val="none" w:sz="0" w:space="0" w:color="auto"/>
        <w:left w:val="none" w:sz="0" w:space="0" w:color="auto"/>
        <w:bottom w:val="none" w:sz="0" w:space="0" w:color="auto"/>
        <w:right w:val="none" w:sz="0" w:space="0" w:color="auto"/>
      </w:divBdr>
    </w:div>
    <w:div w:id="390034781">
      <w:marLeft w:val="0"/>
      <w:marRight w:val="0"/>
      <w:marTop w:val="0"/>
      <w:marBottom w:val="0"/>
      <w:divBdr>
        <w:top w:val="none" w:sz="0" w:space="0" w:color="auto"/>
        <w:left w:val="none" w:sz="0" w:space="0" w:color="auto"/>
        <w:bottom w:val="none" w:sz="0" w:space="0" w:color="auto"/>
        <w:right w:val="none" w:sz="0" w:space="0" w:color="auto"/>
      </w:divBdr>
      <w:divsChild>
        <w:div w:id="390034764">
          <w:marLeft w:val="300"/>
          <w:marRight w:val="300"/>
          <w:marTop w:val="0"/>
          <w:marBottom w:val="0"/>
          <w:divBdr>
            <w:top w:val="none" w:sz="0" w:space="0" w:color="auto"/>
            <w:left w:val="none" w:sz="0" w:space="0" w:color="auto"/>
            <w:bottom w:val="none" w:sz="0" w:space="0" w:color="auto"/>
            <w:right w:val="none" w:sz="0" w:space="0" w:color="auto"/>
          </w:divBdr>
        </w:div>
      </w:divsChild>
    </w:div>
    <w:div w:id="390034782">
      <w:marLeft w:val="0"/>
      <w:marRight w:val="0"/>
      <w:marTop w:val="0"/>
      <w:marBottom w:val="0"/>
      <w:divBdr>
        <w:top w:val="none" w:sz="0" w:space="0" w:color="auto"/>
        <w:left w:val="none" w:sz="0" w:space="0" w:color="auto"/>
        <w:bottom w:val="none" w:sz="0" w:space="0" w:color="auto"/>
        <w:right w:val="none" w:sz="0" w:space="0" w:color="auto"/>
      </w:divBdr>
    </w:div>
    <w:div w:id="390034783">
      <w:marLeft w:val="0"/>
      <w:marRight w:val="0"/>
      <w:marTop w:val="0"/>
      <w:marBottom w:val="0"/>
      <w:divBdr>
        <w:top w:val="none" w:sz="0" w:space="0" w:color="auto"/>
        <w:left w:val="none" w:sz="0" w:space="0" w:color="auto"/>
        <w:bottom w:val="none" w:sz="0" w:space="0" w:color="auto"/>
        <w:right w:val="none" w:sz="0" w:space="0" w:color="auto"/>
      </w:divBdr>
      <w:divsChild>
        <w:div w:id="390034760">
          <w:marLeft w:val="300"/>
          <w:marRight w:val="300"/>
          <w:marTop w:val="0"/>
          <w:marBottom w:val="0"/>
          <w:divBdr>
            <w:top w:val="none" w:sz="0" w:space="0" w:color="auto"/>
            <w:left w:val="none" w:sz="0" w:space="0" w:color="auto"/>
            <w:bottom w:val="none" w:sz="0" w:space="0" w:color="auto"/>
            <w:right w:val="none" w:sz="0" w:space="0" w:color="auto"/>
          </w:divBdr>
        </w:div>
      </w:divsChild>
    </w:div>
    <w:div w:id="390034784">
      <w:marLeft w:val="0"/>
      <w:marRight w:val="0"/>
      <w:marTop w:val="0"/>
      <w:marBottom w:val="0"/>
      <w:divBdr>
        <w:top w:val="none" w:sz="0" w:space="0" w:color="auto"/>
        <w:left w:val="none" w:sz="0" w:space="0" w:color="auto"/>
        <w:bottom w:val="none" w:sz="0" w:space="0" w:color="auto"/>
        <w:right w:val="none" w:sz="0" w:space="0" w:color="auto"/>
      </w:divBdr>
    </w:div>
    <w:div w:id="390034785">
      <w:marLeft w:val="0"/>
      <w:marRight w:val="0"/>
      <w:marTop w:val="0"/>
      <w:marBottom w:val="0"/>
      <w:divBdr>
        <w:top w:val="none" w:sz="0" w:space="0" w:color="auto"/>
        <w:left w:val="none" w:sz="0" w:space="0" w:color="auto"/>
        <w:bottom w:val="none" w:sz="0" w:space="0" w:color="auto"/>
        <w:right w:val="none" w:sz="0" w:space="0" w:color="auto"/>
      </w:divBdr>
    </w:div>
    <w:div w:id="390034786">
      <w:marLeft w:val="0"/>
      <w:marRight w:val="0"/>
      <w:marTop w:val="0"/>
      <w:marBottom w:val="0"/>
      <w:divBdr>
        <w:top w:val="none" w:sz="0" w:space="0" w:color="auto"/>
        <w:left w:val="none" w:sz="0" w:space="0" w:color="auto"/>
        <w:bottom w:val="none" w:sz="0" w:space="0" w:color="auto"/>
        <w:right w:val="none" w:sz="0" w:space="0" w:color="auto"/>
      </w:divBdr>
    </w:div>
    <w:div w:id="401023798">
      <w:bodyDiv w:val="1"/>
      <w:marLeft w:val="0"/>
      <w:marRight w:val="0"/>
      <w:marTop w:val="0"/>
      <w:marBottom w:val="0"/>
      <w:divBdr>
        <w:top w:val="none" w:sz="0" w:space="0" w:color="auto"/>
        <w:left w:val="none" w:sz="0" w:space="0" w:color="auto"/>
        <w:bottom w:val="none" w:sz="0" w:space="0" w:color="auto"/>
        <w:right w:val="none" w:sz="0" w:space="0" w:color="auto"/>
      </w:divBdr>
    </w:div>
    <w:div w:id="594019038">
      <w:bodyDiv w:val="1"/>
      <w:marLeft w:val="0"/>
      <w:marRight w:val="0"/>
      <w:marTop w:val="0"/>
      <w:marBottom w:val="0"/>
      <w:divBdr>
        <w:top w:val="none" w:sz="0" w:space="0" w:color="auto"/>
        <w:left w:val="none" w:sz="0" w:space="0" w:color="auto"/>
        <w:bottom w:val="none" w:sz="0" w:space="0" w:color="auto"/>
        <w:right w:val="none" w:sz="0" w:space="0" w:color="auto"/>
      </w:divBdr>
    </w:div>
    <w:div w:id="873813341">
      <w:bodyDiv w:val="1"/>
      <w:marLeft w:val="0"/>
      <w:marRight w:val="0"/>
      <w:marTop w:val="0"/>
      <w:marBottom w:val="0"/>
      <w:divBdr>
        <w:top w:val="none" w:sz="0" w:space="0" w:color="auto"/>
        <w:left w:val="none" w:sz="0" w:space="0" w:color="auto"/>
        <w:bottom w:val="none" w:sz="0" w:space="0" w:color="auto"/>
        <w:right w:val="none" w:sz="0" w:space="0" w:color="auto"/>
      </w:divBdr>
      <w:divsChild>
        <w:div w:id="1800876931">
          <w:marLeft w:val="0"/>
          <w:marRight w:val="0"/>
          <w:marTop w:val="0"/>
          <w:marBottom w:val="0"/>
          <w:divBdr>
            <w:top w:val="none" w:sz="0" w:space="0" w:color="auto"/>
            <w:left w:val="none" w:sz="0" w:space="0" w:color="auto"/>
            <w:bottom w:val="none" w:sz="0" w:space="0" w:color="auto"/>
            <w:right w:val="none" w:sz="0" w:space="0" w:color="auto"/>
          </w:divBdr>
          <w:divsChild>
            <w:div w:id="825318669">
              <w:marLeft w:val="0"/>
              <w:marRight w:val="0"/>
              <w:marTop w:val="100"/>
              <w:marBottom w:val="100"/>
              <w:divBdr>
                <w:top w:val="none" w:sz="0" w:space="0" w:color="auto"/>
                <w:left w:val="none" w:sz="0" w:space="0" w:color="auto"/>
                <w:bottom w:val="none" w:sz="0" w:space="0" w:color="auto"/>
                <w:right w:val="none" w:sz="0" w:space="0" w:color="auto"/>
              </w:divBdr>
              <w:divsChild>
                <w:div w:id="1286158655">
                  <w:marLeft w:val="0"/>
                  <w:marRight w:val="0"/>
                  <w:marTop w:val="0"/>
                  <w:marBottom w:val="0"/>
                  <w:divBdr>
                    <w:top w:val="none" w:sz="0" w:space="0" w:color="auto"/>
                    <w:left w:val="none" w:sz="0" w:space="0" w:color="auto"/>
                    <w:bottom w:val="none" w:sz="0" w:space="0" w:color="auto"/>
                    <w:right w:val="none" w:sz="0" w:space="0" w:color="auto"/>
                  </w:divBdr>
                  <w:divsChild>
                    <w:div w:id="772407838">
                      <w:marLeft w:val="0"/>
                      <w:marRight w:val="0"/>
                      <w:marTop w:val="0"/>
                      <w:marBottom w:val="0"/>
                      <w:divBdr>
                        <w:top w:val="none" w:sz="0" w:space="0" w:color="auto"/>
                        <w:left w:val="none" w:sz="0" w:space="0" w:color="auto"/>
                        <w:bottom w:val="none" w:sz="0" w:space="0" w:color="auto"/>
                        <w:right w:val="none" w:sz="0" w:space="0" w:color="auto"/>
                      </w:divBdr>
                      <w:divsChild>
                        <w:div w:id="1678575164">
                          <w:marLeft w:val="0"/>
                          <w:marRight w:val="0"/>
                          <w:marTop w:val="0"/>
                          <w:marBottom w:val="0"/>
                          <w:divBdr>
                            <w:top w:val="none" w:sz="0" w:space="0" w:color="auto"/>
                            <w:left w:val="none" w:sz="0" w:space="0" w:color="auto"/>
                            <w:bottom w:val="none" w:sz="0" w:space="0" w:color="auto"/>
                            <w:right w:val="none" w:sz="0" w:space="0" w:color="auto"/>
                          </w:divBdr>
                          <w:divsChild>
                            <w:div w:id="1761946873">
                              <w:marLeft w:val="0"/>
                              <w:marRight w:val="0"/>
                              <w:marTop w:val="0"/>
                              <w:marBottom w:val="0"/>
                              <w:divBdr>
                                <w:top w:val="none" w:sz="0" w:space="0" w:color="auto"/>
                                <w:left w:val="none" w:sz="0" w:space="0" w:color="auto"/>
                                <w:bottom w:val="none" w:sz="0" w:space="0" w:color="auto"/>
                                <w:right w:val="none" w:sz="0" w:space="0" w:color="auto"/>
                              </w:divBdr>
                              <w:divsChild>
                                <w:div w:id="1244219330">
                                  <w:marLeft w:val="0"/>
                                  <w:marRight w:val="0"/>
                                  <w:marTop w:val="0"/>
                                  <w:marBottom w:val="0"/>
                                  <w:divBdr>
                                    <w:top w:val="none" w:sz="0" w:space="0" w:color="auto"/>
                                    <w:left w:val="none" w:sz="0" w:space="0" w:color="auto"/>
                                    <w:bottom w:val="none" w:sz="0" w:space="0" w:color="auto"/>
                                    <w:right w:val="none" w:sz="0" w:space="0" w:color="auto"/>
                                  </w:divBdr>
                                  <w:divsChild>
                                    <w:div w:id="45633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1925317">
      <w:bodyDiv w:val="1"/>
      <w:marLeft w:val="0"/>
      <w:marRight w:val="0"/>
      <w:marTop w:val="0"/>
      <w:marBottom w:val="0"/>
      <w:divBdr>
        <w:top w:val="none" w:sz="0" w:space="0" w:color="auto"/>
        <w:left w:val="none" w:sz="0" w:space="0" w:color="auto"/>
        <w:bottom w:val="none" w:sz="0" w:space="0" w:color="auto"/>
        <w:right w:val="none" w:sz="0" w:space="0" w:color="auto"/>
      </w:divBdr>
    </w:div>
    <w:div w:id="1175537135">
      <w:bodyDiv w:val="1"/>
      <w:marLeft w:val="0"/>
      <w:marRight w:val="0"/>
      <w:marTop w:val="0"/>
      <w:marBottom w:val="0"/>
      <w:divBdr>
        <w:top w:val="none" w:sz="0" w:space="0" w:color="auto"/>
        <w:left w:val="none" w:sz="0" w:space="0" w:color="auto"/>
        <w:bottom w:val="none" w:sz="0" w:space="0" w:color="auto"/>
        <w:right w:val="none" w:sz="0" w:space="0" w:color="auto"/>
      </w:divBdr>
    </w:div>
    <w:div w:id="1269388355">
      <w:bodyDiv w:val="1"/>
      <w:marLeft w:val="0"/>
      <w:marRight w:val="0"/>
      <w:marTop w:val="0"/>
      <w:marBottom w:val="0"/>
      <w:divBdr>
        <w:top w:val="none" w:sz="0" w:space="0" w:color="auto"/>
        <w:left w:val="none" w:sz="0" w:space="0" w:color="auto"/>
        <w:bottom w:val="none" w:sz="0" w:space="0" w:color="auto"/>
        <w:right w:val="none" w:sz="0" w:space="0" w:color="auto"/>
      </w:divBdr>
    </w:div>
    <w:div w:id="1286425444">
      <w:bodyDiv w:val="1"/>
      <w:marLeft w:val="0"/>
      <w:marRight w:val="0"/>
      <w:marTop w:val="0"/>
      <w:marBottom w:val="0"/>
      <w:divBdr>
        <w:top w:val="none" w:sz="0" w:space="0" w:color="auto"/>
        <w:left w:val="none" w:sz="0" w:space="0" w:color="auto"/>
        <w:bottom w:val="none" w:sz="0" w:space="0" w:color="auto"/>
        <w:right w:val="none" w:sz="0" w:space="0" w:color="auto"/>
      </w:divBdr>
    </w:div>
    <w:div w:id="1406495300">
      <w:bodyDiv w:val="1"/>
      <w:marLeft w:val="0"/>
      <w:marRight w:val="0"/>
      <w:marTop w:val="0"/>
      <w:marBottom w:val="0"/>
      <w:divBdr>
        <w:top w:val="none" w:sz="0" w:space="0" w:color="auto"/>
        <w:left w:val="none" w:sz="0" w:space="0" w:color="auto"/>
        <w:bottom w:val="none" w:sz="0" w:space="0" w:color="auto"/>
        <w:right w:val="none" w:sz="0" w:space="0" w:color="auto"/>
      </w:divBdr>
    </w:div>
    <w:div w:id="1415202286">
      <w:bodyDiv w:val="1"/>
      <w:marLeft w:val="0"/>
      <w:marRight w:val="0"/>
      <w:marTop w:val="0"/>
      <w:marBottom w:val="0"/>
      <w:divBdr>
        <w:top w:val="none" w:sz="0" w:space="0" w:color="auto"/>
        <w:left w:val="none" w:sz="0" w:space="0" w:color="auto"/>
        <w:bottom w:val="none" w:sz="0" w:space="0" w:color="auto"/>
        <w:right w:val="none" w:sz="0" w:space="0" w:color="auto"/>
      </w:divBdr>
    </w:div>
    <w:div w:id="144731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5.jpeg"/><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yperlink" Target="http://www.surs.si/"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jpeg"/><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9.jpe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surs.si/" TargetMode="External"/><Relationship Id="rId28" Type="http://schemas.openxmlformats.org/officeDocument/2006/relationships/image" Target="media/image13.jpeg"/><Relationship Id="rId10" Type="http://schemas.openxmlformats.org/officeDocument/2006/relationships/header" Target="header1.xml"/><Relationship Id="rId19" Type="http://schemas.openxmlformats.org/officeDocument/2006/relationships/image" Target="media/image6.jpe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image" Target="media/image8.jpeg"/><Relationship Id="rId27" Type="http://schemas.openxmlformats.org/officeDocument/2006/relationships/image" Target="media/image12.jpeg"/><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mailto:gp.gs@gov.si"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DC32E-0707-45AA-BA07-A34D3DDE9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56</Pages>
  <Words>13343</Words>
  <Characters>99582</Characters>
  <Application>Microsoft Office Word</Application>
  <DocSecurity>0</DocSecurity>
  <Lines>829</Lines>
  <Paragraphs>225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
  <LinksUpToDate>false</LinksUpToDate>
  <CharactersWithSpaces>112700</CharactersWithSpaces>
  <SharedDoc>false</SharedDoc>
  <HLinks>
    <vt:vector size="318" baseType="variant">
      <vt:variant>
        <vt:i4>7143461</vt:i4>
      </vt:variant>
      <vt:variant>
        <vt:i4>375</vt:i4>
      </vt:variant>
      <vt:variant>
        <vt:i4>0</vt:i4>
      </vt:variant>
      <vt:variant>
        <vt:i4>5</vt:i4>
      </vt:variant>
      <vt:variant>
        <vt:lpwstr>http://www.surs.si/</vt:lpwstr>
      </vt:variant>
      <vt:variant>
        <vt:lpwstr/>
      </vt:variant>
      <vt:variant>
        <vt:i4>1769527</vt:i4>
      </vt:variant>
      <vt:variant>
        <vt:i4>314</vt:i4>
      </vt:variant>
      <vt:variant>
        <vt:i4>0</vt:i4>
      </vt:variant>
      <vt:variant>
        <vt:i4>5</vt:i4>
      </vt:variant>
      <vt:variant>
        <vt:lpwstr/>
      </vt:variant>
      <vt:variant>
        <vt:lpwstr>_Toc11053159</vt:lpwstr>
      </vt:variant>
      <vt:variant>
        <vt:i4>1703991</vt:i4>
      </vt:variant>
      <vt:variant>
        <vt:i4>308</vt:i4>
      </vt:variant>
      <vt:variant>
        <vt:i4>0</vt:i4>
      </vt:variant>
      <vt:variant>
        <vt:i4>5</vt:i4>
      </vt:variant>
      <vt:variant>
        <vt:lpwstr/>
      </vt:variant>
      <vt:variant>
        <vt:lpwstr>_Toc11053158</vt:lpwstr>
      </vt:variant>
      <vt:variant>
        <vt:i4>1376311</vt:i4>
      </vt:variant>
      <vt:variant>
        <vt:i4>302</vt:i4>
      </vt:variant>
      <vt:variant>
        <vt:i4>0</vt:i4>
      </vt:variant>
      <vt:variant>
        <vt:i4>5</vt:i4>
      </vt:variant>
      <vt:variant>
        <vt:lpwstr/>
      </vt:variant>
      <vt:variant>
        <vt:lpwstr>_Toc11053157</vt:lpwstr>
      </vt:variant>
      <vt:variant>
        <vt:i4>1310775</vt:i4>
      </vt:variant>
      <vt:variant>
        <vt:i4>296</vt:i4>
      </vt:variant>
      <vt:variant>
        <vt:i4>0</vt:i4>
      </vt:variant>
      <vt:variant>
        <vt:i4>5</vt:i4>
      </vt:variant>
      <vt:variant>
        <vt:lpwstr/>
      </vt:variant>
      <vt:variant>
        <vt:lpwstr>_Toc11053156</vt:lpwstr>
      </vt:variant>
      <vt:variant>
        <vt:i4>1507383</vt:i4>
      </vt:variant>
      <vt:variant>
        <vt:i4>290</vt:i4>
      </vt:variant>
      <vt:variant>
        <vt:i4>0</vt:i4>
      </vt:variant>
      <vt:variant>
        <vt:i4>5</vt:i4>
      </vt:variant>
      <vt:variant>
        <vt:lpwstr/>
      </vt:variant>
      <vt:variant>
        <vt:lpwstr>_Toc11053155</vt:lpwstr>
      </vt:variant>
      <vt:variant>
        <vt:i4>1441847</vt:i4>
      </vt:variant>
      <vt:variant>
        <vt:i4>284</vt:i4>
      </vt:variant>
      <vt:variant>
        <vt:i4>0</vt:i4>
      </vt:variant>
      <vt:variant>
        <vt:i4>5</vt:i4>
      </vt:variant>
      <vt:variant>
        <vt:lpwstr/>
      </vt:variant>
      <vt:variant>
        <vt:lpwstr>_Toc11053154</vt:lpwstr>
      </vt:variant>
      <vt:variant>
        <vt:i4>1114167</vt:i4>
      </vt:variant>
      <vt:variant>
        <vt:i4>278</vt:i4>
      </vt:variant>
      <vt:variant>
        <vt:i4>0</vt:i4>
      </vt:variant>
      <vt:variant>
        <vt:i4>5</vt:i4>
      </vt:variant>
      <vt:variant>
        <vt:lpwstr/>
      </vt:variant>
      <vt:variant>
        <vt:lpwstr>_Toc11053153</vt:lpwstr>
      </vt:variant>
      <vt:variant>
        <vt:i4>1048631</vt:i4>
      </vt:variant>
      <vt:variant>
        <vt:i4>272</vt:i4>
      </vt:variant>
      <vt:variant>
        <vt:i4>0</vt:i4>
      </vt:variant>
      <vt:variant>
        <vt:i4>5</vt:i4>
      </vt:variant>
      <vt:variant>
        <vt:lpwstr/>
      </vt:variant>
      <vt:variant>
        <vt:lpwstr>_Toc11053152</vt:lpwstr>
      </vt:variant>
      <vt:variant>
        <vt:i4>1245239</vt:i4>
      </vt:variant>
      <vt:variant>
        <vt:i4>266</vt:i4>
      </vt:variant>
      <vt:variant>
        <vt:i4>0</vt:i4>
      </vt:variant>
      <vt:variant>
        <vt:i4>5</vt:i4>
      </vt:variant>
      <vt:variant>
        <vt:lpwstr/>
      </vt:variant>
      <vt:variant>
        <vt:lpwstr>_Toc11053151</vt:lpwstr>
      </vt:variant>
      <vt:variant>
        <vt:i4>1179703</vt:i4>
      </vt:variant>
      <vt:variant>
        <vt:i4>260</vt:i4>
      </vt:variant>
      <vt:variant>
        <vt:i4>0</vt:i4>
      </vt:variant>
      <vt:variant>
        <vt:i4>5</vt:i4>
      </vt:variant>
      <vt:variant>
        <vt:lpwstr/>
      </vt:variant>
      <vt:variant>
        <vt:lpwstr>_Toc11053150</vt:lpwstr>
      </vt:variant>
      <vt:variant>
        <vt:i4>1769526</vt:i4>
      </vt:variant>
      <vt:variant>
        <vt:i4>254</vt:i4>
      </vt:variant>
      <vt:variant>
        <vt:i4>0</vt:i4>
      </vt:variant>
      <vt:variant>
        <vt:i4>5</vt:i4>
      </vt:variant>
      <vt:variant>
        <vt:lpwstr/>
      </vt:variant>
      <vt:variant>
        <vt:lpwstr>_Toc11053149</vt:lpwstr>
      </vt:variant>
      <vt:variant>
        <vt:i4>1703990</vt:i4>
      </vt:variant>
      <vt:variant>
        <vt:i4>248</vt:i4>
      </vt:variant>
      <vt:variant>
        <vt:i4>0</vt:i4>
      </vt:variant>
      <vt:variant>
        <vt:i4>5</vt:i4>
      </vt:variant>
      <vt:variant>
        <vt:lpwstr/>
      </vt:variant>
      <vt:variant>
        <vt:lpwstr>_Toc11053148</vt:lpwstr>
      </vt:variant>
      <vt:variant>
        <vt:i4>1376310</vt:i4>
      </vt:variant>
      <vt:variant>
        <vt:i4>242</vt:i4>
      </vt:variant>
      <vt:variant>
        <vt:i4>0</vt:i4>
      </vt:variant>
      <vt:variant>
        <vt:i4>5</vt:i4>
      </vt:variant>
      <vt:variant>
        <vt:lpwstr/>
      </vt:variant>
      <vt:variant>
        <vt:lpwstr>_Toc11053147</vt:lpwstr>
      </vt:variant>
      <vt:variant>
        <vt:i4>1507387</vt:i4>
      </vt:variant>
      <vt:variant>
        <vt:i4>233</vt:i4>
      </vt:variant>
      <vt:variant>
        <vt:i4>0</vt:i4>
      </vt:variant>
      <vt:variant>
        <vt:i4>5</vt:i4>
      </vt:variant>
      <vt:variant>
        <vt:lpwstr/>
      </vt:variant>
      <vt:variant>
        <vt:lpwstr>_Toc11053094</vt:lpwstr>
      </vt:variant>
      <vt:variant>
        <vt:i4>1048635</vt:i4>
      </vt:variant>
      <vt:variant>
        <vt:i4>227</vt:i4>
      </vt:variant>
      <vt:variant>
        <vt:i4>0</vt:i4>
      </vt:variant>
      <vt:variant>
        <vt:i4>5</vt:i4>
      </vt:variant>
      <vt:variant>
        <vt:lpwstr/>
      </vt:variant>
      <vt:variant>
        <vt:lpwstr>_Toc11053093</vt:lpwstr>
      </vt:variant>
      <vt:variant>
        <vt:i4>1114171</vt:i4>
      </vt:variant>
      <vt:variant>
        <vt:i4>221</vt:i4>
      </vt:variant>
      <vt:variant>
        <vt:i4>0</vt:i4>
      </vt:variant>
      <vt:variant>
        <vt:i4>5</vt:i4>
      </vt:variant>
      <vt:variant>
        <vt:lpwstr/>
      </vt:variant>
      <vt:variant>
        <vt:lpwstr>_Toc11053092</vt:lpwstr>
      </vt:variant>
      <vt:variant>
        <vt:i4>1179707</vt:i4>
      </vt:variant>
      <vt:variant>
        <vt:i4>215</vt:i4>
      </vt:variant>
      <vt:variant>
        <vt:i4>0</vt:i4>
      </vt:variant>
      <vt:variant>
        <vt:i4>5</vt:i4>
      </vt:variant>
      <vt:variant>
        <vt:lpwstr/>
      </vt:variant>
      <vt:variant>
        <vt:lpwstr>_Toc11053091</vt:lpwstr>
      </vt:variant>
      <vt:variant>
        <vt:i4>1245243</vt:i4>
      </vt:variant>
      <vt:variant>
        <vt:i4>209</vt:i4>
      </vt:variant>
      <vt:variant>
        <vt:i4>0</vt:i4>
      </vt:variant>
      <vt:variant>
        <vt:i4>5</vt:i4>
      </vt:variant>
      <vt:variant>
        <vt:lpwstr/>
      </vt:variant>
      <vt:variant>
        <vt:lpwstr>_Toc11053090</vt:lpwstr>
      </vt:variant>
      <vt:variant>
        <vt:i4>1703994</vt:i4>
      </vt:variant>
      <vt:variant>
        <vt:i4>203</vt:i4>
      </vt:variant>
      <vt:variant>
        <vt:i4>0</vt:i4>
      </vt:variant>
      <vt:variant>
        <vt:i4>5</vt:i4>
      </vt:variant>
      <vt:variant>
        <vt:lpwstr/>
      </vt:variant>
      <vt:variant>
        <vt:lpwstr>_Toc11053089</vt:lpwstr>
      </vt:variant>
      <vt:variant>
        <vt:i4>1769530</vt:i4>
      </vt:variant>
      <vt:variant>
        <vt:i4>197</vt:i4>
      </vt:variant>
      <vt:variant>
        <vt:i4>0</vt:i4>
      </vt:variant>
      <vt:variant>
        <vt:i4>5</vt:i4>
      </vt:variant>
      <vt:variant>
        <vt:lpwstr/>
      </vt:variant>
      <vt:variant>
        <vt:lpwstr>_Toc11053088</vt:lpwstr>
      </vt:variant>
      <vt:variant>
        <vt:i4>1310778</vt:i4>
      </vt:variant>
      <vt:variant>
        <vt:i4>191</vt:i4>
      </vt:variant>
      <vt:variant>
        <vt:i4>0</vt:i4>
      </vt:variant>
      <vt:variant>
        <vt:i4>5</vt:i4>
      </vt:variant>
      <vt:variant>
        <vt:lpwstr/>
      </vt:variant>
      <vt:variant>
        <vt:lpwstr>_Toc11053087</vt:lpwstr>
      </vt:variant>
      <vt:variant>
        <vt:i4>1376314</vt:i4>
      </vt:variant>
      <vt:variant>
        <vt:i4>185</vt:i4>
      </vt:variant>
      <vt:variant>
        <vt:i4>0</vt:i4>
      </vt:variant>
      <vt:variant>
        <vt:i4>5</vt:i4>
      </vt:variant>
      <vt:variant>
        <vt:lpwstr/>
      </vt:variant>
      <vt:variant>
        <vt:lpwstr>_Toc11053086</vt:lpwstr>
      </vt:variant>
      <vt:variant>
        <vt:i4>1441850</vt:i4>
      </vt:variant>
      <vt:variant>
        <vt:i4>179</vt:i4>
      </vt:variant>
      <vt:variant>
        <vt:i4>0</vt:i4>
      </vt:variant>
      <vt:variant>
        <vt:i4>5</vt:i4>
      </vt:variant>
      <vt:variant>
        <vt:lpwstr/>
      </vt:variant>
      <vt:variant>
        <vt:lpwstr>_Toc11053085</vt:lpwstr>
      </vt:variant>
      <vt:variant>
        <vt:i4>1507386</vt:i4>
      </vt:variant>
      <vt:variant>
        <vt:i4>173</vt:i4>
      </vt:variant>
      <vt:variant>
        <vt:i4>0</vt:i4>
      </vt:variant>
      <vt:variant>
        <vt:i4>5</vt:i4>
      </vt:variant>
      <vt:variant>
        <vt:lpwstr/>
      </vt:variant>
      <vt:variant>
        <vt:lpwstr>_Toc11053084</vt:lpwstr>
      </vt:variant>
      <vt:variant>
        <vt:i4>1048634</vt:i4>
      </vt:variant>
      <vt:variant>
        <vt:i4>167</vt:i4>
      </vt:variant>
      <vt:variant>
        <vt:i4>0</vt:i4>
      </vt:variant>
      <vt:variant>
        <vt:i4>5</vt:i4>
      </vt:variant>
      <vt:variant>
        <vt:lpwstr/>
      </vt:variant>
      <vt:variant>
        <vt:lpwstr>_Toc11053083</vt:lpwstr>
      </vt:variant>
      <vt:variant>
        <vt:i4>1114170</vt:i4>
      </vt:variant>
      <vt:variant>
        <vt:i4>161</vt:i4>
      </vt:variant>
      <vt:variant>
        <vt:i4>0</vt:i4>
      </vt:variant>
      <vt:variant>
        <vt:i4>5</vt:i4>
      </vt:variant>
      <vt:variant>
        <vt:lpwstr/>
      </vt:variant>
      <vt:variant>
        <vt:lpwstr>_Toc11053082</vt:lpwstr>
      </vt:variant>
      <vt:variant>
        <vt:i4>1179706</vt:i4>
      </vt:variant>
      <vt:variant>
        <vt:i4>155</vt:i4>
      </vt:variant>
      <vt:variant>
        <vt:i4>0</vt:i4>
      </vt:variant>
      <vt:variant>
        <vt:i4>5</vt:i4>
      </vt:variant>
      <vt:variant>
        <vt:lpwstr/>
      </vt:variant>
      <vt:variant>
        <vt:lpwstr>_Toc11053081</vt:lpwstr>
      </vt:variant>
      <vt:variant>
        <vt:i4>1245242</vt:i4>
      </vt:variant>
      <vt:variant>
        <vt:i4>149</vt:i4>
      </vt:variant>
      <vt:variant>
        <vt:i4>0</vt:i4>
      </vt:variant>
      <vt:variant>
        <vt:i4>5</vt:i4>
      </vt:variant>
      <vt:variant>
        <vt:lpwstr/>
      </vt:variant>
      <vt:variant>
        <vt:lpwstr>_Toc11053080</vt:lpwstr>
      </vt:variant>
      <vt:variant>
        <vt:i4>1703989</vt:i4>
      </vt:variant>
      <vt:variant>
        <vt:i4>143</vt:i4>
      </vt:variant>
      <vt:variant>
        <vt:i4>0</vt:i4>
      </vt:variant>
      <vt:variant>
        <vt:i4>5</vt:i4>
      </vt:variant>
      <vt:variant>
        <vt:lpwstr/>
      </vt:variant>
      <vt:variant>
        <vt:lpwstr>_Toc11053079</vt:lpwstr>
      </vt:variant>
      <vt:variant>
        <vt:i4>1769525</vt:i4>
      </vt:variant>
      <vt:variant>
        <vt:i4>137</vt:i4>
      </vt:variant>
      <vt:variant>
        <vt:i4>0</vt:i4>
      </vt:variant>
      <vt:variant>
        <vt:i4>5</vt:i4>
      </vt:variant>
      <vt:variant>
        <vt:lpwstr/>
      </vt:variant>
      <vt:variant>
        <vt:lpwstr>_Toc11053078</vt:lpwstr>
      </vt:variant>
      <vt:variant>
        <vt:i4>1310773</vt:i4>
      </vt:variant>
      <vt:variant>
        <vt:i4>131</vt:i4>
      </vt:variant>
      <vt:variant>
        <vt:i4>0</vt:i4>
      </vt:variant>
      <vt:variant>
        <vt:i4>5</vt:i4>
      </vt:variant>
      <vt:variant>
        <vt:lpwstr/>
      </vt:variant>
      <vt:variant>
        <vt:lpwstr>_Toc11053077</vt:lpwstr>
      </vt:variant>
      <vt:variant>
        <vt:i4>1376309</vt:i4>
      </vt:variant>
      <vt:variant>
        <vt:i4>125</vt:i4>
      </vt:variant>
      <vt:variant>
        <vt:i4>0</vt:i4>
      </vt:variant>
      <vt:variant>
        <vt:i4>5</vt:i4>
      </vt:variant>
      <vt:variant>
        <vt:lpwstr/>
      </vt:variant>
      <vt:variant>
        <vt:lpwstr>_Toc11053076</vt:lpwstr>
      </vt:variant>
      <vt:variant>
        <vt:i4>1441845</vt:i4>
      </vt:variant>
      <vt:variant>
        <vt:i4>119</vt:i4>
      </vt:variant>
      <vt:variant>
        <vt:i4>0</vt:i4>
      </vt:variant>
      <vt:variant>
        <vt:i4>5</vt:i4>
      </vt:variant>
      <vt:variant>
        <vt:lpwstr/>
      </vt:variant>
      <vt:variant>
        <vt:lpwstr>_Toc11053075</vt:lpwstr>
      </vt:variant>
      <vt:variant>
        <vt:i4>1507381</vt:i4>
      </vt:variant>
      <vt:variant>
        <vt:i4>113</vt:i4>
      </vt:variant>
      <vt:variant>
        <vt:i4>0</vt:i4>
      </vt:variant>
      <vt:variant>
        <vt:i4>5</vt:i4>
      </vt:variant>
      <vt:variant>
        <vt:lpwstr/>
      </vt:variant>
      <vt:variant>
        <vt:lpwstr>_Toc11053074</vt:lpwstr>
      </vt:variant>
      <vt:variant>
        <vt:i4>1048629</vt:i4>
      </vt:variant>
      <vt:variant>
        <vt:i4>107</vt:i4>
      </vt:variant>
      <vt:variant>
        <vt:i4>0</vt:i4>
      </vt:variant>
      <vt:variant>
        <vt:i4>5</vt:i4>
      </vt:variant>
      <vt:variant>
        <vt:lpwstr/>
      </vt:variant>
      <vt:variant>
        <vt:lpwstr>_Toc11053073</vt:lpwstr>
      </vt:variant>
      <vt:variant>
        <vt:i4>1114165</vt:i4>
      </vt:variant>
      <vt:variant>
        <vt:i4>101</vt:i4>
      </vt:variant>
      <vt:variant>
        <vt:i4>0</vt:i4>
      </vt:variant>
      <vt:variant>
        <vt:i4>5</vt:i4>
      </vt:variant>
      <vt:variant>
        <vt:lpwstr/>
      </vt:variant>
      <vt:variant>
        <vt:lpwstr>_Toc11053072</vt:lpwstr>
      </vt:variant>
      <vt:variant>
        <vt:i4>1179701</vt:i4>
      </vt:variant>
      <vt:variant>
        <vt:i4>92</vt:i4>
      </vt:variant>
      <vt:variant>
        <vt:i4>0</vt:i4>
      </vt:variant>
      <vt:variant>
        <vt:i4>5</vt:i4>
      </vt:variant>
      <vt:variant>
        <vt:lpwstr/>
      </vt:variant>
      <vt:variant>
        <vt:lpwstr>_Toc11053071</vt:lpwstr>
      </vt:variant>
      <vt:variant>
        <vt:i4>1245237</vt:i4>
      </vt:variant>
      <vt:variant>
        <vt:i4>86</vt:i4>
      </vt:variant>
      <vt:variant>
        <vt:i4>0</vt:i4>
      </vt:variant>
      <vt:variant>
        <vt:i4>5</vt:i4>
      </vt:variant>
      <vt:variant>
        <vt:lpwstr/>
      </vt:variant>
      <vt:variant>
        <vt:lpwstr>_Toc11053070</vt:lpwstr>
      </vt:variant>
      <vt:variant>
        <vt:i4>1703988</vt:i4>
      </vt:variant>
      <vt:variant>
        <vt:i4>80</vt:i4>
      </vt:variant>
      <vt:variant>
        <vt:i4>0</vt:i4>
      </vt:variant>
      <vt:variant>
        <vt:i4>5</vt:i4>
      </vt:variant>
      <vt:variant>
        <vt:lpwstr/>
      </vt:variant>
      <vt:variant>
        <vt:lpwstr>_Toc11053069</vt:lpwstr>
      </vt:variant>
      <vt:variant>
        <vt:i4>1769524</vt:i4>
      </vt:variant>
      <vt:variant>
        <vt:i4>74</vt:i4>
      </vt:variant>
      <vt:variant>
        <vt:i4>0</vt:i4>
      </vt:variant>
      <vt:variant>
        <vt:i4>5</vt:i4>
      </vt:variant>
      <vt:variant>
        <vt:lpwstr/>
      </vt:variant>
      <vt:variant>
        <vt:lpwstr>_Toc11053068</vt:lpwstr>
      </vt:variant>
      <vt:variant>
        <vt:i4>1310772</vt:i4>
      </vt:variant>
      <vt:variant>
        <vt:i4>68</vt:i4>
      </vt:variant>
      <vt:variant>
        <vt:i4>0</vt:i4>
      </vt:variant>
      <vt:variant>
        <vt:i4>5</vt:i4>
      </vt:variant>
      <vt:variant>
        <vt:lpwstr/>
      </vt:variant>
      <vt:variant>
        <vt:lpwstr>_Toc11053067</vt:lpwstr>
      </vt:variant>
      <vt:variant>
        <vt:i4>1376308</vt:i4>
      </vt:variant>
      <vt:variant>
        <vt:i4>62</vt:i4>
      </vt:variant>
      <vt:variant>
        <vt:i4>0</vt:i4>
      </vt:variant>
      <vt:variant>
        <vt:i4>5</vt:i4>
      </vt:variant>
      <vt:variant>
        <vt:lpwstr/>
      </vt:variant>
      <vt:variant>
        <vt:lpwstr>_Toc11053066</vt:lpwstr>
      </vt:variant>
      <vt:variant>
        <vt:i4>1441844</vt:i4>
      </vt:variant>
      <vt:variant>
        <vt:i4>56</vt:i4>
      </vt:variant>
      <vt:variant>
        <vt:i4>0</vt:i4>
      </vt:variant>
      <vt:variant>
        <vt:i4>5</vt:i4>
      </vt:variant>
      <vt:variant>
        <vt:lpwstr/>
      </vt:variant>
      <vt:variant>
        <vt:lpwstr>_Toc11053065</vt:lpwstr>
      </vt:variant>
      <vt:variant>
        <vt:i4>1507380</vt:i4>
      </vt:variant>
      <vt:variant>
        <vt:i4>50</vt:i4>
      </vt:variant>
      <vt:variant>
        <vt:i4>0</vt:i4>
      </vt:variant>
      <vt:variant>
        <vt:i4>5</vt:i4>
      </vt:variant>
      <vt:variant>
        <vt:lpwstr/>
      </vt:variant>
      <vt:variant>
        <vt:lpwstr>_Toc11053064</vt:lpwstr>
      </vt:variant>
      <vt:variant>
        <vt:i4>1048628</vt:i4>
      </vt:variant>
      <vt:variant>
        <vt:i4>44</vt:i4>
      </vt:variant>
      <vt:variant>
        <vt:i4>0</vt:i4>
      </vt:variant>
      <vt:variant>
        <vt:i4>5</vt:i4>
      </vt:variant>
      <vt:variant>
        <vt:lpwstr/>
      </vt:variant>
      <vt:variant>
        <vt:lpwstr>_Toc11053063</vt:lpwstr>
      </vt:variant>
      <vt:variant>
        <vt:i4>1114164</vt:i4>
      </vt:variant>
      <vt:variant>
        <vt:i4>38</vt:i4>
      </vt:variant>
      <vt:variant>
        <vt:i4>0</vt:i4>
      </vt:variant>
      <vt:variant>
        <vt:i4>5</vt:i4>
      </vt:variant>
      <vt:variant>
        <vt:lpwstr/>
      </vt:variant>
      <vt:variant>
        <vt:lpwstr>_Toc11053062</vt:lpwstr>
      </vt:variant>
      <vt:variant>
        <vt:i4>1179700</vt:i4>
      </vt:variant>
      <vt:variant>
        <vt:i4>32</vt:i4>
      </vt:variant>
      <vt:variant>
        <vt:i4>0</vt:i4>
      </vt:variant>
      <vt:variant>
        <vt:i4>5</vt:i4>
      </vt:variant>
      <vt:variant>
        <vt:lpwstr/>
      </vt:variant>
      <vt:variant>
        <vt:lpwstr>_Toc11053061</vt:lpwstr>
      </vt:variant>
      <vt:variant>
        <vt:i4>1245236</vt:i4>
      </vt:variant>
      <vt:variant>
        <vt:i4>26</vt:i4>
      </vt:variant>
      <vt:variant>
        <vt:i4>0</vt:i4>
      </vt:variant>
      <vt:variant>
        <vt:i4>5</vt:i4>
      </vt:variant>
      <vt:variant>
        <vt:lpwstr/>
      </vt:variant>
      <vt:variant>
        <vt:lpwstr>_Toc11053060</vt:lpwstr>
      </vt:variant>
      <vt:variant>
        <vt:i4>1703991</vt:i4>
      </vt:variant>
      <vt:variant>
        <vt:i4>20</vt:i4>
      </vt:variant>
      <vt:variant>
        <vt:i4>0</vt:i4>
      </vt:variant>
      <vt:variant>
        <vt:i4>5</vt:i4>
      </vt:variant>
      <vt:variant>
        <vt:lpwstr/>
      </vt:variant>
      <vt:variant>
        <vt:lpwstr>_Toc11053059</vt:lpwstr>
      </vt:variant>
      <vt:variant>
        <vt:i4>1769527</vt:i4>
      </vt:variant>
      <vt:variant>
        <vt:i4>14</vt:i4>
      </vt:variant>
      <vt:variant>
        <vt:i4>0</vt:i4>
      </vt:variant>
      <vt:variant>
        <vt:i4>5</vt:i4>
      </vt:variant>
      <vt:variant>
        <vt:lpwstr/>
      </vt:variant>
      <vt:variant>
        <vt:lpwstr>_Toc11053058</vt:lpwstr>
      </vt:variant>
      <vt:variant>
        <vt:i4>1310775</vt:i4>
      </vt:variant>
      <vt:variant>
        <vt:i4>8</vt:i4>
      </vt:variant>
      <vt:variant>
        <vt:i4>0</vt:i4>
      </vt:variant>
      <vt:variant>
        <vt:i4>5</vt:i4>
      </vt:variant>
      <vt:variant>
        <vt:lpwstr/>
      </vt:variant>
      <vt:variant>
        <vt:lpwstr>_Toc11053057</vt:lpwstr>
      </vt:variant>
      <vt:variant>
        <vt:i4>1376311</vt:i4>
      </vt:variant>
      <vt:variant>
        <vt:i4>2</vt:i4>
      </vt:variant>
      <vt:variant>
        <vt:i4>0</vt:i4>
      </vt:variant>
      <vt:variant>
        <vt:i4>5</vt:i4>
      </vt:variant>
      <vt:variant>
        <vt:lpwstr/>
      </vt:variant>
      <vt:variant>
        <vt:lpwstr>_Toc11053056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Nevenka Rebrica</dc:creator>
  <cp:lastModifiedBy>Peter Kocjančič</cp:lastModifiedBy>
  <cp:revision>21</cp:revision>
  <cp:lastPrinted>2019-06-13T07:46:00Z</cp:lastPrinted>
  <dcterms:created xsi:type="dcterms:W3CDTF">2020-08-31T09:11:00Z</dcterms:created>
  <dcterms:modified xsi:type="dcterms:W3CDTF">2020-08-31T11:24:00Z</dcterms:modified>
</cp:coreProperties>
</file>