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07C0" w14:textId="77777777" w:rsidR="00E8676D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  <w:r>
        <w:rPr>
          <w:rFonts w:cs="Arial"/>
          <w:b/>
          <w:bCs/>
          <w:iCs/>
          <w:sz w:val="28"/>
          <w:lang w:val="sl-SI"/>
        </w:rPr>
        <w:t xml:space="preserve">                          </w:t>
      </w:r>
      <w:r>
        <w:rPr>
          <w:rFonts w:cs="Arial"/>
          <w:b/>
          <w:bCs/>
          <w:iCs/>
          <w:noProof/>
          <w:sz w:val="28"/>
          <w:szCs w:val="28"/>
          <w:lang w:val="sl-SI" w:eastAsia="sl-SI"/>
        </w:rPr>
        <w:drawing>
          <wp:inline distT="0" distB="0" distL="0" distR="0" wp14:anchorId="77E7F4D0" wp14:editId="5164E154">
            <wp:extent cx="2484407" cy="483623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15" cy="48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iCs/>
          <w:noProof/>
          <w:sz w:val="28"/>
          <w:szCs w:val="28"/>
          <w:lang w:val="sl-SI" w:eastAsia="sl-SI"/>
        </w:rPr>
        <w:t xml:space="preserve"> </w:t>
      </w:r>
    </w:p>
    <w:p w14:paraId="0DA000C8" w14:textId="77777777" w:rsidR="00C5390F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</w:p>
    <w:p w14:paraId="4E4ABCB1" w14:textId="77777777" w:rsidR="00C5390F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</w:p>
    <w:p w14:paraId="2435A972" w14:textId="77777777" w:rsidR="00C5390F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</w:p>
    <w:p w14:paraId="39B23768" w14:textId="77777777" w:rsidR="00C5390F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</w:p>
    <w:p w14:paraId="05046514" w14:textId="77777777" w:rsidR="00C5390F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</w:p>
    <w:p w14:paraId="14A67102" w14:textId="77777777" w:rsidR="00C5390F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</w:p>
    <w:p w14:paraId="504A0ACE" w14:textId="77777777" w:rsidR="00C5390F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</w:p>
    <w:p w14:paraId="438D59B3" w14:textId="77777777" w:rsidR="00C5390F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</w:p>
    <w:p w14:paraId="20B71234" w14:textId="77777777" w:rsidR="00C5390F" w:rsidRDefault="00C5390F" w:rsidP="00510261">
      <w:pPr>
        <w:shd w:val="clear" w:color="auto" w:fill="FFFFFF"/>
        <w:spacing w:line="360" w:lineRule="auto"/>
        <w:jc w:val="both"/>
        <w:rPr>
          <w:rFonts w:cs="Arial"/>
          <w:b/>
          <w:bCs/>
          <w:iCs/>
          <w:noProof/>
          <w:sz w:val="28"/>
          <w:szCs w:val="28"/>
          <w:lang w:val="sl-SI" w:eastAsia="sl-SI"/>
        </w:rPr>
      </w:pPr>
    </w:p>
    <w:p w14:paraId="32FE48EA" w14:textId="77777777" w:rsidR="00321072" w:rsidRDefault="00C5390F" w:rsidP="00C5390F">
      <w:pPr>
        <w:shd w:val="clear" w:color="auto" w:fill="FFFFFF"/>
        <w:spacing w:line="240" w:lineRule="auto"/>
        <w:jc w:val="center"/>
        <w:rPr>
          <w:rFonts w:cs="Arial"/>
          <w:b/>
          <w:bCs/>
          <w:iCs/>
          <w:noProof/>
          <w:sz w:val="36"/>
          <w:szCs w:val="36"/>
          <w:lang w:val="sl-SI" w:eastAsia="sl-SI"/>
        </w:rPr>
      </w:pPr>
      <w:r w:rsidRPr="00C5390F">
        <w:rPr>
          <w:rFonts w:cs="Arial"/>
          <w:b/>
          <w:bCs/>
          <w:iCs/>
          <w:noProof/>
          <w:sz w:val="36"/>
          <w:szCs w:val="36"/>
          <w:lang w:val="sl-SI" w:eastAsia="sl-SI"/>
        </w:rPr>
        <w:t xml:space="preserve">NALOŽBENA POLITIKA </w:t>
      </w:r>
    </w:p>
    <w:p w14:paraId="2A421721" w14:textId="39815DF5" w:rsidR="00C5390F" w:rsidRDefault="00C5390F" w:rsidP="00C5390F">
      <w:pPr>
        <w:shd w:val="clear" w:color="auto" w:fill="FFFFFF"/>
        <w:spacing w:line="240" w:lineRule="auto"/>
        <w:jc w:val="center"/>
        <w:rPr>
          <w:rFonts w:cs="Arial"/>
          <w:b/>
          <w:bCs/>
          <w:iCs/>
          <w:noProof/>
          <w:sz w:val="36"/>
          <w:szCs w:val="36"/>
          <w:lang w:val="sl-SI" w:eastAsia="sl-SI"/>
        </w:rPr>
      </w:pPr>
      <w:r w:rsidRPr="00C5390F">
        <w:rPr>
          <w:rFonts w:cs="Arial"/>
          <w:b/>
          <w:bCs/>
          <w:iCs/>
          <w:noProof/>
          <w:sz w:val="36"/>
          <w:szCs w:val="36"/>
          <w:lang w:val="sl-SI" w:eastAsia="sl-SI"/>
        </w:rPr>
        <w:t>DENARNIH SREDSTEV SISTEMA EZR DRŽAVE</w:t>
      </w:r>
    </w:p>
    <w:p w14:paraId="447E1658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342C0124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17348D62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5620B122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3F383899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6AE017DA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31FFF0F8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42CC2DCA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2E05741A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2243DB7E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204846A5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0FCAE191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753C1EEF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1E7BBDEC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0C31CD65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6DA15A2E" w14:textId="77777777" w:rsidR="00C5390F" w:rsidRDefault="00C5390F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noProof/>
          <w:sz w:val="22"/>
          <w:szCs w:val="22"/>
          <w:lang w:val="sl-SI" w:eastAsia="sl-SI"/>
        </w:rPr>
      </w:pPr>
    </w:p>
    <w:p w14:paraId="620D8348" w14:textId="3A6DC1DC" w:rsidR="00C5390F" w:rsidRPr="00C5390F" w:rsidRDefault="008527CE" w:rsidP="00C5390F">
      <w:pPr>
        <w:shd w:val="clear" w:color="auto" w:fill="FFFFFF"/>
        <w:spacing w:line="360" w:lineRule="auto"/>
        <w:jc w:val="center"/>
        <w:rPr>
          <w:rFonts w:cs="Arial"/>
          <w:bCs/>
          <w:iCs/>
          <w:sz w:val="22"/>
          <w:szCs w:val="22"/>
          <w:highlight w:val="yellow"/>
          <w:lang w:val="sl-SI"/>
        </w:rPr>
      </w:pPr>
      <w:r>
        <w:rPr>
          <w:rFonts w:cs="Arial"/>
          <w:bCs/>
          <w:iCs/>
          <w:noProof/>
          <w:sz w:val="22"/>
          <w:szCs w:val="22"/>
          <w:lang w:val="sl-SI" w:eastAsia="sl-SI"/>
        </w:rPr>
        <w:t>April</w:t>
      </w:r>
      <w:r w:rsidR="00C5390F" w:rsidRPr="00C5390F">
        <w:rPr>
          <w:rFonts w:cs="Arial"/>
          <w:bCs/>
          <w:iCs/>
          <w:noProof/>
          <w:sz w:val="22"/>
          <w:szCs w:val="22"/>
          <w:lang w:val="sl-SI" w:eastAsia="sl-SI"/>
        </w:rPr>
        <w:t xml:space="preserve">, </w:t>
      </w:r>
      <w:r w:rsidR="000A582D" w:rsidRPr="00C5390F">
        <w:rPr>
          <w:rFonts w:cs="Arial"/>
          <w:bCs/>
          <w:iCs/>
          <w:noProof/>
          <w:sz w:val="22"/>
          <w:szCs w:val="22"/>
          <w:lang w:val="sl-SI" w:eastAsia="sl-SI"/>
        </w:rPr>
        <w:t>20</w:t>
      </w:r>
      <w:r w:rsidR="000A582D">
        <w:rPr>
          <w:rFonts w:cs="Arial"/>
          <w:bCs/>
          <w:iCs/>
          <w:noProof/>
          <w:sz w:val="22"/>
          <w:szCs w:val="22"/>
          <w:lang w:val="sl-SI" w:eastAsia="sl-SI"/>
        </w:rPr>
        <w:t>2</w:t>
      </w:r>
      <w:r w:rsidR="00FB58A2">
        <w:rPr>
          <w:rFonts w:cs="Arial"/>
          <w:bCs/>
          <w:iCs/>
          <w:noProof/>
          <w:sz w:val="22"/>
          <w:szCs w:val="22"/>
          <w:lang w:val="sl-SI" w:eastAsia="sl-SI"/>
        </w:rPr>
        <w:t>4</w:t>
      </w:r>
    </w:p>
    <w:p w14:paraId="3B7242A3" w14:textId="77777777" w:rsidR="00FE7A1E" w:rsidRDefault="00FE7A1E">
      <w:pPr>
        <w:spacing w:line="240" w:lineRule="auto"/>
        <w:rPr>
          <w:rFonts w:cs="Arial"/>
          <w:b/>
          <w:bCs/>
          <w:iCs/>
          <w:sz w:val="28"/>
          <w:szCs w:val="28"/>
          <w:lang w:val="sl-SI"/>
        </w:rPr>
      </w:pPr>
      <w:r>
        <w:rPr>
          <w:rFonts w:cs="Arial"/>
          <w:b/>
          <w:bCs/>
          <w:iCs/>
          <w:sz w:val="28"/>
          <w:szCs w:val="28"/>
          <w:lang w:val="sl-SI"/>
        </w:rPr>
        <w:br w:type="page"/>
      </w:r>
    </w:p>
    <w:p w14:paraId="29734D1E" w14:textId="77777777" w:rsidR="00E8676D" w:rsidRDefault="00E8676D" w:rsidP="00CD7838">
      <w:pPr>
        <w:pStyle w:val="Naslov"/>
        <w:jc w:val="center"/>
        <w:rPr>
          <w:rFonts w:ascii="Arial" w:eastAsia="Calibri" w:hAnsi="Arial" w:cs="Arial"/>
          <w:b/>
          <w:color w:val="auto"/>
          <w:sz w:val="28"/>
          <w:szCs w:val="28"/>
          <w:lang w:val="sl-SI"/>
        </w:rPr>
      </w:pPr>
      <w:r w:rsidRPr="00CD7838">
        <w:rPr>
          <w:rFonts w:ascii="Arial" w:hAnsi="Arial" w:cs="Arial"/>
          <w:b/>
          <w:bCs/>
          <w:iCs/>
          <w:color w:val="auto"/>
          <w:sz w:val="28"/>
          <w:szCs w:val="28"/>
          <w:lang w:val="sl-SI"/>
        </w:rPr>
        <w:lastRenderedPageBreak/>
        <w:t>Naložbena</w:t>
      </w:r>
      <w:r w:rsidRPr="00CD7838">
        <w:rPr>
          <w:rFonts w:ascii="Arial" w:eastAsia="Calibri" w:hAnsi="Arial" w:cs="Arial"/>
          <w:b/>
          <w:color w:val="auto"/>
          <w:sz w:val="28"/>
          <w:szCs w:val="28"/>
          <w:lang w:val="sl-SI"/>
        </w:rPr>
        <w:t xml:space="preserve"> politika denarnih sredstev sistema EZR države</w:t>
      </w:r>
    </w:p>
    <w:p w14:paraId="02F08193" w14:textId="77777777" w:rsidR="00CA712C" w:rsidRDefault="00CA712C" w:rsidP="00CA712C">
      <w:pPr>
        <w:rPr>
          <w:rFonts w:eastAsia="Calibri"/>
          <w:lang w:val="sl-SI"/>
        </w:rPr>
      </w:pPr>
    </w:p>
    <w:p w14:paraId="38C5A395" w14:textId="77777777" w:rsidR="00CA712C" w:rsidRPr="00CA712C" w:rsidRDefault="00CA712C" w:rsidP="00CA712C">
      <w:pPr>
        <w:rPr>
          <w:rFonts w:eastAsia="Calibri"/>
          <w:lang w:val="sl-SI"/>
        </w:rPr>
      </w:pPr>
    </w:p>
    <w:p w14:paraId="476252F0" w14:textId="77777777" w:rsidR="00E8676D" w:rsidRPr="001500C2" w:rsidRDefault="00E8676D" w:rsidP="00B8383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Področje</w:t>
      </w:r>
      <w:r w:rsidRPr="001500C2">
        <w:rPr>
          <w:rFonts w:cs="Arial"/>
          <w:b/>
          <w:sz w:val="22"/>
          <w:szCs w:val="22"/>
          <w:lang w:val="sl-SI"/>
        </w:rPr>
        <w:t xml:space="preserve"> urejanja</w:t>
      </w:r>
    </w:p>
    <w:p w14:paraId="22148F44" w14:textId="77777777" w:rsidR="00D07A96" w:rsidRPr="000A4539" w:rsidRDefault="00D07A96" w:rsidP="001500C2">
      <w:pPr>
        <w:spacing w:after="200" w:line="240" w:lineRule="auto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A288A1B" w14:textId="0652CF92" w:rsidR="00D101BA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Naložbena politika denarnih sredstev sistema </w:t>
      </w:r>
      <w:r w:rsidR="00F01A86">
        <w:rPr>
          <w:rFonts w:eastAsia="Calibri" w:cs="Arial"/>
          <w:sz w:val="22"/>
          <w:szCs w:val="22"/>
          <w:lang w:val="sl-SI"/>
        </w:rPr>
        <w:t>enotnega zakladniškega računa</w:t>
      </w:r>
      <w:r w:rsidRPr="000A4539">
        <w:rPr>
          <w:rFonts w:eastAsia="Calibri" w:cs="Arial"/>
          <w:sz w:val="22"/>
          <w:szCs w:val="22"/>
          <w:lang w:val="sl-SI"/>
        </w:rPr>
        <w:t xml:space="preserve"> države (v nadaljnjem besedilu: politika) ureja </w:t>
      </w:r>
      <w:r w:rsidR="00607C42">
        <w:rPr>
          <w:rFonts w:eastAsia="Calibri" w:cs="Arial"/>
          <w:sz w:val="22"/>
          <w:szCs w:val="22"/>
          <w:lang w:val="sl-SI"/>
        </w:rPr>
        <w:t>nalaganje</w:t>
      </w:r>
      <w:r w:rsidRPr="000A4539">
        <w:rPr>
          <w:rFonts w:eastAsia="Calibri" w:cs="Arial"/>
          <w:sz w:val="22"/>
          <w:szCs w:val="22"/>
          <w:lang w:val="sl-SI"/>
        </w:rPr>
        <w:t xml:space="preserve"> denarnih sredstev izven sistema</w:t>
      </w:r>
      <w:r w:rsidR="00607C42">
        <w:rPr>
          <w:rFonts w:eastAsia="Calibri" w:cs="Arial"/>
          <w:sz w:val="22"/>
          <w:szCs w:val="22"/>
          <w:lang w:val="sl-SI"/>
        </w:rPr>
        <w:t xml:space="preserve"> </w:t>
      </w:r>
      <w:r w:rsidR="00F01A86">
        <w:rPr>
          <w:rFonts w:eastAsia="Calibri" w:cs="Arial"/>
          <w:sz w:val="22"/>
          <w:szCs w:val="22"/>
          <w:lang w:val="sl-SI"/>
        </w:rPr>
        <w:t>enotnega zakladniškega računa</w:t>
      </w:r>
      <w:r w:rsidR="00607C42">
        <w:rPr>
          <w:rFonts w:eastAsia="Calibri" w:cs="Arial"/>
          <w:sz w:val="22"/>
          <w:szCs w:val="22"/>
          <w:lang w:val="sl-SI"/>
        </w:rPr>
        <w:t xml:space="preserve"> države</w:t>
      </w:r>
      <w:r w:rsidRPr="000A4539">
        <w:rPr>
          <w:rFonts w:eastAsia="Calibri" w:cs="Arial"/>
          <w:sz w:val="22"/>
          <w:szCs w:val="22"/>
          <w:lang w:val="sl-SI"/>
        </w:rPr>
        <w:t xml:space="preserve">. </w:t>
      </w:r>
    </w:p>
    <w:p w14:paraId="2EA98AE7" w14:textId="77777777" w:rsidR="00E8676D" w:rsidRPr="000A4539" w:rsidRDefault="00E8676D" w:rsidP="00B8383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Namen</w:t>
      </w:r>
    </w:p>
    <w:p w14:paraId="39429B8E" w14:textId="77777777" w:rsidR="00D07A96" w:rsidRPr="000A4539" w:rsidRDefault="00D07A96" w:rsidP="001500C2">
      <w:pPr>
        <w:spacing w:after="200" w:line="240" w:lineRule="auto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4B56760B" w14:textId="5CB86891" w:rsidR="00E8676D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Namen politike je zagotoviti konsistentne in</w:t>
      </w:r>
      <w:r w:rsidR="00F01A86">
        <w:rPr>
          <w:rFonts w:eastAsia="Calibri" w:cs="Arial"/>
          <w:sz w:val="22"/>
          <w:szCs w:val="22"/>
          <w:lang w:val="sl-SI"/>
        </w:rPr>
        <w:t xml:space="preserve"> preudarne </w:t>
      </w:r>
      <w:r w:rsidRPr="000A4539">
        <w:rPr>
          <w:rFonts w:eastAsia="Calibri" w:cs="Arial"/>
          <w:sz w:val="22"/>
          <w:szCs w:val="22"/>
          <w:lang w:val="sl-SI"/>
        </w:rPr>
        <w:t xml:space="preserve">naložbe denarnih sredstev sistema </w:t>
      </w:r>
      <w:r w:rsidR="00F01A86">
        <w:rPr>
          <w:rFonts w:eastAsia="Calibri" w:cs="Arial"/>
          <w:sz w:val="22"/>
          <w:szCs w:val="22"/>
          <w:lang w:val="sl-SI"/>
        </w:rPr>
        <w:t>enotnega zakladniškega računa</w:t>
      </w:r>
      <w:r w:rsidR="00607C42">
        <w:rPr>
          <w:rFonts w:eastAsia="Calibri" w:cs="Arial"/>
          <w:sz w:val="22"/>
          <w:szCs w:val="22"/>
          <w:lang w:val="sl-SI"/>
        </w:rPr>
        <w:t xml:space="preserve"> države (v nadaljevanju: sistem EZRD)</w:t>
      </w:r>
      <w:r w:rsidRPr="000A4539">
        <w:rPr>
          <w:rFonts w:eastAsia="Calibri" w:cs="Arial"/>
          <w:sz w:val="22"/>
          <w:szCs w:val="22"/>
          <w:lang w:val="sl-SI"/>
        </w:rPr>
        <w:t xml:space="preserve">, tako da določi temelje za osnovanje naložbenega portfelja. Politika zagotavlja </w:t>
      </w:r>
      <w:r w:rsidR="00D9310A">
        <w:rPr>
          <w:rFonts w:eastAsia="Calibri" w:cs="Arial"/>
          <w:sz w:val="22"/>
          <w:szCs w:val="22"/>
          <w:lang w:val="sl-SI"/>
        </w:rPr>
        <w:t xml:space="preserve">doseganje </w:t>
      </w:r>
      <w:r w:rsidRPr="000A4539">
        <w:rPr>
          <w:rFonts w:eastAsia="Calibri" w:cs="Arial"/>
          <w:sz w:val="22"/>
          <w:szCs w:val="22"/>
          <w:lang w:val="sl-SI"/>
        </w:rPr>
        <w:t>naložbenih ciljev in transparentnost ter je podlaga za sprejemanje odločitev in</w:t>
      </w:r>
      <w:r w:rsidR="0060569D">
        <w:rPr>
          <w:rFonts w:eastAsia="Calibri" w:cs="Arial"/>
          <w:sz w:val="22"/>
          <w:szCs w:val="22"/>
          <w:lang w:val="sl-SI"/>
        </w:rPr>
        <w:t xml:space="preserve"> izvajanje notranjih kontrol.</w:t>
      </w:r>
    </w:p>
    <w:p w14:paraId="1EA75142" w14:textId="77777777" w:rsidR="00E8676D" w:rsidRDefault="00E8676D" w:rsidP="00B8383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Načela</w:t>
      </w:r>
      <w:r w:rsidRPr="001500C2">
        <w:rPr>
          <w:rFonts w:cs="Arial"/>
          <w:b/>
          <w:sz w:val="22"/>
          <w:szCs w:val="22"/>
          <w:lang w:val="sl-SI"/>
        </w:rPr>
        <w:t xml:space="preserve"> </w:t>
      </w:r>
    </w:p>
    <w:p w14:paraId="13E514F1" w14:textId="77777777" w:rsidR="001500C2" w:rsidRPr="001500C2" w:rsidRDefault="001500C2" w:rsidP="001500C2">
      <w:pPr>
        <w:tabs>
          <w:tab w:val="left" w:pos="284"/>
        </w:tabs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56610B5C" w14:textId="2412E427" w:rsidR="00E8676D" w:rsidRPr="000A4539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x-none"/>
        </w:rPr>
        <w:t>Z denarnimi sredstvi</w:t>
      </w:r>
      <w:r w:rsidR="00F01A86">
        <w:rPr>
          <w:rFonts w:eastAsia="Calibri" w:cs="Arial"/>
          <w:sz w:val="22"/>
          <w:szCs w:val="22"/>
          <w:lang w:val="sl-SI"/>
        </w:rPr>
        <w:t xml:space="preserve"> sistema</w:t>
      </w:r>
      <w:r w:rsidRPr="000A4539">
        <w:rPr>
          <w:rFonts w:eastAsia="Calibri" w:cs="Arial"/>
          <w:sz w:val="22"/>
          <w:szCs w:val="22"/>
          <w:lang w:val="x-none"/>
        </w:rPr>
        <w:t xml:space="preserve"> </w:t>
      </w:r>
      <w:r w:rsidRPr="000A4539">
        <w:rPr>
          <w:rFonts w:eastAsia="Calibri" w:cs="Arial"/>
          <w:sz w:val="22"/>
          <w:szCs w:val="22"/>
          <w:lang w:val="sl-SI"/>
        </w:rPr>
        <w:t xml:space="preserve">EZRD </w:t>
      </w:r>
      <w:r w:rsidRPr="000A4539">
        <w:rPr>
          <w:rFonts w:eastAsia="Calibri" w:cs="Arial"/>
          <w:sz w:val="22"/>
          <w:szCs w:val="22"/>
          <w:lang w:val="x-none"/>
        </w:rPr>
        <w:t>upravlja ministrstvo, pristojno za finance</w:t>
      </w:r>
      <w:r w:rsidRPr="000A4539">
        <w:rPr>
          <w:rFonts w:eastAsia="Calibri" w:cs="Arial"/>
          <w:sz w:val="22"/>
          <w:szCs w:val="22"/>
          <w:lang w:val="sl-SI"/>
        </w:rPr>
        <w:t xml:space="preserve"> (v nadaljnjem besedilu: upravljavec EZRD)</w:t>
      </w:r>
      <w:r w:rsidR="0063301D" w:rsidRPr="000A4539">
        <w:rPr>
          <w:rFonts w:eastAsia="Calibri" w:cs="Arial"/>
          <w:sz w:val="22"/>
          <w:szCs w:val="22"/>
          <w:lang w:val="sl-SI"/>
        </w:rPr>
        <w:t>,</w:t>
      </w:r>
      <w:r w:rsidRPr="000A4539">
        <w:rPr>
          <w:rFonts w:eastAsia="Calibri" w:cs="Arial"/>
          <w:sz w:val="22"/>
          <w:szCs w:val="22"/>
          <w:lang w:val="sl-SI"/>
        </w:rPr>
        <w:t xml:space="preserve"> v skladu </w:t>
      </w:r>
      <w:r w:rsidRPr="000A4539">
        <w:rPr>
          <w:rFonts w:eastAsia="Calibri" w:cs="Arial"/>
          <w:sz w:val="22"/>
          <w:szCs w:val="22"/>
          <w:lang w:val="x-none"/>
        </w:rPr>
        <w:t>z načeli varnosti, likvidnosti in donosnosti.</w:t>
      </w:r>
    </w:p>
    <w:p w14:paraId="63FDAFE5" w14:textId="672E9F25" w:rsidR="00E8676D" w:rsidRPr="000A4539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i/>
          <w:sz w:val="22"/>
          <w:szCs w:val="22"/>
          <w:lang w:val="sl-SI"/>
        </w:rPr>
        <w:t>Načelo varnosti</w:t>
      </w:r>
      <w:r w:rsidRPr="000A4539">
        <w:rPr>
          <w:rFonts w:eastAsia="Calibri" w:cs="Arial"/>
          <w:sz w:val="22"/>
          <w:szCs w:val="22"/>
          <w:lang w:val="sl-SI"/>
        </w:rPr>
        <w:t xml:space="preserve"> se zasleduje z </w:t>
      </w:r>
      <w:r w:rsidR="008923B8">
        <w:rPr>
          <w:rFonts w:eastAsia="Calibri" w:cs="Arial"/>
          <w:sz w:val="22"/>
          <w:szCs w:val="22"/>
          <w:lang w:val="sl-SI"/>
        </w:rPr>
        <w:t xml:space="preserve">diverzifikacijo naložb, </w:t>
      </w:r>
      <w:r w:rsidR="008550E8">
        <w:rPr>
          <w:rFonts w:eastAsia="Calibri" w:cs="Arial"/>
          <w:sz w:val="22"/>
          <w:szCs w:val="22"/>
          <w:lang w:val="sl-SI"/>
        </w:rPr>
        <w:t>določitvijo najnižje bonitetne ocene</w:t>
      </w:r>
      <w:r w:rsidR="00CF1F3E">
        <w:rPr>
          <w:rFonts w:eastAsia="Calibri" w:cs="Arial"/>
          <w:sz w:val="22"/>
          <w:szCs w:val="22"/>
          <w:lang w:val="sl-SI"/>
        </w:rPr>
        <w:t xml:space="preserve"> </w:t>
      </w:r>
      <w:r w:rsidR="00846E0E">
        <w:rPr>
          <w:rFonts w:eastAsia="Calibri" w:cs="Arial"/>
          <w:sz w:val="22"/>
          <w:szCs w:val="22"/>
          <w:lang w:val="sl-SI"/>
        </w:rPr>
        <w:t>nasprotne stranke</w:t>
      </w:r>
      <w:r w:rsidR="008550E8">
        <w:rPr>
          <w:rFonts w:eastAsia="Calibri" w:cs="Arial"/>
          <w:sz w:val="22"/>
          <w:szCs w:val="22"/>
          <w:lang w:val="sl-SI"/>
        </w:rPr>
        <w:t xml:space="preserve">, </w:t>
      </w:r>
      <w:r w:rsidR="005B1994">
        <w:rPr>
          <w:rFonts w:eastAsia="Calibri" w:cs="Arial"/>
          <w:sz w:val="22"/>
          <w:szCs w:val="22"/>
          <w:lang w:val="sl-SI"/>
        </w:rPr>
        <w:t>določitvijo</w:t>
      </w:r>
      <w:r w:rsidR="005B1994" w:rsidRPr="000A4539">
        <w:rPr>
          <w:rFonts w:eastAsia="Calibri" w:cs="Arial"/>
          <w:sz w:val="22"/>
          <w:szCs w:val="22"/>
          <w:lang w:val="sl-SI"/>
        </w:rPr>
        <w:t xml:space="preserve"> </w:t>
      </w:r>
      <w:r w:rsidRPr="000A4539">
        <w:rPr>
          <w:rFonts w:eastAsia="Calibri" w:cs="Arial"/>
          <w:sz w:val="22"/>
          <w:szCs w:val="22"/>
          <w:lang w:val="sl-SI"/>
        </w:rPr>
        <w:t>maksimalne izpostav</w:t>
      </w:r>
      <w:r w:rsidR="00657ABB">
        <w:rPr>
          <w:rFonts w:eastAsia="Calibri" w:cs="Arial"/>
          <w:sz w:val="22"/>
          <w:szCs w:val="22"/>
          <w:lang w:val="sl-SI"/>
        </w:rPr>
        <w:t>ljenosti do nasprotne stranke</w:t>
      </w:r>
      <w:r w:rsidR="00C85883">
        <w:rPr>
          <w:rFonts w:eastAsia="Calibri" w:cs="Arial"/>
          <w:sz w:val="22"/>
          <w:szCs w:val="22"/>
          <w:lang w:val="sl-SI"/>
        </w:rPr>
        <w:t xml:space="preserve">, zavarovanjem naložb, </w:t>
      </w:r>
      <w:r w:rsidR="00C8508C">
        <w:rPr>
          <w:rFonts w:eastAsia="Calibri" w:cs="Arial"/>
          <w:sz w:val="22"/>
          <w:szCs w:val="22"/>
          <w:lang w:val="sl-SI"/>
        </w:rPr>
        <w:t xml:space="preserve">omejevanjem </w:t>
      </w:r>
      <w:r w:rsidR="007376B4">
        <w:rPr>
          <w:rFonts w:eastAsia="Calibri" w:cs="Arial"/>
          <w:sz w:val="22"/>
          <w:szCs w:val="22"/>
          <w:lang w:val="sl-SI"/>
        </w:rPr>
        <w:t>ročnosti</w:t>
      </w:r>
      <w:r w:rsidR="00C85883">
        <w:rPr>
          <w:rFonts w:eastAsia="Calibri" w:cs="Arial"/>
          <w:sz w:val="22"/>
          <w:szCs w:val="22"/>
          <w:lang w:val="sl-SI"/>
        </w:rPr>
        <w:t xml:space="preserve"> </w:t>
      </w:r>
      <w:r w:rsidR="00885CDF">
        <w:rPr>
          <w:rFonts w:eastAsia="Calibri" w:cs="Arial"/>
          <w:sz w:val="22"/>
          <w:szCs w:val="22"/>
          <w:lang w:val="sl-SI"/>
        </w:rPr>
        <w:t>in/ali</w:t>
      </w:r>
      <w:r w:rsidR="00F01A86">
        <w:rPr>
          <w:rFonts w:eastAsia="Calibri" w:cs="Arial"/>
          <w:sz w:val="22"/>
          <w:szCs w:val="22"/>
          <w:lang w:val="sl-SI"/>
        </w:rPr>
        <w:t xml:space="preserve"> sočasne poravnave transakcij (t. i. </w:t>
      </w:r>
      <w:r w:rsidR="00C85883">
        <w:rPr>
          <w:rFonts w:eastAsia="Calibri" w:cs="Arial"/>
          <w:sz w:val="22"/>
          <w:szCs w:val="22"/>
          <w:lang w:val="sl-SI"/>
        </w:rPr>
        <w:t>D</w:t>
      </w:r>
      <w:r w:rsidR="00C8508C">
        <w:rPr>
          <w:rFonts w:eastAsia="Calibri" w:cs="Arial"/>
          <w:sz w:val="22"/>
          <w:szCs w:val="22"/>
          <w:lang w:val="sl-SI"/>
        </w:rPr>
        <w:t>V</w:t>
      </w:r>
      <w:r w:rsidR="00C85883">
        <w:rPr>
          <w:rFonts w:eastAsia="Calibri" w:cs="Arial"/>
          <w:sz w:val="22"/>
          <w:szCs w:val="22"/>
          <w:lang w:val="sl-SI"/>
        </w:rPr>
        <w:t>P</w:t>
      </w:r>
      <w:r w:rsidR="0079762B">
        <w:rPr>
          <w:rStyle w:val="Sprotnaopomba-sklic"/>
          <w:rFonts w:eastAsia="Calibri" w:cs="Arial"/>
          <w:sz w:val="22"/>
          <w:szCs w:val="22"/>
          <w:lang w:val="sl-SI"/>
        </w:rPr>
        <w:footnoteReference w:id="2"/>
      </w:r>
      <w:r w:rsidR="00F01A86">
        <w:rPr>
          <w:rFonts w:eastAsia="Calibri" w:cs="Arial"/>
          <w:sz w:val="22"/>
          <w:szCs w:val="22"/>
          <w:lang w:val="sl-SI"/>
        </w:rPr>
        <w:t xml:space="preserve"> poravnavo).</w:t>
      </w:r>
    </w:p>
    <w:p w14:paraId="1651DE7A" w14:textId="0FD151C5" w:rsidR="00E8676D" w:rsidRPr="000A4539" w:rsidRDefault="00E8676D" w:rsidP="00E8676D">
      <w:pPr>
        <w:spacing w:after="200" w:line="276" w:lineRule="auto"/>
        <w:jc w:val="both"/>
        <w:rPr>
          <w:rFonts w:eastAsia="Calibri" w:cs="Arial"/>
          <w:i/>
          <w:sz w:val="22"/>
          <w:szCs w:val="22"/>
          <w:lang w:val="sl-SI"/>
        </w:rPr>
      </w:pPr>
      <w:r w:rsidRPr="002C4892">
        <w:rPr>
          <w:rFonts w:eastAsia="Calibri" w:cs="Arial"/>
          <w:i/>
          <w:sz w:val="22"/>
          <w:szCs w:val="22"/>
          <w:lang w:val="sl-SI"/>
        </w:rPr>
        <w:t xml:space="preserve">Načelo likvidnosti </w:t>
      </w:r>
      <w:r w:rsidRPr="002C4892">
        <w:rPr>
          <w:rFonts w:eastAsia="Calibri" w:cs="Arial"/>
          <w:sz w:val="22"/>
          <w:szCs w:val="22"/>
          <w:lang w:val="sl-SI"/>
        </w:rPr>
        <w:t xml:space="preserve">se zasleduje z </w:t>
      </w:r>
      <w:r w:rsidR="00DC4038" w:rsidRPr="002C4892">
        <w:rPr>
          <w:rFonts w:eastAsia="Calibri" w:cs="Arial"/>
          <w:sz w:val="22"/>
          <w:szCs w:val="22"/>
          <w:lang w:val="sl-SI"/>
        </w:rPr>
        <w:t xml:space="preserve">določitvijo </w:t>
      </w:r>
      <w:r w:rsidR="002508E1" w:rsidRPr="002C4892">
        <w:rPr>
          <w:rFonts w:eastAsia="Calibri" w:cs="Arial"/>
          <w:sz w:val="22"/>
          <w:szCs w:val="22"/>
          <w:lang w:val="sl-SI"/>
        </w:rPr>
        <w:t xml:space="preserve">likvidnostne rezerve in </w:t>
      </w:r>
      <w:r w:rsidR="00CA77CB" w:rsidRPr="002C4892">
        <w:rPr>
          <w:rFonts w:eastAsia="Calibri" w:cs="Arial"/>
          <w:sz w:val="22"/>
          <w:szCs w:val="22"/>
          <w:lang w:val="sl-SI"/>
        </w:rPr>
        <w:t xml:space="preserve">določanjem </w:t>
      </w:r>
      <w:r w:rsidRPr="002C4892">
        <w:rPr>
          <w:rFonts w:eastAsia="Calibri" w:cs="Arial"/>
          <w:sz w:val="22"/>
          <w:szCs w:val="22"/>
          <w:lang w:val="sl-SI"/>
        </w:rPr>
        <w:t>ročnosti</w:t>
      </w:r>
      <w:r w:rsidR="006F1DA0">
        <w:rPr>
          <w:rFonts w:eastAsia="Calibri" w:cs="Arial"/>
          <w:sz w:val="22"/>
          <w:szCs w:val="22"/>
          <w:lang w:val="sl-SI"/>
        </w:rPr>
        <w:t xml:space="preserve"> in višine naložb </w:t>
      </w:r>
      <w:r w:rsidR="002508E1" w:rsidRPr="002C4892">
        <w:rPr>
          <w:rFonts w:eastAsia="Calibri" w:cs="Arial"/>
          <w:sz w:val="22"/>
          <w:szCs w:val="22"/>
          <w:lang w:val="sl-SI"/>
        </w:rPr>
        <w:t>ter</w:t>
      </w:r>
      <w:r w:rsidR="00292C8A" w:rsidRPr="002C4892">
        <w:rPr>
          <w:rFonts w:eastAsia="Calibri" w:cs="Arial"/>
          <w:sz w:val="22"/>
          <w:szCs w:val="22"/>
          <w:lang w:val="sl-SI"/>
        </w:rPr>
        <w:t xml:space="preserve"> likvidnostnih karakteristik </w:t>
      </w:r>
      <w:r w:rsidRPr="002C4892">
        <w:rPr>
          <w:rFonts w:eastAsia="Calibri" w:cs="Arial"/>
          <w:sz w:val="22"/>
          <w:szCs w:val="22"/>
          <w:lang w:val="sl-SI"/>
        </w:rPr>
        <w:t xml:space="preserve">naložb, </w:t>
      </w:r>
      <w:r w:rsidR="00973BE4" w:rsidRPr="002C4892">
        <w:rPr>
          <w:rFonts w:eastAsia="Calibri" w:cs="Arial"/>
          <w:sz w:val="22"/>
          <w:szCs w:val="22"/>
          <w:lang w:val="sl-SI"/>
        </w:rPr>
        <w:t xml:space="preserve">tako da </w:t>
      </w:r>
      <w:r w:rsidR="00A97C2E">
        <w:rPr>
          <w:rFonts w:eastAsia="Calibri" w:cs="Arial"/>
          <w:sz w:val="22"/>
          <w:szCs w:val="22"/>
          <w:lang w:val="sl-SI"/>
        </w:rPr>
        <w:t xml:space="preserve">je mogoče </w:t>
      </w:r>
      <w:r w:rsidR="00973BE4" w:rsidRPr="002C4892">
        <w:rPr>
          <w:rFonts w:eastAsia="Calibri" w:cs="Arial"/>
          <w:sz w:val="22"/>
          <w:szCs w:val="22"/>
          <w:lang w:val="sl-SI"/>
        </w:rPr>
        <w:t>pravočasno plač</w:t>
      </w:r>
      <w:r w:rsidR="00A97C2E">
        <w:rPr>
          <w:rFonts w:eastAsia="Calibri" w:cs="Arial"/>
          <w:sz w:val="22"/>
          <w:szCs w:val="22"/>
          <w:lang w:val="sl-SI"/>
        </w:rPr>
        <w:t>evanje</w:t>
      </w:r>
      <w:r w:rsidR="00973BE4" w:rsidRPr="002C4892">
        <w:rPr>
          <w:rFonts w:eastAsia="Calibri" w:cs="Arial"/>
          <w:sz w:val="22"/>
          <w:szCs w:val="22"/>
          <w:lang w:val="sl-SI"/>
        </w:rPr>
        <w:t xml:space="preserve"> obveznosti </w:t>
      </w:r>
      <w:r w:rsidR="000E2855" w:rsidRPr="002C4892">
        <w:rPr>
          <w:rFonts w:eastAsia="Calibri" w:cs="Arial"/>
          <w:sz w:val="22"/>
          <w:szCs w:val="22"/>
          <w:lang w:val="sl-SI"/>
        </w:rPr>
        <w:t>subjektov sistema EZRD</w:t>
      </w:r>
      <w:r w:rsidR="00973BE4" w:rsidRPr="002C4892">
        <w:rPr>
          <w:rFonts w:eastAsia="Calibri" w:cs="Arial"/>
          <w:sz w:val="22"/>
          <w:szCs w:val="22"/>
          <w:lang w:val="sl-SI"/>
        </w:rPr>
        <w:t xml:space="preserve"> in kri</w:t>
      </w:r>
      <w:r w:rsidR="00E32E97">
        <w:rPr>
          <w:rFonts w:eastAsia="Calibri" w:cs="Arial"/>
          <w:sz w:val="22"/>
          <w:szCs w:val="22"/>
          <w:lang w:val="sl-SI"/>
        </w:rPr>
        <w:t>t</w:t>
      </w:r>
      <w:r w:rsidR="00973BE4" w:rsidRPr="002C4892">
        <w:rPr>
          <w:rFonts w:eastAsia="Calibri" w:cs="Arial"/>
          <w:sz w:val="22"/>
          <w:szCs w:val="22"/>
          <w:lang w:val="sl-SI"/>
        </w:rPr>
        <w:t xml:space="preserve">je potreb po posojilih </w:t>
      </w:r>
      <w:r w:rsidR="000E2855" w:rsidRPr="002C4892">
        <w:rPr>
          <w:rFonts w:eastAsia="Calibri" w:cs="Arial"/>
          <w:sz w:val="22"/>
          <w:szCs w:val="22"/>
          <w:lang w:val="sl-SI"/>
        </w:rPr>
        <w:t>subjektov</w:t>
      </w:r>
      <w:r w:rsidR="00973BE4" w:rsidRPr="002C4892">
        <w:rPr>
          <w:rFonts w:eastAsia="Calibri" w:cs="Arial"/>
          <w:sz w:val="22"/>
          <w:szCs w:val="22"/>
          <w:lang w:val="sl-SI"/>
        </w:rPr>
        <w:t xml:space="preserve"> sistem</w:t>
      </w:r>
      <w:r w:rsidR="000E2855" w:rsidRPr="002C4892">
        <w:rPr>
          <w:rFonts w:eastAsia="Calibri" w:cs="Arial"/>
          <w:sz w:val="22"/>
          <w:szCs w:val="22"/>
          <w:lang w:val="sl-SI"/>
        </w:rPr>
        <w:t>a</w:t>
      </w:r>
      <w:r w:rsidR="00973BE4" w:rsidRPr="002C4892">
        <w:rPr>
          <w:rFonts w:eastAsia="Calibri" w:cs="Arial"/>
          <w:sz w:val="22"/>
          <w:szCs w:val="22"/>
          <w:lang w:val="sl-SI"/>
        </w:rPr>
        <w:t xml:space="preserve"> EZRD. </w:t>
      </w:r>
      <w:r w:rsidR="00E13740" w:rsidRPr="002C4892">
        <w:rPr>
          <w:rFonts w:eastAsia="Calibri" w:cs="Arial"/>
          <w:sz w:val="22"/>
          <w:szCs w:val="22"/>
          <w:lang w:val="sl-SI"/>
        </w:rPr>
        <w:t>V ta namen se</w:t>
      </w:r>
      <w:r w:rsidRPr="002C4892">
        <w:rPr>
          <w:rFonts w:eastAsia="Calibri" w:cs="Arial"/>
          <w:sz w:val="22"/>
          <w:szCs w:val="22"/>
          <w:lang w:val="sl-SI"/>
        </w:rPr>
        <w:t xml:space="preserve"> spremlja</w:t>
      </w:r>
      <w:r w:rsidR="00E13740" w:rsidRPr="002C4892">
        <w:rPr>
          <w:rFonts w:eastAsia="Calibri" w:cs="Arial"/>
          <w:sz w:val="22"/>
          <w:szCs w:val="22"/>
          <w:lang w:val="sl-SI"/>
        </w:rPr>
        <w:t xml:space="preserve"> in napoveduje denarne </w:t>
      </w:r>
      <w:r w:rsidRPr="002C4892">
        <w:rPr>
          <w:rFonts w:eastAsia="Calibri" w:cs="Arial"/>
          <w:sz w:val="22"/>
          <w:szCs w:val="22"/>
          <w:lang w:val="sl-SI"/>
        </w:rPr>
        <w:t>tokov</w:t>
      </w:r>
      <w:r w:rsidR="00E13740" w:rsidRPr="002C4892">
        <w:rPr>
          <w:rFonts w:eastAsia="Calibri" w:cs="Arial"/>
          <w:sz w:val="22"/>
          <w:szCs w:val="22"/>
          <w:lang w:val="sl-SI"/>
        </w:rPr>
        <w:t>e</w:t>
      </w:r>
      <w:r w:rsidRPr="002C4892">
        <w:rPr>
          <w:rFonts w:eastAsia="Calibri" w:cs="Arial"/>
          <w:sz w:val="22"/>
          <w:szCs w:val="22"/>
          <w:lang w:val="sl-SI"/>
        </w:rPr>
        <w:t xml:space="preserve"> sistema EZRD</w:t>
      </w:r>
      <w:r w:rsidR="00E13740" w:rsidRPr="002C4892">
        <w:rPr>
          <w:rFonts w:eastAsia="Calibri" w:cs="Arial"/>
          <w:sz w:val="22"/>
          <w:szCs w:val="22"/>
          <w:lang w:val="sl-SI"/>
        </w:rPr>
        <w:t xml:space="preserve"> ob različnih scenarijih </w:t>
      </w:r>
      <w:r w:rsidRPr="002C4892">
        <w:rPr>
          <w:rFonts w:eastAsia="Calibri" w:cs="Arial"/>
          <w:sz w:val="22"/>
          <w:szCs w:val="22"/>
          <w:lang w:val="sl-SI"/>
        </w:rPr>
        <w:t xml:space="preserve">na letnem, mesečnem in dnevnem nivoju. </w:t>
      </w:r>
    </w:p>
    <w:p w14:paraId="5DD0B294" w14:textId="5E82DE70" w:rsidR="008968E3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i/>
          <w:sz w:val="22"/>
          <w:szCs w:val="22"/>
          <w:lang w:val="sl-SI"/>
        </w:rPr>
        <w:t xml:space="preserve">Načelo donosnosti </w:t>
      </w:r>
      <w:r w:rsidRPr="000A4539">
        <w:rPr>
          <w:rFonts w:eastAsia="Calibri" w:cs="Arial"/>
          <w:sz w:val="22"/>
          <w:szCs w:val="22"/>
          <w:lang w:val="sl-SI"/>
        </w:rPr>
        <w:t xml:space="preserve">se zasleduje z naložbami, ki ob sprejemljivem tveganju zagotavljajo višjo donosnost. </w:t>
      </w:r>
    </w:p>
    <w:p w14:paraId="34FDECE7" w14:textId="77777777" w:rsidR="00E8676D" w:rsidRPr="001500C2" w:rsidRDefault="00E8676D" w:rsidP="00B8383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Cilji</w:t>
      </w:r>
    </w:p>
    <w:p w14:paraId="0C7619FC" w14:textId="77777777" w:rsidR="00D07A96" w:rsidRPr="000A4539" w:rsidRDefault="00D07A96" w:rsidP="001500C2">
      <w:pPr>
        <w:spacing w:after="200" w:line="240" w:lineRule="auto"/>
        <w:ind w:left="720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29CF97A3" w14:textId="77777777" w:rsidR="00E8676D" w:rsidRPr="000A4539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x-none"/>
        </w:rPr>
        <w:t>Cilji politike so:</w:t>
      </w:r>
    </w:p>
    <w:p w14:paraId="1BF91FCF" w14:textId="1A7389E9" w:rsidR="00E8676D" w:rsidRDefault="00F01A86" w:rsidP="006F1DA0">
      <w:pPr>
        <w:numPr>
          <w:ilvl w:val="0"/>
          <w:numId w:val="7"/>
        </w:numPr>
        <w:spacing w:after="200" w:line="276" w:lineRule="auto"/>
        <w:ind w:left="142" w:hanging="142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Z</w:t>
      </w:r>
      <w:r w:rsidR="00E8676D" w:rsidRPr="000A4539">
        <w:rPr>
          <w:rFonts w:eastAsia="Calibri" w:cs="Arial"/>
          <w:sz w:val="22"/>
          <w:szCs w:val="22"/>
          <w:lang w:val="sl-SI"/>
        </w:rPr>
        <w:t>agotoviti</w:t>
      </w:r>
      <w:r>
        <w:rPr>
          <w:rFonts w:eastAsia="Calibri" w:cs="Arial"/>
          <w:sz w:val="22"/>
          <w:szCs w:val="22"/>
          <w:lang w:val="sl-SI"/>
        </w:rPr>
        <w:t xml:space="preserve"> sprejemljivo </w:t>
      </w:r>
      <w:r w:rsidR="00FD15C0">
        <w:rPr>
          <w:rFonts w:eastAsia="Calibri" w:cs="Arial"/>
          <w:sz w:val="22"/>
          <w:szCs w:val="22"/>
          <w:lang w:val="sl-SI"/>
        </w:rPr>
        <w:t>raven finančnih tveganj</w:t>
      </w:r>
      <w:r w:rsidR="00E8676D" w:rsidRPr="000A4539">
        <w:rPr>
          <w:rFonts w:eastAsia="Calibri" w:cs="Arial"/>
          <w:sz w:val="22"/>
          <w:szCs w:val="22"/>
          <w:lang w:val="sl-SI"/>
        </w:rPr>
        <w:t xml:space="preserve">, </w:t>
      </w:r>
    </w:p>
    <w:p w14:paraId="3F4608A3" w14:textId="748E112C" w:rsidR="00E8676D" w:rsidRPr="000A4539" w:rsidRDefault="00E8676D" w:rsidP="006F1DA0">
      <w:pPr>
        <w:numPr>
          <w:ilvl w:val="0"/>
          <w:numId w:val="7"/>
        </w:numPr>
        <w:spacing w:after="200" w:line="276" w:lineRule="auto"/>
        <w:ind w:left="142" w:hanging="142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zagotoviti likvidnost sistema EZRD in nemoteno i</w:t>
      </w:r>
      <w:r w:rsidR="006F1DA0">
        <w:rPr>
          <w:rFonts w:eastAsia="Calibri" w:cs="Arial"/>
          <w:sz w:val="22"/>
          <w:szCs w:val="22"/>
          <w:lang w:val="sl-SI"/>
        </w:rPr>
        <w:t>zvajanje</w:t>
      </w:r>
      <w:r w:rsidRPr="000A4539">
        <w:rPr>
          <w:rFonts w:eastAsia="Calibri" w:cs="Arial"/>
          <w:sz w:val="22"/>
          <w:szCs w:val="22"/>
          <w:lang w:val="sl-SI"/>
        </w:rPr>
        <w:t xml:space="preserve"> plačil </w:t>
      </w:r>
      <w:r w:rsidR="000E2855">
        <w:rPr>
          <w:rFonts w:eastAsia="Calibri" w:cs="Arial"/>
          <w:sz w:val="22"/>
          <w:szCs w:val="22"/>
          <w:lang w:val="sl-SI"/>
        </w:rPr>
        <w:t>subjektov</w:t>
      </w:r>
      <w:r w:rsidRPr="000A4539">
        <w:rPr>
          <w:rFonts w:eastAsia="Calibri" w:cs="Arial"/>
          <w:sz w:val="22"/>
          <w:szCs w:val="22"/>
          <w:lang w:val="sl-SI"/>
        </w:rPr>
        <w:t xml:space="preserve"> sistem</w:t>
      </w:r>
      <w:r w:rsidR="009524B9">
        <w:rPr>
          <w:rFonts w:eastAsia="Calibri" w:cs="Arial"/>
          <w:sz w:val="22"/>
          <w:szCs w:val="22"/>
          <w:lang w:val="sl-SI"/>
        </w:rPr>
        <w:t>a</w:t>
      </w:r>
      <w:r w:rsidRPr="000A4539">
        <w:rPr>
          <w:rFonts w:eastAsia="Calibri" w:cs="Arial"/>
          <w:sz w:val="22"/>
          <w:szCs w:val="22"/>
          <w:lang w:val="sl-SI"/>
        </w:rPr>
        <w:t xml:space="preserve"> EZRD, </w:t>
      </w:r>
    </w:p>
    <w:p w14:paraId="5B3E6FCA" w14:textId="77777777" w:rsidR="00E8676D" w:rsidRDefault="00E8676D" w:rsidP="006F1DA0">
      <w:pPr>
        <w:numPr>
          <w:ilvl w:val="0"/>
          <w:numId w:val="7"/>
        </w:numPr>
        <w:spacing w:after="200" w:line="276" w:lineRule="auto"/>
        <w:ind w:left="142" w:hanging="142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zagotoviti sprejemljivo donosnost. </w:t>
      </w:r>
    </w:p>
    <w:p w14:paraId="05538136" w14:textId="77777777" w:rsidR="001500C2" w:rsidRDefault="001500C2" w:rsidP="001500C2">
      <w:pPr>
        <w:spacing w:after="200" w:line="276" w:lineRule="auto"/>
        <w:ind w:left="1080"/>
        <w:contextualSpacing/>
        <w:jc w:val="both"/>
        <w:rPr>
          <w:rFonts w:eastAsia="Calibri" w:cs="Arial"/>
          <w:sz w:val="22"/>
          <w:szCs w:val="22"/>
          <w:lang w:val="sl-SI"/>
        </w:rPr>
      </w:pPr>
    </w:p>
    <w:p w14:paraId="4628F26D" w14:textId="77777777" w:rsidR="00CA712C" w:rsidRPr="000A4539" w:rsidRDefault="00CA712C" w:rsidP="001500C2">
      <w:pPr>
        <w:spacing w:after="200" w:line="276" w:lineRule="auto"/>
        <w:ind w:left="1080"/>
        <w:contextualSpacing/>
        <w:jc w:val="both"/>
        <w:rPr>
          <w:rFonts w:eastAsia="Calibri" w:cs="Arial"/>
          <w:sz w:val="22"/>
          <w:szCs w:val="22"/>
          <w:lang w:val="sl-SI"/>
        </w:rPr>
      </w:pPr>
    </w:p>
    <w:p w14:paraId="1C370AC3" w14:textId="77777777" w:rsidR="00E8676D" w:rsidRPr="000A4539" w:rsidRDefault="00E8676D" w:rsidP="00B8383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lastRenderedPageBreak/>
        <w:t>Spremembe</w:t>
      </w:r>
    </w:p>
    <w:p w14:paraId="06A4A758" w14:textId="77777777" w:rsidR="00D07A96" w:rsidRPr="000A4539" w:rsidRDefault="00D07A96" w:rsidP="001500C2">
      <w:pPr>
        <w:spacing w:after="200" w:line="240" w:lineRule="auto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75B49FE6" w14:textId="37D1AFD0" w:rsidR="00E8676D" w:rsidRPr="000A4539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Politika se preverja in prilagaja</w:t>
      </w:r>
      <w:r w:rsidR="00072582">
        <w:rPr>
          <w:rFonts w:eastAsia="Calibri" w:cs="Arial"/>
          <w:sz w:val="22"/>
          <w:szCs w:val="22"/>
          <w:lang w:val="sl-SI"/>
        </w:rPr>
        <w:t xml:space="preserve"> vsaj na dve leti.</w:t>
      </w:r>
      <w:r w:rsidRPr="000A4539">
        <w:rPr>
          <w:rFonts w:eastAsia="Calibri" w:cs="Arial"/>
          <w:sz w:val="22"/>
          <w:szCs w:val="22"/>
          <w:lang w:val="sl-SI"/>
        </w:rPr>
        <w:t xml:space="preserve">  </w:t>
      </w:r>
    </w:p>
    <w:p w14:paraId="6CE6EEFB" w14:textId="2E3F9DDE" w:rsidR="00E8676D" w:rsidRPr="000A4539" w:rsidRDefault="00B20CFA" w:rsidP="00B8383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N</w:t>
      </w:r>
      <w:r w:rsidR="006F1DA0">
        <w:rPr>
          <w:rFonts w:eastAsia="Calibri" w:cs="Arial"/>
          <w:b/>
          <w:sz w:val="22"/>
          <w:szCs w:val="22"/>
          <w:lang w:val="sl-SI"/>
        </w:rPr>
        <w:t>asprotne stranke in oblik</w:t>
      </w:r>
      <w:r>
        <w:rPr>
          <w:rFonts w:eastAsia="Calibri" w:cs="Arial"/>
          <w:b/>
          <w:sz w:val="22"/>
          <w:szCs w:val="22"/>
          <w:lang w:val="sl-SI"/>
        </w:rPr>
        <w:t>e</w:t>
      </w:r>
      <w:r w:rsidR="006F1DA0">
        <w:rPr>
          <w:rFonts w:eastAsia="Calibri" w:cs="Arial"/>
          <w:b/>
          <w:sz w:val="22"/>
          <w:szCs w:val="22"/>
          <w:lang w:val="sl-SI"/>
        </w:rPr>
        <w:t xml:space="preserve"> naložb</w:t>
      </w:r>
    </w:p>
    <w:p w14:paraId="726AF2F0" w14:textId="77777777" w:rsidR="00D07A96" w:rsidRPr="000A4539" w:rsidRDefault="00D07A96" w:rsidP="001500C2">
      <w:pPr>
        <w:spacing w:after="200" w:line="240" w:lineRule="auto"/>
        <w:ind w:left="720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3BC14188" w14:textId="62EA985D" w:rsidR="00B92A6E" w:rsidRDefault="00E8676D" w:rsidP="00B92A6E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Denarna sredstva </w:t>
      </w:r>
      <w:r w:rsidR="004940E0" w:rsidRPr="000A4539">
        <w:rPr>
          <w:rFonts w:eastAsia="Calibri" w:cs="Arial"/>
          <w:sz w:val="22"/>
          <w:szCs w:val="22"/>
          <w:lang w:val="sl-SI"/>
        </w:rPr>
        <w:t xml:space="preserve">sistema </w:t>
      </w:r>
      <w:r w:rsidRPr="000A4539">
        <w:rPr>
          <w:rFonts w:eastAsia="Calibri" w:cs="Arial"/>
          <w:sz w:val="22"/>
          <w:szCs w:val="22"/>
          <w:lang w:val="sl-SI"/>
        </w:rPr>
        <w:t xml:space="preserve">EZRD se nalaga </w:t>
      </w:r>
      <w:r w:rsidR="00B92A6E">
        <w:rPr>
          <w:rFonts w:eastAsia="Calibri" w:cs="Arial"/>
          <w:sz w:val="22"/>
          <w:szCs w:val="22"/>
          <w:lang w:val="sl-SI"/>
        </w:rPr>
        <w:t>v:</w:t>
      </w:r>
    </w:p>
    <w:p w14:paraId="17E30F49" w14:textId="41E8EA79" w:rsidR="0044103B" w:rsidRDefault="0044103B" w:rsidP="00607C42">
      <w:pPr>
        <w:pStyle w:val="Odstavekseznama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Banko Slovenije</w:t>
      </w:r>
      <w:r w:rsidR="007B5D87">
        <w:rPr>
          <w:rFonts w:eastAsia="Calibri" w:cs="Arial"/>
          <w:sz w:val="22"/>
          <w:szCs w:val="22"/>
          <w:lang w:val="sl-SI"/>
        </w:rPr>
        <w:t>:</w:t>
      </w:r>
      <w:r>
        <w:rPr>
          <w:rFonts w:eastAsia="Calibri" w:cs="Arial"/>
          <w:sz w:val="22"/>
          <w:szCs w:val="22"/>
          <w:lang w:val="sl-SI"/>
        </w:rPr>
        <w:t xml:space="preserve"> v obliki vezanih depozitov,</w:t>
      </w:r>
    </w:p>
    <w:p w14:paraId="65F0EEAD" w14:textId="0A182D59" w:rsidR="00B92A6E" w:rsidRPr="009524B9" w:rsidRDefault="006F1DA0" w:rsidP="00607C42">
      <w:pPr>
        <w:pStyle w:val="Odstavekseznama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b</w:t>
      </w:r>
      <w:r w:rsidR="00B92A6E" w:rsidRPr="009524B9">
        <w:rPr>
          <w:rFonts w:eastAsia="Calibri" w:cs="Arial"/>
          <w:sz w:val="22"/>
          <w:szCs w:val="22"/>
          <w:lang w:val="sl-SI"/>
        </w:rPr>
        <w:t>ank</w:t>
      </w:r>
      <w:r w:rsidR="00B92A6E">
        <w:rPr>
          <w:rFonts w:eastAsia="Calibri" w:cs="Arial"/>
          <w:sz w:val="22"/>
          <w:szCs w:val="22"/>
          <w:lang w:val="sl-SI"/>
        </w:rPr>
        <w:t>e</w:t>
      </w:r>
      <w:r w:rsidR="0044103B">
        <w:rPr>
          <w:rFonts w:eastAsia="Calibri" w:cs="Arial"/>
          <w:sz w:val="22"/>
          <w:szCs w:val="22"/>
          <w:lang w:val="sl-SI"/>
        </w:rPr>
        <w:t xml:space="preserve"> in </w:t>
      </w:r>
      <w:r w:rsidR="00B92A6E" w:rsidRPr="009524B9">
        <w:rPr>
          <w:rFonts w:eastAsia="Calibri" w:cs="Arial"/>
          <w:sz w:val="22"/>
          <w:szCs w:val="22"/>
          <w:lang w:val="sl-SI"/>
        </w:rPr>
        <w:t>hranilnic</w:t>
      </w:r>
      <w:r w:rsidR="00B92A6E">
        <w:rPr>
          <w:rFonts w:eastAsia="Calibri" w:cs="Arial"/>
          <w:sz w:val="22"/>
          <w:szCs w:val="22"/>
          <w:lang w:val="sl-SI"/>
        </w:rPr>
        <w:t>e</w:t>
      </w:r>
      <w:r w:rsidR="007B5D87">
        <w:rPr>
          <w:rFonts w:eastAsia="Calibri" w:cs="Arial"/>
          <w:sz w:val="22"/>
          <w:szCs w:val="22"/>
          <w:lang w:val="sl-SI"/>
        </w:rPr>
        <w:t>:</w:t>
      </w:r>
      <w:r w:rsidR="00B92A6E" w:rsidRPr="009524B9">
        <w:rPr>
          <w:rFonts w:eastAsia="Calibri" w:cs="Arial"/>
          <w:sz w:val="22"/>
          <w:szCs w:val="22"/>
          <w:lang w:val="sl-SI"/>
        </w:rPr>
        <w:t xml:space="preserve"> v obliki depozitov</w:t>
      </w:r>
      <w:r w:rsidR="00802C93">
        <w:rPr>
          <w:rFonts w:eastAsia="Calibri" w:cs="Arial"/>
          <w:sz w:val="22"/>
          <w:szCs w:val="22"/>
          <w:lang w:val="sl-SI"/>
        </w:rPr>
        <w:t xml:space="preserve"> čez noč</w:t>
      </w:r>
      <w:r w:rsidR="00B92A6E" w:rsidRPr="009524B9">
        <w:rPr>
          <w:rFonts w:eastAsia="Calibri" w:cs="Arial"/>
          <w:sz w:val="22"/>
          <w:szCs w:val="22"/>
          <w:lang w:val="sl-SI"/>
        </w:rPr>
        <w:t>, depozitov na odpoklic, vezanih depozitov ali začasnih nakupov vrednostnih papirjev (</w:t>
      </w:r>
      <w:r w:rsidR="009524B9">
        <w:rPr>
          <w:rFonts w:eastAsia="Calibri" w:cs="Arial"/>
          <w:sz w:val="22"/>
          <w:szCs w:val="22"/>
          <w:lang w:val="sl-SI"/>
        </w:rPr>
        <w:t>repo</w:t>
      </w:r>
      <w:r w:rsidR="00B92A6E" w:rsidRPr="009524B9">
        <w:rPr>
          <w:rFonts w:eastAsia="Calibri" w:cs="Arial"/>
          <w:sz w:val="22"/>
          <w:szCs w:val="22"/>
          <w:lang w:val="sl-SI"/>
        </w:rPr>
        <w:t xml:space="preserve"> posli),</w:t>
      </w:r>
    </w:p>
    <w:p w14:paraId="6701631F" w14:textId="5C906654" w:rsidR="00B92A6E" w:rsidRDefault="00B92A6E" w:rsidP="00607C42">
      <w:pPr>
        <w:pStyle w:val="Odstavekseznama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eastAsia="Calibri" w:cs="Arial"/>
          <w:sz w:val="22"/>
          <w:szCs w:val="22"/>
          <w:lang w:val="sl-SI"/>
        </w:rPr>
      </w:pPr>
      <w:r w:rsidRPr="00CA1599">
        <w:rPr>
          <w:rFonts w:eastAsia="Calibri" w:cs="Arial"/>
          <w:sz w:val="22"/>
          <w:szCs w:val="22"/>
          <w:lang w:val="sl-SI"/>
        </w:rPr>
        <w:t>držav</w:t>
      </w:r>
      <w:r w:rsidR="00AF1895">
        <w:rPr>
          <w:rFonts w:eastAsia="Calibri" w:cs="Arial"/>
          <w:sz w:val="22"/>
          <w:szCs w:val="22"/>
          <w:lang w:val="sl-SI"/>
        </w:rPr>
        <w:t>e</w:t>
      </w:r>
      <w:r w:rsidRPr="00CA1599">
        <w:rPr>
          <w:rFonts w:eastAsia="Calibri" w:cs="Arial"/>
          <w:sz w:val="22"/>
          <w:szCs w:val="22"/>
          <w:lang w:val="sl-SI"/>
        </w:rPr>
        <w:t xml:space="preserve"> evropske monetarne unije</w:t>
      </w:r>
      <w:r w:rsidR="009443AC">
        <w:rPr>
          <w:rFonts w:eastAsia="Calibri" w:cs="Arial"/>
          <w:sz w:val="22"/>
          <w:szCs w:val="22"/>
          <w:lang w:val="sl-SI"/>
        </w:rPr>
        <w:t xml:space="preserve"> na centralni ravni</w:t>
      </w:r>
      <w:r w:rsidR="006F1DA0">
        <w:rPr>
          <w:rFonts w:eastAsia="Calibri" w:cs="Arial"/>
          <w:sz w:val="22"/>
          <w:szCs w:val="22"/>
          <w:lang w:val="sl-SI"/>
        </w:rPr>
        <w:t xml:space="preserve"> (</w:t>
      </w:r>
      <w:r w:rsidR="00B663A9">
        <w:rPr>
          <w:rFonts w:eastAsia="Calibri" w:cs="Arial"/>
          <w:sz w:val="22"/>
          <w:szCs w:val="22"/>
          <w:lang w:val="sl-SI"/>
        </w:rPr>
        <w:t xml:space="preserve">v nadaljevanju: </w:t>
      </w:r>
      <w:r w:rsidR="006F1DA0">
        <w:rPr>
          <w:rFonts w:eastAsia="Calibri" w:cs="Arial"/>
          <w:sz w:val="22"/>
          <w:szCs w:val="22"/>
          <w:lang w:val="sl-SI"/>
        </w:rPr>
        <w:t>EMU)</w:t>
      </w:r>
      <w:r w:rsidR="007B5D87">
        <w:rPr>
          <w:rFonts w:eastAsia="Calibri" w:cs="Arial"/>
          <w:sz w:val="22"/>
          <w:szCs w:val="22"/>
          <w:lang w:val="sl-SI"/>
        </w:rPr>
        <w:t>:</w:t>
      </w:r>
      <w:r w:rsidRPr="00CA1599">
        <w:rPr>
          <w:rFonts w:eastAsia="Calibri" w:cs="Arial"/>
          <w:sz w:val="22"/>
          <w:szCs w:val="22"/>
          <w:lang w:val="sl-SI"/>
        </w:rPr>
        <w:t xml:space="preserve"> v obliki nočnih depozitov, depozitov na odpoklic, vezanih depozitov</w:t>
      </w:r>
      <w:r w:rsidR="00514A5F">
        <w:rPr>
          <w:rFonts w:eastAsia="Calibri" w:cs="Arial"/>
          <w:sz w:val="22"/>
          <w:szCs w:val="22"/>
          <w:lang w:val="sl-SI"/>
        </w:rPr>
        <w:t>,</w:t>
      </w:r>
      <w:r w:rsidRPr="00CA1599">
        <w:rPr>
          <w:rFonts w:eastAsia="Calibri" w:cs="Arial"/>
          <w:sz w:val="22"/>
          <w:szCs w:val="22"/>
          <w:lang w:val="sl-SI"/>
        </w:rPr>
        <w:t xml:space="preserve"> </w:t>
      </w:r>
      <w:r w:rsidR="009524B9">
        <w:rPr>
          <w:rFonts w:eastAsia="Calibri" w:cs="Arial"/>
          <w:sz w:val="22"/>
          <w:szCs w:val="22"/>
          <w:lang w:val="sl-SI"/>
        </w:rPr>
        <w:t>repo</w:t>
      </w:r>
      <w:r w:rsidRPr="00CA1599">
        <w:rPr>
          <w:rFonts w:eastAsia="Calibri" w:cs="Arial"/>
          <w:sz w:val="22"/>
          <w:szCs w:val="22"/>
          <w:lang w:val="sl-SI"/>
        </w:rPr>
        <w:t xml:space="preserve"> poslov</w:t>
      </w:r>
      <w:r w:rsidR="00AF1895">
        <w:rPr>
          <w:rFonts w:eastAsia="Calibri" w:cs="Arial"/>
          <w:sz w:val="22"/>
          <w:szCs w:val="22"/>
          <w:lang w:val="sl-SI"/>
        </w:rPr>
        <w:t xml:space="preserve"> in</w:t>
      </w:r>
      <w:r w:rsidR="00514A5F">
        <w:rPr>
          <w:rFonts w:eastAsia="Calibri" w:cs="Arial"/>
          <w:sz w:val="22"/>
          <w:szCs w:val="22"/>
          <w:lang w:val="sl-SI"/>
        </w:rPr>
        <w:t xml:space="preserve"> </w:t>
      </w:r>
      <w:r w:rsidR="00AF1895">
        <w:rPr>
          <w:rFonts w:eastAsia="Calibri" w:cs="Arial"/>
          <w:sz w:val="22"/>
          <w:szCs w:val="22"/>
          <w:lang w:val="sl-SI"/>
        </w:rPr>
        <w:t xml:space="preserve">nakupov </w:t>
      </w:r>
      <w:r w:rsidR="00514A5F">
        <w:rPr>
          <w:rFonts w:eastAsia="Calibri" w:cs="Arial"/>
          <w:sz w:val="22"/>
          <w:szCs w:val="22"/>
          <w:lang w:val="sl-SI"/>
        </w:rPr>
        <w:t>dolžniških vrednostnih papirjev,</w:t>
      </w:r>
      <w:r w:rsidR="009443AC">
        <w:rPr>
          <w:rFonts w:eastAsia="Calibri" w:cs="Arial"/>
          <w:sz w:val="22"/>
          <w:szCs w:val="22"/>
          <w:lang w:val="sl-SI"/>
        </w:rPr>
        <w:t xml:space="preserve"> </w:t>
      </w:r>
    </w:p>
    <w:p w14:paraId="3B449B44" w14:textId="2AB28ACB" w:rsidR="00B92A6E" w:rsidRPr="00CA1599" w:rsidRDefault="00DD0C50" w:rsidP="00607C42">
      <w:pPr>
        <w:pStyle w:val="Odstavekseznama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investicijske sklade</w:t>
      </w:r>
      <w:r w:rsidR="00B92A6E" w:rsidRPr="00CA1599">
        <w:rPr>
          <w:rFonts w:eastAsia="Calibri" w:cs="Arial"/>
          <w:sz w:val="22"/>
          <w:szCs w:val="22"/>
          <w:lang w:val="sl-SI"/>
        </w:rPr>
        <w:t>, centraln</w:t>
      </w:r>
      <w:r w:rsidR="004E5F6C">
        <w:rPr>
          <w:rFonts w:eastAsia="Calibri" w:cs="Arial"/>
          <w:sz w:val="22"/>
          <w:szCs w:val="22"/>
          <w:lang w:val="sl-SI"/>
        </w:rPr>
        <w:t>e</w:t>
      </w:r>
      <w:r w:rsidR="00B92A6E" w:rsidRPr="00CA1599">
        <w:rPr>
          <w:rFonts w:eastAsia="Calibri" w:cs="Arial"/>
          <w:sz w:val="22"/>
          <w:szCs w:val="22"/>
          <w:lang w:val="sl-SI"/>
        </w:rPr>
        <w:t xml:space="preserve"> nasprotn</w:t>
      </w:r>
      <w:r w:rsidR="004E5F6C">
        <w:rPr>
          <w:rFonts w:eastAsia="Calibri" w:cs="Arial"/>
          <w:sz w:val="22"/>
          <w:szCs w:val="22"/>
          <w:lang w:val="sl-SI"/>
        </w:rPr>
        <w:t>e</w:t>
      </w:r>
      <w:r w:rsidR="00B92A6E" w:rsidRPr="00CA1599">
        <w:rPr>
          <w:rFonts w:eastAsia="Calibri" w:cs="Arial"/>
          <w:sz w:val="22"/>
          <w:szCs w:val="22"/>
          <w:lang w:val="sl-SI"/>
        </w:rPr>
        <w:t xml:space="preserve"> strank</w:t>
      </w:r>
      <w:r w:rsidR="004E5F6C">
        <w:rPr>
          <w:rFonts w:eastAsia="Calibri" w:cs="Arial"/>
          <w:sz w:val="22"/>
          <w:szCs w:val="22"/>
          <w:lang w:val="sl-SI"/>
        </w:rPr>
        <w:t>e</w:t>
      </w:r>
      <w:r w:rsidR="00B92A6E" w:rsidRPr="00CA1599">
        <w:rPr>
          <w:rFonts w:eastAsia="Calibri" w:cs="Arial"/>
          <w:sz w:val="22"/>
          <w:szCs w:val="22"/>
          <w:lang w:val="sl-SI"/>
        </w:rPr>
        <w:t>, po/zavarovalnic</w:t>
      </w:r>
      <w:r w:rsidR="004E5F6C">
        <w:rPr>
          <w:rFonts w:eastAsia="Calibri" w:cs="Arial"/>
          <w:sz w:val="22"/>
          <w:szCs w:val="22"/>
          <w:lang w:val="sl-SI"/>
        </w:rPr>
        <w:t>e</w:t>
      </w:r>
      <w:r w:rsidR="00B92A6E" w:rsidRPr="00CA1599">
        <w:rPr>
          <w:rFonts w:eastAsia="Calibri" w:cs="Arial"/>
          <w:sz w:val="22"/>
          <w:szCs w:val="22"/>
          <w:lang w:val="sl-SI"/>
        </w:rPr>
        <w:t>, institucij</w:t>
      </w:r>
      <w:r w:rsidR="004E5F6C">
        <w:rPr>
          <w:rFonts w:eastAsia="Calibri" w:cs="Arial"/>
          <w:sz w:val="22"/>
          <w:szCs w:val="22"/>
          <w:lang w:val="sl-SI"/>
        </w:rPr>
        <w:t>e</w:t>
      </w:r>
      <w:r w:rsidR="00B92A6E" w:rsidRPr="00CA1599">
        <w:rPr>
          <w:rFonts w:eastAsia="Calibri" w:cs="Arial"/>
          <w:sz w:val="22"/>
          <w:szCs w:val="22"/>
          <w:lang w:val="sl-SI"/>
        </w:rPr>
        <w:t xml:space="preserve"> za pokojninsko zavarovanje in drug</w:t>
      </w:r>
      <w:r w:rsidR="004E5F6C">
        <w:rPr>
          <w:rFonts w:eastAsia="Calibri" w:cs="Arial"/>
          <w:sz w:val="22"/>
          <w:szCs w:val="22"/>
          <w:lang w:val="sl-SI"/>
        </w:rPr>
        <w:t>e</w:t>
      </w:r>
      <w:r w:rsidR="00B92A6E" w:rsidRPr="00CA1599">
        <w:rPr>
          <w:rFonts w:eastAsia="Calibri" w:cs="Arial"/>
          <w:sz w:val="22"/>
          <w:szCs w:val="22"/>
          <w:lang w:val="sl-SI"/>
        </w:rPr>
        <w:t xml:space="preserve"> finančn</w:t>
      </w:r>
      <w:r w:rsidR="004E5F6C">
        <w:rPr>
          <w:rFonts w:eastAsia="Calibri" w:cs="Arial"/>
          <w:sz w:val="22"/>
          <w:szCs w:val="22"/>
          <w:lang w:val="sl-SI"/>
        </w:rPr>
        <w:t>e</w:t>
      </w:r>
      <w:r w:rsidR="00B92A6E" w:rsidRPr="00CA1599">
        <w:rPr>
          <w:rFonts w:eastAsia="Calibri" w:cs="Arial"/>
          <w:sz w:val="22"/>
          <w:szCs w:val="22"/>
          <w:lang w:val="sl-SI"/>
        </w:rPr>
        <w:t xml:space="preserve"> institucij</w:t>
      </w:r>
      <w:r w:rsidR="004E5F6C">
        <w:rPr>
          <w:rFonts w:eastAsia="Calibri" w:cs="Arial"/>
          <w:sz w:val="22"/>
          <w:szCs w:val="22"/>
          <w:lang w:val="sl-SI"/>
        </w:rPr>
        <w:t>e</w:t>
      </w:r>
      <w:r w:rsidR="00B92A6E" w:rsidRPr="00CA1599">
        <w:rPr>
          <w:rFonts w:eastAsia="Calibri" w:cs="Arial"/>
          <w:sz w:val="22"/>
          <w:szCs w:val="22"/>
          <w:lang w:val="sl-SI"/>
        </w:rPr>
        <w:t>, ki niso banke ali hranilnice</w:t>
      </w:r>
      <w:r w:rsidR="007B5D87">
        <w:rPr>
          <w:rFonts w:eastAsia="Calibri" w:cs="Arial"/>
          <w:sz w:val="22"/>
          <w:szCs w:val="22"/>
          <w:lang w:val="sl-SI"/>
        </w:rPr>
        <w:t>:</w:t>
      </w:r>
      <w:r w:rsidR="00B92A6E">
        <w:rPr>
          <w:rFonts w:eastAsia="Calibri" w:cs="Arial"/>
          <w:sz w:val="22"/>
          <w:szCs w:val="22"/>
          <w:lang w:val="sl-SI"/>
        </w:rPr>
        <w:t xml:space="preserve"> </w:t>
      </w:r>
      <w:r w:rsidR="00B92A6E" w:rsidRPr="00CA1599">
        <w:rPr>
          <w:rFonts w:eastAsia="Calibri" w:cs="Arial"/>
          <w:sz w:val="22"/>
          <w:szCs w:val="22"/>
          <w:lang w:val="sl-SI"/>
        </w:rPr>
        <w:t xml:space="preserve">v obliki </w:t>
      </w:r>
      <w:r w:rsidR="00313ADB">
        <w:rPr>
          <w:rFonts w:eastAsia="Calibri" w:cs="Arial"/>
          <w:sz w:val="22"/>
          <w:szCs w:val="22"/>
          <w:lang w:val="sl-SI"/>
        </w:rPr>
        <w:t>repo</w:t>
      </w:r>
      <w:r w:rsidR="00300D98">
        <w:rPr>
          <w:rFonts w:eastAsia="Calibri" w:cs="Arial"/>
          <w:sz w:val="22"/>
          <w:szCs w:val="22"/>
          <w:lang w:val="sl-SI"/>
        </w:rPr>
        <w:t xml:space="preserve"> poslov</w:t>
      </w:r>
      <w:r w:rsidR="00B92A6E" w:rsidRPr="00CA1599">
        <w:rPr>
          <w:rFonts w:eastAsia="Calibri" w:cs="Arial"/>
          <w:sz w:val="22"/>
          <w:szCs w:val="22"/>
          <w:lang w:val="sl-SI"/>
        </w:rPr>
        <w:t xml:space="preserve">.  </w:t>
      </w:r>
    </w:p>
    <w:p w14:paraId="6FE49622" w14:textId="71D32189" w:rsidR="004E5F6C" w:rsidRDefault="004E5F6C" w:rsidP="00313AD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Značilnosti naložb</w:t>
      </w:r>
    </w:p>
    <w:p w14:paraId="4BBA7B15" w14:textId="77777777" w:rsidR="00354FCF" w:rsidRPr="000A4539" w:rsidRDefault="00354FCF" w:rsidP="00354FCF">
      <w:pPr>
        <w:tabs>
          <w:tab w:val="left" w:pos="284"/>
        </w:tabs>
        <w:jc w:val="both"/>
        <w:rPr>
          <w:rFonts w:eastAsia="Calibri" w:cs="Arial"/>
          <w:b/>
          <w:sz w:val="22"/>
          <w:szCs w:val="22"/>
          <w:lang w:val="sl-SI"/>
        </w:rPr>
      </w:pPr>
    </w:p>
    <w:p w14:paraId="3B62D2F4" w14:textId="42CD00DB" w:rsidR="004E5F6C" w:rsidRPr="000A4539" w:rsidRDefault="004E5F6C" w:rsidP="004E5F6C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Naložbe denarnih sredstev sistema EZRD imajo naslednje značilnosti:</w:t>
      </w:r>
    </w:p>
    <w:p w14:paraId="33923EFE" w14:textId="41898A32" w:rsidR="00CF1F3E" w:rsidRDefault="00CF1F3E" w:rsidP="00607C42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gre za dolžniške instrumente,</w:t>
      </w:r>
    </w:p>
    <w:p w14:paraId="1A415C43" w14:textId="07D89933" w:rsidR="004E5F6C" w:rsidRDefault="004E5F6C" w:rsidP="00607C42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4E5F6C">
        <w:rPr>
          <w:rFonts w:eastAsia="Calibri" w:cs="Arial"/>
          <w:sz w:val="22"/>
          <w:szCs w:val="22"/>
          <w:lang w:val="sl-SI"/>
        </w:rPr>
        <w:t xml:space="preserve">se </w:t>
      </w:r>
      <w:proofErr w:type="spellStart"/>
      <w:r w:rsidRPr="004E5F6C">
        <w:rPr>
          <w:rFonts w:eastAsia="Calibri" w:cs="Arial"/>
          <w:sz w:val="22"/>
          <w:szCs w:val="22"/>
          <w:lang w:val="sl-SI"/>
        </w:rPr>
        <w:t>diverzificirajo</w:t>
      </w:r>
      <w:proofErr w:type="spellEnd"/>
      <w:r w:rsidRPr="004E5F6C">
        <w:rPr>
          <w:rFonts w:eastAsia="Calibri" w:cs="Arial"/>
          <w:sz w:val="22"/>
          <w:szCs w:val="22"/>
          <w:lang w:val="sl-SI"/>
        </w:rPr>
        <w:t xml:space="preserve"> med različne </w:t>
      </w:r>
      <w:r w:rsidR="00354FCF">
        <w:rPr>
          <w:rFonts w:eastAsia="Calibri" w:cs="Arial"/>
          <w:sz w:val="22"/>
          <w:szCs w:val="22"/>
          <w:lang w:val="sl-SI"/>
        </w:rPr>
        <w:t xml:space="preserve">nasprotne </w:t>
      </w:r>
      <w:r w:rsidRPr="004E5F6C">
        <w:rPr>
          <w:rFonts w:eastAsia="Calibri" w:cs="Arial"/>
          <w:sz w:val="22"/>
          <w:szCs w:val="22"/>
          <w:lang w:val="sl-SI"/>
        </w:rPr>
        <w:t>stranke in instrumente,</w:t>
      </w:r>
      <w:r w:rsidR="00E106B8">
        <w:rPr>
          <w:rFonts w:eastAsia="Calibri" w:cs="Arial"/>
          <w:sz w:val="22"/>
          <w:szCs w:val="22"/>
          <w:lang w:val="sl-SI"/>
        </w:rPr>
        <w:t xml:space="preserve"> pri čemer se upošteva maksimaln</w:t>
      </w:r>
      <w:r w:rsidR="00607C42">
        <w:rPr>
          <w:rFonts w:eastAsia="Calibri" w:cs="Arial"/>
          <w:sz w:val="22"/>
          <w:szCs w:val="22"/>
          <w:lang w:val="sl-SI"/>
        </w:rPr>
        <w:t>a</w:t>
      </w:r>
      <w:r w:rsidR="00E106B8">
        <w:rPr>
          <w:rFonts w:eastAsia="Calibri" w:cs="Arial"/>
          <w:sz w:val="22"/>
          <w:szCs w:val="22"/>
          <w:lang w:val="sl-SI"/>
        </w:rPr>
        <w:t xml:space="preserve"> </w:t>
      </w:r>
      <w:r w:rsidR="00607C42">
        <w:rPr>
          <w:rFonts w:eastAsia="Calibri" w:cs="Arial"/>
          <w:sz w:val="22"/>
          <w:szCs w:val="22"/>
          <w:lang w:val="sl-SI"/>
        </w:rPr>
        <w:t>i</w:t>
      </w:r>
      <w:r w:rsidR="00E106B8">
        <w:rPr>
          <w:rFonts w:eastAsia="Calibri" w:cs="Arial"/>
          <w:sz w:val="22"/>
          <w:szCs w:val="22"/>
          <w:lang w:val="sl-SI"/>
        </w:rPr>
        <w:t>zpostavljenost</w:t>
      </w:r>
      <w:r w:rsidR="007B5D87">
        <w:rPr>
          <w:rFonts w:eastAsia="Calibri" w:cs="Arial"/>
          <w:sz w:val="22"/>
          <w:szCs w:val="22"/>
          <w:lang w:val="sl-SI"/>
        </w:rPr>
        <w:t>,</w:t>
      </w:r>
      <w:r w:rsidR="000D15B0" w:rsidRPr="000D15B0">
        <w:rPr>
          <w:rFonts w:eastAsia="Calibri" w:cs="Arial"/>
          <w:sz w:val="22"/>
          <w:szCs w:val="22"/>
          <w:lang w:val="sl-SI"/>
        </w:rPr>
        <w:t xml:space="preserve"> </w:t>
      </w:r>
      <w:r w:rsidR="000D15B0">
        <w:rPr>
          <w:rFonts w:eastAsia="Calibri" w:cs="Arial"/>
          <w:sz w:val="22"/>
          <w:szCs w:val="22"/>
          <w:lang w:val="sl-SI"/>
        </w:rPr>
        <w:t>določen</w:t>
      </w:r>
      <w:r w:rsidR="00607C42">
        <w:rPr>
          <w:rFonts w:eastAsia="Calibri" w:cs="Arial"/>
          <w:sz w:val="22"/>
          <w:szCs w:val="22"/>
          <w:lang w:val="sl-SI"/>
        </w:rPr>
        <w:t>a</w:t>
      </w:r>
      <w:r w:rsidR="000D15B0">
        <w:rPr>
          <w:rFonts w:eastAsia="Calibri" w:cs="Arial"/>
          <w:sz w:val="22"/>
          <w:szCs w:val="22"/>
          <w:lang w:val="sl-SI"/>
        </w:rPr>
        <w:t xml:space="preserve"> </w:t>
      </w:r>
      <w:r w:rsidR="00607C42">
        <w:rPr>
          <w:rFonts w:eastAsia="Calibri" w:cs="Arial"/>
          <w:sz w:val="22"/>
          <w:szCs w:val="22"/>
          <w:lang w:val="sl-SI"/>
        </w:rPr>
        <w:t>v</w:t>
      </w:r>
      <w:r w:rsidR="000D15B0">
        <w:rPr>
          <w:rFonts w:eastAsia="Calibri" w:cs="Arial"/>
          <w:sz w:val="22"/>
          <w:szCs w:val="22"/>
          <w:lang w:val="sl-SI"/>
        </w:rPr>
        <w:t xml:space="preserve"> Metodologiji določitve maksimalne izpostavljenosti </w:t>
      </w:r>
      <w:r w:rsidR="00846E0E">
        <w:rPr>
          <w:rFonts w:eastAsia="Calibri" w:cs="Arial"/>
          <w:sz w:val="22"/>
          <w:szCs w:val="22"/>
          <w:lang w:val="sl-SI"/>
        </w:rPr>
        <w:t xml:space="preserve">do nasprotne stranke </w:t>
      </w:r>
      <w:r w:rsidR="000D15B0">
        <w:rPr>
          <w:rFonts w:eastAsia="Calibri" w:cs="Arial"/>
          <w:sz w:val="22"/>
          <w:szCs w:val="22"/>
          <w:lang w:val="sl-SI"/>
        </w:rPr>
        <w:t xml:space="preserve">(v nadaljevanju: </w:t>
      </w:r>
      <w:r w:rsidR="006F7138">
        <w:rPr>
          <w:rFonts w:eastAsia="Calibri" w:cs="Arial"/>
          <w:sz w:val="22"/>
          <w:szCs w:val="22"/>
          <w:lang w:val="sl-SI"/>
        </w:rPr>
        <w:t>M</w:t>
      </w:r>
      <w:r w:rsidR="000D15B0">
        <w:rPr>
          <w:rFonts w:eastAsia="Calibri" w:cs="Arial"/>
          <w:sz w:val="22"/>
          <w:szCs w:val="22"/>
          <w:lang w:val="sl-SI"/>
        </w:rPr>
        <w:t>etodologija)</w:t>
      </w:r>
      <w:r w:rsidR="00E106B8">
        <w:rPr>
          <w:rFonts w:eastAsia="Calibri" w:cs="Arial"/>
          <w:sz w:val="22"/>
          <w:szCs w:val="22"/>
          <w:lang w:val="sl-SI"/>
        </w:rPr>
        <w:t>,</w:t>
      </w:r>
    </w:p>
    <w:p w14:paraId="7E52CED2" w14:textId="09BFB2F7" w:rsidR="004E5F6C" w:rsidRPr="004E5F6C" w:rsidRDefault="004E5F6C" w:rsidP="00607C42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4E5F6C">
        <w:rPr>
          <w:rFonts w:eastAsia="Calibri" w:cs="Arial"/>
          <w:sz w:val="22"/>
          <w:szCs w:val="22"/>
          <w:lang w:val="sl-SI"/>
        </w:rPr>
        <w:t>ročnost ne presega treh let,</w:t>
      </w:r>
    </w:p>
    <w:p w14:paraId="433EBB0B" w14:textId="15110435" w:rsidR="00E8676D" w:rsidRDefault="00E8676D" w:rsidP="00607C42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so praviloma </w:t>
      </w:r>
      <w:proofErr w:type="spellStart"/>
      <w:r w:rsidRPr="000A4539">
        <w:rPr>
          <w:rFonts w:eastAsia="Calibri" w:cs="Arial"/>
          <w:sz w:val="22"/>
          <w:szCs w:val="22"/>
          <w:lang w:val="sl-SI"/>
        </w:rPr>
        <w:t>denominirane</w:t>
      </w:r>
      <w:proofErr w:type="spellEnd"/>
      <w:r w:rsidRPr="000A4539">
        <w:rPr>
          <w:rFonts w:eastAsia="Calibri" w:cs="Arial"/>
          <w:sz w:val="22"/>
          <w:szCs w:val="22"/>
          <w:lang w:val="sl-SI"/>
        </w:rPr>
        <w:t xml:space="preserve"> v evrih, lahko pa tudi v ostalih valutah, v katerih se vodi </w:t>
      </w:r>
      <w:r w:rsidR="007B5D87">
        <w:rPr>
          <w:rFonts w:eastAsia="Calibri" w:cs="Arial"/>
          <w:sz w:val="22"/>
          <w:szCs w:val="22"/>
          <w:lang w:val="sl-SI"/>
        </w:rPr>
        <w:t xml:space="preserve">sistem </w:t>
      </w:r>
      <w:r w:rsidRPr="000A4539">
        <w:rPr>
          <w:rFonts w:eastAsia="Calibri" w:cs="Arial"/>
          <w:sz w:val="22"/>
          <w:szCs w:val="22"/>
          <w:lang w:val="sl-SI"/>
        </w:rPr>
        <w:t>EZRD,</w:t>
      </w:r>
    </w:p>
    <w:p w14:paraId="62AAF0ED" w14:textId="1241AC14" w:rsidR="00772B28" w:rsidRDefault="002D71E1" w:rsidP="00607C42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boniteta nasprotne stranke</w:t>
      </w:r>
      <w:r w:rsidR="000E6E16">
        <w:rPr>
          <w:rFonts w:eastAsia="Calibri" w:cs="Arial"/>
          <w:sz w:val="22"/>
          <w:szCs w:val="22"/>
          <w:lang w:val="sl-SI"/>
        </w:rPr>
        <w:t>, do katere je izpostavljen sistem EZR države,</w:t>
      </w:r>
      <w:r>
        <w:rPr>
          <w:rFonts w:eastAsia="Calibri" w:cs="Arial"/>
          <w:sz w:val="22"/>
          <w:szCs w:val="22"/>
          <w:lang w:val="sl-SI"/>
        </w:rPr>
        <w:t xml:space="preserve"> </w:t>
      </w:r>
      <w:r w:rsidR="00CF1F3E">
        <w:rPr>
          <w:rFonts w:eastAsia="Calibri" w:cs="Arial"/>
          <w:sz w:val="22"/>
          <w:szCs w:val="22"/>
          <w:lang w:val="sl-SI"/>
        </w:rPr>
        <w:t xml:space="preserve">vsaj </w:t>
      </w:r>
      <w:r>
        <w:rPr>
          <w:rFonts w:eastAsia="Calibri" w:cs="Arial"/>
          <w:sz w:val="22"/>
          <w:szCs w:val="22"/>
          <w:lang w:val="sl-SI"/>
        </w:rPr>
        <w:t xml:space="preserve">dosega v </w:t>
      </w:r>
      <w:r w:rsidR="001666BE">
        <w:rPr>
          <w:rFonts w:eastAsia="Calibri" w:cs="Arial"/>
          <w:sz w:val="22"/>
          <w:szCs w:val="22"/>
          <w:lang w:val="sl-SI"/>
        </w:rPr>
        <w:t xml:space="preserve">tej </w:t>
      </w:r>
      <w:r>
        <w:rPr>
          <w:rFonts w:eastAsia="Calibri" w:cs="Arial"/>
          <w:sz w:val="22"/>
          <w:szCs w:val="22"/>
          <w:lang w:val="sl-SI"/>
        </w:rPr>
        <w:t>politiki določeno mejo,</w:t>
      </w:r>
      <w:r w:rsidR="00772B28">
        <w:rPr>
          <w:rFonts w:eastAsia="Calibri" w:cs="Arial"/>
          <w:sz w:val="22"/>
          <w:szCs w:val="22"/>
          <w:lang w:val="sl-SI"/>
        </w:rPr>
        <w:t xml:space="preserve"> </w:t>
      </w:r>
    </w:p>
    <w:p w14:paraId="147230B9" w14:textId="24BE0CFF" w:rsidR="002D71E1" w:rsidRPr="000A4539" w:rsidRDefault="00772B28" w:rsidP="00607C42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bonitetna ocena prodajalca vrednostnih papirjev v tej politiki ni določena,</w:t>
      </w:r>
      <w:r w:rsidR="000E6E16">
        <w:rPr>
          <w:rFonts w:eastAsia="Calibri" w:cs="Arial"/>
          <w:sz w:val="22"/>
          <w:szCs w:val="22"/>
          <w:lang w:val="sl-SI"/>
        </w:rPr>
        <w:t xml:space="preserve"> </w:t>
      </w:r>
    </w:p>
    <w:p w14:paraId="37CBB737" w14:textId="6977B4A3" w:rsidR="00E8676D" w:rsidRPr="000A4539" w:rsidRDefault="00E8676D" w:rsidP="00607C42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najnižja obrestna mera </w:t>
      </w:r>
      <w:r w:rsidR="007B5D87">
        <w:rPr>
          <w:rFonts w:eastAsia="Calibri" w:cs="Arial"/>
          <w:sz w:val="22"/>
          <w:szCs w:val="22"/>
          <w:lang w:val="sl-SI"/>
        </w:rPr>
        <w:t xml:space="preserve">posamezne naložbe </w:t>
      </w:r>
      <w:r w:rsidRPr="000A4539">
        <w:rPr>
          <w:rFonts w:eastAsia="Calibri" w:cs="Arial"/>
          <w:sz w:val="22"/>
          <w:szCs w:val="22"/>
          <w:lang w:val="sl-SI"/>
        </w:rPr>
        <w:t>je 0</w:t>
      </w:r>
      <w:r w:rsidR="00351E95">
        <w:rPr>
          <w:rFonts w:eastAsia="Calibri" w:cs="Arial"/>
          <w:sz w:val="22"/>
          <w:szCs w:val="22"/>
          <w:lang w:val="sl-SI"/>
        </w:rPr>
        <w:t xml:space="preserve"> </w:t>
      </w:r>
      <w:r w:rsidRPr="000A4539">
        <w:rPr>
          <w:rFonts w:eastAsia="Calibri" w:cs="Arial"/>
          <w:sz w:val="22"/>
          <w:szCs w:val="22"/>
          <w:lang w:val="sl-SI"/>
        </w:rPr>
        <w:t>%,</w:t>
      </w:r>
    </w:p>
    <w:p w14:paraId="5BBDEB8F" w14:textId="0EB09F10" w:rsidR="00EF4842" w:rsidRDefault="00E8676D" w:rsidP="00607C42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se praviloma držijo do zapadlosti</w:t>
      </w:r>
      <w:r w:rsidR="00EF4842">
        <w:rPr>
          <w:rFonts w:eastAsia="Calibri" w:cs="Arial"/>
          <w:sz w:val="22"/>
          <w:szCs w:val="22"/>
          <w:lang w:val="sl-SI"/>
        </w:rPr>
        <w:t xml:space="preserve">. </w:t>
      </w:r>
    </w:p>
    <w:p w14:paraId="064AC684" w14:textId="77777777" w:rsidR="00EF4842" w:rsidRDefault="00EF4842" w:rsidP="00EF4842">
      <w:pPr>
        <w:spacing w:after="200" w:line="276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</w:p>
    <w:p w14:paraId="73D9CAA7" w14:textId="662D303E" w:rsidR="00E8676D" w:rsidRPr="000A4539" w:rsidRDefault="00E8676D" w:rsidP="00B8383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0A4539">
        <w:rPr>
          <w:rFonts w:eastAsia="Calibri" w:cs="Arial"/>
          <w:b/>
          <w:sz w:val="22"/>
          <w:szCs w:val="22"/>
          <w:lang w:val="sl-SI"/>
        </w:rPr>
        <w:t>Ocena kreditnega tveganja</w:t>
      </w:r>
      <w:r w:rsidR="000D033E">
        <w:rPr>
          <w:rFonts w:eastAsia="Calibri" w:cs="Arial"/>
          <w:b/>
          <w:sz w:val="22"/>
          <w:szCs w:val="22"/>
          <w:lang w:val="sl-SI"/>
        </w:rPr>
        <w:t xml:space="preserve"> nasprotnih strank</w:t>
      </w:r>
    </w:p>
    <w:p w14:paraId="05404B94" w14:textId="77777777" w:rsidR="00D07A96" w:rsidRPr="000A4539" w:rsidRDefault="00D07A96" w:rsidP="001500C2">
      <w:pPr>
        <w:spacing w:after="200" w:line="240" w:lineRule="auto"/>
        <w:ind w:left="720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2A0CCEE8" w14:textId="66642A8A" w:rsidR="00DD64A2" w:rsidRDefault="00E8676D" w:rsidP="00DD64A2">
      <w:pPr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Za oceno kreditnega tveganja nasprotnih strank se uporablja zunanje bonitetne ocene mednarodno uveljavljenih bonitetnih agencij </w:t>
      </w:r>
      <w:proofErr w:type="spellStart"/>
      <w:r w:rsidRPr="000A4539">
        <w:rPr>
          <w:rFonts w:eastAsia="Calibri" w:cs="Arial"/>
          <w:sz w:val="22"/>
          <w:szCs w:val="22"/>
          <w:lang w:val="sl-SI"/>
        </w:rPr>
        <w:t>Moody</w:t>
      </w:r>
      <w:r w:rsidR="0030223C">
        <w:rPr>
          <w:rFonts w:eastAsia="Calibri" w:cs="Arial"/>
          <w:sz w:val="22"/>
          <w:szCs w:val="22"/>
          <w:lang w:val="sl-SI"/>
        </w:rPr>
        <w:t>'</w:t>
      </w:r>
      <w:r w:rsidRPr="000A4539">
        <w:rPr>
          <w:rFonts w:eastAsia="Calibri" w:cs="Arial"/>
          <w:sz w:val="22"/>
          <w:szCs w:val="22"/>
          <w:lang w:val="sl-SI"/>
        </w:rPr>
        <w:t>s</w:t>
      </w:r>
      <w:proofErr w:type="spellEnd"/>
      <w:r w:rsidRPr="000A4539">
        <w:rPr>
          <w:rFonts w:eastAsia="Calibri" w:cs="Arial"/>
          <w:sz w:val="22"/>
          <w:szCs w:val="22"/>
          <w:lang w:val="sl-SI"/>
        </w:rPr>
        <w:t xml:space="preserve">, </w:t>
      </w:r>
      <w:proofErr w:type="spellStart"/>
      <w:r w:rsidRPr="000A4539">
        <w:rPr>
          <w:rFonts w:eastAsia="Calibri" w:cs="Arial"/>
          <w:sz w:val="22"/>
          <w:szCs w:val="22"/>
          <w:lang w:val="sl-SI"/>
        </w:rPr>
        <w:t>Fitch</w:t>
      </w:r>
      <w:proofErr w:type="spellEnd"/>
      <w:r w:rsidRPr="000A4539">
        <w:rPr>
          <w:rFonts w:eastAsia="Calibri" w:cs="Arial"/>
          <w:sz w:val="22"/>
          <w:szCs w:val="22"/>
          <w:lang w:val="sl-SI"/>
        </w:rPr>
        <w:t xml:space="preserve"> in S&amp;P</w:t>
      </w:r>
      <w:r w:rsidR="002E5037">
        <w:rPr>
          <w:rFonts w:eastAsia="Calibri" w:cs="Arial"/>
          <w:sz w:val="22"/>
          <w:szCs w:val="22"/>
          <w:lang w:val="sl-SI"/>
        </w:rPr>
        <w:t xml:space="preserve">, </w:t>
      </w:r>
      <w:r w:rsidR="002E5037" w:rsidRPr="000A4539">
        <w:rPr>
          <w:rFonts w:eastAsia="Calibri" w:cs="Arial"/>
          <w:sz w:val="22"/>
          <w:szCs w:val="22"/>
          <w:lang w:val="sl-SI"/>
        </w:rPr>
        <w:t>k</w:t>
      </w:r>
      <w:r w:rsidR="00CB6573">
        <w:rPr>
          <w:rFonts w:eastAsia="Calibri" w:cs="Arial"/>
          <w:sz w:val="22"/>
          <w:szCs w:val="22"/>
          <w:lang w:val="sl-SI"/>
        </w:rPr>
        <w:t>i</w:t>
      </w:r>
      <w:r w:rsidR="002E5037" w:rsidRPr="000A4539">
        <w:rPr>
          <w:rFonts w:eastAsia="Calibri" w:cs="Arial"/>
          <w:sz w:val="22"/>
          <w:szCs w:val="22"/>
          <w:lang w:val="sl-SI"/>
        </w:rPr>
        <w:t xml:space="preserve"> se </w:t>
      </w:r>
      <w:r w:rsidR="00CB6573">
        <w:rPr>
          <w:rFonts w:eastAsia="Calibri" w:cs="Arial"/>
          <w:sz w:val="22"/>
          <w:szCs w:val="22"/>
          <w:lang w:val="sl-SI"/>
        </w:rPr>
        <w:t xml:space="preserve">jih </w:t>
      </w:r>
      <w:r w:rsidR="002E5037" w:rsidRPr="000A4539">
        <w:rPr>
          <w:rFonts w:eastAsia="Calibri" w:cs="Arial"/>
          <w:sz w:val="22"/>
          <w:szCs w:val="22"/>
          <w:lang w:val="sl-SI"/>
        </w:rPr>
        <w:t>pretvori v bonitetno lestvico Ministrstva za finance</w:t>
      </w:r>
      <w:r w:rsidR="002E5037">
        <w:rPr>
          <w:rFonts w:eastAsia="Calibri" w:cs="Arial"/>
          <w:sz w:val="22"/>
          <w:szCs w:val="22"/>
          <w:lang w:val="sl-SI"/>
        </w:rPr>
        <w:t xml:space="preserve">, kot je določeno v </w:t>
      </w:r>
      <w:r w:rsidR="002E5037" w:rsidRPr="000A4539">
        <w:rPr>
          <w:rFonts w:eastAsia="Calibri" w:cs="Arial"/>
          <w:sz w:val="22"/>
          <w:szCs w:val="22"/>
          <w:lang w:val="sl-SI"/>
        </w:rPr>
        <w:t>prilog</w:t>
      </w:r>
      <w:r w:rsidR="002E5037">
        <w:rPr>
          <w:rFonts w:eastAsia="Calibri" w:cs="Arial"/>
          <w:sz w:val="22"/>
          <w:szCs w:val="22"/>
          <w:lang w:val="sl-SI"/>
        </w:rPr>
        <w:t>i</w:t>
      </w:r>
      <w:r w:rsidR="002E5037" w:rsidRPr="000A4539">
        <w:rPr>
          <w:rFonts w:eastAsia="Calibri" w:cs="Arial"/>
          <w:sz w:val="22"/>
          <w:szCs w:val="22"/>
          <w:lang w:val="sl-SI"/>
        </w:rPr>
        <w:t xml:space="preserve"> </w:t>
      </w:r>
      <w:r w:rsidR="002E5037">
        <w:rPr>
          <w:rFonts w:eastAsia="Calibri" w:cs="Arial"/>
          <w:sz w:val="22"/>
          <w:szCs w:val="22"/>
          <w:lang w:val="sl-SI"/>
        </w:rPr>
        <w:t>Metodologije</w:t>
      </w:r>
      <w:r w:rsidR="00657214">
        <w:rPr>
          <w:rFonts w:eastAsia="Calibri" w:cs="Arial"/>
          <w:sz w:val="22"/>
          <w:szCs w:val="22"/>
          <w:lang w:val="sl-SI"/>
        </w:rPr>
        <w:t xml:space="preserve">. </w:t>
      </w:r>
      <w:r w:rsidRPr="00DD64A2">
        <w:rPr>
          <w:rFonts w:eastAsia="Calibri" w:cs="Arial"/>
          <w:sz w:val="22"/>
          <w:szCs w:val="22"/>
          <w:lang w:val="sl-SI"/>
        </w:rPr>
        <w:t xml:space="preserve">Uporaba internih pristopov za </w:t>
      </w:r>
      <w:r w:rsidR="00763324">
        <w:rPr>
          <w:rFonts w:eastAsia="Calibri" w:cs="Arial"/>
          <w:sz w:val="22"/>
          <w:szCs w:val="22"/>
          <w:lang w:val="sl-SI"/>
        </w:rPr>
        <w:t>postavitev</w:t>
      </w:r>
      <w:r w:rsidR="00763324" w:rsidRPr="00DD64A2">
        <w:rPr>
          <w:rFonts w:eastAsia="Calibri" w:cs="Arial"/>
          <w:sz w:val="22"/>
          <w:szCs w:val="22"/>
          <w:lang w:val="sl-SI"/>
        </w:rPr>
        <w:t xml:space="preserve"> </w:t>
      </w:r>
      <w:r w:rsidRPr="000A4539">
        <w:rPr>
          <w:rFonts w:eastAsia="Calibri" w:cs="Arial"/>
          <w:sz w:val="22"/>
          <w:szCs w:val="22"/>
          <w:lang w:val="sl-SI"/>
        </w:rPr>
        <w:t>bonitetnih ocen</w:t>
      </w:r>
      <w:r w:rsidRPr="00DD64A2">
        <w:rPr>
          <w:rFonts w:eastAsia="Calibri" w:cs="Arial"/>
          <w:sz w:val="22"/>
          <w:szCs w:val="22"/>
          <w:lang w:val="sl-SI"/>
        </w:rPr>
        <w:t xml:space="preserve"> ni predvidena, saj</w:t>
      </w:r>
      <w:r w:rsidRPr="000A4539">
        <w:rPr>
          <w:rFonts w:eastAsia="Calibri" w:cs="Arial"/>
          <w:sz w:val="22"/>
          <w:szCs w:val="22"/>
          <w:lang w:val="sl-SI"/>
        </w:rPr>
        <w:t xml:space="preserve"> </w:t>
      </w:r>
      <w:r w:rsidRPr="00DD64A2">
        <w:rPr>
          <w:rFonts w:eastAsia="Calibri" w:cs="Arial"/>
          <w:sz w:val="22"/>
          <w:szCs w:val="22"/>
          <w:lang w:val="sl-SI"/>
        </w:rPr>
        <w:t>zunanje bonitetne agencije upoštevajo obširne in celovite kriterije za oceno bonitete</w:t>
      </w:r>
      <w:r w:rsidRPr="000A4539">
        <w:rPr>
          <w:rFonts w:eastAsia="Calibri" w:cs="Arial"/>
          <w:sz w:val="22"/>
          <w:szCs w:val="22"/>
          <w:lang w:val="sl-SI"/>
        </w:rPr>
        <w:t xml:space="preserve">. </w:t>
      </w:r>
      <w:r w:rsidR="00DD64A2" w:rsidRPr="00C1623A">
        <w:rPr>
          <w:rFonts w:eastAsia="Calibri" w:cs="Arial"/>
          <w:sz w:val="22"/>
          <w:szCs w:val="22"/>
          <w:lang w:val="sl-SI"/>
        </w:rPr>
        <w:t>Upošteva se dolgoročna depozitna bonitetna ocena, v kolikor pa nasprotna stranka le-te nima, se upošteva dolgoročna bonitetna ocena izdajatelja.</w:t>
      </w:r>
    </w:p>
    <w:p w14:paraId="19A9668B" w14:textId="77777777" w:rsidR="00C1623A" w:rsidRPr="00DD64A2" w:rsidRDefault="00C1623A" w:rsidP="00DD64A2">
      <w:pPr>
        <w:jc w:val="both"/>
        <w:rPr>
          <w:rFonts w:eastAsia="Calibri" w:cs="Arial"/>
          <w:sz w:val="22"/>
          <w:szCs w:val="22"/>
          <w:lang w:val="sl-SI"/>
        </w:rPr>
      </w:pPr>
    </w:p>
    <w:p w14:paraId="4B2D42F9" w14:textId="1735D396" w:rsidR="008F517E" w:rsidRPr="000A4539" w:rsidRDefault="008F517E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Pri nasprotni stranki, ki ima bonitetne ocene postavljene pri več bonite</w:t>
      </w:r>
      <w:r w:rsidR="00240475">
        <w:rPr>
          <w:rFonts w:eastAsia="Calibri" w:cs="Arial"/>
          <w:sz w:val="22"/>
          <w:szCs w:val="22"/>
          <w:lang w:val="sl-SI"/>
        </w:rPr>
        <w:t>t</w:t>
      </w:r>
      <w:r>
        <w:rPr>
          <w:rFonts w:eastAsia="Calibri" w:cs="Arial"/>
          <w:sz w:val="22"/>
          <w:szCs w:val="22"/>
          <w:lang w:val="sl-SI"/>
        </w:rPr>
        <w:t xml:space="preserve">nih agencijah, se </w:t>
      </w:r>
      <w:r w:rsidR="00240475">
        <w:rPr>
          <w:rFonts w:eastAsia="Calibri" w:cs="Arial"/>
          <w:sz w:val="22"/>
          <w:szCs w:val="22"/>
          <w:lang w:val="sl-SI"/>
        </w:rPr>
        <w:t>določi povprečna bonitetna ocena</w:t>
      </w:r>
      <w:r w:rsidR="00B85A85">
        <w:rPr>
          <w:rFonts w:eastAsia="Calibri" w:cs="Arial"/>
          <w:sz w:val="22"/>
          <w:szCs w:val="22"/>
          <w:lang w:val="sl-SI"/>
        </w:rPr>
        <w:t>,</w:t>
      </w:r>
      <w:r w:rsidR="0000046D">
        <w:rPr>
          <w:rFonts w:eastAsia="Calibri" w:cs="Arial"/>
          <w:sz w:val="22"/>
          <w:szCs w:val="22"/>
          <w:lang w:val="sl-SI"/>
        </w:rPr>
        <w:t xml:space="preserve"> kot je določeno </w:t>
      </w:r>
      <w:r w:rsidR="00240475">
        <w:rPr>
          <w:rFonts w:eastAsia="Calibri" w:cs="Arial"/>
          <w:sz w:val="22"/>
          <w:szCs w:val="22"/>
          <w:lang w:val="sl-SI"/>
        </w:rPr>
        <w:t xml:space="preserve">v </w:t>
      </w:r>
      <w:r w:rsidR="00A66368">
        <w:rPr>
          <w:rFonts w:eastAsia="Calibri" w:cs="Arial"/>
          <w:sz w:val="22"/>
          <w:szCs w:val="22"/>
          <w:lang w:val="sl-SI"/>
        </w:rPr>
        <w:t>M</w:t>
      </w:r>
      <w:r w:rsidR="00240475">
        <w:rPr>
          <w:rFonts w:eastAsia="Calibri" w:cs="Arial"/>
          <w:sz w:val="22"/>
          <w:szCs w:val="22"/>
          <w:lang w:val="sl-SI"/>
        </w:rPr>
        <w:t>etodologiji</w:t>
      </w:r>
      <w:r w:rsidR="006F7138">
        <w:rPr>
          <w:rFonts w:eastAsia="Calibri" w:cs="Arial"/>
          <w:sz w:val="22"/>
          <w:szCs w:val="22"/>
          <w:lang w:val="sl-SI"/>
        </w:rPr>
        <w:t xml:space="preserve">. </w:t>
      </w:r>
      <w:r w:rsidR="00240475">
        <w:rPr>
          <w:rFonts w:eastAsia="Calibri" w:cs="Arial"/>
          <w:sz w:val="22"/>
          <w:szCs w:val="22"/>
          <w:lang w:val="sl-SI"/>
        </w:rPr>
        <w:t xml:space="preserve"> </w:t>
      </w:r>
    </w:p>
    <w:p w14:paraId="2EA8CBB7" w14:textId="77777777" w:rsidR="00E8676D" w:rsidRDefault="00E8676D" w:rsidP="005C7705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lastRenderedPageBreak/>
        <w:t>Kljub primerni bonitetni oceni upravljavec EZRD ne izvede naložbe v nasprotno stranko, če na podlagi informacij o nasprotni stranki ali državi sedeža nasprotne stranke oceni, da bi bila kredit</w:t>
      </w:r>
      <w:r w:rsidR="00657ABB">
        <w:rPr>
          <w:rFonts w:eastAsia="Calibri" w:cs="Arial"/>
          <w:sz w:val="22"/>
          <w:szCs w:val="22"/>
          <w:lang w:val="sl-SI"/>
        </w:rPr>
        <w:t>na tveganja naložbe previsoka.</w:t>
      </w:r>
    </w:p>
    <w:p w14:paraId="266A3A9E" w14:textId="34B38CC0" w:rsidR="009F3015" w:rsidRDefault="00DB4EFF" w:rsidP="005C7705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Poleg gornje ocene kreditnega tveganja, se pri poslovnih bankah in hranilnicah</w:t>
      </w:r>
      <w:r w:rsidR="00DB309D">
        <w:rPr>
          <w:rFonts w:eastAsia="Calibri" w:cs="Arial"/>
          <w:sz w:val="22"/>
          <w:szCs w:val="22"/>
          <w:lang w:val="sl-SI"/>
        </w:rPr>
        <w:t xml:space="preserve"> za naložbe v depozite</w:t>
      </w:r>
      <w:r>
        <w:rPr>
          <w:rFonts w:eastAsia="Calibri" w:cs="Arial"/>
          <w:sz w:val="22"/>
          <w:szCs w:val="22"/>
          <w:lang w:val="sl-SI"/>
        </w:rPr>
        <w:t xml:space="preserve"> upošteva tudi, da</w:t>
      </w:r>
      <w:r w:rsidR="00AF73CD">
        <w:rPr>
          <w:rFonts w:eastAsia="Calibri" w:cs="Arial"/>
          <w:sz w:val="22"/>
          <w:szCs w:val="22"/>
          <w:lang w:val="sl-SI"/>
        </w:rPr>
        <w:t xml:space="preserve"> je</w:t>
      </w:r>
      <w:r w:rsidR="009F3015">
        <w:rPr>
          <w:rFonts w:eastAsia="Calibri" w:cs="Arial"/>
          <w:sz w:val="22"/>
          <w:szCs w:val="22"/>
          <w:lang w:val="sl-SI"/>
        </w:rPr>
        <w:t>:</w:t>
      </w:r>
    </w:p>
    <w:p w14:paraId="054DD7A5" w14:textId="2C50D99A" w:rsidR="009F3015" w:rsidRDefault="009F3015" w:rsidP="005C7705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- </w:t>
      </w:r>
      <w:r w:rsidR="00DB4EFF">
        <w:rPr>
          <w:rFonts w:eastAsia="Calibri" w:cs="Arial"/>
          <w:sz w:val="22"/>
          <w:szCs w:val="22"/>
          <w:lang w:val="sl-SI"/>
        </w:rPr>
        <w:t>vključena na seznam sistemsko pomembnih bank</w:t>
      </w:r>
      <w:r w:rsidR="00AF73CD">
        <w:rPr>
          <w:rFonts w:eastAsia="Calibri" w:cs="Arial"/>
          <w:sz w:val="22"/>
          <w:szCs w:val="22"/>
          <w:lang w:val="sl-SI"/>
        </w:rPr>
        <w:t xml:space="preserve"> oziroma hranilnic</w:t>
      </w:r>
      <w:r w:rsidR="00D157E1">
        <w:rPr>
          <w:rFonts w:eastAsia="Calibri" w:cs="Arial"/>
          <w:sz w:val="22"/>
          <w:szCs w:val="22"/>
          <w:lang w:val="sl-SI"/>
        </w:rPr>
        <w:t xml:space="preserve"> ali</w:t>
      </w:r>
      <w:r w:rsidR="00DB309D">
        <w:rPr>
          <w:rFonts w:eastAsia="Calibri" w:cs="Arial"/>
          <w:sz w:val="22"/>
          <w:szCs w:val="22"/>
          <w:lang w:val="sl-SI"/>
        </w:rPr>
        <w:t xml:space="preserve"> </w:t>
      </w:r>
    </w:p>
    <w:p w14:paraId="1E1DB03E" w14:textId="5A621192" w:rsidR="0034514E" w:rsidRPr="000A4539" w:rsidRDefault="009F3015" w:rsidP="005C7705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-</w:t>
      </w:r>
      <w:r w:rsidR="00D157E1">
        <w:rPr>
          <w:rFonts w:eastAsia="Calibri" w:cs="Arial"/>
          <w:sz w:val="22"/>
          <w:szCs w:val="22"/>
          <w:lang w:val="sl-SI"/>
        </w:rPr>
        <w:t xml:space="preserve"> v državni lasti</w:t>
      </w:r>
      <w:r>
        <w:rPr>
          <w:rFonts w:eastAsia="Calibri" w:cs="Arial"/>
          <w:sz w:val="22"/>
          <w:szCs w:val="22"/>
          <w:lang w:val="sl-SI"/>
        </w:rPr>
        <w:t>, pri čemer ima država vsaj bonitetno oceno A-/A3</w:t>
      </w:r>
      <w:r w:rsidR="00DB4EFF">
        <w:rPr>
          <w:rFonts w:eastAsia="Calibri" w:cs="Arial"/>
          <w:sz w:val="22"/>
          <w:szCs w:val="22"/>
          <w:lang w:val="sl-SI"/>
        </w:rPr>
        <w:t>.</w:t>
      </w:r>
    </w:p>
    <w:p w14:paraId="59629F09" w14:textId="16C7B0F7" w:rsidR="00E8676D" w:rsidRPr="000A4539" w:rsidRDefault="00E8676D" w:rsidP="00B8383D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Najnižja</w:t>
      </w:r>
      <w:r w:rsidRPr="000A4539">
        <w:rPr>
          <w:rFonts w:eastAsia="Calibri" w:cs="Arial"/>
          <w:b/>
          <w:sz w:val="22"/>
          <w:szCs w:val="22"/>
          <w:lang w:val="sl-SI"/>
        </w:rPr>
        <w:t xml:space="preserve"> bonitetna ocena</w:t>
      </w:r>
      <w:r w:rsidR="00B20CFA">
        <w:rPr>
          <w:rFonts w:eastAsia="Calibri" w:cs="Arial"/>
          <w:b/>
          <w:sz w:val="22"/>
          <w:szCs w:val="22"/>
          <w:lang w:val="sl-SI"/>
        </w:rPr>
        <w:t xml:space="preserve"> nasprotne stranke</w:t>
      </w:r>
    </w:p>
    <w:p w14:paraId="377BF9A2" w14:textId="77777777" w:rsidR="00D07A96" w:rsidRPr="000A4539" w:rsidRDefault="00D07A96" w:rsidP="001500C2">
      <w:pPr>
        <w:spacing w:after="200" w:line="240" w:lineRule="auto"/>
        <w:ind w:left="720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43D498" w14:textId="3F3B7209" w:rsidR="00C07966" w:rsidRDefault="00C07966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Najnižja povprečna bonitetna ocena nasprotne stranke je A-</w:t>
      </w:r>
      <w:r w:rsidR="00927CB2">
        <w:rPr>
          <w:rFonts w:eastAsia="Calibri" w:cs="Arial"/>
          <w:sz w:val="22"/>
          <w:szCs w:val="22"/>
          <w:lang w:val="sl-SI"/>
        </w:rPr>
        <w:t>/</w:t>
      </w:r>
      <w:r>
        <w:rPr>
          <w:rFonts w:eastAsia="Calibri" w:cs="Arial"/>
          <w:sz w:val="22"/>
          <w:szCs w:val="22"/>
          <w:lang w:val="sl-SI"/>
        </w:rPr>
        <w:t>A3</w:t>
      </w:r>
      <w:r w:rsidR="00927CB2">
        <w:rPr>
          <w:rFonts w:eastAsia="Calibri" w:cs="Arial"/>
          <w:sz w:val="22"/>
          <w:szCs w:val="22"/>
          <w:lang w:val="sl-SI"/>
        </w:rPr>
        <w:t xml:space="preserve"> oziroma 8 po bonitetni lestvici </w:t>
      </w:r>
      <w:r w:rsidR="00927CB2" w:rsidRPr="000A4539">
        <w:rPr>
          <w:rFonts w:eastAsia="Calibri" w:cs="Arial"/>
          <w:sz w:val="22"/>
          <w:szCs w:val="22"/>
          <w:lang w:val="sl-SI"/>
        </w:rPr>
        <w:t>Ministrstva za finance</w:t>
      </w:r>
      <w:r w:rsidR="00927CB2">
        <w:rPr>
          <w:rFonts w:eastAsia="Calibri" w:cs="Arial"/>
          <w:sz w:val="22"/>
          <w:szCs w:val="22"/>
          <w:lang w:val="sl-SI"/>
        </w:rPr>
        <w:t xml:space="preserve">, kot je določeno v </w:t>
      </w:r>
      <w:r w:rsidR="00927CB2" w:rsidRPr="000A4539">
        <w:rPr>
          <w:rFonts w:eastAsia="Calibri" w:cs="Arial"/>
          <w:sz w:val="22"/>
          <w:szCs w:val="22"/>
          <w:lang w:val="sl-SI"/>
        </w:rPr>
        <w:t>prilog</w:t>
      </w:r>
      <w:r w:rsidR="00927CB2">
        <w:rPr>
          <w:rFonts w:eastAsia="Calibri" w:cs="Arial"/>
          <w:sz w:val="22"/>
          <w:szCs w:val="22"/>
          <w:lang w:val="sl-SI"/>
        </w:rPr>
        <w:t>i</w:t>
      </w:r>
      <w:r w:rsidR="00927CB2" w:rsidRPr="000A4539">
        <w:rPr>
          <w:rFonts w:eastAsia="Calibri" w:cs="Arial"/>
          <w:sz w:val="22"/>
          <w:szCs w:val="22"/>
          <w:lang w:val="sl-SI"/>
        </w:rPr>
        <w:t xml:space="preserve"> </w:t>
      </w:r>
      <w:r w:rsidR="00927CB2">
        <w:rPr>
          <w:rFonts w:eastAsia="Calibri" w:cs="Arial"/>
          <w:sz w:val="22"/>
          <w:szCs w:val="22"/>
          <w:lang w:val="sl-SI"/>
        </w:rPr>
        <w:t>Metodologije</w:t>
      </w:r>
      <w:r>
        <w:rPr>
          <w:rFonts w:eastAsia="Calibri" w:cs="Arial"/>
          <w:sz w:val="22"/>
          <w:szCs w:val="22"/>
          <w:lang w:val="sl-SI"/>
        </w:rPr>
        <w:t>.</w:t>
      </w:r>
    </w:p>
    <w:p w14:paraId="45BBA64B" w14:textId="35F97B32" w:rsidR="00E8676D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Če bonitetna ocena nasprotne stranke, v kateri so že naložena denarna sredstva sistema EZRD, pade pod postavljeno mejo, se izvede analiza možnosti izstopa iz naložbe ali držanja naložbe do zapadlosti. Nadaljnje ukrepanje</w:t>
      </w:r>
      <w:r w:rsidR="00927CB2">
        <w:rPr>
          <w:rFonts w:eastAsia="Calibri" w:cs="Arial"/>
          <w:sz w:val="22"/>
          <w:szCs w:val="22"/>
          <w:lang w:val="sl-SI"/>
        </w:rPr>
        <w:t xml:space="preserve"> upravljavca EZRD</w:t>
      </w:r>
      <w:r w:rsidRPr="000A4539">
        <w:rPr>
          <w:rFonts w:eastAsia="Calibri" w:cs="Arial"/>
          <w:sz w:val="22"/>
          <w:szCs w:val="22"/>
          <w:lang w:val="sl-SI"/>
        </w:rPr>
        <w:t xml:space="preserve"> temelji na rezultatih analize. </w:t>
      </w:r>
    </w:p>
    <w:p w14:paraId="060C4F25" w14:textId="2F1A3AC0" w:rsidR="00C07966" w:rsidRPr="000A4539" w:rsidRDefault="00C07966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Kriterij bonitetne ocene se ne ugotavlja za Banko Slovenije.</w:t>
      </w:r>
    </w:p>
    <w:p w14:paraId="3F17769E" w14:textId="4DCFB749" w:rsidR="00E51FBB" w:rsidRPr="0078024C" w:rsidRDefault="00E51FBB" w:rsidP="00367E77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Zavarovanje pri </w:t>
      </w:r>
      <w:r w:rsidR="0078024C">
        <w:rPr>
          <w:rFonts w:cs="Arial"/>
          <w:b/>
          <w:sz w:val="22"/>
          <w:szCs w:val="22"/>
          <w:lang w:val="sl-SI"/>
        </w:rPr>
        <w:t>repo</w:t>
      </w:r>
      <w:r>
        <w:rPr>
          <w:rFonts w:cs="Arial"/>
          <w:b/>
          <w:sz w:val="22"/>
          <w:szCs w:val="22"/>
          <w:lang w:val="sl-SI"/>
        </w:rPr>
        <w:t xml:space="preserve"> poslih</w:t>
      </w:r>
    </w:p>
    <w:p w14:paraId="43A3E48A" w14:textId="410D9617" w:rsidR="00DB79BF" w:rsidRDefault="00DB79BF" w:rsidP="00DB79BF">
      <w:pPr>
        <w:spacing w:after="200" w:line="276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</w:p>
    <w:p w14:paraId="234EBCE3" w14:textId="4CBB2D04" w:rsidR="00DB79BF" w:rsidRDefault="00B20CFA" w:rsidP="00DB79BF">
      <w:pPr>
        <w:spacing w:after="200" w:line="276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Pri</w:t>
      </w:r>
      <w:r w:rsidR="00DB79BF">
        <w:rPr>
          <w:rFonts w:eastAsia="Calibri" w:cs="Arial"/>
          <w:sz w:val="22"/>
          <w:szCs w:val="22"/>
          <w:lang w:val="sl-SI"/>
        </w:rPr>
        <w:t xml:space="preserve"> </w:t>
      </w:r>
      <w:r w:rsidR="0078024C">
        <w:rPr>
          <w:rFonts w:eastAsia="Calibri" w:cs="Arial"/>
          <w:sz w:val="22"/>
          <w:szCs w:val="22"/>
          <w:lang w:val="sl-SI"/>
        </w:rPr>
        <w:t>repo</w:t>
      </w:r>
      <w:r w:rsidR="00DB79BF">
        <w:rPr>
          <w:rFonts w:eastAsia="Calibri" w:cs="Arial"/>
          <w:sz w:val="22"/>
          <w:szCs w:val="22"/>
          <w:lang w:val="sl-SI"/>
        </w:rPr>
        <w:t xml:space="preserve"> posl</w:t>
      </w:r>
      <w:r>
        <w:rPr>
          <w:rFonts w:eastAsia="Calibri" w:cs="Arial"/>
          <w:sz w:val="22"/>
          <w:szCs w:val="22"/>
          <w:lang w:val="sl-SI"/>
        </w:rPr>
        <w:t xml:space="preserve">ih </w:t>
      </w:r>
      <w:r w:rsidR="00DB79BF">
        <w:rPr>
          <w:rFonts w:eastAsia="Calibri" w:cs="Arial"/>
          <w:sz w:val="22"/>
          <w:szCs w:val="22"/>
          <w:lang w:val="sl-SI"/>
        </w:rPr>
        <w:t xml:space="preserve">se za primerno zavarovanje štejejo </w:t>
      </w:r>
      <w:r w:rsidR="008D6027">
        <w:rPr>
          <w:rFonts w:eastAsia="Calibri" w:cs="Arial"/>
          <w:sz w:val="22"/>
          <w:szCs w:val="22"/>
          <w:lang w:val="sl-SI"/>
        </w:rPr>
        <w:t xml:space="preserve">dolžniški </w:t>
      </w:r>
      <w:r w:rsidR="00DB79BF">
        <w:rPr>
          <w:rFonts w:eastAsia="Calibri" w:cs="Arial"/>
          <w:sz w:val="22"/>
          <w:szCs w:val="22"/>
          <w:lang w:val="sl-SI"/>
        </w:rPr>
        <w:t>vrednostni papirji naslednjih izdajateljev:</w:t>
      </w:r>
    </w:p>
    <w:p w14:paraId="7B0C0DB6" w14:textId="683DD6F2" w:rsidR="00DB79BF" w:rsidRDefault="00DB79BF" w:rsidP="005C7705">
      <w:pPr>
        <w:pStyle w:val="Odstavekseznama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držav</w:t>
      </w:r>
      <w:r w:rsidR="00F37C3F">
        <w:rPr>
          <w:rFonts w:eastAsia="Calibri" w:cs="Arial"/>
          <w:sz w:val="22"/>
          <w:szCs w:val="22"/>
          <w:lang w:val="sl-SI"/>
        </w:rPr>
        <w:t xml:space="preserve"> EMU</w:t>
      </w:r>
      <w:r w:rsidR="00350DD5">
        <w:rPr>
          <w:rFonts w:eastAsia="Calibri" w:cs="Arial"/>
          <w:sz w:val="22"/>
          <w:szCs w:val="22"/>
          <w:lang w:val="sl-SI"/>
        </w:rPr>
        <w:t xml:space="preserve"> na centralni ravni</w:t>
      </w:r>
      <w:r w:rsidR="00646F81">
        <w:rPr>
          <w:rFonts w:eastAsia="Calibri" w:cs="Arial"/>
          <w:sz w:val="22"/>
          <w:szCs w:val="22"/>
          <w:lang w:val="sl-SI"/>
        </w:rPr>
        <w:t xml:space="preserve"> in</w:t>
      </w:r>
    </w:p>
    <w:p w14:paraId="32E991BF" w14:textId="09EF0430" w:rsidR="00DB79BF" w:rsidRDefault="00DB79BF" w:rsidP="005C7705">
      <w:pPr>
        <w:pStyle w:val="Odstavekseznama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nadnacionalnih institucij,</w:t>
      </w:r>
      <w:r w:rsidR="00350DD5">
        <w:rPr>
          <w:rFonts w:eastAsia="Calibri" w:cs="Arial"/>
          <w:sz w:val="22"/>
          <w:szCs w:val="22"/>
          <w:lang w:val="sl-SI"/>
        </w:rPr>
        <w:t xml:space="preserve"> katerih članice so države EMU</w:t>
      </w:r>
      <w:r w:rsidR="00646F81">
        <w:rPr>
          <w:rFonts w:eastAsia="Calibri" w:cs="Arial"/>
          <w:sz w:val="22"/>
          <w:szCs w:val="22"/>
          <w:lang w:val="sl-SI"/>
        </w:rPr>
        <w:t>.</w:t>
      </w:r>
    </w:p>
    <w:p w14:paraId="240D4CAA" w14:textId="5C8F7BEF" w:rsidR="005C7705" w:rsidRPr="000A4539" w:rsidRDefault="000D15B0" w:rsidP="005C7705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Najnižja bonitetna ocena izdajatelja vrednostnih papirjev znaša A-</w:t>
      </w:r>
      <w:r w:rsidR="004574AC">
        <w:rPr>
          <w:rFonts w:eastAsia="Calibri" w:cs="Arial"/>
          <w:sz w:val="22"/>
          <w:szCs w:val="22"/>
          <w:lang w:val="sl-SI"/>
        </w:rPr>
        <w:t>/</w:t>
      </w:r>
      <w:r>
        <w:rPr>
          <w:rFonts w:eastAsia="Calibri" w:cs="Arial"/>
          <w:sz w:val="22"/>
          <w:szCs w:val="22"/>
          <w:lang w:val="sl-SI"/>
        </w:rPr>
        <w:t>A3</w:t>
      </w:r>
      <w:r w:rsidR="004574AC">
        <w:rPr>
          <w:rFonts w:eastAsia="Calibri" w:cs="Arial"/>
          <w:sz w:val="22"/>
          <w:szCs w:val="22"/>
          <w:lang w:val="sl-SI"/>
        </w:rPr>
        <w:t xml:space="preserve"> oziroma 8 po bonitetni lestvici </w:t>
      </w:r>
      <w:r w:rsidR="004574AC" w:rsidRPr="000A4539">
        <w:rPr>
          <w:rFonts w:eastAsia="Calibri" w:cs="Arial"/>
          <w:sz w:val="22"/>
          <w:szCs w:val="22"/>
          <w:lang w:val="sl-SI"/>
        </w:rPr>
        <w:t>Ministrstva za finance</w:t>
      </w:r>
      <w:r w:rsidR="004574AC">
        <w:rPr>
          <w:rFonts w:eastAsia="Calibri" w:cs="Arial"/>
          <w:sz w:val="22"/>
          <w:szCs w:val="22"/>
          <w:lang w:val="sl-SI"/>
        </w:rPr>
        <w:t xml:space="preserve">, kot je določeno v </w:t>
      </w:r>
      <w:r w:rsidR="004574AC" w:rsidRPr="000A4539">
        <w:rPr>
          <w:rFonts w:eastAsia="Calibri" w:cs="Arial"/>
          <w:sz w:val="22"/>
          <w:szCs w:val="22"/>
          <w:lang w:val="sl-SI"/>
        </w:rPr>
        <w:t>prilog</w:t>
      </w:r>
      <w:r w:rsidR="004574AC">
        <w:rPr>
          <w:rFonts w:eastAsia="Calibri" w:cs="Arial"/>
          <w:sz w:val="22"/>
          <w:szCs w:val="22"/>
          <w:lang w:val="sl-SI"/>
        </w:rPr>
        <w:t>i</w:t>
      </w:r>
      <w:r w:rsidR="004574AC" w:rsidRPr="000A4539">
        <w:rPr>
          <w:rFonts w:eastAsia="Calibri" w:cs="Arial"/>
          <w:sz w:val="22"/>
          <w:szCs w:val="22"/>
          <w:lang w:val="sl-SI"/>
        </w:rPr>
        <w:t xml:space="preserve"> </w:t>
      </w:r>
      <w:r w:rsidR="004574AC">
        <w:rPr>
          <w:rFonts w:eastAsia="Calibri" w:cs="Arial"/>
          <w:sz w:val="22"/>
          <w:szCs w:val="22"/>
          <w:lang w:val="sl-SI"/>
        </w:rPr>
        <w:t>Metodologije</w:t>
      </w:r>
      <w:r>
        <w:rPr>
          <w:rFonts w:eastAsia="Calibri" w:cs="Arial"/>
          <w:sz w:val="22"/>
          <w:szCs w:val="22"/>
          <w:lang w:val="sl-SI"/>
        </w:rPr>
        <w:t>.</w:t>
      </w:r>
      <w:r w:rsidRPr="0078024C">
        <w:rPr>
          <w:lang w:val="sl-SI"/>
        </w:rPr>
        <w:t xml:space="preserve"> </w:t>
      </w:r>
      <w:r w:rsidR="0078024C" w:rsidRPr="00680560">
        <w:rPr>
          <w:rFonts w:eastAsia="Calibri" w:cs="Arial"/>
          <w:sz w:val="22"/>
          <w:szCs w:val="22"/>
          <w:lang w:val="sl-SI"/>
        </w:rPr>
        <w:t xml:space="preserve">Za bonitetno oceno se </w:t>
      </w:r>
      <w:r w:rsidR="000D033E">
        <w:rPr>
          <w:rFonts w:eastAsia="Calibri" w:cs="Arial"/>
          <w:sz w:val="22"/>
          <w:szCs w:val="22"/>
          <w:lang w:val="sl-SI"/>
        </w:rPr>
        <w:t xml:space="preserve">uporablja zunanje bonitetne ocene mednarodno uveljavljenih bonitetnih agencij </w:t>
      </w:r>
      <w:proofErr w:type="spellStart"/>
      <w:r w:rsidR="000D033E" w:rsidRPr="000A4539">
        <w:rPr>
          <w:rFonts w:eastAsia="Calibri" w:cs="Arial"/>
          <w:sz w:val="22"/>
          <w:szCs w:val="22"/>
          <w:lang w:val="sl-SI"/>
        </w:rPr>
        <w:t>Moody</w:t>
      </w:r>
      <w:r w:rsidR="000D033E">
        <w:rPr>
          <w:rFonts w:eastAsia="Calibri" w:cs="Arial"/>
          <w:sz w:val="22"/>
          <w:szCs w:val="22"/>
          <w:lang w:val="sl-SI"/>
        </w:rPr>
        <w:t>'</w:t>
      </w:r>
      <w:r w:rsidR="000D033E" w:rsidRPr="000A4539">
        <w:rPr>
          <w:rFonts w:eastAsia="Calibri" w:cs="Arial"/>
          <w:sz w:val="22"/>
          <w:szCs w:val="22"/>
          <w:lang w:val="sl-SI"/>
        </w:rPr>
        <w:t>s</w:t>
      </w:r>
      <w:proofErr w:type="spellEnd"/>
      <w:r w:rsidR="000D033E" w:rsidRPr="000A4539">
        <w:rPr>
          <w:rFonts w:eastAsia="Calibri" w:cs="Arial"/>
          <w:sz w:val="22"/>
          <w:szCs w:val="22"/>
          <w:lang w:val="sl-SI"/>
        </w:rPr>
        <w:t xml:space="preserve">, </w:t>
      </w:r>
      <w:proofErr w:type="spellStart"/>
      <w:r w:rsidR="000D033E" w:rsidRPr="000A4539">
        <w:rPr>
          <w:rFonts w:eastAsia="Calibri" w:cs="Arial"/>
          <w:sz w:val="22"/>
          <w:szCs w:val="22"/>
          <w:lang w:val="sl-SI"/>
        </w:rPr>
        <w:t>Fitch</w:t>
      </w:r>
      <w:proofErr w:type="spellEnd"/>
      <w:r w:rsidR="000D033E" w:rsidRPr="000A4539">
        <w:rPr>
          <w:rFonts w:eastAsia="Calibri" w:cs="Arial"/>
          <w:sz w:val="22"/>
          <w:szCs w:val="22"/>
          <w:lang w:val="sl-SI"/>
        </w:rPr>
        <w:t xml:space="preserve"> in S&amp;P</w:t>
      </w:r>
      <w:r w:rsidR="000D033E">
        <w:rPr>
          <w:rFonts w:eastAsia="Calibri" w:cs="Arial"/>
          <w:sz w:val="22"/>
          <w:szCs w:val="22"/>
          <w:lang w:val="sl-SI"/>
        </w:rPr>
        <w:t xml:space="preserve">. </w:t>
      </w:r>
      <w:r w:rsidR="005C7705">
        <w:rPr>
          <w:rFonts w:eastAsia="Calibri" w:cs="Arial"/>
          <w:sz w:val="22"/>
          <w:szCs w:val="22"/>
          <w:lang w:val="sl-SI"/>
        </w:rPr>
        <w:t>Pri nasprotni stranki, ki ima bonitetne ocene postavljene pri več bonitetnih agencijah, se določi povprečna bonitetna ocena</w:t>
      </w:r>
      <w:r w:rsidR="00B85A85">
        <w:rPr>
          <w:rFonts w:eastAsia="Calibri" w:cs="Arial"/>
          <w:sz w:val="22"/>
          <w:szCs w:val="22"/>
          <w:lang w:val="sl-SI"/>
        </w:rPr>
        <w:t>,</w:t>
      </w:r>
      <w:r w:rsidR="005C7705">
        <w:rPr>
          <w:rFonts w:eastAsia="Calibri" w:cs="Arial"/>
          <w:sz w:val="22"/>
          <w:szCs w:val="22"/>
          <w:lang w:val="sl-SI"/>
        </w:rPr>
        <w:t xml:space="preserve"> </w:t>
      </w:r>
      <w:r w:rsidR="005C7705" w:rsidRPr="00846E0E">
        <w:rPr>
          <w:rFonts w:eastAsia="Calibri" w:cs="Arial"/>
          <w:sz w:val="22"/>
          <w:szCs w:val="22"/>
          <w:lang w:val="sl-SI"/>
        </w:rPr>
        <w:t xml:space="preserve">kot je določeno v </w:t>
      </w:r>
      <w:r w:rsidR="004E1F75">
        <w:rPr>
          <w:rFonts w:eastAsia="Calibri" w:cs="Arial"/>
          <w:sz w:val="22"/>
          <w:szCs w:val="22"/>
          <w:lang w:val="sl-SI"/>
        </w:rPr>
        <w:t xml:space="preserve">prilogi </w:t>
      </w:r>
      <w:r w:rsidR="005C7705" w:rsidRPr="00846E0E">
        <w:rPr>
          <w:rFonts w:eastAsia="Calibri" w:cs="Arial"/>
          <w:sz w:val="22"/>
          <w:szCs w:val="22"/>
          <w:lang w:val="sl-SI"/>
        </w:rPr>
        <w:t>Metodologij</w:t>
      </w:r>
      <w:r w:rsidR="004E1F75">
        <w:rPr>
          <w:rFonts w:eastAsia="Calibri" w:cs="Arial"/>
          <w:sz w:val="22"/>
          <w:szCs w:val="22"/>
          <w:lang w:val="sl-SI"/>
        </w:rPr>
        <w:t>e</w:t>
      </w:r>
      <w:r w:rsidR="005C7705" w:rsidRPr="00846E0E">
        <w:rPr>
          <w:rFonts w:eastAsia="Calibri" w:cs="Arial"/>
          <w:sz w:val="22"/>
          <w:szCs w:val="22"/>
          <w:lang w:val="sl-SI"/>
        </w:rPr>
        <w:t>.</w:t>
      </w:r>
      <w:r w:rsidR="005C7705">
        <w:rPr>
          <w:rFonts w:eastAsia="Calibri" w:cs="Arial"/>
          <w:sz w:val="22"/>
          <w:szCs w:val="22"/>
          <w:lang w:val="sl-SI"/>
        </w:rPr>
        <w:t xml:space="preserve">  </w:t>
      </w:r>
    </w:p>
    <w:p w14:paraId="439DC4F5" w14:textId="77777777" w:rsidR="002D71E1" w:rsidRDefault="000D15B0" w:rsidP="00224B77">
      <w:pPr>
        <w:spacing w:after="200" w:line="276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Vrednostni papirji so </w:t>
      </w:r>
      <w:proofErr w:type="spellStart"/>
      <w:r>
        <w:rPr>
          <w:rFonts w:eastAsia="Calibri" w:cs="Arial"/>
          <w:sz w:val="22"/>
          <w:szCs w:val="22"/>
          <w:lang w:val="sl-SI"/>
        </w:rPr>
        <w:t>denominirani</w:t>
      </w:r>
      <w:proofErr w:type="spellEnd"/>
      <w:r>
        <w:rPr>
          <w:rFonts w:eastAsia="Calibri" w:cs="Arial"/>
          <w:sz w:val="22"/>
          <w:szCs w:val="22"/>
          <w:lang w:val="sl-SI"/>
        </w:rPr>
        <w:t xml:space="preserve"> v evrih.</w:t>
      </w:r>
    </w:p>
    <w:p w14:paraId="2A24C860" w14:textId="78828E66" w:rsidR="00224B77" w:rsidRDefault="00224B77" w:rsidP="00224B77">
      <w:pPr>
        <w:spacing w:after="200" w:line="276" w:lineRule="auto"/>
        <w:contextualSpacing/>
        <w:jc w:val="both"/>
        <w:rPr>
          <w:rFonts w:eastAsia="Calibri" w:cs="Arial"/>
          <w:sz w:val="22"/>
          <w:szCs w:val="22"/>
          <w:highlight w:val="green"/>
          <w:lang w:val="sl-SI"/>
        </w:rPr>
      </w:pPr>
      <w:r w:rsidRPr="00224B77">
        <w:rPr>
          <w:rFonts w:eastAsia="Calibri" w:cs="Arial"/>
          <w:sz w:val="22"/>
          <w:szCs w:val="22"/>
          <w:highlight w:val="green"/>
          <w:lang w:val="sl-SI"/>
        </w:rPr>
        <w:t xml:space="preserve"> </w:t>
      </w:r>
    </w:p>
    <w:p w14:paraId="0FCE9D5D" w14:textId="6B000207" w:rsidR="00224B77" w:rsidRDefault="002D71E1" w:rsidP="00224B77">
      <w:pPr>
        <w:spacing w:after="200" w:line="276" w:lineRule="auto"/>
        <w:jc w:val="both"/>
        <w:rPr>
          <w:rFonts w:eastAsia="Calibri" w:cs="Arial"/>
          <w:sz w:val="22"/>
          <w:szCs w:val="22"/>
          <w:highlight w:val="green"/>
          <w:lang w:val="sl-SI"/>
        </w:rPr>
      </w:pPr>
      <w:r>
        <w:rPr>
          <w:rFonts w:eastAsia="Calibri" w:cs="Arial"/>
          <w:sz w:val="22"/>
          <w:szCs w:val="22"/>
          <w:lang w:val="sl-SI"/>
        </w:rPr>
        <w:t>Zavarovanje repo posla ni možno z vrednostnimi papirji</w:t>
      </w:r>
      <w:r w:rsidR="002E21B4">
        <w:rPr>
          <w:rFonts w:eastAsia="Calibri" w:cs="Arial"/>
          <w:sz w:val="22"/>
          <w:szCs w:val="22"/>
          <w:lang w:val="sl-SI"/>
        </w:rPr>
        <w:t>, katerih izdajatelj je</w:t>
      </w:r>
      <w:r>
        <w:rPr>
          <w:rFonts w:eastAsia="Calibri" w:cs="Arial"/>
          <w:sz w:val="22"/>
          <w:szCs w:val="22"/>
          <w:lang w:val="sl-SI"/>
        </w:rPr>
        <w:t xml:space="preserve"> nasprotn</w:t>
      </w:r>
      <w:r w:rsidR="002E21B4">
        <w:rPr>
          <w:rFonts w:eastAsia="Calibri" w:cs="Arial"/>
          <w:sz w:val="22"/>
          <w:szCs w:val="22"/>
          <w:lang w:val="sl-SI"/>
        </w:rPr>
        <w:t>a</w:t>
      </w:r>
      <w:r>
        <w:rPr>
          <w:rFonts w:eastAsia="Calibri" w:cs="Arial"/>
          <w:sz w:val="22"/>
          <w:szCs w:val="22"/>
          <w:lang w:val="sl-SI"/>
        </w:rPr>
        <w:t xml:space="preserve"> strank</w:t>
      </w:r>
      <w:r w:rsidR="002E21B4">
        <w:rPr>
          <w:rFonts w:eastAsia="Calibri" w:cs="Arial"/>
          <w:sz w:val="22"/>
          <w:szCs w:val="22"/>
          <w:lang w:val="sl-SI"/>
        </w:rPr>
        <w:t>a</w:t>
      </w:r>
      <w:r w:rsidR="009149B0">
        <w:rPr>
          <w:rFonts w:eastAsia="Calibri" w:cs="Arial"/>
          <w:sz w:val="22"/>
          <w:szCs w:val="22"/>
          <w:lang w:val="sl-SI"/>
        </w:rPr>
        <w:t>.</w:t>
      </w:r>
      <w:r>
        <w:rPr>
          <w:rFonts w:eastAsia="Calibri" w:cs="Arial"/>
          <w:sz w:val="22"/>
          <w:szCs w:val="22"/>
          <w:lang w:val="sl-SI"/>
        </w:rPr>
        <w:t xml:space="preserve"> </w:t>
      </w:r>
    </w:p>
    <w:p w14:paraId="0CB8B77F" w14:textId="2DD66C12" w:rsidR="00224B77" w:rsidRDefault="00224B77" w:rsidP="00224B77">
      <w:pPr>
        <w:spacing w:after="200" w:line="276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224B77">
        <w:rPr>
          <w:rFonts w:eastAsia="Calibri" w:cs="Arial"/>
          <w:sz w:val="22"/>
          <w:szCs w:val="22"/>
          <w:lang w:val="sl-SI"/>
        </w:rPr>
        <w:t>Dolžniški vrednostni papirji držav EMU z bonitetno oceno, kot je določena v 9. točki</w:t>
      </w:r>
      <w:r w:rsidR="004E1F75">
        <w:rPr>
          <w:rFonts w:eastAsia="Calibri" w:cs="Arial"/>
          <w:sz w:val="22"/>
          <w:szCs w:val="22"/>
          <w:lang w:val="sl-SI"/>
        </w:rPr>
        <w:t xml:space="preserve"> te politike</w:t>
      </w:r>
      <w:r w:rsidRPr="00224B77">
        <w:rPr>
          <w:rFonts w:eastAsia="Calibri" w:cs="Arial"/>
          <w:sz w:val="22"/>
          <w:szCs w:val="22"/>
          <w:lang w:val="sl-SI"/>
        </w:rPr>
        <w:t>, in ki izpolnjujejo značilnosti iz 7. točke</w:t>
      </w:r>
      <w:r w:rsidR="004E1F75">
        <w:rPr>
          <w:rFonts w:eastAsia="Calibri" w:cs="Arial"/>
          <w:sz w:val="22"/>
          <w:szCs w:val="22"/>
          <w:lang w:val="sl-SI"/>
        </w:rPr>
        <w:t xml:space="preserve"> te politike</w:t>
      </w:r>
      <w:r w:rsidRPr="00224B77">
        <w:rPr>
          <w:rFonts w:eastAsia="Calibri" w:cs="Arial"/>
          <w:sz w:val="22"/>
          <w:szCs w:val="22"/>
          <w:lang w:val="sl-SI"/>
        </w:rPr>
        <w:t>, se v primeru neplačila nasprotne stranke pri repo poslu</w:t>
      </w:r>
      <w:r w:rsidR="00F4168C">
        <w:rPr>
          <w:rFonts w:eastAsia="Calibri" w:cs="Arial"/>
          <w:sz w:val="22"/>
          <w:szCs w:val="22"/>
          <w:lang w:val="sl-SI"/>
        </w:rPr>
        <w:t>,</w:t>
      </w:r>
      <w:r w:rsidRPr="00224B77">
        <w:rPr>
          <w:rFonts w:eastAsia="Calibri" w:cs="Arial"/>
          <w:sz w:val="22"/>
          <w:szCs w:val="22"/>
          <w:lang w:val="sl-SI"/>
        </w:rPr>
        <w:t xml:space="preserve"> </w:t>
      </w:r>
      <w:r w:rsidR="004F3935">
        <w:rPr>
          <w:rFonts w:eastAsia="Calibri" w:cs="Arial"/>
          <w:sz w:val="22"/>
          <w:szCs w:val="22"/>
          <w:lang w:val="sl-SI"/>
        </w:rPr>
        <w:t xml:space="preserve">lahko </w:t>
      </w:r>
      <w:r w:rsidRPr="00224B77">
        <w:rPr>
          <w:rFonts w:eastAsia="Calibri" w:cs="Arial"/>
          <w:sz w:val="22"/>
          <w:szCs w:val="22"/>
          <w:lang w:val="sl-SI"/>
        </w:rPr>
        <w:t>držijo do zapadlosti</w:t>
      </w:r>
      <w:r w:rsidR="003150DF">
        <w:rPr>
          <w:rFonts w:eastAsia="Calibri" w:cs="Arial"/>
          <w:sz w:val="22"/>
          <w:szCs w:val="22"/>
          <w:lang w:val="sl-SI"/>
        </w:rPr>
        <w:t xml:space="preserve"> vrednostnega papirja</w:t>
      </w:r>
      <w:r w:rsidRPr="00224B77">
        <w:rPr>
          <w:rFonts w:eastAsia="Calibri" w:cs="Arial"/>
          <w:sz w:val="22"/>
          <w:szCs w:val="22"/>
          <w:lang w:val="sl-SI"/>
        </w:rPr>
        <w:t>.</w:t>
      </w:r>
    </w:p>
    <w:p w14:paraId="256434AB" w14:textId="77777777" w:rsidR="00224B77" w:rsidRPr="00224B77" w:rsidRDefault="00224B77" w:rsidP="00224B77">
      <w:pPr>
        <w:spacing w:after="200" w:line="276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</w:p>
    <w:p w14:paraId="24228E85" w14:textId="77777777" w:rsidR="00E8676D" w:rsidRPr="000A4539" w:rsidRDefault="00E8676D" w:rsidP="00B8383D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Ročnost</w:t>
      </w:r>
      <w:r w:rsidRPr="000A4539">
        <w:rPr>
          <w:rFonts w:eastAsia="Calibri" w:cs="Arial"/>
          <w:b/>
          <w:sz w:val="22"/>
          <w:szCs w:val="22"/>
          <w:lang w:val="sl-SI"/>
        </w:rPr>
        <w:t xml:space="preserve"> naložb</w:t>
      </w:r>
    </w:p>
    <w:p w14:paraId="5CC23ED5" w14:textId="77777777" w:rsidR="00D07A96" w:rsidRPr="000A4539" w:rsidRDefault="00D07A96" w:rsidP="001500C2">
      <w:pPr>
        <w:spacing w:after="200" w:line="240" w:lineRule="auto"/>
        <w:ind w:left="720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6594A86E" w14:textId="6FEE42C5" w:rsidR="00BC7847" w:rsidRPr="00D01204" w:rsidRDefault="00BC7847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01204">
        <w:rPr>
          <w:rFonts w:eastAsia="Calibri" w:cs="Arial"/>
          <w:sz w:val="22"/>
          <w:szCs w:val="22"/>
          <w:lang w:val="sl-SI"/>
        </w:rPr>
        <w:t xml:space="preserve">Pri določanju ročnosti naložb se upošteva </w:t>
      </w:r>
      <w:r w:rsidR="00EB6192">
        <w:rPr>
          <w:rFonts w:eastAsia="Calibri" w:cs="Arial"/>
          <w:sz w:val="22"/>
          <w:szCs w:val="22"/>
          <w:lang w:val="sl-SI"/>
        </w:rPr>
        <w:t>projekcije</w:t>
      </w:r>
      <w:r w:rsidRPr="00D01204">
        <w:rPr>
          <w:rFonts w:eastAsia="Calibri" w:cs="Arial"/>
          <w:sz w:val="22"/>
          <w:szCs w:val="22"/>
          <w:lang w:val="sl-SI"/>
        </w:rPr>
        <w:t xml:space="preserve"> denarnih tokov</w:t>
      </w:r>
      <w:r w:rsidR="00EB6192">
        <w:rPr>
          <w:rFonts w:eastAsia="Calibri" w:cs="Arial"/>
          <w:sz w:val="22"/>
          <w:szCs w:val="22"/>
          <w:lang w:val="sl-SI"/>
        </w:rPr>
        <w:t xml:space="preserve"> sistema EZRD</w:t>
      </w:r>
      <w:r w:rsidRPr="00D01204">
        <w:rPr>
          <w:rFonts w:eastAsia="Calibri" w:cs="Arial"/>
          <w:sz w:val="22"/>
          <w:szCs w:val="22"/>
          <w:lang w:val="sl-SI"/>
        </w:rPr>
        <w:t xml:space="preserve">, pri čemer je </w:t>
      </w:r>
      <w:r w:rsidR="00E552BC">
        <w:rPr>
          <w:rFonts w:eastAsia="Calibri" w:cs="Arial"/>
          <w:sz w:val="22"/>
          <w:szCs w:val="22"/>
          <w:lang w:val="sl-SI"/>
        </w:rPr>
        <w:t xml:space="preserve">potrebno zagotoviti </w:t>
      </w:r>
      <w:r w:rsidRPr="00D01204">
        <w:rPr>
          <w:rFonts w:eastAsia="Calibri" w:cs="Arial"/>
          <w:sz w:val="22"/>
          <w:szCs w:val="22"/>
          <w:lang w:val="sl-SI"/>
        </w:rPr>
        <w:t xml:space="preserve">likvidnost sistema EZRD tako, da lahko subjekti, vključeni </w:t>
      </w:r>
      <w:r w:rsidRPr="00D01204">
        <w:rPr>
          <w:rFonts w:eastAsia="Calibri" w:cs="Arial"/>
          <w:sz w:val="22"/>
          <w:szCs w:val="22"/>
          <w:lang w:val="sl-SI"/>
        </w:rPr>
        <w:lastRenderedPageBreak/>
        <w:t>v sistem EZRD, v vsakem trenutku nemoteno izvršujejo svoja plačila in pridobivajo posojila</w:t>
      </w:r>
      <w:r w:rsidR="00367E77">
        <w:rPr>
          <w:rFonts w:eastAsia="Calibri" w:cs="Arial"/>
          <w:sz w:val="22"/>
          <w:szCs w:val="22"/>
          <w:lang w:val="sl-SI"/>
        </w:rPr>
        <w:t xml:space="preserve"> iz denarnih sredstev sistema EZRD</w:t>
      </w:r>
      <w:r w:rsidRPr="00D01204">
        <w:rPr>
          <w:rFonts w:eastAsia="Calibri" w:cs="Arial"/>
          <w:sz w:val="22"/>
          <w:szCs w:val="22"/>
          <w:lang w:val="sl-SI"/>
        </w:rPr>
        <w:t>.</w:t>
      </w:r>
    </w:p>
    <w:p w14:paraId="350617E6" w14:textId="740CB170" w:rsidR="000A03E3" w:rsidRDefault="000A03E3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01204">
        <w:rPr>
          <w:rFonts w:eastAsia="Calibri" w:cs="Arial"/>
          <w:sz w:val="22"/>
          <w:szCs w:val="22"/>
          <w:lang w:val="sl-SI"/>
        </w:rPr>
        <w:t xml:space="preserve">EZRD sledi usklajenosti ročnosti virov EZRD in naložb. Kljub temu se lahko </w:t>
      </w:r>
      <w:r w:rsidR="00850D52" w:rsidRPr="00D01204">
        <w:rPr>
          <w:rFonts w:eastAsia="Calibri" w:cs="Arial"/>
          <w:sz w:val="22"/>
          <w:szCs w:val="22"/>
          <w:lang w:val="sl-SI"/>
        </w:rPr>
        <w:t>del</w:t>
      </w:r>
      <w:r w:rsidRPr="00D01204">
        <w:rPr>
          <w:rFonts w:eastAsia="Calibri" w:cs="Arial"/>
          <w:sz w:val="22"/>
          <w:szCs w:val="22"/>
          <w:lang w:val="sl-SI"/>
        </w:rPr>
        <w:t xml:space="preserve"> stanj na podračunih in vlog subjektov, ki je konstanten in bistveno ne niha skozi daljše časovno obdobje, </w:t>
      </w:r>
      <w:r w:rsidR="00E552BC">
        <w:rPr>
          <w:rFonts w:eastAsia="Calibri" w:cs="Arial"/>
          <w:sz w:val="22"/>
          <w:szCs w:val="22"/>
          <w:lang w:val="sl-SI"/>
        </w:rPr>
        <w:t>nalaga</w:t>
      </w:r>
      <w:r w:rsidRPr="00D01204">
        <w:rPr>
          <w:rFonts w:eastAsia="Calibri" w:cs="Arial"/>
          <w:sz w:val="22"/>
          <w:szCs w:val="22"/>
          <w:lang w:val="sl-SI"/>
        </w:rPr>
        <w:t xml:space="preserve"> v naložbe</w:t>
      </w:r>
      <w:r w:rsidR="009E3BBD">
        <w:rPr>
          <w:rFonts w:eastAsia="Calibri" w:cs="Arial"/>
          <w:sz w:val="22"/>
          <w:szCs w:val="22"/>
          <w:lang w:val="sl-SI"/>
        </w:rPr>
        <w:t xml:space="preserve"> daljše ročnosti</w:t>
      </w:r>
      <w:r w:rsidR="00201F43">
        <w:rPr>
          <w:rFonts w:eastAsia="Calibri" w:cs="Arial"/>
          <w:sz w:val="22"/>
          <w:szCs w:val="22"/>
          <w:lang w:val="sl-SI"/>
        </w:rPr>
        <w:t>, vendar le</w:t>
      </w:r>
      <w:r w:rsidR="009E3BBD">
        <w:rPr>
          <w:rFonts w:eastAsia="Calibri" w:cs="Arial"/>
          <w:sz w:val="22"/>
          <w:szCs w:val="22"/>
          <w:lang w:val="sl-SI"/>
        </w:rPr>
        <w:t xml:space="preserve"> do treh let</w:t>
      </w:r>
      <w:r w:rsidRPr="00D01204">
        <w:rPr>
          <w:rFonts w:eastAsia="Calibri" w:cs="Arial"/>
          <w:sz w:val="22"/>
          <w:szCs w:val="22"/>
          <w:lang w:val="sl-SI"/>
        </w:rPr>
        <w:t>.</w:t>
      </w:r>
      <w:r>
        <w:rPr>
          <w:rFonts w:eastAsia="Calibri" w:cs="Arial"/>
          <w:sz w:val="22"/>
          <w:szCs w:val="22"/>
          <w:lang w:val="sl-SI"/>
        </w:rPr>
        <w:t xml:space="preserve"> </w:t>
      </w:r>
    </w:p>
    <w:p w14:paraId="55459D1D" w14:textId="09A3F168" w:rsidR="00E8676D" w:rsidRPr="000A4539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V primeru nepričakovanih izdatkov in drugih kratkoročnih likvidnostnih primanjkljajev se kratkotrajne primanjkljaje likvidnih sredstev pokrije z </w:t>
      </w:r>
      <w:r w:rsidR="00E552BC" w:rsidRPr="000A4539">
        <w:rPr>
          <w:rFonts w:eastAsia="Calibri" w:cs="Arial"/>
          <w:sz w:val="22"/>
          <w:szCs w:val="22"/>
          <w:lang w:val="sl-SI"/>
        </w:rPr>
        <w:t xml:space="preserve">odpoklici </w:t>
      </w:r>
      <w:r w:rsidR="00E552BC">
        <w:rPr>
          <w:rFonts w:eastAsia="Calibri" w:cs="Arial"/>
          <w:sz w:val="22"/>
          <w:szCs w:val="22"/>
          <w:lang w:val="sl-SI"/>
        </w:rPr>
        <w:t xml:space="preserve">naložb na odpoklic, </w:t>
      </w:r>
      <w:r w:rsidR="00E552BC" w:rsidRPr="000A4539">
        <w:rPr>
          <w:rFonts w:eastAsia="Calibri" w:cs="Arial"/>
          <w:sz w:val="22"/>
          <w:szCs w:val="22"/>
          <w:lang w:val="sl-SI"/>
        </w:rPr>
        <w:t xml:space="preserve">prodajo </w:t>
      </w:r>
      <w:r w:rsidR="00E552BC">
        <w:rPr>
          <w:rFonts w:eastAsia="Calibri" w:cs="Arial"/>
          <w:sz w:val="22"/>
          <w:szCs w:val="22"/>
          <w:lang w:val="sl-SI"/>
        </w:rPr>
        <w:t xml:space="preserve">kupljenih dolžniških vrednostih papirjev ali </w:t>
      </w:r>
      <w:r w:rsidRPr="000A4539">
        <w:rPr>
          <w:rFonts w:eastAsia="Calibri" w:cs="Arial"/>
          <w:sz w:val="22"/>
          <w:szCs w:val="22"/>
          <w:lang w:val="sl-SI"/>
        </w:rPr>
        <w:t>likvidnostn</w:t>
      </w:r>
      <w:r w:rsidR="00143E85">
        <w:rPr>
          <w:rFonts w:eastAsia="Calibri" w:cs="Arial"/>
          <w:sz w:val="22"/>
          <w:szCs w:val="22"/>
          <w:lang w:val="sl-SI"/>
        </w:rPr>
        <w:t>im zadolževanjem sistema EZRD</w:t>
      </w:r>
      <w:r w:rsidR="00000B4B">
        <w:rPr>
          <w:rFonts w:eastAsia="Calibri" w:cs="Arial"/>
          <w:sz w:val="22"/>
          <w:szCs w:val="22"/>
          <w:lang w:val="sl-SI"/>
        </w:rPr>
        <w:t xml:space="preserve"> pri bankah</w:t>
      </w:r>
      <w:r w:rsidR="002F4C76">
        <w:rPr>
          <w:rFonts w:eastAsia="Calibri" w:cs="Arial"/>
          <w:sz w:val="22"/>
          <w:szCs w:val="22"/>
          <w:lang w:val="sl-SI"/>
        </w:rPr>
        <w:t xml:space="preserve"> in hranilnicah</w:t>
      </w:r>
      <w:r w:rsidR="00EA1E6D">
        <w:rPr>
          <w:rFonts w:eastAsia="Calibri" w:cs="Arial"/>
          <w:sz w:val="22"/>
          <w:szCs w:val="22"/>
          <w:lang w:val="sl-SI"/>
        </w:rPr>
        <w:t xml:space="preserve">. </w:t>
      </w:r>
      <w:r w:rsidR="00DA3351">
        <w:rPr>
          <w:rFonts w:eastAsia="Calibri" w:cs="Arial"/>
          <w:sz w:val="22"/>
          <w:szCs w:val="22"/>
          <w:lang w:val="sl-SI"/>
        </w:rPr>
        <w:t>Primanjkljaj likvidnih sredstev se pokrije z najcenejšim virom.</w:t>
      </w:r>
    </w:p>
    <w:p w14:paraId="7A34F996" w14:textId="77777777" w:rsidR="00E8676D" w:rsidRPr="000A4539" w:rsidRDefault="00E8676D" w:rsidP="00B8383D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Valuta</w:t>
      </w:r>
      <w:r w:rsidRPr="000A4539">
        <w:rPr>
          <w:rFonts w:eastAsia="Calibri" w:cs="Arial"/>
          <w:b/>
          <w:sz w:val="22"/>
          <w:szCs w:val="22"/>
          <w:lang w:val="sl-SI"/>
        </w:rPr>
        <w:t xml:space="preserve"> naložb</w:t>
      </w:r>
    </w:p>
    <w:p w14:paraId="5D57E4D4" w14:textId="77777777" w:rsidR="00D07A96" w:rsidRPr="000A4539" w:rsidRDefault="00D07A96" w:rsidP="001500C2">
      <w:pPr>
        <w:spacing w:after="200" w:line="240" w:lineRule="auto"/>
        <w:ind w:left="720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6FD6F37B" w14:textId="7170D282" w:rsidR="003A2D03" w:rsidRPr="000A4539" w:rsidRDefault="001B4A16" w:rsidP="00367E77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Valuta naložb je enaka valuti virov naložb. </w:t>
      </w:r>
      <w:r w:rsidR="003421C6" w:rsidRPr="000A4539">
        <w:rPr>
          <w:rFonts w:eastAsia="Calibri" w:cs="Arial"/>
          <w:sz w:val="22"/>
          <w:szCs w:val="22"/>
          <w:lang w:val="sl-SI"/>
        </w:rPr>
        <w:t xml:space="preserve"> </w:t>
      </w:r>
    </w:p>
    <w:p w14:paraId="42316075" w14:textId="6BB3F4C5" w:rsidR="00E8676D" w:rsidRPr="000A4539" w:rsidRDefault="003A2D03" w:rsidP="00B8383D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Sklepanje</w:t>
      </w:r>
      <w:r w:rsidRPr="000A4539">
        <w:rPr>
          <w:rFonts w:eastAsia="Calibri" w:cs="Arial"/>
          <w:b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sz w:val="22"/>
          <w:szCs w:val="22"/>
          <w:lang w:val="sl-SI"/>
        </w:rPr>
        <w:t>poslov</w:t>
      </w:r>
    </w:p>
    <w:p w14:paraId="7B4E40EA" w14:textId="77777777" w:rsidR="00D07A96" w:rsidRPr="000A4539" w:rsidRDefault="00D07A96" w:rsidP="001500C2">
      <w:pPr>
        <w:spacing w:after="200" w:line="240" w:lineRule="auto"/>
        <w:ind w:left="720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41D5E1A" w14:textId="390DD4B5" w:rsidR="00FB768E" w:rsidRPr="000A4539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Naložbe v depozite pri bankah in hranilnicah, razen nočnih depozitov, se izvede preko avkcij.</w:t>
      </w:r>
      <w:r w:rsidR="00B63CDF" w:rsidRPr="000A4539">
        <w:rPr>
          <w:rFonts w:eastAsia="Calibri" w:cs="Arial"/>
          <w:sz w:val="22"/>
          <w:szCs w:val="22"/>
          <w:lang w:val="sl-SI"/>
        </w:rPr>
        <w:t xml:space="preserve"> </w:t>
      </w:r>
      <w:r w:rsidR="004E4F77" w:rsidRPr="004E4F77">
        <w:rPr>
          <w:rFonts w:eastAsia="Calibri" w:cs="Arial"/>
          <w:sz w:val="22"/>
          <w:szCs w:val="22"/>
          <w:lang w:val="sl-SI"/>
        </w:rPr>
        <w:t>Če</w:t>
      </w:r>
      <w:r w:rsidR="004A4A8D">
        <w:rPr>
          <w:rFonts w:eastAsia="Calibri" w:cs="Arial"/>
          <w:sz w:val="22"/>
          <w:szCs w:val="22"/>
          <w:lang w:val="sl-SI"/>
        </w:rPr>
        <w:t xml:space="preserve"> </w:t>
      </w:r>
      <w:r w:rsidR="004E4F77">
        <w:rPr>
          <w:rFonts w:eastAsia="Calibri" w:cs="Arial"/>
          <w:sz w:val="22"/>
          <w:szCs w:val="22"/>
          <w:lang w:val="sl-SI"/>
        </w:rPr>
        <w:t>avkcija</w:t>
      </w:r>
      <w:r w:rsidR="001B4A16">
        <w:rPr>
          <w:rFonts w:eastAsia="Calibri" w:cs="Arial"/>
          <w:sz w:val="22"/>
          <w:szCs w:val="22"/>
          <w:lang w:val="sl-SI"/>
        </w:rPr>
        <w:t xml:space="preserve"> depozita</w:t>
      </w:r>
      <w:r w:rsidR="004E4F77">
        <w:rPr>
          <w:rFonts w:eastAsia="Calibri" w:cs="Arial"/>
          <w:sz w:val="22"/>
          <w:szCs w:val="22"/>
          <w:lang w:val="sl-SI"/>
        </w:rPr>
        <w:t xml:space="preserve"> ni mogoča, </w:t>
      </w:r>
      <w:r w:rsidR="001B4A16">
        <w:rPr>
          <w:rFonts w:eastAsia="Calibri" w:cs="Arial"/>
          <w:sz w:val="22"/>
          <w:szCs w:val="22"/>
          <w:lang w:val="sl-SI"/>
        </w:rPr>
        <w:t>ker posamezno vrsto depozita ponuja le posamezna banka</w:t>
      </w:r>
      <w:r w:rsidR="000E63A1">
        <w:rPr>
          <w:rFonts w:eastAsia="Calibri" w:cs="Arial"/>
          <w:sz w:val="22"/>
          <w:szCs w:val="22"/>
          <w:lang w:val="sl-SI"/>
        </w:rPr>
        <w:t xml:space="preserve"> ali hranilnica</w:t>
      </w:r>
      <w:r w:rsidR="001B4A16">
        <w:rPr>
          <w:rFonts w:eastAsia="Calibri" w:cs="Arial"/>
          <w:sz w:val="22"/>
          <w:szCs w:val="22"/>
          <w:lang w:val="sl-SI"/>
        </w:rPr>
        <w:t xml:space="preserve">, </w:t>
      </w:r>
      <w:r w:rsidR="004E4F77">
        <w:rPr>
          <w:rFonts w:eastAsia="Calibri" w:cs="Arial"/>
          <w:sz w:val="22"/>
          <w:szCs w:val="22"/>
          <w:lang w:val="sl-SI"/>
        </w:rPr>
        <w:t xml:space="preserve">se posel sklene </w:t>
      </w:r>
      <w:r w:rsidR="00E731D0">
        <w:rPr>
          <w:rFonts w:eastAsia="Calibri" w:cs="Arial"/>
          <w:sz w:val="22"/>
          <w:szCs w:val="22"/>
          <w:lang w:val="sl-SI"/>
        </w:rPr>
        <w:t xml:space="preserve">neposredno z banko </w:t>
      </w:r>
      <w:r w:rsidR="00B46225">
        <w:rPr>
          <w:rFonts w:eastAsia="Calibri" w:cs="Arial"/>
          <w:sz w:val="22"/>
          <w:szCs w:val="22"/>
          <w:lang w:val="sl-SI"/>
        </w:rPr>
        <w:t>ali</w:t>
      </w:r>
      <w:r w:rsidR="00E731D0">
        <w:rPr>
          <w:rFonts w:eastAsia="Calibri" w:cs="Arial"/>
          <w:sz w:val="22"/>
          <w:szCs w:val="22"/>
          <w:lang w:val="sl-SI"/>
        </w:rPr>
        <w:t xml:space="preserve"> hranilnico</w:t>
      </w:r>
      <w:r w:rsidR="006637BE">
        <w:rPr>
          <w:rFonts w:eastAsia="Calibri" w:cs="Arial"/>
          <w:sz w:val="22"/>
          <w:szCs w:val="22"/>
          <w:lang w:val="sl-SI"/>
        </w:rPr>
        <w:t>, ki je ponudila tak</w:t>
      </w:r>
      <w:r w:rsidR="00B46225">
        <w:rPr>
          <w:rFonts w:eastAsia="Calibri" w:cs="Arial"/>
          <w:sz w:val="22"/>
          <w:szCs w:val="22"/>
          <w:lang w:val="sl-SI"/>
        </w:rPr>
        <w:t>šen</w:t>
      </w:r>
      <w:r w:rsidR="006637BE">
        <w:rPr>
          <w:rFonts w:eastAsia="Calibri" w:cs="Arial"/>
          <w:sz w:val="22"/>
          <w:szCs w:val="22"/>
          <w:lang w:val="sl-SI"/>
        </w:rPr>
        <w:t xml:space="preserve"> </w:t>
      </w:r>
      <w:r w:rsidR="00B46225">
        <w:rPr>
          <w:rFonts w:eastAsia="Calibri" w:cs="Arial"/>
          <w:sz w:val="22"/>
          <w:szCs w:val="22"/>
          <w:lang w:val="sl-SI"/>
        </w:rPr>
        <w:t>depozit</w:t>
      </w:r>
      <w:r w:rsidR="004E4F77">
        <w:rPr>
          <w:rFonts w:eastAsia="Calibri" w:cs="Arial"/>
          <w:sz w:val="22"/>
          <w:szCs w:val="22"/>
          <w:lang w:val="sl-SI"/>
        </w:rPr>
        <w:t xml:space="preserve">. </w:t>
      </w:r>
    </w:p>
    <w:p w14:paraId="75AFC01E" w14:textId="01754CD4" w:rsidR="00E8676D" w:rsidRPr="000A4539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Naložbe depozit</w:t>
      </w:r>
      <w:r w:rsidR="00D96F94">
        <w:rPr>
          <w:rFonts w:eastAsia="Calibri" w:cs="Arial"/>
          <w:sz w:val="22"/>
          <w:szCs w:val="22"/>
          <w:lang w:val="sl-SI"/>
        </w:rPr>
        <w:t>ov</w:t>
      </w:r>
      <w:r w:rsidRPr="000A4539">
        <w:rPr>
          <w:rFonts w:eastAsia="Calibri" w:cs="Arial"/>
          <w:sz w:val="22"/>
          <w:szCs w:val="22"/>
          <w:lang w:val="sl-SI"/>
        </w:rPr>
        <w:t xml:space="preserve"> </w:t>
      </w:r>
      <w:r w:rsidR="00446BED">
        <w:rPr>
          <w:rFonts w:eastAsia="Calibri" w:cs="Arial"/>
          <w:sz w:val="22"/>
          <w:szCs w:val="22"/>
          <w:lang w:val="sl-SI"/>
        </w:rPr>
        <w:t>v države</w:t>
      </w:r>
      <w:r w:rsidRPr="000A4539">
        <w:rPr>
          <w:rFonts w:eastAsia="Calibri" w:cs="Arial"/>
          <w:sz w:val="22"/>
          <w:szCs w:val="22"/>
          <w:lang w:val="sl-SI"/>
        </w:rPr>
        <w:t xml:space="preserve"> EMU se praviloma izvede z neposredno sklenitvijo </w:t>
      </w:r>
      <w:r w:rsidR="00B46225">
        <w:rPr>
          <w:rFonts w:eastAsia="Calibri" w:cs="Arial"/>
          <w:sz w:val="22"/>
          <w:szCs w:val="22"/>
          <w:lang w:val="sl-SI"/>
        </w:rPr>
        <w:t>depozita</w:t>
      </w:r>
      <w:r w:rsidRPr="000A4539">
        <w:rPr>
          <w:rFonts w:eastAsia="Calibri" w:cs="Arial"/>
          <w:sz w:val="22"/>
          <w:szCs w:val="22"/>
          <w:lang w:val="sl-SI"/>
        </w:rPr>
        <w:t xml:space="preserve"> z </w:t>
      </w:r>
      <w:r w:rsidR="00D21E98" w:rsidRPr="000A4539">
        <w:rPr>
          <w:rFonts w:eastAsia="Calibri" w:cs="Arial"/>
          <w:sz w:val="22"/>
          <w:szCs w:val="22"/>
          <w:lang w:val="sl-SI"/>
        </w:rPr>
        <w:t xml:space="preserve">državno </w:t>
      </w:r>
      <w:r w:rsidRPr="000A4539">
        <w:rPr>
          <w:rFonts w:eastAsia="Calibri" w:cs="Arial"/>
          <w:sz w:val="22"/>
          <w:szCs w:val="22"/>
          <w:lang w:val="sl-SI"/>
        </w:rPr>
        <w:t>zakladnico EMU, lahko pa tudi preko avkcij.</w:t>
      </w:r>
    </w:p>
    <w:p w14:paraId="638F8507" w14:textId="3BE12897" w:rsidR="0064272F" w:rsidRDefault="003A2D03" w:rsidP="0064272F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Nakupe </w:t>
      </w:r>
      <w:r w:rsidRPr="003A2D03">
        <w:rPr>
          <w:rFonts w:eastAsia="Calibri" w:cs="Arial"/>
          <w:sz w:val="22"/>
          <w:szCs w:val="22"/>
          <w:lang w:val="sl-SI"/>
        </w:rPr>
        <w:t>dolžniški</w:t>
      </w:r>
      <w:r>
        <w:rPr>
          <w:rFonts w:eastAsia="Calibri" w:cs="Arial"/>
          <w:sz w:val="22"/>
          <w:szCs w:val="22"/>
          <w:lang w:val="sl-SI"/>
        </w:rPr>
        <w:t>h</w:t>
      </w:r>
      <w:r w:rsidRPr="003A2D03">
        <w:rPr>
          <w:rFonts w:eastAsia="Calibri" w:cs="Arial"/>
          <w:sz w:val="22"/>
          <w:szCs w:val="22"/>
          <w:lang w:val="sl-SI"/>
        </w:rPr>
        <w:t xml:space="preserve"> vrednostni</w:t>
      </w:r>
      <w:r>
        <w:rPr>
          <w:rFonts w:eastAsia="Calibri" w:cs="Arial"/>
          <w:sz w:val="22"/>
          <w:szCs w:val="22"/>
          <w:lang w:val="sl-SI"/>
        </w:rPr>
        <w:t>h</w:t>
      </w:r>
      <w:r w:rsidRPr="003A2D03">
        <w:rPr>
          <w:rFonts w:eastAsia="Calibri" w:cs="Arial"/>
          <w:sz w:val="22"/>
          <w:szCs w:val="22"/>
          <w:lang w:val="sl-SI"/>
        </w:rPr>
        <w:t xml:space="preserve"> papir</w:t>
      </w:r>
      <w:r>
        <w:rPr>
          <w:rFonts w:eastAsia="Calibri" w:cs="Arial"/>
          <w:sz w:val="22"/>
          <w:szCs w:val="22"/>
          <w:lang w:val="sl-SI"/>
        </w:rPr>
        <w:t>jev</w:t>
      </w:r>
      <w:r w:rsidRPr="003A2D03">
        <w:rPr>
          <w:rFonts w:eastAsia="Calibri" w:cs="Arial"/>
          <w:sz w:val="22"/>
          <w:szCs w:val="22"/>
          <w:lang w:val="sl-SI"/>
        </w:rPr>
        <w:t xml:space="preserve"> in</w:t>
      </w:r>
      <w:r w:rsidR="00446BED">
        <w:rPr>
          <w:rFonts w:eastAsia="Calibri" w:cs="Arial"/>
          <w:sz w:val="22"/>
          <w:szCs w:val="22"/>
          <w:lang w:val="sl-SI"/>
        </w:rPr>
        <w:t xml:space="preserve"> </w:t>
      </w:r>
      <w:r w:rsidR="002D670B">
        <w:rPr>
          <w:rFonts w:eastAsia="Calibri" w:cs="Arial"/>
          <w:sz w:val="22"/>
          <w:szCs w:val="22"/>
          <w:lang w:val="sl-SI"/>
        </w:rPr>
        <w:t>repo</w:t>
      </w:r>
      <w:r w:rsidR="00F53336">
        <w:rPr>
          <w:rFonts w:eastAsia="Calibri" w:cs="Arial"/>
          <w:sz w:val="22"/>
          <w:szCs w:val="22"/>
          <w:lang w:val="sl-SI"/>
        </w:rPr>
        <w:t xml:space="preserve"> posl</w:t>
      </w:r>
      <w:r w:rsidR="002D670B">
        <w:rPr>
          <w:rFonts w:eastAsia="Calibri" w:cs="Arial"/>
          <w:sz w:val="22"/>
          <w:szCs w:val="22"/>
          <w:lang w:val="sl-SI"/>
        </w:rPr>
        <w:t>ov</w:t>
      </w:r>
      <w:r w:rsidRPr="003A2D03">
        <w:rPr>
          <w:rFonts w:eastAsia="Calibri" w:cs="Arial"/>
          <w:sz w:val="22"/>
          <w:szCs w:val="22"/>
          <w:lang w:val="sl-SI"/>
        </w:rPr>
        <w:t xml:space="preserve"> se izvede na podlagi kotacij</w:t>
      </w:r>
      <w:r>
        <w:rPr>
          <w:rFonts w:eastAsia="Calibri" w:cs="Arial"/>
          <w:sz w:val="22"/>
          <w:szCs w:val="22"/>
          <w:lang w:val="sl-SI"/>
        </w:rPr>
        <w:t>.</w:t>
      </w:r>
      <w:r w:rsidR="00E731D0">
        <w:rPr>
          <w:rFonts w:eastAsia="Calibri" w:cs="Arial"/>
          <w:sz w:val="22"/>
          <w:szCs w:val="22"/>
          <w:lang w:val="sl-SI"/>
        </w:rPr>
        <w:t xml:space="preserve"> </w:t>
      </w:r>
      <w:r w:rsidR="0064272F">
        <w:rPr>
          <w:rFonts w:eastAsia="Calibri" w:cs="Arial"/>
          <w:sz w:val="22"/>
          <w:szCs w:val="22"/>
          <w:lang w:val="sl-SI"/>
        </w:rPr>
        <w:t>Pridobiti je potrebno kotacije</w:t>
      </w:r>
      <w:r w:rsidR="0064272F" w:rsidRPr="000808A5">
        <w:rPr>
          <w:rFonts w:eastAsia="Calibri" w:cs="Arial"/>
          <w:sz w:val="22"/>
          <w:szCs w:val="22"/>
          <w:lang w:val="sl-SI"/>
        </w:rPr>
        <w:t xml:space="preserve"> </w:t>
      </w:r>
      <w:r w:rsidR="0064272F">
        <w:rPr>
          <w:rFonts w:eastAsia="Calibri" w:cs="Arial"/>
          <w:sz w:val="22"/>
          <w:szCs w:val="22"/>
          <w:lang w:val="sl-SI"/>
        </w:rPr>
        <w:t>vsaj</w:t>
      </w:r>
      <w:r w:rsidR="0064272F" w:rsidRPr="000808A5">
        <w:rPr>
          <w:rFonts w:eastAsia="Calibri" w:cs="Arial"/>
          <w:sz w:val="22"/>
          <w:szCs w:val="22"/>
          <w:lang w:val="sl-SI"/>
        </w:rPr>
        <w:t xml:space="preserve"> </w:t>
      </w:r>
      <w:r w:rsidR="0064272F">
        <w:rPr>
          <w:rFonts w:eastAsia="Calibri" w:cs="Arial"/>
          <w:sz w:val="22"/>
          <w:szCs w:val="22"/>
          <w:lang w:val="sl-SI"/>
        </w:rPr>
        <w:t>treh nasprotnih strank.</w:t>
      </w:r>
    </w:p>
    <w:p w14:paraId="24DA5256" w14:textId="6C2B6383" w:rsidR="00F33A7F" w:rsidRDefault="00E731D0" w:rsidP="00F33A7F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Če pridobitev kotacij </w:t>
      </w:r>
      <w:r w:rsidR="0064272F">
        <w:rPr>
          <w:rFonts w:eastAsia="Calibri" w:cs="Arial"/>
          <w:sz w:val="22"/>
          <w:szCs w:val="22"/>
          <w:lang w:val="sl-SI"/>
        </w:rPr>
        <w:t xml:space="preserve">za posamezno vrsto repo posla ni mogoča, ker takšno vrsto repo posla ponuja le posamezna nasprotna stranka, </w:t>
      </w:r>
      <w:r>
        <w:rPr>
          <w:rFonts w:eastAsia="Calibri" w:cs="Arial"/>
          <w:sz w:val="22"/>
          <w:szCs w:val="22"/>
          <w:lang w:val="sl-SI"/>
        </w:rPr>
        <w:t>se posel sklene neposredno z nasprotno stranko</w:t>
      </w:r>
      <w:r w:rsidR="00B46225">
        <w:rPr>
          <w:rFonts w:eastAsia="Calibri" w:cs="Arial"/>
          <w:sz w:val="22"/>
          <w:szCs w:val="22"/>
          <w:lang w:val="sl-SI"/>
        </w:rPr>
        <w:t>, ki je ponudila takšen posel</w:t>
      </w:r>
      <w:r>
        <w:rPr>
          <w:rFonts w:eastAsia="Calibri" w:cs="Arial"/>
          <w:sz w:val="22"/>
          <w:szCs w:val="22"/>
          <w:lang w:val="sl-SI"/>
        </w:rPr>
        <w:t xml:space="preserve">. </w:t>
      </w:r>
      <w:r w:rsidR="00F33A7F">
        <w:rPr>
          <w:rFonts w:eastAsia="Calibri" w:cs="Arial"/>
          <w:sz w:val="22"/>
          <w:szCs w:val="22"/>
          <w:lang w:val="sl-SI"/>
        </w:rPr>
        <w:t>Posle se poravna na DVP način.</w:t>
      </w:r>
    </w:p>
    <w:p w14:paraId="248A710A" w14:textId="7127CEBF" w:rsidR="009117E2" w:rsidRDefault="009117E2" w:rsidP="009117E2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Depozitni posli z Banko Slovenije se sklepajo </w:t>
      </w:r>
      <w:r>
        <w:rPr>
          <w:rFonts w:eastAsia="Calibri" w:cs="Arial"/>
          <w:sz w:val="22"/>
          <w:szCs w:val="22"/>
          <w:lang w:val="sl-SI"/>
        </w:rPr>
        <w:t>na podlagi kotacije</w:t>
      </w:r>
      <w:r w:rsidRPr="000A4539">
        <w:rPr>
          <w:rFonts w:eastAsia="Calibri" w:cs="Arial"/>
          <w:sz w:val="22"/>
          <w:szCs w:val="22"/>
          <w:lang w:val="sl-SI"/>
        </w:rPr>
        <w:t xml:space="preserve">. </w:t>
      </w:r>
    </w:p>
    <w:p w14:paraId="11131946" w14:textId="2A890C75" w:rsidR="00E8676D" w:rsidRPr="000A4539" w:rsidRDefault="00E8676D" w:rsidP="00B8383D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Obrestne</w:t>
      </w:r>
      <w:r w:rsidRPr="000A4539">
        <w:rPr>
          <w:rFonts w:eastAsia="Calibri" w:cs="Arial"/>
          <w:b/>
          <w:sz w:val="22"/>
          <w:szCs w:val="22"/>
          <w:lang w:val="sl-SI"/>
        </w:rPr>
        <w:t xml:space="preserve"> mere </w:t>
      </w:r>
    </w:p>
    <w:p w14:paraId="24BD4B01" w14:textId="77777777" w:rsidR="00D07A96" w:rsidRPr="000A4539" w:rsidRDefault="00D07A96" w:rsidP="001500C2">
      <w:pPr>
        <w:spacing w:after="200" w:line="240" w:lineRule="auto"/>
        <w:ind w:left="720"/>
        <w:contextualSpacing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CF31E2A" w14:textId="132612A4" w:rsidR="00E8676D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Zasleduje se cilj čim višjih obrestnih mer ob sprejemljivih tveganjih</w:t>
      </w:r>
      <w:r w:rsidR="00580365">
        <w:rPr>
          <w:rFonts w:eastAsia="Calibri" w:cs="Arial"/>
          <w:sz w:val="22"/>
          <w:szCs w:val="22"/>
          <w:lang w:val="sl-SI"/>
        </w:rPr>
        <w:t xml:space="preserve"> znotraj </w:t>
      </w:r>
      <w:r w:rsidR="000B747C">
        <w:rPr>
          <w:rFonts w:eastAsia="Calibri" w:cs="Arial"/>
          <w:sz w:val="22"/>
          <w:szCs w:val="22"/>
          <w:lang w:val="sl-SI"/>
        </w:rPr>
        <w:t>ciljne ročnosti</w:t>
      </w:r>
      <w:r w:rsidR="00FB768E" w:rsidRPr="000A4539">
        <w:rPr>
          <w:rFonts w:eastAsia="Calibri" w:cs="Arial"/>
          <w:sz w:val="22"/>
          <w:szCs w:val="22"/>
          <w:lang w:val="sl-SI"/>
        </w:rPr>
        <w:t>.</w:t>
      </w:r>
    </w:p>
    <w:p w14:paraId="06C5D26D" w14:textId="5C87818D" w:rsidR="00E8676D" w:rsidRPr="000A4539" w:rsidRDefault="005F507A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Na avkcijah imajo v </w:t>
      </w:r>
      <w:r w:rsidR="00E8676D" w:rsidRPr="000A4539">
        <w:rPr>
          <w:rFonts w:eastAsia="Calibri" w:cs="Arial"/>
          <w:sz w:val="22"/>
          <w:szCs w:val="22"/>
          <w:lang w:val="sl-SI"/>
        </w:rPr>
        <w:t>primeru enakih obrestnih mer prednost nasprotn</w:t>
      </w:r>
      <w:r w:rsidR="00FB293F">
        <w:rPr>
          <w:rFonts w:eastAsia="Calibri" w:cs="Arial"/>
          <w:sz w:val="22"/>
          <w:szCs w:val="22"/>
          <w:lang w:val="sl-SI"/>
        </w:rPr>
        <w:t>e</w:t>
      </w:r>
      <w:r w:rsidR="00E8676D" w:rsidRPr="000A4539">
        <w:rPr>
          <w:rFonts w:eastAsia="Calibri" w:cs="Arial"/>
          <w:sz w:val="22"/>
          <w:szCs w:val="22"/>
          <w:lang w:val="sl-SI"/>
        </w:rPr>
        <w:t xml:space="preserve"> strank</w:t>
      </w:r>
      <w:r w:rsidR="00FB293F">
        <w:rPr>
          <w:rFonts w:eastAsia="Calibri" w:cs="Arial"/>
          <w:sz w:val="22"/>
          <w:szCs w:val="22"/>
          <w:lang w:val="sl-SI"/>
        </w:rPr>
        <w:t>e</w:t>
      </w:r>
      <w:r w:rsidR="00E8676D" w:rsidRPr="000A4539">
        <w:rPr>
          <w:rFonts w:eastAsia="Calibri" w:cs="Arial"/>
          <w:sz w:val="22"/>
          <w:szCs w:val="22"/>
          <w:lang w:val="sl-SI"/>
        </w:rPr>
        <w:t xml:space="preserve"> z višjo bonitetno oceno. V primeru </w:t>
      </w:r>
      <w:r w:rsidR="002D670B" w:rsidRPr="000A4539">
        <w:rPr>
          <w:rFonts w:eastAsia="Calibri" w:cs="Arial"/>
          <w:sz w:val="22"/>
          <w:szCs w:val="22"/>
          <w:lang w:val="sl-SI"/>
        </w:rPr>
        <w:t xml:space="preserve">enakih obrestnih mer </w:t>
      </w:r>
      <w:r w:rsidR="002D670B">
        <w:rPr>
          <w:rFonts w:eastAsia="Calibri" w:cs="Arial"/>
          <w:sz w:val="22"/>
          <w:szCs w:val="22"/>
          <w:lang w:val="sl-SI"/>
        </w:rPr>
        <w:t xml:space="preserve">in </w:t>
      </w:r>
      <w:r w:rsidR="00E8676D" w:rsidRPr="000A4539">
        <w:rPr>
          <w:rFonts w:eastAsia="Calibri" w:cs="Arial"/>
          <w:sz w:val="22"/>
          <w:szCs w:val="22"/>
          <w:lang w:val="sl-SI"/>
        </w:rPr>
        <w:t xml:space="preserve">enake bonitetne ocene </w:t>
      </w:r>
      <w:r w:rsidR="00ED55A0">
        <w:rPr>
          <w:rFonts w:eastAsia="Calibri" w:cs="Arial"/>
          <w:sz w:val="22"/>
          <w:szCs w:val="22"/>
          <w:lang w:val="sl-SI"/>
        </w:rPr>
        <w:t>i</w:t>
      </w:r>
      <w:r w:rsidR="00E8676D" w:rsidRPr="000A4539">
        <w:rPr>
          <w:rFonts w:eastAsia="Calibri" w:cs="Arial"/>
          <w:sz w:val="22"/>
          <w:szCs w:val="22"/>
          <w:lang w:val="sl-SI"/>
        </w:rPr>
        <w:t>majo prednost nasprotn</w:t>
      </w:r>
      <w:r w:rsidR="00FB293F">
        <w:rPr>
          <w:rFonts w:eastAsia="Calibri" w:cs="Arial"/>
          <w:sz w:val="22"/>
          <w:szCs w:val="22"/>
          <w:lang w:val="sl-SI"/>
        </w:rPr>
        <w:t>e</w:t>
      </w:r>
      <w:r w:rsidR="00E8676D" w:rsidRPr="000A4539">
        <w:rPr>
          <w:rFonts w:eastAsia="Calibri" w:cs="Arial"/>
          <w:sz w:val="22"/>
          <w:szCs w:val="22"/>
          <w:lang w:val="sl-SI"/>
        </w:rPr>
        <w:t xml:space="preserve"> strank</w:t>
      </w:r>
      <w:r w:rsidR="00FB293F">
        <w:rPr>
          <w:rFonts w:eastAsia="Calibri" w:cs="Arial"/>
          <w:sz w:val="22"/>
          <w:szCs w:val="22"/>
          <w:lang w:val="sl-SI"/>
        </w:rPr>
        <w:t>e</w:t>
      </w:r>
      <w:r w:rsidR="00E8676D" w:rsidRPr="000A4539">
        <w:rPr>
          <w:rFonts w:eastAsia="Calibri" w:cs="Arial"/>
          <w:sz w:val="22"/>
          <w:szCs w:val="22"/>
          <w:lang w:val="sl-SI"/>
        </w:rPr>
        <w:t>, ki imajo boljšo napoved</w:t>
      </w:r>
      <w:r w:rsidR="003D7EEF">
        <w:rPr>
          <w:rFonts w:eastAsia="Calibri" w:cs="Arial"/>
          <w:sz w:val="22"/>
          <w:szCs w:val="22"/>
          <w:lang w:val="sl-SI"/>
        </w:rPr>
        <w:t xml:space="preserve"> (Outlook)</w:t>
      </w:r>
      <w:r w:rsidR="00E8676D" w:rsidRPr="000A4539">
        <w:rPr>
          <w:rFonts w:eastAsia="Calibri" w:cs="Arial"/>
          <w:sz w:val="22"/>
          <w:szCs w:val="22"/>
          <w:lang w:val="sl-SI"/>
        </w:rPr>
        <w:t xml:space="preserve"> bonitetnih agencij. Če je enaka tudi napoved bonitetnih agencij, se </w:t>
      </w:r>
      <w:r w:rsidR="00744240">
        <w:rPr>
          <w:rFonts w:eastAsia="Calibri" w:cs="Arial"/>
          <w:sz w:val="22"/>
          <w:szCs w:val="22"/>
          <w:lang w:val="sl-SI"/>
        </w:rPr>
        <w:t>naložba</w:t>
      </w:r>
      <w:r w:rsidR="00744240" w:rsidRPr="000A4539">
        <w:rPr>
          <w:rFonts w:eastAsia="Calibri" w:cs="Arial"/>
          <w:sz w:val="22"/>
          <w:szCs w:val="22"/>
          <w:lang w:val="sl-SI"/>
        </w:rPr>
        <w:t xml:space="preserve"> </w:t>
      </w:r>
      <w:r w:rsidR="00E8676D" w:rsidRPr="000A4539">
        <w:rPr>
          <w:rFonts w:eastAsia="Calibri" w:cs="Arial"/>
          <w:sz w:val="22"/>
          <w:szCs w:val="22"/>
          <w:lang w:val="sl-SI"/>
        </w:rPr>
        <w:t xml:space="preserve">razdeli med nasprotne stranke </w:t>
      </w:r>
      <w:r w:rsidR="0046362F">
        <w:rPr>
          <w:rFonts w:eastAsia="Calibri" w:cs="Arial"/>
          <w:sz w:val="22"/>
          <w:szCs w:val="22"/>
          <w:lang w:val="sl-SI"/>
        </w:rPr>
        <w:t>proporcionalno glede na ponujen znesek</w:t>
      </w:r>
      <w:r w:rsidR="00F242FC">
        <w:rPr>
          <w:rFonts w:eastAsia="Calibri" w:cs="Arial"/>
          <w:sz w:val="22"/>
          <w:szCs w:val="22"/>
          <w:lang w:val="sl-SI"/>
        </w:rPr>
        <w:t>.</w:t>
      </w:r>
    </w:p>
    <w:p w14:paraId="4A881848" w14:textId="77777777" w:rsidR="00D07A96" w:rsidRDefault="00E8676D" w:rsidP="001500C2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Merila</w:t>
      </w:r>
      <w:r w:rsidRPr="000A4539">
        <w:rPr>
          <w:rFonts w:eastAsia="Calibri" w:cs="Arial"/>
          <w:b/>
          <w:sz w:val="22"/>
          <w:szCs w:val="22"/>
          <w:lang w:val="sl-SI"/>
        </w:rPr>
        <w:t xml:space="preserve"> uspešnosti</w:t>
      </w:r>
    </w:p>
    <w:p w14:paraId="62185720" w14:textId="77777777" w:rsidR="001500C2" w:rsidRPr="001500C2" w:rsidRDefault="001500C2" w:rsidP="001500C2">
      <w:pPr>
        <w:tabs>
          <w:tab w:val="left" w:pos="284"/>
          <w:tab w:val="left" w:pos="426"/>
        </w:tabs>
        <w:jc w:val="both"/>
        <w:rPr>
          <w:rFonts w:eastAsia="Calibri" w:cs="Arial"/>
          <w:b/>
          <w:sz w:val="22"/>
          <w:szCs w:val="22"/>
          <w:lang w:val="sl-SI"/>
        </w:rPr>
      </w:pPr>
    </w:p>
    <w:p w14:paraId="5AD33FB7" w14:textId="77777777" w:rsidR="00E8676D" w:rsidRPr="000A4539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Merila za ugotavljanje uspešnosti naložb denarnih sredstev sistema EZRD so: </w:t>
      </w:r>
    </w:p>
    <w:p w14:paraId="75402831" w14:textId="41729618" w:rsidR="00E8676D" w:rsidRPr="000A4539" w:rsidRDefault="003D7EEF" w:rsidP="009E3BBD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letni </w:t>
      </w:r>
      <w:r w:rsidR="00E8676D" w:rsidRPr="000A4539">
        <w:rPr>
          <w:rFonts w:eastAsia="Calibri" w:cs="Arial"/>
          <w:sz w:val="22"/>
          <w:szCs w:val="22"/>
          <w:lang w:val="sl-SI"/>
        </w:rPr>
        <w:t>presežek iz upravljanja</w:t>
      </w:r>
      <w:r w:rsidR="00F01504">
        <w:rPr>
          <w:rFonts w:eastAsia="Calibri" w:cs="Arial"/>
          <w:sz w:val="22"/>
          <w:szCs w:val="22"/>
          <w:lang w:val="sl-SI"/>
        </w:rPr>
        <w:t xml:space="preserve"> denarnih sredstev sistema EZRD,</w:t>
      </w:r>
    </w:p>
    <w:p w14:paraId="5DF326E1" w14:textId="77777777" w:rsidR="000816C6" w:rsidRDefault="009371E8" w:rsidP="009E3BBD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lastRenderedPageBreak/>
        <w:t xml:space="preserve">razmik/količnik </w:t>
      </w:r>
      <w:r w:rsidR="00E8676D" w:rsidRPr="000A4539">
        <w:rPr>
          <w:rFonts w:eastAsia="Calibri" w:cs="Arial"/>
          <w:sz w:val="22"/>
          <w:szCs w:val="22"/>
          <w:lang w:val="sl-SI"/>
        </w:rPr>
        <w:t xml:space="preserve">med donosnostjo sklenjenih </w:t>
      </w:r>
      <w:r w:rsidR="00302C13">
        <w:rPr>
          <w:rFonts w:eastAsia="Calibri" w:cs="Arial"/>
          <w:sz w:val="22"/>
          <w:szCs w:val="22"/>
          <w:lang w:val="sl-SI"/>
        </w:rPr>
        <w:t>naložbenih</w:t>
      </w:r>
      <w:r w:rsidR="00302C13" w:rsidRPr="000A4539">
        <w:rPr>
          <w:rFonts w:eastAsia="Calibri" w:cs="Arial"/>
          <w:sz w:val="22"/>
          <w:szCs w:val="22"/>
          <w:lang w:val="sl-SI"/>
        </w:rPr>
        <w:t xml:space="preserve"> </w:t>
      </w:r>
      <w:r w:rsidR="00E8676D" w:rsidRPr="000A4539">
        <w:rPr>
          <w:rFonts w:eastAsia="Calibri" w:cs="Arial"/>
          <w:sz w:val="22"/>
          <w:szCs w:val="22"/>
          <w:lang w:val="sl-SI"/>
        </w:rPr>
        <w:t xml:space="preserve">poslov in </w:t>
      </w:r>
      <w:r w:rsidR="00302C13">
        <w:rPr>
          <w:rFonts w:eastAsia="Calibri" w:cs="Arial"/>
          <w:sz w:val="22"/>
          <w:szCs w:val="22"/>
          <w:lang w:val="sl-SI"/>
        </w:rPr>
        <w:t xml:space="preserve">ustrezno </w:t>
      </w:r>
      <w:r w:rsidR="0019774A" w:rsidRPr="000A4539">
        <w:rPr>
          <w:rFonts w:eastAsia="Calibri" w:cs="Arial"/>
          <w:sz w:val="22"/>
          <w:szCs w:val="22"/>
          <w:lang w:val="sl-SI"/>
        </w:rPr>
        <w:t xml:space="preserve">referenčno obrestno mero </w:t>
      </w:r>
      <w:r w:rsidR="00E8676D" w:rsidRPr="000A4539">
        <w:rPr>
          <w:rFonts w:eastAsia="Calibri" w:cs="Arial"/>
          <w:sz w:val="22"/>
          <w:szCs w:val="22"/>
          <w:lang w:val="sl-SI"/>
        </w:rPr>
        <w:t>primerljive ročnosti v določenem obdobju</w:t>
      </w:r>
      <w:r w:rsidR="000816C6">
        <w:rPr>
          <w:rFonts w:eastAsia="Calibri" w:cs="Arial"/>
          <w:sz w:val="22"/>
          <w:szCs w:val="22"/>
          <w:lang w:val="sl-SI"/>
        </w:rPr>
        <w:t>,</w:t>
      </w:r>
    </w:p>
    <w:p w14:paraId="5C477DB9" w14:textId="46EFF624" w:rsidR="005F507A" w:rsidRDefault="001C3767" w:rsidP="009E3BBD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razmik </w:t>
      </w:r>
      <w:r w:rsidR="000816C6" w:rsidRPr="000A4539">
        <w:rPr>
          <w:rFonts w:eastAsia="Calibri" w:cs="Arial"/>
          <w:sz w:val="22"/>
          <w:szCs w:val="22"/>
          <w:lang w:val="sl-SI"/>
        </w:rPr>
        <w:t xml:space="preserve">med </w:t>
      </w:r>
      <w:r w:rsidR="00920ADA">
        <w:rPr>
          <w:rFonts w:eastAsia="Calibri" w:cs="Arial"/>
          <w:sz w:val="22"/>
          <w:szCs w:val="22"/>
          <w:lang w:val="sl-SI"/>
        </w:rPr>
        <w:t xml:space="preserve">dvoletno </w:t>
      </w:r>
      <w:r w:rsidR="004A4A8D">
        <w:rPr>
          <w:rFonts w:eastAsia="Calibri" w:cs="Arial"/>
          <w:sz w:val="22"/>
          <w:szCs w:val="22"/>
          <w:lang w:val="sl-SI"/>
        </w:rPr>
        <w:t>kumulativno</w:t>
      </w:r>
      <w:r w:rsidR="00920ADA">
        <w:rPr>
          <w:rFonts w:eastAsia="Calibri" w:cs="Arial"/>
          <w:sz w:val="22"/>
          <w:szCs w:val="22"/>
          <w:lang w:val="sl-SI"/>
        </w:rPr>
        <w:t xml:space="preserve"> </w:t>
      </w:r>
      <w:r w:rsidR="000816C6" w:rsidRPr="000A4539">
        <w:rPr>
          <w:rFonts w:eastAsia="Calibri" w:cs="Arial"/>
          <w:sz w:val="22"/>
          <w:szCs w:val="22"/>
          <w:lang w:val="sl-SI"/>
        </w:rPr>
        <w:t xml:space="preserve">donosnostjo </w:t>
      </w:r>
      <w:r w:rsidR="00920ADA">
        <w:rPr>
          <w:rFonts w:eastAsia="Calibri" w:cs="Arial"/>
          <w:sz w:val="22"/>
          <w:szCs w:val="22"/>
          <w:lang w:val="sl-SI"/>
        </w:rPr>
        <w:t>naloženih sredstev</w:t>
      </w:r>
      <w:r w:rsidR="000816C6">
        <w:rPr>
          <w:rFonts w:eastAsia="Calibri" w:cs="Arial"/>
          <w:sz w:val="22"/>
          <w:szCs w:val="22"/>
          <w:lang w:val="sl-SI"/>
        </w:rPr>
        <w:t xml:space="preserve"> in </w:t>
      </w:r>
      <w:r w:rsidR="00920ADA">
        <w:rPr>
          <w:rFonts w:eastAsia="Calibri" w:cs="Arial"/>
          <w:sz w:val="22"/>
          <w:szCs w:val="22"/>
          <w:lang w:val="sl-SI"/>
        </w:rPr>
        <w:t>dvoletno k</w:t>
      </w:r>
      <w:r w:rsidR="004A4A8D">
        <w:rPr>
          <w:rFonts w:eastAsia="Calibri" w:cs="Arial"/>
          <w:sz w:val="22"/>
          <w:szCs w:val="22"/>
          <w:lang w:val="sl-SI"/>
        </w:rPr>
        <w:t>u</w:t>
      </w:r>
      <w:r w:rsidR="00920ADA">
        <w:rPr>
          <w:rFonts w:eastAsia="Calibri" w:cs="Arial"/>
          <w:sz w:val="22"/>
          <w:szCs w:val="22"/>
          <w:lang w:val="sl-SI"/>
        </w:rPr>
        <w:t xml:space="preserve">mulativno </w:t>
      </w:r>
      <w:r>
        <w:rPr>
          <w:rFonts w:eastAsia="Calibri" w:cs="Arial"/>
          <w:sz w:val="22"/>
          <w:szCs w:val="22"/>
          <w:lang w:val="sl-SI"/>
        </w:rPr>
        <w:t>donosnostjo, ki bi jo dosegli</w:t>
      </w:r>
      <w:r w:rsidR="000816C6">
        <w:rPr>
          <w:rFonts w:eastAsia="Calibri" w:cs="Arial"/>
          <w:sz w:val="22"/>
          <w:szCs w:val="22"/>
          <w:lang w:val="sl-SI"/>
        </w:rPr>
        <w:t xml:space="preserve"> za stanje EZRD pri Banki Slovenije</w:t>
      </w:r>
      <w:r>
        <w:rPr>
          <w:rFonts w:eastAsia="Calibri" w:cs="Arial"/>
          <w:sz w:val="22"/>
          <w:szCs w:val="22"/>
          <w:lang w:val="sl-SI"/>
        </w:rPr>
        <w:t>, če ne bi sklenili naložbenih poslov</w:t>
      </w:r>
      <w:r w:rsidR="00E8676D" w:rsidRPr="000A4539">
        <w:rPr>
          <w:rFonts w:eastAsia="Calibri" w:cs="Arial"/>
          <w:sz w:val="22"/>
          <w:szCs w:val="22"/>
          <w:lang w:val="sl-SI"/>
        </w:rPr>
        <w:t>.</w:t>
      </w:r>
    </w:p>
    <w:p w14:paraId="3BC453F9" w14:textId="35FD94F0" w:rsidR="00E8676D" w:rsidRPr="000A4539" w:rsidRDefault="00E8676D" w:rsidP="005F507A">
      <w:pPr>
        <w:spacing w:after="200" w:line="276" w:lineRule="auto"/>
        <w:contextualSpacing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 </w:t>
      </w:r>
    </w:p>
    <w:p w14:paraId="60B56A15" w14:textId="77777777" w:rsidR="00E8676D" w:rsidRPr="001500C2" w:rsidRDefault="00E8676D" w:rsidP="00B8383D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Odgovornost</w:t>
      </w:r>
    </w:p>
    <w:p w14:paraId="2AB38A63" w14:textId="77777777" w:rsidR="001500C2" w:rsidRPr="000A4539" w:rsidRDefault="001500C2" w:rsidP="001500C2">
      <w:pPr>
        <w:tabs>
          <w:tab w:val="left" w:pos="284"/>
          <w:tab w:val="left" w:pos="426"/>
        </w:tabs>
        <w:jc w:val="both"/>
        <w:rPr>
          <w:rFonts w:eastAsia="Calibri" w:cs="Arial"/>
          <w:b/>
          <w:sz w:val="22"/>
          <w:szCs w:val="22"/>
          <w:lang w:val="sl-SI"/>
        </w:rPr>
      </w:pPr>
    </w:p>
    <w:p w14:paraId="44D0BAE0" w14:textId="7B43497A" w:rsidR="00E8676D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Direktor Direktorata za </w:t>
      </w:r>
      <w:proofErr w:type="spellStart"/>
      <w:r w:rsidRPr="000A4539">
        <w:rPr>
          <w:rFonts w:eastAsia="Calibri" w:cs="Arial"/>
          <w:sz w:val="22"/>
          <w:szCs w:val="22"/>
          <w:lang w:val="sl-SI"/>
        </w:rPr>
        <w:t>zakladništvo</w:t>
      </w:r>
      <w:proofErr w:type="spellEnd"/>
      <w:r w:rsidRPr="000A4539">
        <w:rPr>
          <w:rFonts w:eastAsia="Calibri" w:cs="Arial"/>
          <w:sz w:val="22"/>
          <w:szCs w:val="22"/>
          <w:lang w:val="sl-SI"/>
        </w:rPr>
        <w:t xml:space="preserve"> kot predstojnik upravljavca EZRD zagotovi, da se denarna sredstva sistema EZRD nalagajo v skladu s </w:t>
      </w:r>
      <w:r w:rsidR="003348F6" w:rsidRPr="000A4539">
        <w:rPr>
          <w:rFonts w:eastAsia="Calibri" w:cs="Arial"/>
          <w:sz w:val="22"/>
          <w:szCs w:val="22"/>
          <w:lang w:val="sl-SI"/>
        </w:rPr>
        <w:t xml:space="preserve">to </w:t>
      </w:r>
      <w:r w:rsidRPr="000A4539">
        <w:rPr>
          <w:rFonts w:eastAsia="Calibri" w:cs="Arial"/>
          <w:sz w:val="22"/>
          <w:szCs w:val="22"/>
          <w:lang w:val="sl-SI"/>
        </w:rPr>
        <w:t xml:space="preserve">politiko. Pri svojem ravnanju sledi visokim strokovnim in etičnim standardom upravljanja ter v največji meri preprečuje okoliščine, ki pomenijo ali bi lahko vodile v nastanek kakršnega koli nasprotja interesov. </w:t>
      </w:r>
      <w:r w:rsidR="005F507A">
        <w:rPr>
          <w:rFonts w:eastAsia="Calibri" w:cs="Arial"/>
          <w:sz w:val="22"/>
          <w:szCs w:val="22"/>
          <w:lang w:val="sl-SI"/>
        </w:rPr>
        <w:t>Po</w:t>
      </w:r>
      <w:r w:rsidRPr="000A4539">
        <w:rPr>
          <w:rFonts w:eastAsia="Calibri" w:cs="Arial"/>
          <w:sz w:val="22"/>
          <w:szCs w:val="22"/>
          <w:lang w:val="sl-SI"/>
        </w:rPr>
        <w:t xml:space="preserve">trebno </w:t>
      </w:r>
      <w:r w:rsidR="005F507A">
        <w:rPr>
          <w:rFonts w:eastAsia="Calibri" w:cs="Arial"/>
          <w:sz w:val="22"/>
          <w:szCs w:val="22"/>
          <w:lang w:val="sl-SI"/>
        </w:rPr>
        <w:t xml:space="preserve">je </w:t>
      </w:r>
      <w:r w:rsidRPr="000A4539">
        <w:rPr>
          <w:rFonts w:eastAsia="Calibri" w:cs="Arial"/>
          <w:sz w:val="22"/>
          <w:szCs w:val="22"/>
          <w:lang w:val="sl-SI"/>
        </w:rPr>
        <w:t xml:space="preserve">znanje in izkušnje za samostojno presojo ter za sprejemanje odločitev, ki so v najboljšem interesu </w:t>
      </w:r>
      <w:r w:rsidR="00D933DB">
        <w:rPr>
          <w:rFonts w:eastAsia="Calibri" w:cs="Arial"/>
          <w:sz w:val="22"/>
          <w:szCs w:val="22"/>
          <w:lang w:val="sl-SI"/>
        </w:rPr>
        <w:t>sistema</w:t>
      </w:r>
      <w:r w:rsidRPr="000A4539">
        <w:rPr>
          <w:rFonts w:eastAsia="Calibri" w:cs="Arial"/>
          <w:sz w:val="22"/>
          <w:szCs w:val="22"/>
          <w:lang w:val="sl-SI"/>
        </w:rPr>
        <w:t xml:space="preserve"> EZRD.</w:t>
      </w:r>
    </w:p>
    <w:p w14:paraId="4735CB13" w14:textId="77777777" w:rsidR="00E8676D" w:rsidRPr="001500C2" w:rsidRDefault="00E8676D" w:rsidP="00B8383D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Poročanje</w:t>
      </w:r>
    </w:p>
    <w:p w14:paraId="75BC6693" w14:textId="77777777" w:rsidR="001500C2" w:rsidRPr="001500C2" w:rsidRDefault="001500C2" w:rsidP="001500C2">
      <w:pPr>
        <w:tabs>
          <w:tab w:val="left" w:pos="284"/>
          <w:tab w:val="left" w:pos="426"/>
        </w:tabs>
        <w:jc w:val="both"/>
        <w:rPr>
          <w:rFonts w:eastAsia="Calibri" w:cs="Arial"/>
          <w:b/>
          <w:sz w:val="22"/>
          <w:szCs w:val="22"/>
          <w:lang w:val="sl-SI"/>
        </w:rPr>
      </w:pPr>
    </w:p>
    <w:p w14:paraId="0287BD45" w14:textId="77777777" w:rsidR="00096254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O upravljanju denarnih sredstev sistema EZRD in doseženih merilih uspešnosti se </w:t>
      </w:r>
      <w:r w:rsidR="00FF3BDF" w:rsidRPr="000A4539">
        <w:rPr>
          <w:rFonts w:eastAsia="Calibri" w:cs="Arial"/>
          <w:sz w:val="22"/>
          <w:szCs w:val="22"/>
          <w:lang w:val="sl-SI"/>
        </w:rPr>
        <w:t xml:space="preserve">redno </w:t>
      </w:r>
      <w:r w:rsidRPr="000A4539">
        <w:rPr>
          <w:rFonts w:eastAsia="Calibri" w:cs="Arial"/>
          <w:sz w:val="22"/>
          <w:szCs w:val="22"/>
          <w:lang w:val="sl-SI"/>
        </w:rPr>
        <w:t xml:space="preserve">poroča </w:t>
      </w:r>
      <w:r w:rsidR="00FF3BDF" w:rsidRPr="000A4539">
        <w:rPr>
          <w:rFonts w:eastAsia="Calibri" w:cs="Arial"/>
          <w:sz w:val="22"/>
          <w:szCs w:val="22"/>
          <w:lang w:val="sl-SI"/>
        </w:rPr>
        <w:t xml:space="preserve">na sejah </w:t>
      </w:r>
      <w:r w:rsidRPr="000A4539">
        <w:rPr>
          <w:rFonts w:eastAsia="Calibri" w:cs="Arial"/>
          <w:sz w:val="22"/>
          <w:szCs w:val="22"/>
          <w:lang w:val="sl-SI"/>
        </w:rPr>
        <w:t>likvidnostn</w:t>
      </w:r>
      <w:r w:rsidR="000C4ECD">
        <w:rPr>
          <w:rFonts w:eastAsia="Calibri" w:cs="Arial"/>
          <w:sz w:val="22"/>
          <w:szCs w:val="22"/>
          <w:lang w:val="sl-SI"/>
        </w:rPr>
        <w:t>e</w:t>
      </w:r>
      <w:r w:rsidRPr="000A4539">
        <w:rPr>
          <w:rFonts w:eastAsia="Calibri" w:cs="Arial"/>
          <w:sz w:val="22"/>
          <w:szCs w:val="22"/>
          <w:lang w:val="sl-SI"/>
        </w:rPr>
        <w:t xml:space="preserve"> komisij</w:t>
      </w:r>
      <w:r w:rsidR="000C4ECD">
        <w:rPr>
          <w:rFonts w:eastAsia="Calibri" w:cs="Arial"/>
          <w:sz w:val="22"/>
          <w:szCs w:val="22"/>
          <w:lang w:val="sl-SI"/>
        </w:rPr>
        <w:t>e</w:t>
      </w:r>
      <w:r w:rsidR="00FF3BDF" w:rsidRPr="000A4539">
        <w:rPr>
          <w:rFonts w:eastAsia="Calibri" w:cs="Arial"/>
          <w:sz w:val="22"/>
          <w:szCs w:val="22"/>
          <w:lang w:val="sl-SI"/>
        </w:rPr>
        <w:t xml:space="preserve">. </w:t>
      </w:r>
      <w:r w:rsidRPr="000A4539">
        <w:rPr>
          <w:rFonts w:eastAsia="Calibri" w:cs="Arial"/>
          <w:sz w:val="22"/>
          <w:szCs w:val="22"/>
          <w:lang w:val="sl-SI"/>
        </w:rPr>
        <w:t>O presežku upravljanja z denarnimi sredstvi sistema EZRD in njegovi razporeditvi se letno poroča ministru, pristojnemu za finance.</w:t>
      </w:r>
    </w:p>
    <w:p w14:paraId="57B80AF7" w14:textId="4512FAE8" w:rsidR="00E8676D" w:rsidRPr="000A4539" w:rsidRDefault="00096254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Pri poročanju se glede vrednotenja naložb sledi računovodskim pravilom.</w:t>
      </w:r>
    </w:p>
    <w:p w14:paraId="0EC5C15C" w14:textId="77777777" w:rsidR="00E8676D" w:rsidRDefault="00E8676D" w:rsidP="00B8383D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Odobritev</w:t>
      </w:r>
      <w:r w:rsidRPr="000A4539">
        <w:rPr>
          <w:rFonts w:eastAsia="Calibri" w:cs="Arial"/>
          <w:b/>
          <w:sz w:val="22"/>
          <w:szCs w:val="22"/>
          <w:lang w:val="sl-SI"/>
        </w:rPr>
        <w:t xml:space="preserve"> politike</w:t>
      </w:r>
    </w:p>
    <w:p w14:paraId="53979D32" w14:textId="77777777" w:rsidR="001500C2" w:rsidRPr="000A4539" w:rsidRDefault="001500C2" w:rsidP="001500C2">
      <w:pPr>
        <w:tabs>
          <w:tab w:val="left" w:pos="284"/>
          <w:tab w:val="left" w:pos="426"/>
        </w:tabs>
        <w:jc w:val="both"/>
        <w:rPr>
          <w:rFonts w:eastAsia="Calibri" w:cs="Arial"/>
          <w:b/>
          <w:sz w:val="22"/>
          <w:szCs w:val="22"/>
          <w:lang w:val="sl-SI"/>
        </w:rPr>
      </w:pPr>
    </w:p>
    <w:p w14:paraId="7A765888" w14:textId="77777777" w:rsidR="00A07AA9" w:rsidRDefault="00E8676D" w:rsidP="001500C2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Politiko sprejme minister, pristojen za finance.</w:t>
      </w:r>
    </w:p>
    <w:p w14:paraId="1A0EB617" w14:textId="77777777" w:rsidR="00D07A96" w:rsidRDefault="00E8676D" w:rsidP="001500C2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 w:cs="Arial"/>
          <w:b/>
          <w:sz w:val="22"/>
          <w:szCs w:val="22"/>
          <w:lang w:val="sl-SI"/>
        </w:rPr>
      </w:pPr>
      <w:r w:rsidRPr="00B8383D">
        <w:rPr>
          <w:rFonts w:cs="Arial"/>
          <w:b/>
          <w:sz w:val="22"/>
          <w:szCs w:val="22"/>
          <w:lang w:val="sl-SI"/>
        </w:rPr>
        <w:t>Veljavnost</w:t>
      </w:r>
      <w:r w:rsidRPr="000A4539">
        <w:rPr>
          <w:rFonts w:eastAsia="Calibri" w:cs="Arial"/>
          <w:b/>
          <w:sz w:val="22"/>
          <w:szCs w:val="22"/>
          <w:lang w:val="sl-SI"/>
        </w:rPr>
        <w:t xml:space="preserve"> politike</w:t>
      </w:r>
    </w:p>
    <w:p w14:paraId="416C6194" w14:textId="77777777" w:rsidR="001500C2" w:rsidRPr="001500C2" w:rsidRDefault="001500C2" w:rsidP="001500C2">
      <w:pPr>
        <w:tabs>
          <w:tab w:val="left" w:pos="284"/>
          <w:tab w:val="left" w:pos="426"/>
        </w:tabs>
        <w:jc w:val="both"/>
        <w:rPr>
          <w:rFonts w:eastAsia="Calibri" w:cs="Arial"/>
          <w:b/>
          <w:sz w:val="22"/>
          <w:szCs w:val="22"/>
          <w:lang w:val="sl-SI"/>
        </w:rPr>
      </w:pPr>
    </w:p>
    <w:p w14:paraId="75E840B5" w14:textId="1B3F6D13" w:rsidR="008A7E3F" w:rsidRDefault="00E8676D" w:rsidP="00E8676D">
      <w:pPr>
        <w:spacing w:after="20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 xml:space="preserve">Politika začne veljati </w:t>
      </w:r>
      <w:r w:rsidR="00501D3B">
        <w:rPr>
          <w:rFonts w:eastAsia="Calibri" w:cs="Arial"/>
          <w:sz w:val="22"/>
          <w:szCs w:val="22"/>
          <w:lang w:val="sl-SI"/>
        </w:rPr>
        <w:t>naslednji dan po podpisu</w:t>
      </w:r>
      <w:r w:rsidR="00B30C32">
        <w:rPr>
          <w:rFonts w:eastAsia="Calibri" w:cs="Arial"/>
          <w:sz w:val="22"/>
          <w:szCs w:val="22"/>
          <w:lang w:val="sl-SI"/>
        </w:rPr>
        <w:t xml:space="preserve"> in nadomešča do tega datuma veljavno politiko.</w:t>
      </w:r>
      <w:r w:rsidR="0027443F">
        <w:rPr>
          <w:rFonts w:eastAsia="Calibri" w:cs="Arial"/>
          <w:sz w:val="22"/>
          <w:szCs w:val="22"/>
          <w:lang w:val="sl-SI"/>
        </w:rPr>
        <w:t xml:space="preserve"> </w:t>
      </w:r>
    </w:p>
    <w:p w14:paraId="2DC2EE7F" w14:textId="6F67126C" w:rsidR="00501D3B" w:rsidRDefault="00501D3B" w:rsidP="008A7E3F">
      <w:pPr>
        <w:spacing w:after="200"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603AA940" w14:textId="77777777" w:rsidR="005B51F2" w:rsidRDefault="005B51F2" w:rsidP="008A7E3F">
      <w:pPr>
        <w:spacing w:after="200"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6A0746B4" w14:textId="58BCB1FC" w:rsidR="008A7E3F" w:rsidRDefault="00D07A96" w:rsidP="008A7E3F">
      <w:pPr>
        <w:spacing w:after="200" w:line="240" w:lineRule="auto"/>
        <w:jc w:val="both"/>
        <w:rPr>
          <w:rFonts w:eastAsia="Calibri" w:cs="Arial"/>
          <w:sz w:val="22"/>
          <w:szCs w:val="22"/>
          <w:lang w:val="sl-SI"/>
        </w:rPr>
      </w:pPr>
      <w:r w:rsidRPr="000A4539">
        <w:rPr>
          <w:rFonts w:eastAsia="Calibri" w:cs="Arial"/>
          <w:sz w:val="22"/>
          <w:szCs w:val="22"/>
          <w:lang w:val="sl-SI"/>
        </w:rPr>
        <w:t>Številka:</w:t>
      </w:r>
      <w:r w:rsidR="00490A5F">
        <w:rPr>
          <w:rFonts w:eastAsia="Calibri" w:cs="Arial"/>
          <w:sz w:val="22"/>
          <w:szCs w:val="22"/>
          <w:lang w:val="sl-SI"/>
        </w:rPr>
        <w:t xml:space="preserve"> </w:t>
      </w:r>
      <w:r w:rsidR="00D66985">
        <w:rPr>
          <w:rFonts w:eastAsia="Calibri" w:cs="Arial"/>
          <w:sz w:val="22"/>
          <w:szCs w:val="22"/>
          <w:lang w:val="sl-SI"/>
        </w:rPr>
        <w:t>4720-13/2023/26</w:t>
      </w:r>
    </w:p>
    <w:p w14:paraId="34305769" w14:textId="28019B6A" w:rsidR="001500C2" w:rsidRDefault="00D66985" w:rsidP="004A3876">
      <w:pPr>
        <w:spacing w:after="200" w:line="240" w:lineRule="auto"/>
        <w:jc w:val="both"/>
        <w:rPr>
          <w:rFonts w:cs="Arial"/>
          <w:sz w:val="22"/>
          <w:szCs w:val="20"/>
          <w:lang w:val="sl-SI"/>
        </w:rPr>
      </w:pPr>
      <w:r>
        <w:rPr>
          <w:rFonts w:cs="Arial"/>
          <w:sz w:val="22"/>
          <w:szCs w:val="20"/>
          <w:lang w:val="sl-SI"/>
        </w:rPr>
        <w:t>Datum: naveden v elektronskem podpisu</w:t>
      </w:r>
    </w:p>
    <w:p w14:paraId="01865BC2" w14:textId="1A7AC598" w:rsidR="00642278" w:rsidRDefault="00642278" w:rsidP="004A3876">
      <w:pPr>
        <w:spacing w:after="200" w:line="240" w:lineRule="auto"/>
        <w:jc w:val="both"/>
        <w:rPr>
          <w:rFonts w:cs="Arial"/>
          <w:sz w:val="22"/>
          <w:szCs w:val="20"/>
          <w:lang w:val="sl-SI"/>
        </w:rPr>
      </w:pPr>
    </w:p>
    <w:p w14:paraId="72FB20D3" w14:textId="77777777" w:rsidR="00642278" w:rsidRPr="004A3876" w:rsidRDefault="00642278" w:rsidP="004A3876">
      <w:pPr>
        <w:spacing w:after="200" w:line="240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3D961FD3" w14:textId="1A62250B" w:rsidR="001500C2" w:rsidRDefault="008550E8" w:rsidP="00BC4699">
      <w:pPr>
        <w:spacing w:after="200" w:line="240" w:lineRule="auto"/>
        <w:jc w:val="center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                                                                                                      Klemen Boštjančič</w:t>
      </w:r>
    </w:p>
    <w:p w14:paraId="589C1BEB" w14:textId="6B88EE78" w:rsidR="007D75CF" w:rsidRPr="00BC4699" w:rsidRDefault="00BC4699" w:rsidP="00D30140">
      <w:pPr>
        <w:spacing w:after="200" w:line="240" w:lineRule="auto"/>
        <w:ind w:left="5760"/>
        <w:jc w:val="center"/>
        <w:rPr>
          <w:rFonts w:cs="Arial"/>
          <w:lang w:val="it-IT"/>
        </w:rPr>
      </w:pPr>
      <w:r>
        <w:rPr>
          <w:rFonts w:eastAsia="Calibri" w:cs="Arial"/>
          <w:sz w:val="22"/>
          <w:szCs w:val="22"/>
          <w:lang w:val="sl-SI"/>
        </w:rPr>
        <w:t xml:space="preserve">         </w:t>
      </w:r>
      <w:r w:rsidR="00F33A7F">
        <w:rPr>
          <w:rFonts w:eastAsia="Calibri" w:cs="Arial"/>
          <w:sz w:val="22"/>
          <w:szCs w:val="22"/>
          <w:lang w:val="sl-SI"/>
        </w:rPr>
        <w:t>m</w:t>
      </w:r>
      <w:r>
        <w:rPr>
          <w:rFonts w:eastAsia="Calibri" w:cs="Arial"/>
          <w:sz w:val="22"/>
          <w:szCs w:val="22"/>
          <w:lang w:val="sl-SI"/>
        </w:rPr>
        <w:t xml:space="preserve">inister za </w:t>
      </w:r>
      <w:r w:rsidR="00551E8C">
        <w:rPr>
          <w:rFonts w:eastAsia="Calibri" w:cs="Arial"/>
          <w:sz w:val="22"/>
          <w:szCs w:val="22"/>
          <w:lang w:val="sl-SI"/>
        </w:rPr>
        <w:t>f</w:t>
      </w:r>
      <w:r>
        <w:rPr>
          <w:rFonts w:eastAsia="Calibri" w:cs="Arial"/>
          <w:sz w:val="22"/>
          <w:szCs w:val="22"/>
          <w:lang w:val="sl-SI"/>
        </w:rPr>
        <w:t>inance</w:t>
      </w:r>
    </w:p>
    <w:sectPr w:rsidR="007D75CF" w:rsidRPr="00BC4699" w:rsidSect="00360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418" w:footer="794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EBCA" w14:textId="77777777" w:rsidR="00384E3B" w:rsidRDefault="00384E3B">
      <w:r>
        <w:separator/>
      </w:r>
    </w:p>
  </w:endnote>
  <w:endnote w:type="continuationSeparator" w:id="0">
    <w:p w14:paraId="41911700" w14:textId="77777777" w:rsidR="00384E3B" w:rsidRDefault="00384E3B">
      <w:r>
        <w:continuationSeparator/>
      </w:r>
    </w:p>
  </w:endnote>
  <w:endnote w:type="continuationNotice" w:id="1">
    <w:p w14:paraId="1647CC8F" w14:textId="77777777" w:rsidR="00384E3B" w:rsidRDefault="00384E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ED16" w14:textId="77777777" w:rsidR="00A46D36" w:rsidRDefault="00A46D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999625"/>
      <w:docPartObj>
        <w:docPartGallery w:val="Page Numbers (Bottom of Page)"/>
        <w:docPartUnique/>
      </w:docPartObj>
    </w:sdtPr>
    <w:sdtEndPr/>
    <w:sdtContent>
      <w:p w14:paraId="29B59420" w14:textId="0BBDA640" w:rsidR="00324973" w:rsidRDefault="0032497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8D" w:rsidRPr="00A8348D">
          <w:rPr>
            <w:noProof/>
            <w:lang w:val="sl-SI"/>
          </w:rPr>
          <w:t>1</w:t>
        </w:r>
        <w:r>
          <w:fldChar w:fldCharType="end"/>
        </w:r>
      </w:p>
    </w:sdtContent>
  </w:sdt>
  <w:p w14:paraId="1231BC0F" w14:textId="77777777" w:rsidR="00324973" w:rsidRDefault="0032497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7855" w14:textId="77777777" w:rsidR="00324973" w:rsidRDefault="00324973" w:rsidP="00217C2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CA3D" w14:textId="77777777" w:rsidR="00384E3B" w:rsidRDefault="00384E3B">
      <w:r>
        <w:separator/>
      </w:r>
    </w:p>
  </w:footnote>
  <w:footnote w:type="continuationSeparator" w:id="0">
    <w:p w14:paraId="418799E0" w14:textId="77777777" w:rsidR="00384E3B" w:rsidRDefault="00384E3B">
      <w:r>
        <w:continuationSeparator/>
      </w:r>
    </w:p>
  </w:footnote>
  <w:footnote w:type="continuationNotice" w:id="1">
    <w:p w14:paraId="1687C0E9" w14:textId="77777777" w:rsidR="00384E3B" w:rsidRDefault="00384E3B">
      <w:pPr>
        <w:spacing w:line="240" w:lineRule="auto"/>
      </w:pPr>
    </w:p>
  </w:footnote>
  <w:footnote w:id="2">
    <w:p w14:paraId="40734C33" w14:textId="74AEFD60" w:rsidR="00324973" w:rsidRPr="00FB58A2" w:rsidRDefault="00324973">
      <w:pPr>
        <w:pStyle w:val="Sprotnaopomba-besedilo"/>
        <w:rPr>
          <w:sz w:val="17"/>
          <w:szCs w:val="17"/>
          <w:lang w:val="sl-SI"/>
        </w:rPr>
      </w:pPr>
      <w:r w:rsidRPr="006F1DA0">
        <w:rPr>
          <w:rStyle w:val="Sprotnaopomba-sklic"/>
          <w:sz w:val="17"/>
          <w:szCs w:val="17"/>
        </w:rPr>
        <w:footnoteRef/>
      </w:r>
      <w:r w:rsidRPr="006F1DA0">
        <w:rPr>
          <w:sz w:val="17"/>
          <w:szCs w:val="17"/>
        </w:rPr>
        <w:t xml:space="preserve"> </w:t>
      </w:r>
      <w:r w:rsidRPr="00FB58A2">
        <w:rPr>
          <w:sz w:val="17"/>
          <w:szCs w:val="17"/>
          <w:lang w:val="sl-SI"/>
        </w:rPr>
        <w:t>Plačilo, ki je izvršeno na podlagi prenosa vrednostnih papirjev proti plačilu (</w:t>
      </w:r>
      <w:r w:rsidRPr="00FB58A2">
        <w:rPr>
          <w:sz w:val="17"/>
          <w:szCs w:val="17"/>
        </w:rPr>
        <w:t>Delivery Versus Payment</w:t>
      </w:r>
      <w:r w:rsidRPr="00FB58A2">
        <w:rPr>
          <w:sz w:val="17"/>
          <w:szCs w:val="17"/>
          <w:lang w:val="sl-SI"/>
        </w:rPr>
        <w:t xml:space="preserve"> - DVP).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05BC" w14:textId="77777777" w:rsidR="00A46D36" w:rsidRDefault="00A46D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57A" w14:textId="77777777" w:rsidR="00324973" w:rsidRPr="00110CBD" w:rsidRDefault="0032497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6005" w14:textId="77777777" w:rsidR="00A46D36" w:rsidRDefault="00A46D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E4106"/>
    <w:multiLevelType w:val="hybridMultilevel"/>
    <w:tmpl w:val="887C72AC"/>
    <w:lvl w:ilvl="0" w:tplc="3FDE8C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D4A6D"/>
    <w:multiLevelType w:val="hybridMultilevel"/>
    <w:tmpl w:val="1B2CAC40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83CFA"/>
    <w:multiLevelType w:val="hybridMultilevel"/>
    <w:tmpl w:val="1456A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24E89"/>
    <w:multiLevelType w:val="hybridMultilevel"/>
    <w:tmpl w:val="34667D98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2593C"/>
    <w:multiLevelType w:val="hybridMultilevel"/>
    <w:tmpl w:val="1FF45B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9782A"/>
    <w:multiLevelType w:val="multilevel"/>
    <w:tmpl w:val="01FEEA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4FEA0FF1"/>
    <w:multiLevelType w:val="hybridMultilevel"/>
    <w:tmpl w:val="9A24BD40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55795A7E"/>
    <w:multiLevelType w:val="hybridMultilevel"/>
    <w:tmpl w:val="DA3A829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B63FF"/>
    <w:multiLevelType w:val="hybridMultilevel"/>
    <w:tmpl w:val="F3F0EF06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A0EBD"/>
    <w:multiLevelType w:val="hybridMultilevel"/>
    <w:tmpl w:val="472829C8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384866421">
    <w:abstractNumId w:val="13"/>
  </w:num>
  <w:num w:numId="2" w16cid:durableId="1919553406">
    <w:abstractNumId w:val="4"/>
  </w:num>
  <w:num w:numId="3" w16cid:durableId="1078207844">
    <w:abstractNumId w:val="7"/>
  </w:num>
  <w:num w:numId="4" w16cid:durableId="2102724578">
    <w:abstractNumId w:val="0"/>
  </w:num>
  <w:num w:numId="5" w16cid:durableId="915212145">
    <w:abstractNumId w:val="2"/>
  </w:num>
  <w:num w:numId="6" w16cid:durableId="383019425">
    <w:abstractNumId w:val="9"/>
  </w:num>
  <w:num w:numId="7" w16cid:durableId="776485275">
    <w:abstractNumId w:val="11"/>
  </w:num>
  <w:num w:numId="8" w16cid:durableId="675424890">
    <w:abstractNumId w:val="14"/>
  </w:num>
  <w:num w:numId="9" w16cid:durableId="159006887">
    <w:abstractNumId w:val="8"/>
  </w:num>
  <w:num w:numId="10" w16cid:durableId="919676509">
    <w:abstractNumId w:val="12"/>
  </w:num>
  <w:num w:numId="11" w16cid:durableId="961837306">
    <w:abstractNumId w:val="3"/>
  </w:num>
  <w:num w:numId="12" w16cid:durableId="506289456">
    <w:abstractNumId w:val="10"/>
  </w:num>
  <w:num w:numId="13" w16cid:durableId="469325241">
    <w:abstractNumId w:val="5"/>
  </w:num>
  <w:num w:numId="14" w16cid:durableId="1859848312">
    <w:abstractNumId w:val="6"/>
  </w:num>
  <w:num w:numId="15" w16cid:durableId="40685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A6"/>
    <w:rsid w:val="0000046D"/>
    <w:rsid w:val="00000B4B"/>
    <w:rsid w:val="00010686"/>
    <w:rsid w:val="00015DF1"/>
    <w:rsid w:val="00022E34"/>
    <w:rsid w:val="00023A88"/>
    <w:rsid w:val="000441C8"/>
    <w:rsid w:val="00045409"/>
    <w:rsid w:val="00050A16"/>
    <w:rsid w:val="000511B8"/>
    <w:rsid w:val="0007141E"/>
    <w:rsid w:val="00072582"/>
    <w:rsid w:val="00075769"/>
    <w:rsid w:val="000808A5"/>
    <w:rsid w:val="000813D5"/>
    <w:rsid w:val="000816C6"/>
    <w:rsid w:val="000830B8"/>
    <w:rsid w:val="00086AC3"/>
    <w:rsid w:val="00096254"/>
    <w:rsid w:val="00096C5B"/>
    <w:rsid w:val="000A03E3"/>
    <w:rsid w:val="000A24E9"/>
    <w:rsid w:val="000A4539"/>
    <w:rsid w:val="000A51C3"/>
    <w:rsid w:val="000A582D"/>
    <w:rsid w:val="000A7238"/>
    <w:rsid w:val="000B7474"/>
    <w:rsid w:val="000B747C"/>
    <w:rsid w:val="000C0B79"/>
    <w:rsid w:val="000C0C4C"/>
    <w:rsid w:val="000C1643"/>
    <w:rsid w:val="000C4ECD"/>
    <w:rsid w:val="000C5CDF"/>
    <w:rsid w:val="000C5F3C"/>
    <w:rsid w:val="000D033E"/>
    <w:rsid w:val="000D15B0"/>
    <w:rsid w:val="000D6AD1"/>
    <w:rsid w:val="000D6BEA"/>
    <w:rsid w:val="000E2855"/>
    <w:rsid w:val="000E5E0E"/>
    <w:rsid w:val="000E63A1"/>
    <w:rsid w:val="000E6E16"/>
    <w:rsid w:val="00106D2A"/>
    <w:rsid w:val="00107B5F"/>
    <w:rsid w:val="00114CFC"/>
    <w:rsid w:val="00115804"/>
    <w:rsid w:val="00120829"/>
    <w:rsid w:val="001239A6"/>
    <w:rsid w:val="00125F2E"/>
    <w:rsid w:val="00127710"/>
    <w:rsid w:val="001357B2"/>
    <w:rsid w:val="0013660B"/>
    <w:rsid w:val="00140151"/>
    <w:rsid w:val="00143E85"/>
    <w:rsid w:val="001500C2"/>
    <w:rsid w:val="001666BE"/>
    <w:rsid w:val="0017478F"/>
    <w:rsid w:val="001869EF"/>
    <w:rsid w:val="00196C71"/>
    <w:rsid w:val="0019774A"/>
    <w:rsid w:val="001A34E1"/>
    <w:rsid w:val="001B4A16"/>
    <w:rsid w:val="001C3767"/>
    <w:rsid w:val="001C3F3F"/>
    <w:rsid w:val="001C451C"/>
    <w:rsid w:val="001C45E4"/>
    <w:rsid w:val="001C5F74"/>
    <w:rsid w:val="001D5D2E"/>
    <w:rsid w:val="001E7D9A"/>
    <w:rsid w:val="001F0C33"/>
    <w:rsid w:val="001F3050"/>
    <w:rsid w:val="001F7386"/>
    <w:rsid w:val="00201F43"/>
    <w:rsid w:val="00202A77"/>
    <w:rsid w:val="00206B21"/>
    <w:rsid w:val="00217C2B"/>
    <w:rsid w:val="00224B77"/>
    <w:rsid w:val="00240475"/>
    <w:rsid w:val="00241533"/>
    <w:rsid w:val="002508E1"/>
    <w:rsid w:val="00251ED6"/>
    <w:rsid w:val="002674A9"/>
    <w:rsid w:val="00271CE5"/>
    <w:rsid w:val="002738B8"/>
    <w:rsid w:val="0027443F"/>
    <w:rsid w:val="00282020"/>
    <w:rsid w:val="00292C8A"/>
    <w:rsid w:val="00293119"/>
    <w:rsid w:val="0029314D"/>
    <w:rsid w:val="002954AC"/>
    <w:rsid w:val="00297137"/>
    <w:rsid w:val="002A2B69"/>
    <w:rsid w:val="002A3659"/>
    <w:rsid w:val="002A42BF"/>
    <w:rsid w:val="002B2A14"/>
    <w:rsid w:val="002C3026"/>
    <w:rsid w:val="002C4892"/>
    <w:rsid w:val="002C4F0D"/>
    <w:rsid w:val="002C5E04"/>
    <w:rsid w:val="002C679D"/>
    <w:rsid w:val="002C6EF2"/>
    <w:rsid w:val="002D670B"/>
    <w:rsid w:val="002D71E1"/>
    <w:rsid w:val="002E21B4"/>
    <w:rsid w:val="002E5037"/>
    <w:rsid w:val="002F2A99"/>
    <w:rsid w:val="002F4210"/>
    <w:rsid w:val="002F4C76"/>
    <w:rsid w:val="00300D98"/>
    <w:rsid w:val="0030223C"/>
    <w:rsid w:val="00302C13"/>
    <w:rsid w:val="00313ADB"/>
    <w:rsid w:val="003150DF"/>
    <w:rsid w:val="00321072"/>
    <w:rsid w:val="00324973"/>
    <w:rsid w:val="0033173A"/>
    <w:rsid w:val="003348F6"/>
    <w:rsid w:val="00335256"/>
    <w:rsid w:val="00336997"/>
    <w:rsid w:val="003421C6"/>
    <w:rsid w:val="0034514E"/>
    <w:rsid w:val="003471D7"/>
    <w:rsid w:val="00350DD5"/>
    <w:rsid w:val="00351E95"/>
    <w:rsid w:val="00354FCF"/>
    <w:rsid w:val="0036076D"/>
    <w:rsid w:val="00361156"/>
    <w:rsid w:val="003636BF"/>
    <w:rsid w:val="0036779B"/>
    <w:rsid w:val="00367E77"/>
    <w:rsid w:val="00371442"/>
    <w:rsid w:val="003845B4"/>
    <w:rsid w:val="00384E3B"/>
    <w:rsid w:val="00387B1A"/>
    <w:rsid w:val="003A0A25"/>
    <w:rsid w:val="003A2D03"/>
    <w:rsid w:val="003B0BCB"/>
    <w:rsid w:val="003B56E5"/>
    <w:rsid w:val="003B61F6"/>
    <w:rsid w:val="003B653D"/>
    <w:rsid w:val="003C5EE5"/>
    <w:rsid w:val="003D7EEF"/>
    <w:rsid w:val="003E0D5C"/>
    <w:rsid w:val="003E1C74"/>
    <w:rsid w:val="003F2943"/>
    <w:rsid w:val="003F7704"/>
    <w:rsid w:val="00407B0D"/>
    <w:rsid w:val="00417EED"/>
    <w:rsid w:val="0044103B"/>
    <w:rsid w:val="00446BED"/>
    <w:rsid w:val="00447299"/>
    <w:rsid w:val="004574AC"/>
    <w:rsid w:val="0046165C"/>
    <w:rsid w:val="0046362F"/>
    <w:rsid w:val="004657EE"/>
    <w:rsid w:val="00466F81"/>
    <w:rsid w:val="00476CB7"/>
    <w:rsid w:val="00480C17"/>
    <w:rsid w:val="004847A2"/>
    <w:rsid w:val="00490A5F"/>
    <w:rsid w:val="004940E0"/>
    <w:rsid w:val="00495673"/>
    <w:rsid w:val="00495AA3"/>
    <w:rsid w:val="004A3876"/>
    <w:rsid w:val="004A4A8D"/>
    <w:rsid w:val="004A7D6F"/>
    <w:rsid w:val="004C3790"/>
    <w:rsid w:val="004C729B"/>
    <w:rsid w:val="004D2700"/>
    <w:rsid w:val="004D3184"/>
    <w:rsid w:val="004E16AD"/>
    <w:rsid w:val="004E1F75"/>
    <w:rsid w:val="004E2C1E"/>
    <w:rsid w:val="004E4F77"/>
    <w:rsid w:val="004E5F6C"/>
    <w:rsid w:val="004E6FDA"/>
    <w:rsid w:val="004F3935"/>
    <w:rsid w:val="004F7009"/>
    <w:rsid w:val="00500015"/>
    <w:rsid w:val="00501D3B"/>
    <w:rsid w:val="00503408"/>
    <w:rsid w:val="005047DC"/>
    <w:rsid w:val="00505410"/>
    <w:rsid w:val="00507EEA"/>
    <w:rsid w:val="00510261"/>
    <w:rsid w:val="00512813"/>
    <w:rsid w:val="00514A5F"/>
    <w:rsid w:val="005222F1"/>
    <w:rsid w:val="00526246"/>
    <w:rsid w:val="00527D32"/>
    <w:rsid w:val="00533414"/>
    <w:rsid w:val="00551E8C"/>
    <w:rsid w:val="00567106"/>
    <w:rsid w:val="00580365"/>
    <w:rsid w:val="00581947"/>
    <w:rsid w:val="00584FAC"/>
    <w:rsid w:val="00585341"/>
    <w:rsid w:val="005933DA"/>
    <w:rsid w:val="00593DFD"/>
    <w:rsid w:val="005A634A"/>
    <w:rsid w:val="005A7E6A"/>
    <w:rsid w:val="005B1994"/>
    <w:rsid w:val="005B51F2"/>
    <w:rsid w:val="005C07D6"/>
    <w:rsid w:val="005C3471"/>
    <w:rsid w:val="005C7705"/>
    <w:rsid w:val="005D0430"/>
    <w:rsid w:val="005D6C92"/>
    <w:rsid w:val="005E1D3C"/>
    <w:rsid w:val="005F507A"/>
    <w:rsid w:val="00600D75"/>
    <w:rsid w:val="00602EC2"/>
    <w:rsid w:val="0060569D"/>
    <w:rsid w:val="00607C42"/>
    <w:rsid w:val="0061280C"/>
    <w:rsid w:val="006139F8"/>
    <w:rsid w:val="00614716"/>
    <w:rsid w:val="00623AD9"/>
    <w:rsid w:val="00623DFC"/>
    <w:rsid w:val="00625AE6"/>
    <w:rsid w:val="00632253"/>
    <w:rsid w:val="0063301D"/>
    <w:rsid w:val="006376C4"/>
    <w:rsid w:val="00642278"/>
    <w:rsid w:val="00642714"/>
    <w:rsid w:val="0064272F"/>
    <w:rsid w:val="006455CE"/>
    <w:rsid w:val="00646F81"/>
    <w:rsid w:val="006506CF"/>
    <w:rsid w:val="00655841"/>
    <w:rsid w:val="0065708A"/>
    <w:rsid w:val="00657214"/>
    <w:rsid w:val="00657ABB"/>
    <w:rsid w:val="006637BE"/>
    <w:rsid w:val="00666340"/>
    <w:rsid w:val="00673B73"/>
    <w:rsid w:val="00677916"/>
    <w:rsid w:val="00680560"/>
    <w:rsid w:val="00686783"/>
    <w:rsid w:val="006913AD"/>
    <w:rsid w:val="006A2600"/>
    <w:rsid w:val="006A3EA9"/>
    <w:rsid w:val="006A679A"/>
    <w:rsid w:val="006B111E"/>
    <w:rsid w:val="006B5805"/>
    <w:rsid w:val="006B78E6"/>
    <w:rsid w:val="006E110C"/>
    <w:rsid w:val="006F1DA0"/>
    <w:rsid w:val="006F64FD"/>
    <w:rsid w:val="006F7138"/>
    <w:rsid w:val="00703865"/>
    <w:rsid w:val="0070683A"/>
    <w:rsid w:val="007072C1"/>
    <w:rsid w:val="00711765"/>
    <w:rsid w:val="007258A6"/>
    <w:rsid w:val="00725CEC"/>
    <w:rsid w:val="00733017"/>
    <w:rsid w:val="007376B4"/>
    <w:rsid w:val="00744240"/>
    <w:rsid w:val="00763324"/>
    <w:rsid w:val="00772B28"/>
    <w:rsid w:val="0077491F"/>
    <w:rsid w:val="0078024C"/>
    <w:rsid w:val="00783310"/>
    <w:rsid w:val="007833B8"/>
    <w:rsid w:val="00793B0B"/>
    <w:rsid w:val="0079762B"/>
    <w:rsid w:val="00797FD0"/>
    <w:rsid w:val="007A4A6D"/>
    <w:rsid w:val="007B5D87"/>
    <w:rsid w:val="007D1BCF"/>
    <w:rsid w:val="007D7148"/>
    <w:rsid w:val="007D75CF"/>
    <w:rsid w:val="007E0083"/>
    <w:rsid w:val="007E0440"/>
    <w:rsid w:val="007E6DC5"/>
    <w:rsid w:val="007F2D27"/>
    <w:rsid w:val="007F6B07"/>
    <w:rsid w:val="00802C93"/>
    <w:rsid w:val="00803091"/>
    <w:rsid w:val="00805B77"/>
    <w:rsid w:val="00805CD6"/>
    <w:rsid w:val="00834F80"/>
    <w:rsid w:val="00846C3A"/>
    <w:rsid w:val="00846E0E"/>
    <w:rsid w:val="00850D52"/>
    <w:rsid w:val="008527CE"/>
    <w:rsid w:val="008550E8"/>
    <w:rsid w:val="0085543C"/>
    <w:rsid w:val="008626D9"/>
    <w:rsid w:val="00872DE2"/>
    <w:rsid w:val="00873170"/>
    <w:rsid w:val="008767C6"/>
    <w:rsid w:val="0088043C"/>
    <w:rsid w:val="00884889"/>
    <w:rsid w:val="00885CDF"/>
    <w:rsid w:val="00890525"/>
    <w:rsid w:val="008906C9"/>
    <w:rsid w:val="008923B8"/>
    <w:rsid w:val="008968E3"/>
    <w:rsid w:val="008A1657"/>
    <w:rsid w:val="008A2AA0"/>
    <w:rsid w:val="008A7E3F"/>
    <w:rsid w:val="008C155E"/>
    <w:rsid w:val="008C4D72"/>
    <w:rsid w:val="008C5738"/>
    <w:rsid w:val="008D04F0"/>
    <w:rsid w:val="008D5729"/>
    <w:rsid w:val="008D6027"/>
    <w:rsid w:val="008D79EC"/>
    <w:rsid w:val="008E568D"/>
    <w:rsid w:val="008E6112"/>
    <w:rsid w:val="008F24D6"/>
    <w:rsid w:val="008F3500"/>
    <w:rsid w:val="008F517E"/>
    <w:rsid w:val="009023D5"/>
    <w:rsid w:val="009117E2"/>
    <w:rsid w:val="009149B0"/>
    <w:rsid w:val="00920ADA"/>
    <w:rsid w:val="00921552"/>
    <w:rsid w:val="0092459C"/>
    <w:rsid w:val="00924E3C"/>
    <w:rsid w:val="00927CB2"/>
    <w:rsid w:val="00931204"/>
    <w:rsid w:val="00933EAD"/>
    <w:rsid w:val="0093478C"/>
    <w:rsid w:val="009371E8"/>
    <w:rsid w:val="009443AC"/>
    <w:rsid w:val="009524B9"/>
    <w:rsid w:val="009612BB"/>
    <w:rsid w:val="00971B0F"/>
    <w:rsid w:val="0097288C"/>
    <w:rsid w:val="00973BE4"/>
    <w:rsid w:val="00990DF1"/>
    <w:rsid w:val="00996747"/>
    <w:rsid w:val="00996BFD"/>
    <w:rsid w:val="009A0070"/>
    <w:rsid w:val="009A1758"/>
    <w:rsid w:val="009B1E89"/>
    <w:rsid w:val="009B43CA"/>
    <w:rsid w:val="009C5D76"/>
    <w:rsid w:val="009C6D13"/>
    <w:rsid w:val="009C740A"/>
    <w:rsid w:val="009D59BB"/>
    <w:rsid w:val="009D7900"/>
    <w:rsid w:val="009E3BBD"/>
    <w:rsid w:val="009F3015"/>
    <w:rsid w:val="009F565B"/>
    <w:rsid w:val="00A04976"/>
    <w:rsid w:val="00A05D93"/>
    <w:rsid w:val="00A07AA9"/>
    <w:rsid w:val="00A108D5"/>
    <w:rsid w:val="00A125C5"/>
    <w:rsid w:val="00A1271B"/>
    <w:rsid w:val="00A1672E"/>
    <w:rsid w:val="00A16AAE"/>
    <w:rsid w:val="00A242DE"/>
    <w:rsid w:val="00A2451C"/>
    <w:rsid w:val="00A32E61"/>
    <w:rsid w:val="00A36A11"/>
    <w:rsid w:val="00A42C72"/>
    <w:rsid w:val="00A46D36"/>
    <w:rsid w:val="00A65EE7"/>
    <w:rsid w:val="00A66368"/>
    <w:rsid w:val="00A70133"/>
    <w:rsid w:val="00A70A84"/>
    <w:rsid w:val="00A7417D"/>
    <w:rsid w:val="00A75EBD"/>
    <w:rsid w:val="00A770A6"/>
    <w:rsid w:val="00A77E9B"/>
    <w:rsid w:val="00A813B1"/>
    <w:rsid w:val="00A8283E"/>
    <w:rsid w:val="00A8348D"/>
    <w:rsid w:val="00A97C2E"/>
    <w:rsid w:val="00AA2BDD"/>
    <w:rsid w:val="00AA5564"/>
    <w:rsid w:val="00AB36C4"/>
    <w:rsid w:val="00AB3FA9"/>
    <w:rsid w:val="00AC3048"/>
    <w:rsid w:val="00AC32B2"/>
    <w:rsid w:val="00AD059E"/>
    <w:rsid w:val="00AD18C2"/>
    <w:rsid w:val="00AD4899"/>
    <w:rsid w:val="00AE5546"/>
    <w:rsid w:val="00AF019A"/>
    <w:rsid w:val="00AF1895"/>
    <w:rsid w:val="00AF2EE4"/>
    <w:rsid w:val="00AF73CD"/>
    <w:rsid w:val="00B106C0"/>
    <w:rsid w:val="00B17141"/>
    <w:rsid w:val="00B17F4C"/>
    <w:rsid w:val="00B20CFA"/>
    <w:rsid w:val="00B24DC8"/>
    <w:rsid w:val="00B30C32"/>
    <w:rsid w:val="00B31575"/>
    <w:rsid w:val="00B46225"/>
    <w:rsid w:val="00B474D5"/>
    <w:rsid w:val="00B56063"/>
    <w:rsid w:val="00B61BA6"/>
    <w:rsid w:val="00B6379F"/>
    <w:rsid w:val="00B63CDF"/>
    <w:rsid w:val="00B663A9"/>
    <w:rsid w:val="00B71A67"/>
    <w:rsid w:val="00B72E55"/>
    <w:rsid w:val="00B76AEB"/>
    <w:rsid w:val="00B8383D"/>
    <w:rsid w:val="00B8547D"/>
    <w:rsid w:val="00B85A85"/>
    <w:rsid w:val="00B92A6E"/>
    <w:rsid w:val="00BA2E55"/>
    <w:rsid w:val="00BC4699"/>
    <w:rsid w:val="00BC52B4"/>
    <w:rsid w:val="00BC57F3"/>
    <w:rsid w:val="00BC7847"/>
    <w:rsid w:val="00BD2C1B"/>
    <w:rsid w:val="00BD5917"/>
    <w:rsid w:val="00BF35FF"/>
    <w:rsid w:val="00BF4325"/>
    <w:rsid w:val="00BF56C8"/>
    <w:rsid w:val="00BF6BA8"/>
    <w:rsid w:val="00C016FB"/>
    <w:rsid w:val="00C02D87"/>
    <w:rsid w:val="00C03923"/>
    <w:rsid w:val="00C069AC"/>
    <w:rsid w:val="00C07966"/>
    <w:rsid w:val="00C07C11"/>
    <w:rsid w:val="00C1623A"/>
    <w:rsid w:val="00C21BDF"/>
    <w:rsid w:val="00C250D5"/>
    <w:rsid w:val="00C35553"/>
    <w:rsid w:val="00C35666"/>
    <w:rsid w:val="00C5390F"/>
    <w:rsid w:val="00C6201F"/>
    <w:rsid w:val="00C7181D"/>
    <w:rsid w:val="00C8508C"/>
    <w:rsid w:val="00C85883"/>
    <w:rsid w:val="00C92898"/>
    <w:rsid w:val="00CA1599"/>
    <w:rsid w:val="00CA1F3F"/>
    <w:rsid w:val="00CA2411"/>
    <w:rsid w:val="00CA4340"/>
    <w:rsid w:val="00CA712C"/>
    <w:rsid w:val="00CA77CB"/>
    <w:rsid w:val="00CB3B9F"/>
    <w:rsid w:val="00CB6573"/>
    <w:rsid w:val="00CD4D28"/>
    <w:rsid w:val="00CD7838"/>
    <w:rsid w:val="00CE0184"/>
    <w:rsid w:val="00CE5238"/>
    <w:rsid w:val="00CE6389"/>
    <w:rsid w:val="00CE7514"/>
    <w:rsid w:val="00CF1F3E"/>
    <w:rsid w:val="00CF3E26"/>
    <w:rsid w:val="00D01204"/>
    <w:rsid w:val="00D061B3"/>
    <w:rsid w:val="00D07A96"/>
    <w:rsid w:val="00D101BA"/>
    <w:rsid w:val="00D11B46"/>
    <w:rsid w:val="00D13BCF"/>
    <w:rsid w:val="00D157E1"/>
    <w:rsid w:val="00D166EB"/>
    <w:rsid w:val="00D17319"/>
    <w:rsid w:val="00D21E98"/>
    <w:rsid w:val="00D248DE"/>
    <w:rsid w:val="00D25165"/>
    <w:rsid w:val="00D30140"/>
    <w:rsid w:val="00D36071"/>
    <w:rsid w:val="00D516D8"/>
    <w:rsid w:val="00D66985"/>
    <w:rsid w:val="00D71A76"/>
    <w:rsid w:val="00D77316"/>
    <w:rsid w:val="00D8542D"/>
    <w:rsid w:val="00D90430"/>
    <w:rsid w:val="00D91573"/>
    <w:rsid w:val="00D924E9"/>
    <w:rsid w:val="00D9310A"/>
    <w:rsid w:val="00D933DB"/>
    <w:rsid w:val="00D968FE"/>
    <w:rsid w:val="00D96F94"/>
    <w:rsid w:val="00DA3351"/>
    <w:rsid w:val="00DA4398"/>
    <w:rsid w:val="00DB01EA"/>
    <w:rsid w:val="00DB309D"/>
    <w:rsid w:val="00DB4EFF"/>
    <w:rsid w:val="00DB746C"/>
    <w:rsid w:val="00DB79BF"/>
    <w:rsid w:val="00DC2E6C"/>
    <w:rsid w:val="00DC4038"/>
    <w:rsid w:val="00DC6A71"/>
    <w:rsid w:val="00DD0C50"/>
    <w:rsid w:val="00DD1A36"/>
    <w:rsid w:val="00DD64A2"/>
    <w:rsid w:val="00DE0E29"/>
    <w:rsid w:val="00DE6CD0"/>
    <w:rsid w:val="00DF3993"/>
    <w:rsid w:val="00E001BD"/>
    <w:rsid w:val="00E0357D"/>
    <w:rsid w:val="00E106B8"/>
    <w:rsid w:val="00E10DFD"/>
    <w:rsid w:val="00E13740"/>
    <w:rsid w:val="00E154C8"/>
    <w:rsid w:val="00E32E97"/>
    <w:rsid w:val="00E42EA6"/>
    <w:rsid w:val="00E51FBB"/>
    <w:rsid w:val="00E54545"/>
    <w:rsid w:val="00E55140"/>
    <w:rsid w:val="00E552BC"/>
    <w:rsid w:val="00E61771"/>
    <w:rsid w:val="00E731D0"/>
    <w:rsid w:val="00E73E02"/>
    <w:rsid w:val="00E82916"/>
    <w:rsid w:val="00E8676D"/>
    <w:rsid w:val="00E91350"/>
    <w:rsid w:val="00E93E40"/>
    <w:rsid w:val="00EA0EA6"/>
    <w:rsid w:val="00EA1E6D"/>
    <w:rsid w:val="00EB6192"/>
    <w:rsid w:val="00EC0B87"/>
    <w:rsid w:val="00EC5EF8"/>
    <w:rsid w:val="00ED12AD"/>
    <w:rsid w:val="00ED1C3E"/>
    <w:rsid w:val="00ED55A0"/>
    <w:rsid w:val="00ED77BD"/>
    <w:rsid w:val="00EE2744"/>
    <w:rsid w:val="00EE31CE"/>
    <w:rsid w:val="00EE7AFF"/>
    <w:rsid w:val="00EF4842"/>
    <w:rsid w:val="00F00B42"/>
    <w:rsid w:val="00F01504"/>
    <w:rsid w:val="00F01A86"/>
    <w:rsid w:val="00F0343E"/>
    <w:rsid w:val="00F05849"/>
    <w:rsid w:val="00F14BF5"/>
    <w:rsid w:val="00F1503A"/>
    <w:rsid w:val="00F240BB"/>
    <w:rsid w:val="00F242FC"/>
    <w:rsid w:val="00F31F53"/>
    <w:rsid w:val="00F33470"/>
    <w:rsid w:val="00F33A7F"/>
    <w:rsid w:val="00F37871"/>
    <w:rsid w:val="00F37C3F"/>
    <w:rsid w:val="00F37D5F"/>
    <w:rsid w:val="00F4168C"/>
    <w:rsid w:val="00F45CE0"/>
    <w:rsid w:val="00F50581"/>
    <w:rsid w:val="00F53336"/>
    <w:rsid w:val="00F544CC"/>
    <w:rsid w:val="00F5515B"/>
    <w:rsid w:val="00F57FED"/>
    <w:rsid w:val="00F6257B"/>
    <w:rsid w:val="00F671A5"/>
    <w:rsid w:val="00F7412A"/>
    <w:rsid w:val="00F851BA"/>
    <w:rsid w:val="00F86C7E"/>
    <w:rsid w:val="00FA76F1"/>
    <w:rsid w:val="00FB293F"/>
    <w:rsid w:val="00FB58A2"/>
    <w:rsid w:val="00FB768E"/>
    <w:rsid w:val="00FC44F1"/>
    <w:rsid w:val="00FD15C0"/>
    <w:rsid w:val="00FE7A1E"/>
    <w:rsid w:val="00FF0AB3"/>
    <w:rsid w:val="00FF25D5"/>
    <w:rsid w:val="00FF3BD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BF06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E5F6C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86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3Znak">
    <w:name w:val="Naslov 3 Znak"/>
    <w:link w:val="Naslov3"/>
    <w:semiHidden/>
    <w:rsid w:val="00E8676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E8676D"/>
    <w:rPr>
      <w:szCs w:val="20"/>
    </w:rPr>
  </w:style>
  <w:style w:type="character" w:customStyle="1" w:styleId="Sprotnaopomba-besediloZnak">
    <w:name w:val="Sprotna opomba - besedilo Znak"/>
    <w:link w:val="Sprotnaopomba-besedilo"/>
    <w:rsid w:val="00E8676D"/>
    <w:rPr>
      <w:rFonts w:ascii="Arial" w:hAnsi="Arial"/>
      <w:lang w:val="en-US" w:eastAsia="en-US"/>
    </w:rPr>
  </w:style>
  <w:style w:type="character" w:styleId="Sprotnaopomba-sklic">
    <w:name w:val="footnote reference"/>
    <w:rsid w:val="00E8676D"/>
    <w:rPr>
      <w:vertAlign w:val="superscript"/>
    </w:rPr>
  </w:style>
  <w:style w:type="paragraph" w:styleId="Besedilooblaka">
    <w:name w:val="Balloon Text"/>
    <w:basedOn w:val="Navaden"/>
    <w:link w:val="BesedilooblakaZnak"/>
    <w:rsid w:val="00051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511B8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CA241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A241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A241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A241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A2411"/>
    <w:rPr>
      <w:rFonts w:ascii="Arial" w:hAnsi="Arial"/>
      <w:b/>
      <w:bCs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17C2B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17C2B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qFormat/>
    <w:rsid w:val="00CD7838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CD7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Revizija">
    <w:name w:val="Revision"/>
    <w:hidden/>
    <w:uiPriority w:val="99"/>
    <w:semiHidden/>
    <w:rsid w:val="000A582D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A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D9B3-C19A-413B-8B9F-9563D58C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2024-04-08T12:59:00Z</dcterms:created>
  <dcterms:modified xsi:type="dcterms:W3CDTF">2024-04-29T06:15:00Z</dcterms:modified>
</cp:coreProperties>
</file>