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45" w:rsidRPr="004B5E45" w:rsidRDefault="004B5E45" w:rsidP="004B5E45">
      <w:pPr>
        <w:spacing w:line="360" w:lineRule="auto"/>
        <w:rPr>
          <w:rFonts w:ascii="Arial" w:hAnsi="Arial" w:cs="Arial"/>
          <w:b/>
          <w:bCs/>
          <w:iCs/>
          <w:noProof/>
          <w:sz w:val="28"/>
          <w:szCs w:val="28"/>
          <w:lang w:eastAsia="sl-SI"/>
        </w:rPr>
      </w:pPr>
      <w:r w:rsidRPr="004B5E45">
        <w:rPr>
          <w:rFonts w:ascii="Arial" w:hAnsi="Arial" w:cs="Arial"/>
          <w:b/>
          <w:bCs/>
          <w:iCs/>
          <w:sz w:val="28"/>
        </w:rPr>
        <w:t xml:space="preserve">                          </w:t>
      </w:r>
      <w:r w:rsidRPr="004B5E45">
        <w:rPr>
          <w:rFonts w:ascii="Arial" w:hAnsi="Arial" w:cs="Arial"/>
          <w:b/>
          <w:bCs/>
          <w:iCs/>
          <w:noProof/>
          <w:sz w:val="28"/>
          <w:szCs w:val="28"/>
          <w:lang w:eastAsia="sl-SI"/>
        </w:rPr>
        <w:drawing>
          <wp:inline distT="0" distB="0" distL="0" distR="0" wp14:anchorId="4AC7D6F2" wp14:editId="6F8DEEA2">
            <wp:extent cx="2484407" cy="4836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2415" cy="485182"/>
                    </a:xfrm>
                    <a:prstGeom prst="rect">
                      <a:avLst/>
                    </a:prstGeom>
                    <a:noFill/>
                    <a:ln>
                      <a:noFill/>
                    </a:ln>
                  </pic:spPr>
                </pic:pic>
              </a:graphicData>
            </a:graphic>
          </wp:inline>
        </w:drawing>
      </w:r>
      <w:r w:rsidRPr="004B5E45">
        <w:rPr>
          <w:rFonts w:ascii="Arial" w:hAnsi="Arial" w:cs="Arial"/>
          <w:b/>
          <w:bCs/>
          <w:iCs/>
          <w:noProof/>
          <w:sz w:val="28"/>
          <w:szCs w:val="28"/>
          <w:lang w:eastAsia="sl-SI"/>
        </w:rPr>
        <w:t xml:space="preserve"> </w:t>
      </w:r>
    </w:p>
    <w:p w:rsidR="004B5E45" w:rsidRPr="004B5E45" w:rsidRDefault="004B5E45" w:rsidP="004B5E45">
      <w:pPr>
        <w:spacing w:line="360" w:lineRule="auto"/>
        <w:rPr>
          <w:rFonts w:ascii="Arial" w:hAnsi="Arial" w:cs="Arial"/>
          <w:b/>
          <w:bCs/>
          <w:iCs/>
          <w:noProof/>
          <w:sz w:val="28"/>
          <w:szCs w:val="28"/>
          <w:lang w:eastAsia="sl-SI"/>
        </w:rPr>
      </w:pPr>
    </w:p>
    <w:p w:rsidR="004B5E45" w:rsidRPr="004B5E45" w:rsidRDefault="004B5E45" w:rsidP="004B5E45">
      <w:pPr>
        <w:spacing w:line="360" w:lineRule="auto"/>
        <w:rPr>
          <w:rFonts w:ascii="Arial" w:hAnsi="Arial" w:cs="Arial"/>
          <w:b/>
          <w:bCs/>
          <w:iCs/>
          <w:noProof/>
          <w:sz w:val="28"/>
          <w:szCs w:val="28"/>
          <w:lang w:eastAsia="sl-SI"/>
        </w:rPr>
      </w:pPr>
    </w:p>
    <w:p w:rsidR="004B5E45" w:rsidRPr="004B5E45" w:rsidRDefault="004B5E45" w:rsidP="004B5E45">
      <w:pPr>
        <w:spacing w:line="360" w:lineRule="auto"/>
        <w:rPr>
          <w:rFonts w:ascii="Arial" w:hAnsi="Arial" w:cs="Arial"/>
          <w:b/>
          <w:bCs/>
          <w:iCs/>
          <w:noProof/>
          <w:sz w:val="28"/>
          <w:szCs w:val="28"/>
          <w:lang w:eastAsia="sl-SI"/>
        </w:rPr>
      </w:pPr>
    </w:p>
    <w:p w:rsidR="004B5E45" w:rsidRPr="004B5E45" w:rsidRDefault="004B5E45" w:rsidP="004B5E45">
      <w:pPr>
        <w:spacing w:line="360" w:lineRule="auto"/>
        <w:rPr>
          <w:rFonts w:ascii="Arial" w:hAnsi="Arial" w:cs="Arial"/>
          <w:b/>
          <w:bCs/>
          <w:iCs/>
          <w:noProof/>
          <w:sz w:val="28"/>
          <w:szCs w:val="28"/>
          <w:lang w:eastAsia="sl-SI"/>
        </w:rPr>
      </w:pPr>
    </w:p>
    <w:p w:rsidR="004B5E45" w:rsidRPr="004B5E45" w:rsidRDefault="004B5E45" w:rsidP="004B5E45">
      <w:pPr>
        <w:spacing w:line="360" w:lineRule="auto"/>
        <w:rPr>
          <w:rFonts w:ascii="Arial" w:hAnsi="Arial" w:cs="Arial"/>
          <w:b/>
          <w:bCs/>
          <w:iCs/>
          <w:noProof/>
          <w:sz w:val="28"/>
          <w:szCs w:val="28"/>
          <w:lang w:eastAsia="sl-SI"/>
        </w:rPr>
      </w:pPr>
    </w:p>
    <w:p w:rsidR="004B5E45" w:rsidRPr="004B5E45" w:rsidRDefault="004B5E45" w:rsidP="004B5E45">
      <w:pPr>
        <w:spacing w:line="360" w:lineRule="auto"/>
        <w:rPr>
          <w:rFonts w:ascii="Arial" w:hAnsi="Arial" w:cs="Arial"/>
          <w:b/>
          <w:bCs/>
          <w:iCs/>
          <w:noProof/>
          <w:sz w:val="28"/>
          <w:szCs w:val="28"/>
          <w:lang w:eastAsia="sl-SI"/>
        </w:rPr>
      </w:pPr>
    </w:p>
    <w:p w:rsidR="004B5E45" w:rsidRPr="004B5E45" w:rsidRDefault="004B5E45" w:rsidP="004B5E45">
      <w:pPr>
        <w:spacing w:line="360" w:lineRule="auto"/>
        <w:rPr>
          <w:rFonts w:ascii="Arial" w:hAnsi="Arial" w:cs="Arial"/>
          <w:b/>
          <w:bCs/>
          <w:iCs/>
          <w:noProof/>
          <w:sz w:val="28"/>
          <w:szCs w:val="28"/>
          <w:lang w:eastAsia="sl-SI"/>
        </w:rPr>
      </w:pPr>
    </w:p>
    <w:p w:rsidR="004B5E45" w:rsidRPr="004B5E45" w:rsidRDefault="004B5E45" w:rsidP="004B5E45">
      <w:pPr>
        <w:spacing w:line="360" w:lineRule="auto"/>
        <w:rPr>
          <w:rFonts w:ascii="Arial" w:hAnsi="Arial" w:cs="Arial"/>
          <w:b/>
          <w:bCs/>
          <w:iCs/>
          <w:noProof/>
          <w:sz w:val="28"/>
          <w:szCs w:val="28"/>
          <w:lang w:eastAsia="sl-SI"/>
        </w:rPr>
      </w:pPr>
    </w:p>
    <w:p w:rsidR="004B5E45" w:rsidRPr="004B5E45" w:rsidRDefault="004B5E45" w:rsidP="004B5E45">
      <w:pPr>
        <w:spacing w:line="360" w:lineRule="auto"/>
        <w:rPr>
          <w:rFonts w:ascii="Arial" w:hAnsi="Arial" w:cs="Arial"/>
          <w:b/>
          <w:bCs/>
          <w:iCs/>
          <w:noProof/>
          <w:sz w:val="28"/>
          <w:szCs w:val="28"/>
          <w:lang w:eastAsia="sl-SI"/>
        </w:rPr>
      </w:pPr>
    </w:p>
    <w:p w:rsidR="004B5E45" w:rsidRPr="004B5E45" w:rsidRDefault="004B5E45" w:rsidP="004B5E45">
      <w:pPr>
        <w:jc w:val="center"/>
        <w:rPr>
          <w:rFonts w:ascii="Arial" w:hAnsi="Arial" w:cs="Arial"/>
          <w:b/>
          <w:bCs/>
          <w:iCs/>
          <w:noProof/>
          <w:sz w:val="36"/>
          <w:szCs w:val="36"/>
          <w:lang w:eastAsia="sl-SI"/>
        </w:rPr>
      </w:pPr>
      <w:r>
        <w:rPr>
          <w:rFonts w:ascii="Arial" w:hAnsi="Arial" w:cs="Arial"/>
          <w:b/>
          <w:bCs/>
          <w:iCs/>
          <w:noProof/>
          <w:sz w:val="36"/>
          <w:szCs w:val="36"/>
          <w:lang w:eastAsia="sl-SI"/>
        </w:rPr>
        <w:t>METODOLOGIJA DOLOČITVE MAKSIMALNEGA OBSEGA IZPOSTAVLJENOSTI</w:t>
      </w:r>
    </w:p>
    <w:p w:rsidR="004B5E45" w:rsidRPr="004B5E45" w:rsidRDefault="004B5E45" w:rsidP="004B5E45">
      <w:pPr>
        <w:spacing w:line="360" w:lineRule="auto"/>
        <w:jc w:val="center"/>
        <w:rPr>
          <w:rFonts w:ascii="Arial" w:hAnsi="Arial" w:cs="Arial"/>
          <w:bCs/>
          <w:iCs/>
          <w:noProof/>
          <w:szCs w:val="22"/>
          <w:lang w:eastAsia="sl-SI"/>
        </w:rPr>
      </w:pPr>
    </w:p>
    <w:p w:rsidR="004B5E45" w:rsidRPr="004B5E45" w:rsidRDefault="004B5E45" w:rsidP="004B5E45">
      <w:pPr>
        <w:spacing w:line="360" w:lineRule="auto"/>
        <w:jc w:val="center"/>
        <w:rPr>
          <w:rFonts w:ascii="Arial" w:hAnsi="Arial" w:cs="Arial"/>
          <w:bCs/>
          <w:iCs/>
          <w:noProof/>
          <w:szCs w:val="22"/>
          <w:lang w:eastAsia="sl-SI"/>
        </w:rPr>
      </w:pPr>
    </w:p>
    <w:p w:rsidR="004B5E45" w:rsidRPr="004B5E45" w:rsidRDefault="004B5E45" w:rsidP="004B5E45">
      <w:pPr>
        <w:spacing w:line="360" w:lineRule="auto"/>
        <w:jc w:val="center"/>
        <w:rPr>
          <w:rFonts w:ascii="Arial" w:hAnsi="Arial" w:cs="Arial"/>
          <w:bCs/>
          <w:iCs/>
          <w:noProof/>
          <w:szCs w:val="22"/>
          <w:lang w:eastAsia="sl-SI"/>
        </w:rPr>
      </w:pPr>
    </w:p>
    <w:p w:rsidR="004B5E45" w:rsidRPr="004B5E45" w:rsidRDefault="004B5E45" w:rsidP="004B5E45">
      <w:pPr>
        <w:spacing w:line="360" w:lineRule="auto"/>
        <w:jc w:val="center"/>
        <w:rPr>
          <w:rFonts w:ascii="Arial" w:hAnsi="Arial" w:cs="Arial"/>
          <w:bCs/>
          <w:iCs/>
          <w:noProof/>
          <w:szCs w:val="22"/>
          <w:lang w:eastAsia="sl-SI"/>
        </w:rPr>
      </w:pPr>
    </w:p>
    <w:p w:rsidR="004B5E45" w:rsidRPr="004B5E45" w:rsidRDefault="004B5E45" w:rsidP="004B5E45">
      <w:pPr>
        <w:spacing w:line="360" w:lineRule="auto"/>
        <w:jc w:val="center"/>
        <w:rPr>
          <w:rFonts w:ascii="Arial" w:hAnsi="Arial" w:cs="Arial"/>
          <w:bCs/>
          <w:iCs/>
          <w:noProof/>
          <w:szCs w:val="22"/>
          <w:lang w:eastAsia="sl-SI"/>
        </w:rPr>
      </w:pPr>
    </w:p>
    <w:p w:rsidR="004B5E45" w:rsidRPr="004B5E45" w:rsidRDefault="004B5E45" w:rsidP="004B5E45">
      <w:pPr>
        <w:spacing w:line="360" w:lineRule="auto"/>
        <w:jc w:val="center"/>
        <w:rPr>
          <w:rFonts w:ascii="Arial" w:hAnsi="Arial" w:cs="Arial"/>
          <w:bCs/>
          <w:iCs/>
          <w:noProof/>
          <w:szCs w:val="22"/>
          <w:lang w:eastAsia="sl-SI"/>
        </w:rPr>
      </w:pPr>
    </w:p>
    <w:p w:rsidR="004B5E45" w:rsidRPr="004B5E45" w:rsidRDefault="004B5E45" w:rsidP="004B5E45">
      <w:pPr>
        <w:spacing w:line="360" w:lineRule="auto"/>
        <w:jc w:val="center"/>
        <w:rPr>
          <w:rFonts w:ascii="Arial" w:hAnsi="Arial" w:cs="Arial"/>
          <w:bCs/>
          <w:iCs/>
          <w:noProof/>
          <w:szCs w:val="22"/>
          <w:lang w:eastAsia="sl-SI"/>
        </w:rPr>
      </w:pPr>
    </w:p>
    <w:p w:rsidR="004B5E45" w:rsidRPr="004B5E45" w:rsidRDefault="004B5E45" w:rsidP="004B5E45">
      <w:pPr>
        <w:spacing w:line="360" w:lineRule="auto"/>
        <w:jc w:val="center"/>
        <w:rPr>
          <w:rFonts w:ascii="Arial" w:hAnsi="Arial" w:cs="Arial"/>
          <w:bCs/>
          <w:iCs/>
          <w:noProof/>
          <w:szCs w:val="22"/>
          <w:lang w:eastAsia="sl-SI"/>
        </w:rPr>
      </w:pPr>
    </w:p>
    <w:p w:rsidR="004B5E45" w:rsidRPr="004B5E45" w:rsidRDefault="004B5E45" w:rsidP="004B5E45">
      <w:pPr>
        <w:spacing w:line="360" w:lineRule="auto"/>
        <w:jc w:val="center"/>
        <w:rPr>
          <w:rFonts w:ascii="Arial" w:hAnsi="Arial" w:cs="Arial"/>
          <w:bCs/>
          <w:iCs/>
          <w:noProof/>
          <w:szCs w:val="22"/>
          <w:lang w:eastAsia="sl-SI"/>
        </w:rPr>
      </w:pPr>
    </w:p>
    <w:p w:rsidR="004B5E45" w:rsidRPr="004B5E45" w:rsidRDefault="004B5E45" w:rsidP="004B5E45">
      <w:pPr>
        <w:spacing w:line="360" w:lineRule="auto"/>
        <w:jc w:val="center"/>
        <w:rPr>
          <w:rFonts w:ascii="Arial" w:hAnsi="Arial" w:cs="Arial"/>
          <w:bCs/>
          <w:iCs/>
          <w:noProof/>
          <w:szCs w:val="22"/>
          <w:lang w:eastAsia="sl-SI"/>
        </w:rPr>
      </w:pPr>
    </w:p>
    <w:p w:rsidR="004B5E45" w:rsidRDefault="004B5E45" w:rsidP="004B5E45">
      <w:pPr>
        <w:spacing w:line="360" w:lineRule="auto"/>
        <w:jc w:val="center"/>
        <w:rPr>
          <w:rFonts w:ascii="Arial" w:hAnsi="Arial" w:cs="Arial"/>
          <w:bCs/>
          <w:iCs/>
          <w:noProof/>
          <w:szCs w:val="22"/>
          <w:lang w:eastAsia="sl-SI"/>
        </w:rPr>
      </w:pPr>
    </w:p>
    <w:p w:rsidR="004B5E45" w:rsidRPr="004B5E45" w:rsidRDefault="004B5E45" w:rsidP="004B5E45">
      <w:pPr>
        <w:spacing w:line="360" w:lineRule="auto"/>
        <w:jc w:val="center"/>
        <w:rPr>
          <w:rFonts w:ascii="Arial" w:hAnsi="Arial" w:cs="Arial"/>
          <w:bCs/>
          <w:iCs/>
          <w:noProof/>
          <w:szCs w:val="22"/>
          <w:lang w:eastAsia="sl-SI"/>
        </w:rPr>
      </w:pPr>
    </w:p>
    <w:p w:rsidR="004B5E45" w:rsidRPr="004B5E45" w:rsidRDefault="004B5E45" w:rsidP="004B5E45">
      <w:pPr>
        <w:spacing w:line="360" w:lineRule="auto"/>
        <w:jc w:val="center"/>
        <w:rPr>
          <w:rFonts w:ascii="Arial" w:hAnsi="Arial" w:cs="Arial"/>
          <w:bCs/>
          <w:iCs/>
          <w:noProof/>
          <w:szCs w:val="22"/>
          <w:lang w:eastAsia="sl-SI"/>
        </w:rPr>
      </w:pPr>
    </w:p>
    <w:p w:rsidR="004B5E45" w:rsidRPr="004B5E45" w:rsidRDefault="004B5E45" w:rsidP="004B5E45">
      <w:pPr>
        <w:spacing w:line="360" w:lineRule="auto"/>
        <w:jc w:val="center"/>
        <w:rPr>
          <w:rFonts w:ascii="Arial" w:hAnsi="Arial" w:cs="Arial"/>
          <w:bCs/>
          <w:iCs/>
          <w:noProof/>
          <w:szCs w:val="22"/>
          <w:lang w:eastAsia="sl-SI"/>
        </w:rPr>
      </w:pPr>
    </w:p>
    <w:p w:rsidR="004B5E45" w:rsidRDefault="004B5E45" w:rsidP="004B5E45">
      <w:pPr>
        <w:spacing w:line="360" w:lineRule="auto"/>
        <w:jc w:val="center"/>
        <w:rPr>
          <w:rFonts w:ascii="Arial" w:hAnsi="Arial" w:cs="Arial"/>
          <w:bCs/>
          <w:iCs/>
          <w:noProof/>
          <w:szCs w:val="22"/>
          <w:lang w:eastAsia="sl-SI"/>
        </w:rPr>
      </w:pPr>
      <w:r>
        <w:rPr>
          <w:rFonts w:ascii="Arial" w:hAnsi="Arial" w:cs="Arial"/>
          <w:bCs/>
          <w:iCs/>
          <w:noProof/>
          <w:szCs w:val="22"/>
          <w:lang w:eastAsia="sl-SI"/>
        </w:rPr>
        <w:t>December</w:t>
      </w:r>
      <w:r w:rsidRPr="004B5E45">
        <w:rPr>
          <w:rFonts w:ascii="Arial" w:hAnsi="Arial" w:cs="Arial"/>
          <w:bCs/>
          <w:iCs/>
          <w:noProof/>
          <w:szCs w:val="22"/>
          <w:lang w:eastAsia="sl-SI"/>
        </w:rPr>
        <w:t>, 2017</w:t>
      </w:r>
    </w:p>
    <w:p w:rsidR="004B5E45" w:rsidRDefault="004B5E45" w:rsidP="004B5E45">
      <w:pPr>
        <w:spacing w:line="360" w:lineRule="auto"/>
        <w:jc w:val="center"/>
        <w:rPr>
          <w:rFonts w:ascii="Arial" w:hAnsi="Arial" w:cs="Arial"/>
          <w:bCs/>
          <w:iCs/>
          <w:noProof/>
          <w:szCs w:val="22"/>
          <w:lang w:eastAsia="sl-SI"/>
        </w:rPr>
      </w:pPr>
    </w:p>
    <w:p w:rsidR="004B5E45" w:rsidRPr="004B5E45" w:rsidRDefault="004B5E45" w:rsidP="004B5E45">
      <w:pPr>
        <w:spacing w:line="360" w:lineRule="auto"/>
        <w:jc w:val="center"/>
        <w:rPr>
          <w:rFonts w:ascii="Arial" w:hAnsi="Arial" w:cs="Arial"/>
          <w:bCs/>
          <w:iCs/>
          <w:szCs w:val="22"/>
        </w:rPr>
      </w:pPr>
    </w:p>
    <w:p w:rsidR="004B5E45" w:rsidRDefault="004B5E45">
      <w:pPr>
        <w:shd w:val="clear" w:color="auto" w:fill="auto"/>
        <w:jc w:val="left"/>
        <w:rPr>
          <w:rFonts w:ascii="Arial" w:hAnsi="Arial" w:cs="Arial"/>
          <w:b/>
          <w:bCs/>
          <w:iCs/>
          <w:sz w:val="28"/>
          <w:szCs w:val="24"/>
        </w:rPr>
      </w:pPr>
      <w:r>
        <w:rPr>
          <w:rFonts w:ascii="Arial" w:hAnsi="Arial" w:cs="Arial"/>
          <w:b/>
          <w:bCs/>
          <w:iCs/>
          <w:sz w:val="28"/>
          <w:szCs w:val="24"/>
        </w:rPr>
        <w:br w:type="page"/>
      </w:r>
    </w:p>
    <w:p w:rsidR="007C2283" w:rsidRPr="004B5E45" w:rsidRDefault="007C2283" w:rsidP="004B5E45">
      <w:pPr>
        <w:spacing w:line="360" w:lineRule="auto"/>
        <w:jc w:val="center"/>
        <w:rPr>
          <w:rFonts w:cs="Arial"/>
          <w:bCs/>
          <w:iCs/>
          <w:szCs w:val="22"/>
          <w:highlight w:val="yellow"/>
        </w:rPr>
      </w:pPr>
      <w:r w:rsidRPr="008220CC">
        <w:rPr>
          <w:rFonts w:ascii="Arial" w:hAnsi="Arial" w:cs="Arial"/>
          <w:b/>
          <w:bCs/>
          <w:iCs/>
          <w:sz w:val="28"/>
          <w:szCs w:val="24"/>
        </w:rPr>
        <w:lastRenderedPageBreak/>
        <w:t>Metodologija določitve maksimalnega obsega izpostavljenosti</w:t>
      </w:r>
    </w:p>
    <w:p w:rsidR="00162FAA" w:rsidRPr="008220CC" w:rsidRDefault="00162FAA" w:rsidP="00FC1AE4">
      <w:pPr>
        <w:shd w:val="clear" w:color="auto" w:fill="auto"/>
        <w:spacing w:after="200"/>
        <w:ind w:left="720"/>
        <w:contextualSpacing/>
        <w:jc w:val="left"/>
        <w:rPr>
          <w:rFonts w:ascii="Arial" w:hAnsi="Arial" w:cs="Arial"/>
          <w:b/>
          <w:bCs/>
          <w:iCs/>
          <w:sz w:val="28"/>
          <w:szCs w:val="24"/>
        </w:rPr>
      </w:pPr>
      <w:bookmarkStart w:id="0" w:name="_GoBack"/>
      <w:bookmarkEnd w:id="0"/>
    </w:p>
    <w:p w:rsidR="007C2283" w:rsidRPr="008220CC" w:rsidRDefault="007C2283" w:rsidP="00FC1AE4">
      <w:pPr>
        <w:numPr>
          <w:ilvl w:val="0"/>
          <w:numId w:val="58"/>
        </w:numPr>
        <w:shd w:val="clear" w:color="auto" w:fill="auto"/>
        <w:tabs>
          <w:tab w:val="left" w:pos="284"/>
        </w:tabs>
        <w:spacing w:line="260" w:lineRule="atLeast"/>
        <w:ind w:left="0" w:firstLine="0"/>
        <w:rPr>
          <w:rFonts w:ascii="Arial" w:hAnsi="Arial" w:cs="Arial"/>
          <w:b/>
          <w:szCs w:val="22"/>
        </w:rPr>
      </w:pPr>
      <w:r w:rsidRPr="008220CC">
        <w:rPr>
          <w:rFonts w:ascii="Arial" w:hAnsi="Arial" w:cs="Arial"/>
          <w:b/>
          <w:szCs w:val="22"/>
        </w:rPr>
        <w:t>Pravna podlaga</w:t>
      </w:r>
    </w:p>
    <w:p w:rsidR="007C2283" w:rsidRPr="008220CC" w:rsidRDefault="007C2283" w:rsidP="007554CF">
      <w:pPr>
        <w:shd w:val="clear" w:color="auto" w:fill="auto"/>
        <w:rPr>
          <w:rFonts w:ascii="Arial" w:hAnsi="Arial" w:cs="Arial"/>
          <w:b/>
          <w:szCs w:val="22"/>
        </w:rPr>
      </w:pPr>
    </w:p>
    <w:p w:rsidR="007C2283" w:rsidRPr="008220CC" w:rsidRDefault="007C2283" w:rsidP="0095168F">
      <w:pPr>
        <w:shd w:val="clear" w:color="auto" w:fill="auto"/>
        <w:spacing w:after="200" w:line="276" w:lineRule="auto"/>
        <w:rPr>
          <w:rFonts w:ascii="Arial" w:eastAsia="Calibri" w:hAnsi="Arial" w:cs="Arial"/>
          <w:szCs w:val="22"/>
        </w:rPr>
      </w:pPr>
      <w:r w:rsidRPr="008220CC">
        <w:rPr>
          <w:rFonts w:ascii="Arial" w:eastAsia="Calibri" w:hAnsi="Arial" w:cs="Arial"/>
          <w:szCs w:val="22"/>
        </w:rPr>
        <w:t>Zakon</w:t>
      </w:r>
      <w:r w:rsidR="00FD15ED" w:rsidRPr="008220CC">
        <w:rPr>
          <w:rFonts w:ascii="Arial" w:eastAsia="Calibri" w:hAnsi="Arial" w:cs="Arial"/>
          <w:szCs w:val="22"/>
        </w:rPr>
        <w:t>, ki ureja javne finance</w:t>
      </w:r>
      <w:r w:rsidR="00D42A9B">
        <w:rPr>
          <w:rFonts w:ascii="Arial" w:eastAsia="Calibri" w:hAnsi="Arial" w:cs="Arial"/>
          <w:szCs w:val="22"/>
        </w:rPr>
        <w:t xml:space="preserve"> </w:t>
      </w:r>
      <w:r w:rsidRPr="008220CC">
        <w:rPr>
          <w:rFonts w:ascii="Arial" w:eastAsia="Calibri" w:hAnsi="Arial" w:cs="Arial"/>
          <w:szCs w:val="22"/>
        </w:rPr>
        <w:t>(v nadaljnjem besedilu: ZJF)</w:t>
      </w:r>
      <w:r w:rsidR="009628A4" w:rsidRPr="008220CC">
        <w:rPr>
          <w:rFonts w:ascii="Arial" w:eastAsia="Calibri" w:hAnsi="Arial" w:cs="Arial"/>
          <w:szCs w:val="22"/>
        </w:rPr>
        <w:t>,</w:t>
      </w:r>
      <w:r w:rsidRPr="008220CC">
        <w:rPr>
          <w:rFonts w:ascii="Arial" w:eastAsia="Calibri" w:hAnsi="Arial" w:cs="Arial"/>
          <w:szCs w:val="22"/>
        </w:rPr>
        <w:t xml:space="preserve"> določa, da upravljavec</w:t>
      </w:r>
      <w:r w:rsidR="00E37F47" w:rsidRPr="008220CC">
        <w:rPr>
          <w:rFonts w:ascii="Arial" w:eastAsia="Calibri" w:hAnsi="Arial" w:cs="Arial"/>
          <w:szCs w:val="22"/>
        </w:rPr>
        <w:t xml:space="preserve"> sredstev sistema </w:t>
      </w:r>
      <w:r w:rsidR="00370C7D" w:rsidRPr="008220CC">
        <w:rPr>
          <w:rFonts w:ascii="Arial" w:eastAsia="Calibri" w:hAnsi="Arial" w:cs="Arial"/>
          <w:szCs w:val="22"/>
        </w:rPr>
        <w:t xml:space="preserve">enotnega zakladniškega računa države </w:t>
      </w:r>
      <w:r w:rsidR="00E37F47" w:rsidRPr="008220CC">
        <w:rPr>
          <w:rFonts w:ascii="Arial" w:eastAsia="Calibri" w:hAnsi="Arial" w:cs="Arial"/>
          <w:szCs w:val="22"/>
        </w:rPr>
        <w:t>(v nadaljnjem besedilu: upravljavec EZRD)</w:t>
      </w:r>
      <w:r w:rsidRPr="008220CC">
        <w:rPr>
          <w:rFonts w:ascii="Arial" w:eastAsia="Calibri" w:hAnsi="Arial" w:cs="Arial"/>
          <w:szCs w:val="22"/>
        </w:rPr>
        <w:t xml:space="preserve"> upravlja </w:t>
      </w:r>
      <w:r w:rsidR="00D42A9B">
        <w:rPr>
          <w:rFonts w:ascii="Arial" w:eastAsia="Calibri" w:hAnsi="Arial" w:cs="Arial"/>
          <w:szCs w:val="22"/>
        </w:rPr>
        <w:t>z</w:t>
      </w:r>
      <w:r w:rsidRPr="008220CC">
        <w:rPr>
          <w:rFonts w:ascii="Arial" w:eastAsia="Calibri" w:hAnsi="Arial" w:cs="Arial"/>
          <w:szCs w:val="22"/>
        </w:rPr>
        <w:t xml:space="preserve"> </w:t>
      </w:r>
      <w:r w:rsidR="006C71B3" w:rsidRPr="008220CC">
        <w:rPr>
          <w:rFonts w:ascii="Arial" w:eastAsia="Calibri" w:hAnsi="Arial" w:cs="Arial"/>
          <w:szCs w:val="22"/>
        </w:rPr>
        <w:t xml:space="preserve">denarnimi </w:t>
      </w:r>
      <w:r w:rsidRPr="008220CC">
        <w:rPr>
          <w:rFonts w:ascii="Arial" w:eastAsia="Calibri" w:hAnsi="Arial" w:cs="Arial"/>
          <w:szCs w:val="22"/>
        </w:rPr>
        <w:t xml:space="preserve">sredstvi sistema EZRD v skladu z načeli varnosti, likvidnosti in donosnosti. Denarna sredstva sistema </w:t>
      </w:r>
      <w:r w:rsidR="006C71B3" w:rsidRPr="008220CC">
        <w:rPr>
          <w:rFonts w:ascii="Arial" w:eastAsia="Calibri" w:hAnsi="Arial" w:cs="Arial"/>
          <w:szCs w:val="22"/>
        </w:rPr>
        <w:t>EZRD</w:t>
      </w:r>
      <w:r w:rsidRPr="008220CC">
        <w:rPr>
          <w:rFonts w:ascii="Arial" w:eastAsia="Calibri" w:hAnsi="Arial" w:cs="Arial"/>
          <w:szCs w:val="22"/>
        </w:rPr>
        <w:t xml:space="preserve"> lahko upravljavec EZRD nalaga v Banko Slovenije in banke</w:t>
      </w:r>
      <w:r w:rsidR="002C6E5E" w:rsidRPr="008220CC">
        <w:rPr>
          <w:rFonts w:ascii="Arial" w:eastAsia="Calibri" w:hAnsi="Arial" w:cs="Arial"/>
          <w:szCs w:val="22"/>
        </w:rPr>
        <w:t>.</w:t>
      </w:r>
    </w:p>
    <w:p w:rsidR="007C2283" w:rsidRPr="008220CC" w:rsidRDefault="007C2283" w:rsidP="0095168F">
      <w:pPr>
        <w:shd w:val="clear" w:color="auto" w:fill="auto"/>
        <w:spacing w:after="200" w:line="276" w:lineRule="auto"/>
        <w:rPr>
          <w:rFonts w:ascii="Arial" w:eastAsia="Calibri" w:hAnsi="Arial" w:cs="Arial"/>
          <w:szCs w:val="22"/>
        </w:rPr>
      </w:pPr>
      <w:r w:rsidRPr="008220CC">
        <w:rPr>
          <w:rFonts w:ascii="Arial" w:eastAsia="Calibri" w:hAnsi="Arial" w:cs="Arial"/>
          <w:szCs w:val="22"/>
        </w:rPr>
        <w:t xml:space="preserve">V skladu </w:t>
      </w:r>
      <w:r w:rsidR="00FD15ED" w:rsidRPr="008220CC">
        <w:rPr>
          <w:rFonts w:ascii="Arial" w:eastAsia="Calibri" w:hAnsi="Arial" w:cs="Arial"/>
          <w:szCs w:val="22"/>
        </w:rPr>
        <w:t>z</w:t>
      </w:r>
      <w:r w:rsidRPr="008220CC">
        <w:rPr>
          <w:rFonts w:ascii="Arial" w:eastAsia="Calibri" w:hAnsi="Arial" w:cs="Arial"/>
          <w:szCs w:val="22"/>
        </w:rPr>
        <w:t xml:space="preserve"> </w:t>
      </w:r>
      <w:r w:rsidR="00FD15ED" w:rsidRPr="008220CC">
        <w:rPr>
          <w:rFonts w:ascii="Arial" w:eastAsia="Calibri" w:hAnsi="Arial" w:cs="Arial"/>
          <w:szCs w:val="22"/>
        </w:rPr>
        <w:t xml:space="preserve">zakonom, ki ureja </w:t>
      </w:r>
      <w:r w:rsidRPr="008220CC">
        <w:rPr>
          <w:rFonts w:ascii="Arial" w:eastAsia="Calibri" w:hAnsi="Arial" w:cs="Arial"/>
          <w:szCs w:val="22"/>
        </w:rPr>
        <w:t>izvrševanj</w:t>
      </w:r>
      <w:r w:rsidR="00FD15ED" w:rsidRPr="008220CC">
        <w:rPr>
          <w:rFonts w:ascii="Arial" w:eastAsia="Calibri" w:hAnsi="Arial" w:cs="Arial"/>
          <w:szCs w:val="22"/>
        </w:rPr>
        <w:t>e</w:t>
      </w:r>
      <w:r w:rsidRPr="008220CC">
        <w:rPr>
          <w:rFonts w:ascii="Arial" w:eastAsia="Calibri" w:hAnsi="Arial" w:cs="Arial"/>
          <w:szCs w:val="22"/>
        </w:rPr>
        <w:t xml:space="preserve"> proračun</w:t>
      </w:r>
      <w:r w:rsidR="001B559E" w:rsidRPr="008220CC">
        <w:rPr>
          <w:rFonts w:ascii="Arial" w:eastAsia="Calibri" w:hAnsi="Arial" w:cs="Arial"/>
          <w:szCs w:val="22"/>
        </w:rPr>
        <w:t>a</w:t>
      </w:r>
      <w:r w:rsidRPr="008220CC">
        <w:rPr>
          <w:rFonts w:ascii="Arial" w:eastAsia="Calibri" w:hAnsi="Arial" w:cs="Arial"/>
          <w:szCs w:val="22"/>
        </w:rPr>
        <w:t xml:space="preserve"> Republike Slovenije</w:t>
      </w:r>
      <w:r w:rsidR="00FD15ED" w:rsidRPr="008220CC">
        <w:rPr>
          <w:rFonts w:ascii="Arial" w:eastAsia="Calibri" w:hAnsi="Arial" w:cs="Arial"/>
          <w:szCs w:val="22"/>
        </w:rPr>
        <w:t>,</w:t>
      </w:r>
      <w:r w:rsidR="001B559E" w:rsidRPr="008220CC">
        <w:rPr>
          <w:rFonts w:ascii="Arial" w:eastAsia="Calibri" w:hAnsi="Arial" w:cs="Arial"/>
          <w:szCs w:val="22"/>
        </w:rPr>
        <w:t xml:space="preserve"> </w:t>
      </w:r>
      <w:r w:rsidRPr="008220CC">
        <w:rPr>
          <w:rFonts w:ascii="Arial" w:eastAsia="Calibri" w:hAnsi="Arial" w:cs="Arial"/>
          <w:szCs w:val="22"/>
        </w:rPr>
        <w:t>lahko upravljavec EZRD nalaga denarna sredstva sistema EZRD tudi v državne zakladnice in zakladne menice držav evropske monetarne unije</w:t>
      </w:r>
      <w:r w:rsidR="009628A4" w:rsidRPr="008220CC">
        <w:rPr>
          <w:rFonts w:ascii="Arial" w:eastAsia="Calibri" w:hAnsi="Arial" w:cs="Arial"/>
          <w:szCs w:val="22"/>
        </w:rPr>
        <w:t xml:space="preserve"> (v nadaljnjem besedilu: EMU)</w:t>
      </w:r>
      <w:r w:rsidRPr="008220CC">
        <w:rPr>
          <w:rFonts w:ascii="Arial" w:eastAsia="Calibri" w:hAnsi="Arial" w:cs="Arial"/>
          <w:szCs w:val="22"/>
        </w:rPr>
        <w:t xml:space="preserve"> pod pogojem, da Republika Slovenija ni njena upnica po zakonu, ki opredeljuje dodelitev posojila državi evropske monetarne unije, in hra</w:t>
      </w:r>
      <w:r w:rsidR="00E06B81">
        <w:rPr>
          <w:rFonts w:ascii="Arial" w:eastAsia="Calibri" w:hAnsi="Arial" w:cs="Arial"/>
          <w:szCs w:val="22"/>
        </w:rPr>
        <w:t>nilnice v Republiki Sloveniji.</w:t>
      </w:r>
    </w:p>
    <w:p w:rsidR="00F12ABC" w:rsidRPr="008220CC" w:rsidRDefault="00F12ABC" w:rsidP="00FC1AE4">
      <w:pPr>
        <w:shd w:val="clear" w:color="auto" w:fill="auto"/>
        <w:spacing w:after="200"/>
        <w:ind w:left="720"/>
        <w:contextualSpacing/>
        <w:jc w:val="left"/>
        <w:rPr>
          <w:rFonts w:ascii="Arial" w:eastAsia="Calibri" w:hAnsi="Arial" w:cs="Arial"/>
          <w:b/>
          <w:szCs w:val="22"/>
        </w:rPr>
      </w:pPr>
    </w:p>
    <w:p w:rsidR="00F12ABC" w:rsidRPr="008220CC" w:rsidRDefault="00643DA1" w:rsidP="00FC1AE4">
      <w:pPr>
        <w:numPr>
          <w:ilvl w:val="0"/>
          <w:numId w:val="58"/>
        </w:numPr>
        <w:shd w:val="clear" w:color="auto" w:fill="auto"/>
        <w:tabs>
          <w:tab w:val="left" w:pos="284"/>
        </w:tabs>
        <w:spacing w:line="260" w:lineRule="atLeast"/>
        <w:ind w:left="0" w:firstLine="0"/>
        <w:rPr>
          <w:rFonts w:ascii="Arial" w:hAnsi="Arial" w:cs="Arial"/>
          <w:b/>
          <w:szCs w:val="22"/>
        </w:rPr>
      </w:pPr>
      <w:r w:rsidRPr="008220CC">
        <w:rPr>
          <w:rFonts w:ascii="Arial" w:hAnsi="Arial" w:cs="Arial"/>
          <w:b/>
          <w:szCs w:val="22"/>
        </w:rPr>
        <w:t xml:space="preserve"> </w:t>
      </w:r>
      <w:r w:rsidR="00F12ABC" w:rsidRPr="008220CC">
        <w:rPr>
          <w:rFonts w:ascii="Arial" w:hAnsi="Arial" w:cs="Arial"/>
          <w:b/>
          <w:szCs w:val="22"/>
        </w:rPr>
        <w:t>Področje urejanja</w:t>
      </w:r>
    </w:p>
    <w:p w:rsidR="007C2283" w:rsidRPr="008220CC" w:rsidRDefault="007C2283" w:rsidP="00FC1AE4">
      <w:pPr>
        <w:shd w:val="clear" w:color="auto" w:fill="auto"/>
        <w:rPr>
          <w:rFonts w:ascii="Arial" w:hAnsi="Arial" w:cs="Arial"/>
          <w:b/>
          <w:szCs w:val="22"/>
        </w:rPr>
      </w:pPr>
    </w:p>
    <w:p w:rsidR="00E06B81" w:rsidRDefault="007C2283" w:rsidP="0095168F">
      <w:pPr>
        <w:shd w:val="clear" w:color="auto" w:fill="auto"/>
        <w:spacing w:after="200" w:line="276" w:lineRule="auto"/>
        <w:rPr>
          <w:rFonts w:ascii="Arial" w:eastAsia="Calibri" w:hAnsi="Arial" w:cs="Arial"/>
          <w:szCs w:val="22"/>
        </w:rPr>
      </w:pPr>
      <w:r w:rsidRPr="008220CC">
        <w:rPr>
          <w:rFonts w:ascii="Arial" w:eastAsia="Calibri" w:hAnsi="Arial" w:cs="Arial"/>
          <w:szCs w:val="22"/>
        </w:rPr>
        <w:t xml:space="preserve">Metodologija določitve maksimalnega obsega izpostavljenosti (v nadaljnjem besedilu: metodologija) se uporablja za določitev maksimalne izpostavljenosti upravljavca EZRD do </w:t>
      </w:r>
      <w:r w:rsidR="00B50D2E" w:rsidRPr="008220CC">
        <w:rPr>
          <w:rFonts w:ascii="Arial" w:eastAsia="Calibri" w:hAnsi="Arial" w:cs="Arial"/>
          <w:szCs w:val="22"/>
        </w:rPr>
        <w:t xml:space="preserve">domačih </w:t>
      </w:r>
      <w:r w:rsidRPr="008220CC">
        <w:rPr>
          <w:rFonts w:ascii="Arial" w:eastAsia="Calibri" w:hAnsi="Arial" w:cs="Arial"/>
          <w:szCs w:val="22"/>
        </w:rPr>
        <w:t xml:space="preserve">bank in hranilnic, </w:t>
      </w:r>
      <w:r w:rsidR="00B50D2E" w:rsidRPr="008220CC">
        <w:rPr>
          <w:rFonts w:ascii="Arial" w:eastAsia="Calibri" w:hAnsi="Arial" w:cs="Arial"/>
          <w:szCs w:val="22"/>
        </w:rPr>
        <w:t>tujih</w:t>
      </w:r>
      <w:r w:rsidRPr="008220CC">
        <w:rPr>
          <w:rFonts w:ascii="Arial" w:eastAsia="Calibri" w:hAnsi="Arial" w:cs="Arial"/>
          <w:szCs w:val="22"/>
        </w:rPr>
        <w:t xml:space="preserve"> bank in državnih zakladnic</w:t>
      </w:r>
      <w:r w:rsidR="00AA4404" w:rsidRPr="008220CC">
        <w:rPr>
          <w:rFonts w:ascii="Arial" w:eastAsia="Calibri" w:hAnsi="Arial" w:cs="Arial"/>
          <w:szCs w:val="22"/>
        </w:rPr>
        <w:t xml:space="preserve"> EMU</w:t>
      </w:r>
      <w:r w:rsidRPr="008220CC">
        <w:rPr>
          <w:rFonts w:ascii="Arial" w:eastAsia="Calibri" w:hAnsi="Arial" w:cs="Arial"/>
          <w:szCs w:val="22"/>
        </w:rPr>
        <w:t xml:space="preserve"> (v nadaljnjem </w:t>
      </w:r>
      <w:r w:rsidR="00E06B81">
        <w:rPr>
          <w:rFonts w:ascii="Arial" w:eastAsia="Calibri" w:hAnsi="Arial" w:cs="Arial"/>
          <w:szCs w:val="22"/>
        </w:rPr>
        <w:t xml:space="preserve">besedilu: nasprotne stranke). </w:t>
      </w:r>
    </w:p>
    <w:p w:rsidR="00E06B81" w:rsidRPr="00FC1AE4" w:rsidRDefault="00E06B81" w:rsidP="00FC1AE4">
      <w:pPr>
        <w:shd w:val="clear" w:color="auto" w:fill="auto"/>
        <w:tabs>
          <w:tab w:val="left" w:pos="284"/>
        </w:tabs>
        <w:rPr>
          <w:rFonts w:ascii="Arial" w:hAnsi="Arial" w:cs="Arial"/>
          <w:b/>
          <w:szCs w:val="22"/>
        </w:rPr>
      </w:pPr>
    </w:p>
    <w:p w:rsidR="007C2283" w:rsidRPr="008220CC" w:rsidRDefault="007C2283" w:rsidP="00FC1AE4">
      <w:pPr>
        <w:numPr>
          <w:ilvl w:val="0"/>
          <w:numId w:val="58"/>
        </w:numPr>
        <w:shd w:val="clear" w:color="auto" w:fill="auto"/>
        <w:tabs>
          <w:tab w:val="left" w:pos="284"/>
        </w:tabs>
        <w:spacing w:line="260" w:lineRule="atLeast"/>
        <w:ind w:left="0" w:firstLine="0"/>
        <w:rPr>
          <w:rFonts w:ascii="Arial" w:hAnsi="Arial" w:cs="Arial"/>
          <w:b/>
          <w:szCs w:val="22"/>
        </w:rPr>
      </w:pPr>
      <w:r w:rsidRPr="008220CC">
        <w:rPr>
          <w:rFonts w:ascii="Arial" w:hAnsi="Arial" w:cs="Arial"/>
          <w:b/>
          <w:szCs w:val="22"/>
        </w:rPr>
        <w:t>Načel</w:t>
      </w:r>
      <w:r w:rsidR="00DA3BB7" w:rsidRPr="008220CC">
        <w:rPr>
          <w:rFonts w:ascii="Arial" w:hAnsi="Arial" w:cs="Arial"/>
          <w:b/>
          <w:szCs w:val="22"/>
        </w:rPr>
        <w:t>o varnosti</w:t>
      </w:r>
    </w:p>
    <w:p w:rsidR="007C2283" w:rsidRPr="008220CC" w:rsidRDefault="007C2283" w:rsidP="00FC1AE4">
      <w:pPr>
        <w:shd w:val="clear" w:color="auto" w:fill="auto"/>
        <w:rPr>
          <w:rFonts w:ascii="Arial" w:hAnsi="Arial" w:cs="Arial"/>
          <w:b/>
          <w:szCs w:val="22"/>
        </w:rPr>
      </w:pPr>
    </w:p>
    <w:p w:rsidR="007C2283" w:rsidRPr="008220CC" w:rsidRDefault="007C2283" w:rsidP="0095168F">
      <w:pPr>
        <w:shd w:val="clear" w:color="auto" w:fill="auto"/>
        <w:spacing w:after="200" w:line="276" w:lineRule="auto"/>
        <w:rPr>
          <w:rFonts w:ascii="Arial" w:eastAsia="Calibri" w:hAnsi="Arial" w:cs="Arial"/>
          <w:szCs w:val="22"/>
        </w:rPr>
      </w:pPr>
      <w:r w:rsidRPr="008220CC">
        <w:rPr>
          <w:rFonts w:ascii="Arial" w:eastAsia="Calibri" w:hAnsi="Arial" w:cs="Arial"/>
          <w:szCs w:val="22"/>
        </w:rPr>
        <w:t>Metodologija sledi načelu varnosti, katero je pred načeloma likvidnosti in donosnosti, kot to določ</w:t>
      </w:r>
      <w:r w:rsidR="00E06B81">
        <w:rPr>
          <w:rFonts w:ascii="Arial" w:eastAsia="Calibri" w:hAnsi="Arial" w:cs="Arial"/>
          <w:szCs w:val="22"/>
        </w:rPr>
        <w:t xml:space="preserve">a </w:t>
      </w:r>
      <w:r w:rsidRPr="008220CC">
        <w:rPr>
          <w:rFonts w:ascii="Arial" w:eastAsia="Calibri" w:hAnsi="Arial" w:cs="Arial"/>
          <w:szCs w:val="22"/>
        </w:rPr>
        <w:t xml:space="preserve">ZJF. </w:t>
      </w:r>
    </w:p>
    <w:p w:rsidR="007C2283" w:rsidRPr="008220CC" w:rsidRDefault="007C2283" w:rsidP="0095168F">
      <w:pPr>
        <w:shd w:val="clear" w:color="auto" w:fill="auto"/>
        <w:spacing w:after="200" w:line="276" w:lineRule="auto"/>
        <w:rPr>
          <w:rFonts w:ascii="Arial" w:eastAsia="Calibri" w:hAnsi="Arial" w:cs="Arial"/>
          <w:szCs w:val="22"/>
        </w:rPr>
      </w:pPr>
      <w:r w:rsidRPr="008220CC">
        <w:rPr>
          <w:rFonts w:ascii="Arial" w:eastAsia="Calibri" w:hAnsi="Arial" w:cs="Arial"/>
          <w:szCs w:val="22"/>
        </w:rPr>
        <w:t xml:space="preserve">V skladu z načelom varnosti nalaga upravljavec EZRD denarna sredstva sistema EZRD na način, da je tveganje njihovega </w:t>
      </w:r>
      <w:proofErr w:type="spellStart"/>
      <w:r w:rsidRPr="008220CC">
        <w:rPr>
          <w:rFonts w:ascii="Arial" w:eastAsia="Calibri" w:hAnsi="Arial" w:cs="Arial"/>
          <w:szCs w:val="22"/>
        </w:rPr>
        <w:t>nevračila</w:t>
      </w:r>
      <w:proofErr w:type="spellEnd"/>
      <w:r w:rsidRPr="008220CC">
        <w:rPr>
          <w:rFonts w:ascii="Arial" w:eastAsia="Calibri" w:hAnsi="Arial" w:cs="Arial"/>
          <w:szCs w:val="22"/>
        </w:rPr>
        <w:t xml:space="preserve"> </w:t>
      </w:r>
      <w:r w:rsidR="00C620BE" w:rsidRPr="008220CC">
        <w:rPr>
          <w:rFonts w:ascii="Arial" w:eastAsia="Calibri" w:hAnsi="Arial" w:cs="Arial"/>
          <w:szCs w:val="22"/>
        </w:rPr>
        <w:t>minimalno</w:t>
      </w:r>
      <w:r w:rsidRPr="008220CC">
        <w:rPr>
          <w:rFonts w:ascii="Arial" w:eastAsia="Calibri" w:hAnsi="Arial" w:cs="Arial"/>
          <w:szCs w:val="22"/>
        </w:rPr>
        <w:t>. Sledeč načelu temelji določanje maksimalne izpostavljenosti</w:t>
      </w:r>
      <w:r w:rsidR="00914940" w:rsidRPr="008220CC">
        <w:rPr>
          <w:rFonts w:ascii="Arial" w:eastAsia="Calibri" w:hAnsi="Arial" w:cs="Arial"/>
          <w:szCs w:val="22"/>
        </w:rPr>
        <w:t xml:space="preserve"> do posamezne nasprotne stranke</w:t>
      </w:r>
      <w:r w:rsidRPr="008220CC">
        <w:rPr>
          <w:rFonts w:ascii="Arial" w:eastAsia="Calibri" w:hAnsi="Arial" w:cs="Arial"/>
          <w:szCs w:val="22"/>
        </w:rPr>
        <w:t xml:space="preserve"> na kriterijih kot so bonitetna ocena,</w:t>
      </w:r>
      <w:r w:rsidR="00F91CF8" w:rsidRPr="008220CC">
        <w:rPr>
          <w:rFonts w:ascii="Arial" w:eastAsia="Calibri" w:hAnsi="Arial" w:cs="Arial"/>
          <w:szCs w:val="22"/>
        </w:rPr>
        <w:t xml:space="preserve"> </w:t>
      </w:r>
      <w:r w:rsidRPr="008220CC">
        <w:rPr>
          <w:rFonts w:ascii="Arial" w:eastAsia="Calibri" w:hAnsi="Arial" w:cs="Arial"/>
          <w:szCs w:val="22"/>
        </w:rPr>
        <w:t xml:space="preserve">bilančna vsota, </w:t>
      </w:r>
      <w:r w:rsidR="00D75B8D" w:rsidRPr="008220CC">
        <w:rPr>
          <w:rFonts w:ascii="Arial" w:eastAsia="Calibri" w:hAnsi="Arial" w:cs="Arial"/>
          <w:szCs w:val="22"/>
        </w:rPr>
        <w:t>bruto domači proizvod (</w:t>
      </w:r>
      <w:r w:rsidRPr="008220CC">
        <w:rPr>
          <w:rFonts w:ascii="Arial" w:eastAsia="Calibri" w:hAnsi="Arial" w:cs="Arial"/>
          <w:szCs w:val="22"/>
        </w:rPr>
        <w:t>BDP</w:t>
      </w:r>
      <w:r w:rsidR="00D75B8D" w:rsidRPr="008220CC">
        <w:rPr>
          <w:rFonts w:ascii="Arial" w:eastAsia="Calibri" w:hAnsi="Arial" w:cs="Arial"/>
          <w:szCs w:val="22"/>
        </w:rPr>
        <w:t>) države</w:t>
      </w:r>
      <w:r w:rsidR="00203EA0" w:rsidRPr="008220CC">
        <w:rPr>
          <w:rFonts w:ascii="Arial" w:eastAsia="Calibri" w:hAnsi="Arial" w:cs="Arial"/>
          <w:szCs w:val="22"/>
        </w:rPr>
        <w:t>,</w:t>
      </w:r>
      <w:r w:rsidRPr="008220CC">
        <w:rPr>
          <w:rFonts w:ascii="Arial" w:eastAsia="Calibri" w:hAnsi="Arial" w:cs="Arial"/>
          <w:szCs w:val="22"/>
        </w:rPr>
        <w:t xml:space="preserve"> stanje terjatev do </w:t>
      </w:r>
      <w:r w:rsidR="00B50D2E" w:rsidRPr="008220CC">
        <w:rPr>
          <w:rFonts w:ascii="Arial" w:eastAsia="Calibri" w:hAnsi="Arial" w:cs="Arial"/>
          <w:szCs w:val="22"/>
        </w:rPr>
        <w:t xml:space="preserve">proračuna </w:t>
      </w:r>
      <w:r w:rsidRPr="008220CC">
        <w:rPr>
          <w:rFonts w:ascii="Arial" w:eastAsia="Calibri" w:hAnsi="Arial" w:cs="Arial"/>
          <w:szCs w:val="22"/>
        </w:rPr>
        <w:t>Republike Slovenije</w:t>
      </w:r>
      <w:r w:rsidR="00203EA0" w:rsidRPr="008220CC">
        <w:rPr>
          <w:rFonts w:ascii="Arial" w:eastAsia="Calibri" w:hAnsi="Arial" w:cs="Arial"/>
          <w:szCs w:val="22"/>
        </w:rPr>
        <w:t xml:space="preserve"> in kapital</w:t>
      </w:r>
      <w:r w:rsidRPr="008220CC">
        <w:rPr>
          <w:rFonts w:ascii="Arial" w:eastAsia="Calibri" w:hAnsi="Arial" w:cs="Arial"/>
          <w:szCs w:val="22"/>
        </w:rPr>
        <w:t>. Metodologija zasleduje cilj optimalne razpršitve naložb denarnih sredstev</w:t>
      </w:r>
      <w:r w:rsidR="006C71B3" w:rsidRPr="008220CC">
        <w:rPr>
          <w:rFonts w:ascii="Arial" w:eastAsia="Calibri" w:hAnsi="Arial" w:cs="Arial"/>
          <w:szCs w:val="22"/>
        </w:rPr>
        <w:t xml:space="preserve"> sistema</w:t>
      </w:r>
      <w:r w:rsidR="005D1C2B">
        <w:rPr>
          <w:rFonts w:ascii="Arial" w:eastAsia="Calibri" w:hAnsi="Arial" w:cs="Arial"/>
          <w:szCs w:val="22"/>
        </w:rPr>
        <w:t xml:space="preserve"> EZRD.</w:t>
      </w:r>
    </w:p>
    <w:p w:rsidR="007C2283" w:rsidRPr="008220CC" w:rsidRDefault="007C2283" w:rsidP="0095168F">
      <w:pPr>
        <w:shd w:val="clear" w:color="auto" w:fill="auto"/>
        <w:spacing w:after="200" w:line="276" w:lineRule="auto"/>
        <w:rPr>
          <w:rFonts w:ascii="Arial" w:eastAsia="Calibri" w:hAnsi="Arial" w:cs="Arial"/>
          <w:szCs w:val="22"/>
        </w:rPr>
      </w:pPr>
      <w:r w:rsidRPr="008220CC">
        <w:rPr>
          <w:rFonts w:ascii="Arial" w:eastAsia="Calibri" w:hAnsi="Arial" w:cs="Arial"/>
          <w:szCs w:val="22"/>
        </w:rPr>
        <w:t xml:space="preserve">Uporaba internih pristopov za oceno bonitetnih ocen nasprotnih strank ni predvidena, saj: </w:t>
      </w:r>
    </w:p>
    <w:p w:rsidR="0095168F" w:rsidRPr="008220CC" w:rsidRDefault="007C2283" w:rsidP="00162FAA">
      <w:pPr>
        <w:pStyle w:val="ListParagraph"/>
        <w:numPr>
          <w:ilvl w:val="0"/>
          <w:numId w:val="54"/>
        </w:numPr>
        <w:jc w:val="both"/>
        <w:rPr>
          <w:rFonts w:cs="Arial"/>
        </w:rPr>
      </w:pPr>
      <w:r w:rsidRPr="008220CC">
        <w:rPr>
          <w:rFonts w:cs="Arial"/>
        </w:rPr>
        <w:t>je poslovanje bank in hranilnic podvrženo skrbnemu nadzoru pristojnih nadzornih organov</w:t>
      </w:r>
      <w:r w:rsidR="009C708A">
        <w:rPr>
          <w:rFonts w:cs="Arial"/>
        </w:rPr>
        <w:t>,</w:t>
      </w:r>
    </w:p>
    <w:p w:rsidR="00CE46CB" w:rsidRDefault="007C2283" w:rsidP="00162FAA">
      <w:pPr>
        <w:pStyle w:val="ListParagraph"/>
        <w:numPr>
          <w:ilvl w:val="0"/>
          <w:numId w:val="54"/>
        </w:numPr>
        <w:jc w:val="both"/>
        <w:rPr>
          <w:rFonts w:cs="Arial"/>
        </w:rPr>
      </w:pPr>
      <w:r w:rsidRPr="008220CC">
        <w:rPr>
          <w:rFonts w:cs="Arial"/>
        </w:rPr>
        <w:t>se upoštevajo bonitetne ocene zunanjih mednarodnih bonitetnih agencij (</w:t>
      </w:r>
      <w:proofErr w:type="spellStart"/>
      <w:r w:rsidRPr="008220CC">
        <w:rPr>
          <w:rFonts w:cs="Arial"/>
        </w:rPr>
        <w:t>Moody</w:t>
      </w:r>
      <w:proofErr w:type="spellEnd"/>
      <w:r w:rsidR="00610517">
        <w:rPr>
          <w:rFonts w:cs="Arial"/>
        </w:rPr>
        <w:t>'</w:t>
      </w:r>
      <w:r w:rsidRPr="008220CC">
        <w:rPr>
          <w:rFonts w:cs="Arial"/>
        </w:rPr>
        <w:t xml:space="preserve">s, </w:t>
      </w:r>
      <w:proofErr w:type="spellStart"/>
      <w:r w:rsidRPr="008220CC">
        <w:rPr>
          <w:rFonts w:cs="Arial"/>
        </w:rPr>
        <w:t>Fi</w:t>
      </w:r>
      <w:r w:rsidR="00CE46CB">
        <w:rPr>
          <w:rFonts w:cs="Arial"/>
        </w:rPr>
        <w:t>t</w:t>
      </w:r>
      <w:r w:rsidRPr="008220CC">
        <w:rPr>
          <w:rFonts w:cs="Arial"/>
        </w:rPr>
        <w:t>ch</w:t>
      </w:r>
      <w:proofErr w:type="spellEnd"/>
      <w:r w:rsidRPr="008220CC">
        <w:rPr>
          <w:rFonts w:cs="Arial"/>
        </w:rPr>
        <w:t xml:space="preserve"> in S&amp;P), katere preučujejo obširne in celovite kriterije za oceno bonitete banke oziroma drugih izdajateljev dolžniških finančnih instrumentov</w:t>
      </w:r>
      <w:r w:rsidR="009C708A">
        <w:rPr>
          <w:rFonts w:cs="Arial"/>
        </w:rPr>
        <w:t>,</w:t>
      </w:r>
    </w:p>
    <w:p w:rsidR="007A3BDF" w:rsidRDefault="007A3BDF" w:rsidP="00162FAA">
      <w:pPr>
        <w:pStyle w:val="ListParagraph"/>
        <w:numPr>
          <w:ilvl w:val="0"/>
          <w:numId w:val="54"/>
        </w:numPr>
        <w:jc w:val="both"/>
        <w:rPr>
          <w:rFonts w:cs="Arial"/>
        </w:rPr>
        <w:sectPr w:rsidR="007A3BDF" w:rsidSect="005E3D13">
          <w:headerReference w:type="default" r:id="rId10"/>
          <w:footerReference w:type="default" r:id="rId11"/>
          <w:pgSz w:w="11906" w:h="16838"/>
          <w:pgMar w:top="1418" w:right="1418" w:bottom="1418" w:left="1418" w:header="709" w:footer="709" w:gutter="0"/>
          <w:pgNumType w:start="0"/>
          <w:cols w:space="708"/>
          <w:titlePg/>
          <w:docGrid w:linePitch="360"/>
        </w:sectPr>
      </w:pPr>
    </w:p>
    <w:p w:rsidR="007C2283" w:rsidRPr="008220CC" w:rsidRDefault="007C2283" w:rsidP="00CE46CB">
      <w:pPr>
        <w:pStyle w:val="ListParagraph"/>
        <w:ind w:left="0"/>
        <w:jc w:val="both"/>
        <w:rPr>
          <w:rFonts w:cs="Arial"/>
        </w:rPr>
      </w:pPr>
    </w:p>
    <w:p w:rsidR="007C2283" w:rsidRPr="008220CC" w:rsidRDefault="007C2283" w:rsidP="00162FAA">
      <w:pPr>
        <w:pStyle w:val="ListParagraph"/>
        <w:numPr>
          <w:ilvl w:val="0"/>
          <w:numId w:val="54"/>
        </w:numPr>
        <w:jc w:val="both"/>
        <w:rPr>
          <w:rFonts w:cs="Arial"/>
        </w:rPr>
      </w:pPr>
      <w:r w:rsidRPr="008220CC">
        <w:rPr>
          <w:rFonts w:cs="Arial"/>
        </w:rPr>
        <w:t>notranje ocene ne bi imele vi</w:t>
      </w:r>
      <w:r w:rsidR="006C71B3" w:rsidRPr="008220CC">
        <w:rPr>
          <w:rFonts w:cs="Arial"/>
        </w:rPr>
        <w:t>šje</w:t>
      </w:r>
      <w:r w:rsidRPr="008220CC">
        <w:rPr>
          <w:rFonts w:cs="Arial"/>
        </w:rPr>
        <w:t xml:space="preserve"> dodane vrednosti. </w:t>
      </w:r>
    </w:p>
    <w:p w:rsidR="006B7100" w:rsidRPr="008220CC" w:rsidRDefault="006B7100" w:rsidP="00FC1AE4">
      <w:pPr>
        <w:shd w:val="clear" w:color="auto" w:fill="auto"/>
        <w:spacing w:after="200"/>
        <w:ind w:left="720"/>
        <w:contextualSpacing/>
        <w:jc w:val="left"/>
        <w:rPr>
          <w:rFonts w:ascii="Arial" w:hAnsi="Arial" w:cs="Arial"/>
          <w:b/>
          <w:szCs w:val="22"/>
        </w:rPr>
      </w:pPr>
    </w:p>
    <w:p w:rsidR="007C2283" w:rsidRPr="008220CC" w:rsidRDefault="007C2283" w:rsidP="00FC1AE4">
      <w:pPr>
        <w:numPr>
          <w:ilvl w:val="0"/>
          <w:numId w:val="58"/>
        </w:numPr>
        <w:shd w:val="clear" w:color="auto" w:fill="auto"/>
        <w:tabs>
          <w:tab w:val="left" w:pos="284"/>
        </w:tabs>
        <w:spacing w:line="260" w:lineRule="atLeast"/>
        <w:ind w:left="0" w:firstLine="0"/>
        <w:rPr>
          <w:rFonts w:ascii="Arial" w:hAnsi="Arial" w:cs="Arial"/>
          <w:b/>
          <w:szCs w:val="22"/>
        </w:rPr>
      </w:pPr>
      <w:r w:rsidRPr="008220CC">
        <w:rPr>
          <w:rFonts w:ascii="Arial" w:hAnsi="Arial" w:cs="Arial"/>
          <w:b/>
          <w:szCs w:val="22"/>
        </w:rPr>
        <w:t xml:space="preserve">Metodologija </w:t>
      </w:r>
    </w:p>
    <w:p w:rsidR="007C2283" w:rsidRPr="008220CC" w:rsidRDefault="007C2283" w:rsidP="00FC1AE4">
      <w:pPr>
        <w:rPr>
          <w:rFonts w:ascii="Arial" w:hAnsi="Arial" w:cs="Arial"/>
          <w:szCs w:val="22"/>
        </w:rPr>
      </w:pPr>
    </w:p>
    <w:p w:rsidR="007C2283" w:rsidRPr="008220CC" w:rsidRDefault="007C2283" w:rsidP="0095168F">
      <w:pPr>
        <w:shd w:val="clear" w:color="auto" w:fill="auto"/>
        <w:spacing w:after="200" w:line="276" w:lineRule="auto"/>
        <w:rPr>
          <w:rFonts w:ascii="Arial" w:eastAsia="Calibri" w:hAnsi="Arial" w:cs="Arial"/>
          <w:szCs w:val="22"/>
        </w:rPr>
      </w:pPr>
      <w:r w:rsidRPr="008220CC">
        <w:rPr>
          <w:rFonts w:ascii="Arial" w:eastAsia="Calibri" w:hAnsi="Arial" w:cs="Arial"/>
          <w:szCs w:val="22"/>
        </w:rPr>
        <w:t xml:space="preserve">Maksimalni obseg izpostavljenosti je definiran v deležu izpostavljenosti do posamezne skupine nasprotnih strank, </w:t>
      </w:r>
      <w:r w:rsidR="006C71B3" w:rsidRPr="008220CC">
        <w:rPr>
          <w:rFonts w:ascii="Arial" w:eastAsia="Calibri" w:hAnsi="Arial" w:cs="Arial"/>
          <w:szCs w:val="22"/>
        </w:rPr>
        <w:t>in sicer do</w:t>
      </w:r>
      <w:r w:rsidRPr="008220CC">
        <w:rPr>
          <w:rFonts w:ascii="Arial" w:eastAsia="Calibri" w:hAnsi="Arial" w:cs="Arial"/>
          <w:szCs w:val="22"/>
        </w:rPr>
        <w:t>:</w:t>
      </w:r>
    </w:p>
    <w:p w:rsidR="007C2283" w:rsidRPr="008220CC" w:rsidRDefault="007C2283" w:rsidP="00162FAA">
      <w:pPr>
        <w:pStyle w:val="ListParagraph"/>
        <w:numPr>
          <w:ilvl w:val="0"/>
          <w:numId w:val="54"/>
        </w:numPr>
        <w:jc w:val="both"/>
        <w:rPr>
          <w:rFonts w:cs="Arial"/>
        </w:rPr>
      </w:pPr>
      <w:r w:rsidRPr="008220CC">
        <w:rPr>
          <w:rFonts w:cs="Arial"/>
        </w:rPr>
        <w:t xml:space="preserve">skupine </w:t>
      </w:r>
      <w:r w:rsidR="00B50D2E" w:rsidRPr="008220CC">
        <w:rPr>
          <w:rFonts w:cs="Arial"/>
        </w:rPr>
        <w:t xml:space="preserve">domačih </w:t>
      </w:r>
      <w:r w:rsidRPr="008220CC">
        <w:rPr>
          <w:rFonts w:cs="Arial"/>
        </w:rPr>
        <w:t xml:space="preserve">bank in hranilnic, </w:t>
      </w:r>
    </w:p>
    <w:p w:rsidR="007C2283" w:rsidRPr="008220CC" w:rsidRDefault="007C2283" w:rsidP="00162FAA">
      <w:pPr>
        <w:pStyle w:val="ListParagraph"/>
        <w:numPr>
          <w:ilvl w:val="0"/>
          <w:numId w:val="54"/>
        </w:numPr>
        <w:jc w:val="both"/>
        <w:rPr>
          <w:rFonts w:cs="Arial"/>
        </w:rPr>
      </w:pPr>
      <w:r w:rsidRPr="008220CC">
        <w:rPr>
          <w:rFonts w:cs="Arial"/>
        </w:rPr>
        <w:t xml:space="preserve">skupine </w:t>
      </w:r>
      <w:r w:rsidR="00B50D2E" w:rsidRPr="008220CC">
        <w:rPr>
          <w:rFonts w:cs="Arial"/>
        </w:rPr>
        <w:t xml:space="preserve">tujih </w:t>
      </w:r>
      <w:r w:rsidRPr="008220CC">
        <w:rPr>
          <w:rFonts w:cs="Arial"/>
        </w:rPr>
        <w:t xml:space="preserve">bank in </w:t>
      </w:r>
    </w:p>
    <w:p w:rsidR="007C2283" w:rsidRPr="008220CC" w:rsidRDefault="007C2283" w:rsidP="00162FAA">
      <w:pPr>
        <w:pStyle w:val="ListParagraph"/>
        <w:numPr>
          <w:ilvl w:val="0"/>
          <w:numId w:val="54"/>
        </w:numPr>
        <w:jc w:val="both"/>
        <w:rPr>
          <w:rFonts w:cs="Arial"/>
        </w:rPr>
      </w:pPr>
      <w:r w:rsidRPr="008220CC">
        <w:rPr>
          <w:rFonts w:cs="Arial"/>
        </w:rPr>
        <w:t xml:space="preserve">skupine državnih zakladnic EMU. </w:t>
      </w:r>
    </w:p>
    <w:p w:rsidR="007C2283" w:rsidRPr="008220CC" w:rsidRDefault="007C2283" w:rsidP="0095168F">
      <w:pPr>
        <w:shd w:val="clear" w:color="auto" w:fill="auto"/>
        <w:spacing w:after="200" w:line="276" w:lineRule="auto"/>
        <w:rPr>
          <w:rFonts w:ascii="Arial" w:eastAsia="Calibri" w:hAnsi="Arial" w:cs="Arial"/>
          <w:szCs w:val="22"/>
        </w:rPr>
      </w:pPr>
      <w:r w:rsidRPr="008220CC">
        <w:rPr>
          <w:rFonts w:ascii="Arial" w:eastAsia="Calibri" w:hAnsi="Arial" w:cs="Arial"/>
          <w:szCs w:val="22"/>
        </w:rPr>
        <w:t xml:space="preserve">Znotraj posamezne skupine nasprotnih strank se izračuna maksimalni delež oziroma obseg izpostavljenosti do posamezne nasprotne stranke. </w:t>
      </w:r>
    </w:p>
    <w:p w:rsidR="00162FAA" w:rsidRPr="008220CC" w:rsidRDefault="00162FAA" w:rsidP="00FC1AE4">
      <w:pPr>
        <w:shd w:val="clear" w:color="auto" w:fill="auto"/>
        <w:spacing w:after="200"/>
        <w:ind w:left="720"/>
        <w:contextualSpacing/>
        <w:jc w:val="left"/>
        <w:rPr>
          <w:rFonts w:ascii="Arial" w:eastAsia="Calibri" w:hAnsi="Arial" w:cs="Arial"/>
          <w:szCs w:val="22"/>
        </w:rPr>
      </w:pPr>
    </w:p>
    <w:p w:rsidR="007C2283" w:rsidRPr="008220CC" w:rsidRDefault="00FC1AE4" w:rsidP="007C2283">
      <w:pPr>
        <w:shd w:val="clear" w:color="auto" w:fill="auto"/>
        <w:spacing w:line="260" w:lineRule="atLeast"/>
        <w:rPr>
          <w:rFonts w:ascii="Arial" w:hAnsi="Arial" w:cs="Arial"/>
          <w:b/>
          <w:szCs w:val="22"/>
        </w:rPr>
      </w:pPr>
      <w:r>
        <w:rPr>
          <w:rFonts w:ascii="Arial" w:hAnsi="Arial" w:cs="Arial"/>
          <w:b/>
          <w:szCs w:val="22"/>
        </w:rPr>
        <w:t xml:space="preserve">4.1. </w:t>
      </w:r>
      <w:r w:rsidR="007C2283" w:rsidRPr="008220CC">
        <w:rPr>
          <w:rFonts w:ascii="Arial" w:hAnsi="Arial" w:cs="Arial"/>
          <w:b/>
          <w:szCs w:val="22"/>
        </w:rPr>
        <w:t>Maksimalni obseg izpostavljenosti do posamezne skupine nasprotnih strank</w:t>
      </w:r>
    </w:p>
    <w:p w:rsidR="007C2283" w:rsidRPr="008220CC" w:rsidRDefault="007C2283" w:rsidP="00FC1AE4">
      <w:pPr>
        <w:shd w:val="clear" w:color="auto" w:fill="auto"/>
        <w:rPr>
          <w:rFonts w:ascii="Arial" w:hAnsi="Arial" w:cs="Arial"/>
          <w:szCs w:val="22"/>
        </w:rPr>
      </w:pPr>
    </w:p>
    <w:p w:rsidR="007C2283" w:rsidRPr="008220CC" w:rsidRDefault="007C2283" w:rsidP="0095168F">
      <w:pPr>
        <w:shd w:val="clear" w:color="auto" w:fill="auto"/>
        <w:spacing w:after="200" w:line="276" w:lineRule="auto"/>
        <w:rPr>
          <w:rFonts w:ascii="Arial" w:eastAsia="Calibri" w:hAnsi="Arial" w:cs="Arial"/>
          <w:szCs w:val="22"/>
        </w:rPr>
      </w:pPr>
      <w:r w:rsidRPr="008220CC">
        <w:rPr>
          <w:rFonts w:ascii="Arial" w:eastAsia="Calibri" w:hAnsi="Arial" w:cs="Arial"/>
          <w:szCs w:val="22"/>
        </w:rPr>
        <w:t>Maksimalni obseg izpostavljenosti do posamezne skupine nasprotnih strank se izrazi v deležu od celotnega obsega denarnih sredstev</w:t>
      </w:r>
      <w:r w:rsidR="00E37F47" w:rsidRPr="008220CC">
        <w:rPr>
          <w:rFonts w:ascii="Arial" w:eastAsia="Calibri" w:hAnsi="Arial" w:cs="Arial"/>
          <w:szCs w:val="22"/>
        </w:rPr>
        <w:t xml:space="preserve"> sistema EZRD</w:t>
      </w:r>
      <w:r w:rsidRPr="008220CC">
        <w:rPr>
          <w:rFonts w:ascii="Arial" w:eastAsia="Calibri" w:hAnsi="Arial" w:cs="Arial"/>
          <w:szCs w:val="22"/>
        </w:rPr>
        <w:t>, ki je na razpolago za nalaganje izven sistema EZRD</w:t>
      </w:r>
      <w:r w:rsidR="006C71B3" w:rsidRPr="008220CC">
        <w:rPr>
          <w:rFonts w:ascii="Arial" w:eastAsia="Calibri" w:hAnsi="Arial" w:cs="Arial"/>
          <w:szCs w:val="22"/>
        </w:rPr>
        <w:t>,</w:t>
      </w:r>
      <w:r w:rsidRPr="008220CC">
        <w:rPr>
          <w:rFonts w:ascii="Arial" w:eastAsia="Calibri" w:hAnsi="Arial" w:cs="Arial"/>
          <w:szCs w:val="22"/>
        </w:rPr>
        <w:t xml:space="preserve"> po naslednjih deležih:</w:t>
      </w:r>
    </w:p>
    <w:p w:rsidR="007C2283" w:rsidRPr="008220CC" w:rsidRDefault="007C2283" w:rsidP="007C2283">
      <w:pPr>
        <w:shd w:val="clear" w:color="auto" w:fill="auto"/>
        <w:spacing w:line="260" w:lineRule="atLeas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36"/>
      </w:tblGrid>
      <w:tr w:rsidR="007C2283" w:rsidRPr="008220CC" w:rsidTr="00401480">
        <w:tc>
          <w:tcPr>
            <w:tcW w:w="4503" w:type="dxa"/>
            <w:shd w:val="clear" w:color="auto" w:fill="auto"/>
          </w:tcPr>
          <w:p w:rsidR="007C2283" w:rsidRPr="008220CC" w:rsidRDefault="007C2283" w:rsidP="00CE3E44">
            <w:pPr>
              <w:widowControl w:val="0"/>
              <w:shd w:val="clear" w:color="auto" w:fill="auto"/>
              <w:spacing w:line="260" w:lineRule="atLeast"/>
              <w:rPr>
                <w:rFonts w:ascii="Arial" w:hAnsi="Arial" w:cs="Arial"/>
                <w:b/>
                <w:szCs w:val="22"/>
              </w:rPr>
            </w:pPr>
            <w:r w:rsidRPr="008220CC">
              <w:rPr>
                <w:rFonts w:ascii="Arial" w:hAnsi="Arial" w:cs="Arial"/>
                <w:b/>
                <w:szCs w:val="22"/>
              </w:rPr>
              <w:t>Skupina nasprotnih strank</w:t>
            </w:r>
          </w:p>
        </w:tc>
        <w:tc>
          <w:tcPr>
            <w:tcW w:w="4536" w:type="dxa"/>
            <w:shd w:val="clear" w:color="auto" w:fill="auto"/>
          </w:tcPr>
          <w:p w:rsidR="007C2283" w:rsidRPr="008220CC" w:rsidRDefault="007C2283" w:rsidP="00CE3E44">
            <w:pPr>
              <w:widowControl w:val="0"/>
              <w:shd w:val="clear" w:color="auto" w:fill="auto"/>
              <w:spacing w:line="260" w:lineRule="atLeast"/>
              <w:jc w:val="center"/>
              <w:rPr>
                <w:rFonts w:ascii="Arial" w:hAnsi="Arial" w:cs="Arial"/>
                <w:b/>
                <w:szCs w:val="22"/>
              </w:rPr>
            </w:pPr>
            <w:r w:rsidRPr="008220CC">
              <w:rPr>
                <w:rFonts w:ascii="Arial" w:hAnsi="Arial" w:cs="Arial"/>
                <w:b/>
                <w:szCs w:val="22"/>
              </w:rPr>
              <w:t xml:space="preserve">Delež celotnega obsega </w:t>
            </w:r>
            <w:r w:rsidR="00D75B8D" w:rsidRPr="008220CC">
              <w:rPr>
                <w:rFonts w:ascii="Arial" w:hAnsi="Arial" w:cs="Arial"/>
                <w:b/>
                <w:szCs w:val="22"/>
              </w:rPr>
              <w:t xml:space="preserve">denarnih sredstev </w:t>
            </w:r>
            <w:r w:rsidR="00E37F47" w:rsidRPr="008220CC">
              <w:rPr>
                <w:rFonts w:ascii="Arial" w:hAnsi="Arial" w:cs="Arial"/>
                <w:b/>
                <w:szCs w:val="22"/>
              </w:rPr>
              <w:t xml:space="preserve">sistema EZRD </w:t>
            </w:r>
            <w:r w:rsidRPr="008220CC">
              <w:rPr>
                <w:rFonts w:ascii="Arial" w:hAnsi="Arial" w:cs="Arial"/>
                <w:b/>
                <w:szCs w:val="22"/>
              </w:rPr>
              <w:t>za naložbe izven sistema EZRD</w:t>
            </w:r>
          </w:p>
        </w:tc>
      </w:tr>
      <w:tr w:rsidR="007C2283" w:rsidRPr="008220CC" w:rsidTr="00401480">
        <w:tc>
          <w:tcPr>
            <w:tcW w:w="4503" w:type="dxa"/>
            <w:shd w:val="clear" w:color="auto" w:fill="auto"/>
          </w:tcPr>
          <w:p w:rsidR="007C2283" w:rsidRPr="008220CC" w:rsidRDefault="00B50D2E" w:rsidP="00B50D2E">
            <w:pPr>
              <w:widowControl w:val="0"/>
              <w:shd w:val="clear" w:color="auto" w:fill="auto"/>
              <w:spacing w:line="260" w:lineRule="atLeast"/>
              <w:rPr>
                <w:rFonts w:ascii="Arial" w:hAnsi="Arial" w:cs="Arial"/>
                <w:b/>
                <w:szCs w:val="22"/>
              </w:rPr>
            </w:pPr>
            <w:r w:rsidRPr="008220CC">
              <w:rPr>
                <w:rFonts w:ascii="Arial" w:hAnsi="Arial" w:cs="Arial"/>
                <w:szCs w:val="22"/>
              </w:rPr>
              <w:t xml:space="preserve">domače </w:t>
            </w:r>
            <w:r w:rsidR="007C2283" w:rsidRPr="008220CC">
              <w:rPr>
                <w:rFonts w:ascii="Arial" w:hAnsi="Arial" w:cs="Arial"/>
                <w:szCs w:val="22"/>
              </w:rPr>
              <w:t xml:space="preserve">banke in hranilnice </w:t>
            </w:r>
          </w:p>
        </w:tc>
        <w:tc>
          <w:tcPr>
            <w:tcW w:w="4536" w:type="dxa"/>
            <w:shd w:val="clear" w:color="auto" w:fill="auto"/>
          </w:tcPr>
          <w:p w:rsidR="007C2283" w:rsidRPr="008220CC" w:rsidRDefault="007C2283" w:rsidP="00CE3E44">
            <w:pPr>
              <w:widowControl w:val="0"/>
              <w:shd w:val="clear" w:color="auto" w:fill="auto"/>
              <w:spacing w:line="260" w:lineRule="atLeast"/>
              <w:jc w:val="center"/>
              <w:rPr>
                <w:rFonts w:ascii="Arial" w:hAnsi="Arial" w:cs="Arial"/>
                <w:szCs w:val="22"/>
              </w:rPr>
            </w:pPr>
            <w:r w:rsidRPr="008220CC">
              <w:rPr>
                <w:rFonts w:ascii="Arial" w:hAnsi="Arial" w:cs="Arial"/>
                <w:szCs w:val="22"/>
              </w:rPr>
              <w:t>60 %</w:t>
            </w:r>
          </w:p>
        </w:tc>
      </w:tr>
      <w:tr w:rsidR="007C2283" w:rsidRPr="008220CC" w:rsidTr="00401480">
        <w:tc>
          <w:tcPr>
            <w:tcW w:w="4503" w:type="dxa"/>
            <w:shd w:val="clear" w:color="auto" w:fill="auto"/>
          </w:tcPr>
          <w:p w:rsidR="007C2283" w:rsidRPr="008220CC" w:rsidRDefault="00B50D2E" w:rsidP="00B50D2E">
            <w:pPr>
              <w:widowControl w:val="0"/>
              <w:shd w:val="clear" w:color="auto" w:fill="auto"/>
              <w:spacing w:line="260" w:lineRule="atLeast"/>
              <w:rPr>
                <w:rFonts w:ascii="Arial" w:hAnsi="Arial" w:cs="Arial"/>
                <w:b/>
                <w:szCs w:val="22"/>
              </w:rPr>
            </w:pPr>
            <w:r w:rsidRPr="008220CC">
              <w:rPr>
                <w:rFonts w:ascii="Arial" w:hAnsi="Arial" w:cs="Arial"/>
                <w:szCs w:val="22"/>
              </w:rPr>
              <w:t xml:space="preserve">tuje </w:t>
            </w:r>
            <w:r w:rsidR="007C2283" w:rsidRPr="008220CC">
              <w:rPr>
                <w:rFonts w:ascii="Arial" w:hAnsi="Arial" w:cs="Arial"/>
                <w:szCs w:val="22"/>
              </w:rPr>
              <w:t xml:space="preserve">banke </w:t>
            </w:r>
          </w:p>
        </w:tc>
        <w:tc>
          <w:tcPr>
            <w:tcW w:w="4536" w:type="dxa"/>
            <w:shd w:val="clear" w:color="auto" w:fill="auto"/>
          </w:tcPr>
          <w:p w:rsidR="007C2283" w:rsidRPr="008220CC" w:rsidRDefault="007C2283" w:rsidP="00CE3E44">
            <w:pPr>
              <w:widowControl w:val="0"/>
              <w:shd w:val="clear" w:color="auto" w:fill="auto"/>
              <w:spacing w:line="260" w:lineRule="atLeast"/>
              <w:jc w:val="center"/>
              <w:rPr>
                <w:rFonts w:ascii="Arial" w:hAnsi="Arial" w:cs="Arial"/>
                <w:szCs w:val="22"/>
              </w:rPr>
            </w:pPr>
            <w:r w:rsidRPr="008220CC">
              <w:rPr>
                <w:rFonts w:ascii="Arial" w:hAnsi="Arial" w:cs="Arial"/>
                <w:szCs w:val="22"/>
              </w:rPr>
              <w:t>80 %</w:t>
            </w:r>
          </w:p>
        </w:tc>
      </w:tr>
      <w:tr w:rsidR="007C2283" w:rsidRPr="008220CC" w:rsidTr="00401480">
        <w:tc>
          <w:tcPr>
            <w:tcW w:w="4503" w:type="dxa"/>
            <w:shd w:val="clear" w:color="auto" w:fill="auto"/>
          </w:tcPr>
          <w:p w:rsidR="007C2283" w:rsidRPr="008220CC" w:rsidRDefault="007C2283" w:rsidP="00CE3E44">
            <w:pPr>
              <w:widowControl w:val="0"/>
              <w:shd w:val="clear" w:color="auto" w:fill="auto"/>
              <w:spacing w:line="260" w:lineRule="atLeast"/>
              <w:rPr>
                <w:rFonts w:ascii="Arial" w:hAnsi="Arial" w:cs="Arial"/>
                <w:b/>
                <w:szCs w:val="22"/>
              </w:rPr>
            </w:pPr>
            <w:r w:rsidRPr="008220CC">
              <w:rPr>
                <w:rFonts w:ascii="Arial" w:hAnsi="Arial" w:cs="Arial"/>
                <w:szCs w:val="22"/>
              </w:rPr>
              <w:t>državne zakladnice EMU</w:t>
            </w:r>
          </w:p>
        </w:tc>
        <w:tc>
          <w:tcPr>
            <w:tcW w:w="4536" w:type="dxa"/>
            <w:shd w:val="clear" w:color="auto" w:fill="auto"/>
          </w:tcPr>
          <w:p w:rsidR="007C2283" w:rsidRPr="008220CC" w:rsidRDefault="007C2283" w:rsidP="00CE3E44">
            <w:pPr>
              <w:widowControl w:val="0"/>
              <w:shd w:val="clear" w:color="auto" w:fill="auto"/>
              <w:spacing w:line="260" w:lineRule="atLeast"/>
              <w:jc w:val="center"/>
              <w:rPr>
                <w:rFonts w:ascii="Arial" w:hAnsi="Arial" w:cs="Arial"/>
                <w:szCs w:val="22"/>
              </w:rPr>
            </w:pPr>
            <w:r w:rsidRPr="008220CC">
              <w:rPr>
                <w:rFonts w:ascii="Arial" w:hAnsi="Arial" w:cs="Arial"/>
                <w:szCs w:val="22"/>
              </w:rPr>
              <w:t>60 %</w:t>
            </w:r>
          </w:p>
        </w:tc>
      </w:tr>
    </w:tbl>
    <w:p w:rsidR="004B5E45" w:rsidRDefault="004B5E45" w:rsidP="00F33ABF">
      <w:pPr>
        <w:spacing w:after="200" w:line="276" w:lineRule="auto"/>
        <w:rPr>
          <w:rFonts w:ascii="Arial" w:eastAsia="Calibri" w:hAnsi="Arial" w:cs="Arial"/>
        </w:rPr>
      </w:pPr>
    </w:p>
    <w:p w:rsidR="00F33ABF" w:rsidRDefault="00F33ABF" w:rsidP="00F33ABF">
      <w:pPr>
        <w:spacing w:after="200" w:line="276" w:lineRule="auto"/>
        <w:rPr>
          <w:rFonts w:ascii="Arial" w:eastAsia="Calibri" w:hAnsi="Arial" w:cs="Arial"/>
        </w:rPr>
      </w:pPr>
      <w:r>
        <w:rPr>
          <w:rFonts w:ascii="Arial" w:eastAsia="Calibri" w:hAnsi="Arial" w:cs="Arial"/>
        </w:rPr>
        <w:t xml:space="preserve">Celotni obseg denarnih sredstev sistema EZRD za naložbe izven sistema EZRD predstavlja povprečje načrtovanega stanja bilančne vsote EZRD na koncu naslednjih dveh koledarskih let in se izračuna na vsaki dve leti.  </w:t>
      </w:r>
    </w:p>
    <w:p w:rsidR="00F33ABF" w:rsidRPr="008220CC" w:rsidRDefault="00610517" w:rsidP="0095168F">
      <w:pPr>
        <w:shd w:val="clear" w:color="auto" w:fill="auto"/>
        <w:spacing w:after="200" w:line="276" w:lineRule="auto"/>
        <w:rPr>
          <w:rFonts w:ascii="Arial" w:eastAsia="Calibri" w:hAnsi="Arial" w:cs="Arial"/>
          <w:szCs w:val="22"/>
        </w:rPr>
      </w:pPr>
      <w:r>
        <w:rPr>
          <w:rFonts w:ascii="Arial" w:eastAsia="Calibri" w:hAnsi="Arial" w:cs="Arial"/>
          <w:szCs w:val="22"/>
        </w:rPr>
        <w:t xml:space="preserve">Celotni obseg denarnih sredstev sistema EZRD </w:t>
      </w:r>
      <w:r w:rsidRPr="00610517">
        <w:rPr>
          <w:rFonts w:ascii="Arial" w:eastAsia="Calibri" w:hAnsi="Arial" w:cs="Arial"/>
          <w:szCs w:val="22"/>
        </w:rPr>
        <w:t>za naložbe izven sistema EZRD</w:t>
      </w:r>
      <w:r>
        <w:rPr>
          <w:rFonts w:ascii="Arial" w:eastAsia="Calibri" w:hAnsi="Arial" w:cs="Arial"/>
          <w:szCs w:val="22"/>
        </w:rPr>
        <w:t xml:space="preserve"> se prvič izračuna za leto 2018, in sicer kot povprečje </w:t>
      </w:r>
      <w:r w:rsidR="00266C40">
        <w:rPr>
          <w:rFonts w:ascii="Arial" w:eastAsia="Calibri" w:hAnsi="Arial" w:cs="Arial"/>
          <w:szCs w:val="22"/>
        </w:rPr>
        <w:t xml:space="preserve">načrtovanega </w:t>
      </w:r>
      <w:r>
        <w:rPr>
          <w:rFonts w:ascii="Arial" w:eastAsia="Calibri" w:hAnsi="Arial" w:cs="Arial"/>
          <w:szCs w:val="22"/>
        </w:rPr>
        <w:t>stanja</w:t>
      </w:r>
      <w:r w:rsidR="00266C40" w:rsidRPr="00266C40">
        <w:t xml:space="preserve"> </w:t>
      </w:r>
      <w:r w:rsidR="00266C40" w:rsidRPr="00266C40">
        <w:rPr>
          <w:rFonts w:ascii="Arial" w:eastAsia="Calibri" w:hAnsi="Arial" w:cs="Arial"/>
          <w:szCs w:val="22"/>
        </w:rPr>
        <w:t>bilančne vsote EZRD</w:t>
      </w:r>
      <w:r>
        <w:rPr>
          <w:rFonts w:ascii="Arial" w:eastAsia="Calibri" w:hAnsi="Arial" w:cs="Arial"/>
          <w:szCs w:val="22"/>
        </w:rPr>
        <w:t xml:space="preserve"> konec leta 2019 in konec leta 2020. </w:t>
      </w:r>
    </w:p>
    <w:p w:rsidR="00980E96" w:rsidRPr="008220CC" w:rsidRDefault="00980E96" w:rsidP="00FC1AE4">
      <w:pPr>
        <w:shd w:val="clear" w:color="auto" w:fill="auto"/>
        <w:spacing w:after="200"/>
        <w:ind w:left="720"/>
        <w:contextualSpacing/>
        <w:jc w:val="left"/>
        <w:rPr>
          <w:rFonts w:ascii="Arial" w:hAnsi="Arial" w:cs="Arial"/>
          <w:b/>
          <w:szCs w:val="22"/>
        </w:rPr>
      </w:pPr>
    </w:p>
    <w:p w:rsidR="007C2283" w:rsidRPr="008220CC" w:rsidRDefault="007C2283" w:rsidP="007C2283">
      <w:pPr>
        <w:shd w:val="clear" w:color="auto" w:fill="auto"/>
        <w:spacing w:line="260" w:lineRule="atLeast"/>
        <w:rPr>
          <w:rFonts w:ascii="Arial" w:hAnsi="Arial" w:cs="Arial"/>
          <w:b/>
          <w:szCs w:val="22"/>
        </w:rPr>
      </w:pPr>
      <w:r w:rsidRPr="008220CC">
        <w:rPr>
          <w:rFonts w:ascii="Arial" w:hAnsi="Arial" w:cs="Arial"/>
          <w:b/>
          <w:szCs w:val="22"/>
        </w:rPr>
        <w:t>4.2. Maksimalni obseg izpostavljenosti do posamezne nasprotne stranke</w:t>
      </w:r>
    </w:p>
    <w:p w:rsidR="00162FAA" w:rsidRPr="008220CC" w:rsidRDefault="00162FAA" w:rsidP="007C2283">
      <w:pPr>
        <w:shd w:val="clear" w:color="auto" w:fill="auto"/>
        <w:spacing w:line="260" w:lineRule="atLeast"/>
        <w:rPr>
          <w:rFonts w:ascii="Arial" w:hAnsi="Arial" w:cs="Arial"/>
          <w:b/>
          <w:szCs w:val="22"/>
        </w:rPr>
      </w:pPr>
    </w:p>
    <w:p w:rsidR="000C5AFE" w:rsidRPr="008220CC" w:rsidRDefault="000C5AFE" w:rsidP="00FC1AE4">
      <w:pPr>
        <w:shd w:val="clear" w:color="auto" w:fill="auto"/>
        <w:rPr>
          <w:rFonts w:ascii="Arial" w:hAnsi="Arial" w:cs="Arial"/>
          <w:szCs w:val="22"/>
        </w:rPr>
      </w:pPr>
    </w:p>
    <w:p w:rsidR="007C2283" w:rsidRPr="008220CC" w:rsidRDefault="007C2283" w:rsidP="007C2283">
      <w:pPr>
        <w:shd w:val="clear" w:color="auto" w:fill="auto"/>
        <w:spacing w:line="260" w:lineRule="atLeast"/>
        <w:rPr>
          <w:rFonts w:ascii="Arial" w:hAnsi="Arial" w:cs="Arial"/>
          <w:b/>
          <w:szCs w:val="22"/>
        </w:rPr>
      </w:pPr>
      <w:r w:rsidRPr="008220CC">
        <w:rPr>
          <w:rFonts w:ascii="Arial" w:hAnsi="Arial" w:cs="Arial"/>
          <w:b/>
          <w:szCs w:val="22"/>
        </w:rPr>
        <w:t>4.2.1. Maksimalni delež</w:t>
      </w:r>
    </w:p>
    <w:p w:rsidR="007C2283" w:rsidRPr="008220CC" w:rsidRDefault="007C2283" w:rsidP="00FC1AE4">
      <w:pPr>
        <w:shd w:val="clear" w:color="auto" w:fill="auto"/>
        <w:rPr>
          <w:rFonts w:ascii="Arial" w:hAnsi="Arial" w:cs="Arial"/>
          <w:szCs w:val="22"/>
        </w:rPr>
      </w:pPr>
    </w:p>
    <w:p w:rsidR="007C2283" w:rsidRPr="008220CC" w:rsidRDefault="007C2283" w:rsidP="0095168F">
      <w:pPr>
        <w:shd w:val="clear" w:color="auto" w:fill="auto"/>
        <w:spacing w:after="200" w:line="276" w:lineRule="auto"/>
        <w:rPr>
          <w:rFonts w:ascii="Arial" w:eastAsia="Calibri" w:hAnsi="Arial" w:cs="Arial"/>
          <w:szCs w:val="22"/>
        </w:rPr>
      </w:pPr>
      <w:r w:rsidRPr="008220CC">
        <w:rPr>
          <w:rFonts w:ascii="Arial" w:eastAsia="Calibri" w:hAnsi="Arial" w:cs="Arial"/>
          <w:szCs w:val="22"/>
        </w:rPr>
        <w:t xml:space="preserve">Maksimalni delež izpostavljenosti do posamezne nasprotne stranke se izračuna v odvisnosti od naslednjih kategorij in </w:t>
      </w:r>
      <w:proofErr w:type="spellStart"/>
      <w:r w:rsidRPr="008220CC">
        <w:rPr>
          <w:rFonts w:ascii="Arial" w:eastAsia="Calibri" w:hAnsi="Arial" w:cs="Arial"/>
          <w:szCs w:val="22"/>
        </w:rPr>
        <w:t>ponderjev</w:t>
      </w:r>
      <w:proofErr w:type="spellEnd"/>
      <w:r w:rsidRPr="008220CC">
        <w:rPr>
          <w:rFonts w:ascii="Arial" w:eastAsia="Calibri" w:hAnsi="Arial" w:cs="Arial"/>
          <w:szCs w:val="22"/>
        </w:rPr>
        <w:t xml:space="preserve"> posamezne kategorije: </w:t>
      </w:r>
    </w:p>
    <w:tbl>
      <w:tblPr>
        <w:tblW w:w="9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1314"/>
        <w:gridCol w:w="1314"/>
        <w:gridCol w:w="1478"/>
        <w:gridCol w:w="1149"/>
        <w:gridCol w:w="1149"/>
      </w:tblGrid>
      <w:tr w:rsidR="00CA625A" w:rsidRPr="008220CC" w:rsidTr="009C708A">
        <w:trPr>
          <w:trHeight w:val="1091"/>
        </w:trPr>
        <w:tc>
          <w:tcPr>
            <w:tcW w:w="2645" w:type="dxa"/>
            <w:tcBorders>
              <w:tl2br w:val="single" w:sz="4" w:space="0" w:color="auto"/>
            </w:tcBorders>
            <w:shd w:val="clear" w:color="auto" w:fill="auto"/>
          </w:tcPr>
          <w:p w:rsidR="009C708A" w:rsidRDefault="00CA625A" w:rsidP="009C708A">
            <w:pPr>
              <w:shd w:val="clear" w:color="auto" w:fill="auto"/>
              <w:spacing w:line="260" w:lineRule="atLeast"/>
              <w:jc w:val="left"/>
              <w:rPr>
                <w:rFonts w:ascii="Arial" w:hAnsi="Arial" w:cs="Arial"/>
                <w:szCs w:val="22"/>
              </w:rPr>
            </w:pPr>
            <w:r w:rsidRPr="008220CC">
              <w:rPr>
                <w:rFonts w:ascii="Arial" w:hAnsi="Arial" w:cs="Arial"/>
                <w:szCs w:val="22"/>
              </w:rPr>
              <w:lastRenderedPageBreak/>
              <w:t xml:space="preserve">         </w:t>
            </w:r>
            <w:r w:rsidR="009C708A">
              <w:rPr>
                <w:rFonts w:ascii="Arial" w:hAnsi="Arial" w:cs="Arial"/>
                <w:szCs w:val="22"/>
              </w:rPr>
              <w:t xml:space="preserve">              </w:t>
            </w:r>
          </w:p>
          <w:p w:rsidR="009C708A" w:rsidRPr="008220CC" w:rsidRDefault="009C708A" w:rsidP="009C708A">
            <w:pPr>
              <w:shd w:val="clear" w:color="auto" w:fill="auto"/>
              <w:spacing w:line="260" w:lineRule="atLeast"/>
              <w:jc w:val="left"/>
              <w:rPr>
                <w:rFonts w:ascii="Arial" w:hAnsi="Arial" w:cs="Arial"/>
                <w:b/>
                <w:sz w:val="16"/>
                <w:szCs w:val="16"/>
              </w:rPr>
            </w:pPr>
            <w:r>
              <w:rPr>
                <w:rFonts w:ascii="Arial" w:hAnsi="Arial" w:cs="Arial"/>
                <w:szCs w:val="22"/>
              </w:rPr>
              <w:t xml:space="preserve">                     </w:t>
            </w:r>
            <w:r w:rsidRPr="009C708A">
              <w:rPr>
                <w:rFonts w:ascii="Arial" w:hAnsi="Arial" w:cs="Arial"/>
                <w:b/>
                <w:sz w:val="16"/>
                <w:szCs w:val="16"/>
              </w:rPr>
              <w:t>Kategorija</w:t>
            </w:r>
          </w:p>
          <w:p w:rsidR="009C708A" w:rsidRDefault="009C708A" w:rsidP="009C708A">
            <w:pPr>
              <w:shd w:val="clear" w:color="auto" w:fill="auto"/>
              <w:spacing w:line="260" w:lineRule="atLeast"/>
              <w:jc w:val="left"/>
              <w:rPr>
                <w:rFonts w:ascii="Arial" w:hAnsi="Arial" w:cs="Arial"/>
                <w:b/>
                <w:sz w:val="16"/>
                <w:szCs w:val="16"/>
              </w:rPr>
            </w:pPr>
            <w:r w:rsidRPr="008220CC">
              <w:rPr>
                <w:rFonts w:ascii="Arial" w:hAnsi="Arial" w:cs="Arial"/>
                <w:b/>
                <w:sz w:val="16"/>
                <w:szCs w:val="16"/>
              </w:rPr>
              <w:t xml:space="preserve">Skupina </w:t>
            </w:r>
          </w:p>
          <w:p w:rsidR="009C708A" w:rsidRPr="008220CC" w:rsidRDefault="00D529D2" w:rsidP="009C708A">
            <w:pPr>
              <w:shd w:val="clear" w:color="auto" w:fill="auto"/>
              <w:spacing w:line="260" w:lineRule="atLeast"/>
              <w:jc w:val="left"/>
              <w:rPr>
                <w:rFonts w:ascii="Arial" w:hAnsi="Arial" w:cs="Arial"/>
                <w:b/>
                <w:sz w:val="16"/>
                <w:szCs w:val="16"/>
              </w:rPr>
            </w:pPr>
            <w:r>
              <w:rPr>
                <w:rFonts w:ascii="Arial" w:hAnsi="Arial" w:cs="Arial"/>
                <w:b/>
                <w:sz w:val="16"/>
                <w:szCs w:val="16"/>
              </w:rPr>
              <w:t xml:space="preserve">nasprotnih </w:t>
            </w:r>
            <w:r w:rsidR="009C708A" w:rsidRPr="008220CC">
              <w:rPr>
                <w:rFonts w:ascii="Arial" w:hAnsi="Arial" w:cs="Arial"/>
                <w:b/>
                <w:sz w:val="16"/>
                <w:szCs w:val="16"/>
              </w:rPr>
              <w:t>strank</w:t>
            </w:r>
          </w:p>
          <w:p w:rsidR="00CA625A" w:rsidRPr="008220CC" w:rsidRDefault="00CA625A" w:rsidP="001074B6">
            <w:pPr>
              <w:shd w:val="clear" w:color="auto" w:fill="auto"/>
              <w:spacing w:line="260" w:lineRule="atLeast"/>
              <w:jc w:val="left"/>
              <w:rPr>
                <w:rFonts w:ascii="Arial" w:hAnsi="Arial" w:cs="Arial"/>
                <w:b/>
                <w:szCs w:val="22"/>
              </w:rPr>
            </w:pPr>
          </w:p>
        </w:tc>
        <w:tc>
          <w:tcPr>
            <w:tcW w:w="1314" w:type="dxa"/>
            <w:shd w:val="clear" w:color="auto" w:fill="auto"/>
          </w:tcPr>
          <w:p w:rsidR="00CA625A" w:rsidRPr="008220CC" w:rsidRDefault="00CA625A" w:rsidP="001074B6">
            <w:pPr>
              <w:shd w:val="clear" w:color="auto" w:fill="auto"/>
              <w:spacing w:line="260" w:lineRule="atLeast"/>
              <w:rPr>
                <w:rFonts w:ascii="Arial" w:hAnsi="Arial" w:cs="Arial"/>
                <w:b/>
                <w:szCs w:val="22"/>
              </w:rPr>
            </w:pPr>
            <w:r w:rsidRPr="008220CC">
              <w:rPr>
                <w:rFonts w:ascii="Arial" w:hAnsi="Arial" w:cs="Arial"/>
                <w:b/>
                <w:szCs w:val="22"/>
              </w:rPr>
              <w:t>Bilančna vsota</w:t>
            </w:r>
          </w:p>
        </w:tc>
        <w:tc>
          <w:tcPr>
            <w:tcW w:w="1314" w:type="dxa"/>
            <w:shd w:val="clear" w:color="auto" w:fill="auto"/>
          </w:tcPr>
          <w:p w:rsidR="00CA625A" w:rsidRPr="008220CC" w:rsidRDefault="00CA625A" w:rsidP="001074B6">
            <w:pPr>
              <w:shd w:val="clear" w:color="auto" w:fill="auto"/>
              <w:spacing w:line="260" w:lineRule="atLeast"/>
              <w:rPr>
                <w:rFonts w:ascii="Arial" w:hAnsi="Arial" w:cs="Arial"/>
                <w:b/>
                <w:szCs w:val="22"/>
              </w:rPr>
            </w:pPr>
            <w:r w:rsidRPr="008220CC">
              <w:rPr>
                <w:rFonts w:ascii="Arial" w:hAnsi="Arial" w:cs="Arial"/>
                <w:b/>
                <w:szCs w:val="22"/>
              </w:rPr>
              <w:t>Stanje terjatev banke do RS</w:t>
            </w:r>
          </w:p>
        </w:tc>
        <w:tc>
          <w:tcPr>
            <w:tcW w:w="1478" w:type="dxa"/>
            <w:shd w:val="clear" w:color="auto" w:fill="auto"/>
          </w:tcPr>
          <w:p w:rsidR="00CA625A" w:rsidRPr="008220CC" w:rsidRDefault="00CA625A" w:rsidP="001074B6">
            <w:pPr>
              <w:shd w:val="clear" w:color="auto" w:fill="auto"/>
              <w:spacing w:line="260" w:lineRule="atLeast"/>
              <w:rPr>
                <w:rFonts w:ascii="Arial" w:hAnsi="Arial" w:cs="Arial"/>
                <w:b/>
                <w:szCs w:val="22"/>
              </w:rPr>
            </w:pPr>
            <w:r w:rsidRPr="008220CC">
              <w:rPr>
                <w:rFonts w:ascii="Arial" w:hAnsi="Arial" w:cs="Arial"/>
                <w:b/>
                <w:szCs w:val="22"/>
              </w:rPr>
              <w:t>Bonitetna ocena</w:t>
            </w:r>
          </w:p>
        </w:tc>
        <w:tc>
          <w:tcPr>
            <w:tcW w:w="1149" w:type="dxa"/>
            <w:shd w:val="clear" w:color="auto" w:fill="auto"/>
          </w:tcPr>
          <w:p w:rsidR="00CA625A" w:rsidRPr="008220CC" w:rsidRDefault="00CA625A" w:rsidP="001074B6">
            <w:pPr>
              <w:shd w:val="clear" w:color="auto" w:fill="auto"/>
              <w:spacing w:line="260" w:lineRule="atLeast"/>
              <w:rPr>
                <w:rFonts w:ascii="Arial" w:hAnsi="Arial" w:cs="Arial"/>
                <w:b/>
                <w:szCs w:val="22"/>
              </w:rPr>
            </w:pPr>
            <w:r w:rsidRPr="008220CC">
              <w:rPr>
                <w:rFonts w:ascii="Arial" w:hAnsi="Arial" w:cs="Arial"/>
                <w:b/>
                <w:szCs w:val="22"/>
              </w:rPr>
              <w:t>BDP</w:t>
            </w:r>
          </w:p>
          <w:p w:rsidR="00CA625A" w:rsidRPr="008220CC" w:rsidRDefault="00CA625A" w:rsidP="001074B6">
            <w:pPr>
              <w:shd w:val="clear" w:color="auto" w:fill="auto"/>
              <w:spacing w:line="260" w:lineRule="atLeast"/>
              <w:rPr>
                <w:rFonts w:ascii="Arial" w:hAnsi="Arial" w:cs="Arial"/>
                <w:b/>
                <w:szCs w:val="22"/>
              </w:rPr>
            </w:pPr>
            <w:r w:rsidRPr="008220CC">
              <w:rPr>
                <w:rFonts w:ascii="Arial" w:hAnsi="Arial" w:cs="Arial"/>
                <w:b/>
                <w:szCs w:val="22"/>
              </w:rPr>
              <w:t>države</w:t>
            </w:r>
          </w:p>
        </w:tc>
        <w:tc>
          <w:tcPr>
            <w:tcW w:w="1149" w:type="dxa"/>
            <w:shd w:val="clear" w:color="auto" w:fill="auto"/>
          </w:tcPr>
          <w:p w:rsidR="00CA625A" w:rsidRPr="008220CC" w:rsidRDefault="00CA625A" w:rsidP="001074B6">
            <w:pPr>
              <w:shd w:val="clear" w:color="auto" w:fill="auto"/>
              <w:spacing w:line="260" w:lineRule="atLeast"/>
              <w:rPr>
                <w:rFonts w:ascii="Arial" w:hAnsi="Arial" w:cs="Arial"/>
                <w:b/>
                <w:szCs w:val="22"/>
              </w:rPr>
            </w:pPr>
            <w:r w:rsidRPr="008220CC">
              <w:rPr>
                <w:rFonts w:ascii="Arial" w:hAnsi="Arial" w:cs="Arial"/>
                <w:b/>
                <w:szCs w:val="22"/>
              </w:rPr>
              <w:t>Skupaj</w:t>
            </w:r>
          </w:p>
        </w:tc>
      </w:tr>
      <w:tr w:rsidR="00CA625A" w:rsidRPr="008220CC" w:rsidTr="009C708A">
        <w:trPr>
          <w:trHeight w:val="546"/>
        </w:trPr>
        <w:tc>
          <w:tcPr>
            <w:tcW w:w="2645" w:type="dxa"/>
            <w:shd w:val="clear" w:color="auto" w:fill="auto"/>
          </w:tcPr>
          <w:p w:rsidR="00CA625A" w:rsidRPr="008220CC" w:rsidRDefault="00CA625A" w:rsidP="001074B6">
            <w:pPr>
              <w:shd w:val="clear" w:color="auto" w:fill="auto"/>
              <w:spacing w:line="260" w:lineRule="atLeast"/>
              <w:rPr>
                <w:rFonts w:ascii="Arial" w:hAnsi="Arial" w:cs="Arial"/>
                <w:szCs w:val="22"/>
              </w:rPr>
            </w:pPr>
            <w:r w:rsidRPr="008220CC">
              <w:rPr>
                <w:rFonts w:ascii="Arial" w:hAnsi="Arial" w:cs="Arial"/>
                <w:szCs w:val="22"/>
              </w:rPr>
              <w:t>domače banke in hranilnice</w:t>
            </w:r>
          </w:p>
        </w:tc>
        <w:tc>
          <w:tcPr>
            <w:tcW w:w="1314" w:type="dxa"/>
            <w:shd w:val="clear" w:color="auto" w:fill="auto"/>
          </w:tcPr>
          <w:p w:rsidR="00CA625A" w:rsidRPr="008220CC" w:rsidRDefault="00CA625A" w:rsidP="001074B6">
            <w:pPr>
              <w:shd w:val="clear" w:color="auto" w:fill="auto"/>
              <w:spacing w:line="260" w:lineRule="atLeast"/>
              <w:rPr>
                <w:rFonts w:ascii="Arial" w:hAnsi="Arial" w:cs="Arial"/>
                <w:szCs w:val="22"/>
              </w:rPr>
            </w:pPr>
            <w:r w:rsidRPr="008220CC">
              <w:rPr>
                <w:rFonts w:ascii="Arial" w:hAnsi="Arial" w:cs="Arial"/>
                <w:szCs w:val="22"/>
              </w:rPr>
              <w:t>0,50</w:t>
            </w:r>
          </w:p>
        </w:tc>
        <w:tc>
          <w:tcPr>
            <w:tcW w:w="1314" w:type="dxa"/>
            <w:shd w:val="clear" w:color="auto" w:fill="auto"/>
          </w:tcPr>
          <w:p w:rsidR="00CA625A" w:rsidRPr="008220CC" w:rsidRDefault="00CA625A" w:rsidP="001074B6">
            <w:pPr>
              <w:shd w:val="clear" w:color="auto" w:fill="auto"/>
              <w:spacing w:line="260" w:lineRule="atLeast"/>
              <w:rPr>
                <w:rFonts w:ascii="Arial" w:hAnsi="Arial" w:cs="Arial"/>
                <w:szCs w:val="22"/>
              </w:rPr>
            </w:pPr>
            <w:r w:rsidRPr="008220CC">
              <w:rPr>
                <w:rFonts w:ascii="Arial" w:hAnsi="Arial" w:cs="Arial"/>
                <w:szCs w:val="22"/>
              </w:rPr>
              <w:t>0,10</w:t>
            </w:r>
          </w:p>
        </w:tc>
        <w:tc>
          <w:tcPr>
            <w:tcW w:w="1478" w:type="dxa"/>
            <w:shd w:val="clear" w:color="auto" w:fill="auto"/>
          </w:tcPr>
          <w:p w:rsidR="00CA625A" w:rsidRPr="008220CC" w:rsidRDefault="00CA625A" w:rsidP="001074B6">
            <w:pPr>
              <w:shd w:val="clear" w:color="auto" w:fill="auto"/>
              <w:spacing w:line="260" w:lineRule="atLeast"/>
              <w:rPr>
                <w:rFonts w:ascii="Arial" w:hAnsi="Arial" w:cs="Arial"/>
                <w:szCs w:val="22"/>
              </w:rPr>
            </w:pPr>
            <w:r w:rsidRPr="008220CC">
              <w:rPr>
                <w:rFonts w:ascii="Arial" w:hAnsi="Arial" w:cs="Arial"/>
                <w:szCs w:val="22"/>
              </w:rPr>
              <w:t>0,40</w:t>
            </w:r>
          </w:p>
        </w:tc>
        <w:tc>
          <w:tcPr>
            <w:tcW w:w="1149" w:type="dxa"/>
            <w:shd w:val="clear" w:color="auto" w:fill="auto"/>
          </w:tcPr>
          <w:p w:rsidR="00CA625A" w:rsidRPr="008220CC" w:rsidRDefault="00CA625A" w:rsidP="001074B6">
            <w:pPr>
              <w:shd w:val="clear" w:color="auto" w:fill="auto"/>
              <w:spacing w:line="260" w:lineRule="atLeast"/>
              <w:rPr>
                <w:rFonts w:ascii="Arial" w:hAnsi="Arial" w:cs="Arial"/>
                <w:szCs w:val="22"/>
              </w:rPr>
            </w:pPr>
            <w:r w:rsidRPr="008220CC">
              <w:rPr>
                <w:rFonts w:ascii="Arial" w:hAnsi="Arial" w:cs="Arial"/>
                <w:szCs w:val="22"/>
              </w:rPr>
              <w:t>-</w:t>
            </w:r>
          </w:p>
        </w:tc>
        <w:tc>
          <w:tcPr>
            <w:tcW w:w="1149" w:type="dxa"/>
            <w:shd w:val="clear" w:color="auto" w:fill="auto"/>
          </w:tcPr>
          <w:p w:rsidR="00CA625A" w:rsidRPr="008220CC" w:rsidRDefault="00CA625A" w:rsidP="001074B6">
            <w:pPr>
              <w:shd w:val="clear" w:color="auto" w:fill="auto"/>
              <w:spacing w:line="260" w:lineRule="atLeast"/>
              <w:rPr>
                <w:rFonts w:ascii="Arial" w:hAnsi="Arial" w:cs="Arial"/>
                <w:b/>
                <w:szCs w:val="22"/>
              </w:rPr>
            </w:pPr>
            <w:r w:rsidRPr="008220CC">
              <w:rPr>
                <w:rFonts w:ascii="Arial" w:hAnsi="Arial" w:cs="Arial"/>
                <w:b/>
                <w:szCs w:val="22"/>
              </w:rPr>
              <w:t>1,00</w:t>
            </w:r>
          </w:p>
        </w:tc>
      </w:tr>
      <w:tr w:rsidR="00CA625A" w:rsidRPr="008220CC" w:rsidTr="009C708A">
        <w:trPr>
          <w:trHeight w:val="272"/>
        </w:trPr>
        <w:tc>
          <w:tcPr>
            <w:tcW w:w="2645" w:type="dxa"/>
            <w:shd w:val="clear" w:color="auto" w:fill="auto"/>
          </w:tcPr>
          <w:p w:rsidR="00CA625A" w:rsidRPr="008220CC" w:rsidRDefault="00CA625A" w:rsidP="001074B6">
            <w:pPr>
              <w:shd w:val="clear" w:color="auto" w:fill="auto"/>
              <w:spacing w:line="260" w:lineRule="atLeast"/>
              <w:rPr>
                <w:rFonts w:ascii="Arial" w:hAnsi="Arial" w:cs="Arial"/>
                <w:szCs w:val="22"/>
              </w:rPr>
            </w:pPr>
            <w:r w:rsidRPr="008220CC">
              <w:rPr>
                <w:rFonts w:ascii="Arial" w:hAnsi="Arial" w:cs="Arial"/>
                <w:szCs w:val="22"/>
              </w:rPr>
              <w:t xml:space="preserve">tuje banke </w:t>
            </w:r>
          </w:p>
        </w:tc>
        <w:tc>
          <w:tcPr>
            <w:tcW w:w="1314" w:type="dxa"/>
            <w:shd w:val="clear" w:color="auto" w:fill="auto"/>
          </w:tcPr>
          <w:p w:rsidR="00CA625A" w:rsidRPr="008220CC" w:rsidRDefault="00CA625A" w:rsidP="001074B6">
            <w:pPr>
              <w:shd w:val="clear" w:color="auto" w:fill="auto"/>
              <w:spacing w:line="260" w:lineRule="atLeast"/>
              <w:rPr>
                <w:rFonts w:ascii="Arial" w:hAnsi="Arial" w:cs="Arial"/>
                <w:szCs w:val="22"/>
              </w:rPr>
            </w:pPr>
            <w:r w:rsidRPr="008220CC">
              <w:rPr>
                <w:rFonts w:ascii="Arial" w:hAnsi="Arial" w:cs="Arial"/>
                <w:szCs w:val="22"/>
              </w:rPr>
              <w:t>0,40</w:t>
            </w:r>
          </w:p>
        </w:tc>
        <w:tc>
          <w:tcPr>
            <w:tcW w:w="1314" w:type="dxa"/>
            <w:shd w:val="clear" w:color="auto" w:fill="auto"/>
          </w:tcPr>
          <w:p w:rsidR="00CA625A" w:rsidRPr="008220CC" w:rsidRDefault="00CA625A" w:rsidP="001074B6">
            <w:pPr>
              <w:shd w:val="clear" w:color="auto" w:fill="auto"/>
              <w:spacing w:line="260" w:lineRule="atLeast"/>
              <w:rPr>
                <w:rFonts w:ascii="Arial" w:hAnsi="Arial" w:cs="Arial"/>
                <w:szCs w:val="22"/>
              </w:rPr>
            </w:pPr>
            <w:r w:rsidRPr="008220CC">
              <w:rPr>
                <w:rFonts w:ascii="Arial" w:hAnsi="Arial" w:cs="Arial"/>
                <w:szCs w:val="22"/>
              </w:rPr>
              <w:t>-</w:t>
            </w:r>
          </w:p>
        </w:tc>
        <w:tc>
          <w:tcPr>
            <w:tcW w:w="1478" w:type="dxa"/>
            <w:shd w:val="clear" w:color="auto" w:fill="auto"/>
          </w:tcPr>
          <w:p w:rsidR="00CA625A" w:rsidRPr="008220CC" w:rsidRDefault="00CA625A" w:rsidP="001074B6">
            <w:pPr>
              <w:shd w:val="clear" w:color="auto" w:fill="auto"/>
              <w:spacing w:line="260" w:lineRule="atLeast"/>
              <w:rPr>
                <w:rFonts w:ascii="Arial" w:hAnsi="Arial" w:cs="Arial"/>
                <w:szCs w:val="22"/>
              </w:rPr>
            </w:pPr>
            <w:r w:rsidRPr="008220CC">
              <w:rPr>
                <w:rFonts w:ascii="Arial" w:hAnsi="Arial" w:cs="Arial"/>
                <w:szCs w:val="22"/>
              </w:rPr>
              <w:t>0,60</w:t>
            </w:r>
          </w:p>
        </w:tc>
        <w:tc>
          <w:tcPr>
            <w:tcW w:w="1149" w:type="dxa"/>
            <w:shd w:val="clear" w:color="auto" w:fill="auto"/>
          </w:tcPr>
          <w:p w:rsidR="00CA625A" w:rsidRPr="008220CC" w:rsidRDefault="00CA625A" w:rsidP="001074B6">
            <w:pPr>
              <w:shd w:val="clear" w:color="auto" w:fill="auto"/>
              <w:spacing w:line="260" w:lineRule="atLeast"/>
              <w:rPr>
                <w:rFonts w:ascii="Arial" w:hAnsi="Arial" w:cs="Arial"/>
                <w:szCs w:val="22"/>
              </w:rPr>
            </w:pPr>
            <w:r w:rsidRPr="008220CC">
              <w:rPr>
                <w:rFonts w:ascii="Arial" w:hAnsi="Arial" w:cs="Arial"/>
                <w:szCs w:val="22"/>
              </w:rPr>
              <w:t>-</w:t>
            </w:r>
          </w:p>
        </w:tc>
        <w:tc>
          <w:tcPr>
            <w:tcW w:w="1149" w:type="dxa"/>
            <w:shd w:val="clear" w:color="auto" w:fill="auto"/>
          </w:tcPr>
          <w:p w:rsidR="00CA625A" w:rsidRPr="008220CC" w:rsidRDefault="00CA625A" w:rsidP="001074B6">
            <w:pPr>
              <w:shd w:val="clear" w:color="auto" w:fill="auto"/>
              <w:spacing w:line="260" w:lineRule="atLeast"/>
              <w:rPr>
                <w:rFonts w:ascii="Arial" w:hAnsi="Arial" w:cs="Arial"/>
                <w:b/>
                <w:szCs w:val="22"/>
              </w:rPr>
            </w:pPr>
            <w:r w:rsidRPr="008220CC">
              <w:rPr>
                <w:rFonts w:ascii="Arial" w:hAnsi="Arial" w:cs="Arial"/>
                <w:b/>
                <w:szCs w:val="22"/>
              </w:rPr>
              <w:t>1,00</w:t>
            </w:r>
          </w:p>
        </w:tc>
      </w:tr>
      <w:tr w:rsidR="00CA625A" w:rsidRPr="008220CC" w:rsidTr="009C708A">
        <w:trPr>
          <w:trHeight w:val="560"/>
        </w:trPr>
        <w:tc>
          <w:tcPr>
            <w:tcW w:w="2645" w:type="dxa"/>
            <w:shd w:val="clear" w:color="auto" w:fill="auto"/>
          </w:tcPr>
          <w:p w:rsidR="00CA625A" w:rsidRPr="008220CC" w:rsidRDefault="00CA625A" w:rsidP="001074B6">
            <w:pPr>
              <w:shd w:val="clear" w:color="auto" w:fill="auto"/>
              <w:spacing w:line="260" w:lineRule="atLeast"/>
              <w:rPr>
                <w:rFonts w:ascii="Arial" w:hAnsi="Arial" w:cs="Arial"/>
                <w:szCs w:val="22"/>
              </w:rPr>
            </w:pPr>
            <w:r w:rsidRPr="008220CC">
              <w:rPr>
                <w:rFonts w:ascii="Arial" w:hAnsi="Arial" w:cs="Arial"/>
                <w:szCs w:val="22"/>
              </w:rPr>
              <w:t>državne zakladnice EMU</w:t>
            </w:r>
          </w:p>
        </w:tc>
        <w:tc>
          <w:tcPr>
            <w:tcW w:w="1314" w:type="dxa"/>
            <w:shd w:val="clear" w:color="auto" w:fill="auto"/>
          </w:tcPr>
          <w:p w:rsidR="00CA625A" w:rsidRPr="008220CC" w:rsidRDefault="00CA625A" w:rsidP="001074B6">
            <w:pPr>
              <w:shd w:val="clear" w:color="auto" w:fill="auto"/>
              <w:spacing w:line="260" w:lineRule="atLeast"/>
              <w:rPr>
                <w:rFonts w:ascii="Arial" w:hAnsi="Arial" w:cs="Arial"/>
                <w:szCs w:val="22"/>
              </w:rPr>
            </w:pPr>
            <w:r w:rsidRPr="008220CC">
              <w:rPr>
                <w:rFonts w:ascii="Arial" w:hAnsi="Arial" w:cs="Arial"/>
                <w:szCs w:val="22"/>
              </w:rPr>
              <w:t>-</w:t>
            </w:r>
          </w:p>
        </w:tc>
        <w:tc>
          <w:tcPr>
            <w:tcW w:w="1314" w:type="dxa"/>
            <w:shd w:val="clear" w:color="auto" w:fill="auto"/>
          </w:tcPr>
          <w:p w:rsidR="00CA625A" w:rsidRPr="008220CC" w:rsidRDefault="00CA625A" w:rsidP="001074B6">
            <w:pPr>
              <w:shd w:val="clear" w:color="auto" w:fill="auto"/>
              <w:spacing w:line="260" w:lineRule="atLeast"/>
              <w:rPr>
                <w:rFonts w:ascii="Arial" w:hAnsi="Arial" w:cs="Arial"/>
                <w:szCs w:val="22"/>
              </w:rPr>
            </w:pPr>
            <w:r w:rsidRPr="008220CC">
              <w:rPr>
                <w:rFonts w:ascii="Arial" w:hAnsi="Arial" w:cs="Arial"/>
                <w:szCs w:val="22"/>
              </w:rPr>
              <w:t>-</w:t>
            </w:r>
          </w:p>
        </w:tc>
        <w:tc>
          <w:tcPr>
            <w:tcW w:w="1478" w:type="dxa"/>
            <w:shd w:val="clear" w:color="auto" w:fill="auto"/>
          </w:tcPr>
          <w:p w:rsidR="00CA625A" w:rsidRPr="008220CC" w:rsidRDefault="00CA625A" w:rsidP="001074B6">
            <w:pPr>
              <w:shd w:val="clear" w:color="auto" w:fill="auto"/>
              <w:spacing w:line="260" w:lineRule="atLeast"/>
              <w:rPr>
                <w:rFonts w:ascii="Arial" w:hAnsi="Arial" w:cs="Arial"/>
                <w:szCs w:val="22"/>
              </w:rPr>
            </w:pPr>
            <w:r w:rsidRPr="008220CC">
              <w:rPr>
                <w:rFonts w:ascii="Arial" w:hAnsi="Arial" w:cs="Arial"/>
                <w:szCs w:val="22"/>
              </w:rPr>
              <w:t>0,70</w:t>
            </w:r>
          </w:p>
        </w:tc>
        <w:tc>
          <w:tcPr>
            <w:tcW w:w="1149" w:type="dxa"/>
            <w:shd w:val="clear" w:color="auto" w:fill="auto"/>
          </w:tcPr>
          <w:p w:rsidR="00CA625A" w:rsidRPr="008220CC" w:rsidRDefault="00CA625A" w:rsidP="001074B6">
            <w:pPr>
              <w:shd w:val="clear" w:color="auto" w:fill="auto"/>
              <w:spacing w:line="260" w:lineRule="atLeast"/>
              <w:rPr>
                <w:rFonts w:ascii="Arial" w:hAnsi="Arial" w:cs="Arial"/>
                <w:szCs w:val="22"/>
              </w:rPr>
            </w:pPr>
            <w:r w:rsidRPr="008220CC">
              <w:rPr>
                <w:rFonts w:ascii="Arial" w:hAnsi="Arial" w:cs="Arial"/>
                <w:szCs w:val="22"/>
              </w:rPr>
              <w:t>0,30</w:t>
            </w:r>
          </w:p>
        </w:tc>
        <w:tc>
          <w:tcPr>
            <w:tcW w:w="1149" w:type="dxa"/>
            <w:shd w:val="clear" w:color="auto" w:fill="auto"/>
          </w:tcPr>
          <w:p w:rsidR="00CA625A" w:rsidRPr="008220CC" w:rsidRDefault="00CA625A" w:rsidP="001074B6">
            <w:pPr>
              <w:shd w:val="clear" w:color="auto" w:fill="auto"/>
              <w:spacing w:line="260" w:lineRule="atLeast"/>
              <w:rPr>
                <w:rFonts w:ascii="Arial" w:hAnsi="Arial" w:cs="Arial"/>
                <w:b/>
                <w:szCs w:val="22"/>
              </w:rPr>
            </w:pPr>
            <w:r w:rsidRPr="008220CC">
              <w:rPr>
                <w:rFonts w:ascii="Arial" w:hAnsi="Arial" w:cs="Arial"/>
                <w:b/>
                <w:szCs w:val="22"/>
              </w:rPr>
              <w:t>1,00</w:t>
            </w:r>
          </w:p>
        </w:tc>
      </w:tr>
    </w:tbl>
    <w:p w:rsidR="006B7100" w:rsidRPr="008220CC" w:rsidRDefault="006B7100" w:rsidP="0095168F">
      <w:pPr>
        <w:shd w:val="clear" w:color="auto" w:fill="auto"/>
        <w:spacing w:after="200" w:line="276" w:lineRule="auto"/>
        <w:rPr>
          <w:rFonts w:ascii="Arial" w:eastAsia="Calibri" w:hAnsi="Arial" w:cs="Arial"/>
          <w:szCs w:val="22"/>
        </w:rPr>
      </w:pPr>
    </w:p>
    <w:p w:rsidR="007C2283" w:rsidRPr="008220CC" w:rsidRDefault="007C2283" w:rsidP="0095168F">
      <w:pPr>
        <w:shd w:val="clear" w:color="auto" w:fill="auto"/>
        <w:spacing w:after="200" w:line="276" w:lineRule="auto"/>
        <w:rPr>
          <w:rFonts w:ascii="Arial" w:eastAsia="Calibri" w:hAnsi="Arial" w:cs="Arial"/>
          <w:szCs w:val="22"/>
        </w:rPr>
      </w:pPr>
      <w:r w:rsidRPr="008220CC">
        <w:rPr>
          <w:rFonts w:ascii="Arial" w:eastAsia="Calibri" w:hAnsi="Arial" w:cs="Arial"/>
          <w:szCs w:val="22"/>
        </w:rPr>
        <w:t xml:space="preserve">Podatke o bilančni vsoti </w:t>
      </w:r>
      <w:r w:rsidR="009E1D01" w:rsidRPr="008220CC">
        <w:rPr>
          <w:rFonts w:ascii="Arial" w:eastAsia="Calibri" w:hAnsi="Arial" w:cs="Arial"/>
          <w:szCs w:val="22"/>
        </w:rPr>
        <w:t xml:space="preserve">in </w:t>
      </w:r>
      <w:r w:rsidR="00B55E1A" w:rsidRPr="008220CC">
        <w:rPr>
          <w:rFonts w:ascii="Arial" w:eastAsia="Calibri" w:hAnsi="Arial" w:cs="Arial"/>
          <w:szCs w:val="22"/>
        </w:rPr>
        <w:t>celotnem</w:t>
      </w:r>
      <w:r w:rsidR="009E1D01" w:rsidRPr="008220CC">
        <w:rPr>
          <w:rFonts w:ascii="Arial" w:eastAsia="Calibri" w:hAnsi="Arial" w:cs="Arial"/>
          <w:szCs w:val="22"/>
        </w:rPr>
        <w:t xml:space="preserve"> kapitalu </w:t>
      </w:r>
      <w:r w:rsidR="00AA4404" w:rsidRPr="008220CC">
        <w:rPr>
          <w:rFonts w:ascii="Arial" w:eastAsia="Calibri" w:hAnsi="Arial" w:cs="Arial"/>
          <w:szCs w:val="22"/>
        </w:rPr>
        <w:t xml:space="preserve">domačih </w:t>
      </w:r>
      <w:r w:rsidRPr="008220CC">
        <w:rPr>
          <w:rFonts w:ascii="Arial" w:eastAsia="Calibri" w:hAnsi="Arial" w:cs="Arial"/>
          <w:szCs w:val="22"/>
        </w:rPr>
        <w:t>bank in hranilnic pridobiva upravljavec EZRD od Banke Slovenije in</w:t>
      </w:r>
      <w:r w:rsidR="009E1D01" w:rsidRPr="008220CC">
        <w:rPr>
          <w:rFonts w:ascii="Arial" w:eastAsia="Calibri" w:hAnsi="Arial" w:cs="Arial"/>
          <w:szCs w:val="22"/>
        </w:rPr>
        <w:t>/ali</w:t>
      </w:r>
      <w:r w:rsidRPr="008220CC">
        <w:rPr>
          <w:rFonts w:ascii="Arial" w:eastAsia="Calibri" w:hAnsi="Arial" w:cs="Arial"/>
          <w:szCs w:val="22"/>
        </w:rPr>
        <w:t xml:space="preserve"> iz objavljenih in revidiranih letnih poročil bank in hranilnic. Za pridobivanje podatkov o bilančni vsoti</w:t>
      </w:r>
      <w:r w:rsidR="009E1D01" w:rsidRPr="008220CC">
        <w:rPr>
          <w:rFonts w:ascii="Arial" w:eastAsia="Calibri" w:hAnsi="Arial" w:cs="Arial"/>
          <w:szCs w:val="22"/>
        </w:rPr>
        <w:t xml:space="preserve">, </w:t>
      </w:r>
      <w:r w:rsidR="00B55E1A" w:rsidRPr="008220CC">
        <w:rPr>
          <w:rFonts w:ascii="Arial" w:eastAsia="Calibri" w:hAnsi="Arial" w:cs="Arial"/>
          <w:szCs w:val="22"/>
        </w:rPr>
        <w:t xml:space="preserve">celotnem </w:t>
      </w:r>
      <w:r w:rsidR="009E1D01" w:rsidRPr="008220CC">
        <w:rPr>
          <w:rFonts w:ascii="Arial" w:eastAsia="Calibri" w:hAnsi="Arial" w:cs="Arial"/>
          <w:szCs w:val="22"/>
        </w:rPr>
        <w:t>kapitalu</w:t>
      </w:r>
      <w:r w:rsidRPr="008220CC">
        <w:rPr>
          <w:rFonts w:ascii="Arial" w:eastAsia="Calibri" w:hAnsi="Arial" w:cs="Arial"/>
          <w:szCs w:val="22"/>
        </w:rPr>
        <w:t xml:space="preserve"> ter stanju terjatev je </w:t>
      </w:r>
      <w:r w:rsidR="009E1D01" w:rsidRPr="008220CC">
        <w:rPr>
          <w:rFonts w:ascii="Arial" w:eastAsia="Calibri" w:hAnsi="Arial" w:cs="Arial"/>
          <w:szCs w:val="22"/>
        </w:rPr>
        <w:t xml:space="preserve">Ministrstvo za finance </w:t>
      </w:r>
      <w:r w:rsidRPr="008220CC">
        <w:rPr>
          <w:rFonts w:ascii="Arial" w:eastAsia="Calibri" w:hAnsi="Arial" w:cs="Arial"/>
          <w:szCs w:val="22"/>
        </w:rPr>
        <w:t xml:space="preserve">pridobilo pooblastilo s strani vsake banke oziroma hranilnice, s katerim ta pooblašča Banko Slovenije, da lahko omenjene podatke posreduje upravljavcu EZRD. Podatke o terjatvah bank oziroma hranilnic do </w:t>
      </w:r>
      <w:r w:rsidR="00AA4404" w:rsidRPr="008220CC">
        <w:rPr>
          <w:rFonts w:ascii="Arial" w:eastAsia="Calibri" w:hAnsi="Arial" w:cs="Arial"/>
          <w:szCs w:val="22"/>
        </w:rPr>
        <w:t xml:space="preserve">proračuna </w:t>
      </w:r>
      <w:r w:rsidRPr="008220CC">
        <w:rPr>
          <w:rFonts w:ascii="Arial" w:eastAsia="Calibri" w:hAnsi="Arial" w:cs="Arial"/>
          <w:szCs w:val="22"/>
        </w:rPr>
        <w:t>R</w:t>
      </w:r>
      <w:r w:rsidR="006C71B3" w:rsidRPr="008220CC">
        <w:rPr>
          <w:rFonts w:ascii="Arial" w:eastAsia="Calibri" w:hAnsi="Arial" w:cs="Arial"/>
          <w:szCs w:val="22"/>
        </w:rPr>
        <w:t xml:space="preserve">epublike </w:t>
      </w:r>
      <w:r w:rsidRPr="008220CC">
        <w:rPr>
          <w:rFonts w:ascii="Arial" w:eastAsia="Calibri" w:hAnsi="Arial" w:cs="Arial"/>
          <w:szCs w:val="22"/>
        </w:rPr>
        <w:t>S</w:t>
      </w:r>
      <w:r w:rsidR="006C71B3" w:rsidRPr="008220CC">
        <w:rPr>
          <w:rFonts w:ascii="Arial" w:eastAsia="Calibri" w:hAnsi="Arial" w:cs="Arial"/>
          <w:szCs w:val="22"/>
        </w:rPr>
        <w:t>lovenije</w:t>
      </w:r>
      <w:r w:rsidRPr="008220CC">
        <w:rPr>
          <w:rFonts w:ascii="Arial" w:eastAsia="Calibri" w:hAnsi="Arial" w:cs="Arial"/>
          <w:szCs w:val="22"/>
        </w:rPr>
        <w:t xml:space="preserve"> (zadolženosti R</w:t>
      </w:r>
      <w:r w:rsidR="006C71B3" w:rsidRPr="008220CC">
        <w:rPr>
          <w:rFonts w:ascii="Arial" w:eastAsia="Calibri" w:hAnsi="Arial" w:cs="Arial"/>
          <w:szCs w:val="22"/>
        </w:rPr>
        <w:t xml:space="preserve">epublike </w:t>
      </w:r>
      <w:r w:rsidRPr="008220CC">
        <w:rPr>
          <w:rFonts w:ascii="Arial" w:eastAsia="Calibri" w:hAnsi="Arial" w:cs="Arial"/>
          <w:szCs w:val="22"/>
        </w:rPr>
        <w:t>S</w:t>
      </w:r>
      <w:r w:rsidR="006C71B3" w:rsidRPr="008220CC">
        <w:rPr>
          <w:rFonts w:ascii="Arial" w:eastAsia="Calibri" w:hAnsi="Arial" w:cs="Arial"/>
          <w:szCs w:val="22"/>
        </w:rPr>
        <w:t>lovenije</w:t>
      </w:r>
      <w:r w:rsidRPr="008220CC">
        <w:rPr>
          <w:rFonts w:ascii="Arial" w:eastAsia="Calibri" w:hAnsi="Arial" w:cs="Arial"/>
          <w:szCs w:val="22"/>
        </w:rPr>
        <w:t xml:space="preserve"> po bankah in hranilnicah) pridobiva upravljavec EZRD tudi iz internih evidenc Ministrstva za finance v začetku meseca po stanju na zadnji dan v preteklem mesecu. Podatki vključujejo stanje dolgoročnih posojil ter kratkoročnih in dolgoročnih vrednostnih papirjev, pri čemer so pri obveznicah in zakladnih menicah vključene le tiste obveznice oziroma zakladne menice, pri katerih so banke oziroma hranilnice vpisane kot imetnik v KDD (ne pa tudi tiste, ki so vključene na fiduciarnih računih).</w:t>
      </w:r>
    </w:p>
    <w:p w:rsidR="007C2283" w:rsidRPr="008220CC" w:rsidRDefault="007C2283" w:rsidP="0095168F">
      <w:pPr>
        <w:shd w:val="clear" w:color="auto" w:fill="auto"/>
        <w:spacing w:after="200" w:line="276" w:lineRule="auto"/>
        <w:rPr>
          <w:rFonts w:ascii="Arial" w:eastAsia="Calibri" w:hAnsi="Arial" w:cs="Arial"/>
          <w:szCs w:val="22"/>
        </w:rPr>
      </w:pPr>
      <w:r w:rsidRPr="008220CC">
        <w:rPr>
          <w:rFonts w:ascii="Arial" w:eastAsia="Calibri" w:hAnsi="Arial" w:cs="Arial"/>
          <w:szCs w:val="22"/>
        </w:rPr>
        <w:t>Podatke o bilančni vsoti</w:t>
      </w:r>
      <w:r w:rsidR="009E1D01" w:rsidRPr="008220CC">
        <w:rPr>
          <w:rFonts w:ascii="Arial" w:eastAsia="Calibri" w:hAnsi="Arial" w:cs="Arial"/>
          <w:szCs w:val="22"/>
        </w:rPr>
        <w:t xml:space="preserve"> in </w:t>
      </w:r>
      <w:r w:rsidR="00B55E1A" w:rsidRPr="008220CC">
        <w:rPr>
          <w:rFonts w:ascii="Arial" w:eastAsia="Calibri" w:hAnsi="Arial" w:cs="Arial"/>
          <w:szCs w:val="22"/>
        </w:rPr>
        <w:t xml:space="preserve">celotnem </w:t>
      </w:r>
      <w:r w:rsidR="009E1D01" w:rsidRPr="008220CC">
        <w:rPr>
          <w:rFonts w:ascii="Arial" w:eastAsia="Calibri" w:hAnsi="Arial" w:cs="Arial"/>
          <w:szCs w:val="22"/>
        </w:rPr>
        <w:t>kapitalu</w:t>
      </w:r>
      <w:r w:rsidRPr="008220CC">
        <w:rPr>
          <w:rFonts w:ascii="Arial" w:eastAsia="Calibri" w:hAnsi="Arial" w:cs="Arial"/>
          <w:szCs w:val="22"/>
        </w:rPr>
        <w:t xml:space="preserve"> </w:t>
      </w:r>
      <w:r w:rsidR="00AA4404" w:rsidRPr="008220CC">
        <w:rPr>
          <w:rFonts w:ascii="Arial" w:eastAsia="Calibri" w:hAnsi="Arial" w:cs="Arial"/>
          <w:szCs w:val="22"/>
        </w:rPr>
        <w:t xml:space="preserve">tujih </w:t>
      </w:r>
      <w:r w:rsidRPr="008220CC">
        <w:rPr>
          <w:rFonts w:ascii="Arial" w:eastAsia="Calibri" w:hAnsi="Arial" w:cs="Arial"/>
          <w:szCs w:val="22"/>
        </w:rPr>
        <w:t xml:space="preserve">bank se enkrat letno pridobi iz objavljenih in revidiranih letnih poročil bank. </w:t>
      </w:r>
    </w:p>
    <w:p w:rsidR="00B45609" w:rsidRPr="008220CC" w:rsidRDefault="00B55E1A" w:rsidP="0095168F">
      <w:pPr>
        <w:shd w:val="clear" w:color="auto" w:fill="auto"/>
        <w:spacing w:after="200" w:line="276" w:lineRule="auto"/>
        <w:rPr>
          <w:rFonts w:ascii="Arial" w:eastAsia="Calibri" w:hAnsi="Arial" w:cs="Arial"/>
          <w:szCs w:val="22"/>
        </w:rPr>
      </w:pPr>
      <w:r w:rsidRPr="008220CC">
        <w:rPr>
          <w:rFonts w:ascii="Arial" w:eastAsia="Calibri" w:hAnsi="Arial" w:cs="Arial"/>
          <w:szCs w:val="22"/>
        </w:rPr>
        <w:t>Celotni</w:t>
      </w:r>
      <w:r w:rsidR="00B45609" w:rsidRPr="008220CC">
        <w:rPr>
          <w:rFonts w:ascii="Arial" w:eastAsia="Calibri" w:hAnsi="Arial" w:cs="Arial"/>
          <w:szCs w:val="22"/>
        </w:rPr>
        <w:t xml:space="preserve"> kapital je </w:t>
      </w:r>
      <w:r w:rsidRPr="008220CC">
        <w:rPr>
          <w:rFonts w:ascii="Arial" w:eastAsia="Calibri" w:hAnsi="Arial" w:cs="Arial"/>
          <w:szCs w:val="22"/>
        </w:rPr>
        <w:t>celotni kapital iz izkaza finančnega položaja</w:t>
      </w:r>
      <w:r w:rsidR="00B45609" w:rsidRPr="008220CC">
        <w:rPr>
          <w:rFonts w:ascii="Arial" w:eastAsia="Calibri" w:hAnsi="Arial" w:cs="Arial"/>
          <w:szCs w:val="22"/>
        </w:rPr>
        <w:t xml:space="preserve">. </w:t>
      </w:r>
    </w:p>
    <w:p w:rsidR="007C2283" w:rsidRPr="008220CC" w:rsidRDefault="007C2283" w:rsidP="0095168F">
      <w:pPr>
        <w:shd w:val="clear" w:color="auto" w:fill="auto"/>
        <w:spacing w:after="200" w:line="276" w:lineRule="auto"/>
        <w:rPr>
          <w:rFonts w:ascii="Arial" w:eastAsia="Calibri" w:hAnsi="Arial" w:cs="Arial"/>
          <w:szCs w:val="22"/>
        </w:rPr>
      </w:pPr>
      <w:r w:rsidRPr="008220CC">
        <w:rPr>
          <w:rFonts w:ascii="Arial" w:eastAsia="Calibri" w:hAnsi="Arial" w:cs="Arial"/>
          <w:szCs w:val="22"/>
        </w:rPr>
        <w:t>Podatke o BDP držav se enkrat letno dobi na spletnih straneh EUROSTAT. Uporabijo se za zadnje leto objavljeni podatki.</w:t>
      </w:r>
    </w:p>
    <w:p w:rsidR="007C2283" w:rsidRPr="008220CC" w:rsidRDefault="007C2283" w:rsidP="0095168F">
      <w:pPr>
        <w:shd w:val="clear" w:color="auto" w:fill="auto"/>
        <w:spacing w:after="200" w:line="276" w:lineRule="auto"/>
        <w:rPr>
          <w:rFonts w:ascii="Arial" w:eastAsia="Calibri" w:hAnsi="Arial" w:cs="Arial"/>
          <w:szCs w:val="22"/>
        </w:rPr>
      </w:pPr>
      <w:r w:rsidRPr="008220CC">
        <w:rPr>
          <w:rFonts w:ascii="Arial" w:eastAsia="Calibri" w:hAnsi="Arial" w:cs="Arial"/>
          <w:szCs w:val="22"/>
        </w:rPr>
        <w:t xml:space="preserve">Pri podatkih o bonitetni oceni se upoštevajo zadnje objavljene bonitetne ocene na </w:t>
      </w:r>
      <w:proofErr w:type="spellStart"/>
      <w:r w:rsidRPr="008220CC">
        <w:rPr>
          <w:rFonts w:ascii="Arial" w:eastAsia="Calibri" w:hAnsi="Arial" w:cs="Arial"/>
          <w:szCs w:val="22"/>
        </w:rPr>
        <w:t>Bloombergu</w:t>
      </w:r>
      <w:proofErr w:type="spellEnd"/>
      <w:r w:rsidRPr="008220CC">
        <w:rPr>
          <w:rFonts w:ascii="Arial" w:eastAsia="Calibri" w:hAnsi="Arial" w:cs="Arial"/>
          <w:szCs w:val="22"/>
        </w:rPr>
        <w:t xml:space="preserve"> ali </w:t>
      </w:r>
      <w:proofErr w:type="spellStart"/>
      <w:r w:rsidRPr="008220CC">
        <w:rPr>
          <w:rFonts w:ascii="Arial" w:eastAsia="Calibri" w:hAnsi="Arial" w:cs="Arial"/>
          <w:szCs w:val="22"/>
        </w:rPr>
        <w:t>Reutersu</w:t>
      </w:r>
      <w:proofErr w:type="spellEnd"/>
      <w:r w:rsidRPr="008220CC">
        <w:rPr>
          <w:rFonts w:ascii="Arial" w:eastAsia="Calibri" w:hAnsi="Arial" w:cs="Arial"/>
          <w:szCs w:val="22"/>
        </w:rPr>
        <w:t xml:space="preserve">, pri čemer se te ustrezno prevedejo v bonitetno oceno </w:t>
      </w:r>
      <w:r w:rsidR="009E1D01" w:rsidRPr="008220CC">
        <w:rPr>
          <w:rFonts w:ascii="Arial" w:eastAsia="Calibri" w:hAnsi="Arial" w:cs="Arial"/>
          <w:szCs w:val="22"/>
        </w:rPr>
        <w:t>Ministrstva za finance</w:t>
      </w:r>
      <w:r w:rsidRPr="008220CC">
        <w:rPr>
          <w:rFonts w:ascii="Arial" w:eastAsia="Calibri" w:hAnsi="Arial" w:cs="Arial"/>
          <w:szCs w:val="22"/>
        </w:rPr>
        <w:t>.</w:t>
      </w:r>
    </w:p>
    <w:p w:rsidR="00720952" w:rsidRDefault="007C2283" w:rsidP="00FC1AE4">
      <w:pPr>
        <w:shd w:val="clear" w:color="auto" w:fill="auto"/>
        <w:spacing w:after="200" w:line="276" w:lineRule="auto"/>
        <w:rPr>
          <w:rFonts w:ascii="Arial" w:eastAsia="Calibri" w:hAnsi="Arial" w:cs="Arial"/>
          <w:szCs w:val="22"/>
        </w:rPr>
      </w:pPr>
      <w:r w:rsidRPr="008220CC">
        <w:rPr>
          <w:rFonts w:ascii="Arial" w:eastAsia="Calibri" w:hAnsi="Arial" w:cs="Arial"/>
          <w:szCs w:val="22"/>
        </w:rPr>
        <w:t xml:space="preserve">Na podlagi višine posamezne kategorije in </w:t>
      </w:r>
      <w:proofErr w:type="spellStart"/>
      <w:r w:rsidRPr="008220CC">
        <w:rPr>
          <w:rFonts w:ascii="Arial" w:eastAsia="Calibri" w:hAnsi="Arial" w:cs="Arial"/>
          <w:szCs w:val="22"/>
        </w:rPr>
        <w:t>ponderjev</w:t>
      </w:r>
      <w:proofErr w:type="spellEnd"/>
      <w:r w:rsidRPr="008220CC">
        <w:rPr>
          <w:rFonts w:ascii="Arial" w:eastAsia="Calibri" w:hAnsi="Arial" w:cs="Arial"/>
          <w:szCs w:val="22"/>
        </w:rPr>
        <w:t xml:space="preserve"> se izračunajo relativni deleži po posameznih nasprotnih strankah (delež maksimalne izpostavljenosti). Ti deleži povedo, kakšna bi bila optimalna razpršitev naložb denarnih sredstev </w:t>
      </w:r>
      <w:r w:rsidR="000022A9" w:rsidRPr="008220CC">
        <w:rPr>
          <w:rFonts w:ascii="Arial" w:eastAsia="Calibri" w:hAnsi="Arial" w:cs="Arial"/>
          <w:szCs w:val="22"/>
        </w:rPr>
        <w:t xml:space="preserve">sistema </w:t>
      </w:r>
      <w:r w:rsidRPr="008220CC">
        <w:rPr>
          <w:rFonts w:ascii="Arial" w:eastAsia="Calibri" w:hAnsi="Arial" w:cs="Arial"/>
          <w:szCs w:val="22"/>
        </w:rPr>
        <w:t xml:space="preserve">EZRD med posameznimi nasprotnimi strankami. </w:t>
      </w:r>
    </w:p>
    <w:p w:rsidR="00720952" w:rsidRDefault="00720952" w:rsidP="00720952">
      <w:pPr>
        <w:shd w:val="clear" w:color="auto" w:fill="auto"/>
        <w:rPr>
          <w:rFonts w:ascii="Arial" w:eastAsia="Calibri" w:hAnsi="Arial" w:cs="Arial"/>
          <w:szCs w:val="22"/>
        </w:rPr>
      </w:pPr>
    </w:p>
    <w:p w:rsidR="003B0C53" w:rsidRPr="00FC1AE4" w:rsidRDefault="003B0C53" w:rsidP="00720952">
      <w:pPr>
        <w:shd w:val="clear" w:color="auto" w:fill="auto"/>
        <w:rPr>
          <w:rFonts w:ascii="Arial" w:eastAsia="Calibri" w:hAnsi="Arial" w:cs="Arial"/>
          <w:szCs w:val="22"/>
        </w:rPr>
      </w:pPr>
    </w:p>
    <w:p w:rsidR="007C2283" w:rsidRPr="008220CC" w:rsidRDefault="007C2283" w:rsidP="007C2283">
      <w:pPr>
        <w:shd w:val="clear" w:color="auto" w:fill="auto"/>
        <w:spacing w:line="260" w:lineRule="atLeast"/>
        <w:rPr>
          <w:rFonts w:ascii="Arial" w:hAnsi="Arial" w:cs="Arial"/>
          <w:b/>
          <w:szCs w:val="22"/>
        </w:rPr>
      </w:pPr>
      <w:r w:rsidRPr="008220CC">
        <w:rPr>
          <w:rFonts w:ascii="Arial" w:hAnsi="Arial" w:cs="Arial"/>
          <w:b/>
          <w:szCs w:val="22"/>
        </w:rPr>
        <w:t>4.2.2. Maksimalni obseg</w:t>
      </w:r>
    </w:p>
    <w:p w:rsidR="007C2283" w:rsidRPr="008220CC" w:rsidRDefault="007C2283" w:rsidP="007C2283">
      <w:pPr>
        <w:shd w:val="clear" w:color="auto" w:fill="auto"/>
        <w:spacing w:line="260" w:lineRule="atLeast"/>
        <w:rPr>
          <w:rFonts w:ascii="Arial" w:hAnsi="Arial" w:cs="Arial"/>
          <w:szCs w:val="22"/>
        </w:rPr>
      </w:pPr>
    </w:p>
    <w:p w:rsidR="007C2283" w:rsidRPr="008220CC" w:rsidRDefault="007C2283" w:rsidP="0095168F">
      <w:pPr>
        <w:shd w:val="clear" w:color="auto" w:fill="auto"/>
        <w:spacing w:after="200" w:line="276" w:lineRule="auto"/>
        <w:rPr>
          <w:rFonts w:ascii="Arial" w:eastAsia="Calibri" w:hAnsi="Arial" w:cs="Arial"/>
          <w:szCs w:val="22"/>
        </w:rPr>
      </w:pPr>
      <w:r w:rsidRPr="008220CC">
        <w:rPr>
          <w:rFonts w:ascii="Arial" w:eastAsia="Calibri" w:hAnsi="Arial" w:cs="Arial"/>
          <w:szCs w:val="22"/>
        </w:rPr>
        <w:t xml:space="preserve">Maksimalni obseg izpostavljenosti </w:t>
      </w:r>
      <w:r w:rsidR="00672CB5" w:rsidRPr="008220CC">
        <w:rPr>
          <w:rFonts w:ascii="Arial" w:eastAsia="Calibri" w:hAnsi="Arial" w:cs="Arial"/>
          <w:szCs w:val="22"/>
        </w:rPr>
        <w:t>sistema</w:t>
      </w:r>
      <w:r w:rsidR="00E76ED1" w:rsidRPr="008220CC">
        <w:rPr>
          <w:rFonts w:ascii="Arial" w:eastAsia="Calibri" w:hAnsi="Arial" w:cs="Arial"/>
          <w:szCs w:val="22"/>
        </w:rPr>
        <w:t xml:space="preserve"> EZRD </w:t>
      </w:r>
      <w:r w:rsidRPr="008220CC">
        <w:rPr>
          <w:rFonts w:ascii="Arial" w:eastAsia="Calibri" w:hAnsi="Arial" w:cs="Arial"/>
          <w:szCs w:val="22"/>
        </w:rPr>
        <w:t>do posamezne nasprotne stranke se izrazi z osnovnim</w:t>
      </w:r>
      <w:r w:rsidR="00672CB5" w:rsidRPr="008220CC">
        <w:rPr>
          <w:rFonts w:ascii="Arial" w:eastAsia="Calibri" w:hAnsi="Arial" w:cs="Arial"/>
          <w:szCs w:val="22"/>
        </w:rPr>
        <w:t>,</w:t>
      </w:r>
      <w:r w:rsidRPr="008220CC">
        <w:rPr>
          <w:rFonts w:ascii="Arial" w:eastAsia="Calibri" w:hAnsi="Arial" w:cs="Arial"/>
          <w:szCs w:val="22"/>
        </w:rPr>
        <w:t xml:space="preserve"> povečanim limitom</w:t>
      </w:r>
      <w:r w:rsidR="00672CB5" w:rsidRPr="008220CC">
        <w:rPr>
          <w:rFonts w:ascii="Arial" w:eastAsia="Calibri" w:hAnsi="Arial" w:cs="Arial"/>
          <w:szCs w:val="22"/>
        </w:rPr>
        <w:t>,</w:t>
      </w:r>
      <w:r w:rsidRPr="008220CC">
        <w:rPr>
          <w:rFonts w:ascii="Arial" w:eastAsia="Calibri" w:hAnsi="Arial" w:cs="Arial"/>
          <w:szCs w:val="22"/>
        </w:rPr>
        <w:t xml:space="preserve"> </w:t>
      </w:r>
      <w:r w:rsidR="00240465" w:rsidRPr="008220CC">
        <w:rPr>
          <w:rFonts w:ascii="Arial" w:eastAsia="Calibri" w:hAnsi="Arial" w:cs="Arial"/>
          <w:szCs w:val="22"/>
        </w:rPr>
        <w:t xml:space="preserve">celotnim </w:t>
      </w:r>
      <w:r w:rsidRPr="008220CC">
        <w:rPr>
          <w:rFonts w:ascii="Arial" w:eastAsia="Calibri" w:hAnsi="Arial" w:cs="Arial"/>
          <w:szCs w:val="22"/>
        </w:rPr>
        <w:t>kapitalom</w:t>
      </w:r>
      <w:r w:rsidR="00672CB5" w:rsidRPr="008220CC">
        <w:rPr>
          <w:rFonts w:ascii="Arial" w:eastAsia="Calibri" w:hAnsi="Arial" w:cs="Arial"/>
          <w:szCs w:val="22"/>
        </w:rPr>
        <w:t xml:space="preserve"> oziroma določenim absolutnim zneskom</w:t>
      </w:r>
      <w:r w:rsidRPr="008220CC">
        <w:rPr>
          <w:rFonts w:ascii="Arial" w:eastAsia="Calibri" w:hAnsi="Arial" w:cs="Arial"/>
          <w:szCs w:val="22"/>
        </w:rPr>
        <w:t>.</w:t>
      </w:r>
      <w:r w:rsidR="00672CB5" w:rsidRPr="008220CC">
        <w:rPr>
          <w:rFonts w:ascii="Arial" w:eastAsia="Calibri" w:hAnsi="Arial" w:cs="Arial"/>
          <w:szCs w:val="22"/>
        </w:rPr>
        <w:t xml:space="preserve"> </w:t>
      </w:r>
    </w:p>
    <w:p w:rsidR="00DE4169" w:rsidRDefault="00DE4169" w:rsidP="0095168F">
      <w:pPr>
        <w:shd w:val="clear" w:color="auto" w:fill="auto"/>
        <w:spacing w:after="200" w:line="276" w:lineRule="auto"/>
        <w:rPr>
          <w:rFonts w:ascii="Arial" w:eastAsia="Calibri" w:hAnsi="Arial" w:cs="Arial"/>
          <w:szCs w:val="22"/>
          <w:u w:val="single"/>
        </w:rPr>
      </w:pPr>
    </w:p>
    <w:p w:rsidR="00DE4169" w:rsidRDefault="00DE4169" w:rsidP="0095168F">
      <w:pPr>
        <w:shd w:val="clear" w:color="auto" w:fill="auto"/>
        <w:spacing w:after="200" w:line="276" w:lineRule="auto"/>
        <w:rPr>
          <w:rFonts w:ascii="Arial" w:eastAsia="Calibri" w:hAnsi="Arial" w:cs="Arial"/>
          <w:szCs w:val="22"/>
          <w:u w:val="single"/>
        </w:rPr>
      </w:pPr>
    </w:p>
    <w:p w:rsidR="007C2283" w:rsidRDefault="007C2283" w:rsidP="0095168F">
      <w:pPr>
        <w:shd w:val="clear" w:color="auto" w:fill="auto"/>
        <w:spacing w:after="200" w:line="276" w:lineRule="auto"/>
        <w:rPr>
          <w:rFonts w:ascii="Arial" w:eastAsia="Calibri" w:hAnsi="Arial" w:cs="Arial"/>
          <w:szCs w:val="22"/>
        </w:rPr>
      </w:pPr>
      <w:r w:rsidRPr="008220CC">
        <w:rPr>
          <w:rFonts w:ascii="Arial" w:eastAsia="Calibri" w:hAnsi="Arial" w:cs="Arial"/>
          <w:szCs w:val="22"/>
          <w:u w:val="single"/>
        </w:rPr>
        <w:lastRenderedPageBreak/>
        <w:t>Osnovni limit</w:t>
      </w:r>
      <w:r w:rsidRPr="008220CC">
        <w:rPr>
          <w:rFonts w:ascii="Arial" w:eastAsia="Calibri" w:hAnsi="Arial" w:cs="Arial"/>
          <w:szCs w:val="22"/>
        </w:rPr>
        <w:t xml:space="preserve"> je določen po naslednji formuli:</w:t>
      </w:r>
    </w:p>
    <w:p w:rsidR="007C2283" w:rsidRPr="008220CC" w:rsidRDefault="007C2283" w:rsidP="007C2283">
      <w:pPr>
        <w:shd w:val="clear" w:color="auto" w:fill="auto"/>
        <w:spacing w:line="260" w:lineRule="atLeast"/>
        <w:jc w:val="center"/>
        <w:rPr>
          <w:rFonts w:ascii="Arial" w:hAnsi="Arial" w:cs="Arial"/>
          <w:sz w:val="16"/>
          <w:szCs w:val="16"/>
        </w:rPr>
      </w:pPr>
      <w:r w:rsidRPr="008220CC">
        <w:rPr>
          <w:rFonts w:ascii="Arial" w:hAnsi="Arial" w:cs="Arial"/>
          <w:szCs w:val="22"/>
        </w:rPr>
        <w:t xml:space="preserve">OSNOVNI LIMIT </w:t>
      </w:r>
      <w:r w:rsidRPr="008220CC">
        <w:rPr>
          <w:rFonts w:ascii="Arial" w:hAnsi="Arial" w:cs="Arial"/>
          <w:i/>
          <w:sz w:val="16"/>
          <w:szCs w:val="16"/>
        </w:rPr>
        <w:t>nasprotna stranka 1</w:t>
      </w:r>
      <w:r w:rsidRPr="008220CC">
        <w:rPr>
          <w:rFonts w:ascii="Arial" w:hAnsi="Arial" w:cs="Arial"/>
          <w:szCs w:val="22"/>
        </w:rPr>
        <w:t xml:space="preserve"> = % maksimalne izpostavljenosti </w:t>
      </w:r>
      <w:r w:rsidRPr="008220CC">
        <w:rPr>
          <w:rFonts w:ascii="Arial" w:hAnsi="Arial" w:cs="Arial"/>
          <w:i/>
          <w:sz w:val="16"/>
          <w:szCs w:val="16"/>
        </w:rPr>
        <w:t>nasprotna stranka 1</w:t>
      </w:r>
      <w:r w:rsidRPr="008220CC">
        <w:rPr>
          <w:rFonts w:ascii="Arial" w:hAnsi="Arial" w:cs="Arial"/>
          <w:sz w:val="16"/>
          <w:szCs w:val="16"/>
        </w:rPr>
        <w:t xml:space="preserve"> </w:t>
      </w:r>
    </w:p>
    <w:p w:rsidR="007C2283" w:rsidRPr="008220CC" w:rsidRDefault="007C2283" w:rsidP="007C2283">
      <w:pPr>
        <w:shd w:val="clear" w:color="auto" w:fill="auto"/>
        <w:spacing w:line="260" w:lineRule="atLeast"/>
        <w:jc w:val="center"/>
        <w:rPr>
          <w:rFonts w:ascii="Arial" w:hAnsi="Arial" w:cs="Arial"/>
          <w:szCs w:val="22"/>
        </w:rPr>
      </w:pPr>
      <w:r w:rsidRPr="008220CC">
        <w:rPr>
          <w:rFonts w:ascii="Arial" w:hAnsi="Arial" w:cs="Arial"/>
          <w:szCs w:val="22"/>
        </w:rPr>
        <w:t>* obseg denarnih sredstev</w:t>
      </w:r>
      <w:r w:rsidR="000022A9" w:rsidRPr="008220CC">
        <w:rPr>
          <w:rFonts w:ascii="Arial" w:hAnsi="Arial" w:cs="Arial"/>
          <w:szCs w:val="22"/>
        </w:rPr>
        <w:t xml:space="preserve"> sistema EZRD</w:t>
      </w:r>
      <w:r w:rsidRPr="008220CC">
        <w:rPr>
          <w:rFonts w:ascii="Arial" w:hAnsi="Arial" w:cs="Arial"/>
          <w:szCs w:val="22"/>
        </w:rPr>
        <w:t xml:space="preserve"> za naložbe izven sistema EZRD posamezne skupine te nasprotne stranke</w:t>
      </w:r>
    </w:p>
    <w:p w:rsidR="007C2283" w:rsidRPr="008220CC" w:rsidRDefault="007C2283" w:rsidP="007C2283">
      <w:pPr>
        <w:shd w:val="clear" w:color="auto" w:fill="auto"/>
        <w:spacing w:line="260" w:lineRule="atLeast"/>
        <w:rPr>
          <w:rFonts w:ascii="Arial" w:hAnsi="Arial" w:cs="Arial"/>
          <w:szCs w:val="22"/>
        </w:rPr>
      </w:pPr>
    </w:p>
    <w:p w:rsidR="007C2283" w:rsidRPr="008220CC" w:rsidRDefault="007C2283" w:rsidP="0095168F">
      <w:pPr>
        <w:shd w:val="clear" w:color="auto" w:fill="auto"/>
        <w:spacing w:after="200" w:line="276" w:lineRule="auto"/>
        <w:rPr>
          <w:rFonts w:ascii="Arial" w:eastAsia="Calibri" w:hAnsi="Arial" w:cs="Arial"/>
          <w:szCs w:val="22"/>
        </w:rPr>
      </w:pPr>
      <w:r w:rsidRPr="00A87899">
        <w:rPr>
          <w:rFonts w:ascii="Arial" w:eastAsia="Calibri" w:hAnsi="Arial" w:cs="Arial"/>
          <w:szCs w:val="22"/>
          <w:u w:val="single"/>
        </w:rPr>
        <w:t>Povečan limit</w:t>
      </w:r>
      <w:r w:rsidRPr="008220CC">
        <w:rPr>
          <w:rFonts w:ascii="Arial" w:eastAsia="Calibri" w:hAnsi="Arial" w:cs="Arial"/>
          <w:szCs w:val="22"/>
        </w:rPr>
        <w:t xml:space="preserve"> je seštevek osnovnega limita in povečanj na podlagi prihodnjih zapadlosti že sklenjenih depozitov. Depoziti na odpoklic in naložbe, katerih zapadlost je znotraj 30 dni, sproščajo izpostavljenost do posamezne nasprotne stranke. V</w:t>
      </w:r>
      <w:r w:rsidR="0025002B" w:rsidRPr="008220CC">
        <w:rPr>
          <w:rFonts w:ascii="Arial" w:eastAsia="Calibri" w:hAnsi="Arial" w:cs="Arial"/>
          <w:szCs w:val="22"/>
        </w:rPr>
        <w:t xml:space="preserve"> </w:t>
      </w:r>
      <w:r w:rsidRPr="008220CC">
        <w:rPr>
          <w:rFonts w:ascii="Arial" w:eastAsia="Calibri" w:hAnsi="Arial" w:cs="Arial"/>
          <w:szCs w:val="22"/>
        </w:rPr>
        <w:t xml:space="preserve">sled temu del teh naložb (90 %) povečuje osnovni limit. </w:t>
      </w:r>
    </w:p>
    <w:p w:rsidR="007C2283" w:rsidRPr="008220CC" w:rsidRDefault="007C2283" w:rsidP="0095168F">
      <w:pPr>
        <w:shd w:val="clear" w:color="auto" w:fill="auto"/>
        <w:spacing w:after="200" w:line="276" w:lineRule="auto"/>
        <w:rPr>
          <w:rFonts w:ascii="Arial" w:eastAsia="Calibri" w:hAnsi="Arial" w:cs="Arial"/>
          <w:szCs w:val="22"/>
        </w:rPr>
      </w:pPr>
      <w:r w:rsidRPr="00A87899">
        <w:rPr>
          <w:rFonts w:ascii="Arial" w:eastAsia="Calibri" w:hAnsi="Arial" w:cs="Arial"/>
          <w:szCs w:val="22"/>
        </w:rPr>
        <w:t>Povečan limit</w:t>
      </w:r>
      <w:r w:rsidRPr="008220CC">
        <w:rPr>
          <w:rFonts w:ascii="Arial" w:eastAsia="Calibri" w:hAnsi="Arial" w:cs="Arial"/>
          <w:szCs w:val="22"/>
        </w:rPr>
        <w:t xml:space="preserve"> je določen po naslednji formuli:</w:t>
      </w:r>
    </w:p>
    <w:p w:rsidR="007C2283" w:rsidRPr="008220CC" w:rsidRDefault="007C2283" w:rsidP="007C2283">
      <w:pPr>
        <w:shd w:val="clear" w:color="auto" w:fill="auto"/>
        <w:spacing w:line="260" w:lineRule="atLeast"/>
        <w:jc w:val="center"/>
        <w:rPr>
          <w:rFonts w:ascii="Arial" w:hAnsi="Arial" w:cs="Arial"/>
          <w:szCs w:val="22"/>
        </w:rPr>
      </w:pPr>
      <w:r w:rsidRPr="008220CC">
        <w:rPr>
          <w:rFonts w:ascii="Arial" w:hAnsi="Arial" w:cs="Arial"/>
          <w:szCs w:val="22"/>
        </w:rPr>
        <w:t>POVEČAN LIMIT</w:t>
      </w:r>
      <w:r w:rsidRPr="008220CC">
        <w:rPr>
          <w:rFonts w:ascii="Arial" w:hAnsi="Arial" w:cs="Arial"/>
          <w:i/>
          <w:szCs w:val="22"/>
        </w:rPr>
        <w:t xml:space="preserve"> </w:t>
      </w:r>
      <w:r w:rsidRPr="008220CC">
        <w:rPr>
          <w:rFonts w:ascii="Arial" w:hAnsi="Arial" w:cs="Arial"/>
          <w:i/>
          <w:sz w:val="16"/>
          <w:szCs w:val="16"/>
        </w:rPr>
        <w:t>nasprotna stranka 1</w:t>
      </w:r>
      <w:r w:rsidRPr="008220CC">
        <w:rPr>
          <w:rFonts w:ascii="Arial" w:hAnsi="Arial" w:cs="Arial"/>
          <w:szCs w:val="22"/>
        </w:rPr>
        <w:t xml:space="preserve"> = osnovni limit </w:t>
      </w:r>
      <w:r w:rsidRPr="008220CC">
        <w:rPr>
          <w:rFonts w:ascii="Arial" w:hAnsi="Arial" w:cs="Arial"/>
          <w:i/>
          <w:sz w:val="16"/>
          <w:szCs w:val="16"/>
        </w:rPr>
        <w:t>nasprotna stranka 1</w:t>
      </w:r>
      <w:r w:rsidRPr="008220CC">
        <w:rPr>
          <w:rFonts w:ascii="Arial" w:hAnsi="Arial" w:cs="Arial"/>
          <w:szCs w:val="22"/>
        </w:rPr>
        <w:t xml:space="preserve"> + 90% naložb, ki zapadejo v roku 30 dni</w:t>
      </w:r>
      <w:r w:rsidRPr="008220CC">
        <w:rPr>
          <w:rFonts w:ascii="Arial" w:hAnsi="Arial" w:cs="Arial"/>
          <w:i/>
          <w:szCs w:val="22"/>
        </w:rPr>
        <w:t xml:space="preserve"> </w:t>
      </w:r>
      <w:r w:rsidRPr="008220CC">
        <w:rPr>
          <w:rFonts w:ascii="Arial" w:hAnsi="Arial" w:cs="Arial"/>
          <w:i/>
          <w:sz w:val="16"/>
          <w:szCs w:val="16"/>
        </w:rPr>
        <w:t>nasprotna stranka 1</w:t>
      </w:r>
      <w:r w:rsidRPr="008220CC">
        <w:rPr>
          <w:rFonts w:ascii="Arial" w:hAnsi="Arial" w:cs="Arial"/>
          <w:szCs w:val="22"/>
        </w:rPr>
        <w:t xml:space="preserve"> + 90% depozitov na odpoklic</w:t>
      </w:r>
      <w:r w:rsidRPr="008220CC">
        <w:rPr>
          <w:rFonts w:ascii="Arial" w:hAnsi="Arial" w:cs="Arial"/>
          <w:i/>
          <w:szCs w:val="22"/>
        </w:rPr>
        <w:t xml:space="preserve"> </w:t>
      </w:r>
      <w:r w:rsidRPr="008220CC">
        <w:rPr>
          <w:rFonts w:ascii="Arial" w:hAnsi="Arial" w:cs="Arial"/>
          <w:i/>
          <w:sz w:val="16"/>
          <w:szCs w:val="16"/>
        </w:rPr>
        <w:t>nasprotna stranka 1</w:t>
      </w:r>
    </w:p>
    <w:p w:rsidR="007C2283" w:rsidRPr="008220CC" w:rsidRDefault="007C2283" w:rsidP="007C2283">
      <w:pPr>
        <w:shd w:val="clear" w:color="auto" w:fill="auto"/>
        <w:spacing w:line="260" w:lineRule="atLeast"/>
        <w:rPr>
          <w:rFonts w:ascii="Arial" w:hAnsi="Arial" w:cs="Arial"/>
          <w:szCs w:val="22"/>
        </w:rPr>
      </w:pPr>
    </w:p>
    <w:p w:rsidR="007C2283" w:rsidRPr="008220CC" w:rsidRDefault="007C2283" w:rsidP="006057B7">
      <w:pPr>
        <w:shd w:val="clear" w:color="auto" w:fill="auto"/>
        <w:spacing w:after="200" w:line="276" w:lineRule="auto"/>
        <w:rPr>
          <w:rFonts w:ascii="Arial" w:eastAsia="Calibri" w:hAnsi="Arial" w:cs="Arial"/>
          <w:szCs w:val="22"/>
        </w:rPr>
      </w:pPr>
      <w:r w:rsidRPr="008220CC">
        <w:rPr>
          <w:rFonts w:ascii="Arial" w:eastAsia="Calibri" w:hAnsi="Arial" w:cs="Arial"/>
          <w:szCs w:val="22"/>
          <w:u w:val="single"/>
        </w:rPr>
        <w:t>Maksimalni obseg izpostavljenosti</w:t>
      </w:r>
      <w:r w:rsidRPr="008220CC">
        <w:rPr>
          <w:rFonts w:ascii="Arial" w:eastAsia="Calibri" w:hAnsi="Arial" w:cs="Arial"/>
          <w:szCs w:val="22"/>
        </w:rPr>
        <w:t xml:space="preserve"> do posamezne </w:t>
      </w:r>
      <w:r w:rsidR="00B45609" w:rsidRPr="008220CC">
        <w:rPr>
          <w:rFonts w:ascii="Arial" w:eastAsia="Calibri" w:hAnsi="Arial" w:cs="Arial"/>
          <w:szCs w:val="22"/>
        </w:rPr>
        <w:t xml:space="preserve">nasprotne stranke </w:t>
      </w:r>
      <w:r w:rsidRPr="008220CC">
        <w:rPr>
          <w:rFonts w:ascii="Arial" w:eastAsia="Calibri" w:hAnsi="Arial" w:cs="Arial"/>
          <w:szCs w:val="22"/>
        </w:rPr>
        <w:t>je enak</w:t>
      </w:r>
      <w:r w:rsidR="00B71014" w:rsidRPr="008220CC">
        <w:rPr>
          <w:rFonts w:ascii="Arial" w:eastAsia="Calibri" w:hAnsi="Arial" w:cs="Arial"/>
          <w:szCs w:val="22"/>
        </w:rPr>
        <w:t>:</w:t>
      </w:r>
    </w:p>
    <w:p w:rsidR="00162FAA" w:rsidRDefault="00B71014" w:rsidP="00401480">
      <w:pPr>
        <w:shd w:val="clear" w:color="auto" w:fill="auto"/>
        <w:spacing w:after="200" w:line="276" w:lineRule="auto"/>
        <w:jc w:val="center"/>
        <w:rPr>
          <w:rFonts w:ascii="Arial" w:hAnsi="Arial" w:cs="Arial"/>
          <w:szCs w:val="22"/>
        </w:rPr>
      </w:pPr>
      <w:r w:rsidRPr="008220CC">
        <w:rPr>
          <w:rFonts w:ascii="Arial" w:eastAsia="Calibri" w:hAnsi="Arial" w:cs="Arial"/>
          <w:szCs w:val="22"/>
        </w:rPr>
        <w:t>MAKSIMALNI OBSEG IZPOSTAVLJENOSTI</w:t>
      </w:r>
      <w:r w:rsidRPr="008220CC">
        <w:rPr>
          <w:rFonts w:ascii="Arial" w:hAnsi="Arial" w:cs="Arial"/>
          <w:i/>
          <w:sz w:val="16"/>
          <w:szCs w:val="16"/>
        </w:rPr>
        <w:t xml:space="preserve"> nasprotna stranka 1</w:t>
      </w:r>
      <w:r w:rsidRPr="008220CC">
        <w:rPr>
          <w:rFonts w:ascii="Arial" w:hAnsi="Arial" w:cs="Arial"/>
          <w:szCs w:val="22"/>
        </w:rPr>
        <w:t xml:space="preserve"> </w:t>
      </w:r>
      <w:r w:rsidRPr="008220CC">
        <w:rPr>
          <w:rFonts w:ascii="Arial" w:eastAsia="Calibri" w:hAnsi="Arial" w:cs="Arial"/>
          <w:szCs w:val="22"/>
        </w:rPr>
        <w:t>= min (p</w:t>
      </w:r>
      <w:r w:rsidRPr="008220CC">
        <w:rPr>
          <w:rFonts w:ascii="Arial" w:hAnsi="Arial" w:cs="Arial"/>
          <w:szCs w:val="22"/>
        </w:rPr>
        <w:t>ovečan limit</w:t>
      </w:r>
      <w:r w:rsidRPr="008220CC">
        <w:rPr>
          <w:rFonts w:ascii="Arial" w:hAnsi="Arial" w:cs="Arial"/>
          <w:i/>
          <w:szCs w:val="22"/>
        </w:rPr>
        <w:t xml:space="preserve"> </w:t>
      </w:r>
      <w:r w:rsidRPr="008220CC">
        <w:rPr>
          <w:rFonts w:ascii="Arial" w:hAnsi="Arial" w:cs="Arial"/>
          <w:i/>
          <w:sz w:val="16"/>
          <w:szCs w:val="16"/>
        </w:rPr>
        <w:t>nasprotna stranka 1</w:t>
      </w:r>
      <w:r w:rsidRPr="008220CC">
        <w:rPr>
          <w:rFonts w:ascii="Arial" w:hAnsi="Arial" w:cs="Arial"/>
          <w:i/>
          <w:szCs w:val="22"/>
        </w:rPr>
        <w:t xml:space="preserve">, </w:t>
      </w:r>
      <w:r w:rsidRPr="008220CC">
        <w:rPr>
          <w:rFonts w:ascii="Arial" w:hAnsi="Arial" w:cs="Arial"/>
          <w:szCs w:val="22"/>
        </w:rPr>
        <w:t>25% celotnega kapitala</w:t>
      </w:r>
      <w:r w:rsidRPr="008220CC">
        <w:rPr>
          <w:rFonts w:ascii="Arial" w:hAnsi="Arial" w:cs="Arial"/>
          <w:i/>
          <w:sz w:val="16"/>
          <w:szCs w:val="16"/>
        </w:rPr>
        <w:t xml:space="preserve"> nasprotna stranka 1</w:t>
      </w:r>
      <w:r w:rsidRPr="008220CC">
        <w:rPr>
          <w:rFonts w:ascii="Arial" w:hAnsi="Arial" w:cs="Arial"/>
          <w:szCs w:val="22"/>
        </w:rPr>
        <w:t>, 500 mio evrov)</w:t>
      </w:r>
      <w:r w:rsidR="00B977CB" w:rsidRPr="008220CC">
        <w:rPr>
          <w:rFonts w:ascii="Arial" w:hAnsi="Arial" w:cs="Arial"/>
          <w:szCs w:val="22"/>
        </w:rPr>
        <w:t>.</w:t>
      </w:r>
    </w:p>
    <w:p w:rsidR="00FC1AE4" w:rsidRPr="008220CC" w:rsidRDefault="00FC1AE4" w:rsidP="00FC1AE4">
      <w:pPr>
        <w:shd w:val="clear" w:color="auto" w:fill="auto"/>
        <w:spacing w:after="200"/>
        <w:jc w:val="center"/>
        <w:rPr>
          <w:rFonts w:ascii="Arial" w:eastAsia="Calibri" w:hAnsi="Arial" w:cs="Arial"/>
          <w:szCs w:val="22"/>
        </w:rPr>
      </w:pPr>
    </w:p>
    <w:p w:rsidR="007C2283" w:rsidRPr="008220CC" w:rsidRDefault="007C2283" w:rsidP="007C2283">
      <w:pPr>
        <w:shd w:val="clear" w:color="auto" w:fill="auto"/>
        <w:spacing w:line="260" w:lineRule="atLeast"/>
        <w:rPr>
          <w:rFonts w:ascii="Arial" w:hAnsi="Arial" w:cs="Arial"/>
          <w:b/>
          <w:szCs w:val="22"/>
        </w:rPr>
      </w:pPr>
      <w:r w:rsidRPr="008220CC">
        <w:rPr>
          <w:rFonts w:ascii="Arial" w:hAnsi="Arial" w:cs="Arial"/>
          <w:b/>
          <w:szCs w:val="22"/>
        </w:rPr>
        <w:t>4.3. Prosta kvota</w:t>
      </w:r>
    </w:p>
    <w:p w:rsidR="007C2283" w:rsidRPr="002E7E1E" w:rsidRDefault="007C2283" w:rsidP="007C2283">
      <w:pPr>
        <w:shd w:val="clear" w:color="auto" w:fill="auto"/>
        <w:spacing w:line="260" w:lineRule="atLeast"/>
        <w:rPr>
          <w:rFonts w:ascii="Arial" w:hAnsi="Arial" w:cs="Arial"/>
          <w:szCs w:val="22"/>
          <w:u w:val="single"/>
        </w:rPr>
      </w:pPr>
    </w:p>
    <w:p w:rsidR="007C2283" w:rsidRPr="008220CC" w:rsidRDefault="007C2283" w:rsidP="0095168F">
      <w:pPr>
        <w:shd w:val="clear" w:color="auto" w:fill="auto"/>
        <w:spacing w:after="200" w:line="276" w:lineRule="auto"/>
        <w:rPr>
          <w:rFonts w:ascii="Arial" w:eastAsia="Calibri" w:hAnsi="Arial" w:cs="Arial"/>
          <w:szCs w:val="22"/>
        </w:rPr>
      </w:pPr>
      <w:r w:rsidRPr="008220CC">
        <w:rPr>
          <w:rFonts w:ascii="Arial" w:eastAsia="Calibri" w:hAnsi="Arial" w:cs="Arial"/>
          <w:szCs w:val="22"/>
        </w:rPr>
        <w:t>Prosta kvota posamezne nasprotne stranke predstavlja višino denarnih sredstev, ki se lahko naloži kot nova naložba in se izračuna po naslednji formuli:</w:t>
      </w:r>
    </w:p>
    <w:p w:rsidR="007C2283" w:rsidRPr="008220CC" w:rsidRDefault="007C2283" w:rsidP="007C2283">
      <w:pPr>
        <w:shd w:val="clear" w:color="auto" w:fill="auto"/>
        <w:spacing w:line="260" w:lineRule="atLeast"/>
        <w:jc w:val="center"/>
        <w:rPr>
          <w:rFonts w:ascii="Arial" w:hAnsi="Arial" w:cs="Arial"/>
          <w:i/>
          <w:sz w:val="16"/>
          <w:szCs w:val="16"/>
        </w:rPr>
      </w:pPr>
      <w:r w:rsidRPr="008220CC">
        <w:rPr>
          <w:rFonts w:ascii="Arial" w:hAnsi="Arial" w:cs="Arial"/>
          <w:szCs w:val="22"/>
        </w:rPr>
        <w:t xml:space="preserve">PROSTA KVOTA </w:t>
      </w:r>
      <w:r w:rsidRPr="008220CC">
        <w:rPr>
          <w:rFonts w:ascii="Arial" w:hAnsi="Arial" w:cs="Arial"/>
          <w:i/>
          <w:sz w:val="16"/>
          <w:szCs w:val="16"/>
        </w:rPr>
        <w:t>nasprotna stranka 1</w:t>
      </w:r>
      <w:r w:rsidRPr="008220CC">
        <w:rPr>
          <w:rFonts w:ascii="Arial" w:hAnsi="Arial" w:cs="Arial"/>
          <w:szCs w:val="22"/>
        </w:rPr>
        <w:t xml:space="preserve"> = </w:t>
      </w:r>
      <w:r w:rsidR="002F40AC" w:rsidRPr="008220CC">
        <w:rPr>
          <w:rFonts w:ascii="Arial" w:hAnsi="Arial" w:cs="Arial"/>
          <w:szCs w:val="22"/>
        </w:rPr>
        <w:t>maksimalni obseg izpostavljenosti</w:t>
      </w:r>
      <w:r w:rsidR="00401480" w:rsidRPr="008220CC">
        <w:rPr>
          <w:rFonts w:ascii="Arial" w:hAnsi="Arial" w:cs="Arial"/>
          <w:szCs w:val="22"/>
        </w:rPr>
        <w:t xml:space="preserve"> </w:t>
      </w:r>
      <w:r w:rsidRPr="008220CC">
        <w:rPr>
          <w:rFonts w:ascii="Arial" w:hAnsi="Arial" w:cs="Arial"/>
          <w:i/>
          <w:sz w:val="16"/>
          <w:szCs w:val="16"/>
        </w:rPr>
        <w:t>nasprotna stranka 1</w:t>
      </w:r>
      <w:r w:rsidRPr="008220CC">
        <w:rPr>
          <w:rFonts w:ascii="Arial" w:hAnsi="Arial" w:cs="Arial"/>
          <w:szCs w:val="22"/>
        </w:rPr>
        <w:t xml:space="preserve">– vsota že sklenjenih poslov naložb </w:t>
      </w:r>
      <w:r w:rsidRPr="008220CC">
        <w:rPr>
          <w:rFonts w:ascii="Arial" w:hAnsi="Arial" w:cs="Arial"/>
          <w:i/>
          <w:sz w:val="16"/>
          <w:szCs w:val="16"/>
        </w:rPr>
        <w:t>nasprotna stranka 1</w:t>
      </w:r>
    </w:p>
    <w:p w:rsidR="007C2283" w:rsidRPr="008220CC" w:rsidRDefault="007C2283" w:rsidP="007C2283">
      <w:pPr>
        <w:shd w:val="clear" w:color="auto" w:fill="auto"/>
        <w:spacing w:line="260" w:lineRule="atLeast"/>
        <w:rPr>
          <w:rFonts w:ascii="Arial" w:hAnsi="Arial" w:cs="Arial"/>
          <w:szCs w:val="22"/>
          <w:highlight w:val="yellow"/>
        </w:rPr>
      </w:pPr>
    </w:p>
    <w:p w:rsidR="00980E96" w:rsidRPr="008220CC" w:rsidRDefault="00980E96" w:rsidP="007C2283">
      <w:pPr>
        <w:shd w:val="clear" w:color="auto" w:fill="auto"/>
        <w:spacing w:line="260" w:lineRule="atLeast"/>
        <w:rPr>
          <w:rFonts w:ascii="Arial" w:hAnsi="Arial" w:cs="Arial"/>
          <w:szCs w:val="22"/>
          <w:highlight w:val="yellow"/>
        </w:rPr>
      </w:pPr>
    </w:p>
    <w:p w:rsidR="0085431D" w:rsidRDefault="0085431D" w:rsidP="00DE4169">
      <w:pPr>
        <w:numPr>
          <w:ilvl w:val="0"/>
          <w:numId w:val="58"/>
        </w:numPr>
        <w:shd w:val="clear" w:color="auto" w:fill="auto"/>
        <w:tabs>
          <w:tab w:val="left" w:pos="284"/>
        </w:tabs>
        <w:spacing w:line="260" w:lineRule="atLeast"/>
        <w:ind w:left="0" w:firstLine="0"/>
        <w:rPr>
          <w:rFonts w:ascii="Arial" w:hAnsi="Arial" w:cs="Arial"/>
          <w:b/>
          <w:szCs w:val="22"/>
        </w:rPr>
      </w:pPr>
      <w:r>
        <w:rPr>
          <w:rFonts w:ascii="Arial" w:hAnsi="Arial" w:cs="Arial"/>
          <w:b/>
          <w:szCs w:val="22"/>
        </w:rPr>
        <w:t>Veljavnost</w:t>
      </w:r>
    </w:p>
    <w:p w:rsidR="0085431D" w:rsidRDefault="0085431D" w:rsidP="00DE4169">
      <w:pPr>
        <w:shd w:val="clear" w:color="auto" w:fill="auto"/>
        <w:tabs>
          <w:tab w:val="left" w:pos="284"/>
        </w:tabs>
        <w:spacing w:line="260" w:lineRule="atLeast"/>
        <w:rPr>
          <w:rFonts w:ascii="Arial" w:hAnsi="Arial" w:cs="Arial"/>
          <w:b/>
          <w:szCs w:val="22"/>
        </w:rPr>
      </w:pPr>
    </w:p>
    <w:p w:rsidR="0085431D" w:rsidRPr="00DE4169" w:rsidRDefault="0085431D" w:rsidP="00DE4169">
      <w:pPr>
        <w:shd w:val="clear" w:color="auto" w:fill="auto"/>
        <w:spacing w:after="200" w:line="276" w:lineRule="auto"/>
        <w:rPr>
          <w:rFonts w:ascii="Arial" w:eastAsia="Calibri" w:hAnsi="Arial" w:cs="Arial"/>
          <w:szCs w:val="22"/>
        </w:rPr>
      </w:pPr>
      <w:r w:rsidRPr="00DE4169">
        <w:rPr>
          <w:rFonts w:ascii="Arial" w:eastAsia="Calibri" w:hAnsi="Arial" w:cs="Arial"/>
          <w:szCs w:val="22"/>
        </w:rPr>
        <w:t xml:space="preserve">Metodologija začne veljati </w:t>
      </w:r>
      <w:r w:rsidR="00610517">
        <w:rPr>
          <w:rFonts w:ascii="Arial" w:eastAsia="Calibri" w:hAnsi="Arial" w:cs="Arial"/>
          <w:szCs w:val="22"/>
        </w:rPr>
        <w:t xml:space="preserve">z dnem </w:t>
      </w:r>
      <w:r w:rsidR="007A3BDF">
        <w:rPr>
          <w:rFonts w:ascii="Arial" w:eastAsia="Calibri" w:hAnsi="Arial" w:cs="Arial"/>
          <w:szCs w:val="22"/>
        </w:rPr>
        <w:t>1. 1. 2018</w:t>
      </w:r>
      <w:r w:rsidRPr="00DE4169">
        <w:rPr>
          <w:rFonts w:ascii="Arial" w:eastAsia="Calibri" w:hAnsi="Arial" w:cs="Arial"/>
          <w:szCs w:val="22"/>
        </w:rPr>
        <w:t xml:space="preserve"> in velja do </w:t>
      </w:r>
      <w:r w:rsidR="00610517">
        <w:rPr>
          <w:rFonts w:ascii="Arial" w:eastAsia="Calibri" w:hAnsi="Arial" w:cs="Arial"/>
          <w:szCs w:val="22"/>
        </w:rPr>
        <w:t>sprejema</w:t>
      </w:r>
      <w:r w:rsidRPr="00DE4169">
        <w:rPr>
          <w:rFonts w:ascii="Arial" w:eastAsia="Calibri" w:hAnsi="Arial" w:cs="Arial"/>
          <w:szCs w:val="22"/>
        </w:rPr>
        <w:t xml:space="preserve"> nove Metodologij</w:t>
      </w:r>
      <w:r>
        <w:rPr>
          <w:rFonts w:ascii="Arial" w:eastAsia="Calibri" w:hAnsi="Arial" w:cs="Arial"/>
          <w:szCs w:val="22"/>
        </w:rPr>
        <w:t>e</w:t>
      </w:r>
      <w:r w:rsidRPr="00DE4169">
        <w:rPr>
          <w:rFonts w:ascii="Arial" w:eastAsia="Calibri" w:hAnsi="Arial" w:cs="Arial"/>
          <w:szCs w:val="22"/>
        </w:rPr>
        <w:t xml:space="preserve"> določitve maksimalnega obsega izpostavljenosti</w:t>
      </w:r>
      <w:r>
        <w:rPr>
          <w:rFonts w:ascii="Arial" w:eastAsia="Calibri" w:hAnsi="Arial" w:cs="Arial"/>
          <w:szCs w:val="22"/>
        </w:rPr>
        <w:t xml:space="preserve"> </w:t>
      </w:r>
      <w:r w:rsidRPr="00DE4169">
        <w:rPr>
          <w:rFonts w:ascii="Arial" w:eastAsia="Calibri" w:hAnsi="Arial" w:cs="Arial"/>
          <w:szCs w:val="22"/>
        </w:rPr>
        <w:t xml:space="preserve">ali </w:t>
      </w:r>
      <w:r w:rsidR="00610517">
        <w:rPr>
          <w:rFonts w:ascii="Arial" w:eastAsia="Calibri" w:hAnsi="Arial" w:cs="Arial"/>
          <w:szCs w:val="22"/>
        </w:rPr>
        <w:t xml:space="preserve">do </w:t>
      </w:r>
      <w:r w:rsidRPr="00DE4169">
        <w:rPr>
          <w:rFonts w:ascii="Arial" w:eastAsia="Calibri" w:hAnsi="Arial" w:cs="Arial"/>
          <w:szCs w:val="22"/>
        </w:rPr>
        <w:t>preklica.</w:t>
      </w:r>
    </w:p>
    <w:p w:rsidR="007C2283" w:rsidRPr="00DE4169" w:rsidRDefault="007C2283" w:rsidP="00DE4169">
      <w:pPr>
        <w:shd w:val="clear" w:color="auto" w:fill="auto"/>
        <w:tabs>
          <w:tab w:val="left" w:pos="284"/>
        </w:tabs>
        <w:spacing w:line="260" w:lineRule="atLeast"/>
        <w:rPr>
          <w:rFonts w:ascii="Arial" w:hAnsi="Arial" w:cs="Arial"/>
          <w:b/>
          <w:szCs w:val="22"/>
        </w:rPr>
      </w:pPr>
    </w:p>
    <w:p w:rsidR="00E242A4" w:rsidRPr="008220CC" w:rsidRDefault="00E242A4" w:rsidP="005F62C4">
      <w:pPr>
        <w:shd w:val="clear" w:color="auto" w:fill="auto"/>
        <w:spacing w:line="260" w:lineRule="atLeast"/>
        <w:rPr>
          <w:rFonts w:ascii="Arial" w:hAnsi="Arial" w:cs="Arial"/>
        </w:rPr>
      </w:pPr>
    </w:p>
    <w:p w:rsidR="00E242A4" w:rsidRPr="008220CC" w:rsidRDefault="00E242A4" w:rsidP="00E242A4">
      <w:pPr>
        <w:shd w:val="clear" w:color="auto" w:fill="auto"/>
        <w:spacing w:after="200" w:line="276" w:lineRule="auto"/>
        <w:rPr>
          <w:rFonts w:ascii="Arial" w:eastAsia="Calibri" w:hAnsi="Arial" w:cs="Arial"/>
          <w:szCs w:val="22"/>
        </w:rPr>
      </w:pPr>
      <w:r w:rsidRPr="008220CC">
        <w:rPr>
          <w:rFonts w:ascii="Arial" w:eastAsia="Calibri" w:hAnsi="Arial" w:cs="Arial"/>
          <w:szCs w:val="22"/>
        </w:rPr>
        <w:t>Številka:</w:t>
      </w:r>
      <w:r w:rsidR="009B7C52">
        <w:rPr>
          <w:rFonts w:ascii="Arial" w:eastAsia="Calibri" w:hAnsi="Arial" w:cs="Arial"/>
          <w:szCs w:val="22"/>
        </w:rPr>
        <w:t xml:space="preserve"> 4720-1/2016</w:t>
      </w:r>
    </w:p>
    <w:p w:rsidR="00E242A4" w:rsidRPr="008220CC" w:rsidRDefault="00E242A4" w:rsidP="00E242A4">
      <w:pPr>
        <w:rPr>
          <w:rFonts w:ascii="Arial" w:hAnsi="Arial" w:cs="Arial"/>
        </w:rPr>
      </w:pPr>
      <w:r w:rsidRPr="008220CC">
        <w:rPr>
          <w:rFonts w:ascii="Arial" w:hAnsi="Arial" w:cs="Arial"/>
        </w:rPr>
        <w:t xml:space="preserve">V Ljubljani, dne </w:t>
      </w:r>
      <w:r w:rsidR="004B5E45">
        <w:rPr>
          <w:rFonts w:ascii="Arial" w:hAnsi="Arial" w:cs="Arial"/>
        </w:rPr>
        <w:t>14. 12. 2017</w:t>
      </w:r>
    </w:p>
    <w:p w:rsidR="00E242A4" w:rsidRPr="008220CC" w:rsidRDefault="00E242A4" w:rsidP="00E242A4">
      <w:pPr>
        <w:shd w:val="clear" w:color="auto" w:fill="auto"/>
        <w:spacing w:after="200" w:line="276" w:lineRule="auto"/>
        <w:rPr>
          <w:rFonts w:ascii="Arial" w:eastAsia="Calibri" w:hAnsi="Arial" w:cs="Arial"/>
          <w:szCs w:val="22"/>
        </w:rPr>
      </w:pPr>
    </w:p>
    <w:p w:rsidR="00FC1AE4" w:rsidRPr="008220CC" w:rsidRDefault="00E242A4" w:rsidP="00FC1AE4">
      <w:pPr>
        <w:shd w:val="clear" w:color="auto" w:fill="auto"/>
        <w:spacing w:after="200"/>
        <w:jc w:val="right"/>
        <w:rPr>
          <w:rFonts w:ascii="Arial" w:eastAsia="Calibri" w:hAnsi="Arial" w:cs="Arial"/>
          <w:szCs w:val="22"/>
        </w:rPr>
      </w:pPr>
      <w:r w:rsidRPr="008220CC">
        <w:rPr>
          <w:rFonts w:ascii="Arial" w:eastAsia="Calibri" w:hAnsi="Arial" w:cs="Arial"/>
          <w:szCs w:val="22"/>
        </w:rPr>
        <w:t>mag. Mateja Vraničar</w:t>
      </w:r>
      <w:r w:rsidR="00E76ED1" w:rsidRPr="008220CC">
        <w:rPr>
          <w:rFonts w:ascii="Arial" w:eastAsia="Calibri" w:hAnsi="Arial" w:cs="Arial"/>
          <w:szCs w:val="22"/>
        </w:rPr>
        <w:t xml:space="preserve"> Erman</w:t>
      </w:r>
    </w:p>
    <w:p w:rsidR="00E242A4" w:rsidRPr="008220CC" w:rsidRDefault="00FC1AE4" w:rsidP="00FC1AE4">
      <w:pPr>
        <w:shd w:val="clear" w:color="auto" w:fill="auto"/>
        <w:tabs>
          <w:tab w:val="left" w:pos="6521"/>
        </w:tabs>
        <w:spacing w:after="200"/>
        <w:ind w:left="720" w:firstLine="720"/>
        <w:jc w:val="center"/>
        <w:rPr>
          <w:rFonts w:ascii="Arial" w:eastAsia="Calibri" w:hAnsi="Arial" w:cs="Arial"/>
          <w:szCs w:val="22"/>
        </w:rPr>
      </w:pPr>
      <w:r>
        <w:rPr>
          <w:rFonts w:ascii="Arial" w:eastAsia="Calibri" w:hAnsi="Arial" w:cs="Arial"/>
          <w:szCs w:val="22"/>
        </w:rPr>
        <w:tab/>
      </w:r>
      <w:r w:rsidR="00E242A4" w:rsidRPr="008220CC">
        <w:rPr>
          <w:rFonts w:ascii="Arial" w:eastAsia="Calibri" w:hAnsi="Arial" w:cs="Arial"/>
          <w:szCs w:val="22"/>
        </w:rPr>
        <w:t>Ministrica za finance</w:t>
      </w:r>
    </w:p>
    <w:p w:rsidR="00A34345" w:rsidRPr="008220CC" w:rsidRDefault="00A34345" w:rsidP="00E242A4">
      <w:pPr>
        <w:rPr>
          <w:rFonts w:ascii="Arial" w:hAnsi="Arial" w:cs="Arial"/>
        </w:rPr>
      </w:pPr>
    </w:p>
    <w:sectPr w:rsidR="00A34345" w:rsidRPr="008220CC" w:rsidSect="00B20E40">
      <w:head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468" w:rsidRDefault="00010468" w:rsidP="009D7446">
      <w:r>
        <w:separator/>
      </w:r>
    </w:p>
  </w:endnote>
  <w:endnote w:type="continuationSeparator" w:id="0">
    <w:p w:rsidR="00010468" w:rsidRDefault="00010468" w:rsidP="009D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1C" w:rsidRPr="004834F6" w:rsidRDefault="00234A1C">
    <w:pPr>
      <w:pStyle w:val="Footer"/>
      <w:jc w:val="center"/>
      <w:rPr>
        <w:rFonts w:ascii="Arial" w:hAnsi="Arial" w:cs="Arial"/>
        <w:szCs w:val="22"/>
      </w:rPr>
    </w:pPr>
    <w:r w:rsidRPr="004834F6">
      <w:rPr>
        <w:rFonts w:ascii="Arial" w:hAnsi="Arial" w:cs="Arial"/>
        <w:szCs w:val="22"/>
      </w:rPr>
      <w:fldChar w:fldCharType="begin"/>
    </w:r>
    <w:r w:rsidRPr="004834F6">
      <w:rPr>
        <w:rFonts w:ascii="Arial" w:hAnsi="Arial" w:cs="Arial"/>
        <w:szCs w:val="22"/>
      </w:rPr>
      <w:instrText>PAGE  \* Arabic  \* MERGEFORMAT</w:instrText>
    </w:r>
    <w:r w:rsidRPr="004834F6">
      <w:rPr>
        <w:rFonts w:ascii="Arial" w:hAnsi="Arial" w:cs="Arial"/>
        <w:szCs w:val="22"/>
      </w:rPr>
      <w:fldChar w:fldCharType="separate"/>
    </w:r>
    <w:r w:rsidR="005E3D13">
      <w:rPr>
        <w:rFonts w:ascii="Arial" w:hAnsi="Arial" w:cs="Arial"/>
        <w:noProof/>
        <w:szCs w:val="22"/>
      </w:rPr>
      <w:t>4</w:t>
    </w:r>
    <w:r w:rsidRPr="004834F6">
      <w:rPr>
        <w:rFonts w:ascii="Arial" w:hAnsi="Arial" w:cs="Arial"/>
        <w:szCs w:val="22"/>
      </w:rPr>
      <w:fldChar w:fldCharType="end"/>
    </w:r>
    <w:r w:rsidRPr="004834F6">
      <w:rPr>
        <w:rFonts w:ascii="Arial" w:hAnsi="Arial" w:cs="Arial"/>
        <w:szCs w:val="22"/>
      </w:rPr>
      <w:t>/</w:t>
    </w:r>
    <w:r w:rsidR="005E3D13">
      <w:rPr>
        <w:rFonts w:ascii="Arial" w:hAnsi="Arial" w:cs="Arial"/>
        <w:szCs w:val="22"/>
      </w:rPr>
      <w:t>4</w:t>
    </w:r>
  </w:p>
  <w:p w:rsidR="00234A1C" w:rsidRDefault="00234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468" w:rsidRDefault="00010468" w:rsidP="009D7446">
      <w:r>
        <w:separator/>
      </w:r>
    </w:p>
  </w:footnote>
  <w:footnote w:type="continuationSeparator" w:id="0">
    <w:p w:rsidR="00010468" w:rsidRDefault="00010468" w:rsidP="009D7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4" w:rsidRDefault="002C0CE4">
    <w:pPr>
      <w:pStyle w:val="Header"/>
    </w:pPr>
  </w:p>
  <w:p w:rsidR="002C0CE4" w:rsidRDefault="002C0CE4">
    <w:pPr>
      <w:pStyle w:val="Header"/>
    </w:pPr>
  </w:p>
  <w:p w:rsidR="00461FBE" w:rsidRDefault="00461FBE" w:rsidP="00643DA1">
    <w:pPr>
      <w:pStyle w:val="Header"/>
      <w:shd w:val="clear" w:color="auto" w:fill="auto"/>
      <w:tabs>
        <w:tab w:val="clear" w:pos="4536"/>
        <w:tab w:val="clear" w:pos="9072"/>
        <w:tab w:val="left" w:pos="5112"/>
      </w:tabs>
      <w:spacing w:before="120" w:line="240" w:lineRule="exact"/>
      <w:jc w:val="left"/>
      <w:rPr>
        <w:rFonts w:ascii="Arial" w:hAnsi="Arial" w:cs="Arial"/>
        <w:sz w:val="16"/>
        <w:szCs w:val="24"/>
      </w:rPr>
    </w:pPr>
  </w:p>
  <w:p w:rsidR="00461FBE" w:rsidRPr="00643DA1" w:rsidRDefault="00461FBE" w:rsidP="00643DA1">
    <w:pPr>
      <w:pStyle w:val="Header"/>
      <w:shd w:val="clear" w:color="auto" w:fill="auto"/>
      <w:tabs>
        <w:tab w:val="clear" w:pos="4536"/>
        <w:tab w:val="clear" w:pos="9072"/>
        <w:tab w:val="left" w:pos="5112"/>
      </w:tabs>
      <w:spacing w:before="120" w:line="240" w:lineRule="exact"/>
      <w:jc w:val="left"/>
      <w:rPr>
        <w:rFonts w:ascii="Arial" w:hAnsi="Arial" w:cs="Arial"/>
        <w:sz w:val="16"/>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CB" w:rsidRPr="00643DA1" w:rsidRDefault="00CE46CB" w:rsidP="00643DA1">
    <w:pPr>
      <w:pStyle w:val="Header"/>
      <w:shd w:val="clear" w:color="auto" w:fill="auto"/>
      <w:tabs>
        <w:tab w:val="clear" w:pos="4536"/>
        <w:tab w:val="clear" w:pos="9072"/>
        <w:tab w:val="left" w:pos="5112"/>
      </w:tabs>
      <w:spacing w:before="120" w:line="240" w:lineRule="exact"/>
      <w:jc w:val="left"/>
      <w:rPr>
        <w:rFonts w:ascii="Arial" w:hAnsi="Arial" w:cs="Arial"/>
        <w:sz w:val="16"/>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09D"/>
    <w:multiLevelType w:val="hybridMultilevel"/>
    <w:tmpl w:val="93522A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AF5088"/>
    <w:multiLevelType w:val="hybridMultilevel"/>
    <w:tmpl w:val="6B9CB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1559C9"/>
    <w:multiLevelType w:val="hybridMultilevel"/>
    <w:tmpl w:val="2CBEE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3411490"/>
    <w:multiLevelType w:val="hybridMultilevel"/>
    <w:tmpl w:val="34DE8D06"/>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56F358A"/>
    <w:multiLevelType w:val="hybridMultilevel"/>
    <w:tmpl w:val="48A2D398"/>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59A11D6"/>
    <w:multiLevelType w:val="hybridMultilevel"/>
    <w:tmpl w:val="C0761DFE"/>
    <w:lvl w:ilvl="0" w:tplc="FFFFFFFF">
      <w:start w:val="1"/>
      <w:numFmt w:val="bullet"/>
      <w:lvlText w:val="-"/>
      <w:lvlJc w:val="left"/>
      <w:pPr>
        <w:tabs>
          <w:tab w:val="num" w:pos="425"/>
        </w:tabs>
        <w:ind w:left="425" w:hanging="425"/>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69A76D8"/>
    <w:multiLevelType w:val="hybridMultilevel"/>
    <w:tmpl w:val="FFC49FE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DE0731D"/>
    <w:multiLevelType w:val="hybridMultilevel"/>
    <w:tmpl w:val="C87E0E4E"/>
    <w:lvl w:ilvl="0" w:tplc="59186818">
      <w:start w:val="2"/>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8">
    <w:nsid w:val="15255ED4"/>
    <w:multiLevelType w:val="hybridMultilevel"/>
    <w:tmpl w:val="65DE7852"/>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1A850956"/>
    <w:multiLevelType w:val="hybridMultilevel"/>
    <w:tmpl w:val="5CB8903E"/>
    <w:lvl w:ilvl="0" w:tplc="0FFC88E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BDF6AEA"/>
    <w:multiLevelType w:val="hybridMultilevel"/>
    <w:tmpl w:val="E828D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5BC51DC"/>
    <w:multiLevelType w:val="hybridMultilevel"/>
    <w:tmpl w:val="FD6CB00A"/>
    <w:lvl w:ilvl="0" w:tplc="E516389A">
      <w:start w:val="3"/>
      <w:numFmt w:val="bullet"/>
      <w:lvlText w:val="-"/>
      <w:lvlJc w:val="left"/>
      <w:pPr>
        <w:ind w:left="720" w:hanging="360"/>
      </w:pPr>
      <w:rPr>
        <w:rFonts w:ascii="Book Antiqua" w:eastAsia="Times New Roman" w:hAnsi="Book Antiqu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7063BDB"/>
    <w:multiLevelType w:val="hybridMultilevel"/>
    <w:tmpl w:val="06B81A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C0C0095"/>
    <w:multiLevelType w:val="hybridMultilevel"/>
    <w:tmpl w:val="FF8C34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29F3B94"/>
    <w:multiLevelType w:val="hybridMultilevel"/>
    <w:tmpl w:val="E2E898EC"/>
    <w:lvl w:ilvl="0" w:tplc="A54CE864">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A7A21E9"/>
    <w:multiLevelType w:val="hybridMultilevel"/>
    <w:tmpl w:val="4C62B8B8"/>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6">
    <w:nsid w:val="3B3E04B4"/>
    <w:multiLevelType w:val="hybridMultilevel"/>
    <w:tmpl w:val="5B623D7A"/>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43F9782A"/>
    <w:multiLevelType w:val="multilevel"/>
    <w:tmpl w:val="01FEEAC4"/>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6A154F2"/>
    <w:multiLevelType w:val="hybridMultilevel"/>
    <w:tmpl w:val="1DB4CBEC"/>
    <w:lvl w:ilvl="0" w:tplc="FFFFFFFF">
      <w:start w:val="1"/>
      <w:numFmt w:val="bullet"/>
      <w:lvlText w:val="-"/>
      <w:lvlJc w:val="left"/>
      <w:pPr>
        <w:tabs>
          <w:tab w:val="num" w:pos="425"/>
        </w:tabs>
        <w:ind w:left="425" w:hanging="425"/>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87B516C"/>
    <w:multiLevelType w:val="hybridMultilevel"/>
    <w:tmpl w:val="BF941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8D43113"/>
    <w:multiLevelType w:val="hybridMultilevel"/>
    <w:tmpl w:val="AEBAA0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E9200A4"/>
    <w:multiLevelType w:val="hybridMultilevel"/>
    <w:tmpl w:val="7402E36A"/>
    <w:lvl w:ilvl="0" w:tplc="FFFFFFFF">
      <w:start w:val="1"/>
      <w:numFmt w:val="bullet"/>
      <w:lvlText w:val="-"/>
      <w:lvlJc w:val="left"/>
      <w:pPr>
        <w:tabs>
          <w:tab w:val="num" w:pos="425"/>
        </w:tabs>
        <w:ind w:left="425" w:hanging="425"/>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0D37057"/>
    <w:multiLevelType w:val="hybridMultilevel"/>
    <w:tmpl w:val="287437E0"/>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55183E12"/>
    <w:multiLevelType w:val="hybridMultilevel"/>
    <w:tmpl w:val="EA86A4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69B4E5C"/>
    <w:multiLevelType w:val="hybridMultilevel"/>
    <w:tmpl w:val="11E62A70"/>
    <w:lvl w:ilvl="0" w:tplc="54C2EB5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83A0019"/>
    <w:multiLevelType w:val="multilevel"/>
    <w:tmpl w:val="164CC124"/>
    <w:lvl w:ilvl="0">
      <w:start w:val="1"/>
      <w:numFmt w:val="upperRoman"/>
      <w:pStyle w:val="Heading1"/>
      <w:lvlText w:val="%1."/>
      <w:lvlJc w:val="left"/>
      <w:pPr>
        <w:tabs>
          <w:tab w:val="num" w:pos="3852"/>
        </w:tabs>
        <w:ind w:left="3852" w:hanging="432"/>
      </w:pPr>
      <w:rPr>
        <w:rFonts w:ascii="Arial" w:hAnsi="Arial" w:cs="Arial" w:hint="default"/>
        <w:b/>
        <w:i w:val="0"/>
        <w:strike w:val="0"/>
        <w:dstrike w:val="0"/>
        <w:color w:val="000000"/>
        <w:sz w:val="24"/>
        <w:szCs w:val="24"/>
        <w:u w:val="none"/>
        <w:effect w:val="none"/>
      </w:rPr>
    </w:lvl>
    <w:lvl w:ilvl="1">
      <w:start w:val="1"/>
      <w:numFmt w:val="decimal"/>
      <w:pStyle w:val="Heading2"/>
      <w:lvlText w:val="%1.%2."/>
      <w:lvlJc w:val="left"/>
      <w:pPr>
        <w:tabs>
          <w:tab w:val="num" w:pos="576"/>
        </w:tabs>
        <w:ind w:left="576" w:hanging="576"/>
      </w:pPr>
      <w:rPr>
        <w:rFonts w:ascii="Book Antiqua" w:hAnsi="Book Antiqua" w:hint="default"/>
        <w:b/>
        <w:i w:val="0"/>
        <w:strike w:val="0"/>
        <w:dstrike w:val="0"/>
        <w:color w:val="000000"/>
        <w:sz w:val="28"/>
        <w:szCs w:val="28"/>
        <w:u w:val="none"/>
        <w:effect w:val="none"/>
      </w:rPr>
    </w:lvl>
    <w:lvl w:ilvl="2">
      <w:start w:val="1"/>
      <w:numFmt w:val="decimal"/>
      <w:lvlRestart w:val="0"/>
      <w:pStyle w:val="Heading3"/>
      <w:lvlText w:val="%3."/>
      <w:lvlJc w:val="left"/>
      <w:pPr>
        <w:tabs>
          <w:tab w:val="num" w:pos="720"/>
        </w:tabs>
        <w:ind w:left="720" w:hanging="720"/>
      </w:pPr>
      <w:rPr>
        <w:rFonts w:ascii="Arial" w:hAnsi="Arial" w:cs="Arial" w:hint="default"/>
        <w:b/>
        <w:i w:val="0"/>
        <w:strike w:val="0"/>
        <w:dstrike w:val="0"/>
        <w:color w:val="000000"/>
        <w:sz w:val="22"/>
        <w:szCs w:val="22"/>
        <w:u w:val="none"/>
        <w:effect w:val="none"/>
      </w:rPr>
    </w:lvl>
    <w:lvl w:ilvl="3">
      <w:start w:val="1"/>
      <w:numFmt w:val="decimal"/>
      <w:pStyle w:val="Heading4"/>
      <w:lvlText w:val="%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isLgl/>
      <w:lvlText w:val="%2.%8"/>
      <w:lvlJc w:val="left"/>
      <w:pPr>
        <w:tabs>
          <w:tab w:val="num" w:pos="1440"/>
        </w:tabs>
        <w:ind w:left="1440" w:hanging="1440"/>
      </w:pPr>
      <w:rPr>
        <w:rFonts w:hint="default"/>
      </w:rPr>
    </w:lvl>
    <w:lvl w:ilvl="8">
      <w:start w:val="1"/>
      <w:numFmt w:val="decimal"/>
      <w:lvlRestart w:val="3"/>
      <w:pStyle w:val="Heading9"/>
      <w:lvlText w:val="%3.%9."/>
      <w:lvlJc w:val="left"/>
      <w:pPr>
        <w:tabs>
          <w:tab w:val="num" w:pos="1584"/>
        </w:tabs>
        <w:ind w:left="1584" w:hanging="1584"/>
      </w:pPr>
      <w:rPr>
        <w:rFonts w:hint="default"/>
      </w:rPr>
    </w:lvl>
  </w:abstractNum>
  <w:abstractNum w:abstractNumId="26">
    <w:nsid w:val="5C73638E"/>
    <w:multiLevelType w:val="hybridMultilevel"/>
    <w:tmpl w:val="0074BDA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DB371CA"/>
    <w:multiLevelType w:val="hybridMultilevel"/>
    <w:tmpl w:val="478AF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871E98"/>
    <w:multiLevelType w:val="hybridMultilevel"/>
    <w:tmpl w:val="B05C51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F4F36A2"/>
    <w:multiLevelType w:val="hybridMultilevel"/>
    <w:tmpl w:val="679400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686C05"/>
    <w:multiLevelType w:val="hybridMultilevel"/>
    <w:tmpl w:val="AC4C8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3DA74A5"/>
    <w:multiLevelType w:val="hybridMultilevel"/>
    <w:tmpl w:val="5AB069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7403D6B"/>
    <w:multiLevelType w:val="hybridMultilevel"/>
    <w:tmpl w:val="EF52A3F0"/>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69134821"/>
    <w:multiLevelType w:val="hybridMultilevel"/>
    <w:tmpl w:val="B16048D2"/>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B684B69"/>
    <w:multiLevelType w:val="hybridMultilevel"/>
    <w:tmpl w:val="7E60BFDC"/>
    <w:lvl w:ilvl="0" w:tplc="FFFFFFFF">
      <w:start w:val="1"/>
      <w:numFmt w:val="bullet"/>
      <w:lvlText w:val="-"/>
      <w:lvlJc w:val="left"/>
      <w:pPr>
        <w:tabs>
          <w:tab w:val="num" w:pos="425"/>
        </w:tabs>
        <w:ind w:left="425" w:hanging="425"/>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6475D7C"/>
    <w:multiLevelType w:val="hybridMultilevel"/>
    <w:tmpl w:val="64464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9127505"/>
    <w:multiLevelType w:val="hybridMultilevel"/>
    <w:tmpl w:val="2A6CD2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D613BBC"/>
    <w:multiLevelType w:val="hybridMultilevel"/>
    <w:tmpl w:val="2FA89692"/>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5"/>
  </w:num>
  <w:num w:numId="2">
    <w:abstractNumId w:val="15"/>
  </w:num>
  <w:num w:numId="3">
    <w:abstractNumId w:val="4"/>
  </w:num>
  <w:num w:numId="4">
    <w:abstractNumId w:val="3"/>
  </w:num>
  <w:num w:numId="5">
    <w:abstractNumId w:val="8"/>
  </w:num>
  <w:num w:numId="6">
    <w:abstractNumId w:val="16"/>
  </w:num>
  <w:num w:numId="7">
    <w:abstractNumId w:val="32"/>
  </w:num>
  <w:num w:numId="8">
    <w:abstractNumId w:val="22"/>
  </w:num>
  <w:num w:numId="9">
    <w:abstractNumId w:val="37"/>
  </w:num>
  <w:num w:numId="10">
    <w:abstractNumId w:val="18"/>
  </w:num>
  <w:num w:numId="11">
    <w:abstractNumId w:val="12"/>
  </w:num>
  <w:num w:numId="12">
    <w:abstractNumId w:val="34"/>
  </w:num>
  <w:num w:numId="13">
    <w:abstractNumId w:val="21"/>
  </w:num>
  <w:num w:numId="14">
    <w:abstractNumId w:val="5"/>
  </w:num>
  <w:num w:numId="15">
    <w:abstractNumId w:val="25"/>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num>
  <w:num w:numId="20">
    <w:abstractNumId w:val="14"/>
  </w:num>
  <w:num w:numId="21">
    <w:abstractNumId w:val="9"/>
  </w:num>
  <w:num w:numId="22">
    <w:abstractNumId w:val="25"/>
  </w:num>
  <w:num w:numId="23">
    <w:abstractNumId w:val="11"/>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3"/>
  </w:num>
  <w:num w:numId="40">
    <w:abstractNumId w:val="36"/>
  </w:num>
  <w:num w:numId="41">
    <w:abstractNumId w:val="30"/>
  </w:num>
  <w:num w:numId="42">
    <w:abstractNumId w:val="27"/>
  </w:num>
  <w:num w:numId="43">
    <w:abstractNumId w:val="0"/>
  </w:num>
  <w:num w:numId="44">
    <w:abstractNumId w:val="28"/>
  </w:num>
  <w:num w:numId="45">
    <w:abstractNumId w:val="10"/>
  </w:num>
  <w:num w:numId="46">
    <w:abstractNumId w:val="6"/>
  </w:num>
  <w:num w:numId="47">
    <w:abstractNumId w:val="19"/>
  </w:num>
  <w:num w:numId="48">
    <w:abstractNumId w:val="24"/>
  </w:num>
  <w:num w:numId="49">
    <w:abstractNumId w:val="29"/>
  </w:num>
  <w:num w:numId="50">
    <w:abstractNumId w:val="13"/>
  </w:num>
  <w:num w:numId="51">
    <w:abstractNumId w:val="35"/>
  </w:num>
  <w:num w:numId="52">
    <w:abstractNumId w:val="26"/>
  </w:num>
  <w:num w:numId="53">
    <w:abstractNumId w:val="33"/>
  </w:num>
  <w:num w:numId="54">
    <w:abstractNumId w:val="20"/>
  </w:num>
  <w:num w:numId="55">
    <w:abstractNumId w:val="17"/>
  </w:num>
  <w:num w:numId="56">
    <w:abstractNumId w:val="7"/>
  </w:num>
  <w:num w:numId="57">
    <w:abstractNumId w:val="31"/>
  </w:num>
  <w:num w:numId="58">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7E"/>
    <w:rsid w:val="00000BC1"/>
    <w:rsid w:val="00001D33"/>
    <w:rsid w:val="000022A9"/>
    <w:rsid w:val="0000508E"/>
    <w:rsid w:val="00006DD9"/>
    <w:rsid w:val="00010468"/>
    <w:rsid w:val="00011FA1"/>
    <w:rsid w:val="00013CB3"/>
    <w:rsid w:val="00014AA5"/>
    <w:rsid w:val="00017E2F"/>
    <w:rsid w:val="00020F8E"/>
    <w:rsid w:val="000216EA"/>
    <w:rsid w:val="00021864"/>
    <w:rsid w:val="000267C8"/>
    <w:rsid w:val="00026F16"/>
    <w:rsid w:val="00027678"/>
    <w:rsid w:val="00031F6A"/>
    <w:rsid w:val="00032546"/>
    <w:rsid w:val="00033CF0"/>
    <w:rsid w:val="00036CE1"/>
    <w:rsid w:val="00040CCF"/>
    <w:rsid w:val="00041D97"/>
    <w:rsid w:val="00042EFA"/>
    <w:rsid w:val="000449B6"/>
    <w:rsid w:val="0004519E"/>
    <w:rsid w:val="00045301"/>
    <w:rsid w:val="00046BB9"/>
    <w:rsid w:val="00047770"/>
    <w:rsid w:val="0005163C"/>
    <w:rsid w:val="00052017"/>
    <w:rsid w:val="00052FB5"/>
    <w:rsid w:val="000555C3"/>
    <w:rsid w:val="00056EFA"/>
    <w:rsid w:val="0005727E"/>
    <w:rsid w:val="000613A9"/>
    <w:rsid w:val="00066890"/>
    <w:rsid w:val="00067AB8"/>
    <w:rsid w:val="00070FDD"/>
    <w:rsid w:val="00074B3E"/>
    <w:rsid w:val="00075733"/>
    <w:rsid w:val="00076A82"/>
    <w:rsid w:val="00076E25"/>
    <w:rsid w:val="000779D9"/>
    <w:rsid w:val="00077EDF"/>
    <w:rsid w:val="00077FF0"/>
    <w:rsid w:val="0008079A"/>
    <w:rsid w:val="000858AB"/>
    <w:rsid w:val="000865D1"/>
    <w:rsid w:val="0008710F"/>
    <w:rsid w:val="00093F78"/>
    <w:rsid w:val="00095316"/>
    <w:rsid w:val="00097EF0"/>
    <w:rsid w:val="000A5F2B"/>
    <w:rsid w:val="000B1CCC"/>
    <w:rsid w:val="000B2EA9"/>
    <w:rsid w:val="000B2EC0"/>
    <w:rsid w:val="000B3017"/>
    <w:rsid w:val="000B67E5"/>
    <w:rsid w:val="000B6FB2"/>
    <w:rsid w:val="000B7030"/>
    <w:rsid w:val="000C499F"/>
    <w:rsid w:val="000C5AFE"/>
    <w:rsid w:val="000C7881"/>
    <w:rsid w:val="000D00E4"/>
    <w:rsid w:val="000D152F"/>
    <w:rsid w:val="000D6292"/>
    <w:rsid w:val="000D7D5B"/>
    <w:rsid w:val="000E32E6"/>
    <w:rsid w:val="000E4E29"/>
    <w:rsid w:val="000E56C0"/>
    <w:rsid w:val="000E68F8"/>
    <w:rsid w:val="000E6C42"/>
    <w:rsid w:val="000E7491"/>
    <w:rsid w:val="000E7A49"/>
    <w:rsid w:val="000F0586"/>
    <w:rsid w:val="000F42C8"/>
    <w:rsid w:val="000F5268"/>
    <w:rsid w:val="000F5378"/>
    <w:rsid w:val="000F659F"/>
    <w:rsid w:val="00100756"/>
    <w:rsid w:val="00102EAE"/>
    <w:rsid w:val="00103DDC"/>
    <w:rsid w:val="001042FA"/>
    <w:rsid w:val="00105D67"/>
    <w:rsid w:val="001074B6"/>
    <w:rsid w:val="001105A1"/>
    <w:rsid w:val="00111D0A"/>
    <w:rsid w:val="00112419"/>
    <w:rsid w:val="00115299"/>
    <w:rsid w:val="001159D9"/>
    <w:rsid w:val="00116DAD"/>
    <w:rsid w:val="001221AF"/>
    <w:rsid w:val="00122AB1"/>
    <w:rsid w:val="001301E2"/>
    <w:rsid w:val="00133F78"/>
    <w:rsid w:val="001343F4"/>
    <w:rsid w:val="00134AA6"/>
    <w:rsid w:val="00135A3A"/>
    <w:rsid w:val="001360BD"/>
    <w:rsid w:val="00140027"/>
    <w:rsid w:val="001415A8"/>
    <w:rsid w:val="001443E4"/>
    <w:rsid w:val="00144C1D"/>
    <w:rsid w:val="00145899"/>
    <w:rsid w:val="00152AAC"/>
    <w:rsid w:val="00156920"/>
    <w:rsid w:val="00156DB9"/>
    <w:rsid w:val="00160931"/>
    <w:rsid w:val="00160CD7"/>
    <w:rsid w:val="001629BF"/>
    <w:rsid w:val="00162FAA"/>
    <w:rsid w:val="00164FDF"/>
    <w:rsid w:val="00170E41"/>
    <w:rsid w:val="00171250"/>
    <w:rsid w:val="00172576"/>
    <w:rsid w:val="00172C7E"/>
    <w:rsid w:val="00174220"/>
    <w:rsid w:val="00175D36"/>
    <w:rsid w:val="00177040"/>
    <w:rsid w:val="001771AE"/>
    <w:rsid w:val="001802A3"/>
    <w:rsid w:val="0018155E"/>
    <w:rsid w:val="00184FE0"/>
    <w:rsid w:val="0019282F"/>
    <w:rsid w:val="00195BFF"/>
    <w:rsid w:val="0019613A"/>
    <w:rsid w:val="0019738F"/>
    <w:rsid w:val="001A0980"/>
    <w:rsid w:val="001A2ECD"/>
    <w:rsid w:val="001A44AA"/>
    <w:rsid w:val="001A6D85"/>
    <w:rsid w:val="001B3AF2"/>
    <w:rsid w:val="001B4377"/>
    <w:rsid w:val="001B559E"/>
    <w:rsid w:val="001B6CE1"/>
    <w:rsid w:val="001C005F"/>
    <w:rsid w:val="001C2ED5"/>
    <w:rsid w:val="001C53F6"/>
    <w:rsid w:val="001D16C9"/>
    <w:rsid w:val="001D4E5B"/>
    <w:rsid w:val="001D596D"/>
    <w:rsid w:val="001D5F19"/>
    <w:rsid w:val="001D728E"/>
    <w:rsid w:val="001E128D"/>
    <w:rsid w:val="001E451D"/>
    <w:rsid w:val="001E4C9C"/>
    <w:rsid w:val="001E7493"/>
    <w:rsid w:val="001F05E4"/>
    <w:rsid w:val="001F2860"/>
    <w:rsid w:val="001F3229"/>
    <w:rsid w:val="001F45F7"/>
    <w:rsid w:val="001F498E"/>
    <w:rsid w:val="001F6A3B"/>
    <w:rsid w:val="001F78F4"/>
    <w:rsid w:val="001F79A1"/>
    <w:rsid w:val="00201225"/>
    <w:rsid w:val="002025F2"/>
    <w:rsid w:val="00203EA0"/>
    <w:rsid w:val="00204B36"/>
    <w:rsid w:val="0020604B"/>
    <w:rsid w:val="00206682"/>
    <w:rsid w:val="00207094"/>
    <w:rsid w:val="002071F4"/>
    <w:rsid w:val="0021049E"/>
    <w:rsid w:val="00210B56"/>
    <w:rsid w:val="0021376C"/>
    <w:rsid w:val="00215A21"/>
    <w:rsid w:val="00215E20"/>
    <w:rsid w:val="002211D6"/>
    <w:rsid w:val="00222939"/>
    <w:rsid w:val="0022409A"/>
    <w:rsid w:val="0022462F"/>
    <w:rsid w:val="00224D88"/>
    <w:rsid w:val="00227816"/>
    <w:rsid w:val="00227907"/>
    <w:rsid w:val="00230758"/>
    <w:rsid w:val="002310AB"/>
    <w:rsid w:val="002339EC"/>
    <w:rsid w:val="00234A1C"/>
    <w:rsid w:val="0023538A"/>
    <w:rsid w:val="00240465"/>
    <w:rsid w:val="00240936"/>
    <w:rsid w:val="0024165E"/>
    <w:rsid w:val="0024244C"/>
    <w:rsid w:val="00242FC0"/>
    <w:rsid w:val="002436F9"/>
    <w:rsid w:val="00244DB5"/>
    <w:rsid w:val="00245259"/>
    <w:rsid w:val="0024603F"/>
    <w:rsid w:val="0024719D"/>
    <w:rsid w:val="0025002B"/>
    <w:rsid w:val="00254768"/>
    <w:rsid w:val="00254ACB"/>
    <w:rsid w:val="002553F4"/>
    <w:rsid w:val="00255712"/>
    <w:rsid w:val="00260A91"/>
    <w:rsid w:val="00260E10"/>
    <w:rsid w:val="00266C40"/>
    <w:rsid w:val="00270218"/>
    <w:rsid w:val="00272B26"/>
    <w:rsid w:val="00277275"/>
    <w:rsid w:val="00277CB2"/>
    <w:rsid w:val="0028050D"/>
    <w:rsid w:val="0028295D"/>
    <w:rsid w:val="002857BF"/>
    <w:rsid w:val="0028591E"/>
    <w:rsid w:val="00285C59"/>
    <w:rsid w:val="002906BB"/>
    <w:rsid w:val="00290F79"/>
    <w:rsid w:val="002912F3"/>
    <w:rsid w:val="00294732"/>
    <w:rsid w:val="0029659F"/>
    <w:rsid w:val="002A15CB"/>
    <w:rsid w:val="002A216B"/>
    <w:rsid w:val="002A2387"/>
    <w:rsid w:val="002A3432"/>
    <w:rsid w:val="002A424A"/>
    <w:rsid w:val="002A44AB"/>
    <w:rsid w:val="002A5E85"/>
    <w:rsid w:val="002A6435"/>
    <w:rsid w:val="002B007E"/>
    <w:rsid w:val="002B0BB6"/>
    <w:rsid w:val="002B15BA"/>
    <w:rsid w:val="002B767F"/>
    <w:rsid w:val="002C0591"/>
    <w:rsid w:val="002C0CE4"/>
    <w:rsid w:val="002C1CBC"/>
    <w:rsid w:val="002C2DD4"/>
    <w:rsid w:val="002C51AD"/>
    <w:rsid w:val="002C6105"/>
    <w:rsid w:val="002C6123"/>
    <w:rsid w:val="002C6A4C"/>
    <w:rsid w:val="002C6E5E"/>
    <w:rsid w:val="002C72C1"/>
    <w:rsid w:val="002D0D0D"/>
    <w:rsid w:val="002D1B29"/>
    <w:rsid w:val="002D3C56"/>
    <w:rsid w:val="002D5F34"/>
    <w:rsid w:val="002D7D50"/>
    <w:rsid w:val="002D7EFC"/>
    <w:rsid w:val="002D7FB8"/>
    <w:rsid w:val="002E0EBA"/>
    <w:rsid w:val="002E4277"/>
    <w:rsid w:val="002E4A61"/>
    <w:rsid w:val="002E54FC"/>
    <w:rsid w:val="002E7842"/>
    <w:rsid w:val="002E7E1E"/>
    <w:rsid w:val="002F0AB4"/>
    <w:rsid w:val="002F18E1"/>
    <w:rsid w:val="002F1CFC"/>
    <w:rsid w:val="002F25E4"/>
    <w:rsid w:val="002F2689"/>
    <w:rsid w:val="002F272B"/>
    <w:rsid w:val="002F3419"/>
    <w:rsid w:val="002F40AC"/>
    <w:rsid w:val="003037A8"/>
    <w:rsid w:val="003045A7"/>
    <w:rsid w:val="00304C43"/>
    <w:rsid w:val="00305639"/>
    <w:rsid w:val="0030720D"/>
    <w:rsid w:val="00307A75"/>
    <w:rsid w:val="003125A8"/>
    <w:rsid w:val="00312D4C"/>
    <w:rsid w:val="00316E4C"/>
    <w:rsid w:val="00320597"/>
    <w:rsid w:val="00321648"/>
    <w:rsid w:val="00321FA7"/>
    <w:rsid w:val="003228DD"/>
    <w:rsid w:val="00324F21"/>
    <w:rsid w:val="00327B35"/>
    <w:rsid w:val="00331394"/>
    <w:rsid w:val="003317B3"/>
    <w:rsid w:val="00332231"/>
    <w:rsid w:val="00333B7B"/>
    <w:rsid w:val="00334189"/>
    <w:rsid w:val="00334C46"/>
    <w:rsid w:val="00337D80"/>
    <w:rsid w:val="00340DEB"/>
    <w:rsid w:val="003422A6"/>
    <w:rsid w:val="00342851"/>
    <w:rsid w:val="00344C21"/>
    <w:rsid w:val="00345DDE"/>
    <w:rsid w:val="00346192"/>
    <w:rsid w:val="003461A3"/>
    <w:rsid w:val="00350530"/>
    <w:rsid w:val="003526A4"/>
    <w:rsid w:val="00354BC0"/>
    <w:rsid w:val="0035525D"/>
    <w:rsid w:val="00363715"/>
    <w:rsid w:val="0036523E"/>
    <w:rsid w:val="0036709E"/>
    <w:rsid w:val="003704E8"/>
    <w:rsid w:val="00370C7D"/>
    <w:rsid w:val="00372ACA"/>
    <w:rsid w:val="00372F76"/>
    <w:rsid w:val="00376928"/>
    <w:rsid w:val="00382206"/>
    <w:rsid w:val="00384056"/>
    <w:rsid w:val="00384C1D"/>
    <w:rsid w:val="0038583C"/>
    <w:rsid w:val="003904AC"/>
    <w:rsid w:val="00392CAF"/>
    <w:rsid w:val="003970D8"/>
    <w:rsid w:val="0039766D"/>
    <w:rsid w:val="00397C63"/>
    <w:rsid w:val="00397EB6"/>
    <w:rsid w:val="003A3FB5"/>
    <w:rsid w:val="003A5050"/>
    <w:rsid w:val="003A5B08"/>
    <w:rsid w:val="003A7CD5"/>
    <w:rsid w:val="003B0008"/>
    <w:rsid w:val="003B0C53"/>
    <w:rsid w:val="003C1505"/>
    <w:rsid w:val="003C294A"/>
    <w:rsid w:val="003C2D85"/>
    <w:rsid w:val="003C4195"/>
    <w:rsid w:val="003C4D46"/>
    <w:rsid w:val="003C5F10"/>
    <w:rsid w:val="003C6C0A"/>
    <w:rsid w:val="003D24F2"/>
    <w:rsid w:val="003D4AC2"/>
    <w:rsid w:val="003D526C"/>
    <w:rsid w:val="003D63D4"/>
    <w:rsid w:val="003D686E"/>
    <w:rsid w:val="003E03F2"/>
    <w:rsid w:val="003E21C0"/>
    <w:rsid w:val="003E4BB7"/>
    <w:rsid w:val="003E7E55"/>
    <w:rsid w:val="003F13D1"/>
    <w:rsid w:val="003F1C32"/>
    <w:rsid w:val="003F2FD6"/>
    <w:rsid w:val="003F32BB"/>
    <w:rsid w:val="003F48E0"/>
    <w:rsid w:val="003F54E4"/>
    <w:rsid w:val="003F5797"/>
    <w:rsid w:val="003F63DA"/>
    <w:rsid w:val="003F6C37"/>
    <w:rsid w:val="003F76B1"/>
    <w:rsid w:val="003F7F5C"/>
    <w:rsid w:val="00400DA3"/>
    <w:rsid w:val="0040126F"/>
    <w:rsid w:val="004012B7"/>
    <w:rsid w:val="00401480"/>
    <w:rsid w:val="0040297B"/>
    <w:rsid w:val="00404121"/>
    <w:rsid w:val="00404415"/>
    <w:rsid w:val="00406D20"/>
    <w:rsid w:val="00411AFF"/>
    <w:rsid w:val="0041403B"/>
    <w:rsid w:val="004151E2"/>
    <w:rsid w:val="00417C53"/>
    <w:rsid w:val="004209F9"/>
    <w:rsid w:val="00420C29"/>
    <w:rsid w:val="00421175"/>
    <w:rsid w:val="0042147C"/>
    <w:rsid w:val="004214C8"/>
    <w:rsid w:val="0042489A"/>
    <w:rsid w:val="00427CD0"/>
    <w:rsid w:val="00430983"/>
    <w:rsid w:val="00430BF9"/>
    <w:rsid w:val="00435CCE"/>
    <w:rsid w:val="00437830"/>
    <w:rsid w:val="00437AA0"/>
    <w:rsid w:val="00443215"/>
    <w:rsid w:val="00444F29"/>
    <w:rsid w:val="00445882"/>
    <w:rsid w:val="00446EBD"/>
    <w:rsid w:val="004475C7"/>
    <w:rsid w:val="00450282"/>
    <w:rsid w:val="004511D8"/>
    <w:rsid w:val="00451468"/>
    <w:rsid w:val="00453156"/>
    <w:rsid w:val="004532CD"/>
    <w:rsid w:val="004540AC"/>
    <w:rsid w:val="00454424"/>
    <w:rsid w:val="00460FFD"/>
    <w:rsid w:val="00461FBE"/>
    <w:rsid w:val="00472131"/>
    <w:rsid w:val="00480171"/>
    <w:rsid w:val="00481521"/>
    <w:rsid w:val="00481B14"/>
    <w:rsid w:val="004834F6"/>
    <w:rsid w:val="004846C6"/>
    <w:rsid w:val="00485BB6"/>
    <w:rsid w:val="00490291"/>
    <w:rsid w:val="00492562"/>
    <w:rsid w:val="00494B03"/>
    <w:rsid w:val="00495CDA"/>
    <w:rsid w:val="00495D95"/>
    <w:rsid w:val="00495F48"/>
    <w:rsid w:val="004A0A9B"/>
    <w:rsid w:val="004A1EC4"/>
    <w:rsid w:val="004A31D7"/>
    <w:rsid w:val="004A54C2"/>
    <w:rsid w:val="004A6369"/>
    <w:rsid w:val="004A7D4D"/>
    <w:rsid w:val="004B3449"/>
    <w:rsid w:val="004B3AB3"/>
    <w:rsid w:val="004B52A0"/>
    <w:rsid w:val="004B5D1F"/>
    <w:rsid w:val="004B5E45"/>
    <w:rsid w:val="004B5F9C"/>
    <w:rsid w:val="004B608C"/>
    <w:rsid w:val="004B6AA1"/>
    <w:rsid w:val="004C0108"/>
    <w:rsid w:val="004C0AB6"/>
    <w:rsid w:val="004C2F4E"/>
    <w:rsid w:val="004C5673"/>
    <w:rsid w:val="004C61C1"/>
    <w:rsid w:val="004C7145"/>
    <w:rsid w:val="004C7E80"/>
    <w:rsid w:val="004D0213"/>
    <w:rsid w:val="004D13CB"/>
    <w:rsid w:val="004D196F"/>
    <w:rsid w:val="004D32CB"/>
    <w:rsid w:val="004D348A"/>
    <w:rsid w:val="004D55F3"/>
    <w:rsid w:val="004D5F2A"/>
    <w:rsid w:val="004D746F"/>
    <w:rsid w:val="004D7E47"/>
    <w:rsid w:val="004E0545"/>
    <w:rsid w:val="004E3BEF"/>
    <w:rsid w:val="004E3C61"/>
    <w:rsid w:val="004E6266"/>
    <w:rsid w:val="004E6FDF"/>
    <w:rsid w:val="004E7836"/>
    <w:rsid w:val="004E7DEF"/>
    <w:rsid w:val="004F0C5D"/>
    <w:rsid w:val="004F5143"/>
    <w:rsid w:val="004F5FF8"/>
    <w:rsid w:val="004F6C60"/>
    <w:rsid w:val="00504940"/>
    <w:rsid w:val="00510EAE"/>
    <w:rsid w:val="00512C9B"/>
    <w:rsid w:val="0051368D"/>
    <w:rsid w:val="0051649E"/>
    <w:rsid w:val="005236BF"/>
    <w:rsid w:val="00523CC9"/>
    <w:rsid w:val="005252B4"/>
    <w:rsid w:val="005254D6"/>
    <w:rsid w:val="0053006C"/>
    <w:rsid w:val="00534823"/>
    <w:rsid w:val="00536195"/>
    <w:rsid w:val="00544928"/>
    <w:rsid w:val="00545E6F"/>
    <w:rsid w:val="0055012D"/>
    <w:rsid w:val="0055196D"/>
    <w:rsid w:val="00551A2B"/>
    <w:rsid w:val="005525E6"/>
    <w:rsid w:val="0055422C"/>
    <w:rsid w:val="00556493"/>
    <w:rsid w:val="0056571F"/>
    <w:rsid w:val="00566667"/>
    <w:rsid w:val="0057326D"/>
    <w:rsid w:val="0057450B"/>
    <w:rsid w:val="00576AB5"/>
    <w:rsid w:val="00580BF8"/>
    <w:rsid w:val="0058534B"/>
    <w:rsid w:val="00586420"/>
    <w:rsid w:val="00587364"/>
    <w:rsid w:val="00587594"/>
    <w:rsid w:val="00591158"/>
    <w:rsid w:val="005914F5"/>
    <w:rsid w:val="00591627"/>
    <w:rsid w:val="00592ACB"/>
    <w:rsid w:val="00593A3C"/>
    <w:rsid w:val="005951EA"/>
    <w:rsid w:val="00596109"/>
    <w:rsid w:val="00596855"/>
    <w:rsid w:val="005A2182"/>
    <w:rsid w:val="005A3C29"/>
    <w:rsid w:val="005A490F"/>
    <w:rsid w:val="005A4981"/>
    <w:rsid w:val="005A5605"/>
    <w:rsid w:val="005A6285"/>
    <w:rsid w:val="005B0522"/>
    <w:rsid w:val="005B0E3A"/>
    <w:rsid w:val="005B2481"/>
    <w:rsid w:val="005B2C6F"/>
    <w:rsid w:val="005B3529"/>
    <w:rsid w:val="005B379C"/>
    <w:rsid w:val="005B3BA1"/>
    <w:rsid w:val="005B63B6"/>
    <w:rsid w:val="005C1DA3"/>
    <w:rsid w:val="005C2530"/>
    <w:rsid w:val="005C2F31"/>
    <w:rsid w:val="005C300C"/>
    <w:rsid w:val="005C4087"/>
    <w:rsid w:val="005C53AB"/>
    <w:rsid w:val="005C6F13"/>
    <w:rsid w:val="005C798D"/>
    <w:rsid w:val="005D1953"/>
    <w:rsid w:val="005D1B42"/>
    <w:rsid w:val="005D1C2B"/>
    <w:rsid w:val="005D24E6"/>
    <w:rsid w:val="005D3D97"/>
    <w:rsid w:val="005D765E"/>
    <w:rsid w:val="005D7F3D"/>
    <w:rsid w:val="005E22DB"/>
    <w:rsid w:val="005E3D13"/>
    <w:rsid w:val="005E51AE"/>
    <w:rsid w:val="005F0B72"/>
    <w:rsid w:val="005F0DE4"/>
    <w:rsid w:val="005F0E51"/>
    <w:rsid w:val="005F1672"/>
    <w:rsid w:val="005F2FF4"/>
    <w:rsid w:val="005F2FF5"/>
    <w:rsid w:val="005F3D9C"/>
    <w:rsid w:val="005F591E"/>
    <w:rsid w:val="005F62C4"/>
    <w:rsid w:val="00602AC1"/>
    <w:rsid w:val="006041FF"/>
    <w:rsid w:val="00604F62"/>
    <w:rsid w:val="00605612"/>
    <w:rsid w:val="006057B7"/>
    <w:rsid w:val="00606026"/>
    <w:rsid w:val="0060611A"/>
    <w:rsid w:val="0060653C"/>
    <w:rsid w:val="00607676"/>
    <w:rsid w:val="00607A7F"/>
    <w:rsid w:val="00610517"/>
    <w:rsid w:val="006120DF"/>
    <w:rsid w:val="006136AD"/>
    <w:rsid w:val="00613A57"/>
    <w:rsid w:val="00614604"/>
    <w:rsid w:val="00616511"/>
    <w:rsid w:val="00620E67"/>
    <w:rsid w:val="00623DED"/>
    <w:rsid w:val="00625FCD"/>
    <w:rsid w:val="00626431"/>
    <w:rsid w:val="006272EF"/>
    <w:rsid w:val="006301DE"/>
    <w:rsid w:val="006377B5"/>
    <w:rsid w:val="00637D8D"/>
    <w:rsid w:val="00641451"/>
    <w:rsid w:val="006419CB"/>
    <w:rsid w:val="00643DA1"/>
    <w:rsid w:val="0064534B"/>
    <w:rsid w:val="00647984"/>
    <w:rsid w:val="00647DB3"/>
    <w:rsid w:val="00651553"/>
    <w:rsid w:val="00655D63"/>
    <w:rsid w:val="00660C4C"/>
    <w:rsid w:val="006643AA"/>
    <w:rsid w:val="00665743"/>
    <w:rsid w:val="006678FD"/>
    <w:rsid w:val="00667A0C"/>
    <w:rsid w:val="00672CB5"/>
    <w:rsid w:val="00674CE9"/>
    <w:rsid w:val="0067646D"/>
    <w:rsid w:val="006768AA"/>
    <w:rsid w:val="0068128B"/>
    <w:rsid w:val="006815EE"/>
    <w:rsid w:val="006825CE"/>
    <w:rsid w:val="0068472B"/>
    <w:rsid w:val="00684F79"/>
    <w:rsid w:val="006860A4"/>
    <w:rsid w:val="00687BD1"/>
    <w:rsid w:val="00691270"/>
    <w:rsid w:val="00693985"/>
    <w:rsid w:val="006941D5"/>
    <w:rsid w:val="00697532"/>
    <w:rsid w:val="006A0329"/>
    <w:rsid w:val="006A28E3"/>
    <w:rsid w:val="006A5F31"/>
    <w:rsid w:val="006A6A3F"/>
    <w:rsid w:val="006A6E5D"/>
    <w:rsid w:val="006A73D7"/>
    <w:rsid w:val="006B1F3C"/>
    <w:rsid w:val="006B4846"/>
    <w:rsid w:val="006B7100"/>
    <w:rsid w:val="006C1909"/>
    <w:rsid w:val="006C4E3E"/>
    <w:rsid w:val="006C670B"/>
    <w:rsid w:val="006C6DC3"/>
    <w:rsid w:val="006C71B3"/>
    <w:rsid w:val="006D1139"/>
    <w:rsid w:val="006D304E"/>
    <w:rsid w:val="006D327F"/>
    <w:rsid w:val="006D3F0F"/>
    <w:rsid w:val="006D4542"/>
    <w:rsid w:val="006D46B7"/>
    <w:rsid w:val="006D5006"/>
    <w:rsid w:val="006D5739"/>
    <w:rsid w:val="006D620D"/>
    <w:rsid w:val="006D71F9"/>
    <w:rsid w:val="006E004A"/>
    <w:rsid w:val="006E1D2C"/>
    <w:rsid w:val="006E3061"/>
    <w:rsid w:val="006E32E7"/>
    <w:rsid w:val="006E3D72"/>
    <w:rsid w:val="006E46E8"/>
    <w:rsid w:val="006E4E92"/>
    <w:rsid w:val="006E54C9"/>
    <w:rsid w:val="006F084A"/>
    <w:rsid w:val="006F0BC9"/>
    <w:rsid w:val="006F16B4"/>
    <w:rsid w:val="006F2FEB"/>
    <w:rsid w:val="006F43D8"/>
    <w:rsid w:val="006F51DB"/>
    <w:rsid w:val="006F53EC"/>
    <w:rsid w:val="0070035E"/>
    <w:rsid w:val="00700FCD"/>
    <w:rsid w:val="0070747B"/>
    <w:rsid w:val="0071045C"/>
    <w:rsid w:val="00711A1D"/>
    <w:rsid w:val="00712452"/>
    <w:rsid w:val="007131BB"/>
    <w:rsid w:val="007137C1"/>
    <w:rsid w:val="007153E0"/>
    <w:rsid w:val="00715C5F"/>
    <w:rsid w:val="00717D92"/>
    <w:rsid w:val="00720952"/>
    <w:rsid w:val="0072264A"/>
    <w:rsid w:val="0072768C"/>
    <w:rsid w:val="007305C0"/>
    <w:rsid w:val="00730BC3"/>
    <w:rsid w:val="00730D2D"/>
    <w:rsid w:val="00730EC7"/>
    <w:rsid w:val="00733A77"/>
    <w:rsid w:val="00735204"/>
    <w:rsid w:val="00737047"/>
    <w:rsid w:val="007379D9"/>
    <w:rsid w:val="00740168"/>
    <w:rsid w:val="0074016A"/>
    <w:rsid w:val="00742C6F"/>
    <w:rsid w:val="0074721D"/>
    <w:rsid w:val="00751BBE"/>
    <w:rsid w:val="007554CF"/>
    <w:rsid w:val="007567E9"/>
    <w:rsid w:val="007568C8"/>
    <w:rsid w:val="0075722C"/>
    <w:rsid w:val="00757A81"/>
    <w:rsid w:val="0076077E"/>
    <w:rsid w:val="00760D6F"/>
    <w:rsid w:val="00760DFA"/>
    <w:rsid w:val="00763DCB"/>
    <w:rsid w:val="00766A5C"/>
    <w:rsid w:val="007706FD"/>
    <w:rsid w:val="00771F7F"/>
    <w:rsid w:val="0077313D"/>
    <w:rsid w:val="007757A2"/>
    <w:rsid w:val="00776888"/>
    <w:rsid w:val="00776A82"/>
    <w:rsid w:val="0078057F"/>
    <w:rsid w:val="007816BF"/>
    <w:rsid w:val="00781A7B"/>
    <w:rsid w:val="00785B36"/>
    <w:rsid w:val="00790FEC"/>
    <w:rsid w:val="0079214A"/>
    <w:rsid w:val="00793201"/>
    <w:rsid w:val="00797846"/>
    <w:rsid w:val="007A064A"/>
    <w:rsid w:val="007A172F"/>
    <w:rsid w:val="007A3BDF"/>
    <w:rsid w:val="007A48E9"/>
    <w:rsid w:val="007A6153"/>
    <w:rsid w:val="007A6996"/>
    <w:rsid w:val="007A757B"/>
    <w:rsid w:val="007B0A8E"/>
    <w:rsid w:val="007B1CB4"/>
    <w:rsid w:val="007B4327"/>
    <w:rsid w:val="007B6C5E"/>
    <w:rsid w:val="007C2283"/>
    <w:rsid w:val="007C2569"/>
    <w:rsid w:val="007C44E1"/>
    <w:rsid w:val="007C4E24"/>
    <w:rsid w:val="007C6A73"/>
    <w:rsid w:val="007D06B1"/>
    <w:rsid w:val="007D199C"/>
    <w:rsid w:val="007D2745"/>
    <w:rsid w:val="007D2EEB"/>
    <w:rsid w:val="007D5E59"/>
    <w:rsid w:val="007D633F"/>
    <w:rsid w:val="007D63A8"/>
    <w:rsid w:val="007D6473"/>
    <w:rsid w:val="007F003E"/>
    <w:rsid w:val="007F0191"/>
    <w:rsid w:val="007F1AC8"/>
    <w:rsid w:val="007F3262"/>
    <w:rsid w:val="007F36DC"/>
    <w:rsid w:val="0080066F"/>
    <w:rsid w:val="00800696"/>
    <w:rsid w:val="00800BC6"/>
    <w:rsid w:val="008020FF"/>
    <w:rsid w:val="008041F3"/>
    <w:rsid w:val="00804668"/>
    <w:rsid w:val="008046D0"/>
    <w:rsid w:val="008063BB"/>
    <w:rsid w:val="008064B0"/>
    <w:rsid w:val="0080653A"/>
    <w:rsid w:val="008078A4"/>
    <w:rsid w:val="00813344"/>
    <w:rsid w:val="008171C6"/>
    <w:rsid w:val="00817BBB"/>
    <w:rsid w:val="00820C68"/>
    <w:rsid w:val="00820EFC"/>
    <w:rsid w:val="00820F2C"/>
    <w:rsid w:val="00821815"/>
    <w:rsid w:val="008220CC"/>
    <w:rsid w:val="00823D4A"/>
    <w:rsid w:val="00823DD8"/>
    <w:rsid w:val="00825DB8"/>
    <w:rsid w:val="008264D4"/>
    <w:rsid w:val="00826BB0"/>
    <w:rsid w:val="00827658"/>
    <w:rsid w:val="0082799D"/>
    <w:rsid w:val="00832C86"/>
    <w:rsid w:val="0083355A"/>
    <w:rsid w:val="008370DD"/>
    <w:rsid w:val="008374A9"/>
    <w:rsid w:val="00843BD8"/>
    <w:rsid w:val="00844183"/>
    <w:rsid w:val="008448DF"/>
    <w:rsid w:val="00845CDF"/>
    <w:rsid w:val="00846117"/>
    <w:rsid w:val="00846877"/>
    <w:rsid w:val="00850212"/>
    <w:rsid w:val="008520B7"/>
    <w:rsid w:val="00853560"/>
    <w:rsid w:val="0085360A"/>
    <w:rsid w:val="0085431D"/>
    <w:rsid w:val="00855DD8"/>
    <w:rsid w:val="00855E4F"/>
    <w:rsid w:val="00860525"/>
    <w:rsid w:val="00863011"/>
    <w:rsid w:val="008644EC"/>
    <w:rsid w:val="00864CF7"/>
    <w:rsid w:val="008663D5"/>
    <w:rsid w:val="00873B1B"/>
    <w:rsid w:val="00874521"/>
    <w:rsid w:val="0087695E"/>
    <w:rsid w:val="00876AA2"/>
    <w:rsid w:val="00877D34"/>
    <w:rsid w:val="00880340"/>
    <w:rsid w:val="00883D50"/>
    <w:rsid w:val="00885144"/>
    <w:rsid w:val="00885AD0"/>
    <w:rsid w:val="0088766C"/>
    <w:rsid w:val="00887ECF"/>
    <w:rsid w:val="00890BA8"/>
    <w:rsid w:val="00891FBF"/>
    <w:rsid w:val="00893E5D"/>
    <w:rsid w:val="008A0EAE"/>
    <w:rsid w:val="008A131F"/>
    <w:rsid w:val="008A350B"/>
    <w:rsid w:val="008A413C"/>
    <w:rsid w:val="008A4AB6"/>
    <w:rsid w:val="008A75C8"/>
    <w:rsid w:val="008B01C5"/>
    <w:rsid w:val="008B127A"/>
    <w:rsid w:val="008B73F2"/>
    <w:rsid w:val="008C02BF"/>
    <w:rsid w:val="008C0873"/>
    <w:rsid w:val="008C35FC"/>
    <w:rsid w:val="008C5D29"/>
    <w:rsid w:val="008D1761"/>
    <w:rsid w:val="008D1E7E"/>
    <w:rsid w:val="008D2301"/>
    <w:rsid w:val="008D2CA3"/>
    <w:rsid w:val="008E1826"/>
    <w:rsid w:val="008E26D4"/>
    <w:rsid w:val="008E3635"/>
    <w:rsid w:val="008E36AD"/>
    <w:rsid w:val="008E3705"/>
    <w:rsid w:val="008E4270"/>
    <w:rsid w:val="008E47BB"/>
    <w:rsid w:val="008E7362"/>
    <w:rsid w:val="008F0D2B"/>
    <w:rsid w:val="008F1333"/>
    <w:rsid w:val="008F2544"/>
    <w:rsid w:val="008F4C13"/>
    <w:rsid w:val="008F7509"/>
    <w:rsid w:val="008F777D"/>
    <w:rsid w:val="00905985"/>
    <w:rsid w:val="00905D80"/>
    <w:rsid w:val="009063DB"/>
    <w:rsid w:val="009065D3"/>
    <w:rsid w:val="00906886"/>
    <w:rsid w:val="00907F83"/>
    <w:rsid w:val="00911520"/>
    <w:rsid w:val="009127F3"/>
    <w:rsid w:val="009132F8"/>
    <w:rsid w:val="009140B1"/>
    <w:rsid w:val="00914940"/>
    <w:rsid w:val="00914A01"/>
    <w:rsid w:val="0091570A"/>
    <w:rsid w:val="00920C1D"/>
    <w:rsid w:val="00921E85"/>
    <w:rsid w:val="00922F84"/>
    <w:rsid w:val="00923656"/>
    <w:rsid w:val="009255E9"/>
    <w:rsid w:val="00925754"/>
    <w:rsid w:val="00926AF3"/>
    <w:rsid w:val="009321BD"/>
    <w:rsid w:val="009464CF"/>
    <w:rsid w:val="00951361"/>
    <w:rsid w:val="00951519"/>
    <w:rsid w:val="0095168F"/>
    <w:rsid w:val="00951DFF"/>
    <w:rsid w:val="009527AD"/>
    <w:rsid w:val="009534EA"/>
    <w:rsid w:val="009539EA"/>
    <w:rsid w:val="00953F0F"/>
    <w:rsid w:val="00956B6C"/>
    <w:rsid w:val="009628A4"/>
    <w:rsid w:val="009647C4"/>
    <w:rsid w:val="009657DC"/>
    <w:rsid w:val="00965B5B"/>
    <w:rsid w:val="00965D7E"/>
    <w:rsid w:val="00967C87"/>
    <w:rsid w:val="00971A39"/>
    <w:rsid w:val="009759F6"/>
    <w:rsid w:val="0097643C"/>
    <w:rsid w:val="00976BEA"/>
    <w:rsid w:val="00977F38"/>
    <w:rsid w:val="00980E96"/>
    <w:rsid w:val="00981BE8"/>
    <w:rsid w:val="00983708"/>
    <w:rsid w:val="00984B73"/>
    <w:rsid w:val="00985779"/>
    <w:rsid w:val="009933FE"/>
    <w:rsid w:val="009942EF"/>
    <w:rsid w:val="00997616"/>
    <w:rsid w:val="009A0AC5"/>
    <w:rsid w:val="009A5CEC"/>
    <w:rsid w:val="009A68B1"/>
    <w:rsid w:val="009B18FF"/>
    <w:rsid w:val="009B292D"/>
    <w:rsid w:val="009B2CC7"/>
    <w:rsid w:val="009B3513"/>
    <w:rsid w:val="009B457C"/>
    <w:rsid w:val="009B5EC8"/>
    <w:rsid w:val="009B7C52"/>
    <w:rsid w:val="009B7CFA"/>
    <w:rsid w:val="009C0C1F"/>
    <w:rsid w:val="009C1388"/>
    <w:rsid w:val="009C16BE"/>
    <w:rsid w:val="009C2A3A"/>
    <w:rsid w:val="009C34D0"/>
    <w:rsid w:val="009C5A9A"/>
    <w:rsid w:val="009C5F34"/>
    <w:rsid w:val="009C708A"/>
    <w:rsid w:val="009D0DC4"/>
    <w:rsid w:val="009D1ADB"/>
    <w:rsid w:val="009D27DE"/>
    <w:rsid w:val="009D2875"/>
    <w:rsid w:val="009D371B"/>
    <w:rsid w:val="009D3D71"/>
    <w:rsid w:val="009D3E56"/>
    <w:rsid w:val="009D403D"/>
    <w:rsid w:val="009D6B19"/>
    <w:rsid w:val="009D6F15"/>
    <w:rsid w:val="009D7446"/>
    <w:rsid w:val="009D7AB4"/>
    <w:rsid w:val="009D7CD5"/>
    <w:rsid w:val="009E0B59"/>
    <w:rsid w:val="009E1D01"/>
    <w:rsid w:val="009E20F9"/>
    <w:rsid w:val="009E29D3"/>
    <w:rsid w:val="009E348F"/>
    <w:rsid w:val="009E5B25"/>
    <w:rsid w:val="009E6A48"/>
    <w:rsid w:val="009E6E38"/>
    <w:rsid w:val="009F1DCD"/>
    <w:rsid w:val="009F22C7"/>
    <w:rsid w:val="009F53D1"/>
    <w:rsid w:val="00A0063C"/>
    <w:rsid w:val="00A00BDC"/>
    <w:rsid w:val="00A02453"/>
    <w:rsid w:val="00A02F5E"/>
    <w:rsid w:val="00A03F15"/>
    <w:rsid w:val="00A062B0"/>
    <w:rsid w:val="00A06F96"/>
    <w:rsid w:val="00A07E1F"/>
    <w:rsid w:val="00A11DC8"/>
    <w:rsid w:val="00A12027"/>
    <w:rsid w:val="00A135A4"/>
    <w:rsid w:val="00A1417D"/>
    <w:rsid w:val="00A20D73"/>
    <w:rsid w:val="00A21533"/>
    <w:rsid w:val="00A21E17"/>
    <w:rsid w:val="00A337BC"/>
    <w:rsid w:val="00A34345"/>
    <w:rsid w:val="00A36608"/>
    <w:rsid w:val="00A3785F"/>
    <w:rsid w:val="00A41B4F"/>
    <w:rsid w:val="00A4258E"/>
    <w:rsid w:val="00A45626"/>
    <w:rsid w:val="00A50A9D"/>
    <w:rsid w:val="00A52B07"/>
    <w:rsid w:val="00A54734"/>
    <w:rsid w:val="00A552B0"/>
    <w:rsid w:val="00A564C9"/>
    <w:rsid w:val="00A5774F"/>
    <w:rsid w:val="00A57EF9"/>
    <w:rsid w:val="00A64952"/>
    <w:rsid w:val="00A67279"/>
    <w:rsid w:val="00A70396"/>
    <w:rsid w:val="00A703D0"/>
    <w:rsid w:val="00A709A7"/>
    <w:rsid w:val="00A72937"/>
    <w:rsid w:val="00A75A41"/>
    <w:rsid w:val="00A7733C"/>
    <w:rsid w:val="00A80298"/>
    <w:rsid w:val="00A81637"/>
    <w:rsid w:val="00A828C5"/>
    <w:rsid w:val="00A84B4A"/>
    <w:rsid w:val="00A87899"/>
    <w:rsid w:val="00A901D0"/>
    <w:rsid w:val="00A90381"/>
    <w:rsid w:val="00A90596"/>
    <w:rsid w:val="00A90FAE"/>
    <w:rsid w:val="00A91DB7"/>
    <w:rsid w:val="00A92E7F"/>
    <w:rsid w:val="00A9339A"/>
    <w:rsid w:val="00A937A2"/>
    <w:rsid w:val="00A93A58"/>
    <w:rsid w:val="00A9481F"/>
    <w:rsid w:val="00AA1DD9"/>
    <w:rsid w:val="00AA31C5"/>
    <w:rsid w:val="00AA322A"/>
    <w:rsid w:val="00AA4404"/>
    <w:rsid w:val="00AA471C"/>
    <w:rsid w:val="00AA53AE"/>
    <w:rsid w:val="00AA781C"/>
    <w:rsid w:val="00AB01EA"/>
    <w:rsid w:val="00AB1929"/>
    <w:rsid w:val="00AB2F61"/>
    <w:rsid w:val="00AB6A86"/>
    <w:rsid w:val="00AC0324"/>
    <w:rsid w:val="00AC12A8"/>
    <w:rsid w:val="00AC7522"/>
    <w:rsid w:val="00AD0B0A"/>
    <w:rsid w:val="00AD0F6A"/>
    <w:rsid w:val="00AD1DA9"/>
    <w:rsid w:val="00AD363D"/>
    <w:rsid w:val="00AD4F5F"/>
    <w:rsid w:val="00AD50FF"/>
    <w:rsid w:val="00AD5A9F"/>
    <w:rsid w:val="00AD5F7C"/>
    <w:rsid w:val="00AD6FD1"/>
    <w:rsid w:val="00AD7621"/>
    <w:rsid w:val="00AD77EF"/>
    <w:rsid w:val="00AE02D3"/>
    <w:rsid w:val="00AE3E32"/>
    <w:rsid w:val="00AE527C"/>
    <w:rsid w:val="00AE5A3C"/>
    <w:rsid w:val="00AF23EA"/>
    <w:rsid w:val="00AF5D37"/>
    <w:rsid w:val="00B05806"/>
    <w:rsid w:val="00B07185"/>
    <w:rsid w:val="00B07566"/>
    <w:rsid w:val="00B0758C"/>
    <w:rsid w:val="00B10AAE"/>
    <w:rsid w:val="00B10EEA"/>
    <w:rsid w:val="00B1117B"/>
    <w:rsid w:val="00B12158"/>
    <w:rsid w:val="00B1251F"/>
    <w:rsid w:val="00B13904"/>
    <w:rsid w:val="00B153BC"/>
    <w:rsid w:val="00B157A7"/>
    <w:rsid w:val="00B173E4"/>
    <w:rsid w:val="00B17AD6"/>
    <w:rsid w:val="00B20E40"/>
    <w:rsid w:val="00B2169A"/>
    <w:rsid w:val="00B24314"/>
    <w:rsid w:val="00B30847"/>
    <w:rsid w:val="00B312AF"/>
    <w:rsid w:val="00B34864"/>
    <w:rsid w:val="00B36F58"/>
    <w:rsid w:val="00B37237"/>
    <w:rsid w:val="00B4123B"/>
    <w:rsid w:val="00B434E3"/>
    <w:rsid w:val="00B45609"/>
    <w:rsid w:val="00B45FF7"/>
    <w:rsid w:val="00B471F3"/>
    <w:rsid w:val="00B475E9"/>
    <w:rsid w:val="00B503A6"/>
    <w:rsid w:val="00B5090D"/>
    <w:rsid w:val="00B50D2E"/>
    <w:rsid w:val="00B51297"/>
    <w:rsid w:val="00B541BE"/>
    <w:rsid w:val="00B55E1A"/>
    <w:rsid w:val="00B60442"/>
    <w:rsid w:val="00B60938"/>
    <w:rsid w:val="00B615C7"/>
    <w:rsid w:val="00B61B33"/>
    <w:rsid w:val="00B62F6B"/>
    <w:rsid w:val="00B63FF8"/>
    <w:rsid w:val="00B64C2E"/>
    <w:rsid w:val="00B70C83"/>
    <w:rsid w:val="00B70E54"/>
    <w:rsid w:val="00B71014"/>
    <w:rsid w:val="00B72ECA"/>
    <w:rsid w:val="00B7602E"/>
    <w:rsid w:val="00B801D9"/>
    <w:rsid w:val="00B80CC3"/>
    <w:rsid w:val="00B83280"/>
    <w:rsid w:val="00B84787"/>
    <w:rsid w:val="00B910B6"/>
    <w:rsid w:val="00B910F8"/>
    <w:rsid w:val="00B91C76"/>
    <w:rsid w:val="00B924DE"/>
    <w:rsid w:val="00B9506D"/>
    <w:rsid w:val="00B9624B"/>
    <w:rsid w:val="00B96EB1"/>
    <w:rsid w:val="00B977CB"/>
    <w:rsid w:val="00BA097E"/>
    <w:rsid w:val="00BA1C45"/>
    <w:rsid w:val="00BA20A4"/>
    <w:rsid w:val="00BA304A"/>
    <w:rsid w:val="00BA69A9"/>
    <w:rsid w:val="00BA6CA0"/>
    <w:rsid w:val="00BA77B5"/>
    <w:rsid w:val="00BB1E93"/>
    <w:rsid w:val="00BB2A68"/>
    <w:rsid w:val="00BB2CD2"/>
    <w:rsid w:val="00BB3160"/>
    <w:rsid w:val="00BB33EA"/>
    <w:rsid w:val="00BB3E0F"/>
    <w:rsid w:val="00BB4030"/>
    <w:rsid w:val="00BB493E"/>
    <w:rsid w:val="00BB58C9"/>
    <w:rsid w:val="00BB7BF5"/>
    <w:rsid w:val="00BB7E30"/>
    <w:rsid w:val="00BC0476"/>
    <w:rsid w:val="00BC136B"/>
    <w:rsid w:val="00BC1DC7"/>
    <w:rsid w:val="00BC31FF"/>
    <w:rsid w:val="00BC393C"/>
    <w:rsid w:val="00BC41D4"/>
    <w:rsid w:val="00BC5336"/>
    <w:rsid w:val="00BC682A"/>
    <w:rsid w:val="00BD0BEB"/>
    <w:rsid w:val="00BD3A3E"/>
    <w:rsid w:val="00BD5104"/>
    <w:rsid w:val="00BE1335"/>
    <w:rsid w:val="00BE2112"/>
    <w:rsid w:val="00BE57BF"/>
    <w:rsid w:val="00BE5A11"/>
    <w:rsid w:val="00BE5D6B"/>
    <w:rsid w:val="00BE623B"/>
    <w:rsid w:val="00BE63CD"/>
    <w:rsid w:val="00BE7CC8"/>
    <w:rsid w:val="00BF1076"/>
    <w:rsid w:val="00BF19A0"/>
    <w:rsid w:val="00BF2933"/>
    <w:rsid w:val="00BF35FC"/>
    <w:rsid w:val="00BF4D9A"/>
    <w:rsid w:val="00BF6C4F"/>
    <w:rsid w:val="00BF7E4E"/>
    <w:rsid w:val="00C02A17"/>
    <w:rsid w:val="00C032BF"/>
    <w:rsid w:val="00C05356"/>
    <w:rsid w:val="00C05755"/>
    <w:rsid w:val="00C065AC"/>
    <w:rsid w:val="00C066E1"/>
    <w:rsid w:val="00C06BF4"/>
    <w:rsid w:val="00C07B42"/>
    <w:rsid w:val="00C13483"/>
    <w:rsid w:val="00C15375"/>
    <w:rsid w:val="00C20D23"/>
    <w:rsid w:val="00C222D2"/>
    <w:rsid w:val="00C2344C"/>
    <w:rsid w:val="00C24078"/>
    <w:rsid w:val="00C2652E"/>
    <w:rsid w:val="00C26927"/>
    <w:rsid w:val="00C27503"/>
    <w:rsid w:val="00C32250"/>
    <w:rsid w:val="00C333B6"/>
    <w:rsid w:val="00C335EA"/>
    <w:rsid w:val="00C35D32"/>
    <w:rsid w:val="00C37123"/>
    <w:rsid w:val="00C37386"/>
    <w:rsid w:val="00C40BAD"/>
    <w:rsid w:val="00C41374"/>
    <w:rsid w:val="00C42909"/>
    <w:rsid w:val="00C44991"/>
    <w:rsid w:val="00C457DF"/>
    <w:rsid w:val="00C46980"/>
    <w:rsid w:val="00C47E84"/>
    <w:rsid w:val="00C5024C"/>
    <w:rsid w:val="00C51641"/>
    <w:rsid w:val="00C51908"/>
    <w:rsid w:val="00C5411E"/>
    <w:rsid w:val="00C620BE"/>
    <w:rsid w:val="00C63B4C"/>
    <w:rsid w:val="00C64871"/>
    <w:rsid w:val="00C651E4"/>
    <w:rsid w:val="00C65561"/>
    <w:rsid w:val="00C73D10"/>
    <w:rsid w:val="00C755E3"/>
    <w:rsid w:val="00C75A82"/>
    <w:rsid w:val="00C76CAF"/>
    <w:rsid w:val="00C7728C"/>
    <w:rsid w:val="00C80279"/>
    <w:rsid w:val="00C8032A"/>
    <w:rsid w:val="00C81AD2"/>
    <w:rsid w:val="00C81C7D"/>
    <w:rsid w:val="00C822AF"/>
    <w:rsid w:val="00C82453"/>
    <w:rsid w:val="00C83711"/>
    <w:rsid w:val="00C83DE4"/>
    <w:rsid w:val="00C845B4"/>
    <w:rsid w:val="00C84CE4"/>
    <w:rsid w:val="00C85F06"/>
    <w:rsid w:val="00C8675B"/>
    <w:rsid w:val="00C86E54"/>
    <w:rsid w:val="00C87980"/>
    <w:rsid w:val="00C90B03"/>
    <w:rsid w:val="00C91170"/>
    <w:rsid w:val="00C91C33"/>
    <w:rsid w:val="00C923F9"/>
    <w:rsid w:val="00C9467B"/>
    <w:rsid w:val="00C9655C"/>
    <w:rsid w:val="00C96603"/>
    <w:rsid w:val="00C96A58"/>
    <w:rsid w:val="00C9767A"/>
    <w:rsid w:val="00CA03D1"/>
    <w:rsid w:val="00CA0C37"/>
    <w:rsid w:val="00CA1DA8"/>
    <w:rsid w:val="00CA3BD0"/>
    <w:rsid w:val="00CA44BC"/>
    <w:rsid w:val="00CA5C35"/>
    <w:rsid w:val="00CA625A"/>
    <w:rsid w:val="00CA6BF8"/>
    <w:rsid w:val="00CA6F5B"/>
    <w:rsid w:val="00CA707D"/>
    <w:rsid w:val="00CB59F4"/>
    <w:rsid w:val="00CC4771"/>
    <w:rsid w:val="00CD13BD"/>
    <w:rsid w:val="00CD2BE6"/>
    <w:rsid w:val="00CE0853"/>
    <w:rsid w:val="00CE1457"/>
    <w:rsid w:val="00CE1D2A"/>
    <w:rsid w:val="00CE23DF"/>
    <w:rsid w:val="00CE3E44"/>
    <w:rsid w:val="00CE46CB"/>
    <w:rsid w:val="00CE4B4B"/>
    <w:rsid w:val="00CE5E90"/>
    <w:rsid w:val="00CE5EDC"/>
    <w:rsid w:val="00CE7B3E"/>
    <w:rsid w:val="00CE7C2B"/>
    <w:rsid w:val="00CF16BC"/>
    <w:rsid w:val="00CF210D"/>
    <w:rsid w:val="00CF45F9"/>
    <w:rsid w:val="00CF4C10"/>
    <w:rsid w:val="00CF62AB"/>
    <w:rsid w:val="00CF7FAF"/>
    <w:rsid w:val="00D01453"/>
    <w:rsid w:val="00D0367B"/>
    <w:rsid w:val="00D03E48"/>
    <w:rsid w:val="00D03FA1"/>
    <w:rsid w:val="00D0744A"/>
    <w:rsid w:val="00D105ED"/>
    <w:rsid w:val="00D110D2"/>
    <w:rsid w:val="00D13D16"/>
    <w:rsid w:val="00D14B77"/>
    <w:rsid w:val="00D15702"/>
    <w:rsid w:val="00D2000A"/>
    <w:rsid w:val="00D2067A"/>
    <w:rsid w:val="00D2752B"/>
    <w:rsid w:val="00D27606"/>
    <w:rsid w:val="00D27ED3"/>
    <w:rsid w:val="00D307CD"/>
    <w:rsid w:val="00D311B5"/>
    <w:rsid w:val="00D32796"/>
    <w:rsid w:val="00D34E44"/>
    <w:rsid w:val="00D36115"/>
    <w:rsid w:val="00D37CF8"/>
    <w:rsid w:val="00D40E62"/>
    <w:rsid w:val="00D41F9B"/>
    <w:rsid w:val="00D42A9B"/>
    <w:rsid w:val="00D45E03"/>
    <w:rsid w:val="00D5207C"/>
    <w:rsid w:val="00D529D2"/>
    <w:rsid w:val="00D54AA9"/>
    <w:rsid w:val="00D560B5"/>
    <w:rsid w:val="00D56B76"/>
    <w:rsid w:val="00D60B6B"/>
    <w:rsid w:val="00D60D03"/>
    <w:rsid w:val="00D61263"/>
    <w:rsid w:val="00D64028"/>
    <w:rsid w:val="00D640D6"/>
    <w:rsid w:val="00D67BF3"/>
    <w:rsid w:val="00D70024"/>
    <w:rsid w:val="00D71206"/>
    <w:rsid w:val="00D713D5"/>
    <w:rsid w:val="00D71CA7"/>
    <w:rsid w:val="00D7296B"/>
    <w:rsid w:val="00D7471C"/>
    <w:rsid w:val="00D75B8D"/>
    <w:rsid w:val="00D773DA"/>
    <w:rsid w:val="00D80B5B"/>
    <w:rsid w:val="00D815B3"/>
    <w:rsid w:val="00D82576"/>
    <w:rsid w:val="00D82E7E"/>
    <w:rsid w:val="00D8735D"/>
    <w:rsid w:val="00D915D9"/>
    <w:rsid w:val="00D92A26"/>
    <w:rsid w:val="00D93F54"/>
    <w:rsid w:val="00D941ED"/>
    <w:rsid w:val="00D94956"/>
    <w:rsid w:val="00D95096"/>
    <w:rsid w:val="00D9666C"/>
    <w:rsid w:val="00D96F41"/>
    <w:rsid w:val="00DA1F61"/>
    <w:rsid w:val="00DA3027"/>
    <w:rsid w:val="00DA3BB7"/>
    <w:rsid w:val="00DA48DA"/>
    <w:rsid w:val="00DA5D1C"/>
    <w:rsid w:val="00DA6922"/>
    <w:rsid w:val="00DB31B3"/>
    <w:rsid w:val="00DB3212"/>
    <w:rsid w:val="00DB3658"/>
    <w:rsid w:val="00DB3E86"/>
    <w:rsid w:val="00DB4052"/>
    <w:rsid w:val="00DB5D0F"/>
    <w:rsid w:val="00DB7B7F"/>
    <w:rsid w:val="00DC17CD"/>
    <w:rsid w:val="00DC5560"/>
    <w:rsid w:val="00DC5DC7"/>
    <w:rsid w:val="00DC778A"/>
    <w:rsid w:val="00DD3133"/>
    <w:rsid w:val="00DD4B8D"/>
    <w:rsid w:val="00DD5AB5"/>
    <w:rsid w:val="00DD6F17"/>
    <w:rsid w:val="00DD74E2"/>
    <w:rsid w:val="00DE3545"/>
    <w:rsid w:val="00DE4169"/>
    <w:rsid w:val="00DE51C1"/>
    <w:rsid w:val="00DE717E"/>
    <w:rsid w:val="00DE7319"/>
    <w:rsid w:val="00DF4C13"/>
    <w:rsid w:val="00DF553F"/>
    <w:rsid w:val="00DF65D5"/>
    <w:rsid w:val="00E04FAB"/>
    <w:rsid w:val="00E069A2"/>
    <w:rsid w:val="00E06B81"/>
    <w:rsid w:val="00E13E31"/>
    <w:rsid w:val="00E141A0"/>
    <w:rsid w:val="00E16089"/>
    <w:rsid w:val="00E1723A"/>
    <w:rsid w:val="00E17EAC"/>
    <w:rsid w:val="00E202A3"/>
    <w:rsid w:val="00E2046A"/>
    <w:rsid w:val="00E22412"/>
    <w:rsid w:val="00E23CD7"/>
    <w:rsid w:val="00E242A4"/>
    <w:rsid w:val="00E25C8F"/>
    <w:rsid w:val="00E279AF"/>
    <w:rsid w:val="00E3115F"/>
    <w:rsid w:val="00E3401F"/>
    <w:rsid w:val="00E34B47"/>
    <w:rsid w:val="00E34D71"/>
    <w:rsid w:val="00E35BA9"/>
    <w:rsid w:val="00E3716F"/>
    <w:rsid w:val="00E377CA"/>
    <w:rsid w:val="00E37F47"/>
    <w:rsid w:val="00E41643"/>
    <w:rsid w:val="00E4348D"/>
    <w:rsid w:val="00E455BE"/>
    <w:rsid w:val="00E47CCC"/>
    <w:rsid w:val="00E47DA2"/>
    <w:rsid w:val="00E545C7"/>
    <w:rsid w:val="00E55753"/>
    <w:rsid w:val="00E5620D"/>
    <w:rsid w:val="00E574C5"/>
    <w:rsid w:val="00E6116F"/>
    <w:rsid w:val="00E61BC1"/>
    <w:rsid w:val="00E623E1"/>
    <w:rsid w:val="00E6350C"/>
    <w:rsid w:val="00E66290"/>
    <w:rsid w:val="00E71A41"/>
    <w:rsid w:val="00E71CAB"/>
    <w:rsid w:val="00E72091"/>
    <w:rsid w:val="00E73120"/>
    <w:rsid w:val="00E7517C"/>
    <w:rsid w:val="00E75659"/>
    <w:rsid w:val="00E76ED1"/>
    <w:rsid w:val="00E82389"/>
    <w:rsid w:val="00E823A4"/>
    <w:rsid w:val="00E824AF"/>
    <w:rsid w:val="00E84F78"/>
    <w:rsid w:val="00E91D48"/>
    <w:rsid w:val="00E92909"/>
    <w:rsid w:val="00E9402C"/>
    <w:rsid w:val="00E94245"/>
    <w:rsid w:val="00E94272"/>
    <w:rsid w:val="00E94769"/>
    <w:rsid w:val="00E96F7D"/>
    <w:rsid w:val="00E9707A"/>
    <w:rsid w:val="00E979FD"/>
    <w:rsid w:val="00EA1BD2"/>
    <w:rsid w:val="00EA1F0D"/>
    <w:rsid w:val="00EA42B6"/>
    <w:rsid w:val="00EA692C"/>
    <w:rsid w:val="00EA7F9C"/>
    <w:rsid w:val="00EB277C"/>
    <w:rsid w:val="00EB2B84"/>
    <w:rsid w:val="00EB2E84"/>
    <w:rsid w:val="00EB48B5"/>
    <w:rsid w:val="00EB7777"/>
    <w:rsid w:val="00EC310E"/>
    <w:rsid w:val="00EC3880"/>
    <w:rsid w:val="00EC3B1D"/>
    <w:rsid w:val="00EC3DAA"/>
    <w:rsid w:val="00EC3F86"/>
    <w:rsid w:val="00EC4995"/>
    <w:rsid w:val="00EC615B"/>
    <w:rsid w:val="00EC725C"/>
    <w:rsid w:val="00ED2EBB"/>
    <w:rsid w:val="00ED2FF1"/>
    <w:rsid w:val="00ED6955"/>
    <w:rsid w:val="00ED7DDA"/>
    <w:rsid w:val="00EE2C1C"/>
    <w:rsid w:val="00EE5406"/>
    <w:rsid w:val="00EF0B7E"/>
    <w:rsid w:val="00EF1CBF"/>
    <w:rsid w:val="00EF1FEF"/>
    <w:rsid w:val="00EF24FE"/>
    <w:rsid w:val="00EF3137"/>
    <w:rsid w:val="00F0048C"/>
    <w:rsid w:val="00F00D0A"/>
    <w:rsid w:val="00F03FEB"/>
    <w:rsid w:val="00F102ED"/>
    <w:rsid w:val="00F10C12"/>
    <w:rsid w:val="00F10D36"/>
    <w:rsid w:val="00F12600"/>
    <w:rsid w:val="00F12ABC"/>
    <w:rsid w:val="00F16008"/>
    <w:rsid w:val="00F17693"/>
    <w:rsid w:val="00F21B79"/>
    <w:rsid w:val="00F24C03"/>
    <w:rsid w:val="00F30437"/>
    <w:rsid w:val="00F3083E"/>
    <w:rsid w:val="00F310EA"/>
    <w:rsid w:val="00F31966"/>
    <w:rsid w:val="00F31CA9"/>
    <w:rsid w:val="00F33ABF"/>
    <w:rsid w:val="00F34799"/>
    <w:rsid w:val="00F35522"/>
    <w:rsid w:val="00F40D96"/>
    <w:rsid w:val="00F4287D"/>
    <w:rsid w:val="00F4391A"/>
    <w:rsid w:val="00F46890"/>
    <w:rsid w:val="00F46DA1"/>
    <w:rsid w:val="00F47583"/>
    <w:rsid w:val="00F50B9B"/>
    <w:rsid w:val="00F52550"/>
    <w:rsid w:val="00F52884"/>
    <w:rsid w:val="00F54B0F"/>
    <w:rsid w:val="00F55B47"/>
    <w:rsid w:val="00F574DE"/>
    <w:rsid w:val="00F5791C"/>
    <w:rsid w:val="00F6058E"/>
    <w:rsid w:val="00F62BDF"/>
    <w:rsid w:val="00F62C83"/>
    <w:rsid w:val="00F6590C"/>
    <w:rsid w:val="00F6661E"/>
    <w:rsid w:val="00F676C8"/>
    <w:rsid w:val="00F75E3C"/>
    <w:rsid w:val="00F76944"/>
    <w:rsid w:val="00F831E4"/>
    <w:rsid w:val="00F85BF3"/>
    <w:rsid w:val="00F86309"/>
    <w:rsid w:val="00F9015F"/>
    <w:rsid w:val="00F91C9E"/>
    <w:rsid w:val="00F91CF8"/>
    <w:rsid w:val="00F93860"/>
    <w:rsid w:val="00F93F11"/>
    <w:rsid w:val="00F95461"/>
    <w:rsid w:val="00F976AE"/>
    <w:rsid w:val="00FA1BCE"/>
    <w:rsid w:val="00FA3061"/>
    <w:rsid w:val="00FA476B"/>
    <w:rsid w:val="00FA4C9E"/>
    <w:rsid w:val="00FA6FDD"/>
    <w:rsid w:val="00FB1E5C"/>
    <w:rsid w:val="00FB43F5"/>
    <w:rsid w:val="00FB55CF"/>
    <w:rsid w:val="00FC0AFE"/>
    <w:rsid w:val="00FC1AE4"/>
    <w:rsid w:val="00FC51F8"/>
    <w:rsid w:val="00FC54C0"/>
    <w:rsid w:val="00FC6A22"/>
    <w:rsid w:val="00FD15ED"/>
    <w:rsid w:val="00FD162F"/>
    <w:rsid w:val="00FD64CB"/>
    <w:rsid w:val="00FE02CC"/>
    <w:rsid w:val="00FE2DD4"/>
    <w:rsid w:val="00FE59E4"/>
    <w:rsid w:val="00FE694C"/>
    <w:rsid w:val="00FE6E22"/>
    <w:rsid w:val="00FF02A9"/>
    <w:rsid w:val="00FF133A"/>
    <w:rsid w:val="00FF57F5"/>
    <w:rsid w:val="00FF5FFF"/>
    <w:rsid w:val="00FF724C"/>
    <w:rsid w:val="00FF7D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2AF"/>
    <w:pPr>
      <w:shd w:val="clear" w:color="auto" w:fill="FFFFFF"/>
      <w:jc w:val="both"/>
    </w:pPr>
    <w:rPr>
      <w:rFonts w:ascii="Book Antiqua" w:hAnsi="Book Antiqua"/>
      <w:sz w:val="22"/>
      <w:lang w:eastAsia="en-US"/>
    </w:rPr>
  </w:style>
  <w:style w:type="paragraph" w:styleId="Heading1">
    <w:name w:val="heading 1"/>
    <w:basedOn w:val="Normal"/>
    <w:next w:val="Normal"/>
    <w:qFormat/>
    <w:rsid w:val="00FF57F5"/>
    <w:pPr>
      <w:keepNext/>
      <w:numPr>
        <w:numId w:val="1"/>
      </w:numPr>
      <w:shd w:val="clear" w:color="auto" w:fill="auto"/>
      <w:spacing w:before="240" w:after="60"/>
      <w:jc w:val="center"/>
      <w:outlineLvl w:val="0"/>
    </w:pPr>
    <w:rPr>
      <w:rFonts w:cs="Arial"/>
      <w:b/>
      <w:bCs/>
      <w:kern w:val="32"/>
      <w:sz w:val="32"/>
      <w:szCs w:val="32"/>
      <w:lang w:eastAsia="sl-SI"/>
    </w:rPr>
  </w:style>
  <w:style w:type="paragraph" w:styleId="Heading2">
    <w:name w:val="heading 2"/>
    <w:basedOn w:val="Normal"/>
    <w:next w:val="Normal"/>
    <w:link w:val="Heading2Char"/>
    <w:qFormat/>
    <w:rsid w:val="00FF57F5"/>
    <w:pPr>
      <w:keepNext/>
      <w:numPr>
        <w:ilvl w:val="1"/>
        <w:numId w:val="1"/>
      </w:numPr>
      <w:shd w:val="clear" w:color="auto" w:fill="auto"/>
      <w:spacing w:before="240" w:after="120" w:line="312" w:lineRule="auto"/>
      <w:jc w:val="center"/>
      <w:outlineLvl w:val="1"/>
    </w:pPr>
    <w:rPr>
      <w:b/>
      <w:bCs/>
      <w:iCs/>
      <w:sz w:val="28"/>
      <w:lang w:val="en-GB"/>
    </w:rPr>
  </w:style>
  <w:style w:type="paragraph" w:styleId="Heading3">
    <w:name w:val="heading 3"/>
    <w:basedOn w:val="Heading2"/>
    <w:next w:val="Normal"/>
    <w:link w:val="Heading3Char"/>
    <w:qFormat/>
    <w:rsid w:val="00B17AD6"/>
    <w:pPr>
      <w:numPr>
        <w:ilvl w:val="2"/>
      </w:numPr>
      <w:jc w:val="left"/>
      <w:outlineLvl w:val="2"/>
    </w:pPr>
    <w:rPr>
      <w:szCs w:val="24"/>
      <w:lang w:val="sl-SI"/>
    </w:rPr>
  </w:style>
  <w:style w:type="paragraph" w:styleId="Heading4">
    <w:name w:val="heading 4"/>
    <w:basedOn w:val="Normal"/>
    <w:next w:val="Normal"/>
    <w:link w:val="Heading4Char"/>
    <w:qFormat/>
    <w:rsid w:val="00EF0B7E"/>
    <w:pPr>
      <w:keepNext/>
      <w:numPr>
        <w:ilvl w:val="3"/>
        <w:numId w:val="1"/>
      </w:numPr>
      <w:shd w:val="clear" w:color="auto" w:fill="auto"/>
      <w:tabs>
        <w:tab w:val="left" w:pos="720"/>
      </w:tabs>
      <w:outlineLvl w:val="3"/>
    </w:pPr>
    <w:rPr>
      <w:bCs/>
      <w:szCs w:val="22"/>
      <w:lang w:eastAsia="sl-SI"/>
    </w:rPr>
  </w:style>
  <w:style w:type="paragraph" w:styleId="Heading5">
    <w:name w:val="heading 5"/>
    <w:basedOn w:val="Normal"/>
    <w:next w:val="Normal"/>
    <w:qFormat/>
    <w:rsid w:val="00FF57F5"/>
    <w:pPr>
      <w:numPr>
        <w:ilvl w:val="4"/>
        <w:numId w:val="1"/>
      </w:numPr>
      <w:shd w:val="clear" w:color="auto" w:fill="auto"/>
      <w:spacing w:before="240" w:after="60"/>
      <w:outlineLvl w:val="4"/>
    </w:pPr>
    <w:rPr>
      <w:b/>
      <w:bCs/>
      <w:i/>
      <w:iCs/>
      <w:sz w:val="26"/>
      <w:szCs w:val="26"/>
      <w:lang w:eastAsia="sl-SI"/>
    </w:rPr>
  </w:style>
  <w:style w:type="paragraph" w:styleId="Heading8">
    <w:name w:val="heading 8"/>
    <w:basedOn w:val="Normal"/>
    <w:next w:val="Normal"/>
    <w:qFormat/>
    <w:rsid w:val="00FF57F5"/>
    <w:pPr>
      <w:numPr>
        <w:ilvl w:val="7"/>
        <w:numId w:val="1"/>
      </w:numPr>
      <w:shd w:val="clear" w:color="auto" w:fill="auto"/>
      <w:spacing w:before="240" w:after="60"/>
      <w:outlineLvl w:val="7"/>
    </w:pPr>
    <w:rPr>
      <w:rFonts w:ascii="Times New Roman" w:hAnsi="Times New Roman"/>
      <w:i/>
      <w:iCs/>
      <w:sz w:val="24"/>
      <w:szCs w:val="24"/>
      <w:lang w:eastAsia="sl-SI"/>
    </w:rPr>
  </w:style>
  <w:style w:type="paragraph" w:styleId="Heading9">
    <w:name w:val="heading 9"/>
    <w:basedOn w:val="Normal"/>
    <w:next w:val="Normal"/>
    <w:qFormat/>
    <w:rsid w:val="00FF57F5"/>
    <w:pPr>
      <w:numPr>
        <w:ilvl w:val="8"/>
        <w:numId w:val="1"/>
      </w:numPr>
      <w:shd w:val="clear" w:color="auto" w:fill="auto"/>
      <w:outlineLvl w:val="8"/>
    </w:pPr>
    <w:rPr>
      <w:rFonts w:cs="Arial"/>
      <w:szCs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57F5"/>
    <w:pPr>
      <w:jc w:val="center"/>
    </w:pPr>
    <w:rPr>
      <w:b/>
      <w:bCs/>
      <w:sz w:val="32"/>
    </w:rPr>
  </w:style>
  <w:style w:type="character" w:styleId="Hyperlink">
    <w:name w:val="Hyperlink"/>
    <w:rsid w:val="00FF57F5"/>
    <w:rPr>
      <w:color w:val="0000FF"/>
      <w:u w:val="single"/>
    </w:rPr>
  </w:style>
  <w:style w:type="character" w:styleId="FollowedHyperlink">
    <w:name w:val="FollowedHyperlink"/>
    <w:rsid w:val="00FF57F5"/>
    <w:rPr>
      <w:color w:val="800080"/>
      <w:u w:val="single"/>
    </w:rPr>
  </w:style>
  <w:style w:type="paragraph" w:styleId="BalloonText">
    <w:name w:val="Balloon Text"/>
    <w:basedOn w:val="Normal"/>
    <w:semiHidden/>
    <w:rsid w:val="00FF57F5"/>
    <w:rPr>
      <w:rFonts w:ascii="Tahoma" w:hAnsi="Tahoma" w:cs="Tahoma"/>
      <w:sz w:val="16"/>
      <w:szCs w:val="16"/>
    </w:rPr>
  </w:style>
  <w:style w:type="paragraph" w:styleId="Header">
    <w:name w:val="header"/>
    <w:basedOn w:val="Normal"/>
    <w:link w:val="HeaderChar"/>
    <w:rsid w:val="00FF57F5"/>
    <w:pPr>
      <w:tabs>
        <w:tab w:val="center" w:pos="4536"/>
        <w:tab w:val="right" w:pos="9072"/>
      </w:tabs>
    </w:pPr>
  </w:style>
  <w:style w:type="paragraph" w:styleId="Footer">
    <w:name w:val="footer"/>
    <w:basedOn w:val="Normal"/>
    <w:link w:val="FooterChar"/>
    <w:uiPriority w:val="99"/>
    <w:rsid w:val="00FF57F5"/>
    <w:pPr>
      <w:tabs>
        <w:tab w:val="center" w:pos="4536"/>
        <w:tab w:val="right" w:pos="9072"/>
      </w:tabs>
    </w:pPr>
  </w:style>
  <w:style w:type="character" w:styleId="PageNumber">
    <w:name w:val="page number"/>
    <w:basedOn w:val="DefaultParagraphFont"/>
    <w:rsid w:val="00FF57F5"/>
  </w:style>
  <w:style w:type="table" w:styleId="TableGrid">
    <w:name w:val="Table Grid"/>
    <w:basedOn w:val="TableNormal"/>
    <w:rsid w:val="00FF57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F57F5"/>
    <w:pPr>
      <w:shd w:val="clear" w:color="auto" w:fill="000080"/>
    </w:pPr>
    <w:rPr>
      <w:rFonts w:ascii="Tahoma" w:hAnsi="Tahoma" w:cs="Tahoma"/>
    </w:rPr>
  </w:style>
  <w:style w:type="character" w:styleId="CommentReference">
    <w:name w:val="annotation reference"/>
    <w:semiHidden/>
    <w:rsid w:val="00FF57F5"/>
    <w:rPr>
      <w:sz w:val="16"/>
      <w:szCs w:val="16"/>
    </w:rPr>
  </w:style>
  <w:style w:type="paragraph" w:styleId="CommentText">
    <w:name w:val="annotation text"/>
    <w:basedOn w:val="Normal"/>
    <w:semiHidden/>
    <w:rsid w:val="00FF57F5"/>
    <w:rPr>
      <w:sz w:val="20"/>
    </w:rPr>
  </w:style>
  <w:style w:type="paragraph" w:styleId="CommentSubject">
    <w:name w:val="annotation subject"/>
    <w:basedOn w:val="CommentText"/>
    <w:next w:val="CommentText"/>
    <w:semiHidden/>
    <w:rsid w:val="00FF57F5"/>
    <w:rPr>
      <w:b/>
      <w:bCs/>
    </w:rPr>
  </w:style>
  <w:style w:type="character" w:customStyle="1" w:styleId="Heading4Char">
    <w:name w:val="Heading 4 Char"/>
    <w:link w:val="Heading4"/>
    <w:rsid w:val="00EF0B7E"/>
    <w:rPr>
      <w:rFonts w:ascii="Book Antiqua" w:hAnsi="Book Antiqua"/>
      <w:bCs/>
      <w:sz w:val="22"/>
      <w:szCs w:val="22"/>
    </w:rPr>
  </w:style>
  <w:style w:type="character" w:customStyle="1" w:styleId="Heading2Char">
    <w:name w:val="Heading 2 Char"/>
    <w:link w:val="Heading2"/>
    <w:rsid w:val="00B17AD6"/>
    <w:rPr>
      <w:rFonts w:ascii="Book Antiqua" w:hAnsi="Book Antiqua"/>
      <w:b/>
      <w:bCs/>
      <w:iCs/>
      <w:sz w:val="28"/>
      <w:lang w:val="en-GB" w:eastAsia="en-US"/>
    </w:rPr>
  </w:style>
  <w:style w:type="character" w:customStyle="1" w:styleId="Heading3Char">
    <w:name w:val="Heading 3 Char"/>
    <w:link w:val="Heading3"/>
    <w:rsid w:val="00B17AD6"/>
    <w:rPr>
      <w:rFonts w:ascii="Book Antiqua" w:hAnsi="Book Antiqua"/>
      <w:b/>
      <w:bCs/>
      <w:iCs/>
      <w:sz w:val="28"/>
      <w:szCs w:val="24"/>
      <w:lang w:eastAsia="en-US"/>
    </w:rPr>
  </w:style>
  <w:style w:type="paragraph" w:styleId="Revision">
    <w:name w:val="Revision"/>
    <w:hidden/>
    <w:uiPriority w:val="99"/>
    <w:semiHidden/>
    <w:rsid w:val="00512C9B"/>
    <w:rPr>
      <w:rFonts w:ascii="Book Antiqua" w:hAnsi="Book Antiqua"/>
      <w:sz w:val="22"/>
      <w:lang w:eastAsia="en-US"/>
    </w:rPr>
  </w:style>
  <w:style w:type="paragraph" w:styleId="BodyText">
    <w:name w:val="Body Text"/>
    <w:basedOn w:val="Normal"/>
    <w:link w:val="BodyTextChar"/>
    <w:rsid w:val="00B910B6"/>
    <w:pPr>
      <w:widowControl w:val="0"/>
      <w:shd w:val="clear" w:color="auto" w:fill="auto"/>
      <w:tabs>
        <w:tab w:val="left" w:pos="90"/>
        <w:tab w:val="left" w:pos="242"/>
        <w:tab w:val="left" w:pos="962"/>
        <w:tab w:val="left" w:pos="1682"/>
        <w:tab w:val="left" w:pos="2402"/>
        <w:tab w:val="left" w:pos="3122"/>
        <w:tab w:val="left" w:pos="3842"/>
        <w:tab w:val="left" w:pos="4562"/>
        <w:tab w:val="left" w:pos="5282"/>
        <w:tab w:val="left" w:pos="6002"/>
        <w:tab w:val="left" w:pos="6722"/>
        <w:tab w:val="left" w:pos="7442"/>
      </w:tabs>
      <w:autoSpaceDE w:val="0"/>
      <w:autoSpaceDN w:val="0"/>
      <w:adjustRightInd w:val="0"/>
      <w:spacing w:line="300" w:lineRule="exact"/>
    </w:pPr>
    <w:rPr>
      <w:rFonts w:ascii="Times New Roman" w:hAnsi="Times New Roman"/>
      <w:sz w:val="24"/>
      <w:szCs w:val="24"/>
    </w:rPr>
  </w:style>
  <w:style w:type="character" w:customStyle="1" w:styleId="BodyTextChar">
    <w:name w:val="Body Text Char"/>
    <w:link w:val="BodyText"/>
    <w:rsid w:val="00B910B6"/>
    <w:rPr>
      <w:sz w:val="24"/>
      <w:szCs w:val="24"/>
      <w:lang w:eastAsia="en-US"/>
    </w:rPr>
  </w:style>
  <w:style w:type="paragraph" w:styleId="BodyText2">
    <w:name w:val="Body Text 2"/>
    <w:basedOn w:val="Normal"/>
    <w:link w:val="BodyText2Char"/>
    <w:rsid w:val="00B910B6"/>
    <w:pPr>
      <w:widowControl w:val="0"/>
      <w:shd w:val="clear" w:color="auto" w:fill="auto"/>
      <w:tabs>
        <w:tab w:val="left" w:pos="0"/>
        <w:tab w:val="left" w:pos="152"/>
        <w:tab w:val="left" w:pos="872"/>
        <w:tab w:val="left" w:pos="1592"/>
        <w:tab w:val="left" w:pos="2312"/>
        <w:tab w:val="left" w:pos="3032"/>
        <w:tab w:val="left" w:pos="3752"/>
        <w:tab w:val="left" w:pos="4472"/>
        <w:tab w:val="left" w:pos="5192"/>
        <w:tab w:val="left" w:pos="5912"/>
        <w:tab w:val="left" w:pos="6632"/>
        <w:tab w:val="left" w:pos="7352"/>
      </w:tabs>
      <w:autoSpaceDE w:val="0"/>
      <w:autoSpaceDN w:val="0"/>
      <w:adjustRightInd w:val="0"/>
      <w:spacing w:line="300" w:lineRule="exact"/>
    </w:pPr>
    <w:rPr>
      <w:rFonts w:ascii="Times New Roman" w:eastAsia="@PMingLiU" w:hAnsi="Times New Roman"/>
      <w:i/>
      <w:iCs/>
      <w:color w:val="0000FF"/>
      <w:sz w:val="24"/>
      <w:szCs w:val="24"/>
    </w:rPr>
  </w:style>
  <w:style w:type="character" w:customStyle="1" w:styleId="BodyText2Char">
    <w:name w:val="Body Text 2 Char"/>
    <w:link w:val="BodyText2"/>
    <w:rsid w:val="00B910B6"/>
    <w:rPr>
      <w:rFonts w:eastAsia="@PMingLiU"/>
      <w:i/>
      <w:iCs/>
      <w:color w:val="0000FF"/>
      <w:sz w:val="24"/>
      <w:szCs w:val="24"/>
      <w:lang w:eastAsia="en-US"/>
    </w:rPr>
  </w:style>
  <w:style w:type="paragraph" w:customStyle="1" w:styleId="Vrstapredpisa">
    <w:name w:val="Vrsta predpisa"/>
    <w:basedOn w:val="Normal"/>
    <w:link w:val="VrstapredpisaZnak"/>
    <w:qFormat/>
    <w:rsid w:val="00392CAF"/>
    <w:pPr>
      <w:shd w:val="clear" w:color="auto" w:fill="auto"/>
      <w:suppressAutoHyphens/>
      <w:overflowPunct w:val="0"/>
      <w:autoSpaceDE w:val="0"/>
      <w:autoSpaceDN w:val="0"/>
      <w:adjustRightInd w:val="0"/>
      <w:spacing w:before="480"/>
      <w:jc w:val="center"/>
      <w:textAlignment w:val="baseline"/>
    </w:pPr>
    <w:rPr>
      <w:rFonts w:ascii="Arial" w:hAnsi="Arial" w:cs="Arial"/>
      <w:b/>
      <w:bCs/>
      <w:color w:val="000000"/>
      <w:spacing w:val="40"/>
      <w:szCs w:val="22"/>
      <w:lang w:eastAsia="sl-SI"/>
    </w:rPr>
  </w:style>
  <w:style w:type="paragraph" w:customStyle="1" w:styleId="Naslovpredpisa">
    <w:name w:val="Naslov_predpisa"/>
    <w:basedOn w:val="Normal"/>
    <w:link w:val="NaslovpredpisaZnak"/>
    <w:qFormat/>
    <w:rsid w:val="00392CAF"/>
    <w:pPr>
      <w:shd w:val="clear" w:color="auto" w:fill="auto"/>
      <w:suppressAutoHyphens/>
      <w:overflowPunct w:val="0"/>
      <w:autoSpaceDE w:val="0"/>
      <w:autoSpaceDN w:val="0"/>
      <w:adjustRightInd w:val="0"/>
      <w:jc w:val="center"/>
      <w:textAlignment w:val="baseline"/>
    </w:pPr>
    <w:rPr>
      <w:rFonts w:ascii="Arial" w:hAnsi="Arial" w:cs="Arial"/>
      <w:b/>
      <w:szCs w:val="22"/>
      <w:lang w:eastAsia="sl-SI"/>
    </w:rPr>
  </w:style>
  <w:style w:type="character" w:customStyle="1" w:styleId="VrstapredpisaZnak">
    <w:name w:val="Vrsta predpisa Znak"/>
    <w:link w:val="Vrstapredpisa"/>
    <w:rsid w:val="00392CAF"/>
    <w:rPr>
      <w:rFonts w:ascii="Arial" w:hAnsi="Arial" w:cs="Arial"/>
      <w:b/>
      <w:bCs/>
      <w:color w:val="000000"/>
      <w:spacing w:val="40"/>
      <w:sz w:val="22"/>
      <w:szCs w:val="22"/>
    </w:rPr>
  </w:style>
  <w:style w:type="character" w:customStyle="1" w:styleId="NaslovpredpisaZnak">
    <w:name w:val="Naslov_predpisa Znak"/>
    <w:link w:val="Naslovpredpisa"/>
    <w:rsid w:val="00392CAF"/>
    <w:rPr>
      <w:rFonts w:ascii="Arial" w:hAnsi="Arial" w:cs="Arial"/>
      <w:b/>
      <w:sz w:val="22"/>
      <w:szCs w:val="22"/>
    </w:rPr>
  </w:style>
  <w:style w:type="paragraph" w:styleId="BodyTextIndent">
    <w:name w:val="Body Text Indent"/>
    <w:basedOn w:val="Normal"/>
    <w:link w:val="BodyTextIndentChar"/>
    <w:rsid w:val="000B6FB2"/>
    <w:pPr>
      <w:spacing w:after="120"/>
      <w:ind w:left="283"/>
    </w:pPr>
  </w:style>
  <w:style w:type="character" w:customStyle="1" w:styleId="BodyTextIndentChar">
    <w:name w:val="Body Text Indent Char"/>
    <w:link w:val="BodyTextIndent"/>
    <w:rsid w:val="000B6FB2"/>
    <w:rPr>
      <w:rFonts w:ascii="Book Antiqua" w:hAnsi="Book Antiqua"/>
      <w:sz w:val="22"/>
      <w:shd w:val="clear" w:color="auto" w:fill="FFFFFF"/>
      <w:lang w:eastAsia="en-US"/>
    </w:rPr>
  </w:style>
  <w:style w:type="paragraph" w:styleId="BodyTextIndent3">
    <w:name w:val="Body Text Indent 3"/>
    <w:basedOn w:val="Normal"/>
    <w:link w:val="BodyTextIndent3Char"/>
    <w:rsid w:val="000B6FB2"/>
    <w:pPr>
      <w:spacing w:after="120"/>
      <w:ind w:left="283"/>
    </w:pPr>
    <w:rPr>
      <w:sz w:val="16"/>
      <w:szCs w:val="16"/>
    </w:rPr>
  </w:style>
  <w:style w:type="character" w:customStyle="1" w:styleId="BodyTextIndent3Char">
    <w:name w:val="Body Text Indent 3 Char"/>
    <w:link w:val="BodyTextIndent3"/>
    <w:rsid w:val="000B6FB2"/>
    <w:rPr>
      <w:rFonts w:ascii="Book Antiqua" w:hAnsi="Book Antiqua"/>
      <w:sz w:val="16"/>
      <w:szCs w:val="16"/>
      <w:shd w:val="clear" w:color="auto" w:fill="FFFFFF"/>
      <w:lang w:eastAsia="en-US"/>
    </w:rPr>
  </w:style>
  <w:style w:type="paragraph" w:styleId="NormalWeb">
    <w:name w:val="Normal (Web)"/>
    <w:basedOn w:val="Normal"/>
    <w:rsid w:val="00923656"/>
    <w:rPr>
      <w:rFonts w:ascii="Times New Roman" w:hAnsi="Times New Roman"/>
      <w:sz w:val="24"/>
      <w:szCs w:val="24"/>
    </w:rPr>
  </w:style>
  <w:style w:type="paragraph" w:styleId="FootnoteText">
    <w:name w:val="footnote text"/>
    <w:basedOn w:val="Normal"/>
    <w:link w:val="FootnoteTextChar"/>
    <w:rsid w:val="00AC0324"/>
    <w:pPr>
      <w:shd w:val="clear" w:color="auto" w:fill="auto"/>
      <w:spacing w:line="260" w:lineRule="atLeast"/>
      <w:jc w:val="left"/>
    </w:pPr>
    <w:rPr>
      <w:rFonts w:ascii="Arial" w:hAnsi="Arial"/>
      <w:sz w:val="20"/>
      <w:lang w:val="en-US"/>
    </w:rPr>
  </w:style>
  <w:style w:type="character" w:customStyle="1" w:styleId="FootnoteTextChar">
    <w:name w:val="Footnote Text Char"/>
    <w:link w:val="FootnoteText"/>
    <w:rsid w:val="00AC0324"/>
    <w:rPr>
      <w:rFonts w:ascii="Arial" w:hAnsi="Arial"/>
      <w:lang w:val="en-US" w:eastAsia="en-US"/>
    </w:rPr>
  </w:style>
  <w:style w:type="character" w:styleId="FootnoteReference">
    <w:name w:val="footnote reference"/>
    <w:rsid w:val="00AC0324"/>
    <w:rPr>
      <w:vertAlign w:val="superscript"/>
    </w:rPr>
  </w:style>
  <w:style w:type="paragraph" w:customStyle="1" w:styleId="CM1">
    <w:name w:val="CM1"/>
    <w:basedOn w:val="Normal"/>
    <w:next w:val="Normal"/>
    <w:uiPriority w:val="99"/>
    <w:rsid w:val="00A0063C"/>
    <w:pPr>
      <w:shd w:val="clear" w:color="auto" w:fill="auto"/>
      <w:autoSpaceDE w:val="0"/>
      <w:autoSpaceDN w:val="0"/>
      <w:adjustRightInd w:val="0"/>
      <w:jc w:val="left"/>
    </w:pPr>
    <w:rPr>
      <w:rFonts w:ascii="Times New Roman" w:hAnsi="Times New Roman"/>
      <w:sz w:val="24"/>
      <w:szCs w:val="24"/>
      <w:lang w:eastAsia="sl-SI"/>
    </w:rPr>
  </w:style>
  <w:style w:type="paragraph" w:customStyle="1" w:styleId="CM3">
    <w:name w:val="CM3"/>
    <w:basedOn w:val="Normal"/>
    <w:next w:val="Normal"/>
    <w:uiPriority w:val="99"/>
    <w:rsid w:val="00A0063C"/>
    <w:pPr>
      <w:shd w:val="clear" w:color="auto" w:fill="auto"/>
      <w:autoSpaceDE w:val="0"/>
      <w:autoSpaceDN w:val="0"/>
      <w:adjustRightInd w:val="0"/>
      <w:jc w:val="left"/>
    </w:pPr>
    <w:rPr>
      <w:rFonts w:ascii="Times New Roman" w:hAnsi="Times New Roman"/>
      <w:sz w:val="24"/>
      <w:szCs w:val="24"/>
      <w:lang w:eastAsia="sl-SI"/>
    </w:rPr>
  </w:style>
  <w:style w:type="paragraph" w:styleId="ListParagraph">
    <w:name w:val="List Paragraph"/>
    <w:basedOn w:val="Normal"/>
    <w:uiPriority w:val="34"/>
    <w:qFormat/>
    <w:rsid w:val="00162FAA"/>
    <w:pPr>
      <w:shd w:val="clear" w:color="auto" w:fill="auto"/>
      <w:spacing w:after="200" w:line="276" w:lineRule="auto"/>
      <w:ind w:left="720"/>
      <w:contextualSpacing/>
      <w:jc w:val="left"/>
    </w:pPr>
    <w:rPr>
      <w:rFonts w:ascii="Arial" w:eastAsia="Calibri" w:hAnsi="Arial"/>
      <w:szCs w:val="22"/>
    </w:rPr>
  </w:style>
  <w:style w:type="character" w:customStyle="1" w:styleId="HeaderChar">
    <w:name w:val="Header Char"/>
    <w:link w:val="Header"/>
    <w:uiPriority w:val="99"/>
    <w:rsid w:val="002C0CE4"/>
    <w:rPr>
      <w:rFonts w:ascii="Book Antiqua" w:hAnsi="Book Antiqua"/>
      <w:sz w:val="22"/>
      <w:shd w:val="clear" w:color="auto" w:fill="FFFFFF"/>
      <w:lang w:eastAsia="en-US"/>
    </w:rPr>
  </w:style>
  <w:style w:type="character" w:customStyle="1" w:styleId="FooterChar">
    <w:name w:val="Footer Char"/>
    <w:link w:val="Footer"/>
    <w:uiPriority w:val="99"/>
    <w:rsid w:val="00234A1C"/>
    <w:rPr>
      <w:rFonts w:ascii="Book Antiqua" w:hAnsi="Book Antiqua"/>
      <w:sz w:val="22"/>
      <w:shd w:val="clear" w:color="auto" w:fill="FFFFFF"/>
      <w:lang w:eastAsia="en-US"/>
    </w:rPr>
  </w:style>
  <w:style w:type="character" w:styleId="PlaceholderText">
    <w:name w:val="Placeholder Text"/>
    <w:basedOn w:val="DefaultParagraphFont"/>
    <w:uiPriority w:val="99"/>
    <w:semiHidden/>
    <w:rsid w:val="008E36A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2AF"/>
    <w:pPr>
      <w:shd w:val="clear" w:color="auto" w:fill="FFFFFF"/>
      <w:jc w:val="both"/>
    </w:pPr>
    <w:rPr>
      <w:rFonts w:ascii="Book Antiqua" w:hAnsi="Book Antiqua"/>
      <w:sz w:val="22"/>
      <w:lang w:eastAsia="en-US"/>
    </w:rPr>
  </w:style>
  <w:style w:type="paragraph" w:styleId="Heading1">
    <w:name w:val="heading 1"/>
    <w:basedOn w:val="Normal"/>
    <w:next w:val="Normal"/>
    <w:qFormat/>
    <w:rsid w:val="00FF57F5"/>
    <w:pPr>
      <w:keepNext/>
      <w:numPr>
        <w:numId w:val="1"/>
      </w:numPr>
      <w:shd w:val="clear" w:color="auto" w:fill="auto"/>
      <w:spacing w:before="240" w:after="60"/>
      <w:jc w:val="center"/>
      <w:outlineLvl w:val="0"/>
    </w:pPr>
    <w:rPr>
      <w:rFonts w:cs="Arial"/>
      <w:b/>
      <w:bCs/>
      <w:kern w:val="32"/>
      <w:sz w:val="32"/>
      <w:szCs w:val="32"/>
      <w:lang w:eastAsia="sl-SI"/>
    </w:rPr>
  </w:style>
  <w:style w:type="paragraph" w:styleId="Heading2">
    <w:name w:val="heading 2"/>
    <w:basedOn w:val="Normal"/>
    <w:next w:val="Normal"/>
    <w:link w:val="Heading2Char"/>
    <w:qFormat/>
    <w:rsid w:val="00FF57F5"/>
    <w:pPr>
      <w:keepNext/>
      <w:numPr>
        <w:ilvl w:val="1"/>
        <w:numId w:val="1"/>
      </w:numPr>
      <w:shd w:val="clear" w:color="auto" w:fill="auto"/>
      <w:spacing w:before="240" w:after="120" w:line="312" w:lineRule="auto"/>
      <w:jc w:val="center"/>
      <w:outlineLvl w:val="1"/>
    </w:pPr>
    <w:rPr>
      <w:b/>
      <w:bCs/>
      <w:iCs/>
      <w:sz w:val="28"/>
      <w:lang w:val="en-GB"/>
    </w:rPr>
  </w:style>
  <w:style w:type="paragraph" w:styleId="Heading3">
    <w:name w:val="heading 3"/>
    <w:basedOn w:val="Heading2"/>
    <w:next w:val="Normal"/>
    <w:link w:val="Heading3Char"/>
    <w:qFormat/>
    <w:rsid w:val="00B17AD6"/>
    <w:pPr>
      <w:numPr>
        <w:ilvl w:val="2"/>
      </w:numPr>
      <w:jc w:val="left"/>
      <w:outlineLvl w:val="2"/>
    </w:pPr>
    <w:rPr>
      <w:szCs w:val="24"/>
      <w:lang w:val="sl-SI"/>
    </w:rPr>
  </w:style>
  <w:style w:type="paragraph" w:styleId="Heading4">
    <w:name w:val="heading 4"/>
    <w:basedOn w:val="Normal"/>
    <w:next w:val="Normal"/>
    <w:link w:val="Heading4Char"/>
    <w:qFormat/>
    <w:rsid w:val="00EF0B7E"/>
    <w:pPr>
      <w:keepNext/>
      <w:numPr>
        <w:ilvl w:val="3"/>
        <w:numId w:val="1"/>
      </w:numPr>
      <w:shd w:val="clear" w:color="auto" w:fill="auto"/>
      <w:tabs>
        <w:tab w:val="left" w:pos="720"/>
      </w:tabs>
      <w:outlineLvl w:val="3"/>
    </w:pPr>
    <w:rPr>
      <w:bCs/>
      <w:szCs w:val="22"/>
      <w:lang w:eastAsia="sl-SI"/>
    </w:rPr>
  </w:style>
  <w:style w:type="paragraph" w:styleId="Heading5">
    <w:name w:val="heading 5"/>
    <w:basedOn w:val="Normal"/>
    <w:next w:val="Normal"/>
    <w:qFormat/>
    <w:rsid w:val="00FF57F5"/>
    <w:pPr>
      <w:numPr>
        <w:ilvl w:val="4"/>
        <w:numId w:val="1"/>
      </w:numPr>
      <w:shd w:val="clear" w:color="auto" w:fill="auto"/>
      <w:spacing w:before="240" w:after="60"/>
      <w:outlineLvl w:val="4"/>
    </w:pPr>
    <w:rPr>
      <w:b/>
      <w:bCs/>
      <w:i/>
      <w:iCs/>
      <w:sz w:val="26"/>
      <w:szCs w:val="26"/>
      <w:lang w:eastAsia="sl-SI"/>
    </w:rPr>
  </w:style>
  <w:style w:type="paragraph" w:styleId="Heading8">
    <w:name w:val="heading 8"/>
    <w:basedOn w:val="Normal"/>
    <w:next w:val="Normal"/>
    <w:qFormat/>
    <w:rsid w:val="00FF57F5"/>
    <w:pPr>
      <w:numPr>
        <w:ilvl w:val="7"/>
        <w:numId w:val="1"/>
      </w:numPr>
      <w:shd w:val="clear" w:color="auto" w:fill="auto"/>
      <w:spacing w:before="240" w:after="60"/>
      <w:outlineLvl w:val="7"/>
    </w:pPr>
    <w:rPr>
      <w:rFonts w:ascii="Times New Roman" w:hAnsi="Times New Roman"/>
      <w:i/>
      <w:iCs/>
      <w:sz w:val="24"/>
      <w:szCs w:val="24"/>
      <w:lang w:eastAsia="sl-SI"/>
    </w:rPr>
  </w:style>
  <w:style w:type="paragraph" w:styleId="Heading9">
    <w:name w:val="heading 9"/>
    <w:basedOn w:val="Normal"/>
    <w:next w:val="Normal"/>
    <w:qFormat/>
    <w:rsid w:val="00FF57F5"/>
    <w:pPr>
      <w:numPr>
        <w:ilvl w:val="8"/>
        <w:numId w:val="1"/>
      </w:numPr>
      <w:shd w:val="clear" w:color="auto" w:fill="auto"/>
      <w:outlineLvl w:val="8"/>
    </w:pPr>
    <w:rPr>
      <w:rFonts w:cs="Arial"/>
      <w:szCs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57F5"/>
    <w:pPr>
      <w:jc w:val="center"/>
    </w:pPr>
    <w:rPr>
      <w:b/>
      <w:bCs/>
      <w:sz w:val="32"/>
    </w:rPr>
  </w:style>
  <w:style w:type="character" w:styleId="Hyperlink">
    <w:name w:val="Hyperlink"/>
    <w:rsid w:val="00FF57F5"/>
    <w:rPr>
      <w:color w:val="0000FF"/>
      <w:u w:val="single"/>
    </w:rPr>
  </w:style>
  <w:style w:type="character" w:styleId="FollowedHyperlink">
    <w:name w:val="FollowedHyperlink"/>
    <w:rsid w:val="00FF57F5"/>
    <w:rPr>
      <w:color w:val="800080"/>
      <w:u w:val="single"/>
    </w:rPr>
  </w:style>
  <w:style w:type="paragraph" w:styleId="BalloonText">
    <w:name w:val="Balloon Text"/>
    <w:basedOn w:val="Normal"/>
    <w:semiHidden/>
    <w:rsid w:val="00FF57F5"/>
    <w:rPr>
      <w:rFonts w:ascii="Tahoma" w:hAnsi="Tahoma" w:cs="Tahoma"/>
      <w:sz w:val="16"/>
      <w:szCs w:val="16"/>
    </w:rPr>
  </w:style>
  <w:style w:type="paragraph" w:styleId="Header">
    <w:name w:val="header"/>
    <w:basedOn w:val="Normal"/>
    <w:link w:val="HeaderChar"/>
    <w:rsid w:val="00FF57F5"/>
    <w:pPr>
      <w:tabs>
        <w:tab w:val="center" w:pos="4536"/>
        <w:tab w:val="right" w:pos="9072"/>
      </w:tabs>
    </w:pPr>
  </w:style>
  <w:style w:type="paragraph" w:styleId="Footer">
    <w:name w:val="footer"/>
    <w:basedOn w:val="Normal"/>
    <w:link w:val="FooterChar"/>
    <w:uiPriority w:val="99"/>
    <w:rsid w:val="00FF57F5"/>
    <w:pPr>
      <w:tabs>
        <w:tab w:val="center" w:pos="4536"/>
        <w:tab w:val="right" w:pos="9072"/>
      </w:tabs>
    </w:pPr>
  </w:style>
  <w:style w:type="character" w:styleId="PageNumber">
    <w:name w:val="page number"/>
    <w:basedOn w:val="DefaultParagraphFont"/>
    <w:rsid w:val="00FF57F5"/>
  </w:style>
  <w:style w:type="table" w:styleId="TableGrid">
    <w:name w:val="Table Grid"/>
    <w:basedOn w:val="TableNormal"/>
    <w:rsid w:val="00FF57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F57F5"/>
    <w:pPr>
      <w:shd w:val="clear" w:color="auto" w:fill="000080"/>
    </w:pPr>
    <w:rPr>
      <w:rFonts w:ascii="Tahoma" w:hAnsi="Tahoma" w:cs="Tahoma"/>
    </w:rPr>
  </w:style>
  <w:style w:type="character" w:styleId="CommentReference">
    <w:name w:val="annotation reference"/>
    <w:semiHidden/>
    <w:rsid w:val="00FF57F5"/>
    <w:rPr>
      <w:sz w:val="16"/>
      <w:szCs w:val="16"/>
    </w:rPr>
  </w:style>
  <w:style w:type="paragraph" w:styleId="CommentText">
    <w:name w:val="annotation text"/>
    <w:basedOn w:val="Normal"/>
    <w:semiHidden/>
    <w:rsid w:val="00FF57F5"/>
    <w:rPr>
      <w:sz w:val="20"/>
    </w:rPr>
  </w:style>
  <w:style w:type="paragraph" w:styleId="CommentSubject">
    <w:name w:val="annotation subject"/>
    <w:basedOn w:val="CommentText"/>
    <w:next w:val="CommentText"/>
    <w:semiHidden/>
    <w:rsid w:val="00FF57F5"/>
    <w:rPr>
      <w:b/>
      <w:bCs/>
    </w:rPr>
  </w:style>
  <w:style w:type="character" w:customStyle="1" w:styleId="Heading4Char">
    <w:name w:val="Heading 4 Char"/>
    <w:link w:val="Heading4"/>
    <w:rsid w:val="00EF0B7E"/>
    <w:rPr>
      <w:rFonts w:ascii="Book Antiqua" w:hAnsi="Book Antiqua"/>
      <w:bCs/>
      <w:sz w:val="22"/>
      <w:szCs w:val="22"/>
    </w:rPr>
  </w:style>
  <w:style w:type="character" w:customStyle="1" w:styleId="Heading2Char">
    <w:name w:val="Heading 2 Char"/>
    <w:link w:val="Heading2"/>
    <w:rsid w:val="00B17AD6"/>
    <w:rPr>
      <w:rFonts w:ascii="Book Antiqua" w:hAnsi="Book Antiqua"/>
      <w:b/>
      <w:bCs/>
      <w:iCs/>
      <w:sz w:val="28"/>
      <w:lang w:val="en-GB" w:eastAsia="en-US"/>
    </w:rPr>
  </w:style>
  <w:style w:type="character" w:customStyle="1" w:styleId="Heading3Char">
    <w:name w:val="Heading 3 Char"/>
    <w:link w:val="Heading3"/>
    <w:rsid w:val="00B17AD6"/>
    <w:rPr>
      <w:rFonts w:ascii="Book Antiqua" w:hAnsi="Book Antiqua"/>
      <w:b/>
      <w:bCs/>
      <w:iCs/>
      <w:sz w:val="28"/>
      <w:szCs w:val="24"/>
      <w:lang w:eastAsia="en-US"/>
    </w:rPr>
  </w:style>
  <w:style w:type="paragraph" w:styleId="Revision">
    <w:name w:val="Revision"/>
    <w:hidden/>
    <w:uiPriority w:val="99"/>
    <w:semiHidden/>
    <w:rsid w:val="00512C9B"/>
    <w:rPr>
      <w:rFonts w:ascii="Book Antiqua" w:hAnsi="Book Antiqua"/>
      <w:sz w:val="22"/>
      <w:lang w:eastAsia="en-US"/>
    </w:rPr>
  </w:style>
  <w:style w:type="paragraph" w:styleId="BodyText">
    <w:name w:val="Body Text"/>
    <w:basedOn w:val="Normal"/>
    <w:link w:val="BodyTextChar"/>
    <w:rsid w:val="00B910B6"/>
    <w:pPr>
      <w:widowControl w:val="0"/>
      <w:shd w:val="clear" w:color="auto" w:fill="auto"/>
      <w:tabs>
        <w:tab w:val="left" w:pos="90"/>
        <w:tab w:val="left" w:pos="242"/>
        <w:tab w:val="left" w:pos="962"/>
        <w:tab w:val="left" w:pos="1682"/>
        <w:tab w:val="left" w:pos="2402"/>
        <w:tab w:val="left" w:pos="3122"/>
        <w:tab w:val="left" w:pos="3842"/>
        <w:tab w:val="left" w:pos="4562"/>
        <w:tab w:val="left" w:pos="5282"/>
        <w:tab w:val="left" w:pos="6002"/>
        <w:tab w:val="left" w:pos="6722"/>
        <w:tab w:val="left" w:pos="7442"/>
      </w:tabs>
      <w:autoSpaceDE w:val="0"/>
      <w:autoSpaceDN w:val="0"/>
      <w:adjustRightInd w:val="0"/>
      <w:spacing w:line="300" w:lineRule="exact"/>
    </w:pPr>
    <w:rPr>
      <w:rFonts w:ascii="Times New Roman" w:hAnsi="Times New Roman"/>
      <w:sz w:val="24"/>
      <w:szCs w:val="24"/>
    </w:rPr>
  </w:style>
  <w:style w:type="character" w:customStyle="1" w:styleId="BodyTextChar">
    <w:name w:val="Body Text Char"/>
    <w:link w:val="BodyText"/>
    <w:rsid w:val="00B910B6"/>
    <w:rPr>
      <w:sz w:val="24"/>
      <w:szCs w:val="24"/>
      <w:lang w:eastAsia="en-US"/>
    </w:rPr>
  </w:style>
  <w:style w:type="paragraph" w:styleId="BodyText2">
    <w:name w:val="Body Text 2"/>
    <w:basedOn w:val="Normal"/>
    <w:link w:val="BodyText2Char"/>
    <w:rsid w:val="00B910B6"/>
    <w:pPr>
      <w:widowControl w:val="0"/>
      <w:shd w:val="clear" w:color="auto" w:fill="auto"/>
      <w:tabs>
        <w:tab w:val="left" w:pos="0"/>
        <w:tab w:val="left" w:pos="152"/>
        <w:tab w:val="left" w:pos="872"/>
        <w:tab w:val="left" w:pos="1592"/>
        <w:tab w:val="left" w:pos="2312"/>
        <w:tab w:val="left" w:pos="3032"/>
        <w:tab w:val="left" w:pos="3752"/>
        <w:tab w:val="left" w:pos="4472"/>
        <w:tab w:val="left" w:pos="5192"/>
        <w:tab w:val="left" w:pos="5912"/>
        <w:tab w:val="left" w:pos="6632"/>
        <w:tab w:val="left" w:pos="7352"/>
      </w:tabs>
      <w:autoSpaceDE w:val="0"/>
      <w:autoSpaceDN w:val="0"/>
      <w:adjustRightInd w:val="0"/>
      <w:spacing w:line="300" w:lineRule="exact"/>
    </w:pPr>
    <w:rPr>
      <w:rFonts w:ascii="Times New Roman" w:eastAsia="@PMingLiU" w:hAnsi="Times New Roman"/>
      <w:i/>
      <w:iCs/>
      <w:color w:val="0000FF"/>
      <w:sz w:val="24"/>
      <w:szCs w:val="24"/>
    </w:rPr>
  </w:style>
  <w:style w:type="character" w:customStyle="1" w:styleId="BodyText2Char">
    <w:name w:val="Body Text 2 Char"/>
    <w:link w:val="BodyText2"/>
    <w:rsid w:val="00B910B6"/>
    <w:rPr>
      <w:rFonts w:eastAsia="@PMingLiU"/>
      <w:i/>
      <w:iCs/>
      <w:color w:val="0000FF"/>
      <w:sz w:val="24"/>
      <w:szCs w:val="24"/>
      <w:lang w:eastAsia="en-US"/>
    </w:rPr>
  </w:style>
  <w:style w:type="paragraph" w:customStyle="1" w:styleId="Vrstapredpisa">
    <w:name w:val="Vrsta predpisa"/>
    <w:basedOn w:val="Normal"/>
    <w:link w:val="VrstapredpisaZnak"/>
    <w:qFormat/>
    <w:rsid w:val="00392CAF"/>
    <w:pPr>
      <w:shd w:val="clear" w:color="auto" w:fill="auto"/>
      <w:suppressAutoHyphens/>
      <w:overflowPunct w:val="0"/>
      <w:autoSpaceDE w:val="0"/>
      <w:autoSpaceDN w:val="0"/>
      <w:adjustRightInd w:val="0"/>
      <w:spacing w:before="480"/>
      <w:jc w:val="center"/>
      <w:textAlignment w:val="baseline"/>
    </w:pPr>
    <w:rPr>
      <w:rFonts w:ascii="Arial" w:hAnsi="Arial" w:cs="Arial"/>
      <w:b/>
      <w:bCs/>
      <w:color w:val="000000"/>
      <w:spacing w:val="40"/>
      <w:szCs w:val="22"/>
      <w:lang w:eastAsia="sl-SI"/>
    </w:rPr>
  </w:style>
  <w:style w:type="paragraph" w:customStyle="1" w:styleId="Naslovpredpisa">
    <w:name w:val="Naslov_predpisa"/>
    <w:basedOn w:val="Normal"/>
    <w:link w:val="NaslovpredpisaZnak"/>
    <w:qFormat/>
    <w:rsid w:val="00392CAF"/>
    <w:pPr>
      <w:shd w:val="clear" w:color="auto" w:fill="auto"/>
      <w:suppressAutoHyphens/>
      <w:overflowPunct w:val="0"/>
      <w:autoSpaceDE w:val="0"/>
      <w:autoSpaceDN w:val="0"/>
      <w:adjustRightInd w:val="0"/>
      <w:jc w:val="center"/>
      <w:textAlignment w:val="baseline"/>
    </w:pPr>
    <w:rPr>
      <w:rFonts w:ascii="Arial" w:hAnsi="Arial" w:cs="Arial"/>
      <w:b/>
      <w:szCs w:val="22"/>
      <w:lang w:eastAsia="sl-SI"/>
    </w:rPr>
  </w:style>
  <w:style w:type="character" w:customStyle="1" w:styleId="VrstapredpisaZnak">
    <w:name w:val="Vrsta predpisa Znak"/>
    <w:link w:val="Vrstapredpisa"/>
    <w:rsid w:val="00392CAF"/>
    <w:rPr>
      <w:rFonts w:ascii="Arial" w:hAnsi="Arial" w:cs="Arial"/>
      <w:b/>
      <w:bCs/>
      <w:color w:val="000000"/>
      <w:spacing w:val="40"/>
      <w:sz w:val="22"/>
      <w:szCs w:val="22"/>
    </w:rPr>
  </w:style>
  <w:style w:type="character" w:customStyle="1" w:styleId="NaslovpredpisaZnak">
    <w:name w:val="Naslov_predpisa Znak"/>
    <w:link w:val="Naslovpredpisa"/>
    <w:rsid w:val="00392CAF"/>
    <w:rPr>
      <w:rFonts w:ascii="Arial" w:hAnsi="Arial" w:cs="Arial"/>
      <w:b/>
      <w:sz w:val="22"/>
      <w:szCs w:val="22"/>
    </w:rPr>
  </w:style>
  <w:style w:type="paragraph" w:styleId="BodyTextIndent">
    <w:name w:val="Body Text Indent"/>
    <w:basedOn w:val="Normal"/>
    <w:link w:val="BodyTextIndentChar"/>
    <w:rsid w:val="000B6FB2"/>
    <w:pPr>
      <w:spacing w:after="120"/>
      <w:ind w:left="283"/>
    </w:pPr>
  </w:style>
  <w:style w:type="character" w:customStyle="1" w:styleId="BodyTextIndentChar">
    <w:name w:val="Body Text Indent Char"/>
    <w:link w:val="BodyTextIndent"/>
    <w:rsid w:val="000B6FB2"/>
    <w:rPr>
      <w:rFonts w:ascii="Book Antiqua" w:hAnsi="Book Antiqua"/>
      <w:sz w:val="22"/>
      <w:shd w:val="clear" w:color="auto" w:fill="FFFFFF"/>
      <w:lang w:eastAsia="en-US"/>
    </w:rPr>
  </w:style>
  <w:style w:type="paragraph" w:styleId="BodyTextIndent3">
    <w:name w:val="Body Text Indent 3"/>
    <w:basedOn w:val="Normal"/>
    <w:link w:val="BodyTextIndent3Char"/>
    <w:rsid w:val="000B6FB2"/>
    <w:pPr>
      <w:spacing w:after="120"/>
      <w:ind w:left="283"/>
    </w:pPr>
    <w:rPr>
      <w:sz w:val="16"/>
      <w:szCs w:val="16"/>
    </w:rPr>
  </w:style>
  <w:style w:type="character" w:customStyle="1" w:styleId="BodyTextIndent3Char">
    <w:name w:val="Body Text Indent 3 Char"/>
    <w:link w:val="BodyTextIndent3"/>
    <w:rsid w:val="000B6FB2"/>
    <w:rPr>
      <w:rFonts w:ascii="Book Antiqua" w:hAnsi="Book Antiqua"/>
      <w:sz w:val="16"/>
      <w:szCs w:val="16"/>
      <w:shd w:val="clear" w:color="auto" w:fill="FFFFFF"/>
      <w:lang w:eastAsia="en-US"/>
    </w:rPr>
  </w:style>
  <w:style w:type="paragraph" w:styleId="NormalWeb">
    <w:name w:val="Normal (Web)"/>
    <w:basedOn w:val="Normal"/>
    <w:rsid w:val="00923656"/>
    <w:rPr>
      <w:rFonts w:ascii="Times New Roman" w:hAnsi="Times New Roman"/>
      <w:sz w:val="24"/>
      <w:szCs w:val="24"/>
    </w:rPr>
  </w:style>
  <w:style w:type="paragraph" w:styleId="FootnoteText">
    <w:name w:val="footnote text"/>
    <w:basedOn w:val="Normal"/>
    <w:link w:val="FootnoteTextChar"/>
    <w:rsid w:val="00AC0324"/>
    <w:pPr>
      <w:shd w:val="clear" w:color="auto" w:fill="auto"/>
      <w:spacing w:line="260" w:lineRule="atLeast"/>
      <w:jc w:val="left"/>
    </w:pPr>
    <w:rPr>
      <w:rFonts w:ascii="Arial" w:hAnsi="Arial"/>
      <w:sz w:val="20"/>
      <w:lang w:val="en-US"/>
    </w:rPr>
  </w:style>
  <w:style w:type="character" w:customStyle="1" w:styleId="FootnoteTextChar">
    <w:name w:val="Footnote Text Char"/>
    <w:link w:val="FootnoteText"/>
    <w:rsid w:val="00AC0324"/>
    <w:rPr>
      <w:rFonts w:ascii="Arial" w:hAnsi="Arial"/>
      <w:lang w:val="en-US" w:eastAsia="en-US"/>
    </w:rPr>
  </w:style>
  <w:style w:type="character" w:styleId="FootnoteReference">
    <w:name w:val="footnote reference"/>
    <w:rsid w:val="00AC0324"/>
    <w:rPr>
      <w:vertAlign w:val="superscript"/>
    </w:rPr>
  </w:style>
  <w:style w:type="paragraph" w:customStyle="1" w:styleId="CM1">
    <w:name w:val="CM1"/>
    <w:basedOn w:val="Normal"/>
    <w:next w:val="Normal"/>
    <w:uiPriority w:val="99"/>
    <w:rsid w:val="00A0063C"/>
    <w:pPr>
      <w:shd w:val="clear" w:color="auto" w:fill="auto"/>
      <w:autoSpaceDE w:val="0"/>
      <w:autoSpaceDN w:val="0"/>
      <w:adjustRightInd w:val="0"/>
      <w:jc w:val="left"/>
    </w:pPr>
    <w:rPr>
      <w:rFonts w:ascii="Times New Roman" w:hAnsi="Times New Roman"/>
      <w:sz w:val="24"/>
      <w:szCs w:val="24"/>
      <w:lang w:eastAsia="sl-SI"/>
    </w:rPr>
  </w:style>
  <w:style w:type="paragraph" w:customStyle="1" w:styleId="CM3">
    <w:name w:val="CM3"/>
    <w:basedOn w:val="Normal"/>
    <w:next w:val="Normal"/>
    <w:uiPriority w:val="99"/>
    <w:rsid w:val="00A0063C"/>
    <w:pPr>
      <w:shd w:val="clear" w:color="auto" w:fill="auto"/>
      <w:autoSpaceDE w:val="0"/>
      <w:autoSpaceDN w:val="0"/>
      <w:adjustRightInd w:val="0"/>
      <w:jc w:val="left"/>
    </w:pPr>
    <w:rPr>
      <w:rFonts w:ascii="Times New Roman" w:hAnsi="Times New Roman"/>
      <w:sz w:val="24"/>
      <w:szCs w:val="24"/>
      <w:lang w:eastAsia="sl-SI"/>
    </w:rPr>
  </w:style>
  <w:style w:type="paragraph" w:styleId="ListParagraph">
    <w:name w:val="List Paragraph"/>
    <w:basedOn w:val="Normal"/>
    <w:uiPriority w:val="34"/>
    <w:qFormat/>
    <w:rsid w:val="00162FAA"/>
    <w:pPr>
      <w:shd w:val="clear" w:color="auto" w:fill="auto"/>
      <w:spacing w:after="200" w:line="276" w:lineRule="auto"/>
      <w:ind w:left="720"/>
      <w:contextualSpacing/>
      <w:jc w:val="left"/>
    </w:pPr>
    <w:rPr>
      <w:rFonts w:ascii="Arial" w:eastAsia="Calibri" w:hAnsi="Arial"/>
      <w:szCs w:val="22"/>
    </w:rPr>
  </w:style>
  <w:style w:type="character" w:customStyle="1" w:styleId="HeaderChar">
    <w:name w:val="Header Char"/>
    <w:link w:val="Header"/>
    <w:uiPriority w:val="99"/>
    <w:rsid w:val="002C0CE4"/>
    <w:rPr>
      <w:rFonts w:ascii="Book Antiqua" w:hAnsi="Book Antiqua"/>
      <w:sz w:val="22"/>
      <w:shd w:val="clear" w:color="auto" w:fill="FFFFFF"/>
      <w:lang w:eastAsia="en-US"/>
    </w:rPr>
  </w:style>
  <w:style w:type="character" w:customStyle="1" w:styleId="FooterChar">
    <w:name w:val="Footer Char"/>
    <w:link w:val="Footer"/>
    <w:uiPriority w:val="99"/>
    <w:rsid w:val="00234A1C"/>
    <w:rPr>
      <w:rFonts w:ascii="Book Antiqua" w:hAnsi="Book Antiqua"/>
      <w:sz w:val="22"/>
      <w:shd w:val="clear" w:color="auto" w:fill="FFFFFF"/>
      <w:lang w:eastAsia="en-US"/>
    </w:rPr>
  </w:style>
  <w:style w:type="character" w:styleId="PlaceholderText">
    <w:name w:val="Placeholder Text"/>
    <w:basedOn w:val="DefaultParagraphFont"/>
    <w:uiPriority w:val="99"/>
    <w:semiHidden/>
    <w:rsid w:val="008E36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52086">
      <w:bodyDiv w:val="1"/>
      <w:marLeft w:val="0"/>
      <w:marRight w:val="0"/>
      <w:marTop w:val="0"/>
      <w:marBottom w:val="0"/>
      <w:divBdr>
        <w:top w:val="none" w:sz="0" w:space="0" w:color="auto"/>
        <w:left w:val="none" w:sz="0" w:space="0" w:color="auto"/>
        <w:bottom w:val="none" w:sz="0" w:space="0" w:color="auto"/>
        <w:right w:val="none" w:sz="0" w:space="0" w:color="auto"/>
      </w:divBdr>
    </w:div>
    <w:div w:id="684291149">
      <w:bodyDiv w:val="1"/>
      <w:marLeft w:val="0"/>
      <w:marRight w:val="0"/>
      <w:marTop w:val="0"/>
      <w:marBottom w:val="0"/>
      <w:divBdr>
        <w:top w:val="none" w:sz="0" w:space="0" w:color="auto"/>
        <w:left w:val="none" w:sz="0" w:space="0" w:color="auto"/>
        <w:bottom w:val="none" w:sz="0" w:space="0" w:color="auto"/>
        <w:right w:val="none" w:sz="0" w:space="0" w:color="auto"/>
      </w:divBdr>
    </w:div>
    <w:div w:id="686371348">
      <w:bodyDiv w:val="1"/>
      <w:marLeft w:val="0"/>
      <w:marRight w:val="0"/>
      <w:marTop w:val="0"/>
      <w:marBottom w:val="0"/>
      <w:divBdr>
        <w:top w:val="none" w:sz="0" w:space="0" w:color="auto"/>
        <w:left w:val="none" w:sz="0" w:space="0" w:color="auto"/>
        <w:bottom w:val="none" w:sz="0" w:space="0" w:color="auto"/>
        <w:right w:val="none" w:sz="0" w:space="0" w:color="auto"/>
      </w:divBdr>
    </w:div>
    <w:div w:id="738745371">
      <w:bodyDiv w:val="1"/>
      <w:marLeft w:val="0"/>
      <w:marRight w:val="0"/>
      <w:marTop w:val="0"/>
      <w:marBottom w:val="0"/>
      <w:divBdr>
        <w:top w:val="none" w:sz="0" w:space="0" w:color="auto"/>
        <w:left w:val="none" w:sz="0" w:space="0" w:color="auto"/>
        <w:bottom w:val="none" w:sz="0" w:space="0" w:color="auto"/>
        <w:right w:val="none" w:sz="0" w:space="0" w:color="auto"/>
      </w:divBdr>
    </w:div>
    <w:div w:id="825783933">
      <w:bodyDiv w:val="1"/>
      <w:marLeft w:val="0"/>
      <w:marRight w:val="0"/>
      <w:marTop w:val="0"/>
      <w:marBottom w:val="0"/>
      <w:divBdr>
        <w:top w:val="none" w:sz="0" w:space="0" w:color="auto"/>
        <w:left w:val="none" w:sz="0" w:space="0" w:color="auto"/>
        <w:bottom w:val="none" w:sz="0" w:space="0" w:color="auto"/>
        <w:right w:val="none" w:sz="0" w:space="0" w:color="auto"/>
      </w:divBdr>
    </w:div>
    <w:div w:id="854078624">
      <w:bodyDiv w:val="1"/>
      <w:marLeft w:val="0"/>
      <w:marRight w:val="0"/>
      <w:marTop w:val="0"/>
      <w:marBottom w:val="0"/>
      <w:divBdr>
        <w:top w:val="none" w:sz="0" w:space="0" w:color="auto"/>
        <w:left w:val="none" w:sz="0" w:space="0" w:color="auto"/>
        <w:bottom w:val="none" w:sz="0" w:space="0" w:color="auto"/>
        <w:right w:val="none" w:sz="0" w:space="0" w:color="auto"/>
      </w:divBdr>
    </w:div>
    <w:div w:id="919873184">
      <w:bodyDiv w:val="1"/>
      <w:marLeft w:val="0"/>
      <w:marRight w:val="0"/>
      <w:marTop w:val="0"/>
      <w:marBottom w:val="0"/>
      <w:divBdr>
        <w:top w:val="none" w:sz="0" w:space="0" w:color="auto"/>
        <w:left w:val="none" w:sz="0" w:space="0" w:color="auto"/>
        <w:bottom w:val="none" w:sz="0" w:space="0" w:color="auto"/>
        <w:right w:val="none" w:sz="0" w:space="0" w:color="auto"/>
      </w:divBdr>
    </w:div>
    <w:div w:id="1356997718">
      <w:bodyDiv w:val="1"/>
      <w:marLeft w:val="0"/>
      <w:marRight w:val="0"/>
      <w:marTop w:val="0"/>
      <w:marBottom w:val="0"/>
      <w:divBdr>
        <w:top w:val="none" w:sz="0" w:space="0" w:color="auto"/>
        <w:left w:val="none" w:sz="0" w:space="0" w:color="auto"/>
        <w:bottom w:val="none" w:sz="0" w:space="0" w:color="auto"/>
        <w:right w:val="none" w:sz="0" w:space="0" w:color="auto"/>
      </w:divBdr>
    </w:div>
    <w:div w:id="1809933600">
      <w:bodyDiv w:val="1"/>
      <w:marLeft w:val="0"/>
      <w:marRight w:val="0"/>
      <w:marTop w:val="0"/>
      <w:marBottom w:val="0"/>
      <w:divBdr>
        <w:top w:val="none" w:sz="0" w:space="0" w:color="auto"/>
        <w:left w:val="none" w:sz="0" w:space="0" w:color="auto"/>
        <w:bottom w:val="none" w:sz="0" w:space="0" w:color="auto"/>
        <w:right w:val="none" w:sz="0" w:space="0" w:color="auto"/>
      </w:divBdr>
    </w:div>
    <w:div w:id="1865289386">
      <w:bodyDiv w:val="1"/>
      <w:marLeft w:val="0"/>
      <w:marRight w:val="0"/>
      <w:marTop w:val="0"/>
      <w:marBottom w:val="0"/>
      <w:divBdr>
        <w:top w:val="none" w:sz="0" w:space="0" w:color="auto"/>
        <w:left w:val="none" w:sz="0" w:space="0" w:color="auto"/>
        <w:bottom w:val="none" w:sz="0" w:space="0" w:color="auto"/>
        <w:right w:val="none" w:sz="0" w:space="0" w:color="auto"/>
      </w:divBdr>
    </w:div>
    <w:div w:id="1888031365">
      <w:bodyDiv w:val="1"/>
      <w:marLeft w:val="0"/>
      <w:marRight w:val="0"/>
      <w:marTop w:val="0"/>
      <w:marBottom w:val="0"/>
      <w:divBdr>
        <w:top w:val="none" w:sz="0" w:space="0" w:color="auto"/>
        <w:left w:val="none" w:sz="0" w:space="0" w:color="auto"/>
        <w:bottom w:val="none" w:sz="0" w:space="0" w:color="auto"/>
        <w:right w:val="none" w:sz="0" w:space="0" w:color="auto"/>
      </w:divBdr>
    </w:div>
    <w:div w:id="201228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7782-4998-41B6-8DFD-EE799F19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1162</Words>
  <Characters>6628</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 skladu s 25</vt:lpstr>
      <vt:lpstr>V skladu s 25</vt:lpstr>
    </vt:vector>
  </TitlesOfParts>
  <Company>MFRS</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skladu s 25</dc:title>
  <dc:creator>MF32002</dc:creator>
  <cp:lastModifiedBy>Andrej Jernejsek</cp:lastModifiedBy>
  <cp:revision>6</cp:revision>
  <cp:lastPrinted>2014-10-07T12:06:00Z</cp:lastPrinted>
  <dcterms:created xsi:type="dcterms:W3CDTF">2017-11-21T07:52:00Z</dcterms:created>
  <dcterms:modified xsi:type="dcterms:W3CDTF">2020-08-27T11:23:00Z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