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17D3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sz w:val="28"/>
          <w:szCs w:val="28"/>
          <w:lang w:eastAsia="sl-SI"/>
        </w:rPr>
      </w:pPr>
      <w:r w:rsidRPr="19346BBA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Pr="004B5E45"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  <w:drawing>
          <wp:inline distT="0" distB="0" distL="0" distR="0" wp14:anchorId="4BA6470D" wp14:editId="0F16EFE4">
            <wp:extent cx="2484407" cy="483623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15" cy="48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19346BBA">
        <w:rPr>
          <w:rFonts w:ascii="Arial" w:hAnsi="Arial" w:cs="Arial"/>
          <w:b/>
          <w:bCs/>
          <w:sz w:val="28"/>
          <w:szCs w:val="28"/>
          <w:lang w:eastAsia="sl-SI"/>
        </w:rPr>
        <w:t xml:space="preserve"> </w:t>
      </w:r>
    </w:p>
    <w:p w14:paraId="65D8DF2E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</w:p>
    <w:p w14:paraId="4BF6C645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</w:p>
    <w:p w14:paraId="552127BF" w14:textId="5EDA8A02" w:rsidR="004B5E45" w:rsidRPr="004B5E45" w:rsidRDefault="003B12F0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  <w:t xml:space="preserve">          </w:t>
      </w:r>
    </w:p>
    <w:p w14:paraId="73FEACB1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</w:p>
    <w:p w14:paraId="0C33E822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</w:p>
    <w:p w14:paraId="3E5D0E22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</w:p>
    <w:p w14:paraId="12F40785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</w:p>
    <w:p w14:paraId="36D132A3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</w:p>
    <w:p w14:paraId="12906F55" w14:textId="77777777" w:rsidR="004B5E45" w:rsidRPr="004B5E45" w:rsidRDefault="004B5E45" w:rsidP="004B5E45">
      <w:pPr>
        <w:spacing w:line="360" w:lineRule="auto"/>
        <w:rPr>
          <w:rFonts w:ascii="Arial" w:hAnsi="Arial" w:cs="Arial"/>
          <w:b/>
          <w:bCs/>
          <w:iCs/>
          <w:noProof/>
          <w:sz w:val="28"/>
          <w:szCs w:val="28"/>
          <w:lang w:eastAsia="sl-SI"/>
        </w:rPr>
      </w:pPr>
    </w:p>
    <w:p w14:paraId="306F4D44" w14:textId="77777777" w:rsidR="0055493B" w:rsidRDefault="2B1F1693" w:rsidP="43ED2E9D">
      <w:pPr>
        <w:jc w:val="center"/>
        <w:rPr>
          <w:rFonts w:ascii="Arial" w:hAnsi="Arial" w:cs="Arial"/>
          <w:b/>
          <w:bCs/>
          <w:noProof/>
          <w:sz w:val="36"/>
          <w:szCs w:val="36"/>
          <w:lang w:eastAsia="sl-SI"/>
        </w:rPr>
      </w:pPr>
      <w:r w:rsidRPr="43ED2E9D">
        <w:rPr>
          <w:rFonts w:ascii="Arial" w:hAnsi="Arial" w:cs="Arial"/>
          <w:b/>
          <w:bCs/>
          <w:noProof/>
          <w:sz w:val="36"/>
          <w:szCs w:val="36"/>
          <w:lang w:eastAsia="sl-SI"/>
        </w:rPr>
        <w:t xml:space="preserve">METODOLOGIJA DOLOČITVE </w:t>
      </w:r>
    </w:p>
    <w:p w14:paraId="4A0BDABB" w14:textId="32C9F567" w:rsidR="004B5E45" w:rsidRPr="004B5E45" w:rsidRDefault="2B1F1693" w:rsidP="43ED2E9D">
      <w:pPr>
        <w:jc w:val="center"/>
        <w:rPr>
          <w:rFonts w:ascii="Arial" w:hAnsi="Arial" w:cs="Arial"/>
          <w:b/>
          <w:bCs/>
          <w:noProof/>
          <w:sz w:val="36"/>
          <w:szCs w:val="36"/>
          <w:lang w:eastAsia="sl-SI"/>
        </w:rPr>
      </w:pPr>
      <w:r w:rsidRPr="43ED2E9D">
        <w:rPr>
          <w:rFonts w:ascii="Arial" w:hAnsi="Arial" w:cs="Arial"/>
          <w:b/>
          <w:bCs/>
          <w:noProof/>
          <w:sz w:val="36"/>
          <w:szCs w:val="36"/>
          <w:lang w:eastAsia="sl-SI"/>
        </w:rPr>
        <w:t>MAKSIMALNE IZPOSTAVLJENOSTI</w:t>
      </w:r>
      <w:r w:rsidR="00BA7B29">
        <w:rPr>
          <w:rFonts w:ascii="Arial" w:hAnsi="Arial" w:cs="Arial"/>
          <w:b/>
          <w:bCs/>
          <w:noProof/>
          <w:sz w:val="36"/>
          <w:szCs w:val="36"/>
          <w:lang w:eastAsia="sl-SI"/>
        </w:rPr>
        <w:t xml:space="preserve"> DO NASPROTNE STRANKE</w:t>
      </w:r>
    </w:p>
    <w:p w14:paraId="43D32361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16012C36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4609E3A4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046EE41F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2D322F10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79443C52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49CB08E1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0D207995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31E4F470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37824614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1BC73B7E" w14:textId="77777777" w:rsid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45421C87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144D3306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70AB27B2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711ED28B" w14:textId="496096FF" w:rsidR="004B5E45" w:rsidRDefault="00B54534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  <w:r>
        <w:rPr>
          <w:rFonts w:ascii="Arial" w:hAnsi="Arial" w:cs="Arial"/>
          <w:bCs/>
          <w:iCs/>
          <w:noProof/>
          <w:szCs w:val="22"/>
          <w:lang w:eastAsia="sl-SI"/>
        </w:rPr>
        <w:t>April</w:t>
      </w:r>
      <w:r w:rsidR="00B17A7B">
        <w:rPr>
          <w:rFonts w:ascii="Arial" w:hAnsi="Arial" w:cs="Arial"/>
          <w:bCs/>
          <w:iCs/>
          <w:noProof/>
          <w:szCs w:val="22"/>
          <w:lang w:eastAsia="sl-SI"/>
        </w:rPr>
        <w:t>,</w:t>
      </w:r>
      <w:r w:rsidR="006C21BD">
        <w:rPr>
          <w:rFonts w:ascii="Arial" w:hAnsi="Arial" w:cs="Arial"/>
          <w:bCs/>
          <w:iCs/>
          <w:noProof/>
          <w:szCs w:val="22"/>
          <w:lang w:eastAsia="sl-SI"/>
        </w:rPr>
        <w:t xml:space="preserve"> 202</w:t>
      </w:r>
      <w:r w:rsidR="00B17A7B">
        <w:rPr>
          <w:rFonts w:ascii="Arial" w:hAnsi="Arial" w:cs="Arial"/>
          <w:bCs/>
          <w:iCs/>
          <w:noProof/>
          <w:szCs w:val="22"/>
          <w:lang w:eastAsia="sl-SI"/>
        </w:rPr>
        <w:t>4</w:t>
      </w:r>
    </w:p>
    <w:p w14:paraId="46801A81" w14:textId="77777777" w:rsid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noProof/>
          <w:szCs w:val="22"/>
          <w:lang w:eastAsia="sl-SI"/>
        </w:rPr>
      </w:pPr>
    </w:p>
    <w:p w14:paraId="3B859204" w14:textId="77777777" w:rsidR="004B5E45" w:rsidRPr="004B5E45" w:rsidRDefault="004B5E45" w:rsidP="004B5E45">
      <w:pPr>
        <w:spacing w:line="360" w:lineRule="auto"/>
        <w:jc w:val="center"/>
        <w:rPr>
          <w:rFonts w:ascii="Arial" w:hAnsi="Arial" w:cs="Arial"/>
          <w:bCs/>
          <w:iCs/>
          <w:szCs w:val="22"/>
        </w:rPr>
      </w:pPr>
    </w:p>
    <w:p w14:paraId="0E3F846A" w14:textId="77777777" w:rsidR="004B5E45" w:rsidRDefault="004B5E45">
      <w:pPr>
        <w:shd w:val="clear" w:color="auto" w:fill="auto"/>
        <w:jc w:val="left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" w:hAnsi="Arial" w:cs="Arial"/>
          <w:b/>
          <w:bCs/>
          <w:iCs/>
          <w:sz w:val="28"/>
          <w:szCs w:val="24"/>
        </w:rPr>
        <w:br w:type="page"/>
      </w:r>
    </w:p>
    <w:p w14:paraId="43449760" w14:textId="6BA00C6B" w:rsidR="00162FAA" w:rsidRDefault="009557B6" w:rsidP="009557B6">
      <w:pPr>
        <w:shd w:val="clear" w:color="auto" w:fill="auto"/>
        <w:spacing w:after="200"/>
        <w:contextualSpacing/>
        <w:jc w:val="left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" w:hAnsi="Arial" w:cs="Arial"/>
          <w:b/>
          <w:bCs/>
          <w:iCs/>
          <w:sz w:val="28"/>
          <w:szCs w:val="24"/>
        </w:rPr>
        <w:lastRenderedPageBreak/>
        <w:t>Metodologija določitve maksimalne izpostavljenosti</w:t>
      </w:r>
      <w:r w:rsidR="00BA7B29">
        <w:rPr>
          <w:rFonts w:ascii="Arial" w:hAnsi="Arial" w:cs="Arial"/>
          <w:b/>
          <w:bCs/>
          <w:iCs/>
          <w:sz w:val="28"/>
          <w:szCs w:val="24"/>
        </w:rPr>
        <w:t xml:space="preserve"> do nasprotne stranke</w:t>
      </w:r>
    </w:p>
    <w:p w14:paraId="50486CDD" w14:textId="57616BBE" w:rsidR="009557B6" w:rsidRDefault="009557B6" w:rsidP="009557B6">
      <w:pPr>
        <w:shd w:val="clear" w:color="auto" w:fill="auto"/>
        <w:spacing w:after="200"/>
        <w:contextualSpacing/>
        <w:jc w:val="left"/>
        <w:rPr>
          <w:rFonts w:ascii="Arial" w:hAnsi="Arial" w:cs="Arial"/>
          <w:b/>
          <w:bCs/>
          <w:iCs/>
          <w:sz w:val="28"/>
          <w:szCs w:val="24"/>
        </w:rPr>
      </w:pPr>
    </w:p>
    <w:p w14:paraId="39700954" w14:textId="77777777" w:rsidR="007C2283" w:rsidRPr="008220CC" w:rsidRDefault="007C2283" w:rsidP="00FC1AE4">
      <w:pPr>
        <w:numPr>
          <w:ilvl w:val="0"/>
          <w:numId w:val="58"/>
        </w:numPr>
        <w:shd w:val="clear" w:color="auto" w:fill="auto"/>
        <w:tabs>
          <w:tab w:val="left" w:pos="284"/>
        </w:tabs>
        <w:spacing w:line="260" w:lineRule="atLeast"/>
        <w:ind w:left="0" w:firstLine="0"/>
        <w:rPr>
          <w:rFonts w:ascii="Arial" w:hAnsi="Arial" w:cs="Arial"/>
          <w:b/>
          <w:szCs w:val="22"/>
        </w:rPr>
      </w:pPr>
      <w:r w:rsidRPr="008220CC">
        <w:rPr>
          <w:rFonts w:ascii="Arial" w:hAnsi="Arial" w:cs="Arial"/>
          <w:b/>
          <w:szCs w:val="22"/>
        </w:rPr>
        <w:t>Pravna podlaga</w:t>
      </w:r>
    </w:p>
    <w:p w14:paraId="1A22B1FC" w14:textId="77777777" w:rsidR="007C2283" w:rsidRPr="008220CC" w:rsidRDefault="007C2283" w:rsidP="007554CF">
      <w:pPr>
        <w:shd w:val="clear" w:color="auto" w:fill="auto"/>
        <w:rPr>
          <w:rFonts w:ascii="Arial" w:hAnsi="Arial" w:cs="Arial"/>
          <w:b/>
          <w:szCs w:val="22"/>
        </w:rPr>
      </w:pPr>
    </w:p>
    <w:p w14:paraId="386741A4" w14:textId="33E1A4CD" w:rsidR="007C2283" w:rsidRDefault="3C760568" w:rsidP="43ED2E9D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 w:rsidRPr="43ED2E9D">
        <w:rPr>
          <w:rFonts w:ascii="Arial" w:eastAsia="Calibri" w:hAnsi="Arial" w:cs="Arial"/>
        </w:rPr>
        <w:t>Zakon</w:t>
      </w:r>
      <w:r w:rsidR="7F2930EF" w:rsidRPr="43ED2E9D">
        <w:rPr>
          <w:rFonts w:ascii="Arial" w:eastAsia="Calibri" w:hAnsi="Arial" w:cs="Arial"/>
        </w:rPr>
        <w:t>, ki ureja javne finance</w:t>
      </w:r>
      <w:r w:rsidR="1C376AD0" w:rsidRPr="43ED2E9D">
        <w:rPr>
          <w:rFonts w:ascii="Arial" w:eastAsia="Calibri" w:hAnsi="Arial" w:cs="Arial"/>
        </w:rPr>
        <w:t>,</w:t>
      </w:r>
      <w:r w:rsidRPr="43ED2E9D">
        <w:rPr>
          <w:rFonts w:ascii="Arial" w:eastAsia="Calibri" w:hAnsi="Arial" w:cs="Arial"/>
        </w:rPr>
        <w:t xml:space="preserve"> določa, da upravljavec</w:t>
      </w:r>
      <w:r w:rsidR="574C2CD4" w:rsidRPr="43ED2E9D">
        <w:rPr>
          <w:rFonts w:ascii="Arial" w:eastAsia="Calibri" w:hAnsi="Arial" w:cs="Arial"/>
        </w:rPr>
        <w:t xml:space="preserve"> </w:t>
      </w:r>
      <w:r w:rsidR="00416BAA">
        <w:rPr>
          <w:rFonts w:ascii="Arial" w:eastAsia="Calibri" w:hAnsi="Arial" w:cs="Arial"/>
        </w:rPr>
        <w:t xml:space="preserve">denarnih </w:t>
      </w:r>
      <w:r w:rsidR="574C2CD4" w:rsidRPr="43ED2E9D">
        <w:rPr>
          <w:rFonts w:ascii="Arial" w:eastAsia="Calibri" w:hAnsi="Arial" w:cs="Arial"/>
        </w:rPr>
        <w:t xml:space="preserve">sredstev sistema </w:t>
      </w:r>
      <w:r w:rsidR="33DE80EE" w:rsidRPr="43ED2E9D">
        <w:rPr>
          <w:rFonts w:ascii="Arial" w:eastAsia="Calibri" w:hAnsi="Arial" w:cs="Arial"/>
        </w:rPr>
        <w:t xml:space="preserve">enotnega zakladniškega računa države </w:t>
      </w:r>
      <w:r w:rsidR="574C2CD4" w:rsidRPr="43ED2E9D">
        <w:rPr>
          <w:rFonts w:ascii="Arial" w:eastAsia="Calibri" w:hAnsi="Arial" w:cs="Arial"/>
        </w:rPr>
        <w:t xml:space="preserve">(v nadaljnjem besedilu: </w:t>
      </w:r>
      <w:r w:rsidR="00416BAA">
        <w:rPr>
          <w:rFonts w:ascii="Arial" w:eastAsia="Calibri" w:hAnsi="Arial" w:cs="Arial"/>
        </w:rPr>
        <w:t>sistem</w:t>
      </w:r>
      <w:r w:rsidR="574C2CD4" w:rsidRPr="43ED2E9D">
        <w:rPr>
          <w:rFonts w:ascii="Arial" w:eastAsia="Calibri" w:hAnsi="Arial" w:cs="Arial"/>
        </w:rPr>
        <w:t xml:space="preserve"> EZRD)</w:t>
      </w:r>
      <w:r w:rsidRPr="43ED2E9D">
        <w:rPr>
          <w:rFonts w:ascii="Arial" w:eastAsia="Calibri" w:hAnsi="Arial" w:cs="Arial"/>
        </w:rPr>
        <w:t xml:space="preserve"> upravlja </w:t>
      </w:r>
      <w:r w:rsidR="51CDBBDD" w:rsidRPr="43ED2E9D">
        <w:rPr>
          <w:rFonts w:ascii="Arial" w:eastAsia="Calibri" w:hAnsi="Arial" w:cs="Arial"/>
        </w:rPr>
        <w:t>z</w:t>
      </w:r>
      <w:r w:rsidRPr="43ED2E9D">
        <w:rPr>
          <w:rFonts w:ascii="Arial" w:eastAsia="Calibri" w:hAnsi="Arial" w:cs="Arial"/>
        </w:rPr>
        <w:t xml:space="preserve"> </w:t>
      </w:r>
      <w:r w:rsidR="20B73082" w:rsidRPr="43ED2E9D">
        <w:rPr>
          <w:rFonts w:ascii="Arial" w:eastAsia="Calibri" w:hAnsi="Arial" w:cs="Arial"/>
        </w:rPr>
        <w:t xml:space="preserve">denarnimi </w:t>
      </w:r>
      <w:r w:rsidRPr="43ED2E9D">
        <w:rPr>
          <w:rFonts w:ascii="Arial" w:eastAsia="Calibri" w:hAnsi="Arial" w:cs="Arial"/>
        </w:rPr>
        <w:t xml:space="preserve">sredstvi sistema EZRD v skladu z načeli varnosti, likvidnosti in donosnosti. </w:t>
      </w:r>
    </w:p>
    <w:p w14:paraId="1C4D4AA6" w14:textId="00EC126D" w:rsidR="00F43C4A" w:rsidRDefault="1522AE1B" w:rsidP="43ED2E9D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 w:rsidRPr="43ED2E9D">
        <w:rPr>
          <w:rFonts w:ascii="Arial" w:eastAsia="Calibri" w:hAnsi="Arial" w:cs="Arial"/>
        </w:rPr>
        <w:t>Podrobneje je upravljanje denarnih sredstev sistema EZRD urejeno v Pravilniku o poslovanju sistema EZR države oziroma občin</w:t>
      </w:r>
      <w:r w:rsidR="0005467F">
        <w:rPr>
          <w:rFonts w:ascii="Arial" w:eastAsia="Calibri" w:hAnsi="Arial" w:cs="Arial"/>
        </w:rPr>
        <w:t>e</w:t>
      </w:r>
      <w:r w:rsidR="0003749F">
        <w:rPr>
          <w:rFonts w:ascii="Arial" w:eastAsia="Calibri" w:hAnsi="Arial" w:cs="Arial"/>
        </w:rPr>
        <w:t xml:space="preserve"> </w:t>
      </w:r>
      <w:r w:rsidR="001D2AE5">
        <w:rPr>
          <w:rFonts w:ascii="Arial" w:eastAsia="Calibri" w:hAnsi="Arial" w:cs="Arial"/>
        </w:rPr>
        <w:t>in N</w:t>
      </w:r>
      <w:r w:rsidR="2C506F48" w:rsidRPr="43ED2E9D">
        <w:rPr>
          <w:rFonts w:ascii="Arial" w:eastAsia="Calibri" w:hAnsi="Arial" w:cs="Arial"/>
        </w:rPr>
        <w:t>aložbeni politiki</w:t>
      </w:r>
      <w:r w:rsidR="00515A77">
        <w:rPr>
          <w:rFonts w:ascii="Arial" w:eastAsia="Calibri" w:hAnsi="Arial" w:cs="Arial"/>
        </w:rPr>
        <w:t xml:space="preserve"> denarnih sredstev sistema EZR države</w:t>
      </w:r>
      <w:r w:rsidR="002B2E93">
        <w:rPr>
          <w:rFonts w:ascii="Arial" w:eastAsia="Calibri" w:hAnsi="Arial" w:cs="Arial"/>
        </w:rPr>
        <w:t>.</w:t>
      </w:r>
      <w:r w:rsidR="27865A78" w:rsidRPr="43ED2E9D">
        <w:rPr>
          <w:rFonts w:ascii="Arial" w:eastAsia="Calibri" w:hAnsi="Arial" w:cs="Arial"/>
        </w:rPr>
        <w:t xml:space="preserve"> </w:t>
      </w:r>
      <w:r w:rsidR="0062011E">
        <w:rPr>
          <w:rFonts w:ascii="Arial" w:eastAsia="Calibri" w:hAnsi="Arial" w:cs="Arial"/>
        </w:rPr>
        <w:t>V skladu z</w:t>
      </w:r>
      <w:r w:rsidR="27865A78" w:rsidRPr="43ED2E9D">
        <w:rPr>
          <w:rFonts w:ascii="Arial" w:eastAsia="Calibri" w:hAnsi="Arial" w:cs="Arial"/>
        </w:rPr>
        <w:t xml:space="preserve"> Naložben</w:t>
      </w:r>
      <w:r w:rsidR="0062011E">
        <w:rPr>
          <w:rFonts w:ascii="Arial" w:eastAsia="Calibri" w:hAnsi="Arial" w:cs="Arial"/>
        </w:rPr>
        <w:t>o</w:t>
      </w:r>
      <w:r w:rsidR="27865A78" w:rsidRPr="43ED2E9D">
        <w:rPr>
          <w:rFonts w:ascii="Arial" w:eastAsia="Calibri" w:hAnsi="Arial" w:cs="Arial"/>
        </w:rPr>
        <w:t xml:space="preserve"> politik</w:t>
      </w:r>
      <w:r w:rsidR="0062011E">
        <w:rPr>
          <w:rFonts w:ascii="Arial" w:eastAsia="Calibri" w:hAnsi="Arial" w:cs="Arial"/>
        </w:rPr>
        <w:t>o</w:t>
      </w:r>
      <w:r w:rsidR="00515A77">
        <w:rPr>
          <w:rFonts w:ascii="Arial" w:eastAsia="Calibri" w:hAnsi="Arial" w:cs="Arial"/>
        </w:rPr>
        <w:t xml:space="preserve"> denarnih sredstev sistema EZR države</w:t>
      </w:r>
      <w:r w:rsidR="27865A78" w:rsidRPr="43ED2E9D">
        <w:rPr>
          <w:rFonts w:ascii="Arial" w:eastAsia="Calibri" w:hAnsi="Arial" w:cs="Arial"/>
        </w:rPr>
        <w:t xml:space="preserve"> </w:t>
      </w:r>
      <w:r w:rsidR="006D53E0">
        <w:rPr>
          <w:rFonts w:ascii="Arial" w:eastAsia="Calibri" w:hAnsi="Arial" w:cs="Arial"/>
        </w:rPr>
        <w:t xml:space="preserve">se za </w:t>
      </w:r>
      <w:r w:rsidR="009A4CBF">
        <w:rPr>
          <w:rFonts w:ascii="Arial" w:eastAsia="Calibri" w:hAnsi="Arial" w:cs="Arial"/>
        </w:rPr>
        <w:t>namen</w:t>
      </w:r>
      <w:r w:rsidR="64A3E02D" w:rsidRPr="43ED2E9D">
        <w:rPr>
          <w:rFonts w:ascii="Arial" w:eastAsia="Calibri" w:hAnsi="Arial" w:cs="Arial"/>
        </w:rPr>
        <w:t xml:space="preserve"> zagotavljanja načela varnosti izračunava maksimaln</w:t>
      </w:r>
      <w:r w:rsidR="00BA7B29">
        <w:rPr>
          <w:rFonts w:ascii="Arial" w:eastAsia="Calibri" w:hAnsi="Arial" w:cs="Arial"/>
        </w:rPr>
        <w:t>a</w:t>
      </w:r>
      <w:r w:rsidR="64A3E02D" w:rsidRPr="43ED2E9D">
        <w:rPr>
          <w:rFonts w:ascii="Arial" w:eastAsia="Calibri" w:hAnsi="Arial" w:cs="Arial"/>
        </w:rPr>
        <w:t xml:space="preserve"> izpostavljenost do nasprotne stranke</w:t>
      </w:r>
      <w:r w:rsidR="0001589F">
        <w:rPr>
          <w:rFonts w:ascii="Arial" w:eastAsia="Calibri" w:hAnsi="Arial" w:cs="Arial"/>
        </w:rPr>
        <w:t xml:space="preserve">. </w:t>
      </w:r>
    </w:p>
    <w:p w14:paraId="2F70AED8" w14:textId="7DC14B83" w:rsidR="007C2283" w:rsidRDefault="0095679A" w:rsidP="43ED2E9D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="008861D2" w:rsidRPr="008861D2">
        <w:rPr>
          <w:rFonts w:ascii="Arial" w:eastAsia="Calibri" w:hAnsi="Arial" w:cs="Arial"/>
        </w:rPr>
        <w:t>zračun maksimaln</w:t>
      </w:r>
      <w:r w:rsidR="008861D2">
        <w:rPr>
          <w:rFonts w:ascii="Arial" w:eastAsia="Calibri" w:hAnsi="Arial" w:cs="Arial"/>
        </w:rPr>
        <w:t>e</w:t>
      </w:r>
      <w:r w:rsidR="008861D2" w:rsidRPr="008861D2">
        <w:rPr>
          <w:rFonts w:ascii="Arial" w:eastAsia="Calibri" w:hAnsi="Arial" w:cs="Arial"/>
        </w:rPr>
        <w:t xml:space="preserve"> izpostavljenosti</w:t>
      </w:r>
      <w:r w:rsidR="008861D2">
        <w:rPr>
          <w:rFonts w:ascii="Arial" w:eastAsia="Calibri" w:hAnsi="Arial" w:cs="Arial"/>
        </w:rPr>
        <w:t xml:space="preserve"> </w:t>
      </w:r>
      <w:r w:rsidR="64A3E02D" w:rsidRPr="43ED2E9D">
        <w:rPr>
          <w:rFonts w:ascii="Arial" w:eastAsia="Calibri" w:hAnsi="Arial" w:cs="Arial"/>
        </w:rPr>
        <w:t>je defin</w:t>
      </w:r>
      <w:r w:rsidR="603E6068" w:rsidRPr="43ED2E9D">
        <w:rPr>
          <w:rFonts w:ascii="Arial" w:eastAsia="Calibri" w:hAnsi="Arial" w:cs="Arial"/>
        </w:rPr>
        <w:t>i</w:t>
      </w:r>
      <w:r w:rsidR="64A3E02D" w:rsidRPr="43ED2E9D">
        <w:rPr>
          <w:rFonts w:ascii="Arial" w:eastAsia="Calibri" w:hAnsi="Arial" w:cs="Arial"/>
        </w:rPr>
        <w:t>ran</w:t>
      </w:r>
      <w:r w:rsidR="13F7FAB8" w:rsidRPr="43ED2E9D">
        <w:rPr>
          <w:rFonts w:ascii="Arial" w:eastAsia="Calibri" w:hAnsi="Arial" w:cs="Arial"/>
        </w:rPr>
        <w:t xml:space="preserve"> v tem dokumentu. </w:t>
      </w:r>
    </w:p>
    <w:p w14:paraId="437EBD55" w14:textId="14F40F0B" w:rsidR="00F12ABC" w:rsidRPr="008220CC" w:rsidRDefault="00F12ABC" w:rsidP="00FC1AE4">
      <w:pPr>
        <w:numPr>
          <w:ilvl w:val="0"/>
          <w:numId w:val="58"/>
        </w:numPr>
        <w:shd w:val="clear" w:color="auto" w:fill="auto"/>
        <w:tabs>
          <w:tab w:val="left" w:pos="284"/>
        </w:tabs>
        <w:spacing w:line="260" w:lineRule="atLeast"/>
        <w:ind w:left="0" w:firstLine="0"/>
        <w:rPr>
          <w:rFonts w:ascii="Arial" w:hAnsi="Arial" w:cs="Arial"/>
          <w:b/>
          <w:szCs w:val="22"/>
        </w:rPr>
      </w:pPr>
      <w:r w:rsidRPr="008220CC">
        <w:rPr>
          <w:rFonts w:ascii="Arial" w:hAnsi="Arial" w:cs="Arial"/>
          <w:b/>
          <w:szCs w:val="22"/>
        </w:rPr>
        <w:t>Področje urejanja</w:t>
      </w:r>
    </w:p>
    <w:p w14:paraId="703235C0" w14:textId="77777777" w:rsidR="007C2283" w:rsidRPr="008220CC" w:rsidRDefault="007C2283" w:rsidP="00FC1AE4">
      <w:pPr>
        <w:shd w:val="clear" w:color="auto" w:fill="auto"/>
        <w:rPr>
          <w:rFonts w:ascii="Arial" w:hAnsi="Arial" w:cs="Arial"/>
          <w:b/>
          <w:szCs w:val="22"/>
        </w:rPr>
      </w:pPr>
    </w:p>
    <w:p w14:paraId="5144F8B7" w14:textId="611F35CE" w:rsidR="00E06B81" w:rsidRDefault="007C2283" w:rsidP="0095168F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 w:rsidRPr="0BAC6B11">
        <w:rPr>
          <w:rFonts w:ascii="Arial" w:eastAsia="Calibri" w:hAnsi="Arial" w:cs="Arial"/>
        </w:rPr>
        <w:t xml:space="preserve">Metodologija določitve maksimalne izpostavljenosti (v nadaljnjem besedilu: metodologija) se uporablja za določitev maksimalne izpostavljenosti </w:t>
      </w:r>
      <w:r w:rsidR="00D501CE">
        <w:rPr>
          <w:rFonts w:ascii="Arial" w:eastAsia="Calibri" w:hAnsi="Arial" w:cs="Arial"/>
        </w:rPr>
        <w:t>sistema</w:t>
      </w:r>
      <w:r w:rsidR="00D501CE" w:rsidRPr="0BAC6B11">
        <w:rPr>
          <w:rFonts w:ascii="Arial" w:eastAsia="Calibri" w:hAnsi="Arial" w:cs="Arial"/>
        </w:rPr>
        <w:t xml:space="preserve"> </w:t>
      </w:r>
      <w:r w:rsidRPr="0BAC6B11">
        <w:rPr>
          <w:rFonts w:ascii="Arial" w:eastAsia="Calibri" w:hAnsi="Arial" w:cs="Arial"/>
        </w:rPr>
        <w:t>EZRD do</w:t>
      </w:r>
      <w:r w:rsidR="00515A77">
        <w:rPr>
          <w:rFonts w:ascii="Arial" w:eastAsia="Calibri" w:hAnsi="Arial" w:cs="Arial"/>
        </w:rPr>
        <w:t xml:space="preserve"> pos</w:t>
      </w:r>
      <w:r w:rsidR="00B04B27">
        <w:rPr>
          <w:rFonts w:ascii="Arial" w:eastAsia="Calibri" w:hAnsi="Arial" w:cs="Arial"/>
        </w:rPr>
        <w:t>a</w:t>
      </w:r>
      <w:r w:rsidR="00515A77">
        <w:rPr>
          <w:rFonts w:ascii="Arial" w:eastAsia="Calibri" w:hAnsi="Arial" w:cs="Arial"/>
        </w:rPr>
        <w:t>mezne nasprotne</w:t>
      </w:r>
      <w:r w:rsidR="00B04B27">
        <w:rPr>
          <w:rFonts w:ascii="Arial" w:eastAsia="Calibri" w:hAnsi="Arial" w:cs="Arial"/>
        </w:rPr>
        <w:t xml:space="preserve"> stranke, in sicer</w:t>
      </w:r>
      <w:r w:rsidRPr="0BAC6B11">
        <w:rPr>
          <w:rFonts w:ascii="Arial" w:eastAsia="Calibri" w:hAnsi="Arial" w:cs="Arial"/>
        </w:rPr>
        <w:t xml:space="preserve"> </w:t>
      </w:r>
      <w:r w:rsidR="4A0DCD13" w:rsidRPr="0BAC6B11">
        <w:rPr>
          <w:rFonts w:ascii="Arial" w:eastAsia="Calibri" w:hAnsi="Arial" w:cs="Arial"/>
        </w:rPr>
        <w:t xml:space="preserve">poslovnih </w:t>
      </w:r>
      <w:r w:rsidRPr="0BAC6B11">
        <w:rPr>
          <w:rFonts w:ascii="Arial" w:eastAsia="Calibri" w:hAnsi="Arial" w:cs="Arial"/>
        </w:rPr>
        <w:t>bank in hranilnic, državnih zakladnic</w:t>
      </w:r>
      <w:r w:rsidR="00AA4404" w:rsidRPr="0BAC6B11">
        <w:rPr>
          <w:rFonts w:ascii="Arial" w:eastAsia="Calibri" w:hAnsi="Arial" w:cs="Arial"/>
        </w:rPr>
        <w:t xml:space="preserve"> EMU</w:t>
      </w:r>
      <w:r w:rsidR="565C3C1A" w:rsidRPr="0BAC6B11">
        <w:rPr>
          <w:rFonts w:ascii="Arial" w:eastAsia="Calibri" w:hAnsi="Arial" w:cs="Arial"/>
        </w:rPr>
        <w:t>, investicijskih skladov, centralnih nasprotnih strank, po/zavarovalnic, institucij za pokojninsko zavarovanje in d</w:t>
      </w:r>
      <w:r w:rsidR="0D3F7A06" w:rsidRPr="0BAC6B11">
        <w:rPr>
          <w:rFonts w:ascii="Arial" w:eastAsia="Calibri" w:hAnsi="Arial" w:cs="Arial"/>
        </w:rPr>
        <w:t>rug</w:t>
      </w:r>
      <w:r w:rsidR="004E229A">
        <w:rPr>
          <w:rFonts w:ascii="Arial" w:eastAsia="Calibri" w:hAnsi="Arial" w:cs="Arial"/>
        </w:rPr>
        <w:t>ih</w:t>
      </w:r>
      <w:r w:rsidR="0D3F7A06" w:rsidRPr="0BAC6B11">
        <w:rPr>
          <w:rFonts w:ascii="Arial" w:eastAsia="Calibri" w:hAnsi="Arial" w:cs="Arial"/>
        </w:rPr>
        <w:t xml:space="preserve"> finančn</w:t>
      </w:r>
      <w:r w:rsidR="009925CC">
        <w:rPr>
          <w:rFonts w:ascii="Arial" w:eastAsia="Calibri" w:hAnsi="Arial" w:cs="Arial"/>
        </w:rPr>
        <w:t>i</w:t>
      </w:r>
      <w:r w:rsidR="004E229A">
        <w:rPr>
          <w:rFonts w:ascii="Arial" w:eastAsia="Calibri" w:hAnsi="Arial" w:cs="Arial"/>
        </w:rPr>
        <w:t>h</w:t>
      </w:r>
      <w:r w:rsidR="0D3F7A06" w:rsidRPr="0BAC6B11">
        <w:rPr>
          <w:rFonts w:ascii="Arial" w:eastAsia="Calibri" w:hAnsi="Arial" w:cs="Arial"/>
        </w:rPr>
        <w:t xml:space="preserve"> institucij</w:t>
      </w:r>
      <w:r w:rsidR="0049459F">
        <w:rPr>
          <w:rFonts w:ascii="Arial" w:eastAsia="Calibri" w:hAnsi="Arial" w:cs="Arial"/>
        </w:rPr>
        <w:t>, ki niso banke ali hranilnice</w:t>
      </w:r>
      <w:r w:rsidR="00B04B27">
        <w:rPr>
          <w:rFonts w:ascii="Arial" w:eastAsia="Calibri" w:hAnsi="Arial" w:cs="Arial"/>
        </w:rPr>
        <w:t xml:space="preserve">. </w:t>
      </w:r>
      <w:r w:rsidR="00E06B81" w:rsidRPr="0BAC6B11">
        <w:rPr>
          <w:rFonts w:ascii="Arial" w:eastAsia="Calibri" w:hAnsi="Arial" w:cs="Arial"/>
        </w:rPr>
        <w:t xml:space="preserve"> </w:t>
      </w:r>
    </w:p>
    <w:p w14:paraId="27CE70D2" w14:textId="77777777" w:rsidR="007C2283" w:rsidRPr="008220CC" w:rsidRDefault="007C2283" w:rsidP="00FC1AE4">
      <w:pPr>
        <w:numPr>
          <w:ilvl w:val="0"/>
          <w:numId w:val="58"/>
        </w:numPr>
        <w:shd w:val="clear" w:color="auto" w:fill="auto"/>
        <w:tabs>
          <w:tab w:val="left" w:pos="284"/>
        </w:tabs>
        <w:spacing w:line="260" w:lineRule="atLeast"/>
        <w:ind w:left="0" w:firstLine="0"/>
        <w:rPr>
          <w:rFonts w:ascii="Arial" w:hAnsi="Arial" w:cs="Arial"/>
          <w:b/>
          <w:szCs w:val="22"/>
        </w:rPr>
      </w:pPr>
      <w:r w:rsidRPr="008220CC">
        <w:rPr>
          <w:rFonts w:ascii="Arial" w:hAnsi="Arial" w:cs="Arial"/>
          <w:b/>
          <w:szCs w:val="22"/>
        </w:rPr>
        <w:t xml:space="preserve">Metodologija </w:t>
      </w:r>
    </w:p>
    <w:p w14:paraId="35CADEB0" w14:textId="77777777" w:rsidR="007C2283" w:rsidRPr="008220CC" w:rsidRDefault="007C2283" w:rsidP="00FC1AE4">
      <w:pPr>
        <w:rPr>
          <w:rFonts w:ascii="Arial" w:hAnsi="Arial" w:cs="Arial"/>
          <w:szCs w:val="22"/>
        </w:rPr>
      </w:pPr>
    </w:p>
    <w:p w14:paraId="42A732EA" w14:textId="0704C8B3" w:rsidR="00C907F4" w:rsidRDefault="00B04B27" w:rsidP="00B04B27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 w:rsidRPr="0049459F">
        <w:rPr>
          <w:rFonts w:ascii="Arial" w:eastAsia="Calibri" w:hAnsi="Arial" w:cs="Arial"/>
        </w:rPr>
        <w:t>Maksimaln</w:t>
      </w:r>
      <w:r w:rsidR="00BA7B29">
        <w:rPr>
          <w:rFonts w:ascii="Arial" w:eastAsia="Calibri" w:hAnsi="Arial" w:cs="Arial"/>
        </w:rPr>
        <w:t>a</w:t>
      </w:r>
      <w:r w:rsidRPr="0049459F">
        <w:rPr>
          <w:rFonts w:ascii="Arial" w:eastAsia="Calibri" w:hAnsi="Arial" w:cs="Arial"/>
        </w:rPr>
        <w:t xml:space="preserve"> izpostavljenost je definiran</w:t>
      </w:r>
      <w:r w:rsidR="00A96BEC">
        <w:rPr>
          <w:rFonts w:ascii="Arial" w:eastAsia="Calibri" w:hAnsi="Arial" w:cs="Arial"/>
        </w:rPr>
        <w:t>a</w:t>
      </w:r>
      <w:r w:rsidRPr="0049459F">
        <w:rPr>
          <w:rFonts w:ascii="Arial" w:eastAsia="Calibri" w:hAnsi="Arial" w:cs="Arial"/>
        </w:rPr>
        <w:t xml:space="preserve"> </w:t>
      </w:r>
      <w:r w:rsidR="006F084F">
        <w:rPr>
          <w:rFonts w:ascii="Arial" w:eastAsia="Calibri" w:hAnsi="Arial" w:cs="Arial"/>
        </w:rPr>
        <w:t>do</w:t>
      </w:r>
      <w:r w:rsidRPr="0049459F">
        <w:rPr>
          <w:rFonts w:ascii="Arial" w:eastAsia="Calibri" w:hAnsi="Arial" w:cs="Arial"/>
        </w:rPr>
        <w:t xml:space="preserve"> posamezne skupine nasprotnih strank</w:t>
      </w:r>
      <w:r>
        <w:rPr>
          <w:rFonts w:ascii="Arial" w:eastAsia="Calibri" w:hAnsi="Arial" w:cs="Arial"/>
        </w:rPr>
        <w:t xml:space="preserve">. </w:t>
      </w:r>
      <w:r w:rsidRPr="008220CC">
        <w:rPr>
          <w:rFonts w:ascii="Arial" w:eastAsia="Calibri" w:hAnsi="Arial" w:cs="Arial"/>
          <w:szCs w:val="22"/>
        </w:rPr>
        <w:t>Znotraj posamezne skupine nasprotnih strank se izračuna</w:t>
      </w:r>
      <w:r w:rsidR="00BA7B29">
        <w:rPr>
          <w:rFonts w:ascii="Arial" w:eastAsia="Calibri" w:hAnsi="Arial" w:cs="Arial"/>
          <w:szCs w:val="22"/>
        </w:rPr>
        <w:t>ta</w:t>
      </w:r>
      <w:r w:rsidRPr="008220CC">
        <w:rPr>
          <w:rFonts w:ascii="Arial" w:eastAsia="Calibri" w:hAnsi="Arial" w:cs="Arial"/>
          <w:szCs w:val="22"/>
        </w:rPr>
        <w:t xml:space="preserve"> maksimalni delež oziroma obseg izpostavljenosti do posamezne nasprotne stranke</w:t>
      </w:r>
      <w:r>
        <w:rPr>
          <w:rFonts w:ascii="Arial" w:eastAsia="Calibri" w:hAnsi="Arial" w:cs="Arial"/>
          <w:szCs w:val="22"/>
        </w:rPr>
        <w:t xml:space="preserve">. </w:t>
      </w:r>
      <w:r w:rsidR="00BA7B29">
        <w:rPr>
          <w:rFonts w:ascii="Arial" w:eastAsia="Calibri" w:hAnsi="Arial" w:cs="Arial"/>
          <w:szCs w:val="22"/>
        </w:rPr>
        <w:t>Z</w:t>
      </w:r>
      <w:r w:rsidR="0049459F">
        <w:rPr>
          <w:rFonts w:ascii="Arial" w:eastAsia="Calibri" w:hAnsi="Arial" w:cs="Arial"/>
          <w:szCs w:val="22"/>
        </w:rPr>
        <w:t xml:space="preserve">notraj posamezne nasprotne stranke </w:t>
      </w:r>
      <w:r w:rsidR="00BA7B29">
        <w:rPr>
          <w:rFonts w:ascii="Arial" w:eastAsia="Calibri" w:hAnsi="Arial" w:cs="Arial"/>
          <w:szCs w:val="22"/>
        </w:rPr>
        <w:t xml:space="preserve">je nato </w:t>
      </w:r>
      <w:r w:rsidR="0049459F">
        <w:rPr>
          <w:rFonts w:ascii="Arial" w:eastAsia="Calibri" w:hAnsi="Arial" w:cs="Arial"/>
          <w:szCs w:val="22"/>
        </w:rPr>
        <w:t xml:space="preserve">določen obseg izpostavljenosti </w:t>
      </w:r>
      <w:r w:rsidR="00BA7B29">
        <w:rPr>
          <w:rFonts w:ascii="Arial" w:eastAsia="Calibri" w:hAnsi="Arial" w:cs="Arial"/>
          <w:szCs w:val="22"/>
        </w:rPr>
        <w:t>z</w:t>
      </w:r>
      <w:r>
        <w:rPr>
          <w:rFonts w:ascii="Arial" w:eastAsia="Calibri" w:hAnsi="Arial" w:cs="Arial"/>
          <w:szCs w:val="22"/>
        </w:rPr>
        <w:t xml:space="preserve">a </w:t>
      </w:r>
      <w:r w:rsidR="0049459F">
        <w:rPr>
          <w:rFonts w:ascii="Arial" w:eastAsia="Calibri" w:hAnsi="Arial" w:cs="Arial"/>
          <w:szCs w:val="22"/>
        </w:rPr>
        <w:t xml:space="preserve">posamezne </w:t>
      </w:r>
      <w:r>
        <w:rPr>
          <w:rFonts w:ascii="Arial" w:eastAsia="Calibri" w:hAnsi="Arial" w:cs="Arial"/>
          <w:szCs w:val="22"/>
        </w:rPr>
        <w:t>vrste naložbenih instrumentov</w:t>
      </w:r>
      <w:r w:rsidRPr="008220CC">
        <w:rPr>
          <w:rFonts w:ascii="Arial" w:eastAsia="Calibri" w:hAnsi="Arial" w:cs="Arial"/>
          <w:szCs w:val="22"/>
        </w:rPr>
        <w:t>.</w:t>
      </w:r>
    </w:p>
    <w:p w14:paraId="26776FBD" w14:textId="78DE5597" w:rsidR="00596954" w:rsidRPr="00492724" w:rsidRDefault="00C907F4" w:rsidP="00C907F4">
      <w:pPr>
        <w:spacing w:after="200" w:line="276" w:lineRule="auto"/>
        <w:rPr>
          <w:rFonts w:ascii="Arial" w:eastAsia="Calibri" w:hAnsi="Arial" w:cs="Arial"/>
        </w:rPr>
      </w:pPr>
      <w:r w:rsidRPr="00492724">
        <w:rPr>
          <w:rFonts w:ascii="Arial" w:eastAsia="Calibri" w:hAnsi="Arial" w:cs="Arial"/>
        </w:rPr>
        <w:t>Maksimaln</w:t>
      </w:r>
      <w:r w:rsidR="00BA7B29">
        <w:rPr>
          <w:rFonts w:ascii="Arial" w:eastAsia="Calibri" w:hAnsi="Arial" w:cs="Arial"/>
        </w:rPr>
        <w:t>e</w:t>
      </w:r>
      <w:r w:rsidRPr="00492724">
        <w:rPr>
          <w:rFonts w:ascii="Arial" w:eastAsia="Calibri" w:hAnsi="Arial" w:cs="Arial"/>
        </w:rPr>
        <w:t xml:space="preserve"> izpostavljenosti se ne določa za Banko Slovenije.</w:t>
      </w:r>
    </w:p>
    <w:p w14:paraId="6AFEB0BB" w14:textId="46C0FBF8" w:rsidR="006F084F" w:rsidRDefault="00861EF3" w:rsidP="006F084F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6F084F">
        <w:rPr>
          <w:rFonts w:ascii="Arial" w:hAnsi="Arial" w:cs="Arial"/>
          <w:b/>
          <w:szCs w:val="22"/>
        </w:rPr>
        <w:t xml:space="preserve">.1. </w:t>
      </w:r>
      <w:r w:rsidR="006F084F" w:rsidRPr="008220CC">
        <w:rPr>
          <w:rFonts w:ascii="Arial" w:hAnsi="Arial" w:cs="Arial"/>
          <w:b/>
          <w:szCs w:val="22"/>
        </w:rPr>
        <w:t>Maksimaln</w:t>
      </w:r>
      <w:r w:rsidR="006F084F">
        <w:rPr>
          <w:rFonts w:ascii="Arial" w:hAnsi="Arial" w:cs="Arial"/>
          <w:b/>
          <w:szCs w:val="22"/>
        </w:rPr>
        <w:t>a</w:t>
      </w:r>
      <w:r w:rsidR="006F084F" w:rsidRPr="008220CC">
        <w:rPr>
          <w:rFonts w:ascii="Arial" w:hAnsi="Arial" w:cs="Arial"/>
          <w:b/>
          <w:szCs w:val="22"/>
        </w:rPr>
        <w:t xml:space="preserve"> izpostavljenost do posamezne skupine nasprotnih strank</w:t>
      </w:r>
    </w:p>
    <w:p w14:paraId="4F8154B7" w14:textId="77777777" w:rsidR="0049459F" w:rsidRPr="008220CC" w:rsidRDefault="0049459F" w:rsidP="006F084F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</w:p>
    <w:p w14:paraId="4B91638A" w14:textId="1A3BBBFB" w:rsidR="006F084F" w:rsidRPr="0049459F" w:rsidRDefault="006F084F" w:rsidP="00B04B27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Posamezne skupine nasprotnih strank so naslednje:</w:t>
      </w:r>
    </w:p>
    <w:p w14:paraId="13F13969" w14:textId="3772317F" w:rsidR="00B04B27" w:rsidRPr="00B04B27" w:rsidRDefault="00B04B27" w:rsidP="00B04B27">
      <w:pPr>
        <w:pStyle w:val="Odstavekseznama"/>
        <w:numPr>
          <w:ilvl w:val="0"/>
          <w:numId w:val="60"/>
        </w:numPr>
        <w:jc w:val="both"/>
        <w:rPr>
          <w:rFonts w:cs="Arial"/>
          <w:szCs w:val="20"/>
        </w:rPr>
      </w:pPr>
      <w:r w:rsidRPr="00B04B27">
        <w:rPr>
          <w:rFonts w:cs="Arial"/>
          <w:szCs w:val="20"/>
        </w:rPr>
        <w:t>bank</w:t>
      </w:r>
      <w:r w:rsidR="006F084F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 xml:space="preserve"> in hranilnic</w:t>
      </w:r>
      <w:r w:rsidR="006F084F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 xml:space="preserve">, </w:t>
      </w:r>
    </w:p>
    <w:p w14:paraId="28341E8E" w14:textId="73AC3BD1" w:rsidR="00B04B27" w:rsidRPr="00B04B27" w:rsidRDefault="00B04B27" w:rsidP="00B04B27">
      <w:pPr>
        <w:pStyle w:val="Odstavekseznama"/>
        <w:numPr>
          <w:ilvl w:val="0"/>
          <w:numId w:val="60"/>
        </w:numPr>
        <w:jc w:val="both"/>
        <w:rPr>
          <w:rFonts w:cs="Arial"/>
          <w:szCs w:val="20"/>
        </w:rPr>
      </w:pPr>
      <w:r w:rsidRPr="00B04B27">
        <w:rPr>
          <w:rFonts w:cs="Arial"/>
          <w:szCs w:val="20"/>
        </w:rPr>
        <w:t>držav</w:t>
      </w:r>
      <w:r w:rsidR="006F084F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 xml:space="preserve"> EMU in </w:t>
      </w:r>
    </w:p>
    <w:p w14:paraId="7284E3E8" w14:textId="3BAC40AB" w:rsidR="00B04B27" w:rsidRPr="00B04B27" w:rsidRDefault="00B04B27" w:rsidP="00B04B27">
      <w:pPr>
        <w:pStyle w:val="Odstavekseznama"/>
        <w:numPr>
          <w:ilvl w:val="0"/>
          <w:numId w:val="60"/>
        </w:numPr>
        <w:jc w:val="both"/>
        <w:rPr>
          <w:rFonts w:cs="Arial"/>
          <w:szCs w:val="20"/>
        </w:rPr>
      </w:pPr>
      <w:r w:rsidRPr="00B04B27">
        <w:rPr>
          <w:rFonts w:cs="Arial"/>
          <w:szCs w:val="20"/>
        </w:rPr>
        <w:t>investicijski sklad</w:t>
      </w:r>
      <w:r w:rsidR="008F38C5">
        <w:rPr>
          <w:rFonts w:cs="Arial"/>
          <w:szCs w:val="20"/>
        </w:rPr>
        <w:t>i</w:t>
      </w:r>
      <w:r w:rsidRPr="00B04B27">
        <w:rPr>
          <w:rFonts w:cs="Arial"/>
          <w:szCs w:val="20"/>
        </w:rPr>
        <w:t>, centraln</w:t>
      </w:r>
      <w:r w:rsidR="008F38C5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 xml:space="preserve"> nasprotn</w:t>
      </w:r>
      <w:r w:rsidR="008F38C5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 xml:space="preserve"> strank</w:t>
      </w:r>
      <w:r w:rsidR="008F38C5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>, po/zavarovalnic</w:t>
      </w:r>
      <w:r w:rsidR="008F38C5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>, institucij</w:t>
      </w:r>
      <w:r w:rsidR="008F38C5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 xml:space="preserve"> za pokojninsko zavarovanje in drug</w:t>
      </w:r>
      <w:r w:rsidR="008F38C5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 xml:space="preserve"> finančn</w:t>
      </w:r>
      <w:r w:rsidR="008F38C5">
        <w:rPr>
          <w:rFonts w:cs="Arial"/>
          <w:szCs w:val="20"/>
        </w:rPr>
        <w:t>e</w:t>
      </w:r>
      <w:r w:rsidRPr="00B04B27">
        <w:rPr>
          <w:rFonts w:cs="Arial"/>
          <w:szCs w:val="20"/>
        </w:rPr>
        <w:t xml:space="preserve"> institucije, ki niso banke ali hranilnice</w:t>
      </w:r>
      <w:r w:rsidR="00540C86">
        <w:rPr>
          <w:rFonts w:cs="Arial"/>
          <w:szCs w:val="20"/>
        </w:rPr>
        <w:t xml:space="preserve"> (v nadaljevanju: druge finančne institucije)</w:t>
      </w:r>
      <w:r w:rsidRPr="00B04B27">
        <w:rPr>
          <w:rFonts w:cs="Arial"/>
          <w:szCs w:val="20"/>
        </w:rPr>
        <w:t>.</w:t>
      </w:r>
    </w:p>
    <w:p w14:paraId="127F797F" w14:textId="01C2B45D" w:rsidR="007C2283" w:rsidRDefault="3C760568" w:rsidP="00C907F4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 w:rsidRPr="43ED2E9D">
        <w:rPr>
          <w:rFonts w:ascii="Arial" w:eastAsia="Calibri" w:hAnsi="Arial" w:cs="Arial"/>
        </w:rPr>
        <w:t>Maksimaln</w:t>
      </w:r>
      <w:r w:rsidR="00BA7B29">
        <w:rPr>
          <w:rFonts w:ascii="Arial" w:eastAsia="Calibri" w:hAnsi="Arial" w:cs="Arial"/>
        </w:rPr>
        <w:t>a</w:t>
      </w:r>
      <w:r w:rsidRPr="43ED2E9D">
        <w:rPr>
          <w:rFonts w:ascii="Arial" w:eastAsia="Calibri" w:hAnsi="Arial" w:cs="Arial"/>
        </w:rPr>
        <w:t xml:space="preserve"> izpostavljenost do posamezne skupine nasprotnih strank se izrazi v deležu od celotnega obsega denarnih sredstev</w:t>
      </w:r>
      <w:r w:rsidR="574C2CD4" w:rsidRPr="43ED2E9D">
        <w:rPr>
          <w:rFonts w:ascii="Arial" w:eastAsia="Calibri" w:hAnsi="Arial" w:cs="Arial"/>
        </w:rPr>
        <w:t xml:space="preserve"> sistema EZRD</w:t>
      </w:r>
      <w:r w:rsidRPr="43ED2E9D">
        <w:rPr>
          <w:rFonts w:ascii="Arial" w:eastAsia="Calibri" w:hAnsi="Arial" w:cs="Arial"/>
        </w:rPr>
        <w:t xml:space="preserve"> za nal</w:t>
      </w:r>
      <w:r w:rsidR="00C829A1">
        <w:rPr>
          <w:rFonts w:ascii="Arial" w:eastAsia="Calibri" w:hAnsi="Arial" w:cs="Arial"/>
        </w:rPr>
        <w:t>ožbe</w:t>
      </w:r>
      <w:r w:rsidRPr="43ED2E9D">
        <w:rPr>
          <w:rFonts w:ascii="Arial" w:eastAsia="Calibri" w:hAnsi="Arial" w:cs="Arial"/>
        </w:rPr>
        <w:t xml:space="preserve"> izven sistema EZRD</w:t>
      </w:r>
      <w:r w:rsidR="20B73082" w:rsidRPr="43ED2E9D">
        <w:rPr>
          <w:rFonts w:ascii="Arial" w:eastAsia="Calibri" w:hAnsi="Arial" w:cs="Arial"/>
        </w:rPr>
        <w:t>,</w:t>
      </w:r>
      <w:r w:rsidRPr="43ED2E9D">
        <w:rPr>
          <w:rFonts w:ascii="Arial" w:eastAsia="Calibri" w:hAnsi="Arial" w:cs="Arial"/>
        </w:rPr>
        <w:t xml:space="preserve"> po naslednjih deležih: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64"/>
      </w:tblGrid>
      <w:tr w:rsidR="007C2283" w:rsidRPr="008220CC" w14:paraId="6DC4316C" w14:textId="77777777" w:rsidTr="0049459F">
        <w:tc>
          <w:tcPr>
            <w:tcW w:w="8075" w:type="dxa"/>
            <w:shd w:val="clear" w:color="auto" w:fill="auto"/>
          </w:tcPr>
          <w:p w14:paraId="3F64B329" w14:textId="77777777" w:rsidR="007C2283" w:rsidRPr="008220CC" w:rsidRDefault="007C2283" w:rsidP="00CE3E44">
            <w:pPr>
              <w:widowControl w:val="0"/>
              <w:shd w:val="clear" w:color="auto" w:fill="auto"/>
              <w:spacing w:line="260" w:lineRule="atLeast"/>
              <w:rPr>
                <w:rFonts w:ascii="Arial" w:hAnsi="Arial" w:cs="Arial"/>
                <w:b/>
                <w:szCs w:val="22"/>
              </w:rPr>
            </w:pPr>
            <w:r w:rsidRPr="008220CC">
              <w:rPr>
                <w:rFonts w:ascii="Arial" w:hAnsi="Arial" w:cs="Arial"/>
                <w:b/>
                <w:szCs w:val="22"/>
              </w:rPr>
              <w:t>Skupina nasprotnih strank</w:t>
            </w:r>
          </w:p>
        </w:tc>
        <w:tc>
          <w:tcPr>
            <w:tcW w:w="964" w:type="dxa"/>
            <w:shd w:val="clear" w:color="auto" w:fill="auto"/>
          </w:tcPr>
          <w:p w14:paraId="153A0450" w14:textId="160F4EC8" w:rsidR="007C2283" w:rsidRPr="008220CC" w:rsidRDefault="007C2283" w:rsidP="00C907F4">
            <w:pPr>
              <w:widowControl w:val="0"/>
              <w:shd w:val="clear" w:color="auto" w:fill="auto"/>
              <w:spacing w:line="260" w:lineRule="atLeast"/>
              <w:jc w:val="right"/>
              <w:rPr>
                <w:rFonts w:ascii="Arial" w:hAnsi="Arial" w:cs="Arial"/>
                <w:b/>
                <w:szCs w:val="22"/>
              </w:rPr>
            </w:pPr>
            <w:r w:rsidRPr="008220CC">
              <w:rPr>
                <w:rFonts w:ascii="Arial" w:hAnsi="Arial" w:cs="Arial"/>
                <w:b/>
                <w:szCs w:val="22"/>
              </w:rPr>
              <w:t xml:space="preserve">Delež </w:t>
            </w:r>
          </w:p>
        </w:tc>
      </w:tr>
      <w:tr w:rsidR="00F16530" w:rsidRPr="00121692" w14:paraId="4760840C" w14:textId="77777777" w:rsidTr="0049459F">
        <w:tc>
          <w:tcPr>
            <w:tcW w:w="8075" w:type="dxa"/>
            <w:shd w:val="clear" w:color="auto" w:fill="auto"/>
          </w:tcPr>
          <w:p w14:paraId="4C7BB1DF" w14:textId="258E1127" w:rsidR="00F16530" w:rsidRPr="006F084F" w:rsidRDefault="00F16530" w:rsidP="00CE3E44">
            <w:pPr>
              <w:widowControl w:val="0"/>
              <w:shd w:val="clear" w:color="auto" w:fill="auto"/>
              <w:spacing w:line="260" w:lineRule="atLeast"/>
              <w:rPr>
                <w:rFonts w:ascii="Arial" w:hAnsi="Arial" w:cs="Arial"/>
                <w:szCs w:val="22"/>
              </w:rPr>
            </w:pPr>
            <w:r w:rsidRPr="006F084F">
              <w:rPr>
                <w:rFonts w:ascii="Arial" w:hAnsi="Arial" w:cs="Arial"/>
                <w:szCs w:val="22"/>
              </w:rPr>
              <w:t xml:space="preserve">banke in hranilnice </w:t>
            </w:r>
          </w:p>
        </w:tc>
        <w:tc>
          <w:tcPr>
            <w:tcW w:w="964" w:type="dxa"/>
            <w:shd w:val="clear" w:color="auto" w:fill="auto"/>
          </w:tcPr>
          <w:p w14:paraId="40639539" w14:textId="0111E692" w:rsidR="00F16530" w:rsidRPr="006F084F" w:rsidRDefault="00255469" w:rsidP="00C907F4">
            <w:pPr>
              <w:widowControl w:val="0"/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6F084F">
              <w:rPr>
                <w:rFonts w:ascii="Arial" w:hAnsi="Arial" w:cs="Arial"/>
                <w:szCs w:val="22"/>
              </w:rPr>
              <w:t>100</w:t>
            </w:r>
            <w:r w:rsidR="00F16530" w:rsidRPr="006F084F">
              <w:rPr>
                <w:rFonts w:ascii="Arial" w:hAnsi="Arial" w:cs="Arial"/>
                <w:szCs w:val="22"/>
              </w:rPr>
              <w:t xml:space="preserve"> %</w:t>
            </w:r>
          </w:p>
        </w:tc>
      </w:tr>
      <w:tr w:rsidR="00F16530" w:rsidRPr="00121692" w14:paraId="64DECFD4" w14:textId="77777777" w:rsidTr="0049459F">
        <w:tc>
          <w:tcPr>
            <w:tcW w:w="8075" w:type="dxa"/>
            <w:shd w:val="clear" w:color="auto" w:fill="auto"/>
          </w:tcPr>
          <w:p w14:paraId="4ECBD69D" w14:textId="3C4A85BB" w:rsidR="00F16530" w:rsidRPr="006F084F" w:rsidRDefault="00F16530" w:rsidP="00CE3E44">
            <w:pPr>
              <w:widowControl w:val="0"/>
              <w:shd w:val="clear" w:color="auto" w:fill="auto"/>
              <w:spacing w:line="260" w:lineRule="atLeast"/>
              <w:rPr>
                <w:rFonts w:ascii="Arial" w:hAnsi="Arial" w:cs="Arial"/>
              </w:rPr>
            </w:pPr>
            <w:r w:rsidRPr="006F084F">
              <w:rPr>
                <w:rFonts w:ascii="Arial" w:hAnsi="Arial" w:cs="Arial"/>
              </w:rPr>
              <w:t xml:space="preserve">države </w:t>
            </w:r>
            <w:r w:rsidR="0049459F">
              <w:rPr>
                <w:rFonts w:ascii="Arial" w:hAnsi="Arial" w:cs="Arial"/>
              </w:rPr>
              <w:t>EMU</w:t>
            </w:r>
            <w:r w:rsidRPr="006F08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7CF52D7B" w14:textId="5634D5F1" w:rsidR="00F16530" w:rsidRPr="006F084F" w:rsidRDefault="003B30D3" w:rsidP="00C907F4">
            <w:pPr>
              <w:widowControl w:val="0"/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  <w:r w:rsidR="00F16530" w:rsidRPr="006F084F">
              <w:rPr>
                <w:rFonts w:ascii="Arial" w:hAnsi="Arial" w:cs="Arial"/>
                <w:szCs w:val="22"/>
              </w:rPr>
              <w:t>0 %</w:t>
            </w:r>
          </w:p>
        </w:tc>
      </w:tr>
      <w:tr w:rsidR="00F16530" w:rsidRPr="008220CC" w14:paraId="03E9D0B2" w14:textId="77777777" w:rsidTr="0049459F">
        <w:tc>
          <w:tcPr>
            <w:tcW w:w="8075" w:type="dxa"/>
            <w:shd w:val="clear" w:color="auto" w:fill="auto"/>
          </w:tcPr>
          <w:p w14:paraId="14675157" w14:textId="6A074017" w:rsidR="00F16530" w:rsidRPr="004A0FCE" w:rsidRDefault="004A0FCE" w:rsidP="00CE3E44">
            <w:pPr>
              <w:widowControl w:val="0"/>
              <w:shd w:val="clear" w:color="auto" w:fill="auto"/>
              <w:spacing w:line="260" w:lineRule="atLeast"/>
              <w:rPr>
                <w:rFonts w:ascii="Arial" w:hAnsi="Arial" w:cs="Arial"/>
                <w:szCs w:val="22"/>
              </w:rPr>
            </w:pPr>
            <w:r w:rsidRPr="004A0FCE">
              <w:rPr>
                <w:rFonts w:ascii="Arial" w:hAnsi="Arial" w:cs="Arial"/>
              </w:rPr>
              <w:t>druge finančne institucije</w:t>
            </w:r>
          </w:p>
        </w:tc>
        <w:tc>
          <w:tcPr>
            <w:tcW w:w="964" w:type="dxa"/>
            <w:shd w:val="clear" w:color="auto" w:fill="auto"/>
          </w:tcPr>
          <w:p w14:paraId="5AA8419B" w14:textId="06248ECC" w:rsidR="00F16530" w:rsidRPr="006F084F" w:rsidRDefault="00102201" w:rsidP="00C907F4">
            <w:pPr>
              <w:widowControl w:val="0"/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631948" w:rsidRPr="006F084F">
              <w:rPr>
                <w:rFonts w:ascii="Arial" w:hAnsi="Arial" w:cs="Arial"/>
                <w:szCs w:val="22"/>
              </w:rPr>
              <w:t>0</w:t>
            </w:r>
            <w:r w:rsidR="00E30D4A" w:rsidRPr="006F084F">
              <w:rPr>
                <w:rFonts w:ascii="Arial" w:hAnsi="Arial" w:cs="Arial"/>
                <w:szCs w:val="22"/>
              </w:rPr>
              <w:t xml:space="preserve"> %</w:t>
            </w:r>
          </w:p>
        </w:tc>
      </w:tr>
    </w:tbl>
    <w:p w14:paraId="6FAC4C34" w14:textId="77777777" w:rsidR="0049459F" w:rsidRDefault="0049459F" w:rsidP="00F33ABF">
      <w:pPr>
        <w:spacing w:after="200" w:line="276" w:lineRule="auto"/>
        <w:rPr>
          <w:rFonts w:ascii="Arial" w:eastAsia="Calibri" w:hAnsi="Arial" w:cs="Arial"/>
        </w:rPr>
      </w:pPr>
    </w:p>
    <w:p w14:paraId="333FD5AE" w14:textId="7A0251A2" w:rsidR="00F33ABF" w:rsidRDefault="6DCF2842" w:rsidP="00F33ABF">
      <w:pPr>
        <w:spacing w:after="200" w:line="276" w:lineRule="auto"/>
        <w:rPr>
          <w:rFonts w:ascii="Arial" w:eastAsia="Calibri" w:hAnsi="Arial" w:cs="Arial"/>
          <w:lang w:val="de-DE"/>
        </w:rPr>
      </w:pPr>
      <w:r w:rsidRPr="43ED2E9D">
        <w:rPr>
          <w:rFonts w:ascii="Arial" w:eastAsia="Calibri" w:hAnsi="Arial" w:cs="Arial"/>
        </w:rPr>
        <w:t>Celotni obseg denarnih sredstev sistema EZRD za naložbe izven sistema EZRD predstavlja povprečje načrtovanega stanja bilančne vsote</w:t>
      </w:r>
      <w:r w:rsidR="00C907F4">
        <w:rPr>
          <w:rFonts w:ascii="Arial" w:eastAsia="Calibri" w:hAnsi="Arial" w:cs="Arial"/>
        </w:rPr>
        <w:t xml:space="preserve"> sistema EZRD v </w:t>
      </w:r>
      <w:r w:rsidR="00066847">
        <w:rPr>
          <w:rFonts w:ascii="Arial" w:eastAsia="Calibri" w:hAnsi="Arial" w:cs="Arial"/>
        </w:rPr>
        <w:t>prihodnjem letu</w:t>
      </w:r>
      <w:r w:rsidR="00F256B3">
        <w:rPr>
          <w:rFonts w:ascii="Arial" w:eastAsia="Calibri" w:hAnsi="Arial" w:cs="Arial"/>
        </w:rPr>
        <w:t>.</w:t>
      </w:r>
      <w:r w:rsidR="003E339C">
        <w:rPr>
          <w:rFonts w:ascii="Arial" w:eastAsia="Calibri" w:hAnsi="Arial" w:cs="Arial"/>
        </w:rPr>
        <w:t xml:space="preserve"> </w:t>
      </w:r>
      <w:r w:rsidR="0009054B">
        <w:rPr>
          <w:rFonts w:ascii="Arial" w:eastAsia="Calibri" w:hAnsi="Arial" w:cs="Arial"/>
        </w:rPr>
        <w:t xml:space="preserve">Celotni obseg </w:t>
      </w:r>
      <w:r w:rsidR="0009054B" w:rsidRPr="43ED2E9D">
        <w:rPr>
          <w:rFonts w:ascii="Arial" w:eastAsia="Calibri" w:hAnsi="Arial" w:cs="Arial"/>
        </w:rPr>
        <w:t>denarnih sredstev sistema EZRD</w:t>
      </w:r>
      <w:r w:rsidR="0009054B">
        <w:rPr>
          <w:rFonts w:ascii="Arial" w:eastAsia="Calibri" w:hAnsi="Arial" w:cs="Arial"/>
        </w:rPr>
        <w:t xml:space="preserve"> </w:t>
      </w:r>
      <w:r w:rsidR="00C829A1">
        <w:rPr>
          <w:rFonts w:ascii="Arial" w:eastAsia="Calibri" w:hAnsi="Arial" w:cs="Arial"/>
        </w:rPr>
        <w:t xml:space="preserve">za naložbe izven sistema EZRD </w:t>
      </w:r>
      <w:r w:rsidR="0009054B">
        <w:rPr>
          <w:rFonts w:ascii="Arial" w:eastAsia="Calibri" w:hAnsi="Arial" w:cs="Arial"/>
        </w:rPr>
        <w:t>se i</w:t>
      </w:r>
      <w:r w:rsidR="00C907F4">
        <w:rPr>
          <w:rFonts w:ascii="Arial" w:eastAsia="Calibri" w:hAnsi="Arial" w:cs="Arial"/>
        </w:rPr>
        <w:t xml:space="preserve">zračunava </w:t>
      </w:r>
      <w:r w:rsidR="00066847">
        <w:rPr>
          <w:rFonts w:ascii="Arial" w:eastAsia="Calibri" w:hAnsi="Arial" w:cs="Arial"/>
        </w:rPr>
        <w:t>letno</w:t>
      </w:r>
      <w:r w:rsidR="00C70477">
        <w:rPr>
          <w:rFonts w:ascii="Arial" w:eastAsia="Calibri" w:hAnsi="Arial" w:cs="Arial"/>
        </w:rPr>
        <w:t xml:space="preserve">. </w:t>
      </w:r>
      <w:r w:rsidR="0B85BE73" w:rsidRPr="43ED2E9D">
        <w:rPr>
          <w:rFonts w:ascii="Arial" w:eastAsia="Calibri" w:hAnsi="Arial" w:cs="Arial"/>
        </w:rPr>
        <w:t xml:space="preserve">V primeru </w:t>
      </w:r>
      <w:r w:rsidR="00780881">
        <w:rPr>
          <w:rFonts w:ascii="Arial" w:eastAsia="Calibri" w:hAnsi="Arial" w:cs="Arial"/>
        </w:rPr>
        <w:t>večjih</w:t>
      </w:r>
      <w:r w:rsidR="00B50C06">
        <w:rPr>
          <w:rFonts w:ascii="Arial" w:eastAsia="Calibri" w:hAnsi="Arial" w:cs="Arial"/>
        </w:rPr>
        <w:t xml:space="preserve"> sprememb</w:t>
      </w:r>
      <w:r w:rsidR="0B85BE73" w:rsidRPr="43ED2E9D">
        <w:rPr>
          <w:rFonts w:ascii="Arial" w:eastAsia="Calibri" w:hAnsi="Arial" w:cs="Arial"/>
        </w:rPr>
        <w:t xml:space="preserve"> </w:t>
      </w:r>
      <w:r w:rsidR="00C907F4">
        <w:rPr>
          <w:rFonts w:ascii="Arial" w:eastAsia="Calibri" w:hAnsi="Arial" w:cs="Arial"/>
        </w:rPr>
        <w:t xml:space="preserve">v </w:t>
      </w:r>
      <w:r w:rsidR="00F75D37">
        <w:rPr>
          <w:rFonts w:ascii="Arial" w:eastAsia="Calibri" w:hAnsi="Arial" w:cs="Arial"/>
        </w:rPr>
        <w:t>napovedi</w:t>
      </w:r>
      <w:r w:rsidR="00C907F4">
        <w:rPr>
          <w:rFonts w:ascii="Arial" w:eastAsia="Calibri" w:hAnsi="Arial" w:cs="Arial"/>
        </w:rPr>
        <w:t>h</w:t>
      </w:r>
      <w:r w:rsidR="00C33F4B">
        <w:rPr>
          <w:rFonts w:ascii="Arial" w:eastAsia="Calibri" w:hAnsi="Arial" w:cs="Arial"/>
        </w:rPr>
        <w:t xml:space="preserve"> stanja </w:t>
      </w:r>
      <w:r w:rsidR="001329EF">
        <w:rPr>
          <w:rFonts w:ascii="Arial" w:eastAsia="Calibri" w:hAnsi="Arial" w:cs="Arial"/>
        </w:rPr>
        <w:t xml:space="preserve">bilančne vsote </w:t>
      </w:r>
      <w:r w:rsidR="00C907F4">
        <w:rPr>
          <w:rFonts w:ascii="Arial" w:eastAsia="Calibri" w:hAnsi="Arial" w:cs="Arial"/>
        </w:rPr>
        <w:t xml:space="preserve">sistema </w:t>
      </w:r>
      <w:r w:rsidR="001329EF">
        <w:rPr>
          <w:rFonts w:ascii="Arial" w:eastAsia="Calibri" w:hAnsi="Arial" w:cs="Arial"/>
        </w:rPr>
        <w:t>EZRD</w:t>
      </w:r>
      <w:r w:rsidR="0B85BE73" w:rsidRPr="43ED2E9D">
        <w:rPr>
          <w:rFonts w:ascii="Arial" w:eastAsia="Calibri" w:hAnsi="Arial" w:cs="Arial"/>
        </w:rPr>
        <w:t>,</w:t>
      </w:r>
      <w:r w:rsidR="00C907F4">
        <w:rPr>
          <w:rFonts w:ascii="Arial" w:eastAsia="Calibri" w:hAnsi="Arial" w:cs="Arial"/>
        </w:rPr>
        <w:t xml:space="preserve"> se</w:t>
      </w:r>
      <w:r w:rsidR="0B85BE73" w:rsidRPr="43ED2E9D">
        <w:rPr>
          <w:rFonts w:ascii="Arial" w:eastAsia="Calibri" w:hAnsi="Arial" w:cs="Arial"/>
        </w:rPr>
        <w:t xml:space="preserve"> lahko </w:t>
      </w:r>
      <w:r w:rsidR="0B85BE73" w:rsidRPr="00C907F4">
        <w:rPr>
          <w:rFonts w:ascii="Arial" w:eastAsia="Calibri" w:hAnsi="Arial" w:cs="Arial"/>
        </w:rPr>
        <w:t>izr</w:t>
      </w:r>
      <w:r w:rsidR="7961FA5C" w:rsidRPr="00C907F4">
        <w:rPr>
          <w:rFonts w:ascii="Arial" w:eastAsia="Calibri" w:hAnsi="Arial" w:cs="Arial"/>
        </w:rPr>
        <w:t>a</w:t>
      </w:r>
      <w:r w:rsidR="0B85BE73" w:rsidRPr="00C907F4">
        <w:rPr>
          <w:rFonts w:ascii="Arial" w:eastAsia="Calibri" w:hAnsi="Arial" w:cs="Arial"/>
        </w:rPr>
        <w:t>čuna</w:t>
      </w:r>
      <w:r w:rsidR="00F75D37" w:rsidRPr="00C907F4">
        <w:rPr>
          <w:rFonts w:ascii="Arial" w:eastAsia="Calibri" w:hAnsi="Arial" w:cs="Arial"/>
        </w:rPr>
        <w:t>va</w:t>
      </w:r>
      <w:r w:rsidR="0B85BE73" w:rsidRPr="00C907F4">
        <w:rPr>
          <w:rFonts w:ascii="Arial" w:eastAsia="Calibri" w:hAnsi="Arial" w:cs="Arial"/>
        </w:rPr>
        <w:t xml:space="preserve"> pogosteje</w:t>
      </w:r>
      <w:r w:rsidR="0B85BE73" w:rsidRPr="43ED2E9D">
        <w:rPr>
          <w:rFonts w:ascii="Arial" w:eastAsia="Calibri" w:hAnsi="Arial" w:cs="Arial"/>
          <w:lang w:val="de-DE"/>
        </w:rPr>
        <w:t>.</w:t>
      </w:r>
    </w:p>
    <w:p w14:paraId="106B5FF8" w14:textId="4FBF353B" w:rsidR="006F6A1D" w:rsidRDefault="00C51D8B" w:rsidP="009C21E8">
      <w:pPr>
        <w:spacing w:after="200" w:line="276" w:lineRule="auto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V okviru celotnega obsega denarnih sredstev sistema EZRD za naložbe izven</w:t>
      </w:r>
      <w:r w:rsidR="00E03D5E">
        <w:rPr>
          <w:rFonts w:ascii="Arial" w:eastAsia="Calibri" w:hAnsi="Arial" w:cs="Arial"/>
        </w:rPr>
        <w:t xml:space="preserve"> sistema</w:t>
      </w:r>
      <w:r w:rsidR="00C829A1">
        <w:rPr>
          <w:rFonts w:ascii="Arial" w:eastAsia="Calibri" w:hAnsi="Arial" w:cs="Arial"/>
        </w:rPr>
        <w:t xml:space="preserve"> EZRD</w:t>
      </w:r>
      <w:r>
        <w:rPr>
          <w:rFonts w:ascii="Arial" w:eastAsia="Calibri" w:hAnsi="Arial" w:cs="Arial"/>
        </w:rPr>
        <w:t xml:space="preserve"> je določena l</w:t>
      </w:r>
      <w:r w:rsidR="003E339C" w:rsidRPr="003E339C">
        <w:rPr>
          <w:rFonts w:ascii="Arial" w:eastAsia="Calibri" w:hAnsi="Arial" w:cs="Arial"/>
        </w:rPr>
        <w:t>ikvidnostn</w:t>
      </w:r>
      <w:r w:rsidR="0009054B">
        <w:rPr>
          <w:rFonts w:ascii="Arial" w:eastAsia="Calibri" w:hAnsi="Arial" w:cs="Arial"/>
        </w:rPr>
        <w:t>a</w:t>
      </w:r>
      <w:r w:rsidR="003E339C" w:rsidRPr="003E339C">
        <w:rPr>
          <w:rFonts w:ascii="Arial" w:eastAsia="Calibri" w:hAnsi="Arial" w:cs="Arial"/>
        </w:rPr>
        <w:t xml:space="preserve"> rezerv</w:t>
      </w:r>
      <w:r w:rsidR="0009054B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. To</w:t>
      </w:r>
      <w:r w:rsidR="0009054B">
        <w:rPr>
          <w:rFonts w:ascii="Arial" w:eastAsia="Calibri" w:hAnsi="Arial" w:cs="Arial"/>
        </w:rPr>
        <w:t xml:space="preserve"> je tisti obseg denarnih sredstev sistema EZRD, ki</w:t>
      </w:r>
      <w:r w:rsidR="0049459F">
        <w:rPr>
          <w:rFonts w:ascii="Arial" w:eastAsia="Calibri" w:hAnsi="Arial" w:cs="Arial"/>
        </w:rPr>
        <w:t xml:space="preserve"> je</w:t>
      </w:r>
      <w:r w:rsidR="0009054B">
        <w:rPr>
          <w:rFonts w:ascii="Arial" w:eastAsia="Calibri" w:hAnsi="Arial" w:cs="Arial"/>
        </w:rPr>
        <w:t xml:space="preserve"> namenjen hitre</w:t>
      </w:r>
      <w:r w:rsidR="00404C58">
        <w:rPr>
          <w:rFonts w:ascii="Arial" w:eastAsia="Calibri" w:hAnsi="Arial" w:cs="Arial"/>
        </w:rPr>
        <w:t>mu</w:t>
      </w:r>
      <w:r w:rsidR="0009054B">
        <w:rPr>
          <w:rFonts w:ascii="Arial" w:eastAsia="Calibri" w:hAnsi="Arial" w:cs="Arial"/>
        </w:rPr>
        <w:t xml:space="preserve"> pokrivanj</w:t>
      </w:r>
      <w:r w:rsidR="00404C58">
        <w:rPr>
          <w:rFonts w:ascii="Arial" w:eastAsia="Calibri" w:hAnsi="Arial" w:cs="Arial"/>
        </w:rPr>
        <w:t>u</w:t>
      </w:r>
      <w:r w:rsidR="0009054B">
        <w:rPr>
          <w:rFonts w:ascii="Arial" w:eastAsia="Calibri" w:hAnsi="Arial" w:cs="Arial"/>
        </w:rPr>
        <w:t xml:space="preserve"> likvidnostnih potreb</w:t>
      </w:r>
      <w:r w:rsidR="00404C58">
        <w:rPr>
          <w:rFonts w:ascii="Arial" w:eastAsia="Calibri" w:hAnsi="Arial" w:cs="Arial"/>
        </w:rPr>
        <w:t xml:space="preserve">. Likvidnostna rezerva je lahko v obliki </w:t>
      </w:r>
      <w:r w:rsidR="00F256B3">
        <w:rPr>
          <w:rFonts w:ascii="Arial" w:eastAsia="Calibri" w:hAnsi="Arial" w:cs="Arial"/>
        </w:rPr>
        <w:t>stanj</w:t>
      </w:r>
      <w:r w:rsidR="00404C58">
        <w:rPr>
          <w:rFonts w:ascii="Arial" w:eastAsia="Calibri" w:hAnsi="Arial" w:cs="Arial"/>
        </w:rPr>
        <w:t>a</w:t>
      </w:r>
      <w:r w:rsidR="00F256B3">
        <w:rPr>
          <w:rFonts w:ascii="Arial" w:eastAsia="Calibri" w:hAnsi="Arial" w:cs="Arial"/>
        </w:rPr>
        <w:t xml:space="preserve"> na EZRD</w:t>
      </w:r>
      <w:r w:rsidR="00404C58">
        <w:rPr>
          <w:rFonts w:ascii="Arial" w:eastAsia="Calibri" w:hAnsi="Arial" w:cs="Arial"/>
        </w:rPr>
        <w:t xml:space="preserve"> ali naložb</w:t>
      </w:r>
      <w:r w:rsidR="0005467F">
        <w:rPr>
          <w:rFonts w:ascii="Arial" w:eastAsia="Calibri" w:hAnsi="Arial" w:cs="Arial"/>
        </w:rPr>
        <w:t>ah</w:t>
      </w:r>
      <w:r w:rsidR="00404C58">
        <w:rPr>
          <w:rFonts w:ascii="Arial" w:eastAsia="Calibri" w:hAnsi="Arial" w:cs="Arial"/>
        </w:rPr>
        <w:t xml:space="preserve"> v</w:t>
      </w:r>
      <w:r w:rsidR="0009054B">
        <w:rPr>
          <w:rFonts w:ascii="Arial" w:eastAsia="Calibri" w:hAnsi="Arial" w:cs="Arial"/>
        </w:rPr>
        <w:t xml:space="preserve"> </w:t>
      </w:r>
      <w:r w:rsidR="003E339C" w:rsidRPr="003E339C">
        <w:rPr>
          <w:rFonts w:ascii="Arial" w:eastAsia="Calibri" w:hAnsi="Arial" w:cs="Arial"/>
        </w:rPr>
        <w:t>nočn</w:t>
      </w:r>
      <w:r w:rsidR="006F6A1D">
        <w:rPr>
          <w:rFonts w:ascii="Arial" w:eastAsia="Calibri" w:hAnsi="Arial" w:cs="Arial"/>
        </w:rPr>
        <w:t>e</w:t>
      </w:r>
      <w:r w:rsidR="003E339C" w:rsidRPr="003E339C">
        <w:rPr>
          <w:rFonts w:ascii="Arial" w:eastAsia="Calibri" w:hAnsi="Arial" w:cs="Arial"/>
        </w:rPr>
        <w:t xml:space="preserve"> depozit</w:t>
      </w:r>
      <w:r w:rsidR="00F256B3">
        <w:rPr>
          <w:rFonts w:ascii="Arial" w:eastAsia="Calibri" w:hAnsi="Arial" w:cs="Arial"/>
        </w:rPr>
        <w:t>e, vezan</w:t>
      </w:r>
      <w:r w:rsidR="0005467F">
        <w:rPr>
          <w:rFonts w:ascii="Arial" w:eastAsia="Calibri" w:hAnsi="Arial" w:cs="Arial"/>
        </w:rPr>
        <w:t>ih</w:t>
      </w:r>
      <w:r w:rsidR="00F256B3">
        <w:rPr>
          <w:rFonts w:ascii="Arial" w:eastAsia="Calibri" w:hAnsi="Arial" w:cs="Arial"/>
        </w:rPr>
        <w:t xml:space="preserve"> naložb</w:t>
      </w:r>
      <w:r w:rsidR="0005467F">
        <w:rPr>
          <w:rFonts w:ascii="Arial" w:eastAsia="Calibri" w:hAnsi="Arial" w:cs="Arial"/>
        </w:rPr>
        <w:t>ah</w:t>
      </w:r>
      <w:r w:rsidR="00F256B3">
        <w:rPr>
          <w:rFonts w:ascii="Arial" w:eastAsia="Calibri" w:hAnsi="Arial" w:cs="Arial"/>
        </w:rPr>
        <w:t xml:space="preserve"> z zapadlostjo naslednji dan</w:t>
      </w:r>
      <w:r w:rsidR="003E339C" w:rsidRPr="003E339C">
        <w:rPr>
          <w:rFonts w:ascii="Arial" w:eastAsia="Calibri" w:hAnsi="Arial" w:cs="Arial"/>
        </w:rPr>
        <w:t xml:space="preserve"> in naložb</w:t>
      </w:r>
      <w:r w:rsidR="0005467F">
        <w:rPr>
          <w:rFonts w:ascii="Arial" w:eastAsia="Calibri" w:hAnsi="Arial" w:cs="Arial"/>
        </w:rPr>
        <w:t>ah</w:t>
      </w:r>
      <w:r w:rsidR="003E339C" w:rsidRPr="003E339C">
        <w:rPr>
          <w:rFonts w:ascii="Arial" w:eastAsia="Calibri" w:hAnsi="Arial" w:cs="Arial"/>
        </w:rPr>
        <w:t xml:space="preserve"> na odpoklic, ki zapadejo v vračilo naslednji dan po odpoklicu. </w:t>
      </w:r>
      <w:r w:rsidR="00C27BE9">
        <w:rPr>
          <w:rFonts w:ascii="Arial" w:eastAsia="Calibri" w:hAnsi="Arial" w:cs="Arial"/>
        </w:rPr>
        <w:t>Znesek likvidnostne rezerve se d</w:t>
      </w:r>
      <w:r w:rsidR="0009054B">
        <w:rPr>
          <w:rFonts w:ascii="Arial" w:eastAsia="Calibri" w:hAnsi="Arial" w:cs="Arial"/>
        </w:rPr>
        <w:t xml:space="preserve">oloča </w:t>
      </w:r>
      <w:r w:rsidR="00C27BE9">
        <w:rPr>
          <w:rFonts w:ascii="Arial" w:eastAsia="Calibri" w:hAnsi="Arial" w:cs="Arial"/>
        </w:rPr>
        <w:t xml:space="preserve">vsaj enkrat </w:t>
      </w:r>
      <w:r w:rsidR="00066847">
        <w:rPr>
          <w:rFonts w:ascii="Arial" w:eastAsia="Calibri" w:hAnsi="Arial" w:cs="Arial"/>
        </w:rPr>
        <w:t>letno</w:t>
      </w:r>
      <w:r w:rsidR="00C27BE9">
        <w:rPr>
          <w:rFonts w:ascii="Arial" w:eastAsia="Calibri" w:hAnsi="Arial" w:cs="Arial"/>
        </w:rPr>
        <w:t xml:space="preserve">. </w:t>
      </w:r>
    </w:p>
    <w:p w14:paraId="16344F91" w14:textId="04E7BFB0" w:rsidR="00C907F4" w:rsidRDefault="00861EF3" w:rsidP="00C907F4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C907F4" w:rsidRPr="008220CC">
        <w:rPr>
          <w:rFonts w:ascii="Arial" w:hAnsi="Arial" w:cs="Arial"/>
          <w:b/>
          <w:szCs w:val="22"/>
        </w:rPr>
        <w:t>.2. Maksimaln</w:t>
      </w:r>
      <w:r w:rsidR="00BA7B29">
        <w:rPr>
          <w:rFonts w:ascii="Arial" w:hAnsi="Arial" w:cs="Arial"/>
          <w:b/>
          <w:szCs w:val="22"/>
        </w:rPr>
        <w:t>a</w:t>
      </w:r>
      <w:r w:rsidR="00C907F4" w:rsidRPr="008220CC">
        <w:rPr>
          <w:rFonts w:ascii="Arial" w:hAnsi="Arial" w:cs="Arial"/>
          <w:b/>
          <w:szCs w:val="22"/>
        </w:rPr>
        <w:t xml:space="preserve"> izpostavljenost do posamezne nasprotne stranke</w:t>
      </w:r>
    </w:p>
    <w:p w14:paraId="227CC509" w14:textId="77777777" w:rsidR="0099739D" w:rsidRPr="008220CC" w:rsidRDefault="0099739D" w:rsidP="00C907F4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</w:p>
    <w:p w14:paraId="06A66712" w14:textId="532E53F2" w:rsidR="00980E96" w:rsidRPr="008220CC" w:rsidDel="00F75D37" w:rsidRDefault="006F084F" w:rsidP="001D4B4B">
      <w:pPr>
        <w:spacing w:after="200" w:line="276" w:lineRule="auto"/>
        <w:rPr>
          <w:rFonts w:ascii="Arial" w:hAnsi="Arial" w:cs="Arial"/>
          <w:b/>
          <w:bCs/>
        </w:rPr>
      </w:pPr>
      <w:r w:rsidRPr="00492724">
        <w:rPr>
          <w:rFonts w:ascii="Arial" w:eastAsia="Calibri" w:hAnsi="Arial" w:cs="Arial"/>
        </w:rPr>
        <w:t>Znotraj posamezne skupine nasprotnih strank se določi maksimaln</w:t>
      </w:r>
      <w:r w:rsidR="00BA7B29">
        <w:rPr>
          <w:rFonts w:ascii="Arial" w:eastAsia="Calibri" w:hAnsi="Arial" w:cs="Arial"/>
        </w:rPr>
        <w:t>a</w:t>
      </w:r>
      <w:r w:rsidRPr="00492724">
        <w:rPr>
          <w:rFonts w:ascii="Arial" w:eastAsia="Calibri" w:hAnsi="Arial" w:cs="Arial"/>
        </w:rPr>
        <w:t xml:space="preserve"> izpostavljenost do posamezne nasprotne stranke</w:t>
      </w:r>
      <w:r w:rsidR="00C907F4">
        <w:rPr>
          <w:rFonts w:ascii="Arial" w:eastAsia="Calibri" w:hAnsi="Arial" w:cs="Arial"/>
        </w:rPr>
        <w:t xml:space="preserve">. </w:t>
      </w:r>
      <w:r w:rsidR="001D4B4B">
        <w:rPr>
          <w:rFonts w:ascii="Arial" w:eastAsia="Calibri" w:hAnsi="Arial" w:cs="Arial"/>
        </w:rPr>
        <w:t>Določen</w:t>
      </w:r>
      <w:r w:rsidR="00BA7B29">
        <w:rPr>
          <w:rFonts w:ascii="Arial" w:eastAsia="Calibri" w:hAnsi="Arial" w:cs="Arial"/>
        </w:rPr>
        <w:t>a</w:t>
      </w:r>
      <w:r w:rsidR="001D4B4B">
        <w:rPr>
          <w:rFonts w:ascii="Arial" w:eastAsia="Calibri" w:hAnsi="Arial" w:cs="Arial"/>
        </w:rPr>
        <w:t xml:space="preserve"> je z maksimalnim deležem </w:t>
      </w:r>
      <w:r w:rsidR="00BA7B29">
        <w:rPr>
          <w:rFonts w:ascii="Arial" w:eastAsia="Calibri" w:hAnsi="Arial" w:cs="Arial"/>
        </w:rPr>
        <w:t xml:space="preserve">izpostavljenosti </w:t>
      </w:r>
      <w:r w:rsidR="001D4B4B">
        <w:rPr>
          <w:rFonts w:ascii="Arial" w:eastAsia="Calibri" w:hAnsi="Arial" w:cs="Arial"/>
        </w:rPr>
        <w:t>in maksimalnim obsegom izpostavljenosti.</w:t>
      </w:r>
    </w:p>
    <w:p w14:paraId="52772635" w14:textId="10600847" w:rsidR="007C2283" w:rsidRPr="008220CC" w:rsidRDefault="00861EF3" w:rsidP="007C2283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7C2283" w:rsidRPr="008220CC">
        <w:rPr>
          <w:rFonts w:ascii="Arial" w:hAnsi="Arial" w:cs="Arial"/>
          <w:b/>
          <w:szCs w:val="22"/>
        </w:rPr>
        <w:t>.2.1. Maksimalni delež</w:t>
      </w:r>
      <w:r w:rsidR="00C829A1">
        <w:rPr>
          <w:rFonts w:ascii="Arial" w:hAnsi="Arial" w:cs="Arial"/>
          <w:b/>
          <w:szCs w:val="22"/>
        </w:rPr>
        <w:t xml:space="preserve"> izpostavljenosti</w:t>
      </w:r>
    </w:p>
    <w:p w14:paraId="4001A861" w14:textId="77777777" w:rsidR="007C2283" w:rsidRPr="008220CC" w:rsidRDefault="007C2283" w:rsidP="00FC1AE4">
      <w:pPr>
        <w:shd w:val="clear" w:color="auto" w:fill="auto"/>
        <w:rPr>
          <w:rFonts w:ascii="Arial" w:hAnsi="Arial" w:cs="Arial"/>
          <w:szCs w:val="22"/>
        </w:rPr>
      </w:pPr>
    </w:p>
    <w:p w14:paraId="1AA56503" w14:textId="77777777" w:rsidR="007C2283" w:rsidRPr="008220CC" w:rsidRDefault="007C2283" w:rsidP="0095168F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 w:rsidRPr="008220CC">
        <w:rPr>
          <w:rFonts w:ascii="Arial" w:eastAsia="Calibri" w:hAnsi="Arial" w:cs="Arial"/>
          <w:szCs w:val="22"/>
        </w:rPr>
        <w:t xml:space="preserve">Maksimalni delež izpostavljenosti do posamezne nasprotne stranke se izračuna v odvisnosti od naslednjih kategorij in </w:t>
      </w:r>
      <w:proofErr w:type="spellStart"/>
      <w:r w:rsidRPr="008220CC">
        <w:rPr>
          <w:rFonts w:ascii="Arial" w:eastAsia="Calibri" w:hAnsi="Arial" w:cs="Arial"/>
          <w:szCs w:val="22"/>
        </w:rPr>
        <w:t>ponderjev</w:t>
      </w:r>
      <w:proofErr w:type="spellEnd"/>
      <w:r w:rsidRPr="008220CC">
        <w:rPr>
          <w:rFonts w:ascii="Arial" w:eastAsia="Calibri" w:hAnsi="Arial" w:cs="Arial"/>
          <w:szCs w:val="22"/>
        </w:rPr>
        <w:t xml:space="preserve"> posamezne kategorije: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992"/>
        <w:gridCol w:w="992"/>
      </w:tblGrid>
      <w:tr w:rsidR="00685C15" w:rsidRPr="001D4B4B" w14:paraId="4676405D" w14:textId="77777777" w:rsidTr="00FB237B">
        <w:trPr>
          <w:trHeight w:val="1091"/>
        </w:trPr>
        <w:tc>
          <w:tcPr>
            <w:tcW w:w="4395" w:type="dxa"/>
            <w:tcBorders>
              <w:tl2br w:val="single" w:sz="4" w:space="0" w:color="auto"/>
            </w:tcBorders>
            <w:shd w:val="clear" w:color="auto" w:fill="auto"/>
          </w:tcPr>
          <w:p w14:paraId="5620DA69" w14:textId="77777777" w:rsidR="00685C15" w:rsidRPr="001D4B4B" w:rsidRDefault="00685C15" w:rsidP="009C708A">
            <w:pPr>
              <w:shd w:val="clear" w:color="auto" w:fill="auto"/>
              <w:spacing w:line="260" w:lineRule="atLeast"/>
              <w:jc w:val="lef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 xml:space="preserve">                       </w:t>
            </w:r>
          </w:p>
          <w:p w14:paraId="4567E26F" w14:textId="0779A56F" w:rsidR="00685C15" w:rsidRPr="001D4B4B" w:rsidRDefault="00685C15" w:rsidP="009C708A">
            <w:pPr>
              <w:shd w:val="clear" w:color="auto" w:fill="auto"/>
              <w:spacing w:line="260" w:lineRule="atLeast"/>
              <w:jc w:val="lef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 xml:space="preserve">                     </w:t>
            </w:r>
            <w:r w:rsidR="001D4B4B" w:rsidRPr="001D4B4B">
              <w:rPr>
                <w:rFonts w:ascii="Arial" w:hAnsi="Arial" w:cs="Arial"/>
                <w:szCs w:val="22"/>
              </w:rPr>
              <w:t xml:space="preserve">               </w:t>
            </w:r>
            <w:r w:rsidRPr="001D4B4B">
              <w:rPr>
                <w:rFonts w:ascii="Arial" w:hAnsi="Arial" w:cs="Arial"/>
                <w:b/>
                <w:szCs w:val="22"/>
              </w:rPr>
              <w:t>Kategorija</w:t>
            </w:r>
          </w:p>
          <w:p w14:paraId="44C5A4A7" w14:textId="77777777" w:rsidR="001D4B4B" w:rsidRPr="001D4B4B" w:rsidRDefault="001D4B4B" w:rsidP="009C708A">
            <w:pPr>
              <w:shd w:val="clear" w:color="auto" w:fill="auto"/>
              <w:spacing w:line="260" w:lineRule="atLeast"/>
              <w:jc w:val="lef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Nasprotna stranka iz</w:t>
            </w:r>
          </w:p>
          <w:p w14:paraId="765F9B18" w14:textId="3FA28C0D" w:rsidR="00685C15" w:rsidRPr="001D4B4B" w:rsidRDefault="001D4B4B" w:rsidP="001D4B4B">
            <w:pPr>
              <w:shd w:val="clear" w:color="auto" w:fill="auto"/>
              <w:spacing w:line="260" w:lineRule="atLeast"/>
              <w:jc w:val="lef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skupine nasprotnih strank</w:t>
            </w:r>
          </w:p>
        </w:tc>
        <w:tc>
          <w:tcPr>
            <w:tcW w:w="1417" w:type="dxa"/>
            <w:shd w:val="clear" w:color="auto" w:fill="auto"/>
          </w:tcPr>
          <w:p w14:paraId="4CCDF0B0" w14:textId="5BF278D4" w:rsidR="00685C15" w:rsidRPr="001D4B4B" w:rsidRDefault="00685C15" w:rsidP="00C829A1">
            <w:pPr>
              <w:shd w:val="clear" w:color="auto" w:fill="auto"/>
              <w:spacing w:line="260" w:lineRule="atLeas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Bilančna vsota</w:t>
            </w:r>
            <w:r w:rsidR="00C829A1">
              <w:rPr>
                <w:rFonts w:ascii="Arial" w:hAnsi="Arial" w:cs="Arial"/>
                <w:b/>
                <w:szCs w:val="22"/>
              </w:rPr>
              <w:t xml:space="preserve"> nasprotne stranke</w:t>
            </w:r>
          </w:p>
        </w:tc>
        <w:tc>
          <w:tcPr>
            <w:tcW w:w="1418" w:type="dxa"/>
            <w:shd w:val="clear" w:color="auto" w:fill="auto"/>
          </w:tcPr>
          <w:p w14:paraId="32FB4661" w14:textId="579A046F" w:rsidR="00685C15" w:rsidRPr="001D4B4B" w:rsidRDefault="00685C15" w:rsidP="00C829A1">
            <w:pPr>
              <w:shd w:val="clear" w:color="auto" w:fill="auto"/>
              <w:spacing w:line="260" w:lineRule="atLeas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Bonitetna ocena</w:t>
            </w:r>
            <w:r w:rsidR="00C829A1">
              <w:rPr>
                <w:rFonts w:ascii="Arial" w:hAnsi="Arial" w:cs="Arial"/>
                <w:b/>
                <w:szCs w:val="22"/>
              </w:rPr>
              <w:t xml:space="preserve"> nasprotne stranke</w:t>
            </w:r>
          </w:p>
        </w:tc>
        <w:tc>
          <w:tcPr>
            <w:tcW w:w="992" w:type="dxa"/>
            <w:shd w:val="clear" w:color="auto" w:fill="auto"/>
          </w:tcPr>
          <w:p w14:paraId="6CC7CAEE" w14:textId="77777777" w:rsidR="00685C15" w:rsidRPr="001D4B4B" w:rsidRDefault="00685C15" w:rsidP="001074B6">
            <w:pPr>
              <w:shd w:val="clear" w:color="auto" w:fill="auto"/>
              <w:spacing w:line="260" w:lineRule="atLeas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BDP</w:t>
            </w:r>
          </w:p>
          <w:p w14:paraId="47C1088B" w14:textId="77777777" w:rsidR="00685C15" w:rsidRPr="001D4B4B" w:rsidRDefault="00685C15" w:rsidP="001074B6">
            <w:pPr>
              <w:shd w:val="clear" w:color="auto" w:fill="auto"/>
              <w:spacing w:line="260" w:lineRule="atLeas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države</w:t>
            </w:r>
          </w:p>
        </w:tc>
        <w:tc>
          <w:tcPr>
            <w:tcW w:w="992" w:type="dxa"/>
            <w:shd w:val="clear" w:color="auto" w:fill="auto"/>
          </w:tcPr>
          <w:p w14:paraId="53718E8B" w14:textId="77777777" w:rsidR="00685C15" w:rsidRPr="001D4B4B" w:rsidRDefault="00685C15" w:rsidP="001074B6">
            <w:pPr>
              <w:shd w:val="clear" w:color="auto" w:fill="auto"/>
              <w:spacing w:line="260" w:lineRule="atLeas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Skupaj</w:t>
            </w:r>
          </w:p>
        </w:tc>
      </w:tr>
      <w:tr w:rsidR="00685C15" w:rsidRPr="001D4B4B" w14:paraId="05AF3B49" w14:textId="77777777" w:rsidTr="00FB237B">
        <w:trPr>
          <w:trHeight w:val="560"/>
        </w:trPr>
        <w:tc>
          <w:tcPr>
            <w:tcW w:w="4395" w:type="dxa"/>
            <w:shd w:val="clear" w:color="auto" w:fill="auto"/>
          </w:tcPr>
          <w:p w14:paraId="601184E9" w14:textId="1D1540B3" w:rsidR="00685C15" w:rsidRPr="001D4B4B" w:rsidRDefault="00685C15" w:rsidP="00E30D4A">
            <w:pPr>
              <w:shd w:val="clear" w:color="auto" w:fill="auto"/>
              <w:spacing w:line="260" w:lineRule="atLeas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 xml:space="preserve">banke in hranilnice </w:t>
            </w:r>
          </w:p>
        </w:tc>
        <w:tc>
          <w:tcPr>
            <w:tcW w:w="1417" w:type="dxa"/>
            <w:shd w:val="clear" w:color="auto" w:fill="auto"/>
          </w:tcPr>
          <w:p w14:paraId="1B24BCE8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0,40</w:t>
            </w:r>
          </w:p>
        </w:tc>
        <w:tc>
          <w:tcPr>
            <w:tcW w:w="1418" w:type="dxa"/>
            <w:shd w:val="clear" w:color="auto" w:fill="auto"/>
          </w:tcPr>
          <w:p w14:paraId="3C9B59C8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0,60</w:t>
            </w:r>
          </w:p>
        </w:tc>
        <w:tc>
          <w:tcPr>
            <w:tcW w:w="992" w:type="dxa"/>
            <w:shd w:val="clear" w:color="auto" w:fill="auto"/>
          </w:tcPr>
          <w:p w14:paraId="2ED031FD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1A72B5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1,00</w:t>
            </w:r>
          </w:p>
        </w:tc>
      </w:tr>
      <w:tr w:rsidR="00685C15" w:rsidRPr="001D4B4B" w14:paraId="02C8162C" w14:textId="77777777" w:rsidTr="00FB237B">
        <w:trPr>
          <w:trHeight w:val="560"/>
        </w:trPr>
        <w:tc>
          <w:tcPr>
            <w:tcW w:w="4395" w:type="dxa"/>
            <w:shd w:val="clear" w:color="auto" w:fill="auto"/>
          </w:tcPr>
          <w:p w14:paraId="51FDB7EF" w14:textId="513C569B" w:rsidR="00685C15" w:rsidRPr="001D4B4B" w:rsidRDefault="00685C15" w:rsidP="00E30D4A">
            <w:pPr>
              <w:shd w:val="clear" w:color="auto" w:fill="auto"/>
              <w:spacing w:line="260" w:lineRule="atLeas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 xml:space="preserve">države </w:t>
            </w:r>
            <w:r w:rsidR="00130F13">
              <w:rPr>
                <w:rFonts w:ascii="Arial" w:hAnsi="Arial" w:cs="Arial"/>
                <w:szCs w:val="22"/>
              </w:rPr>
              <w:t>EMU</w:t>
            </w:r>
            <w:r w:rsidRPr="001D4B4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D863DDE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CA43C0A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0,70</w:t>
            </w:r>
          </w:p>
        </w:tc>
        <w:tc>
          <w:tcPr>
            <w:tcW w:w="992" w:type="dxa"/>
            <w:shd w:val="clear" w:color="auto" w:fill="auto"/>
          </w:tcPr>
          <w:p w14:paraId="139FF96B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0,30</w:t>
            </w:r>
          </w:p>
        </w:tc>
        <w:tc>
          <w:tcPr>
            <w:tcW w:w="992" w:type="dxa"/>
            <w:shd w:val="clear" w:color="auto" w:fill="auto"/>
          </w:tcPr>
          <w:p w14:paraId="7B3030AB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1,00</w:t>
            </w:r>
          </w:p>
        </w:tc>
      </w:tr>
      <w:tr w:rsidR="00685C15" w:rsidRPr="001D4B4B" w14:paraId="4E15BAB5" w14:textId="77777777" w:rsidTr="00FB237B">
        <w:trPr>
          <w:trHeight w:val="560"/>
        </w:trPr>
        <w:tc>
          <w:tcPr>
            <w:tcW w:w="4395" w:type="dxa"/>
            <w:shd w:val="clear" w:color="auto" w:fill="auto"/>
          </w:tcPr>
          <w:p w14:paraId="3110B826" w14:textId="326FD3CA" w:rsidR="00685C15" w:rsidRPr="001D4B4B" w:rsidRDefault="004A0FCE" w:rsidP="00E30D4A">
            <w:pPr>
              <w:shd w:val="clear" w:color="auto" w:fill="auto"/>
              <w:spacing w:line="260" w:lineRule="atLeas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druge finančne institucije</w:t>
            </w:r>
          </w:p>
        </w:tc>
        <w:tc>
          <w:tcPr>
            <w:tcW w:w="1417" w:type="dxa"/>
            <w:shd w:val="clear" w:color="auto" w:fill="auto"/>
          </w:tcPr>
          <w:p w14:paraId="69755F12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0,40</w:t>
            </w:r>
          </w:p>
        </w:tc>
        <w:tc>
          <w:tcPr>
            <w:tcW w:w="1418" w:type="dxa"/>
            <w:shd w:val="clear" w:color="auto" w:fill="auto"/>
          </w:tcPr>
          <w:p w14:paraId="199D9B48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0,60</w:t>
            </w:r>
          </w:p>
        </w:tc>
        <w:tc>
          <w:tcPr>
            <w:tcW w:w="992" w:type="dxa"/>
            <w:shd w:val="clear" w:color="auto" w:fill="auto"/>
          </w:tcPr>
          <w:p w14:paraId="4E5AE79B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szCs w:val="22"/>
              </w:rPr>
            </w:pPr>
            <w:r w:rsidRPr="001D4B4B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7405F8" w14:textId="77777777" w:rsidR="00685C15" w:rsidRPr="001D4B4B" w:rsidRDefault="00685C15" w:rsidP="001D4B4B">
            <w:pPr>
              <w:shd w:val="clear" w:color="auto" w:fill="auto"/>
              <w:spacing w:line="260" w:lineRule="atLeast"/>
              <w:jc w:val="right"/>
              <w:rPr>
                <w:rFonts w:ascii="Arial" w:hAnsi="Arial" w:cs="Arial"/>
                <w:b/>
                <w:szCs w:val="22"/>
              </w:rPr>
            </w:pPr>
            <w:r w:rsidRPr="001D4B4B">
              <w:rPr>
                <w:rFonts w:ascii="Arial" w:hAnsi="Arial" w:cs="Arial"/>
                <w:b/>
                <w:szCs w:val="22"/>
              </w:rPr>
              <w:t>1,00</w:t>
            </w:r>
          </w:p>
        </w:tc>
      </w:tr>
    </w:tbl>
    <w:p w14:paraId="5FD20BE6" w14:textId="77777777" w:rsidR="000413FE" w:rsidRPr="000413FE" w:rsidRDefault="000413FE" w:rsidP="0095168F">
      <w:pPr>
        <w:shd w:val="clear" w:color="auto" w:fill="auto"/>
        <w:spacing w:after="200" w:line="276" w:lineRule="auto"/>
        <w:rPr>
          <w:rFonts w:ascii="Arial" w:eastAsia="Calibri" w:hAnsi="Arial" w:cs="Arial"/>
          <w:sz w:val="10"/>
          <w:szCs w:val="10"/>
        </w:rPr>
      </w:pPr>
    </w:p>
    <w:p w14:paraId="164CDBAC" w14:textId="296769D1" w:rsidR="00B45609" w:rsidRPr="008220CC" w:rsidRDefault="3C760568" w:rsidP="0095168F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 w:rsidRPr="43ED2E9D">
        <w:rPr>
          <w:rFonts w:ascii="Arial" w:eastAsia="Calibri" w:hAnsi="Arial" w:cs="Arial"/>
        </w:rPr>
        <w:t>Podatke o bilančni vsoti</w:t>
      </w:r>
      <w:r w:rsidR="0DCAC4F0" w:rsidRPr="43ED2E9D">
        <w:rPr>
          <w:rFonts w:ascii="Arial" w:eastAsia="Calibri" w:hAnsi="Arial" w:cs="Arial"/>
        </w:rPr>
        <w:t xml:space="preserve"> </w:t>
      </w:r>
      <w:r w:rsidR="0099739D">
        <w:rPr>
          <w:rFonts w:ascii="Arial" w:eastAsia="Calibri" w:hAnsi="Arial" w:cs="Arial"/>
        </w:rPr>
        <w:t xml:space="preserve">nasprotne stranke </w:t>
      </w:r>
      <w:r w:rsidRPr="43ED2E9D">
        <w:rPr>
          <w:rFonts w:ascii="Arial" w:eastAsia="Calibri" w:hAnsi="Arial" w:cs="Arial"/>
        </w:rPr>
        <w:t xml:space="preserve">se enkrat letno pridobi iz objavljenih in revidiranih letnih poročil. </w:t>
      </w:r>
    </w:p>
    <w:p w14:paraId="1D942104" w14:textId="794DC437" w:rsidR="007C2283" w:rsidRPr="008220CC" w:rsidRDefault="007C2283" w:rsidP="0095168F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 w:rsidRPr="008220CC">
        <w:rPr>
          <w:rFonts w:ascii="Arial" w:eastAsia="Calibri" w:hAnsi="Arial" w:cs="Arial"/>
          <w:szCs w:val="22"/>
        </w:rPr>
        <w:t xml:space="preserve">Podatke o BDP držav se </w:t>
      </w:r>
      <w:r w:rsidR="00685C15">
        <w:rPr>
          <w:rFonts w:ascii="Arial" w:eastAsia="Calibri" w:hAnsi="Arial" w:cs="Arial"/>
          <w:szCs w:val="22"/>
        </w:rPr>
        <w:t>pri</w:t>
      </w:r>
      <w:r w:rsidRPr="008220CC">
        <w:rPr>
          <w:rFonts w:ascii="Arial" w:eastAsia="Calibri" w:hAnsi="Arial" w:cs="Arial"/>
          <w:szCs w:val="22"/>
        </w:rPr>
        <w:t>dobi na spletnih straneh EUROSTAT</w:t>
      </w:r>
      <w:r w:rsidR="00130F13" w:rsidRPr="00130F13">
        <w:rPr>
          <w:rFonts w:ascii="Arial" w:eastAsia="Calibri" w:hAnsi="Arial" w:cs="Arial"/>
          <w:szCs w:val="22"/>
        </w:rPr>
        <w:t xml:space="preserve"> </w:t>
      </w:r>
      <w:r w:rsidR="00130F13" w:rsidRPr="008220CC">
        <w:rPr>
          <w:rFonts w:ascii="Arial" w:eastAsia="Calibri" w:hAnsi="Arial" w:cs="Arial"/>
          <w:szCs w:val="22"/>
        </w:rPr>
        <w:t>enkrat letno</w:t>
      </w:r>
      <w:r w:rsidRPr="008220CC">
        <w:rPr>
          <w:rFonts w:ascii="Arial" w:eastAsia="Calibri" w:hAnsi="Arial" w:cs="Arial"/>
          <w:szCs w:val="22"/>
        </w:rPr>
        <w:t>. Uporabijo se zadnj</w:t>
      </w:r>
      <w:r w:rsidR="00130F13">
        <w:rPr>
          <w:rFonts w:ascii="Arial" w:eastAsia="Calibri" w:hAnsi="Arial" w:cs="Arial"/>
          <w:szCs w:val="22"/>
        </w:rPr>
        <w:t xml:space="preserve">i objavljeni </w:t>
      </w:r>
      <w:r w:rsidRPr="008220CC">
        <w:rPr>
          <w:rFonts w:ascii="Arial" w:eastAsia="Calibri" w:hAnsi="Arial" w:cs="Arial"/>
          <w:szCs w:val="22"/>
        </w:rPr>
        <w:t>podatki.</w:t>
      </w:r>
    </w:p>
    <w:p w14:paraId="56C34D86" w14:textId="543304EF" w:rsidR="007C2283" w:rsidRPr="008220CC" w:rsidRDefault="006A6C3A" w:rsidP="43ED2E9D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Podatki o bonitetni oceni se za namen izračuna</w:t>
      </w:r>
      <w:r w:rsidR="004D1DB0">
        <w:rPr>
          <w:rFonts w:ascii="Arial" w:eastAsia="Calibri" w:hAnsi="Arial" w:cs="Arial"/>
        </w:rPr>
        <w:t xml:space="preserve">vanja maksimalne izpostavljenosti </w:t>
      </w:r>
      <w:r w:rsidR="3C760568" w:rsidRPr="131D3A0E">
        <w:rPr>
          <w:rFonts w:ascii="Arial" w:eastAsia="Calibri" w:hAnsi="Arial" w:cs="Arial"/>
        </w:rPr>
        <w:t xml:space="preserve">prevedejo v bonitetno oceno </w:t>
      </w:r>
      <w:r w:rsidR="0DCAC4F0" w:rsidRPr="131D3A0E">
        <w:rPr>
          <w:rFonts w:ascii="Arial" w:eastAsia="Calibri" w:hAnsi="Arial" w:cs="Arial"/>
        </w:rPr>
        <w:t>Ministrstva za finance</w:t>
      </w:r>
      <w:r w:rsidR="00EF23D1">
        <w:rPr>
          <w:rFonts w:ascii="Arial" w:eastAsia="Calibri" w:hAnsi="Arial" w:cs="Arial"/>
        </w:rPr>
        <w:t>,</w:t>
      </w:r>
      <w:r w:rsidR="7FEA0DBB" w:rsidRPr="131D3A0E">
        <w:rPr>
          <w:rFonts w:ascii="Arial" w:eastAsia="Calibri" w:hAnsi="Arial" w:cs="Arial"/>
        </w:rPr>
        <w:t xml:space="preserve"> kot je določen</w:t>
      </w:r>
      <w:r w:rsidR="00EF23D1">
        <w:rPr>
          <w:rFonts w:ascii="Arial" w:eastAsia="Calibri" w:hAnsi="Arial" w:cs="Arial"/>
        </w:rPr>
        <w:t>a</w:t>
      </w:r>
      <w:r w:rsidR="7FEA0DBB" w:rsidRPr="131D3A0E">
        <w:rPr>
          <w:rFonts w:ascii="Arial" w:eastAsia="Calibri" w:hAnsi="Arial" w:cs="Arial"/>
        </w:rPr>
        <w:t xml:space="preserve"> v prilogi te metodologije</w:t>
      </w:r>
      <w:r w:rsidR="3C760568" w:rsidRPr="131D3A0E">
        <w:rPr>
          <w:rFonts w:ascii="Arial" w:eastAsia="Calibri" w:hAnsi="Arial" w:cs="Arial"/>
        </w:rPr>
        <w:t>.</w:t>
      </w:r>
      <w:r w:rsidR="0270BB51" w:rsidRPr="131D3A0E">
        <w:rPr>
          <w:rFonts w:ascii="Arial" w:eastAsia="Calibri" w:hAnsi="Arial" w:cs="Arial"/>
        </w:rPr>
        <w:t xml:space="preserve"> </w:t>
      </w:r>
      <w:r w:rsidR="00EF23D1">
        <w:rPr>
          <w:rFonts w:ascii="Arial" w:eastAsia="Arial" w:hAnsi="Arial" w:cs="Arial"/>
        </w:rPr>
        <w:t>V primeru več</w:t>
      </w:r>
      <w:r w:rsidR="1CA1F2C5" w:rsidRPr="131D3A0E">
        <w:rPr>
          <w:rFonts w:ascii="Arial" w:eastAsia="Arial" w:hAnsi="Arial" w:cs="Arial"/>
        </w:rPr>
        <w:t xml:space="preserve"> bonitetn</w:t>
      </w:r>
      <w:r w:rsidR="00595755">
        <w:rPr>
          <w:rFonts w:ascii="Arial" w:eastAsia="Arial" w:hAnsi="Arial" w:cs="Arial"/>
        </w:rPr>
        <w:t>ih</w:t>
      </w:r>
      <w:r w:rsidR="1CA1F2C5" w:rsidRPr="131D3A0E">
        <w:rPr>
          <w:rFonts w:ascii="Arial" w:eastAsia="Arial" w:hAnsi="Arial" w:cs="Arial"/>
        </w:rPr>
        <w:t xml:space="preserve"> ocen se</w:t>
      </w:r>
      <w:r w:rsidR="00C932DD">
        <w:rPr>
          <w:rFonts w:ascii="Arial" w:eastAsia="Arial" w:hAnsi="Arial" w:cs="Arial"/>
        </w:rPr>
        <w:t xml:space="preserve"> nasprotni stranki</w:t>
      </w:r>
      <w:r w:rsidR="1CA1F2C5" w:rsidRPr="131D3A0E">
        <w:rPr>
          <w:rFonts w:ascii="Arial" w:eastAsia="Arial" w:hAnsi="Arial" w:cs="Arial"/>
        </w:rPr>
        <w:t xml:space="preserve"> določi povprečna bonitetna ocena</w:t>
      </w:r>
      <w:r w:rsidR="00C829A1">
        <w:rPr>
          <w:rFonts w:ascii="Arial" w:eastAsia="Arial" w:hAnsi="Arial" w:cs="Arial"/>
        </w:rPr>
        <w:t>, k</w:t>
      </w:r>
      <w:r w:rsidR="00831D15">
        <w:rPr>
          <w:rFonts w:ascii="Arial" w:eastAsia="Arial" w:hAnsi="Arial" w:cs="Arial"/>
        </w:rPr>
        <w:t xml:space="preserve">ot </w:t>
      </w:r>
      <w:proofErr w:type="spellStart"/>
      <w:r w:rsidR="001816A7">
        <w:rPr>
          <w:rFonts w:ascii="Arial" w:eastAsia="Arial" w:hAnsi="Arial" w:cs="Arial"/>
        </w:rPr>
        <w:t>neutežena</w:t>
      </w:r>
      <w:proofErr w:type="spellEnd"/>
      <w:r w:rsidR="001816A7">
        <w:rPr>
          <w:rFonts w:ascii="Arial" w:eastAsia="Arial" w:hAnsi="Arial" w:cs="Arial"/>
        </w:rPr>
        <w:t xml:space="preserve"> aritmetična sredina</w:t>
      </w:r>
      <w:r w:rsidR="00C829A1">
        <w:rPr>
          <w:rFonts w:ascii="Arial" w:eastAsia="Arial" w:hAnsi="Arial" w:cs="Arial"/>
        </w:rPr>
        <w:t xml:space="preserve"> dveh ali treh (odvisno od razpoložljivosti) bonitetnih ocen</w:t>
      </w:r>
      <w:r w:rsidR="004C0D13">
        <w:rPr>
          <w:rFonts w:ascii="Arial" w:eastAsia="Arial" w:hAnsi="Arial" w:cs="Arial"/>
        </w:rPr>
        <w:t xml:space="preserve"> Ministrstva za finance</w:t>
      </w:r>
      <w:r w:rsidR="1CA1F2C5" w:rsidRPr="131D3A0E">
        <w:rPr>
          <w:rFonts w:ascii="Arial" w:eastAsia="Arial" w:hAnsi="Arial" w:cs="Arial"/>
        </w:rPr>
        <w:t>.</w:t>
      </w:r>
    </w:p>
    <w:p w14:paraId="4F38A6FB" w14:textId="23E421EE" w:rsidR="003B0C53" w:rsidRDefault="007C2283" w:rsidP="0099739D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 w:rsidRPr="008220CC">
        <w:rPr>
          <w:rFonts w:ascii="Arial" w:eastAsia="Calibri" w:hAnsi="Arial" w:cs="Arial"/>
          <w:szCs w:val="22"/>
        </w:rPr>
        <w:t xml:space="preserve">Na podlagi </w:t>
      </w:r>
      <w:r w:rsidR="00C829A1">
        <w:rPr>
          <w:rFonts w:ascii="Arial" w:eastAsia="Calibri" w:hAnsi="Arial" w:cs="Arial"/>
          <w:szCs w:val="22"/>
        </w:rPr>
        <w:t>vrednosti</w:t>
      </w:r>
      <w:r w:rsidR="00C829A1" w:rsidRPr="008220CC">
        <w:rPr>
          <w:rFonts w:ascii="Arial" w:eastAsia="Calibri" w:hAnsi="Arial" w:cs="Arial"/>
          <w:szCs w:val="22"/>
        </w:rPr>
        <w:t xml:space="preserve"> </w:t>
      </w:r>
      <w:r w:rsidRPr="008220CC">
        <w:rPr>
          <w:rFonts w:ascii="Arial" w:eastAsia="Calibri" w:hAnsi="Arial" w:cs="Arial"/>
          <w:szCs w:val="22"/>
        </w:rPr>
        <w:t xml:space="preserve">posamezne kategorije in </w:t>
      </w:r>
      <w:r w:rsidR="001816A7">
        <w:rPr>
          <w:rFonts w:ascii="Arial" w:eastAsia="Calibri" w:hAnsi="Arial" w:cs="Arial"/>
          <w:szCs w:val="22"/>
        </w:rPr>
        <w:t xml:space="preserve">zgoraj </w:t>
      </w:r>
      <w:r w:rsidR="006024CD">
        <w:rPr>
          <w:rFonts w:ascii="Arial" w:eastAsia="Calibri" w:hAnsi="Arial" w:cs="Arial"/>
          <w:szCs w:val="22"/>
        </w:rPr>
        <w:t>zapisanih</w:t>
      </w:r>
      <w:r w:rsidR="001816A7">
        <w:rPr>
          <w:rFonts w:ascii="Arial" w:eastAsia="Calibri" w:hAnsi="Arial" w:cs="Arial"/>
          <w:szCs w:val="22"/>
        </w:rPr>
        <w:t xml:space="preserve"> </w:t>
      </w:r>
      <w:proofErr w:type="spellStart"/>
      <w:r w:rsidRPr="008220CC">
        <w:rPr>
          <w:rFonts w:ascii="Arial" w:eastAsia="Calibri" w:hAnsi="Arial" w:cs="Arial"/>
          <w:szCs w:val="22"/>
        </w:rPr>
        <w:t>ponderjev</w:t>
      </w:r>
      <w:proofErr w:type="spellEnd"/>
      <w:r w:rsidRPr="008220CC">
        <w:rPr>
          <w:rFonts w:ascii="Arial" w:eastAsia="Calibri" w:hAnsi="Arial" w:cs="Arial"/>
          <w:szCs w:val="22"/>
        </w:rPr>
        <w:t xml:space="preserve"> se izračunajo </w:t>
      </w:r>
      <w:r w:rsidR="00130F13">
        <w:rPr>
          <w:rFonts w:ascii="Arial" w:eastAsia="Calibri" w:hAnsi="Arial" w:cs="Arial"/>
          <w:szCs w:val="22"/>
        </w:rPr>
        <w:t xml:space="preserve">maksimalni </w:t>
      </w:r>
      <w:r w:rsidRPr="008220CC">
        <w:rPr>
          <w:rFonts w:ascii="Arial" w:eastAsia="Calibri" w:hAnsi="Arial" w:cs="Arial"/>
          <w:szCs w:val="22"/>
        </w:rPr>
        <w:t xml:space="preserve">deleži </w:t>
      </w:r>
      <w:r w:rsidR="006024CD">
        <w:rPr>
          <w:rFonts w:ascii="Arial" w:eastAsia="Calibri" w:hAnsi="Arial" w:cs="Arial"/>
          <w:szCs w:val="22"/>
        </w:rPr>
        <w:t xml:space="preserve">izpostavljenosti </w:t>
      </w:r>
      <w:r w:rsidRPr="008220CC">
        <w:rPr>
          <w:rFonts w:ascii="Arial" w:eastAsia="Calibri" w:hAnsi="Arial" w:cs="Arial"/>
          <w:szCs w:val="22"/>
        </w:rPr>
        <w:t>po posameznih nasprotnih strankah</w:t>
      </w:r>
      <w:r w:rsidR="006024CD">
        <w:rPr>
          <w:rFonts w:ascii="Arial" w:eastAsia="Calibri" w:hAnsi="Arial" w:cs="Arial"/>
          <w:szCs w:val="22"/>
        </w:rPr>
        <w:t xml:space="preserve"> znotraj posamezne </w:t>
      </w:r>
      <w:r w:rsidR="006024CD">
        <w:rPr>
          <w:rFonts w:ascii="Arial" w:eastAsia="Calibri" w:hAnsi="Arial" w:cs="Arial"/>
          <w:szCs w:val="22"/>
        </w:rPr>
        <w:lastRenderedPageBreak/>
        <w:t>skupine nasprotnih strank</w:t>
      </w:r>
      <w:r w:rsidRPr="008220CC">
        <w:rPr>
          <w:rFonts w:ascii="Arial" w:eastAsia="Calibri" w:hAnsi="Arial" w:cs="Arial"/>
          <w:szCs w:val="22"/>
        </w:rPr>
        <w:t xml:space="preserve">. Ti deleži povedo, kakšna bi bila optimalna razpršitev </w:t>
      </w:r>
      <w:r w:rsidR="001531B8">
        <w:rPr>
          <w:rFonts w:ascii="Arial" w:eastAsia="Calibri" w:hAnsi="Arial" w:cs="Arial"/>
          <w:szCs w:val="22"/>
        </w:rPr>
        <w:t xml:space="preserve">celotnega obsega </w:t>
      </w:r>
      <w:r w:rsidRPr="008220CC">
        <w:rPr>
          <w:rFonts w:ascii="Arial" w:eastAsia="Calibri" w:hAnsi="Arial" w:cs="Arial"/>
          <w:szCs w:val="22"/>
        </w:rPr>
        <w:t xml:space="preserve">denarnih sredstev </w:t>
      </w:r>
      <w:r w:rsidR="000022A9" w:rsidRPr="008220CC">
        <w:rPr>
          <w:rFonts w:ascii="Arial" w:eastAsia="Calibri" w:hAnsi="Arial" w:cs="Arial"/>
          <w:szCs w:val="22"/>
        </w:rPr>
        <w:t xml:space="preserve">sistema </w:t>
      </w:r>
      <w:r w:rsidRPr="008220CC">
        <w:rPr>
          <w:rFonts w:ascii="Arial" w:eastAsia="Calibri" w:hAnsi="Arial" w:cs="Arial"/>
          <w:szCs w:val="22"/>
        </w:rPr>
        <w:t xml:space="preserve">EZRD </w:t>
      </w:r>
      <w:r w:rsidR="00C829A1">
        <w:rPr>
          <w:rFonts w:ascii="Arial" w:eastAsia="Calibri" w:hAnsi="Arial" w:cs="Arial"/>
        </w:rPr>
        <w:t>za naložbe izven sistema EZRD</w:t>
      </w:r>
      <w:r w:rsidR="00C829A1">
        <w:rPr>
          <w:rFonts w:ascii="Arial" w:eastAsia="Calibri" w:hAnsi="Arial" w:cs="Arial"/>
          <w:szCs w:val="22"/>
        </w:rPr>
        <w:t xml:space="preserve"> </w:t>
      </w:r>
      <w:r w:rsidRPr="008220CC">
        <w:rPr>
          <w:rFonts w:ascii="Arial" w:eastAsia="Calibri" w:hAnsi="Arial" w:cs="Arial"/>
          <w:szCs w:val="22"/>
        </w:rPr>
        <w:t>med posameznimi nasprotnimi strankami.</w:t>
      </w:r>
    </w:p>
    <w:p w14:paraId="51F07C50" w14:textId="038E5156" w:rsidR="00A856A9" w:rsidRDefault="00A856A9" w:rsidP="00A856A9">
      <w:pPr>
        <w:shd w:val="clear" w:color="auto" w:fill="auto"/>
        <w:spacing w:line="26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Maksimalni deleži izpostavljenosti za banke in</w:t>
      </w:r>
      <w:r w:rsidR="003C04A6">
        <w:rPr>
          <w:rFonts w:ascii="Arial" w:hAnsi="Arial" w:cs="Arial"/>
          <w:szCs w:val="22"/>
        </w:rPr>
        <w:t xml:space="preserve"> hranilnice in</w:t>
      </w:r>
      <w:r>
        <w:rPr>
          <w:rFonts w:ascii="Arial" w:hAnsi="Arial" w:cs="Arial"/>
          <w:szCs w:val="22"/>
        </w:rPr>
        <w:t xml:space="preserve"> druge finančne institucije so določeni po naslednji formuli:</w:t>
      </w:r>
    </w:p>
    <w:p w14:paraId="11DDE634" w14:textId="77777777" w:rsidR="00A856A9" w:rsidRDefault="00A856A9" w:rsidP="00A856A9">
      <w:pPr>
        <w:shd w:val="clear" w:color="auto" w:fill="auto"/>
        <w:spacing w:line="260" w:lineRule="atLeast"/>
        <w:rPr>
          <w:rFonts w:ascii="Arial" w:hAnsi="Arial" w:cs="Arial"/>
          <w:szCs w:val="22"/>
        </w:rPr>
      </w:pPr>
    </w:p>
    <w:p w14:paraId="121049B4" w14:textId="77777777" w:rsidR="00C308E5" w:rsidRPr="0090543E" w:rsidRDefault="00FC1544" w:rsidP="00C308E5">
      <w:pPr>
        <w:rPr>
          <w:rFonts w:eastAsiaTheme="minorEastAsia" w:cstheme="minorHAnsi"/>
          <w:sz w:val="18"/>
          <w:szCs w:val="18"/>
        </w:rPr>
      </w:pPr>
      <m:oMathPara>
        <m:oMathParaPr>
          <m:jc m:val="left"/>
        </m:oMathParaPr>
        <m:oMath>
          <m:f>
            <m:fPr>
              <m:type m:val="noBar"/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maksimalni delež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izpostavljenosti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nasprotna stranka 1 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Arial"/>
                          <w:iCs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 %</m:t>
                      </m:r>
                    </m:e>
                  </m:d>
                </m:e>
              </m:eqArr>
            </m:den>
          </m:f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 xml:space="preserve"> = </m:t>
          </m:r>
          <m:f>
            <m:fPr>
              <m:type m:val="noBar"/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ponder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bilančna</m:t>
                  </m:r>
                </m: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vsota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 xml:space="preserve"> × </m:t>
          </m:r>
          <m:f>
            <m:fPr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bilančna vsota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∑</m:t>
              </m:r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bilančna vsota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1do n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MS Gothic" w:hAnsi="Cambria Math" w:cs="Arial"/>
              <w:sz w:val="18"/>
              <w:szCs w:val="18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>× 100</m:t>
          </m:r>
          <m:r>
            <m:rPr>
              <m:sty m:val="p"/>
            </m:rPr>
            <w:rPr>
              <w:rFonts w:ascii="Cambria Math" w:eastAsia="MS Gothic" w:hAnsi="Cambria Math" w:cs="Arial" w:hint="eastAsia"/>
              <w:sz w:val="18"/>
              <w:szCs w:val="18"/>
            </w:rPr>
            <m:t>+</m:t>
          </m:r>
          <m:r>
            <m:rPr>
              <m:sty m:val="p"/>
            </m:rPr>
            <w:rPr>
              <w:rFonts w:ascii="Cambria Math" w:eastAsia="MS Gothic" w:hAnsi="Cambria Math" w:cs="Arial"/>
              <w:sz w:val="18"/>
              <w:szCs w:val="18"/>
            </w:rPr>
            <m:t xml:space="preserve"> </m:t>
          </m:r>
          <m:f>
            <m:fPr>
              <m:type m:val="noBar"/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ponder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bonitetna </m:t>
                  </m:r>
                </m: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ocena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 xml:space="preserve">× </m:t>
          </m:r>
          <m:f>
            <m:fPr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bonitetna ocena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∑</m:t>
              </m:r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bonitetna ocena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1do n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MS Gothic" w:hAnsi="Cambria Math" w:cs="Arial"/>
              <w:sz w:val="18"/>
              <w:szCs w:val="18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>× 100</m:t>
          </m:r>
        </m:oMath>
      </m:oMathPara>
    </w:p>
    <w:p w14:paraId="7249EB08" w14:textId="77777777" w:rsidR="00A856A9" w:rsidRDefault="00A856A9" w:rsidP="00A856A9">
      <w:pPr>
        <w:shd w:val="clear" w:color="auto" w:fill="auto"/>
        <w:spacing w:line="260" w:lineRule="atLeast"/>
        <w:rPr>
          <w:rFonts w:ascii="Arial" w:hAnsi="Arial" w:cs="Arial"/>
          <w:szCs w:val="22"/>
        </w:rPr>
      </w:pPr>
    </w:p>
    <w:p w14:paraId="18CA8287" w14:textId="77777777" w:rsidR="00A856A9" w:rsidRDefault="00A856A9" w:rsidP="00A856A9">
      <w:pPr>
        <w:shd w:val="clear" w:color="auto" w:fill="auto"/>
        <w:spacing w:line="26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Maksimalni deleži izpostavljenosti za države EMU so določeni po naslednji formuli:</w:t>
      </w:r>
    </w:p>
    <w:p w14:paraId="2BFE28D2" w14:textId="77777777" w:rsidR="00A856A9" w:rsidRDefault="00A856A9" w:rsidP="00A856A9">
      <w:pPr>
        <w:shd w:val="clear" w:color="auto" w:fill="auto"/>
        <w:spacing w:line="260" w:lineRule="atLeast"/>
        <w:rPr>
          <w:rFonts w:ascii="Arial" w:hAnsi="Arial" w:cs="Arial"/>
          <w:szCs w:val="22"/>
        </w:rPr>
      </w:pPr>
    </w:p>
    <w:p w14:paraId="7C367B21" w14:textId="77777777" w:rsidR="00C308E5" w:rsidRPr="0090543E" w:rsidRDefault="00FC1544" w:rsidP="00C308E5">
      <w:pPr>
        <w:rPr>
          <w:rFonts w:eastAsiaTheme="minorEastAsia" w:cstheme="minorHAnsi"/>
          <w:sz w:val="18"/>
          <w:szCs w:val="18"/>
        </w:rPr>
      </w:pPr>
      <m:oMathPara>
        <m:oMathParaPr>
          <m:jc m:val="left"/>
        </m:oMathParaPr>
        <m:oMath>
          <m:f>
            <m:fPr>
              <m:type m:val="noBar"/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maksimalni delež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izpostavljenosti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nasprotna stranka 1 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Arial"/>
                          <w:iCs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 %</m:t>
                      </m:r>
                    </m:e>
                  </m:d>
                </m:e>
              </m:eqArr>
            </m:den>
          </m:f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 xml:space="preserve"> = </m:t>
          </m:r>
          <m:f>
            <m:fPr>
              <m:type m:val="noBar"/>
              <m:ctrlPr>
                <w:rPr>
                  <w:rFonts w:ascii="Cambria Math" w:hAnsi="Cambria Math" w:cs="Arial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ponder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BDP</m:t>
                  </m:r>
                </m: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države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 xml:space="preserve"> × </m:t>
          </m:r>
          <m:f>
            <m:fPr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BDP države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∑</m:t>
              </m:r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BDP države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1do n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MS Gothic" w:hAnsi="Cambria Math" w:cs="Arial"/>
              <w:sz w:val="18"/>
              <w:szCs w:val="18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>× 100</m:t>
          </m:r>
          <m:r>
            <m:rPr>
              <m:sty m:val="p"/>
            </m:rPr>
            <w:rPr>
              <w:rFonts w:ascii="Cambria Math" w:eastAsia="MS Gothic" w:hAnsi="Cambria Math" w:cs="Arial" w:hint="eastAsia"/>
              <w:sz w:val="18"/>
              <w:szCs w:val="18"/>
            </w:rPr>
            <m:t>+</m:t>
          </m:r>
          <m:r>
            <m:rPr>
              <m:sty m:val="p"/>
            </m:rPr>
            <w:rPr>
              <w:rFonts w:ascii="Cambria Math" w:eastAsia="MS Gothic" w:hAnsi="Cambria Math" w:cs="Arial"/>
              <w:sz w:val="18"/>
              <w:szCs w:val="18"/>
            </w:rPr>
            <m:t xml:space="preserve"> </m:t>
          </m:r>
          <m:f>
            <m:fPr>
              <m:type m:val="noBar"/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ponder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bonitetna </m:t>
                  </m:r>
                </m: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ocena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 xml:space="preserve">× </m:t>
          </m:r>
          <m:f>
            <m:fPr>
              <m:ctrlPr>
                <w:rPr>
                  <w:rFonts w:ascii="Cambria Math" w:hAnsi="Cambria Math" w:cs="Arial"/>
                  <w:iCs/>
                  <w:sz w:val="18"/>
                  <w:szCs w:val="18"/>
                </w:rPr>
              </m:ctrlPr>
            </m:fPr>
            <m:num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bonitetna ocena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∑</m:t>
              </m:r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bonitetna ocena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1do n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MS Gothic" w:hAnsi="Cambria Math" w:cs="Arial"/>
              <w:sz w:val="18"/>
              <w:szCs w:val="18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>× 100</m:t>
          </m:r>
        </m:oMath>
      </m:oMathPara>
    </w:p>
    <w:p w14:paraId="4FC17ECA" w14:textId="77777777" w:rsidR="00A856A9" w:rsidRDefault="00A856A9" w:rsidP="0099739D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</w:p>
    <w:p w14:paraId="3789B4A5" w14:textId="77777777" w:rsidR="00B54534" w:rsidRPr="00FC1AE4" w:rsidRDefault="00B54534" w:rsidP="0099739D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</w:p>
    <w:p w14:paraId="4B6ACDB7" w14:textId="5A6E9B98" w:rsidR="007C2283" w:rsidRPr="008220CC" w:rsidRDefault="00861EF3" w:rsidP="007C2283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7C2283" w:rsidRPr="008220CC">
        <w:rPr>
          <w:rFonts w:ascii="Arial" w:hAnsi="Arial" w:cs="Arial"/>
          <w:b/>
          <w:szCs w:val="22"/>
        </w:rPr>
        <w:t>.2.2. Maksimalni obseg</w:t>
      </w:r>
      <w:r w:rsidR="00741FA2">
        <w:rPr>
          <w:rFonts w:ascii="Arial" w:hAnsi="Arial" w:cs="Arial"/>
          <w:b/>
          <w:szCs w:val="22"/>
        </w:rPr>
        <w:t xml:space="preserve"> izpostavljenosti</w:t>
      </w:r>
    </w:p>
    <w:p w14:paraId="5B62B9D9" w14:textId="77777777" w:rsidR="007C2283" w:rsidRPr="008220CC" w:rsidRDefault="007C2283" w:rsidP="007C2283">
      <w:pPr>
        <w:shd w:val="clear" w:color="auto" w:fill="auto"/>
        <w:spacing w:line="260" w:lineRule="atLeast"/>
        <w:rPr>
          <w:rFonts w:ascii="Arial" w:hAnsi="Arial" w:cs="Arial"/>
          <w:szCs w:val="22"/>
        </w:rPr>
      </w:pPr>
    </w:p>
    <w:p w14:paraId="64469B0C" w14:textId="19ABDA10" w:rsidR="00EF422D" w:rsidRDefault="00EF422D" w:rsidP="0095168F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2"/>
        </w:rPr>
        <w:t>Na podlagi maksimalnega deleža nasprotne stranke in c</w:t>
      </w:r>
      <w:r w:rsidRPr="43ED2E9D">
        <w:rPr>
          <w:rFonts w:ascii="Arial" w:eastAsia="Calibri" w:hAnsi="Arial" w:cs="Arial"/>
        </w:rPr>
        <w:t>elotn</w:t>
      </w:r>
      <w:r>
        <w:rPr>
          <w:rFonts w:ascii="Arial" w:eastAsia="Calibri" w:hAnsi="Arial" w:cs="Arial"/>
        </w:rPr>
        <w:t>ega</w:t>
      </w:r>
      <w:r w:rsidRPr="43ED2E9D">
        <w:rPr>
          <w:rFonts w:ascii="Arial" w:eastAsia="Calibri" w:hAnsi="Arial" w:cs="Arial"/>
        </w:rPr>
        <w:t xml:space="preserve"> obseg</w:t>
      </w:r>
      <w:r>
        <w:rPr>
          <w:rFonts w:ascii="Arial" w:eastAsia="Calibri" w:hAnsi="Arial" w:cs="Arial"/>
        </w:rPr>
        <w:t>a</w:t>
      </w:r>
      <w:r w:rsidRPr="43ED2E9D">
        <w:rPr>
          <w:rFonts w:ascii="Arial" w:eastAsia="Calibri" w:hAnsi="Arial" w:cs="Arial"/>
        </w:rPr>
        <w:t xml:space="preserve"> denarnih sredstev sistema EZRD</w:t>
      </w:r>
      <w:r w:rsidR="006F6A1D">
        <w:rPr>
          <w:rFonts w:ascii="Arial" w:eastAsia="Calibri" w:hAnsi="Arial" w:cs="Arial"/>
        </w:rPr>
        <w:t xml:space="preserve"> </w:t>
      </w:r>
      <w:r w:rsidR="001816A7">
        <w:rPr>
          <w:rFonts w:ascii="Arial" w:eastAsia="Calibri" w:hAnsi="Arial" w:cs="Arial"/>
        </w:rPr>
        <w:t xml:space="preserve">za naložbe izven sistema EZRD, </w:t>
      </w:r>
      <w:r w:rsidR="006F6A1D">
        <w:rPr>
          <w:rFonts w:ascii="Arial" w:eastAsia="Calibri" w:hAnsi="Arial" w:cs="Arial"/>
        </w:rPr>
        <w:t>znižan</w:t>
      </w:r>
      <w:r w:rsidR="001816A7">
        <w:rPr>
          <w:rFonts w:ascii="Arial" w:eastAsia="Calibri" w:hAnsi="Arial" w:cs="Arial"/>
        </w:rPr>
        <w:t>ega</w:t>
      </w:r>
      <w:r w:rsidR="006F6A1D">
        <w:rPr>
          <w:rFonts w:ascii="Arial" w:eastAsia="Calibri" w:hAnsi="Arial" w:cs="Arial"/>
        </w:rPr>
        <w:t xml:space="preserve"> za minimalno rezervo</w:t>
      </w:r>
      <w:r w:rsidR="001816A7">
        <w:rPr>
          <w:rFonts w:ascii="Arial" w:eastAsia="Calibri" w:hAnsi="Arial" w:cs="Arial"/>
        </w:rPr>
        <w:t>,</w:t>
      </w:r>
      <w:r w:rsidRPr="43ED2E9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je določen </w:t>
      </w:r>
      <w:r w:rsidR="003C0422">
        <w:rPr>
          <w:rFonts w:ascii="Arial" w:eastAsia="Calibri" w:hAnsi="Arial" w:cs="Arial"/>
        </w:rPr>
        <w:t>maksimalni obseg izpostavljenosti za posamezno nasprotno stranko, t.</w:t>
      </w:r>
      <w:r w:rsidR="005E32CB">
        <w:rPr>
          <w:rFonts w:ascii="Arial" w:eastAsia="Calibri" w:hAnsi="Arial" w:cs="Arial"/>
        </w:rPr>
        <w:t xml:space="preserve"> </w:t>
      </w:r>
      <w:r w:rsidR="003C0422">
        <w:rPr>
          <w:rFonts w:ascii="Arial" w:eastAsia="Calibri" w:hAnsi="Arial" w:cs="Arial"/>
        </w:rPr>
        <w:t xml:space="preserve">i. osnovni limit. </w:t>
      </w:r>
    </w:p>
    <w:p w14:paraId="4DDCDA0F" w14:textId="77777777" w:rsidR="00D9738E" w:rsidRDefault="00D9738E" w:rsidP="00D9738E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Osnovni limit je določen po naslednji formuli:</w:t>
      </w:r>
    </w:p>
    <w:p w14:paraId="71EA231F" w14:textId="77777777" w:rsidR="00C308E5" w:rsidRPr="00A966FD" w:rsidRDefault="00FC1544" w:rsidP="00C308E5">
      <w:pPr>
        <w:rPr>
          <w:rFonts w:eastAsiaTheme="minorEastAsia" w:cstheme="minorHAnsi"/>
          <w:sz w:val="18"/>
          <w:szCs w:val="18"/>
        </w:rPr>
      </w:pPr>
      <m:oMathPara>
        <m:oMathParaPr>
          <m:jc m:val="left"/>
        </m:oMathParaPr>
        <m:oMath>
          <m:f>
            <m:fPr>
              <m:type m:val="noBar"/>
              <m:ctrlPr>
                <w:rPr>
                  <w:rFonts w:ascii="Cambria Math" w:hAnsi="Cambria Math" w:cs="Arial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osnovni limit</m:t>
              </m:r>
            </m:num>
            <m:den>
              <m:r>
                <w:rPr>
                  <w:rFonts w:ascii="Cambria Math" w:hAnsi="Cambria Math" w:cs="Arial"/>
                  <w:sz w:val="18"/>
                  <w:szCs w:val="18"/>
                </w:rPr>
                <m:t>nasprotna stranka 1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</w:rPr>
            <m:t xml:space="preserve"> =  </m:t>
          </m:r>
          <m:f>
            <m:fPr>
              <m:type m:val="noBar"/>
              <m:ctrlPr>
                <w:rPr>
                  <w:rFonts w:ascii="Cambria Math" w:hAnsi="Cambria Math" w:cs="Arial"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maksimalni delež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izpostavljenosti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nasprotna stranka 1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(v %)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</w:rPr>
            <m:t xml:space="preserve"> × </m:t>
          </m:r>
          <m:f>
            <m:fPr>
              <m:type m:val="noBar"/>
              <m:ctrlPr>
                <w:rPr>
                  <w:rFonts w:ascii="Cambria Math" w:hAnsi="Cambria Math" w:cs="Arial"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maksimalni delež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izpostavljenosti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do skupine te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nasprotne stranke</m:t>
                  </m:r>
                  <m:ctrlP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(v %)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="Arial"/>
              <w:sz w:val="18"/>
              <w:szCs w:val="18"/>
            </w:rPr>
            <m:t xml:space="preserve"> × </m:t>
          </m:r>
          <m:d>
            <m:dPr>
              <m:ctrlPr>
                <w:rPr>
                  <w:rFonts w:ascii="Cambria Math" w:hAnsi="Cambria Math" w:cs="Arial"/>
                  <w:sz w:val="18"/>
                  <w:szCs w:val="1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celotni obseg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denarnih sredstev </m:t>
                  </m:r>
                  <m:ctrlP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sistema EZRD </m:t>
                  </m:r>
                  <m:ctrlP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za naložbe</m:t>
                  </m:r>
                  <m:ctrlP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izven sistema EZRD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 xml:space="preserve">-   </m:t>
              </m:r>
              <m:f>
                <m:fPr>
                  <m:type m:val="noBar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likvidnostna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rezerva</m:t>
                  </m:r>
                </m:den>
              </m:f>
            </m:e>
          </m:d>
        </m:oMath>
      </m:oMathPara>
    </w:p>
    <w:p w14:paraId="77F705D2" w14:textId="77777777" w:rsidR="000413FE" w:rsidRDefault="000413FE" w:rsidP="000413FE">
      <w:pPr>
        <w:shd w:val="clear" w:color="auto" w:fill="auto"/>
        <w:spacing w:line="260" w:lineRule="atLeast"/>
        <w:rPr>
          <w:rFonts w:ascii="Arial" w:eastAsia="Calibri" w:hAnsi="Arial" w:cs="Arial"/>
        </w:rPr>
      </w:pPr>
    </w:p>
    <w:p w14:paraId="6C2DBA2B" w14:textId="32C8DE6A" w:rsidR="007B4C0B" w:rsidRDefault="0099739D" w:rsidP="0095168F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podlagi maksimalnega deleža </w:t>
      </w:r>
      <w:r w:rsidR="00831D15">
        <w:rPr>
          <w:rFonts w:ascii="Arial" w:eastAsia="Calibri" w:hAnsi="Arial" w:cs="Arial"/>
        </w:rPr>
        <w:t xml:space="preserve">izpostavljenosti </w:t>
      </w:r>
      <w:r>
        <w:rPr>
          <w:rFonts w:ascii="Arial" w:eastAsia="Calibri" w:hAnsi="Arial" w:cs="Arial"/>
        </w:rPr>
        <w:t xml:space="preserve">nasprotne stranke in </w:t>
      </w:r>
      <w:r w:rsidR="00257B20">
        <w:rPr>
          <w:rFonts w:ascii="Arial" w:eastAsia="Calibri" w:hAnsi="Arial" w:cs="Arial"/>
        </w:rPr>
        <w:t>celotnega obsega denarnih sredstev sistema EZRD</w:t>
      </w:r>
      <w:r>
        <w:rPr>
          <w:rFonts w:ascii="Arial" w:eastAsia="Calibri" w:hAnsi="Arial" w:cs="Arial"/>
        </w:rPr>
        <w:t xml:space="preserve"> </w:t>
      </w:r>
      <w:r w:rsidR="00831D15">
        <w:rPr>
          <w:rFonts w:ascii="Arial" w:eastAsia="Calibri" w:hAnsi="Arial" w:cs="Arial"/>
        </w:rPr>
        <w:t xml:space="preserve">za naložbe izven sistema EZRD </w:t>
      </w:r>
      <w:r>
        <w:rPr>
          <w:rFonts w:ascii="Arial" w:eastAsia="Calibri" w:hAnsi="Arial" w:cs="Arial"/>
        </w:rPr>
        <w:t>je določen maksimalni obseg izpostavljenosti nasprotne stranke za likvidnostno rezervo, t.</w:t>
      </w:r>
      <w:r w:rsidR="005E32C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i. limit z likvidnostno rezervo. </w:t>
      </w:r>
    </w:p>
    <w:p w14:paraId="57FD4CDA" w14:textId="1044F0C4" w:rsidR="00DF618B" w:rsidRDefault="00DF618B" w:rsidP="00DF618B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hAnsi="Arial" w:cs="Arial"/>
        </w:rPr>
        <w:t>Limit z likvidnostno rezervo</w:t>
      </w:r>
      <w:r w:rsidRPr="33644DDD">
        <w:rPr>
          <w:rFonts w:ascii="Arial" w:hAnsi="Arial" w:cs="Arial"/>
          <w:i/>
          <w:iCs/>
        </w:rPr>
        <w:t xml:space="preserve"> </w:t>
      </w:r>
      <w:r>
        <w:rPr>
          <w:rFonts w:ascii="Arial" w:eastAsia="Calibri" w:hAnsi="Arial" w:cs="Arial"/>
          <w:szCs w:val="22"/>
        </w:rPr>
        <w:t>je določen po naslednji formuli:</w:t>
      </w:r>
    </w:p>
    <w:p w14:paraId="3D2AA966" w14:textId="77777777" w:rsidR="006B7AEE" w:rsidRPr="0090543E" w:rsidRDefault="00FC1544" w:rsidP="006B7AEE">
      <w:pPr>
        <w:rPr>
          <w:sz w:val="18"/>
          <w:szCs w:val="18"/>
        </w:rPr>
      </w:pPr>
      <m:oMathPara>
        <m:oMathParaPr>
          <m:jc m:val="left"/>
        </m:oMathParaPr>
        <m:oMath>
          <m:f>
            <m:fPr>
              <m:type m:val="noBar"/>
              <m:ctrlPr>
                <w:rPr>
                  <w:rFonts w:ascii="Cambria Math" w:hAnsi="Cambria Math"/>
                  <w:iCs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limit z likvidnostno rezervo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nasprotna stranka 1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 =  </m:t>
          </m:r>
          <m:f>
            <m:fPr>
              <m:type m:val="noBar"/>
              <m:ctrlPr>
                <w:rPr>
                  <w:rFonts w:ascii="Cambria Math" w:hAnsi="Cambria Math" w:cs="Arial"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maksimalni delež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izpostavljenosti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nasprotna stranka 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(v %)</m:t>
                  </m:r>
                </m:e>
              </m:eqArr>
            </m:den>
          </m:f>
          <m:r>
            <w:rPr>
              <w:rFonts w:ascii="Cambria Math" w:hAnsi="Cambria Math" w:cs="Arial"/>
              <w:sz w:val="18"/>
              <w:szCs w:val="18"/>
            </w:rPr>
            <m:t xml:space="preserve">  × </m:t>
          </m:r>
          <m:f>
            <m:fPr>
              <m:type m:val="noBar"/>
              <m:ctrlPr>
                <w:rPr>
                  <w:rFonts w:ascii="Cambria Math" w:hAnsi="Cambria Math" w:cs="Arial"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maksimalni delež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izpostavljenosti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do skupine te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nasprotne stranke</m:t>
                  </m:r>
                  <m:ctrlP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(v %)</m:t>
                  </m:r>
                </m:e>
              </m:eqArr>
            </m:den>
          </m:f>
          <m:r>
            <w:rPr>
              <w:rFonts w:ascii="Cambria Math" w:hAnsi="Cambria Math" w:cs="Arial"/>
              <w:sz w:val="18"/>
              <w:szCs w:val="18"/>
            </w:rPr>
            <m:t xml:space="preserve">  ×  </m:t>
          </m:r>
          <m:f>
            <m:fPr>
              <m:type m:val="noBar"/>
              <m:ctrlPr>
                <w:rPr>
                  <w:rFonts w:ascii="Cambria Math" w:hAnsi="Cambria Math" w:cs="Arial"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celotni obseg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denarnih sredstev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sistema EZRD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za naložbe izven</m:t>
                  </m:r>
                  <m:ctrlP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sistema EZRD</m:t>
                  </m:r>
                </m:e>
              </m:eqArr>
            </m:den>
          </m:f>
        </m:oMath>
      </m:oMathPara>
    </w:p>
    <w:p w14:paraId="4B0E3DBF" w14:textId="77777777" w:rsidR="00861EF3" w:rsidRDefault="00861EF3" w:rsidP="00861EF3">
      <w:pPr>
        <w:shd w:val="clear" w:color="auto" w:fill="auto"/>
        <w:spacing w:line="260" w:lineRule="atLeast"/>
        <w:rPr>
          <w:rFonts w:ascii="Arial" w:eastAsia="Calibri" w:hAnsi="Arial" w:cs="Arial"/>
          <w:szCs w:val="22"/>
        </w:rPr>
      </w:pPr>
    </w:p>
    <w:p w14:paraId="44924572" w14:textId="77777777" w:rsidR="00B54534" w:rsidRDefault="00B54534" w:rsidP="0095168F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</w:p>
    <w:p w14:paraId="4B7674CE" w14:textId="036B4066" w:rsidR="00175494" w:rsidRPr="00E67624" w:rsidRDefault="00861EF3" w:rsidP="0095168F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3</w:t>
      </w:r>
      <w:r w:rsidR="00175494" w:rsidRPr="00E67624">
        <w:rPr>
          <w:rFonts w:ascii="Arial" w:eastAsia="Calibri" w:hAnsi="Arial" w:cs="Arial"/>
          <w:szCs w:val="22"/>
        </w:rPr>
        <w:t>.2.2.1</w:t>
      </w:r>
      <w:r w:rsidR="00E67624">
        <w:rPr>
          <w:rFonts w:ascii="Arial" w:eastAsia="Calibri" w:hAnsi="Arial" w:cs="Arial"/>
          <w:szCs w:val="22"/>
        </w:rPr>
        <w:t>.</w:t>
      </w:r>
      <w:r w:rsidR="00175494" w:rsidRPr="00E67624">
        <w:rPr>
          <w:rFonts w:ascii="Arial" w:eastAsia="Calibri" w:hAnsi="Arial" w:cs="Arial"/>
          <w:szCs w:val="22"/>
        </w:rPr>
        <w:t xml:space="preserve"> </w:t>
      </w:r>
      <w:r w:rsidR="007C2283" w:rsidRPr="00E67624">
        <w:rPr>
          <w:rFonts w:ascii="Arial" w:eastAsia="Calibri" w:hAnsi="Arial" w:cs="Arial"/>
          <w:szCs w:val="22"/>
        </w:rPr>
        <w:t xml:space="preserve">Osnovni limit </w:t>
      </w:r>
      <w:r w:rsidR="00E67624" w:rsidRPr="00E67624">
        <w:rPr>
          <w:rFonts w:ascii="Arial" w:eastAsia="Calibri" w:hAnsi="Arial" w:cs="Arial"/>
          <w:szCs w:val="22"/>
        </w:rPr>
        <w:t>za skupino bank in hranilnic</w:t>
      </w:r>
    </w:p>
    <w:p w14:paraId="4CF2C65F" w14:textId="04081EA9" w:rsidR="006A5C9D" w:rsidRDefault="006A5C9D" w:rsidP="0095168F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Osnovni limit </w:t>
      </w:r>
      <w:r w:rsidR="00F41C8C">
        <w:rPr>
          <w:rFonts w:ascii="Arial" w:eastAsia="Calibri" w:hAnsi="Arial" w:cs="Arial"/>
          <w:szCs w:val="22"/>
        </w:rPr>
        <w:t>je</w:t>
      </w:r>
      <w:r>
        <w:rPr>
          <w:rFonts w:ascii="Arial" w:eastAsia="Calibri" w:hAnsi="Arial" w:cs="Arial"/>
          <w:szCs w:val="22"/>
        </w:rPr>
        <w:t xml:space="preserve"> določ</w:t>
      </w:r>
      <w:r w:rsidR="00F41C8C">
        <w:rPr>
          <w:rFonts w:ascii="Arial" w:eastAsia="Calibri" w:hAnsi="Arial" w:cs="Arial"/>
          <w:szCs w:val="22"/>
        </w:rPr>
        <w:t>en</w:t>
      </w:r>
      <w:r>
        <w:rPr>
          <w:rFonts w:ascii="Arial" w:eastAsia="Calibri" w:hAnsi="Arial" w:cs="Arial"/>
          <w:szCs w:val="22"/>
        </w:rPr>
        <w:t xml:space="preserve"> </w:t>
      </w:r>
      <w:r w:rsidR="00F41C8C">
        <w:rPr>
          <w:rFonts w:ascii="Arial" w:eastAsia="Calibri" w:hAnsi="Arial" w:cs="Arial"/>
          <w:szCs w:val="22"/>
        </w:rPr>
        <w:t>z</w:t>
      </w:r>
      <w:r>
        <w:rPr>
          <w:rFonts w:ascii="Arial" w:eastAsia="Calibri" w:hAnsi="Arial" w:cs="Arial"/>
          <w:szCs w:val="22"/>
        </w:rPr>
        <w:t>a naložbe v depozite in repo posle</w:t>
      </w:r>
      <w:r w:rsidR="00E67624">
        <w:rPr>
          <w:rFonts w:ascii="Arial" w:eastAsia="Calibri" w:hAnsi="Arial" w:cs="Arial"/>
          <w:szCs w:val="22"/>
        </w:rPr>
        <w:t xml:space="preserve">, pri čemer je za depozite </w:t>
      </w:r>
      <w:r w:rsidR="0045530B">
        <w:rPr>
          <w:rFonts w:ascii="Arial" w:eastAsia="Calibri" w:hAnsi="Arial" w:cs="Arial"/>
          <w:szCs w:val="22"/>
        </w:rPr>
        <w:t xml:space="preserve">na voljo </w:t>
      </w:r>
      <w:r w:rsidR="003B30D3">
        <w:rPr>
          <w:rFonts w:ascii="Arial" w:eastAsia="Calibri" w:hAnsi="Arial" w:cs="Arial"/>
          <w:szCs w:val="22"/>
        </w:rPr>
        <w:t>60</w:t>
      </w:r>
      <w:r w:rsidR="00E67624">
        <w:rPr>
          <w:rFonts w:ascii="Arial" w:eastAsia="Calibri" w:hAnsi="Arial" w:cs="Arial"/>
          <w:szCs w:val="22"/>
        </w:rPr>
        <w:t xml:space="preserve"> % osnovnega limita, za naložbe v repo posle pa 100 % osnovnega limita</w:t>
      </w:r>
      <w:r>
        <w:rPr>
          <w:rFonts w:ascii="Arial" w:eastAsia="Calibri" w:hAnsi="Arial" w:cs="Arial"/>
          <w:szCs w:val="22"/>
        </w:rPr>
        <w:t>.</w:t>
      </w:r>
    </w:p>
    <w:p w14:paraId="6671B20F" w14:textId="77777777" w:rsidR="00B54534" w:rsidRDefault="00B54534" w:rsidP="0095168F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</w:p>
    <w:p w14:paraId="00819E53" w14:textId="60E69BD1" w:rsidR="00F41C8C" w:rsidRDefault="00861EF3" w:rsidP="00F41C8C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lastRenderedPageBreak/>
        <w:t>3</w:t>
      </w:r>
      <w:r w:rsidR="00F41C8C" w:rsidRPr="00E67624">
        <w:rPr>
          <w:rFonts w:ascii="Arial" w:eastAsia="Calibri" w:hAnsi="Arial" w:cs="Arial"/>
          <w:szCs w:val="22"/>
        </w:rPr>
        <w:t>.2.2.</w:t>
      </w:r>
      <w:r w:rsidR="00F41C8C">
        <w:rPr>
          <w:rFonts w:ascii="Arial" w:eastAsia="Calibri" w:hAnsi="Arial" w:cs="Arial"/>
          <w:szCs w:val="22"/>
        </w:rPr>
        <w:t>2.</w:t>
      </w:r>
      <w:r w:rsidR="00F41C8C" w:rsidRPr="00E67624">
        <w:rPr>
          <w:rFonts w:ascii="Arial" w:eastAsia="Calibri" w:hAnsi="Arial" w:cs="Arial"/>
          <w:szCs w:val="22"/>
        </w:rPr>
        <w:t xml:space="preserve"> Osnovni limit za skupino </w:t>
      </w:r>
      <w:r w:rsidR="00F41C8C">
        <w:rPr>
          <w:rFonts w:ascii="Arial" w:eastAsia="Calibri" w:hAnsi="Arial" w:cs="Arial"/>
          <w:szCs w:val="22"/>
        </w:rPr>
        <w:t>držav EMU</w:t>
      </w:r>
    </w:p>
    <w:p w14:paraId="26DB6ADA" w14:textId="4255E5A4" w:rsidR="00F41C8C" w:rsidRDefault="00F41C8C" w:rsidP="00F41C8C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Osnovni limit je določen </w:t>
      </w:r>
      <w:r w:rsidR="00235B52">
        <w:rPr>
          <w:rFonts w:ascii="Arial" w:eastAsia="Calibri" w:hAnsi="Arial" w:cs="Arial"/>
          <w:szCs w:val="22"/>
        </w:rPr>
        <w:t xml:space="preserve">ločeno </w:t>
      </w:r>
      <w:r>
        <w:rPr>
          <w:rFonts w:ascii="Arial" w:eastAsia="Calibri" w:hAnsi="Arial" w:cs="Arial"/>
          <w:szCs w:val="22"/>
        </w:rPr>
        <w:t xml:space="preserve">za naložbe v depozite in </w:t>
      </w:r>
      <w:r w:rsidR="00235B52">
        <w:rPr>
          <w:rFonts w:ascii="Arial" w:eastAsia="Calibri" w:hAnsi="Arial" w:cs="Arial"/>
          <w:szCs w:val="22"/>
        </w:rPr>
        <w:t>nakupe vrednostnih papirjev in ločeno za repo posle</w:t>
      </w:r>
      <w:r>
        <w:rPr>
          <w:rFonts w:ascii="Arial" w:eastAsia="Calibri" w:hAnsi="Arial" w:cs="Arial"/>
          <w:szCs w:val="22"/>
        </w:rPr>
        <w:t>, pri čemer je za depozite</w:t>
      </w:r>
      <w:r w:rsidR="00235B52">
        <w:rPr>
          <w:rFonts w:ascii="Arial" w:eastAsia="Calibri" w:hAnsi="Arial" w:cs="Arial"/>
          <w:szCs w:val="22"/>
        </w:rPr>
        <w:t xml:space="preserve"> in nakupe vrednostnih papirjev</w:t>
      </w:r>
      <w:r>
        <w:rPr>
          <w:rFonts w:ascii="Arial" w:eastAsia="Calibri" w:hAnsi="Arial" w:cs="Arial"/>
          <w:szCs w:val="22"/>
        </w:rPr>
        <w:t xml:space="preserve"> </w:t>
      </w:r>
      <w:r w:rsidR="0045530B">
        <w:rPr>
          <w:rFonts w:ascii="Arial" w:eastAsia="Calibri" w:hAnsi="Arial" w:cs="Arial"/>
          <w:szCs w:val="22"/>
        </w:rPr>
        <w:t xml:space="preserve">na voljo </w:t>
      </w:r>
      <w:r w:rsidR="003B30D3">
        <w:rPr>
          <w:rFonts w:ascii="Arial" w:eastAsia="Calibri" w:hAnsi="Arial" w:cs="Arial"/>
          <w:szCs w:val="22"/>
        </w:rPr>
        <w:t>60</w:t>
      </w:r>
      <w:r>
        <w:rPr>
          <w:rFonts w:ascii="Arial" w:eastAsia="Calibri" w:hAnsi="Arial" w:cs="Arial"/>
          <w:szCs w:val="22"/>
        </w:rPr>
        <w:t xml:space="preserve"> % osnovnega limita, za naložbe v repo posle pa 100 % osnovnega limita.</w:t>
      </w:r>
    </w:p>
    <w:p w14:paraId="54C5EE54" w14:textId="23FE41FE" w:rsidR="00F41C8C" w:rsidRPr="00E67624" w:rsidRDefault="00861EF3" w:rsidP="00F41C8C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3</w:t>
      </w:r>
      <w:r w:rsidR="00F41C8C" w:rsidRPr="00E67624">
        <w:rPr>
          <w:rFonts w:ascii="Arial" w:eastAsia="Calibri" w:hAnsi="Arial" w:cs="Arial"/>
          <w:szCs w:val="22"/>
        </w:rPr>
        <w:t>.2.2.</w:t>
      </w:r>
      <w:r w:rsidR="00F41C8C">
        <w:rPr>
          <w:rFonts w:ascii="Arial" w:eastAsia="Calibri" w:hAnsi="Arial" w:cs="Arial"/>
          <w:szCs w:val="22"/>
        </w:rPr>
        <w:t>3.</w:t>
      </w:r>
      <w:r w:rsidR="00F41C8C" w:rsidRPr="00E67624">
        <w:rPr>
          <w:rFonts w:ascii="Arial" w:eastAsia="Calibri" w:hAnsi="Arial" w:cs="Arial"/>
          <w:szCs w:val="22"/>
        </w:rPr>
        <w:t xml:space="preserve"> Osnovni limit za </w:t>
      </w:r>
      <w:r w:rsidR="004A0FCE">
        <w:rPr>
          <w:rFonts w:ascii="Arial" w:eastAsia="Calibri" w:hAnsi="Arial" w:cs="Arial"/>
          <w:szCs w:val="22"/>
        </w:rPr>
        <w:t>druge finančne institucije</w:t>
      </w:r>
      <w:r w:rsidR="00F41C8C" w:rsidRPr="00F41C8C">
        <w:rPr>
          <w:rFonts w:ascii="Arial" w:eastAsia="Calibri" w:hAnsi="Arial" w:cs="Arial"/>
          <w:szCs w:val="22"/>
        </w:rPr>
        <w:t xml:space="preserve"> </w:t>
      </w:r>
    </w:p>
    <w:p w14:paraId="2C233624" w14:textId="784B3154" w:rsidR="005B1A58" w:rsidRDefault="005B1A58" w:rsidP="005B1A58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Naložbe v tej skupini so omejene </w:t>
      </w:r>
      <w:r w:rsidR="0099739D">
        <w:rPr>
          <w:rFonts w:ascii="Arial" w:eastAsia="Calibri" w:hAnsi="Arial" w:cs="Arial"/>
          <w:szCs w:val="22"/>
        </w:rPr>
        <w:t>na</w:t>
      </w:r>
      <w:r>
        <w:rPr>
          <w:rFonts w:ascii="Arial" w:eastAsia="Calibri" w:hAnsi="Arial" w:cs="Arial"/>
          <w:szCs w:val="22"/>
        </w:rPr>
        <w:t xml:space="preserve"> repo posle, pri čemer </w:t>
      </w:r>
      <w:r w:rsidR="00CE0103">
        <w:rPr>
          <w:rFonts w:ascii="Arial" w:eastAsia="Calibri" w:hAnsi="Arial" w:cs="Arial"/>
          <w:szCs w:val="22"/>
        </w:rPr>
        <w:t>naložbe v posamezno nasprotno strank</w:t>
      </w:r>
      <w:r w:rsidR="00257B20">
        <w:rPr>
          <w:rFonts w:ascii="Arial" w:eastAsia="Calibri" w:hAnsi="Arial" w:cs="Arial"/>
          <w:szCs w:val="22"/>
        </w:rPr>
        <w:t>o</w:t>
      </w:r>
      <w:r w:rsidR="00CE0103">
        <w:rPr>
          <w:rFonts w:ascii="Arial" w:eastAsia="Calibri" w:hAnsi="Arial" w:cs="Arial"/>
          <w:szCs w:val="22"/>
        </w:rPr>
        <w:t xml:space="preserve"> iz te skupine ne sme</w:t>
      </w:r>
      <w:r w:rsidR="00831D15">
        <w:rPr>
          <w:rFonts w:ascii="Arial" w:eastAsia="Calibri" w:hAnsi="Arial" w:cs="Arial"/>
          <w:szCs w:val="22"/>
        </w:rPr>
        <w:t>jo</w:t>
      </w:r>
      <w:r w:rsidR="00CE0103">
        <w:rPr>
          <w:rFonts w:ascii="Arial" w:eastAsia="Calibri" w:hAnsi="Arial" w:cs="Arial"/>
          <w:szCs w:val="22"/>
        </w:rPr>
        <w:t xml:space="preserve"> presegati 10 % celotnega obsega denarnih sredstev sistema EZRD </w:t>
      </w:r>
      <w:r w:rsidR="00831D15">
        <w:rPr>
          <w:rFonts w:ascii="Arial" w:eastAsia="Calibri" w:hAnsi="Arial" w:cs="Arial"/>
        </w:rPr>
        <w:t>za naložbe izven sistema EZRD,</w:t>
      </w:r>
      <w:r w:rsidR="00831D15">
        <w:rPr>
          <w:rFonts w:ascii="Arial" w:eastAsia="Calibri" w:hAnsi="Arial" w:cs="Arial"/>
          <w:szCs w:val="22"/>
        </w:rPr>
        <w:t xml:space="preserve"> </w:t>
      </w:r>
      <w:r w:rsidR="00CE0103">
        <w:rPr>
          <w:rFonts w:ascii="Arial" w:eastAsia="Calibri" w:hAnsi="Arial" w:cs="Arial"/>
          <w:szCs w:val="22"/>
        </w:rPr>
        <w:t xml:space="preserve">namenjenega za naložbe v to skupino. </w:t>
      </w:r>
    </w:p>
    <w:p w14:paraId="73684EF9" w14:textId="2FA13490" w:rsidR="007A6BDD" w:rsidRDefault="00861EF3" w:rsidP="007A6BDD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7A6BDD" w:rsidRPr="008220CC">
        <w:rPr>
          <w:rFonts w:ascii="Arial" w:hAnsi="Arial" w:cs="Arial"/>
          <w:b/>
          <w:szCs w:val="22"/>
        </w:rPr>
        <w:t>.</w:t>
      </w:r>
      <w:r w:rsidR="007A6BDD">
        <w:rPr>
          <w:rFonts w:ascii="Arial" w:hAnsi="Arial" w:cs="Arial"/>
          <w:b/>
          <w:szCs w:val="22"/>
        </w:rPr>
        <w:t>3</w:t>
      </w:r>
      <w:r w:rsidR="007A6BDD" w:rsidRPr="008220CC">
        <w:rPr>
          <w:rFonts w:ascii="Arial" w:hAnsi="Arial" w:cs="Arial"/>
          <w:b/>
          <w:szCs w:val="22"/>
        </w:rPr>
        <w:t xml:space="preserve">. </w:t>
      </w:r>
      <w:r w:rsidR="007A6BDD">
        <w:rPr>
          <w:rFonts w:ascii="Arial" w:hAnsi="Arial" w:cs="Arial"/>
          <w:b/>
          <w:szCs w:val="22"/>
        </w:rPr>
        <w:t>Dodatne omejitve metodologije</w:t>
      </w:r>
    </w:p>
    <w:p w14:paraId="03AA9D13" w14:textId="77777777" w:rsidR="007A6BDD" w:rsidRDefault="007A6BDD" w:rsidP="007A6BDD">
      <w:pPr>
        <w:shd w:val="clear" w:color="auto" w:fill="auto"/>
        <w:spacing w:line="260" w:lineRule="atLeast"/>
        <w:rPr>
          <w:rFonts w:ascii="Arial" w:eastAsia="Calibri" w:hAnsi="Arial" w:cs="Arial"/>
        </w:rPr>
      </w:pPr>
    </w:p>
    <w:p w14:paraId="435883B2" w14:textId="1AC0992B" w:rsidR="007A6BDD" w:rsidRDefault="007A6BDD" w:rsidP="007A6BDD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</w:t>
      </w:r>
      <w:r w:rsidR="00B0333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glede na izračune po tej metodologiji se pri nalaganju upoštevajo še spodnje omejitve.</w:t>
      </w:r>
    </w:p>
    <w:p w14:paraId="35C11A6F" w14:textId="77B05301" w:rsidR="007A6BDD" w:rsidRDefault="007A6BDD" w:rsidP="007A6BDD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Skupne naložbe v posamezno nasprotno stranko ne smejo presegati </w:t>
      </w:r>
      <w:r w:rsidR="003B30D3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00 mio evrov.</w:t>
      </w:r>
    </w:p>
    <w:p w14:paraId="4C1FD4D6" w14:textId="45BB3C70" w:rsidR="007A6BDD" w:rsidRDefault="007A6BDD" w:rsidP="007A6BDD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Skupne naložbe v posamezno banko in hranilnico ter druge finančne institucije ne smejo presegati 25 % njenega osnovnega kapitala. </w:t>
      </w:r>
      <w:r w:rsidR="00E52290" w:rsidRPr="43ED2E9D">
        <w:rPr>
          <w:rFonts w:ascii="Arial" w:eastAsia="Calibri" w:hAnsi="Arial" w:cs="Arial"/>
        </w:rPr>
        <w:t xml:space="preserve">Podatke o celotnem kapitalu </w:t>
      </w:r>
      <w:r w:rsidR="00E52290">
        <w:rPr>
          <w:rFonts w:ascii="Arial" w:eastAsia="Calibri" w:hAnsi="Arial" w:cs="Arial"/>
        </w:rPr>
        <w:t xml:space="preserve">banke ali hranilnice </w:t>
      </w:r>
      <w:r w:rsidR="00E52290" w:rsidRPr="43ED2E9D">
        <w:rPr>
          <w:rFonts w:ascii="Arial" w:eastAsia="Calibri" w:hAnsi="Arial" w:cs="Arial"/>
        </w:rPr>
        <w:t xml:space="preserve">se enkrat letno pridobi iz objavljenih in revidiranih letnih poročil. </w:t>
      </w:r>
      <w:r w:rsidR="00E52290" w:rsidRPr="003D6FF2">
        <w:rPr>
          <w:rFonts w:ascii="Arial" w:eastAsia="Calibri" w:hAnsi="Arial" w:cs="Arial"/>
          <w:szCs w:val="22"/>
        </w:rPr>
        <w:t>Celotni kapital je celotni kapital iz bilance stanja.</w:t>
      </w:r>
      <w:r>
        <w:rPr>
          <w:rFonts w:ascii="Arial" w:eastAsia="Calibri" w:hAnsi="Arial" w:cs="Arial"/>
        </w:rPr>
        <w:t xml:space="preserve"> </w:t>
      </w:r>
    </w:p>
    <w:p w14:paraId="7C34FEA3" w14:textId="48CBCEDA" w:rsidR="007A6BDD" w:rsidRDefault="007A6BDD" w:rsidP="007A6BDD">
      <w:pPr>
        <w:spacing w:after="200" w:line="276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V primeru </w:t>
      </w:r>
      <w:r w:rsidR="0084698F">
        <w:rPr>
          <w:rFonts w:ascii="Arial" w:hAnsi="Arial" w:cs="Arial"/>
          <w:color w:val="000000"/>
        </w:rPr>
        <w:t xml:space="preserve">poslovne </w:t>
      </w:r>
      <w:r>
        <w:rPr>
          <w:rFonts w:ascii="Arial" w:hAnsi="Arial" w:cs="Arial"/>
          <w:color w:val="000000"/>
          <w:lang w:val="x-none"/>
        </w:rPr>
        <w:t xml:space="preserve">skupine (kot je določena v zakonu, ki ureja gospodarske družbe) z več nasprotnimi strankami v </w:t>
      </w:r>
      <w:r w:rsidR="0084698F">
        <w:rPr>
          <w:rFonts w:ascii="Arial" w:hAnsi="Arial" w:cs="Arial"/>
          <w:color w:val="000000"/>
        </w:rPr>
        <w:t xml:space="preserve">poslovni </w:t>
      </w:r>
      <w:r>
        <w:rPr>
          <w:rFonts w:ascii="Arial" w:hAnsi="Arial" w:cs="Arial"/>
          <w:color w:val="000000"/>
          <w:lang w:val="x-none"/>
        </w:rPr>
        <w:t xml:space="preserve">skupini, obseg naložb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lang w:val="x-none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="0084698F">
        <w:rPr>
          <w:rFonts w:ascii="Arial" w:hAnsi="Arial" w:cs="Arial"/>
          <w:color w:val="000000"/>
        </w:rPr>
        <w:t xml:space="preserve">poslovno </w:t>
      </w:r>
      <w:r>
        <w:rPr>
          <w:rFonts w:ascii="Arial" w:hAnsi="Arial" w:cs="Arial"/>
          <w:color w:val="000000"/>
          <w:lang w:val="x-none"/>
        </w:rPr>
        <w:t xml:space="preserve">skupino </w:t>
      </w:r>
      <w:r>
        <w:rPr>
          <w:rFonts w:ascii="Arial" w:hAnsi="Arial" w:cs="Arial"/>
          <w:color w:val="000000"/>
        </w:rPr>
        <w:t xml:space="preserve">ne sme presegati </w:t>
      </w:r>
      <w:r w:rsidR="0087091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lang w:val="x-none"/>
        </w:rPr>
        <w:t xml:space="preserve">00 mio </w:t>
      </w:r>
      <w:r>
        <w:rPr>
          <w:rFonts w:ascii="Arial" w:hAnsi="Arial" w:cs="Arial"/>
          <w:color w:val="000000"/>
        </w:rPr>
        <w:t>evrov</w:t>
      </w:r>
      <w:r>
        <w:rPr>
          <w:rFonts w:ascii="Arial" w:hAnsi="Arial" w:cs="Arial"/>
          <w:color w:val="000000"/>
          <w:lang w:val="x-none"/>
        </w:rPr>
        <w:t>.  </w:t>
      </w:r>
    </w:p>
    <w:p w14:paraId="2EB9CDF6" w14:textId="647C36C0" w:rsidR="007A6BDD" w:rsidRDefault="002E60E6" w:rsidP="007A6BDD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O</w:t>
      </w:r>
      <w:r w:rsidR="007A6BDD">
        <w:rPr>
          <w:rFonts w:ascii="Arial" w:hAnsi="Arial" w:cs="Arial"/>
          <w:color w:val="000000"/>
        </w:rPr>
        <w:t>mejitve</w:t>
      </w:r>
      <w:r>
        <w:rPr>
          <w:rFonts w:ascii="Arial" w:hAnsi="Arial" w:cs="Arial"/>
          <w:color w:val="000000"/>
        </w:rPr>
        <w:t xml:space="preserve"> iz te točke </w:t>
      </w:r>
      <w:r w:rsidR="00404C58">
        <w:rPr>
          <w:rFonts w:ascii="Arial" w:hAnsi="Arial" w:cs="Arial"/>
          <w:color w:val="000000"/>
        </w:rPr>
        <w:t xml:space="preserve">ne veljajo za </w:t>
      </w:r>
      <w:r w:rsidR="007A6BDD">
        <w:rPr>
          <w:rFonts w:ascii="Arial" w:hAnsi="Arial" w:cs="Arial"/>
          <w:color w:val="000000"/>
          <w:lang w:val="x-none"/>
        </w:rPr>
        <w:t>naložbe</w:t>
      </w:r>
      <w:r w:rsidR="007A6BDD">
        <w:rPr>
          <w:rFonts w:ascii="Arial" w:hAnsi="Arial" w:cs="Arial"/>
          <w:color w:val="000000"/>
        </w:rPr>
        <w:t xml:space="preserve"> </w:t>
      </w:r>
      <w:r w:rsidR="005E4AB8">
        <w:rPr>
          <w:rFonts w:ascii="Arial" w:eastAsia="Calibri" w:hAnsi="Arial" w:cs="Arial"/>
        </w:rPr>
        <w:t xml:space="preserve">v </w:t>
      </w:r>
      <w:r w:rsidR="005E4AB8" w:rsidRPr="003E339C">
        <w:rPr>
          <w:rFonts w:ascii="Arial" w:eastAsia="Calibri" w:hAnsi="Arial" w:cs="Arial"/>
        </w:rPr>
        <w:t>nočn</w:t>
      </w:r>
      <w:r w:rsidR="005E4AB8">
        <w:rPr>
          <w:rFonts w:ascii="Arial" w:eastAsia="Calibri" w:hAnsi="Arial" w:cs="Arial"/>
        </w:rPr>
        <w:t>e</w:t>
      </w:r>
      <w:r w:rsidR="005E4AB8" w:rsidRPr="003E339C">
        <w:rPr>
          <w:rFonts w:ascii="Arial" w:eastAsia="Calibri" w:hAnsi="Arial" w:cs="Arial"/>
        </w:rPr>
        <w:t xml:space="preserve"> depozit</w:t>
      </w:r>
      <w:r w:rsidR="005E4AB8">
        <w:rPr>
          <w:rFonts w:ascii="Arial" w:eastAsia="Calibri" w:hAnsi="Arial" w:cs="Arial"/>
        </w:rPr>
        <w:t>e, vezane naložbe z zapadlostjo naslednji dan</w:t>
      </w:r>
      <w:r w:rsidR="005E4AB8" w:rsidRPr="003E339C">
        <w:rPr>
          <w:rFonts w:ascii="Arial" w:eastAsia="Calibri" w:hAnsi="Arial" w:cs="Arial"/>
        </w:rPr>
        <w:t xml:space="preserve"> in naložb</w:t>
      </w:r>
      <w:r w:rsidR="005E4AB8">
        <w:rPr>
          <w:rFonts w:ascii="Arial" w:eastAsia="Calibri" w:hAnsi="Arial" w:cs="Arial"/>
        </w:rPr>
        <w:t>e</w:t>
      </w:r>
      <w:r w:rsidR="005E4AB8" w:rsidRPr="003E339C">
        <w:rPr>
          <w:rFonts w:ascii="Arial" w:eastAsia="Calibri" w:hAnsi="Arial" w:cs="Arial"/>
        </w:rPr>
        <w:t xml:space="preserve"> na odpoklic, ki zapadejo v vračilo naslednji dan po odpoklicu.</w:t>
      </w:r>
      <w:r w:rsidR="007A6BDD" w:rsidRPr="00C50016">
        <w:rPr>
          <w:rFonts w:ascii="Arial" w:eastAsia="Calibri" w:hAnsi="Arial" w:cs="Arial"/>
        </w:rPr>
        <w:t xml:space="preserve"> </w:t>
      </w:r>
    </w:p>
    <w:p w14:paraId="2E4CBB9A" w14:textId="47D8B419" w:rsidR="00CE0103" w:rsidRPr="008220CC" w:rsidRDefault="00861EF3" w:rsidP="00CE0103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CE0103" w:rsidRPr="008220CC">
        <w:rPr>
          <w:rFonts w:ascii="Arial" w:hAnsi="Arial" w:cs="Arial"/>
          <w:b/>
          <w:szCs w:val="22"/>
        </w:rPr>
        <w:t>.</w:t>
      </w:r>
      <w:r w:rsidR="007A6BDD">
        <w:rPr>
          <w:rFonts w:ascii="Arial" w:hAnsi="Arial" w:cs="Arial"/>
          <w:b/>
          <w:szCs w:val="22"/>
        </w:rPr>
        <w:t>4</w:t>
      </w:r>
      <w:r w:rsidR="00CE0103" w:rsidRPr="008220CC">
        <w:rPr>
          <w:rFonts w:ascii="Arial" w:hAnsi="Arial" w:cs="Arial"/>
          <w:b/>
          <w:szCs w:val="22"/>
        </w:rPr>
        <w:t>. Prosta kvota</w:t>
      </w:r>
    </w:p>
    <w:p w14:paraId="50C5D49E" w14:textId="77777777" w:rsidR="00CE0103" w:rsidRPr="002E7E1E" w:rsidRDefault="00CE0103" w:rsidP="00CE0103">
      <w:pPr>
        <w:shd w:val="clear" w:color="auto" w:fill="auto"/>
        <w:spacing w:line="260" w:lineRule="atLeast"/>
        <w:rPr>
          <w:rFonts w:ascii="Arial" w:hAnsi="Arial" w:cs="Arial"/>
          <w:szCs w:val="22"/>
          <w:u w:val="single"/>
        </w:rPr>
      </w:pPr>
    </w:p>
    <w:p w14:paraId="7CDEAE5C" w14:textId="029F7D49" w:rsidR="00CE0103" w:rsidRDefault="00CE0103" w:rsidP="00CE0103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Prosta kvota za naložbe v posamezno nasprotno stranko se izračuna kot maksimalni obseg izpostavljenosti do posamezne nasprotne stranke</w:t>
      </w:r>
      <w:r w:rsidR="00B0333B">
        <w:rPr>
          <w:rFonts w:ascii="Arial" w:eastAsia="Calibri" w:hAnsi="Arial" w:cs="Arial"/>
          <w:szCs w:val="22"/>
        </w:rPr>
        <w:t>,</w:t>
      </w:r>
      <w:r>
        <w:rPr>
          <w:rFonts w:ascii="Arial" w:eastAsia="Calibri" w:hAnsi="Arial" w:cs="Arial"/>
          <w:szCs w:val="22"/>
        </w:rPr>
        <w:t xml:space="preserve"> znižan za stanje že sklenjenih</w:t>
      </w:r>
      <w:r w:rsidR="004C0D13">
        <w:rPr>
          <w:rFonts w:ascii="Arial" w:eastAsia="Calibri" w:hAnsi="Arial" w:cs="Arial"/>
          <w:szCs w:val="22"/>
        </w:rPr>
        <w:t>,</w:t>
      </w:r>
      <w:r>
        <w:rPr>
          <w:rFonts w:ascii="Arial" w:eastAsia="Calibri" w:hAnsi="Arial" w:cs="Arial"/>
          <w:szCs w:val="22"/>
        </w:rPr>
        <w:t xml:space="preserve"> </w:t>
      </w:r>
      <w:r w:rsidR="004C0D13">
        <w:rPr>
          <w:rFonts w:ascii="Arial" w:eastAsia="Calibri" w:hAnsi="Arial" w:cs="Arial"/>
          <w:szCs w:val="22"/>
        </w:rPr>
        <w:t xml:space="preserve">še nedospelih </w:t>
      </w:r>
      <w:r>
        <w:rPr>
          <w:rFonts w:ascii="Arial" w:eastAsia="Calibri" w:hAnsi="Arial" w:cs="Arial"/>
          <w:szCs w:val="22"/>
        </w:rPr>
        <w:t>naložb.</w:t>
      </w:r>
      <w:r w:rsidR="0087091E">
        <w:rPr>
          <w:rFonts w:ascii="Arial" w:eastAsia="Calibri" w:hAnsi="Arial" w:cs="Arial"/>
          <w:szCs w:val="22"/>
        </w:rPr>
        <w:t xml:space="preserve"> Pri sklenitvi posla se upošteva prosta kvota na dan poravnave posla.</w:t>
      </w:r>
    </w:p>
    <w:p w14:paraId="507A8ACA" w14:textId="0D364C18" w:rsidR="00CE0103" w:rsidRDefault="00CE0103" w:rsidP="00CE0103">
      <w:pPr>
        <w:shd w:val="clear" w:color="auto" w:fill="auto"/>
        <w:spacing w:after="200"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Za namen določitve stanja že sklenjenih</w:t>
      </w:r>
      <w:r w:rsidR="004C0D13">
        <w:rPr>
          <w:rFonts w:ascii="Arial" w:eastAsia="Calibri" w:hAnsi="Arial" w:cs="Arial"/>
          <w:szCs w:val="22"/>
        </w:rPr>
        <w:t>, še nedospelih</w:t>
      </w:r>
      <w:r>
        <w:rPr>
          <w:rFonts w:ascii="Arial" w:eastAsia="Calibri" w:hAnsi="Arial" w:cs="Arial"/>
          <w:szCs w:val="22"/>
        </w:rPr>
        <w:t xml:space="preserve"> naložb se depoziti in repo posli vrednotijo po nominalni vrednosti in dolžniški vrednostni papirji po nakupni vrednosti. Nakupna vrednost vključuje ceno vrednostnega papirja in plačane natečene obresti. </w:t>
      </w:r>
    </w:p>
    <w:p w14:paraId="16CB3047" w14:textId="19FBADF5" w:rsidR="0085431D" w:rsidRPr="001111A6" w:rsidRDefault="00861EF3" w:rsidP="001111A6">
      <w:pPr>
        <w:shd w:val="clear" w:color="auto" w:fill="auto"/>
        <w:spacing w:line="260" w:lineRule="atLeas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D20E08" w:rsidRPr="001111A6">
        <w:rPr>
          <w:rFonts w:ascii="Arial" w:hAnsi="Arial" w:cs="Arial"/>
          <w:b/>
          <w:szCs w:val="22"/>
        </w:rPr>
        <w:t xml:space="preserve">. </w:t>
      </w:r>
      <w:r w:rsidR="0085431D" w:rsidRPr="001111A6">
        <w:rPr>
          <w:rFonts w:ascii="Arial" w:hAnsi="Arial" w:cs="Arial"/>
          <w:b/>
          <w:szCs w:val="22"/>
        </w:rPr>
        <w:t>Veljavnost</w:t>
      </w:r>
    </w:p>
    <w:p w14:paraId="0C07D4AF" w14:textId="77777777" w:rsidR="0085431D" w:rsidRDefault="0085431D" w:rsidP="00DE4169">
      <w:pPr>
        <w:shd w:val="clear" w:color="auto" w:fill="auto"/>
        <w:tabs>
          <w:tab w:val="left" w:pos="284"/>
        </w:tabs>
        <w:spacing w:line="260" w:lineRule="atLeast"/>
        <w:rPr>
          <w:rFonts w:ascii="Arial" w:hAnsi="Arial" w:cs="Arial"/>
          <w:b/>
          <w:szCs w:val="22"/>
        </w:rPr>
      </w:pPr>
    </w:p>
    <w:p w14:paraId="79A39071" w14:textId="7416EF07" w:rsidR="00E67624" w:rsidRDefault="4C252889" w:rsidP="00DE4169">
      <w:pPr>
        <w:shd w:val="clear" w:color="auto" w:fill="auto"/>
        <w:tabs>
          <w:tab w:val="left" w:pos="284"/>
        </w:tabs>
        <w:spacing w:line="260" w:lineRule="atLeast"/>
        <w:rPr>
          <w:rFonts w:ascii="Arial" w:eastAsia="Calibri" w:hAnsi="Arial" w:cs="Arial"/>
        </w:rPr>
      </w:pPr>
      <w:r w:rsidRPr="43ED2E9D">
        <w:rPr>
          <w:rFonts w:ascii="Arial" w:eastAsia="Calibri" w:hAnsi="Arial" w:cs="Arial"/>
        </w:rPr>
        <w:t xml:space="preserve">Metodologija začne veljati </w:t>
      </w:r>
      <w:r w:rsidR="1F2EA07C" w:rsidRPr="43ED2E9D">
        <w:rPr>
          <w:rFonts w:ascii="Arial" w:eastAsia="Calibri" w:hAnsi="Arial" w:cs="Arial"/>
        </w:rPr>
        <w:t>naslednji dan po podpisu</w:t>
      </w:r>
      <w:r w:rsidR="00654220">
        <w:rPr>
          <w:rFonts w:ascii="Arial" w:eastAsia="Calibri" w:hAnsi="Arial" w:cs="Arial"/>
        </w:rPr>
        <w:t xml:space="preserve"> </w:t>
      </w:r>
      <w:r w:rsidRPr="43ED2E9D">
        <w:rPr>
          <w:rFonts w:ascii="Arial" w:eastAsia="Calibri" w:hAnsi="Arial" w:cs="Arial"/>
        </w:rPr>
        <w:t xml:space="preserve">in </w:t>
      </w:r>
      <w:r w:rsidR="63B5E9EF" w:rsidRPr="43ED2E9D">
        <w:rPr>
          <w:rFonts w:ascii="Arial" w:eastAsia="Calibri" w:hAnsi="Arial" w:cs="Arial"/>
        </w:rPr>
        <w:t xml:space="preserve">nadomešča do tega datuma veljavno </w:t>
      </w:r>
      <w:r w:rsidR="00A35899">
        <w:rPr>
          <w:rFonts w:ascii="Arial" w:eastAsia="Calibri" w:hAnsi="Arial" w:cs="Arial"/>
        </w:rPr>
        <w:t>metodologijo</w:t>
      </w:r>
      <w:r w:rsidR="63B5E9EF" w:rsidRPr="43ED2E9D">
        <w:rPr>
          <w:rFonts w:ascii="Arial" w:eastAsia="Calibri" w:hAnsi="Arial" w:cs="Arial"/>
        </w:rPr>
        <w:t xml:space="preserve">. </w:t>
      </w:r>
    </w:p>
    <w:p w14:paraId="746D6ADC" w14:textId="77777777" w:rsidR="00E67624" w:rsidRDefault="00E67624" w:rsidP="00DE4169">
      <w:pPr>
        <w:shd w:val="clear" w:color="auto" w:fill="auto"/>
        <w:tabs>
          <w:tab w:val="left" w:pos="284"/>
        </w:tabs>
        <w:spacing w:line="260" w:lineRule="atLeast"/>
        <w:rPr>
          <w:rFonts w:ascii="Arial" w:eastAsia="Calibri" w:hAnsi="Arial" w:cs="Arial"/>
        </w:rPr>
      </w:pPr>
    </w:p>
    <w:p w14:paraId="26C4FD7B" w14:textId="4C842114" w:rsidR="007C2283" w:rsidRPr="00DE4169" w:rsidRDefault="00E67624" w:rsidP="00DE4169">
      <w:pPr>
        <w:shd w:val="clear" w:color="auto" w:fill="auto"/>
        <w:tabs>
          <w:tab w:val="left" w:pos="284"/>
        </w:tabs>
        <w:spacing w:line="260" w:lineRule="atLeast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</w:rPr>
        <w:t>Posli</w:t>
      </w:r>
      <w:r w:rsidR="00A35899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sklenjeni na podlagi </w:t>
      </w:r>
      <w:r w:rsidR="005B0EC7">
        <w:rPr>
          <w:rFonts w:ascii="Arial" w:eastAsia="Calibri" w:hAnsi="Arial" w:cs="Arial"/>
        </w:rPr>
        <w:t>predhodno</w:t>
      </w:r>
      <w:r w:rsidR="00CE010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veljavne metodologije</w:t>
      </w:r>
      <w:r w:rsidR="005B0EC7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se </w:t>
      </w:r>
      <w:r w:rsidR="00BE746E">
        <w:rPr>
          <w:rFonts w:ascii="Arial" w:eastAsia="Calibri" w:hAnsi="Arial" w:cs="Arial"/>
        </w:rPr>
        <w:t xml:space="preserve">praviloma </w:t>
      </w:r>
      <w:r>
        <w:rPr>
          <w:rFonts w:ascii="Arial" w:eastAsia="Calibri" w:hAnsi="Arial" w:cs="Arial"/>
        </w:rPr>
        <w:t>držijo do zapadlosti.</w:t>
      </w:r>
    </w:p>
    <w:p w14:paraId="6E3D1C3E" w14:textId="77777777" w:rsidR="00E242A4" w:rsidRPr="008220CC" w:rsidRDefault="00E242A4" w:rsidP="005F62C4">
      <w:pPr>
        <w:shd w:val="clear" w:color="auto" w:fill="auto"/>
        <w:spacing w:line="260" w:lineRule="atLeast"/>
        <w:rPr>
          <w:rFonts w:ascii="Arial" w:hAnsi="Arial" w:cs="Arial"/>
        </w:rPr>
      </w:pPr>
    </w:p>
    <w:p w14:paraId="39715815" w14:textId="6E475D3E" w:rsidR="00E242A4" w:rsidRPr="008220CC" w:rsidRDefault="78055D6F" w:rsidP="43ED2E9D">
      <w:pPr>
        <w:shd w:val="clear" w:color="auto" w:fill="auto"/>
        <w:spacing w:after="200" w:line="276" w:lineRule="auto"/>
        <w:rPr>
          <w:rFonts w:ascii="Arial" w:eastAsia="Calibri" w:hAnsi="Arial" w:cs="Arial"/>
        </w:rPr>
      </w:pPr>
      <w:r w:rsidRPr="43ED2E9D">
        <w:rPr>
          <w:rFonts w:ascii="Arial" w:eastAsia="Calibri" w:hAnsi="Arial" w:cs="Arial"/>
        </w:rPr>
        <w:t>Številka:</w:t>
      </w:r>
      <w:r w:rsidR="00526A2B">
        <w:rPr>
          <w:rFonts w:ascii="Arial" w:eastAsia="Calibri" w:hAnsi="Arial" w:cs="Arial"/>
        </w:rPr>
        <w:t xml:space="preserve"> 4720-13/2023/26</w:t>
      </w:r>
    </w:p>
    <w:p w14:paraId="4C4CE449" w14:textId="7F677883" w:rsidR="00E242A4" w:rsidRPr="008220CC" w:rsidRDefault="00526A2B" w:rsidP="00E242A4">
      <w:pPr>
        <w:rPr>
          <w:rFonts w:ascii="Arial" w:hAnsi="Arial" w:cs="Arial"/>
        </w:rPr>
      </w:pPr>
      <w:r>
        <w:rPr>
          <w:rFonts w:ascii="Arial" w:hAnsi="Arial" w:cs="Arial"/>
        </w:rPr>
        <w:t>Datum: naveden v elektronskem podpisu</w:t>
      </w:r>
    </w:p>
    <w:p w14:paraId="45148E15" w14:textId="20F30629" w:rsidR="00FC1AE4" w:rsidRPr="008220CC" w:rsidRDefault="747B7C01" w:rsidP="001111A6">
      <w:pPr>
        <w:shd w:val="clear" w:color="auto" w:fill="auto"/>
        <w:spacing w:after="200"/>
        <w:ind w:left="6480"/>
        <w:jc w:val="center"/>
        <w:rPr>
          <w:rFonts w:ascii="Arial" w:eastAsia="Calibri" w:hAnsi="Arial" w:cs="Arial"/>
        </w:rPr>
      </w:pPr>
      <w:r w:rsidRPr="43ED2E9D">
        <w:rPr>
          <w:rFonts w:ascii="Arial" w:eastAsia="Calibri" w:hAnsi="Arial" w:cs="Arial"/>
        </w:rPr>
        <w:t>Klemen Boštjančič</w:t>
      </w:r>
    </w:p>
    <w:p w14:paraId="409B9D09" w14:textId="6B410B8B" w:rsidR="00E242A4" w:rsidRPr="008220CC" w:rsidRDefault="00473F2F" w:rsidP="001111A6">
      <w:pPr>
        <w:shd w:val="clear" w:color="auto" w:fill="auto"/>
        <w:tabs>
          <w:tab w:val="left" w:pos="6521"/>
        </w:tabs>
        <w:spacing w:after="200"/>
        <w:ind w:left="648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2"/>
        </w:rPr>
        <w:tab/>
      </w:r>
      <w:r w:rsidR="00C0269B">
        <w:rPr>
          <w:rFonts w:ascii="Arial" w:eastAsia="Calibri" w:hAnsi="Arial" w:cs="Arial"/>
        </w:rPr>
        <w:t>m</w:t>
      </w:r>
      <w:r w:rsidR="78055D6F" w:rsidRPr="43ED2E9D">
        <w:rPr>
          <w:rFonts w:ascii="Arial" w:eastAsia="Calibri" w:hAnsi="Arial" w:cs="Arial"/>
        </w:rPr>
        <w:t>inist</w:t>
      </w:r>
      <w:r w:rsidR="747B7C01" w:rsidRPr="43ED2E9D">
        <w:rPr>
          <w:rFonts w:ascii="Arial" w:eastAsia="Calibri" w:hAnsi="Arial" w:cs="Arial"/>
        </w:rPr>
        <w:t>er</w:t>
      </w:r>
      <w:r w:rsidR="78055D6F" w:rsidRPr="43ED2E9D">
        <w:rPr>
          <w:rFonts w:ascii="Arial" w:eastAsia="Calibri" w:hAnsi="Arial" w:cs="Arial"/>
        </w:rPr>
        <w:t xml:space="preserve"> za finance</w:t>
      </w:r>
    </w:p>
    <w:p w14:paraId="0D2AC024" w14:textId="15F4B706" w:rsidR="1DE16586" w:rsidRDefault="1DE16586" w:rsidP="001111A6">
      <w:pPr>
        <w:spacing w:before="240" w:after="120" w:line="312" w:lineRule="auto"/>
        <w:rPr>
          <w:rFonts w:ascii="Arial" w:eastAsia="Arial" w:hAnsi="Arial" w:cs="Arial"/>
          <w:b/>
          <w:bCs/>
          <w:szCs w:val="22"/>
        </w:rPr>
      </w:pPr>
      <w:r w:rsidRPr="43ED2E9D">
        <w:rPr>
          <w:rFonts w:ascii="Arial" w:eastAsia="Arial" w:hAnsi="Arial" w:cs="Arial"/>
          <w:b/>
          <w:bCs/>
          <w:szCs w:val="22"/>
        </w:rPr>
        <w:lastRenderedPageBreak/>
        <w:t>Priloga</w:t>
      </w:r>
    </w:p>
    <w:p w14:paraId="056E3199" w14:textId="472A07B5" w:rsidR="1DE16586" w:rsidRDefault="1DE16586" w:rsidP="7498AB74">
      <w:pPr>
        <w:spacing w:before="240" w:after="120" w:line="312" w:lineRule="auto"/>
        <w:rPr>
          <w:rFonts w:ascii="Arial" w:eastAsia="Arial" w:hAnsi="Arial" w:cs="Arial"/>
          <w:b/>
          <w:bCs/>
          <w:szCs w:val="22"/>
        </w:rPr>
      </w:pPr>
      <w:r w:rsidRPr="43ED2E9D">
        <w:rPr>
          <w:rFonts w:ascii="Arial" w:eastAsia="Arial" w:hAnsi="Arial" w:cs="Arial"/>
          <w:b/>
          <w:bCs/>
          <w:szCs w:val="22"/>
        </w:rPr>
        <w:t>Bonitetna lestvica Ministrstva za finance</w:t>
      </w:r>
      <w:r w:rsidR="190E81EB" w:rsidRPr="43ED2E9D">
        <w:rPr>
          <w:rFonts w:ascii="Arial" w:eastAsia="Arial" w:hAnsi="Arial" w:cs="Arial"/>
          <w:b/>
          <w:bCs/>
          <w:szCs w:val="22"/>
        </w:rPr>
        <w:t xml:space="preserve"> 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3169"/>
      </w:tblGrid>
      <w:tr w:rsidR="43ED2E9D" w14:paraId="556E251D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7C4B26A" w14:textId="32C4DC18" w:rsidR="43ED2E9D" w:rsidRPr="00CE0103" w:rsidRDefault="43ED2E9D">
            <w:pPr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</w:pPr>
            <w:proofErr w:type="spellStart"/>
            <w:r w:rsidRPr="00CE0103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Moody's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0A1E52" w14:textId="58CD1A27" w:rsidR="43ED2E9D" w:rsidRPr="00CE0103" w:rsidRDefault="43ED2E9D">
            <w:pPr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S&amp;P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B3174C8" w14:textId="0DDEBD3D" w:rsidR="43ED2E9D" w:rsidRPr="00CE0103" w:rsidRDefault="43ED2E9D">
            <w:pPr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</w:pPr>
            <w:proofErr w:type="spellStart"/>
            <w:r w:rsidRPr="00CE0103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Fitch</w:t>
            </w:r>
            <w:proofErr w:type="spellEnd"/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B6B232" w14:textId="422660D7" w:rsidR="43ED2E9D" w:rsidRPr="00CE0103" w:rsidRDefault="43ED2E9D">
            <w:pPr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Ministrstvo za finance</w:t>
            </w:r>
          </w:p>
        </w:tc>
      </w:tr>
      <w:tr w:rsidR="43ED2E9D" w14:paraId="5870883D" w14:textId="77777777" w:rsidTr="006761C4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782DD6" w14:textId="43CAE7CF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spellStart"/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Aaa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EE60527" w14:textId="5CBE90F1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AAA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AF6D3C2" w14:textId="4EE0BCF7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AAA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D5F5C3" w14:textId="3EE58EF9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10</w:t>
            </w:r>
          </w:p>
        </w:tc>
      </w:tr>
      <w:tr w:rsidR="43ED2E9D" w14:paraId="1B38372D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ADA597" w14:textId="6A7B24D6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C822472" w14:textId="759C0FF9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AA+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529519" w14:textId="69C56123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AA+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E162C3" w14:textId="14D7F551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9,66</w:t>
            </w:r>
          </w:p>
        </w:tc>
      </w:tr>
      <w:tr w:rsidR="43ED2E9D" w14:paraId="5AC8A433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6AADAE" w14:textId="3AD98FF6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38C9D5B" w14:textId="270419F8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176E22" w14:textId="12608A6C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FF9CA9" w14:textId="3FCE4FAF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9,33</w:t>
            </w:r>
          </w:p>
        </w:tc>
      </w:tr>
      <w:tr w:rsidR="43ED2E9D" w14:paraId="446E9D0B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F4B7AD" w14:textId="241EEA28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7FE80FC" w14:textId="66BDD8E3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AA-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8DE8AA3" w14:textId="316CD8E6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AA-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A4DD28" w14:textId="391AC0C6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9</w:t>
            </w:r>
          </w:p>
        </w:tc>
      </w:tr>
      <w:tr w:rsidR="43ED2E9D" w14:paraId="09552F30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DF20D35" w14:textId="64A17A93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56DC7D" w14:textId="0590898A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A+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8A8AE1" w14:textId="619B622D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A+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525993" w14:textId="77D2EDEC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8,66</w:t>
            </w:r>
          </w:p>
        </w:tc>
      </w:tr>
      <w:tr w:rsidR="43ED2E9D" w14:paraId="5D684820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06642C" w14:textId="32AA1C65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151672C" w14:textId="2128AA69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504B68" w14:textId="399F949E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FB6755" w14:textId="795310A7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8,33</w:t>
            </w:r>
          </w:p>
        </w:tc>
      </w:tr>
      <w:tr w:rsidR="43ED2E9D" w14:paraId="65D6C064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8916C6" w14:textId="34A2044F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848EB5" w14:textId="675BAB47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A-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09664B" w14:textId="76410721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A-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6171CF" w14:textId="7833ABCE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8</w:t>
            </w:r>
          </w:p>
        </w:tc>
      </w:tr>
      <w:tr w:rsidR="43ED2E9D" w14:paraId="6A823CA4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6C129DF" w14:textId="6EB84B89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Baa1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6CBB7A" w14:textId="529F9EC3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BBB+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2F7EB95" w14:textId="20F073E8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BBB+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FD2085" w14:textId="2EC3C335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7,66</w:t>
            </w:r>
          </w:p>
        </w:tc>
      </w:tr>
      <w:tr w:rsidR="43ED2E9D" w14:paraId="72EB04FB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1FA74C6" w14:textId="34F633AE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Baa2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1606085" w14:textId="0A5F671C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BBB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F327F2C" w14:textId="3F160364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BBB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EF8049" w14:textId="6A248249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7,33</w:t>
            </w:r>
          </w:p>
        </w:tc>
      </w:tr>
      <w:tr w:rsidR="43ED2E9D" w14:paraId="1E1A1E0D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EAEC990" w14:textId="739BAEC2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Baa3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AC64DE" w14:textId="10FFBF33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BBB-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21F45A" w14:textId="4D8186EC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BBB-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E9DB03" w14:textId="5E3EF382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7</w:t>
            </w:r>
          </w:p>
        </w:tc>
      </w:tr>
      <w:tr w:rsidR="43ED2E9D" w14:paraId="22B0B89D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B834980" w14:textId="5BF60AA1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Ba1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CF27400" w14:textId="4E0958AD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BB+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357568E" w14:textId="182374AD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BB+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AE609B" w14:textId="03D8C925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6,66</w:t>
            </w:r>
          </w:p>
        </w:tc>
      </w:tr>
      <w:tr w:rsidR="43ED2E9D" w14:paraId="56EBA2D4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A0BBE7" w14:textId="25B70918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Ba2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DFBF9B5" w14:textId="493FC7E2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00C8D3" w14:textId="3C531D0F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A332" w14:textId="25D76506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6,33</w:t>
            </w:r>
          </w:p>
        </w:tc>
      </w:tr>
      <w:tr w:rsidR="43ED2E9D" w14:paraId="62F1C62D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88ADAF" w14:textId="4DE2D81F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Ba3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7C5DFD3" w14:textId="787D82AF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BB-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ABDA66D" w14:textId="53ACD3DB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BB-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2810FF" w14:textId="29863D1D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6</w:t>
            </w:r>
          </w:p>
        </w:tc>
      </w:tr>
      <w:tr w:rsidR="43ED2E9D" w14:paraId="084E2179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92B66AC" w14:textId="4C21FFC3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3DE820" w14:textId="4070F0DE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B+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8705010" w14:textId="438F8735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B+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9C4B56" w14:textId="20E61331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5,66</w:t>
            </w:r>
          </w:p>
        </w:tc>
      </w:tr>
      <w:tr w:rsidR="43ED2E9D" w14:paraId="1D086DF0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16F2A79" w14:textId="39AFB9A9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6A4B174" w14:textId="72950094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D1C4EE4" w14:textId="38B1CB4B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A9CCFA" w14:textId="1C4A8FC7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5,33</w:t>
            </w:r>
          </w:p>
        </w:tc>
      </w:tr>
      <w:tr w:rsidR="43ED2E9D" w14:paraId="1F71E715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D13A3B6" w14:textId="08F21815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FF5FF30" w14:textId="4D4BEFF6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B-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9B28F41" w14:textId="0B39329D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B-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DF5C88" w14:textId="68E31926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5</w:t>
            </w:r>
          </w:p>
        </w:tc>
      </w:tr>
      <w:tr w:rsidR="43ED2E9D" w14:paraId="7057B9E4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47B3E8" w14:textId="46AA9970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Caa1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40AF310" w14:textId="23EDDD2B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CCC+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6DCE56B" w14:textId="0BEF9517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CCC+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E84170" w14:textId="4418A705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4,66</w:t>
            </w:r>
          </w:p>
        </w:tc>
      </w:tr>
      <w:tr w:rsidR="43ED2E9D" w14:paraId="2D625285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5677FE" w14:textId="36405973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Caa2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6C02DA8" w14:textId="7A3F1511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CCC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48707D9" w14:textId="751086FC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CCC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51DBFC" w14:textId="6787E709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4,33</w:t>
            </w:r>
          </w:p>
        </w:tc>
      </w:tr>
      <w:tr w:rsidR="43ED2E9D" w14:paraId="68840B85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75A7B3" w14:textId="3C448A66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Caa3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72C7A05" w14:textId="681A890B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CCC-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28B617" w14:textId="44BE3718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CCC-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9E4EE4" w14:textId="3706827A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4</w:t>
            </w:r>
          </w:p>
        </w:tc>
      </w:tr>
      <w:tr w:rsidR="43ED2E9D" w14:paraId="14F59BD3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002449" w14:textId="66330C76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Ca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54CA7A4" w14:textId="35CF9E65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CC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22F1130" w14:textId="6EF781A8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CC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472CC5" w14:textId="5CD364A0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3</w:t>
            </w:r>
          </w:p>
        </w:tc>
      </w:tr>
      <w:tr w:rsidR="43ED2E9D" w14:paraId="7A9C0E0D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9174307" w14:textId="246E5D13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EFD5EB" w14:textId="0FC0E4F4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E65AF79" w14:textId="6D6D7E0B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C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D04233" w14:textId="1011451C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2</w:t>
            </w:r>
          </w:p>
        </w:tc>
      </w:tr>
      <w:tr w:rsidR="43ED2E9D" w14:paraId="7AEBC129" w14:textId="77777777" w:rsidTr="001A7A93">
        <w:trPr>
          <w:trHeight w:val="34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14918E" w14:textId="322D8C64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EB07E88" w14:textId="3FAC0A6A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D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0DE4C62" w14:textId="1FC76FFD" w:rsidR="43ED2E9D" w:rsidRPr="00CE0103" w:rsidRDefault="43ED2E9D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D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D108D4" w14:textId="62DA3A0B" w:rsidR="43ED2E9D" w:rsidRPr="00CE0103" w:rsidRDefault="43ED2E9D" w:rsidP="00EF08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color w:val="000000" w:themeColor="text1"/>
                <w:szCs w:val="22"/>
              </w:rPr>
              <w:t>1</w:t>
            </w:r>
          </w:p>
        </w:tc>
      </w:tr>
    </w:tbl>
    <w:p w14:paraId="0BBD3819" w14:textId="6812C81C" w:rsidR="1DE16586" w:rsidRDefault="1DE16586" w:rsidP="001111A6">
      <w:pPr>
        <w:spacing w:after="200"/>
        <w:rPr>
          <w:rFonts w:ascii="Arial" w:eastAsia="Arial" w:hAnsi="Arial" w:cs="Arial"/>
          <w:sz w:val="20"/>
        </w:rPr>
      </w:pPr>
      <w:r w:rsidRPr="43ED2E9D">
        <w:rPr>
          <w:rFonts w:ascii="Arial" w:eastAsia="Arial" w:hAnsi="Arial" w:cs="Arial"/>
          <w:sz w:val="20"/>
        </w:rPr>
        <w:t xml:space="preserve"> </w:t>
      </w:r>
    </w:p>
    <w:p w14:paraId="1DAE12F8" w14:textId="77777777" w:rsidR="00E91825" w:rsidRDefault="00E91825" w:rsidP="001111A6">
      <w:pPr>
        <w:spacing w:after="200"/>
        <w:rPr>
          <w:rFonts w:ascii="Arial" w:eastAsia="Arial" w:hAnsi="Arial" w:cs="Arial"/>
          <w:sz w:val="20"/>
        </w:rPr>
      </w:pP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2624"/>
        <w:gridCol w:w="2835"/>
      </w:tblGrid>
      <w:tr w:rsidR="0092033F" w:rsidRPr="00CE0103" w14:paraId="09C7B140" w14:textId="77777777" w:rsidTr="001A7A93">
        <w:trPr>
          <w:trHeight w:val="343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6B6A9E1" w14:textId="7AC09D88" w:rsidR="00EB5F92" w:rsidRPr="00CE0103" w:rsidRDefault="00EB5F92" w:rsidP="007A6391">
            <w:pPr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Napoved</w:t>
            </w:r>
            <w:r w:rsidR="004F5E3E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 xml:space="preserve"> (Outlook)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1E4848" w14:textId="77777777" w:rsidR="0092033F" w:rsidRPr="00CE0103" w:rsidRDefault="0092033F" w:rsidP="007A6391">
            <w:pPr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</w:pPr>
            <w:r w:rsidRPr="00CE0103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Ministrstvo za finance</w:t>
            </w:r>
          </w:p>
        </w:tc>
      </w:tr>
      <w:tr w:rsidR="0092033F" w:rsidRPr="00CE0103" w14:paraId="14DCA65A" w14:textId="77777777" w:rsidTr="001A7A93">
        <w:trPr>
          <w:trHeight w:val="343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E7957A" w14:textId="7390F5E7" w:rsidR="0092033F" w:rsidRPr="00CE0103" w:rsidRDefault="0092033F" w:rsidP="007A6391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Cs w:val="22"/>
              </w:rPr>
              <w:t>POSITIVE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991C3A" w14:textId="70B68420" w:rsidR="0092033F" w:rsidRPr="00CE0103" w:rsidRDefault="0092033F" w:rsidP="007A63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Cs w:val="22"/>
              </w:rPr>
              <w:t>1</w:t>
            </w:r>
          </w:p>
        </w:tc>
      </w:tr>
      <w:tr w:rsidR="0092033F" w:rsidRPr="00CE0103" w14:paraId="3F1D8443" w14:textId="77777777" w:rsidTr="001A7A93">
        <w:trPr>
          <w:trHeight w:val="343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E696E5" w14:textId="31E1F328" w:rsidR="0092033F" w:rsidRPr="00CE0103" w:rsidRDefault="0092033F" w:rsidP="007A6391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Cs w:val="22"/>
              </w:rPr>
              <w:t>STABLE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E37572" w14:textId="0F04EAA3" w:rsidR="0092033F" w:rsidRPr="00CE0103" w:rsidRDefault="0092033F" w:rsidP="007A6391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Cs w:val="22"/>
              </w:rPr>
              <w:t>0</w:t>
            </w:r>
          </w:p>
        </w:tc>
      </w:tr>
      <w:tr w:rsidR="0092033F" w:rsidRPr="00CE0103" w14:paraId="2CC4AB7C" w14:textId="77777777" w:rsidTr="001A7A93">
        <w:trPr>
          <w:trHeight w:val="343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A67D3C1" w14:textId="5EAD513D" w:rsidR="0092033F" w:rsidRPr="00CE0103" w:rsidRDefault="0092033F" w:rsidP="007A6391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Cs w:val="22"/>
              </w:rPr>
              <w:t>NEGATIVE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6BE88A" w14:textId="5223EFC7" w:rsidR="0092033F" w:rsidRPr="00CE0103" w:rsidRDefault="0092033F" w:rsidP="0092033F">
            <w:pPr>
              <w:jc w:val="right"/>
              <w:rPr>
                <w:rFonts w:ascii="Arial" w:eastAsia="Arial" w:hAnsi="Arial" w:cs="Arial"/>
                <w:color w:val="000000" w:themeColor="text1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Cs w:val="22"/>
              </w:rPr>
              <w:t>-1</w:t>
            </w:r>
          </w:p>
        </w:tc>
      </w:tr>
    </w:tbl>
    <w:p w14:paraId="157795F5" w14:textId="4DC3D8DE" w:rsidR="43ED2E9D" w:rsidRDefault="43ED2E9D" w:rsidP="43ED2E9D">
      <w:pPr>
        <w:rPr>
          <w:rFonts w:ascii="Arial" w:hAnsi="Arial" w:cs="Arial"/>
        </w:rPr>
      </w:pPr>
    </w:p>
    <w:sectPr w:rsidR="43ED2E9D" w:rsidSect="00B20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6B24" w14:textId="77777777" w:rsidR="001F27F3" w:rsidRDefault="001F27F3" w:rsidP="009D7446">
      <w:r>
        <w:separator/>
      </w:r>
    </w:p>
  </w:endnote>
  <w:endnote w:type="continuationSeparator" w:id="0">
    <w:p w14:paraId="654B8057" w14:textId="77777777" w:rsidR="001F27F3" w:rsidRDefault="001F27F3" w:rsidP="009D7446">
      <w:r>
        <w:continuationSeparator/>
      </w:r>
    </w:p>
  </w:endnote>
  <w:endnote w:type="continuationNotice" w:id="1">
    <w:p w14:paraId="138E409A" w14:textId="77777777" w:rsidR="001F27F3" w:rsidRDefault="001F2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E35" w14:textId="77777777" w:rsidR="004A6297" w:rsidRDefault="004A62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324452"/>
      <w:docPartObj>
        <w:docPartGallery w:val="Page Numbers (Bottom of Page)"/>
        <w:docPartUnique/>
      </w:docPartObj>
    </w:sdtPr>
    <w:sdtEndPr/>
    <w:sdtContent>
      <w:p w14:paraId="02FDCA87" w14:textId="60B9CE42" w:rsidR="00B17A7B" w:rsidRDefault="00B17A7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297">
          <w:rPr>
            <w:noProof/>
          </w:rPr>
          <w:t>2</w:t>
        </w:r>
        <w:r>
          <w:fldChar w:fldCharType="end"/>
        </w:r>
      </w:p>
    </w:sdtContent>
  </w:sdt>
  <w:p w14:paraId="3A4F6E66" w14:textId="77777777" w:rsidR="00FF2169" w:rsidRDefault="00FF216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BC0B" w14:textId="77777777" w:rsidR="004A6297" w:rsidRDefault="004A62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361C" w14:textId="77777777" w:rsidR="001F27F3" w:rsidRDefault="001F27F3" w:rsidP="009D7446">
      <w:r>
        <w:separator/>
      </w:r>
    </w:p>
  </w:footnote>
  <w:footnote w:type="continuationSeparator" w:id="0">
    <w:p w14:paraId="5A4D93B1" w14:textId="77777777" w:rsidR="001F27F3" w:rsidRDefault="001F27F3" w:rsidP="009D7446">
      <w:r>
        <w:continuationSeparator/>
      </w:r>
    </w:p>
  </w:footnote>
  <w:footnote w:type="continuationNotice" w:id="1">
    <w:p w14:paraId="2E429162" w14:textId="77777777" w:rsidR="001F27F3" w:rsidRDefault="001F2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DA41" w14:textId="77777777" w:rsidR="004A6297" w:rsidRDefault="004A62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924D" w14:textId="75DB1150" w:rsidR="00FF2169" w:rsidRDefault="00FF2169">
    <w:pPr>
      <w:pStyle w:val="Glava"/>
      <w:jc w:val="center"/>
    </w:pPr>
  </w:p>
  <w:p w14:paraId="42840455" w14:textId="77777777" w:rsidR="00CE46CB" w:rsidRPr="00643DA1" w:rsidRDefault="00CE46CB" w:rsidP="00643DA1">
    <w:pPr>
      <w:pStyle w:val="Glava"/>
      <w:shd w:val="clear" w:color="auto" w:fill="auto"/>
      <w:tabs>
        <w:tab w:val="clear" w:pos="4536"/>
        <w:tab w:val="clear" w:pos="9072"/>
        <w:tab w:val="left" w:pos="5112"/>
      </w:tabs>
      <w:spacing w:before="120" w:line="240" w:lineRule="exact"/>
      <w:jc w:val="left"/>
      <w:rPr>
        <w:rFonts w:ascii="Arial" w:hAnsi="Arial" w:cs="Arial"/>
        <w:sz w:val="16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97AB" w14:textId="77777777" w:rsidR="004A6297" w:rsidRDefault="004A62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09D"/>
    <w:multiLevelType w:val="hybridMultilevel"/>
    <w:tmpl w:val="93522A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5088"/>
    <w:multiLevelType w:val="hybridMultilevel"/>
    <w:tmpl w:val="6B9CB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59C9"/>
    <w:multiLevelType w:val="multilevel"/>
    <w:tmpl w:val="0DA4C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411490"/>
    <w:multiLevelType w:val="hybridMultilevel"/>
    <w:tmpl w:val="34DE8D06"/>
    <w:lvl w:ilvl="0" w:tplc="82A6A0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F358A"/>
    <w:multiLevelType w:val="hybridMultilevel"/>
    <w:tmpl w:val="48A2D398"/>
    <w:lvl w:ilvl="0" w:tplc="82A6A0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9A11D6"/>
    <w:multiLevelType w:val="hybridMultilevel"/>
    <w:tmpl w:val="C0761DFE"/>
    <w:lvl w:ilvl="0" w:tplc="FFFFFFFF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A76D8"/>
    <w:multiLevelType w:val="hybridMultilevel"/>
    <w:tmpl w:val="FFC49F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E4106"/>
    <w:multiLevelType w:val="hybridMultilevel"/>
    <w:tmpl w:val="887C72AC"/>
    <w:lvl w:ilvl="0" w:tplc="3FDE8C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0731D"/>
    <w:multiLevelType w:val="hybridMultilevel"/>
    <w:tmpl w:val="C87E0E4E"/>
    <w:lvl w:ilvl="0" w:tplc="5918681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55ED4"/>
    <w:multiLevelType w:val="hybridMultilevel"/>
    <w:tmpl w:val="65DE7852"/>
    <w:lvl w:ilvl="0" w:tplc="82A6A0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50956"/>
    <w:multiLevelType w:val="hybridMultilevel"/>
    <w:tmpl w:val="5CB8903E"/>
    <w:lvl w:ilvl="0" w:tplc="0FFC88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6AEA"/>
    <w:multiLevelType w:val="hybridMultilevel"/>
    <w:tmpl w:val="E828DC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C51DC"/>
    <w:multiLevelType w:val="hybridMultilevel"/>
    <w:tmpl w:val="FD6CB00A"/>
    <w:lvl w:ilvl="0" w:tplc="E516389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63BDB"/>
    <w:multiLevelType w:val="hybridMultilevel"/>
    <w:tmpl w:val="06B81A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C0095"/>
    <w:multiLevelType w:val="hybridMultilevel"/>
    <w:tmpl w:val="FF8C3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F3B94"/>
    <w:multiLevelType w:val="hybridMultilevel"/>
    <w:tmpl w:val="E2E898EC"/>
    <w:lvl w:ilvl="0" w:tplc="A54C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A21E9"/>
    <w:multiLevelType w:val="hybridMultilevel"/>
    <w:tmpl w:val="4C62B8B8"/>
    <w:lvl w:ilvl="0" w:tplc="82A6A0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3E04B4"/>
    <w:multiLevelType w:val="hybridMultilevel"/>
    <w:tmpl w:val="5B623D7A"/>
    <w:lvl w:ilvl="0" w:tplc="82A6A0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9782A"/>
    <w:multiLevelType w:val="multilevel"/>
    <w:tmpl w:val="01FE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A154F2"/>
    <w:multiLevelType w:val="hybridMultilevel"/>
    <w:tmpl w:val="1DB4CBEC"/>
    <w:lvl w:ilvl="0" w:tplc="FFFFFFFF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B516C"/>
    <w:multiLevelType w:val="hybridMultilevel"/>
    <w:tmpl w:val="BF941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113"/>
    <w:multiLevelType w:val="hybridMultilevel"/>
    <w:tmpl w:val="AEBAA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200A4"/>
    <w:multiLevelType w:val="hybridMultilevel"/>
    <w:tmpl w:val="7402E36A"/>
    <w:lvl w:ilvl="0" w:tplc="FFFFFFFF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37057"/>
    <w:multiLevelType w:val="hybridMultilevel"/>
    <w:tmpl w:val="287437E0"/>
    <w:lvl w:ilvl="0" w:tplc="82A6A0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83E12"/>
    <w:multiLevelType w:val="hybridMultilevel"/>
    <w:tmpl w:val="EA86A4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B4E5C"/>
    <w:multiLevelType w:val="hybridMultilevel"/>
    <w:tmpl w:val="11E62A70"/>
    <w:lvl w:ilvl="0" w:tplc="54C2EB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A0019"/>
    <w:multiLevelType w:val="multilevel"/>
    <w:tmpl w:val="164CC124"/>
    <w:lvl w:ilvl="0">
      <w:start w:val="1"/>
      <w:numFmt w:val="upperRoman"/>
      <w:pStyle w:val="Naslov1"/>
      <w:lvlText w:val="%1."/>
      <w:lvlJc w:val="left"/>
      <w:pPr>
        <w:tabs>
          <w:tab w:val="num" w:pos="3852"/>
        </w:tabs>
        <w:ind w:left="3852" w:hanging="432"/>
      </w:pPr>
      <w:rPr>
        <w:rFonts w:ascii="Arial" w:hAnsi="Arial" w:cs="Arial" w:hint="default"/>
        <w:b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ascii="Book Antiqua" w:hAnsi="Book Antiqua" w:hint="default"/>
        <w:b/>
        <w:i w:val="0"/>
        <w:strike w:val="0"/>
        <w:dstrike w:val="0"/>
        <w:color w:val="000000"/>
        <w:sz w:val="28"/>
        <w:szCs w:val="28"/>
        <w:u w:val="none"/>
        <w:effect w:val="none"/>
      </w:rPr>
    </w:lvl>
    <w:lvl w:ilvl="2">
      <w:start w:val="1"/>
      <w:numFmt w:val="decimal"/>
      <w:lvlRestart w:val="0"/>
      <w:pStyle w:val="Naslov3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isLgl/>
      <w:lvlText w:val="%2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3"/>
      <w:pStyle w:val="Naslov9"/>
      <w:lvlText w:val="%3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C73638E"/>
    <w:multiLevelType w:val="hybridMultilevel"/>
    <w:tmpl w:val="0074B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371CA"/>
    <w:multiLevelType w:val="hybridMultilevel"/>
    <w:tmpl w:val="478AF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71E98"/>
    <w:multiLevelType w:val="hybridMultilevel"/>
    <w:tmpl w:val="B05C51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6A2"/>
    <w:multiLevelType w:val="hybridMultilevel"/>
    <w:tmpl w:val="679400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6C05"/>
    <w:multiLevelType w:val="hybridMultilevel"/>
    <w:tmpl w:val="AC4C8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A74A5"/>
    <w:multiLevelType w:val="hybridMultilevel"/>
    <w:tmpl w:val="5AB069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03D6B"/>
    <w:multiLevelType w:val="hybridMultilevel"/>
    <w:tmpl w:val="EF52A3F0"/>
    <w:lvl w:ilvl="0" w:tplc="82A6A0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34821"/>
    <w:multiLevelType w:val="hybridMultilevel"/>
    <w:tmpl w:val="B16048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84B69"/>
    <w:multiLevelType w:val="hybridMultilevel"/>
    <w:tmpl w:val="7E60BFDC"/>
    <w:lvl w:ilvl="0" w:tplc="FFFFFFFF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A0EBD"/>
    <w:multiLevelType w:val="hybridMultilevel"/>
    <w:tmpl w:val="472829C8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76475D7C"/>
    <w:multiLevelType w:val="hybridMultilevel"/>
    <w:tmpl w:val="64464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27505"/>
    <w:multiLevelType w:val="hybridMultilevel"/>
    <w:tmpl w:val="2A6CD2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13BBC"/>
    <w:multiLevelType w:val="hybridMultilevel"/>
    <w:tmpl w:val="2FA89692"/>
    <w:lvl w:ilvl="0" w:tplc="82A6A0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127847">
    <w:abstractNumId w:val="26"/>
  </w:num>
  <w:num w:numId="2" w16cid:durableId="108478065">
    <w:abstractNumId w:val="16"/>
  </w:num>
  <w:num w:numId="3" w16cid:durableId="804740410">
    <w:abstractNumId w:val="4"/>
  </w:num>
  <w:num w:numId="4" w16cid:durableId="30306165">
    <w:abstractNumId w:val="3"/>
  </w:num>
  <w:num w:numId="5" w16cid:durableId="422922380">
    <w:abstractNumId w:val="9"/>
  </w:num>
  <w:num w:numId="6" w16cid:durableId="1154030727">
    <w:abstractNumId w:val="17"/>
  </w:num>
  <w:num w:numId="7" w16cid:durableId="712851942">
    <w:abstractNumId w:val="33"/>
  </w:num>
  <w:num w:numId="8" w16cid:durableId="1327435547">
    <w:abstractNumId w:val="23"/>
  </w:num>
  <w:num w:numId="9" w16cid:durableId="164439024">
    <w:abstractNumId w:val="39"/>
  </w:num>
  <w:num w:numId="10" w16cid:durableId="304433925">
    <w:abstractNumId w:val="19"/>
  </w:num>
  <w:num w:numId="11" w16cid:durableId="681475130">
    <w:abstractNumId w:val="13"/>
  </w:num>
  <w:num w:numId="12" w16cid:durableId="734740403">
    <w:abstractNumId w:val="35"/>
  </w:num>
  <w:num w:numId="13" w16cid:durableId="671031180">
    <w:abstractNumId w:val="22"/>
  </w:num>
  <w:num w:numId="14" w16cid:durableId="2124641836">
    <w:abstractNumId w:val="5"/>
  </w:num>
  <w:num w:numId="15" w16cid:durableId="449319641">
    <w:abstractNumId w:val="26"/>
  </w:num>
  <w:num w:numId="16" w16cid:durableId="1385058506">
    <w:abstractNumId w:val="26"/>
  </w:num>
  <w:num w:numId="17" w16cid:durableId="11756106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8102297">
    <w:abstractNumId w:val="26"/>
  </w:num>
  <w:num w:numId="19" w16cid:durableId="156851232">
    <w:abstractNumId w:val="1"/>
  </w:num>
  <w:num w:numId="20" w16cid:durableId="206650864">
    <w:abstractNumId w:val="15"/>
  </w:num>
  <w:num w:numId="21" w16cid:durableId="373189717">
    <w:abstractNumId w:val="10"/>
  </w:num>
  <w:num w:numId="22" w16cid:durableId="1519853212">
    <w:abstractNumId w:val="26"/>
  </w:num>
  <w:num w:numId="23" w16cid:durableId="1820003353">
    <w:abstractNumId w:val="12"/>
  </w:num>
  <w:num w:numId="24" w16cid:durableId="341860690">
    <w:abstractNumId w:val="26"/>
  </w:num>
  <w:num w:numId="25" w16cid:durableId="1761371776">
    <w:abstractNumId w:val="26"/>
  </w:num>
  <w:num w:numId="26" w16cid:durableId="798650585">
    <w:abstractNumId w:val="26"/>
  </w:num>
  <w:num w:numId="27" w16cid:durableId="721976147">
    <w:abstractNumId w:val="26"/>
  </w:num>
  <w:num w:numId="28" w16cid:durableId="1842232573">
    <w:abstractNumId w:val="26"/>
  </w:num>
  <w:num w:numId="29" w16cid:durableId="702944436">
    <w:abstractNumId w:val="26"/>
  </w:num>
  <w:num w:numId="30" w16cid:durableId="907615976">
    <w:abstractNumId w:val="26"/>
  </w:num>
  <w:num w:numId="31" w16cid:durableId="1012755076">
    <w:abstractNumId w:val="26"/>
  </w:num>
  <w:num w:numId="32" w16cid:durableId="1214346714">
    <w:abstractNumId w:val="26"/>
  </w:num>
  <w:num w:numId="33" w16cid:durableId="1160660551">
    <w:abstractNumId w:val="26"/>
  </w:num>
  <w:num w:numId="34" w16cid:durableId="1844707406">
    <w:abstractNumId w:val="26"/>
  </w:num>
  <w:num w:numId="35" w16cid:durableId="1447773279">
    <w:abstractNumId w:val="26"/>
  </w:num>
  <w:num w:numId="36" w16cid:durableId="146871889">
    <w:abstractNumId w:val="26"/>
  </w:num>
  <w:num w:numId="37" w16cid:durableId="106120042">
    <w:abstractNumId w:val="26"/>
  </w:num>
  <w:num w:numId="38" w16cid:durableId="704410300">
    <w:abstractNumId w:val="26"/>
  </w:num>
  <w:num w:numId="39" w16cid:durableId="452478350">
    <w:abstractNumId w:val="24"/>
  </w:num>
  <w:num w:numId="40" w16cid:durableId="1508397749">
    <w:abstractNumId w:val="38"/>
  </w:num>
  <w:num w:numId="41" w16cid:durableId="403063442">
    <w:abstractNumId w:val="31"/>
  </w:num>
  <w:num w:numId="42" w16cid:durableId="1540507841">
    <w:abstractNumId w:val="28"/>
  </w:num>
  <w:num w:numId="43" w16cid:durableId="1657538177">
    <w:abstractNumId w:val="0"/>
  </w:num>
  <w:num w:numId="44" w16cid:durableId="1968386336">
    <w:abstractNumId w:val="29"/>
  </w:num>
  <w:num w:numId="45" w16cid:durableId="952397364">
    <w:abstractNumId w:val="11"/>
  </w:num>
  <w:num w:numId="46" w16cid:durableId="1842043825">
    <w:abstractNumId w:val="6"/>
  </w:num>
  <w:num w:numId="47" w16cid:durableId="611202846">
    <w:abstractNumId w:val="20"/>
  </w:num>
  <w:num w:numId="48" w16cid:durableId="548147435">
    <w:abstractNumId w:val="25"/>
  </w:num>
  <w:num w:numId="49" w16cid:durableId="1720089847">
    <w:abstractNumId w:val="30"/>
  </w:num>
  <w:num w:numId="50" w16cid:durableId="1230535952">
    <w:abstractNumId w:val="14"/>
  </w:num>
  <w:num w:numId="51" w16cid:durableId="1880430943">
    <w:abstractNumId w:val="37"/>
  </w:num>
  <w:num w:numId="52" w16cid:durableId="776294119">
    <w:abstractNumId w:val="27"/>
  </w:num>
  <w:num w:numId="53" w16cid:durableId="980430142">
    <w:abstractNumId w:val="34"/>
  </w:num>
  <w:num w:numId="54" w16cid:durableId="269359948">
    <w:abstractNumId w:val="21"/>
  </w:num>
  <w:num w:numId="55" w16cid:durableId="167643938">
    <w:abstractNumId w:val="18"/>
  </w:num>
  <w:num w:numId="56" w16cid:durableId="498617811">
    <w:abstractNumId w:val="8"/>
  </w:num>
  <w:num w:numId="57" w16cid:durableId="2125807810">
    <w:abstractNumId w:val="32"/>
  </w:num>
  <w:num w:numId="58" w16cid:durableId="1412853323">
    <w:abstractNumId w:val="2"/>
  </w:num>
  <w:num w:numId="59" w16cid:durableId="1497379939">
    <w:abstractNumId w:val="36"/>
  </w:num>
  <w:num w:numId="60" w16cid:durableId="19242971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7E"/>
    <w:rsid w:val="00000BC1"/>
    <w:rsid w:val="00001D33"/>
    <w:rsid w:val="000022A9"/>
    <w:rsid w:val="0000508E"/>
    <w:rsid w:val="00006DD9"/>
    <w:rsid w:val="00007156"/>
    <w:rsid w:val="00010468"/>
    <w:rsid w:val="000112DF"/>
    <w:rsid w:val="00011FA1"/>
    <w:rsid w:val="00013CB3"/>
    <w:rsid w:val="00014AA5"/>
    <w:rsid w:val="0001589F"/>
    <w:rsid w:val="00017E2F"/>
    <w:rsid w:val="00020F8E"/>
    <w:rsid w:val="000216EA"/>
    <w:rsid w:val="00021864"/>
    <w:rsid w:val="000267C8"/>
    <w:rsid w:val="00026830"/>
    <w:rsid w:val="00026F16"/>
    <w:rsid w:val="00026F33"/>
    <w:rsid w:val="00027678"/>
    <w:rsid w:val="00031F6A"/>
    <w:rsid w:val="00032291"/>
    <w:rsid w:val="00032546"/>
    <w:rsid w:val="00032D9C"/>
    <w:rsid w:val="00033CF0"/>
    <w:rsid w:val="00036CE1"/>
    <w:rsid w:val="0003749F"/>
    <w:rsid w:val="00040CCF"/>
    <w:rsid w:val="000413FE"/>
    <w:rsid w:val="00041D97"/>
    <w:rsid w:val="00042EFA"/>
    <w:rsid w:val="000449B6"/>
    <w:rsid w:val="0004519E"/>
    <w:rsid w:val="00045301"/>
    <w:rsid w:val="00046BB9"/>
    <w:rsid w:val="00047770"/>
    <w:rsid w:val="0005163C"/>
    <w:rsid w:val="00052017"/>
    <w:rsid w:val="00052FB5"/>
    <w:rsid w:val="0005467F"/>
    <w:rsid w:val="000555C3"/>
    <w:rsid w:val="00056EFA"/>
    <w:rsid w:val="0005727E"/>
    <w:rsid w:val="00057EA9"/>
    <w:rsid w:val="000613A9"/>
    <w:rsid w:val="00066847"/>
    <w:rsid w:val="00066890"/>
    <w:rsid w:val="00067AB8"/>
    <w:rsid w:val="00070FDD"/>
    <w:rsid w:val="00074B3E"/>
    <w:rsid w:val="00075733"/>
    <w:rsid w:val="00076A82"/>
    <w:rsid w:val="00076E25"/>
    <w:rsid w:val="000779D9"/>
    <w:rsid w:val="00077EDF"/>
    <w:rsid w:val="00077FF0"/>
    <w:rsid w:val="0008079A"/>
    <w:rsid w:val="000858AB"/>
    <w:rsid w:val="000865D1"/>
    <w:rsid w:val="0008710F"/>
    <w:rsid w:val="0009054B"/>
    <w:rsid w:val="0009067C"/>
    <w:rsid w:val="000910C8"/>
    <w:rsid w:val="00093F78"/>
    <w:rsid w:val="00095316"/>
    <w:rsid w:val="00096E52"/>
    <w:rsid w:val="00097EF0"/>
    <w:rsid w:val="000A095B"/>
    <w:rsid w:val="000A3A01"/>
    <w:rsid w:val="000A5F2B"/>
    <w:rsid w:val="000B1CCC"/>
    <w:rsid w:val="000B2EA9"/>
    <w:rsid w:val="000B2EC0"/>
    <w:rsid w:val="000B3017"/>
    <w:rsid w:val="000B67E5"/>
    <w:rsid w:val="000B6FB2"/>
    <w:rsid w:val="000B7030"/>
    <w:rsid w:val="000C499F"/>
    <w:rsid w:val="000C5AFE"/>
    <w:rsid w:val="000C7881"/>
    <w:rsid w:val="000D00E4"/>
    <w:rsid w:val="000D152F"/>
    <w:rsid w:val="000D6292"/>
    <w:rsid w:val="000D7D5B"/>
    <w:rsid w:val="000E1AE8"/>
    <w:rsid w:val="000E32E6"/>
    <w:rsid w:val="000E39FE"/>
    <w:rsid w:val="000E4E29"/>
    <w:rsid w:val="000E56C0"/>
    <w:rsid w:val="000E68F8"/>
    <w:rsid w:val="000E6C42"/>
    <w:rsid w:val="000E7491"/>
    <w:rsid w:val="000E7A49"/>
    <w:rsid w:val="000F0586"/>
    <w:rsid w:val="000F42C8"/>
    <w:rsid w:val="000F445A"/>
    <w:rsid w:val="000F4AE7"/>
    <w:rsid w:val="000F5268"/>
    <w:rsid w:val="000F5378"/>
    <w:rsid w:val="000F659F"/>
    <w:rsid w:val="00100756"/>
    <w:rsid w:val="00102201"/>
    <w:rsid w:val="00102EAE"/>
    <w:rsid w:val="00103DDC"/>
    <w:rsid w:val="001042FA"/>
    <w:rsid w:val="0010517A"/>
    <w:rsid w:val="00105D67"/>
    <w:rsid w:val="001074B6"/>
    <w:rsid w:val="001105A1"/>
    <w:rsid w:val="001111A6"/>
    <w:rsid w:val="00111D0A"/>
    <w:rsid w:val="00112419"/>
    <w:rsid w:val="001124B0"/>
    <w:rsid w:val="0011350F"/>
    <w:rsid w:val="001147E2"/>
    <w:rsid w:val="00115299"/>
    <w:rsid w:val="001159D9"/>
    <w:rsid w:val="00116DAD"/>
    <w:rsid w:val="00121692"/>
    <w:rsid w:val="001221AF"/>
    <w:rsid w:val="00122AB1"/>
    <w:rsid w:val="00125181"/>
    <w:rsid w:val="00127919"/>
    <w:rsid w:val="001301E2"/>
    <w:rsid w:val="00130F13"/>
    <w:rsid w:val="001329EF"/>
    <w:rsid w:val="00133F78"/>
    <w:rsid w:val="001343F4"/>
    <w:rsid w:val="00134AA6"/>
    <w:rsid w:val="00135A3A"/>
    <w:rsid w:val="001360BD"/>
    <w:rsid w:val="00140027"/>
    <w:rsid w:val="001415A8"/>
    <w:rsid w:val="00142C14"/>
    <w:rsid w:val="001443E4"/>
    <w:rsid w:val="00144C1D"/>
    <w:rsid w:val="00145899"/>
    <w:rsid w:val="0015063E"/>
    <w:rsid w:val="00152AAC"/>
    <w:rsid w:val="001531B8"/>
    <w:rsid w:val="001543BD"/>
    <w:rsid w:val="00156920"/>
    <w:rsid w:val="00156DB9"/>
    <w:rsid w:val="00160931"/>
    <w:rsid w:val="00160CD7"/>
    <w:rsid w:val="001629BF"/>
    <w:rsid w:val="00162FAA"/>
    <w:rsid w:val="00164A47"/>
    <w:rsid w:val="00164FDF"/>
    <w:rsid w:val="00170E41"/>
    <w:rsid w:val="00171250"/>
    <w:rsid w:val="001717A4"/>
    <w:rsid w:val="00172576"/>
    <w:rsid w:val="00172C7E"/>
    <w:rsid w:val="0017380C"/>
    <w:rsid w:val="00174220"/>
    <w:rsid w:val="00175494"/>
    <w:rsid w:val="00175D36"/>
    <w:rsid w:val="00177040"/>
    <w:rsid w:val="001771AE"/>
    <w:rsid w:val="001802A3"/>
    <w:rsid w:val="0018155E"/>
    <w:rsid w:val="001816A7"/>
    <w:rsid w:val="00184FE0"/>
    <w:rsid w:val="0019282F"/>
    <w:rsid w:val="00195BFF"/>
    <w:rsid w:val="0019613A"/>
    <w:rsid w:val="001961E9"/>
    <w:rsid w:val="0019738F"/>
    <w:rsid w:val="001A0980"/>
    <w:rsid w:val="001A2ECD"/>
    <w:rsid w:val="001A44AA"/>
    <w:rsid w:val="001A6D85"/>
    <w:rsid w:val="001A7A93"/>
    <w:rsid w:val="001B3AF2"/>
    <w:rsid w:val="001B4377"/>
    <w:rsid w:val="001B559E"/>
    <w:rsid w:val="001B6CE1"/>
    <w:rsid w:val="001C005F"/>
    <w:rsid w:val="001C2ED5"/>
    <w:rsid w:val="001C53F6"/>
    <w:rsid w:val="001D16C9"/>
    <w:rsid w:val="001D2AE5"/>
    <w:rsid w:val="001D37F5"/>
    <w:rsid w:val="001D4B4B"/>
    <w:rsid w:val="001D4E5B"/>
    <w:rsid w:val="001D596D"/>
    <w:rsid w:val="001D5F19"/>
    <w:rsid w:val="001D728E"/>
    <w:rsid w:val="001E128D"/>
    <w:rsid w:val="001E451D"/>
    <w:rsid w:val="001E4C9C"/>
    <w:rsid w:val="001E5F23"/>
    <w:rsid w:val="001E7493"/>
    <w:rsid w:val="001F05E4"/>
    <w:rsid w:val="001F27F3"/>
    <w:rsid w:val="001F2860"/>
    <w:rsid w:val="001F3229"/>
    <w:rsid w:val="001F4522"/>
    <w:rsid w:val="001F45F7"/>
    <w:rsid w:val="001F498E"/>
    <w:rsid w:val="001F6A3B"/>
    <w:rsid w:val="001F78F4"/>
    <w:rsid w:val="001F79A1"/>
    <w:rsid w:val="00201225"/>
    <w:rsid w:val="002025F2"/>
    <w:rsid w:val="00203A4B"/>
    <w:rsid w:val="00203EA0"/>
    <w:rsid w:val="00204B36"/>
    <w:rsid w:val="0020604B"/>
    <w:rsid w:val="00206682"/>
    <w:rsid w:val="00207094"/>
    <w:rsid w:val="002071F4"/>
    <w:rsid w:val="00207361"/>
    <w:rsid w:val="0021049E"/>
    <w:rsid w:val="00210B56"/>
    <w:rsid w:val="0021177F"/>
    <w:rsid w:val="002125C8"/>
    <w:rsid w:val="0021376C"/>
    <w:rsid w:val="002150CD"/>
    <w:rsid w:val="00215A21"/>
    <w:rsid w:val="00215E20"/>
    <w:rsid w:val="00217666"/>
    <w:rsid w:val="002211D6"/>
    <w:rsid w:val="00222939"/>
    <w:rsid w:val="00223018"/>
    <w:rsid w:val="0022409A"/>
    <w:rsid w:val="0022462F"/>
    <w:rsid w:val="00224D88"/>
    <w:rsid w:val="00226B0D"/>
    <w:rsid w:val="00227816"/>
    <w:rsid w:val="00227907"/>
    <w:rsid w:val="00230758"/>
    <w:rsid w:val="002310AB"/>
    <w:rsid w:val="002339EC"/>
    <w:rsid w:val="00234A1C"/>
    <w:rsid w:val="00234A8D"/>
    <w:rsid w:val="0023538A"/>
    <w:rsid w:val="00235B52"/>
    <w:rsid w:val="00240465"/>
    <w:rsid w:val="00240936"/>
    <w:rsid w:val="0024165E"/>
    <w:rsid w:val="0024244C"/>
    <w:rsid w:val="00242FC0"/>
    <w:rsid w:val="002436F9"/>
    <w:rsid w:val="00244DB5"/>
    <w:rsid w:val="00245259"/>
    <w:rsid w:val="0024603F"/>
    <w:rsid w:val="0024719D"/>
    <w:rsid w:val="0025002B"/>
    <w:rsid w:val="00254768"/>
    <w:rsid w:val="00254ACB"/>
    <w:rsid w:val="00255188"/>
    <w:rsid w:val="002553F4"/>
    <w:rsid w:val="00255469"/>
    <w:rsid w:val="00255712"/>
    <w:rsid w:val="00257B20"/>
    <w:rsid w:val="00260A91"/>
    <w:rsid w:val="00260E10"/>
    <w:rsid w:val="00261062"/>
    <w:rsid w:val="00266C40"/>
    <w:rsid w:val="00270218"/>
    <w:rsid w:val="00272B26"/>
    <w:rsid w:val="00277275"/>
    <w:rsid w:val="00277CB2"/>
    <w:rsid w:val="0028050D"/>
    <w:rsid w:val="0028295D"/>
    <w:rsid w:val="002857BF"/>
    <w:rsid w:val="0028591E"/>
    <w:rsid w:val="00285C59"/>
    <w:rsid w:val="002906BB"/>
    <w:rsid w:val="00290F79"/>
    <w:rsid w:val="002912F3"/>
    <w:rsid w:val="00294732"/>
    <w:rsid w:val="0029659F"/>
    <w:rsid w:val="00296D33"/>
    <w:rsid w:val="002A15CB"/>
    <w:rsid w:val="002A216B"/>
    <w:rsid w:val="002A2387"/>
    <w:rsid w:val="002A3432"/>
    <w:rsid w:val="002A424A"/>
    <w:rsid w:val="002A44AB"/>
    <w:rsid w:val="002A5E85"/>
    <w:rsid w:val="002A6435"/>
    <w:rsid w:val="002A774B"/>
    <w:rsid w:val="002A7A43"/>
    <w:rsid w:val="002B007E"/>
    <w:rsid w:val="002B0BB6"/>
    <w:rsid w:val="002B15BA"/>
    <w:rsid w:val="002B2106"/>
    <w:rsid w:val="002B2E93"/>
    <w:rsid w:val="002B767F"/>
    <w:rsid w:val="002C0591"/>
    <w:rsid w:val="002C0CE4"/>
    <w:rsid w:val="002C1CBC"/>
    <w:rsid w:val="002C2DD4"/>
    <w:rsid w:val="002C51AD"/>
    <w:rsid w:val="002C6105"/>
    <w:rsid w:val="002C6123"/>
    <w:rsid w:val="002C6A4C"/>
    <w:rsid w:val="002C6E5E"/>
    <w:rsid w:val="002C72C1"/>
    <w:rsid w:val="002D0D0D"/>
    <w:rsid w:val="002D1B29"/>
    <w:rsid w:val="002D3C56"/>
    <w:rsid w:val="002D5F34"/>
    <w:rsid w:val="002D7D50"/>
    <w:rsid w:val="002D7EFC"/>
    <w:rsid w:val="002D7FB8"/>
    <w:rsid w:val="002E0EBA"/>
    <w:rsid w:val="002E3181"/>
    <w:rsid w:val="002E4277"/>
    <w:rsid w:val="002E4A61"/>
    <w:rsid w:val="002E54FC"/>
    <w:rsid w:val="002E60E6"/>
    <w:rsid w:val="002E7842"/>
    <w:rsid w:val="002E7E1E"/>
    <w:rsid w:val="002F0AB4"/>
    <w:rsid w:val="002F0C5F"/>
    <w:rsid w:val="002F18E1"/>
    <w:rsid w:val="002F1CFC"/>
    <w:rsid w:val="002F23E7"/>
    <w:rsid w:val="002F25E4"/>
    <w:rsid w:val="002F2689"/>
    <w:rsid w:val="002F272B"/>
    <w:rsid w:val="002F3419"/>
    <w:rsid w:val="002F3FF8"/>
    <w:rsid w:val="002F40AC"/>
    <w:rsid w:val="0030302B"/>
    <w:rsid w:val="003037A8"/>
    <w:rsid w:val="003045A7"/>
    <w:rsid w:val="00304C43"/>
    <w:rsid w:val="00305639"/>
    <w:rsid w:val="0030720D"/>
    <w:rsid w:val="00307A75"/>
    <w:rsid w:val="003108BF"/>
    <w:rsid w:val="003125A8"/>
    <w:rsid w:val="00312D4C"/>
    <w:rsid w:val="003154A3"/>
    <w:rsid w:val="00316E4C"/>
    <w:rsid w:val="00320597"/>
    <w:rsid w:val="003213DE"/>
    <w:rsid w:val="00321648"/>
    <w:rsid w:val="00321FA7"/>
    <w:rsid w:val="003228DD"/>
    <w:rsid w:val="00324F21"/>
    <w:rsid w:val="00327B35"/>
    <w:rsid w:val="00331394"/>
    <w:rsid w:val="003317B3"/>
    <w:rsid w:val="00332231"/>
    <w:rsid w:val="00333B7B"/>
    <w:rsid w:val="00334189"/>
    <w:rsid w:val="00334C46"/>
    <w:rsid w:val="00335325"/>
    <w:rsid w:val="00335EB5"/>
    <w:rsid w:val="00337D80"/>
    <w:rsid w:val="00340DEB"/>
    <w:rsid w:val="003422A6"/>
    <w:rsid w:val="00342851"/>
    <w:rsid w:val="00344C21"/>
    <w:rsid w:val="00345DDE"/>
    <w:rsid w:val="00346192"/>
    <w:rsid w:val="003461A3"/>
    <w:rsid w:val="00350530"/>
    <w:rsid w:val="003526A4"/>
    <w:rsid w:val="003541BA"/>
    <w:rsid w:val="00354BC0"/>
    <w:rsid w:val="0035525D"/>
    <w:rsid w:val="00355526"/>
    <w:rsid w:val="00363715"/>
    <w:rsid w:val="00364EE6"/>
    <w:rsid w:val="0036523E"/>
    <w:rsid w:val="0036709E"/>
    <w:rsid w:val="003704E8"/>
    <w:rsid w:val="00370C7D"/>
    <w:rsid w:val="00372ACA"/>
    <w:rsid w:val="00372F76"/>
    <w:rsid w:val="00376928"/>
    <w:rsid w:val="0037787B"/>
    <w:rsid w:val="00382206"/>
    <w:rsid w:val="00384056"/>
    <w:rsid w:val="00384C1D"/>
    <w:rsid w:val="0038583C"/>
    <w:rsid w:val="003904AC"/>
    <w:rsid w:val="00392CAF"/>
    <w:rsid w:val="003940BE"/>
    <w:rsid w:val="00396F05"/>
    <w:rsid w:val="003970D8"/>
    <w:rsid w:val="0039766D"/>
    <w:rsid w:val="00397C63"/>
    <w:rsid w:val="00397EB6"/>
    <w:rsid w:val="003A3FB5"/>
    <w:rsid w:val="003A5050"/>
    <w:rsid w:val="003A5B08"/>
    <w:rsid w:val="003A7CD5"/>
    <w:rsid w:val="003B0008"/>
    <w:rsid w:val="003B031E"/>
    <w:rsid w:val="003B0C53"/>
    <w:rsid w:val="003B12F0"/>
    <w:rsid w:val="003B30D3"/>
    <w:rsid w:val="003C0422"/>
    <w:rsid w:val="003C04A6"/>
    <w:rsid w:val="003C1505"/>
    <w:rsid w:val="003C294A"/>
    <w:rsid w:val="003C2D85"/>
    <w:rsid w:val="003C4195"/>
    <w:rsid w:val="003C4D46"/>
    <w:rsid w:val="003C5F10"/>
    <w:rsid w:val="003C6C0A"/>
    <w:rsid w:val="003D24F2"/>
    <w:rsid w:val="003D44E6"/>
    <w:rsid w:val="003D4AC2"/>
    <w:rsid w:val="003D526C"/>
    <w:rsid w:val="003D63D4"/>
    <w:rsid w:val="003D686E"/>
    <w:rsid w:val="003D6FF2"/>
    <w:rsid w:val="003E03F2"/>
    <w:rsid w:val="003E21C0"/>
    <w:rsid w:val="003E339C"/>
    <w:rsid w:val="003E4BB7"/>
    <w:rsid w:val="003E7E55"/>
    <w:rsid w:val="003F13D1"/>
    <w:rsid w:val="003F1C32"/>
    <w:rsid w:val="003F2FD6"/>
    <w:rsid w:val="003F32BB"/>
    <w:rsid w:val="003F48E0"/>
    <w:rsid w:val="003F54E4"/>
    <w:rsid w:val="003F5797"/>
    <w:rsid w:val="003F63DA"/>
    <w:rsid w:val="003F6C37"/>
    <w:rsid w:val="003F76B1"/>
    <w:rsid w:val="003F7F5C"/>
    <w:rsid w:val="00400DA3"/>
    <w:rsid w:val="0040126F"/>
    <w:rsid w:val="004012B7"/>
    <w:rsid w:val="00401480"/>
    <w:rsid w:val="0040297B"/>
    <w:rsid w:val="004036E6"/>
    <w:rsid w:val="00404121"/>
    <w:rsid w:val="00404415"/>
    <w:rsid w:val="00404C58"/>
    <w:rsid w:val="00406D20"/>
    <w:rsid w:val="00411AFF"/>
    <w:rsid w:val="0041403B"/>
    <w:rsid w:val="004151E2"/>
    <w:rsid w:val="00416BAA"/>
    <w:rsid w:val="00417C53"/>
    <w:rsid w:val="004209F9"/>
    <w:rsid w:val="00420C29"/>
    <w:rsid w:val="00421175"/>
    <w:rsid w:val="0042147C"/>
    <w:rsid w:val="004214C8"/>
    <w:rsid w:val="0042489A"/>
    <w:rsid w:val="00425B7B"/>
    <w:rsid w:val="004271AF"/>
    <w:rsid w:val="00427CD0"/>
    <w:rsid w:val="00430983"/>
    <w:rsid w:val="00430BF9"/>
    <w:rsid w:val="0043201A"/>
    <w:rsid w:val="004324FE"/>
    <w:rsid w:val="00435CCE"/>
    <w:rsid w:val="00437830"/>
    <w:rsid w:val="00437AA0"/>
    <w:rsid w:val="00443215"/>
    <w:rsid w:val="00444F29"/>
    <w:rsid w:val="00444F73"/>
    <w:rsid w:val="00445882"/>
    <w:rsid w:val="00446EBD"/>
    <w:rsid w:val="004475C7"/>
    <w:rsid w:val="00447E68"/>
    <w:rsid w:val="00450282"/>
    <w:rsid w:val="004511D8"/>
    <w:rsid w:val="00451468"/>
    <w:rsid w:val="004528EF"/>
    <w:rsid w:val="00453156"/>
    <w:rsid w:val="004532CD"/>
    <w:rsid w:val="004540AC"/>
    <w:rsid w:val="00454424"/>
    <w:rsid w:val="0045530B"/>
    <w:rsid w:val="0045537A"/>
    <w:rsid w:val="00460FFD"/>
    <w:rsid w:val="00461FBE"/>
    <w:rsid w:val="00464F33"/>
    <w:rsid w:val="00472131"/>
    <w:rsid w:val="00473F2F"/>
    <w:rsid w:val="00476FCA"/>
    <w:rsid w:val="00480171"/>
    <w:rsid w:val="00481521"/>
    <w:rsid w:val="00481B14"/>
    <w:rsid w:val="004834F6"/>
    <w:rsid w:val="004846C6"/>
    <w:rsid w:val="00485BB6"/>
    <w:rsid w:val="00490291"/>
    <w:rsid w:val="00492562"/>
    <w:rsid w:val="00493549"/>
    <w:rsid w:val="00493F3C"/>
    <w:rsid w:val="0049459F"/>
    <w:rsid w:val="00494B03"/>
    <w:rsid w:val="00495CDA"/>
    <w:rsid w:val="00495D95"/>
    <w:rsid w:val="00495F48"/>
    <w:rsid w:val="004A0A9B"/>
    <w:rsid w:val="004A0FCE"/>
    <w:rsid w:val="004A1EC4"/>
    <w:rsid w:val="004A31D7"/>
    <w:rsid w:val="004A54C2"/>
    <w:rsid w:val="004A6297"/>
    <w:rsid w:val="004A6369"/>
    <w:rsid w:val="004A7D4D"/>
    <w:rsid w:val="004B3449"/>
    <w:rsid w:val="004B3AB3"/>
    <w:rsid w:val="004B52A0"/>
    <w:rsid w:val="004B5D1F"/>
    <w:rsid w:val="004B5E45"/>
    <w:rsid w:val="004B5F9C"/>
    <w:rsid w:val="004B608C"/>
    <w:rsid w:val="004B6AA1"/>
    <w:rsid w:val="004C0108"/>
    <w:rsid w:val="004C0AB6"/>
    <w:rsid w:val="004C0D13"/>
    <w:rsid w:val="004C2F4E"/>
    <w:rsid w:val="004C5673"/>
    <w:rsid w:val="004C61C1"/>
    <w:rsid w:val="004C7145"/>
    <w:rsid w:val="004C7E80"/>
    <w:rsid w:val="004D0213"/>
    <w:rsid w:val="004D13CB"/>
    <w:rsid w:val="004D196F"/>
    <w:rsid w:val="004D1DB0"/>
    <w:rsid w:val="004D32CB"/>
    <w:rsid w:val="004D348A"/>
    <w:rsid w:val="004D3F8B"/>
    <w:rsid w:val="004D55F3"/>
    <w:rsid w:val="004D5F2A"/>
    <w:rsid w:val="004D746F"/>
    <w:rsid w:val="004D7E47"/>
    <w:rsid w:val="004E0545"/>
    <w:rsid w:val="004E229A"/>
    <w:rsid w:val="004E3BEF"/>
    <w:rsid w:val="004E3C61"/>
    <w:rsid w:val="004E6266"/>
    <w:rsid w:val="004E6FDF"/>
    <w:rsid w:val="004E7836"/>
    <w:rsid w:val="004E7DEF"/>
    <w:rsid w:val="004F0C5D"/>
    <w:rsid w:val="004F5143"/>
    <w:rsid w:val="004F5E3E"/>
    <w:rsid w:val="004F5FF8"/>
    <w:rsid w:val="004F6A69"/>
    <w:rsid w:val="004F6C60"/>
    <w:rsid w:val="00500912"/>
    <w:rsid w:val="00504940"/>
    <w:rsid w:val="00505642"/>
    <w:rsid w:val="00510EAE"/>
    <w:rsid w:val="00512542"/>
    <w:rsid w:val="005127C5"/>
    <w:rsid w:val="00512C9B"/>
    <w:rsid w:val="0051368D"/>
    <w:rsid w:val="00515571"/>
    <w:rsid w:val="00515A77"/>
    <w:rsid w:val="0051649E"/>
    <w:rsid w:val="005166DE"/>
    <w:rsid w:val="00520C18"/>
    <w:rsid w:val="005236BF"/>
    <w:rsid w:val="00523CC9"/>
    <w:rsid w:val="00524163"/>
    <w:rsid w:val="005252B4"/>
    <w:rsid w:val="005254D6"/>
    <w:rsid w:val="00526A2B"/>
    <w:rsid w:val="0053006C"/>
    <w:rsid w:val="005332B3"/>
    <w:rsid w:val="00534823"/>
    <w:rsid w:val="00536195"/>
    <w:rsid w:val="00540C86"/>
    <w:rsid w:val="00544928"/>
    <w:rsid w:val="00545E6F"/>
    <w:rsid w:val="0055012D"/>
    <w:rsid w:val="0055196D"/>
    <w:rsid w:val="00551A2B"/>
    <w:rsid w:val="005525E6"/>
    <w:rsid w:val="00553733"/>
    <w:rsid w:val="0055422C"/>
    <w:rsid w:val="0055493B"/>
    <w:rsid w:val="00556493"/>
    <w:rsid w:val="0056571F"/>
    <w:rsid w:val="00566667"/>
    <w:rsid w:val="00566AA0"/>
    <w:rsid w:val="00567AD2"/>
    <w:rsid w:val="0057326D"/>
    <w:rsid w:val="0057450B"/>
    <w:rsid w:val="00576AB5"/>
    <w:rsid w:val="00577D1B"/>
    <w:rsid w:val="00580BF8"/>
    <w:rsid w:val="005836C7"/>
    <w:rsid w:val="0058534B"/>
    <w:rsid w:val="00586420"/>
    <w:rsid w:val="00587364"/>
    <w:rsid w:val="00587594"/>
    <w:rsid w:val="00590E2F"/>
    <w:rsid w:val="00591158"/>
    <w:rsid w:val="005914F5"/>
    <w:rsid w:val="00591627"/>
    <w:rsid w:val="00592ACB"/>
    <w:rsid w:val="00593A3C"/>
    <w:rsid w:val="005951EA"/>
    <w:rsid w:val="00595755"/>
    <w:rsid w:val="00596109"/>
    <w:rsid w:val="00596855"/>
    <w:rsid w:val="00596954"/>
    <w:rsid w:val="005A2182"/>
    <w:rsid w:val="005A3669"/>
    <w:rsid w:val="005A3C29"/>
    <w:rsid w:val="005A490F"/>
    <w:rsid w:val="005A4981"/>
    <w:rsid w:val="005A5605"/>
    <w:rsid w:val="005A6285"/>
    <w:rsid w:val="005B0522"/>
    <w:rsid w:val="005B0E3A"/>
    <w:rsid w:val="005B0EC7"/>
    <w:rsid w:val="005B1A58"/>
    <w:rsid w:val="005B2481"/>
    <w:rsid w:val="005B2C6F"/>
    <w:rsid w:val="005B3529"/>
    <w:rsid w:val="005B379C"/>
    <w:rsid w:val="005B3BA1"/>
    <w:rsid w:val="005B63B6"/>
    <w:rsid w:val="005B698D"/>
    <w:rsid w:val="005B69E6"/>
    <w:rsid w:val="005C1DA3"/>
    <w:rsid w:val="005C2530"/>
    <w:rsid w:val="005C2F31"/>
    <w:rsid w:val="005C300C"/>
    <w:rsid w:val="005C4087"/>
    <w:rsid w:val="005C53AB"/>
    <w:rsid w:val="005C6F13"/>
    <w:rsid w:val="005C798D"/>
    <w:rsid w:val="005D1953"/>
    <w:rsid w:val="005D1B42"/>
    <w:rsid w:val="005D1C2B"/>
    <w:rsid w:val="005D22E4"/>
    <w:rsid w:val="005D24E6"/>
    <w:rsid w:val="005D3D97"/>
    <w:rsid w:val="005D765E"/>
    <w:rsid w:val="005D7F3D"/>
    <w:rsid w:val="005E066E"/>
    <w:rsid w:val="005E22DB"/>
    <w:rsid w:val="005E306E"/>
    <w:rsid w:val="005E32CB"/>
    <w:rsid w:val="005E392A"/>
    <w:rsid w:val="005E3D13"/>
    <w:rsid w:val="005E4AB8"/>
    <w:rsid w:val="005E51AE"/>
    <w:rsid w:val="005F03B1"/>
    <w:rsid w:val="005F0B72"/>
    <w:rsid w:val="005F0DE4"/>
    <w:rsid w:val="005F0E51"/>
    <w:rsid w:val="005F15B6"/>
    <w:rsid w:val="005F1672"/>
    <w:rsid w:val="005F2AEB"/>
    <w:rsid w:val="005F2FF4"/>
    <w:rsid w:val="005F2FF5"/>
    <w:rsid w:val="005F3D9C"/>
    <w:rsid w:val="005F591E"/>
    <w:rsid w:val="005F62C4"/>
    <w:rsid w:val="006024CD"/>
    <w:rsid w:val="00602AC1"/>
    <w:rsid w:val="006041FF"/>
    <w:rsid w:val="00604F62"/>
    <w:rsid w:val="00605612"/>
    <w:rsid w:val="006057B7"/>
    <w:rsid w:val="00606026"/>
    <w:rsid w:val="0060611A"/>
    <w:rsid w:val="006063BF"/>
    <w:rsid w:val="0060653C"/>
    <w:rsid w:val="00607676"/>
    <w:rsid w:val="00607A7F"/>
    <w:rsid w:val="00610517"/>
    <w:rsid w:val="006120DF"/>
    <w:rsid w:val="006136AD"/>
    <w:rsid w:val="00613A57"/>
    <w:rsid w:val="00613E36"/>
    <w:rsid w:val="00614604"/>
    <w:rsid w:val="00616511"/>
    <w:rsid w:val="0062011E"/>
    <w:rsid w:val="00620545"/>
    <w:rsid w:val="00620E67"/>
    <w:rsid w:val="00623DED"/>
    <w:rsid w:val="00625434"/>
    <w:rsid w:val="00625FCD"/>
    <w:rsid w:val="00626431"/>
    <w:rsid w:val="006272EF"/>
    <w:rsid w:val="006301DE"/>
    <w:rsid w:val="00631577"/>
    <w:rsid w:val="00631948"/>
    <w:rsid w:val="006377B5"/>
    <w:rsid w:val="00637D8D"/>
    <w:rsid w:val="00641451"/>
    <w:rsid w:val="006419CB"/>
    <w:rsid w:val="00643DA1"/>
    <w:rsid w:val="0064534B"/>
    <w:rsid w:val="00647984"/>
    <w:rsid w:val="00647DB3"/>
    <w:rsid w:val="0065023B"/>
    <w:rsid w:val="00651553"/>
    <w:rsid w:val="0065378D"/>
    <w:rsid w:val="00654220"/>
    <w:rsid w:val="00655D63"/>
    <w:rsid w:val="00660C4C"/>
    <w:rsid w:val="00662CBC"/>
    <w:rsid w:val="006643AA"/>
    <w:rsid w:val="0066515A"/>
    <w:rsid w:val="00665743"/>
    <w:rsid w:val="006678FD"/>
    <w:rsid w:val="00667A0C"/>
    <w:rsid w:val="00672CB5"/>
    <w:rsid w:val="00674CE9"/>
    <w:rsid w:val="006761C4"/>
    <w:rsid w:val="0067646D"/>
    <w:rsid w:val="006768AA"/>
    <w:rsid w:val="0068128B"/>
    <w:rsid w:val="006815EE"/>
    <w:rsid w:val="006825CE"/>
    <w:rsid w:val="0068472B"/>
    <w:rsid w:val="00684F79"/>
    <w:rsid w:val="00685C15"/>
    <w:rsid w:val="006860A4"/>
    <w:rsid w:val="00687BD1"/>
    <w:rsid w:val="00691270"/>
    <w:rsid w:val="00693985"/>
    <w:rsid w:val="006941D5"/>
    <w:rsid w:val="00694BAD"/>
    <w:rsid w:val="0069737A"/>
    <w:rsid w:val="00697532"/>
    <w:rsid w:val="006A0329"/>
    <w:rsid w:val="006A28E3"/>
    <w:rsid w:val="006A5C9D"/>
    <w:rsid w:val="006A5F31"/>
    <w:rsid w:val="006A6A3F"/>
    <w:rsid w:val="006A6C3A"/>
    <w:rsid w:val="006A6E5D"/>
    <w:rsid w:val="006A73D7"/>
    <w:rsid w:val="006B1F3C"/>
    <w:rsid w:val="006B3269"/>
    <w:rsid w:val="006B4846"/>
    <w:rsid w:val="006B7100"/>
    <w:rsid w:val="006B7AEE"/>
    <w:rsid w:val="006C1909"/>
    <w:rsid w:val="006C21BD"/>
    <w:rsid w:val="006C4E3E"/>
    <w:rsid w:val="006C670B"/>
    <w:rsid w:val="006C6DC3"/>
    <w:rsid w:val="006C71B3"/>
    <w:rsid w:val="006D1139"/>
    <w:rsid w:val="006D304E"/>
    <w:rsid w:val="006D327F"/>
    <w:rsid w:val="006D3F0F"/>
    <w:rsid w:val="006D4542"/>
    <w:rsid w:val="006D46B7"/>
    <w:rsid w:val="006D5006"/>
    <w:rsid w:val="006D53E0"/>
    <w:rsid w:val="006D5739"/>
    <w:rsid w:val="006D620D"/>
    <w:rsid w:val="006D71F9"/>
    <w:rsid w:val="006E004A"/>
    <w:rsid w:val="006E19AC"/>
    <w:rsid w:val="006E1D2C"/>
    <w:rsid w:val="006E3061"/>
    <w:rsid w:val="006E32E7"/>
    <w:rsid w:val="006E3D72"/>
    <w:rsid w:val="006E46E8"/>
    <w:rsid w:val="006E4E92"/>
    <w:rsid w:val="006E54C9"/>
    <w:rsid w:val="006F0327"/>
    <w:rsid w:val="006F084A"/>
    <w:rsid w:val="006F084F"/>
    <w:rsid w:val="006F0BC9"/>
    <w:rsid w:val="006F16B4"/>
    <w:rsid w:val="006F2FEB"/>
    <w:rsid w:val="006F43D8"/>
    <w:rsid w:val="006F51DB"/>
    <w:rsid w:val="006F53EC"/>
    <w:rsid w:val="006F61E4"/>
    <w:rsid w:val="006F6A1D"/>
    <w:rsid w:val="006F7819"/>
    <w:rsid w:val="0070035E"/>
    <w:rsid w:val="00700FCD"/>
    <w:rsid w:val="00701556"/>
    <w:rsid w:val="0070747B"/>
    <w:rsid w:val="0071045C"/>
    <w:rsid w:val="007106E3"/>
    <w:rsid w:val="00710E7A"/>
    <w:rsid w:val="00711A1D"/>
    <w:rsid w:val="00711D9F"/>
    <w:rsid w:val="00712452"/>
    <w:rsid w:val="007131BB"/>
    <w:rsid w:val="007137C1"/>
    <w:rsid w:val="007139AF"/>
    <w:rsid w:val="00714B36"/>
    <w:rsid w:val="007153E0"/>
    <w:rsid w:val="00715724"/>
    <w:rsid w:val="0071578A"/>
    <w:rsid w:val="00715C5F"/>
    <w:rsid w:val="00717D92"/>
    <w:rsid w:val="00720952"/>
    <w:rsid w:val="0072264A"/>
    <w:rsid w:val="007245A5"/>
    <w:rsid w:val="0072768C"/>
    <w:rsid w:val="007305C0"/>
    <w:rsid w:val="00730BC3"/>
    <w:rsid w:val="00730D2D"/>
    <w:rsid w:val="00730EC7"/>
    <w:rsid w:val="00733A77"/>
    <w:rsid w:val="00735204"/>
    <w:rsid w:val="00737047"/>
    <w:rsid w:val="007373F8"/>
    <w:rsid w:val="007379D9"/>
    <w:rsid w:val="00740168"/>
    <w:rsid w:val="0074016A"/>
    <w:rsid w:val="00741FA2"/>
    <w:rsid w:val="00742C6F"/>
    <w:rsid w:val="0074721D"/>
    <w:rsid w:val="00751BBE"/>
    <w:rsid w:val="00752E84"/>
    <w:rsid w:val="007554CF"/>
    <w:rsid w:val="007567E9"/>
    <w:rsid w:val="007568C8"/>
    <w:rsid w:val="0075722C"/>
    <w:rsid w:val="00757A81"/>
    <w:rsid w:val="0076077E"/>
    <w:rsid w:val="00760D6F"/>
    <w:rsid w:val="00760DFA"/>
    <w:rsid w:val="00762949"/>
    <w:rsid w:val="00763DCB"/>
    <w:rsid w:val="00766A5C"/>
    <w:rsid w:val="00766C1D"/>
    <w:rsid w:val="007702A0"/>
    <w:rsid w:val="007706FD"/>
    <w:rsid w:val="00771F7F"/>
    <w:rsid w:val="0077313D"/>
    <w:rsid w:val="007757A2"/>
    <w:rsid w:val="00776888"/>
    <w:rsid w:val="00776A82"/>
    <w:rsid w:val="0078057F"/>
    <w:rsid w:val="00780881"/>
    <w:rsid w:val="007816BF"/>
    <w:rsid w:val="00781A7B"/>
    <w:rsid w:val="00785B36"/>
    <w:rsid w:val="00790FEC"/>
    <w:rsid w:val="00791758"/>
    <w:rsid w:val="0079214A"/>
    <w:rsid w:val="00793201"/>
    <w:rsid w:val="00797846"/>
    <w:rsid w:val="007A064A"/>
    <w:rsid w:val="007A172F"/>
    <w:rsid w:val="007A3BDF"/>
    <w:rsid w:val="007A48E9"/>
    <w:rsid w:val="007A6153"/>
    <w:rsid w:val="007A6777"/>
    <w:rsid w:val="007A6996"/>
    <w:rsid w:val="007A6BDD"/>
    <w:rsid w:val="007A757B"/>
    <w:rsid w:val="007B08B1"/>
    <w:rsid w:val="007B0A8E"/>
    <w:rsid w:val="007B0BB2"/>
    <w:rsid w:val="007B1CB4"/>
    <w:rsid w:val="007B4327"/>
    <w:rsid w:val="007B4C0B"/>
    <w:rsid w:val="007B6C5E"/>
    <w:rsid w:val="007C2283"/>
    <w:rsid w:val="007C2569"/>
    <w:rsid w:val="007C44E1"/>
    <w:rsid w:val="007C4E24"/>
    <w:rsid w:val="007C61B1"/>
    <w:rsid w:val="007C6A73"/>
    <w:rsid w:val="007D06B1"/>
    <w:rsid w:val="007D199C"/>
    <w:rsid w:val="007D2518"/>
    <w:rsid w:val="007D2745"/>
    <w:rsid w:val="007D2EEB"/>
    <w:rsid w:val="007D5E59"/>
    <w:rsid w:val="007D633F"/>
    <w:rsid w:val="007D63A8"/>
    <w:rsid w:val="007D6473"/>
    <w:rsid w:val="007D67D0"/>
    <w:rsid w:val="007E4C3D"/>
    <w:rsid w:val="007F003E"/>
    <w:rsid w:val="007F0191"/>
    <w:rsid w:val="007F1AC8"/>
    <w:rsid w:val="007F21BB"/>
    <w:rsid w:val="007F3262"/>
    <w:rsid w:val="007F36DC"/>
    <w:rsid w:val="0080066F"/>
    <w:rsid w:val="00800696"/>
    <w:rsid w:val="00800BC6"/>
    <w:rsid w:val="008020FF"/>
    <w:rsid w:val="00802B8B"/>
    <w:rsid w:val="008041F3"/>
    <w:rsid w:val="00804668"/>
    <w:rsid w:val="008046D0"/>
    <w:rsid w:val="008063BB"/>
    <w:rsid w:val="008064B0"/>
    <w:rsid w:val="0080653A"/>
    <w:rsid w:val="008078A4"/>
    <w:rsid w:val="00813344"/>
    <w:rsid w:val="00816729"/>
    <w:rsid w:val="00816D1D"/>
    <w:rsid w:val="008171C6"/>
    <w:rsid w:val="00817BBB"/>
    <w:rsid w:val="00820C68"/>
    <w:rsid w:val="00820EFC"/>
    <w:rsid w:val="00820F2C"/>
    <w:rsid w:val="00821815"/>
    <w:rsid w:val="00821DC5"/>
    <w:rsid w:val="008220CC"/>
    <w:rsid w:val="00823D4A"/>
    <w:rsid w:val="00823DD8"/>
    <w:rsid w:val="00825DB8"/>
    <w:rsid w:val="008264D4"/>
    <w:rsid w:val="00826BB0"/>
    <w:rsid w:val="00827658"/>
    <w:rsid w:val="0082799D"/>
    <w:rsid w:val="00827D8D"/>
    <w:rsid w:val="00831D15"/>
    <w:rsid w:val="00832C86"/>
    <w:rsid w:val="00832F3E"/>
    <w:rsid w:val="0083355A"/>
    <w:rsid w:val="00835AB1"/>
    <w:rsid w:val="008370DD"/>
    <w:rsid w:val="008374A9"/>
    <w:rsid w:val="0083ADD9"/>
    <w:rsid w:val="00842715"/>
    <w:rsid w:val="00843082"/>
    <w:rsid w:val="00843BD8"/>
    <w:rsid w:val="00844183"/>
    <w:rsid w:val="008448DF"/>
    <w:rsid w:val="00845CDF"/>
    <w:rsid w:val="00846117"/>
    <w:rsid w:val="00846877"/>
    <w:rsid w:val="0084698F"/>
    <w:rsid w:val="00850212"/>
    <w:rsid w:val="008520B7"/>
    <w:rsid w:val="00853560"/>
    <w:rsid w:val="0085360A"/>
    <w:rsid w:val="0085431D"/>
    <w:rsid w:val="00855DD8"/>
    <w:rsid w:val="00855E4F"/>
    <w:rsid w:val="00860525"/>
    <w:rsid w:val="00861EF3"/>
    <w:rsid w:val="00863011"/>
    <w:rsid w:val="008644EC"/>
    <w:rsid w:val="00864CF7"/>
    <w:rsid w:val="008663D5"/>
    <w:rsid w:val="0087091E"/>
    <w:rsid w:val="008709FB"/>
    <w:rsid w:val="00871C7E"/>
    <w:rsid w:val="00873B1B"/>
    <w:rsid w:val="00874042"/>
    <w:rsid w:val="00874521"/>
    <w:rsid w:val="0087695E"/>
    <w:rsid w:val="00876AA2"/>
    <w:rsid w:val="00876E1A"/>
    <w:rsid w:val="00877D34"/>
    <w:rsid w:val="00880340"/>
    <w:rsid w:val="00883D50"/>
    <w:rsid w:val="00885144"/>
    <w:rsid w:val="00885AD0"/>
    <w:rsid w:val="008861D2"/>
    <w:rsid w:val="0088766C"/>
    <w:rsid w:val="00887ECF"/>
    <w:rsid w:val="00890BA8"/>
    <w:rsid w:val="00891FBF"/>
    <w:rsid w:val="008930B5"/>
    <w:rsid w:val="00893E5D"/>
    <w:rsid w:val="008A0EAE"/>
    <w:rsid w:val="008A131F"/>
    <w:rsid w:val="008A350B"/>
    <w:rsid w:val="008A3687"/>
    <w:rsid w:val="008A413C"/>
    <w:rsid w:val="008A4AB6"/>
    <w:rsid w:val="008A6B3E"/>
    <w:rsid w:val="008A75C8"/>
    <w:rsid w:val="008A7EC7"/>
    <w:rsid w:val="008B01C5"/>
    <w:rsid w:val="008B127A"/>
    <w:rsid w:val="008B24B9"/>
    <w:rsid w:val="008B73F2"/>
    <w:rsid w:val="008C02BF"/>
    <w:rsid w:val="008C0873"/>
    <w:rsid w:val="008C35FC"/>
    <w:rsid w:val="008C5D29"/>
    <w:rsid w:val="008C615B"/>
    <w:rsid w:val="008C74BB"/>
    <w:rsid w:val="008D1761"/>
    <w:rsid w:val="008D1E7E"/>
    <w:rsid w:val="008D2301"/>
    <w:rsid w:val="008D2CA3"/>
    <w:rsid w:val="008E1826"/>
    <w:rsid w:val="008E26D4"/>
    <w:rsid w:val="008E3635"/>
    <w:rsid w:val="008E36AD"/>
    <w:rsid w:val="008E3705"/>
    <w:rsid w:val="008E4270"/>
    <w:rsid w:val="008E47BB"/>
    <w:rsid w:val="008E7362"/>
    <w:rsid w:val="008E7BCF"/>
    <w:rsid w:val="008F0D2B"/>
    <w:rsid w:val="008F1333"/>
    <w:rsid w:val="008F2544"/>
    <w:rsid w:val="008F2548"/>
    <w:rsid w:val="008F38C5"/>
    <w:rsid w:val="008F4C13"/>
    <w:rsid w:val="008F7509"/>
    <w:rsid w:val="008F777D"/>
    <w:rsid w:val="008F7C5F"/>
    <w:rsid w:val="00905985"/>
    <w:rsid w:val="00905D80"/>
    <w:rsid w:val="009063DB"/>
    <w:rsid w:val="009065D3"/>
    <w:rsid w:val="00906886"/>
    <w:rsid w:val="00907F83"/>
    <w:rsid w:val="00911520"/>
    <w:rsid w:val="009127F3"/>
    <w:rsid w:val="009132F8"/>
    <w:rsid w:val="009140B1"/>
    <w:rsid w:val="00914940"/>
    <w:rsid w:val="00914A01"/>
    <w:rsid w:val="0091570A"/>
    <w:rsid w:val="0092033F"/>
    <w:rsid w:val="00920C1D"/>
    <w:rsid w:val="00921E85"/>
    <w:rsid w:val="00922F84"/>
    <w:rsid w:val="00923656"/>
    <w:rsid w:val="009239A8"/>
    <w:rsid w:val="009255E9"/>
    <w:rsid w:val="00925754"/>
    <w:rsid w:val="00926AF3"/>
    <w:rsid w:val="00927BD7"/>
    <w:rsid w:val="009321BD"/>
    <w:rsid w:val="00932BF7"/>
    <w:rsid w:val="00934844"/>
    <w:rsid w:val="009428A6"/>
    <w:rsid w:val="00945225"/>
    <w:rsid w:val="009464CF"/>
    <w:rsid w:val="00951361"/>
    <w:rsid w:val="00951519"/>
    <w:rsid w:val="0095168F"/>
    <w:rsid w:val="0095175A"/>
    <w:rsid w:val="00951DFF"/>
    <w:rsid w:val="009527AD"/>
    <w:rsid w:val="009534EA"/>
    <w:rsid w:val="009539EA"/>
    <w:rsid w:val="00953F0F"/>
    <w:rsid w:val="009557B6"/>
    <w:rsid w:val="0095679A"/>
    <w:rsid w:val="009569E7"/>
    <w:rsid w:val="00956B6C"/>
    <w:rsid w:val="009628A4"/>
    <w:rsid w:val="00962CF2"/>
    <w:rsid w:val="009647C4"/>
    <w:rsid w:val="009657DC"/>
    <w:rsid w:val="00965B5B"/>
    <w:rsid w:val="00965D7E"/>
    <w:rsid w:val="00967C87"/>
    <w:rsid w:val="00971A39"/>
    <w:rsid w:val="00971C02"/>
    <w:rsid w:val="009759F6"/>
    <w:rsid w:val="0097643C"/>
    <w:rsid w:val="00976BEA"/>
    <w:rsid w:val="00977F38"/>
    <w:rsid w:val="00980E96"/>
    <w:rsid w:val="00981BE8"/>
    <w:rsid w:val="00983708"/>
    <w:rsid w:val="00984B73"/>
    <w:rsid w:val="00985779"/>
    <w:rsid w:val="009925CC"/>
    <w:rsid w:val="009933FE"/>
    <w:rsid w:val="009942EF"/>
    <w:rsid w:val="0099739D"/>
    <w:rsid w:val="00997616"/>
    <w:rsid w:val="009A0AC5"/>
    <w:rsid w:val="009A4CBF"/>
    <w:rsid w:val="009A5CEC"/>
    <w:rsid w:val="009A68B1"/>
    <w:rsid w:val="009B18FF"/>
    <w:rsid w:val="009B292D"/>
    <w:rsid w:val="009B2CC7"/>
    <w:rsid w:val="009B3513"/>
    <w:rsid w:val="009B457C"/>
    <w:rsid w:val="009B5EC8"/>
    <w:rsid w:val="009B7C52"/>
    <w:rsid w:val="009B7CFA"/>
    <w:rsid w:val="009B7E84"/>
    <w:rsid w:val="009C0C1F"/>
    <w:rsid w:val="009C1388"/>
    <w:rsid w:val="009C16BE"/>
    <w:rsid w:val="009C21E8"/>
    <w:rsid w:val="009C2A3A"/>
    <w:rsid w:val="009C34D0"/>
    <w:rsid w:val="009C5A9A"/>
    <w:rsid w:val="009C5F34"/>
    <w:rsid w:val="009C708A"/>
    <w:rsid w:val="009D03BB"/>
    <w:rsid w:val="009D0DC4"/>
    <w:rsid w:val="009D1ADB"/>
    <w:rsid w:val="009D27DE"/>
    <w:rsid w:val="009D2875"/>
    <w:rsid w:val="009D371B"/>
    <w:rsid w:val="009D3D71"/>
    <w:rsid w:val="009D3E56"/>
    <w:rsid w:val="009D403D"/>
    <w:rsid w:val="009D6B19"/>
    <w:rsid w:val="009D6F15"/>
    <w:rsid w:val="009D7312"/>
    <w:rsid w:val="009D7446"/>
    <w:rsid w:val="009D7AB4"/>
    <w:rsid w:val="009D7CD5"/>
    <w:rsid w:val="009E0B59"/>
    <w:rsid w:val="009E1D01"/>
    <w:rsid w:val="009E20F9"/>
    <w:rsid w:val="009E29D3"/>
    <w:rsid w:val="009E348F"/>
    <w:rsid w:val="009E37A3"/>
    <w:rsid w:val="009E4AA3"/>
    <w:rsid w:val="009E5B25"/>
    <w:rsid w:val="009E6A48"/>
    <w:rsid w:val="009E6E38"/>
    <w:rsid w:val="009F1DCD"/>
    <w:rsid w:val="009F22C7"/>
    <w:rsid w:val="009F53D1"/>
    <w:rsid w:val="009F647A"/>
    <w:rsid w:val="00A0063C"/>
    <w:rsid w:val="00A00BDC"/>
    <w:rsid w:val="00A02453"/>
    <w:rsid w:val="00A02F5E"/>
    <w:rsid w:val="00A03F15"/>
    <w:rsid w:val="00A062B0"/>
    <w:rsid w:val="00A06F96"/>
    <w:rsid w:val="00A0781A"/>
    <w:rsid w:val="00A07E1F"/>
    <w:rsid w:val="00A11971"/>
    <w:rsid w:val="00A11DC8"/>
    <w:rsid w:val="00A12027"/>
    <w:rsid w:val="00A135A4"/>
    <w:rsid w:val="00A139B3"/>
    <w:rsid w:val="00A1417D"/>
    <w:rsid w:val="00A20D73"/>
    <w:rsid w:val="00A21533"/>
    <w:rsid w:val="00A21E17"/>
    <w:rsid w:val="00A226E6"/>
    <w:rsid w:val="00A2578C"/>
    <w:rsid w:val="00A337BC"/>
    <w:rsid w:val="00A34345"/>
    <w:rsid w:val="00A35899"/>
    <w:rsid w:val="00A36608"/>
    <w:rsid w:val="00A3785F"/>
    <w:rsid w:val="00A41B4F"/>
    <w:rsid w:val="00A4258E"/>
    <w:rsid w:val="00A45626"/>
    <w:rsid w:val="00A50A9D"/>
    <w:rsid w:val="00A52B07"/>
    <w:rsid w:val="00A54734"/>
    <w:rsid w:val="00A552B0"/>
    <w:rsid w:val="00A564C9"/>
    <w:rsid w:val="00A574B5"/>
    <w:rsid w:val="00A5774F"/>
    <w:rsid w:val="00A57EF9"/>
    <w:rsid w:val="00A64952"/>
    <w:rsid w:val="00A67279"/>
    <w:rsid w:val="00A70396"/>
    <w:rsid w:val="00A703D0"/>
    <w:rsid w:val="00A709A7"/>
    <w:rsid w:val="00A719C4"/>
    <w:rsid w:val="00A72937"/>
    <w:rsid w:val="00A75A41"/>
    <w:rsid w:val="00A7733C"/>
    <w:rsid w:val="00A80298"/>
    <w:rsid w:val="00A81637"/>
    <w:rsid w:val="00A82329"/>
    <w:rsid w:val="00A828C5"/>
    <w:rsid w:val="00A84B4A"/>
    <w:rsid w:val="00A856A9"/>
    <w:rsid w:val="00A87899"/>
    <w:rsid w:val="00A901D0"/>
    <w:rsid w:val="00A90381"/>
    <w:rsid w:val="00A90596"/>
    <w:rsid w:val="00A90FAE"/>
    <w:rsid w:val="00A91DB7"/>
    <w:rsid w:val="00A92E7F"/>
    <w:rsid w:val="00A9339A"/>
    <w:rsid w:val="00A937A2"/>
    <w:rsid w:val="00A93A58"/>
    <w:rsid w:val="00A9481F"/>
    <w:rsid w:val="00A96BEC"/>
    <w:rsid w:val="00A97C53"/>
    <w:rsid w:val="00AA1DD9"/>
    <w:rsid w:val="00AA31C5"/>
    <w:rsid w:val="00AA322A"/>
    <w:rsid w:val="00AA4404"/>
    <w:rsid w:val="00AA46B2"/>
    <w:rsid w:val="00AA471C"/>
    <w:rsid w:val="00AA53AE"/>
    <w:rsid w:val="00AA781C"/>
    <w:rsid w:val="00AB01EA"/>
    <w:rsid w:val="00AB1929"/>
    <w:rsid w:val="00AB2F61"/>
    <w:rsid w:val="00AB6A86"/>
    <w:rsid w:val="00AC0324"/>
    <w:rsid w:val="00AC12A8"/>
    <w:rsid w:val="00AC1E08"/>
    <w:rsid w:val="00AC7522"/>
    <w:rsid w:val="00AD073D"/>
    <w:rsid w:val="00AD0B0A"/>
    <w:rsid w:val="00AD0F6A"/>
    <w:rsid w:val="00AD1DA9"/>
    <w:rsid w:val="00AD363D"/>
    <w:rsid w:val="00AD38A2"/>
    <w:rsid w:val="00AD4F5F"/>
    <w:rsid w:val="00AD50FF"/>
    <w:rsid w:val="00AD5A9F"/>
    <w:rsid w:val="00AD5B2D"/>
    <w:rsid w:val="00AD5F7C"/>
    <w:rsid w:val="00AD6FD1"/>
    <w:rsid w:val="00AD7621"/>
    <w:rsid w:val="00AD77EF"/>
    <w:rsid w:val="00AE02D3"/>
    <w:rsid w:val="00AE3E32"/>
    <w:rsid w:val="00AE527C"/>
    <w:rsid w:val="00AE5A3C"/>
    <w:rsid w:val="00AF1FA0"/>
    <w:rsid w:val="00AF23EA"/>
    <w:rsid w:val="00AF52BE"/>
    <w:rsid w:val="00AF5D37"/>
    <w:rsid w:val="00AF6608"/>
    <w:rsid w:val="00B0333B"/>
    <w:rsid w:val="00B037E8"/>
    <w:rsid w:val="00B04B27"/>
    <w:rsid w:val="00B05806"/>
    <w:rsid w:val="00B05B5E"/>
    <w:rsid w:val="00B07185"/>
    <w:rsid w:val="00B07566"/>
    <w:rsid w:val="00B0758C"/>
    <w:rsid w:val="00B10AAE"/>
    <w:rsid w:val="00B10EEA"/>
    <w:rsid w:val="00B1117B"/>
    <w:rsid w:val="00B12158"/>
    <w:rsid w:val="00B1251F"/>
    <w:rsid w:val="00B12AE6"/>
    <w:rsid w:val="00B138AB"/>
    <w:rsid w:val="00B13904"/>
    <w:rsid w:val="00B153BC"/>
    <w:rsid w:val="00B157A7"/>
    <w:rsid w:val="00B173E4"/>
    <w:rsid w:val="00B17A7B"/>
    <w:rsid w:val="00B17AD6"/>
    <w:rsid w:val="00B2042C"/>
    <w:rsid w:val="00B20832"/>
    <w:rsid w:val="00B20E40"/>
    <w:rsid w:val="00B214D9"/>
    <w:rsid w:val="00B2169A"/>
    <w:rsid w:val="00B24314"/>
    <w:rsid w:val="00B30847"/>
    <w:rsid w:val="00B312AF"/>
    <w:rsid w:val="00B34864"/>
    <w:rsid w:val="00B36F58"/>
    <w:rsid w:val="00B37237"/>
    <w:rsid w:val="00B4123B"/>
    <w:rsid w:val="00B434E3"/>
    <w:rsid w:val="00B43526"/>
    <w:rsid w:val="00B45609"/>
    <w:rsid w:val="00B45FF7"/>
    <w:rsid w:val="00B471F3"/>
    <w:rsid w:val="00B475E9"/>
    <w:rsid w:val="00B503A6"/>
    <w:rsid w:val="00B5090D"/>
    <w:rsid w:val="00B50C06"/>
    <w:rsid w:val="00B50D2E"/>
    <w:rsid w:val="00B51297"/>
    <w:rsid w:val="00B52FFE"/>
    <w:rsid w:val="00B541BE"/>
    <w:rsid w:val="00B54534"/>
    <w:rsid w:val="00B55E1A"/>
    <w:rsid w:val="00B60442"/>
    <w:rsid w:val="00B60938"/>
    <w:rsid w:val="00B615C7"/>
    <w:rsid w:val="00B61B1A"/>
    <w:rsid w:val="00B61B33"/>
    <w:rsid w:val="00B62F6B"/>
    <w:rsid w:val="00B63FF8"/>
    <w:rsid w:val="00B6423B"/>
    <w:rsid w:val="00B64C2E"/>
    <w:rsid w:val="00B64CD9"/>
    <w:rsid w:val="00B70C83"/>
    <w:rsid w:val="00B70E54"/>
    <w:rsid w:val="00B71014"/>
    <w:rsid w:val="00B72ECA"/>
    <w:rsid w:val="00B7602E"/>
    <w:rsid w:val="00B801D9"/>
    <w:rsid w:val="00B80CC3"/>
    <w:rsid w:val="00B82991"/>
    <w:rsid w:val="00B83280"/>
    <w:rsid w:val="00B84787"/>
    <w:rsid w:val="00B901F2"/>
    <w:rsid w:val="00B910B6"/>
    <w:rsid w:val="00B910F8"/>
    <w:rsid w:val="00B91C76"/>
    <w:rsid w:val="00B924DE"/>
    <w:rsid w:val="00B94552"/>
    <w:rsid w:val="00B9506D"/>
    <w:rsid w:val="00B9624B"/>
    <w:rsid w:val="00B96EB1"/>
    <w:rsid w:val="00B977CB"/>
    <w:rsid w:val="00BA097E"/>
    <w:rsid w:val="00BA1C45"/>
    <w:rsid w:val="00BA20A4"/>
    <w:rsid w:val="00BA295C"/>
    <w:rsid w:val="00BA304A"/>
    <w:rsid w:val="00BA60BB"/>
    <w:rsid w:val="00BA69A9"/>
    <w:rsid w:val="00BA6B82"/>
    <w:rsid w:val="00BA6CA0"/>
    <w:rsid w:val="00BA77B5"/>
    <w:rsid w:val="00BA7B29"/>
    <w:rsid w:val="00BB1E93"/>
    <w:rsid w:val="00BB2A68"/>
    <w:rsid w:val="00BB2CD2"/>
    <w:rsid w:val="00BB3160"/>
    <w:rsid w:val="00BB33EA"/>
    <w:rsid w:val="00BB3E0F"/>
    <w:rsid w:val="00BB4030"/>
    <w:rsid w:val="00BB493E"/>
    <w:rsid w:val="00BB5471"/>
    <w:rsid w:val="00BB58C9"/>
    <w:rsid w:val="00BB7BF5"/>
    <w:rsid w:val="00BB7E30"/>
    <w:rsid w:val="00BC0476"/>
    <w:rsid w:val="00BC136B"/>
    <w:rsid w:val="00BC1DC7"/>
    <w:rsid w:val="00BC1F7F"/>
    <w:rsid w:val="00BC31FF"/>
    <w:rsid w:val="00BC393C"/>
    <w:rsid w:val="00BC41D4"/>
    <w:rsid w:val="00BC5336"/>
    <w:rsid w:val="00BC682A"/>
    <w:rsid w:val="00BD0BEB"/>
    <w:rsid w:val="00BD3A3E"/>
    <w:rsid w:val="00BD5104"/>
    <w:rsid w:val="00BD5C24"/>
    <w:rsid w:val="00BE1335"/>
    <w:rsid w:val="00BE2112"/>
    <w:rsid w:val="00BE57BF"/>
    <w:rsid w:val="00BE5A11"/>
    <w:rsid w:val="00BE5D6B"/>
    <w:rsid w:val="00BE623B"/>
    <w:rsid w:val="00BE63CD"/>
    <w:rsid w:val="00BE746E"/>
    <w:rsid w:val="00BE7CC8"/>
    <w:rsid w:val="00BF1076"/>
    <w:rsid w:val="00BF19A0"/>
    <w:rsid w:val="00BF2933"/>
    <w:rsid w:val="00BF35FC"/>
    <w:rsid w:val="00BF4D9A"/>
    <w:rsid w:val="00BF5BE4"/>
    <w:rsid w:val="00BF6C4F"/>
    <w:rsid w:val="00BF7E4E"/>
    <w:rsid w:val="00C0269B"/>
    <w:rsid w:val="00C02A17"/>
    <w:rsid w:val="00C032BF"/>
    <w:rsid w:val="00C05356"/>
    <w:rsid w:val="00C05755"/>
    <w:rsid w:val="00C065AC"/>
    <w:rsid w:val="00C066E1"/>
    <w:rsid w:val="00C06BF4"/>
    <w:rsid w:val="00C07B42"/>
    <w:rsid w:val="00C13483"/>
    <w:rsid w:val="00C15375"/>
    <w:rsid w:val="00C20D23"/>
    <w:rsid w:val="00C222D2"/>
    <w:rsid w:val="00C2344C"/>
    <w:rsid w:val="00C237AE"/>
    <w:rsid w:val="00C24078"/>
    <w:rsid w:val="00C2652E"/>
    <w:rsid w:val="00C26927"/>
    <w:rsid w:val="00C27503"/>
    <w:rsid w:val="00C27BE9"/>
    <w:rsid w:val="00C308E5"/>
    <w:rsid w:val="00C32250"/>
    <w:rsid w:val="00C333B6"/>
    <w:rsid w:val="00C335EA"/>
    <w:rsid w:val="00C33F4B"/>
    <w:rsid w:val="00C347DA"/>
    <w:rsid w:val="00C35D32"/>
    <w:rsid w:val="00C36492"/>
    <w:rsid w:val="00C37123"/>
    <w:rsid w:val="00C37386"/>
    <w:rsid w:val="00C40BAD"/>
    <w:rsid w:val="00C41374"/>
    <w:rsid w:val="00C42909"/>
    <w:rsid w:val="00C44991"/>
    <w:rsid w:val="00C45785"/>
    <w:rsid w:val="00C457DF"/>
    <w:rsid w:val="00C46980"/>
    <w:rsid w:val="00C47E84"/>
    <w:rsid w:val="00C50016"/>
    <w:rsid w:val="00C5024C"/>
    <w:rsid w:val="00C51641"/>
    <w:rsid w:val="00C51908"/>
    <w:rsid w:val="00C51D8B"/>
    <w:rsid w:val="00C5411E"/>
    <w:rsid w:val="00C543B8"/>
    <w:rsid w:val="00C611C1"/>
    <w:rsid w:val="00C620BE"/>
    <w:rsid w:val="00C63B4C"/>
    <w:rsid w:val="00C63FE7"/>
    <w:rsid w:val="00C64871"/>
    <w:rsid w:val="00C651E4"/>
    <w:rsid w:val="00C65561"/>
    <w:rsid w:val="00C70477"/>
    <w:rsid w:val="00C73D10"/>
    <w:rsid w:val="00C75439"/>
    <w:rsid w:val="00C755E3"/>
    <w:rsid w:val="00C75A82"/>
    <w:rsid w:val="00C76CAF"/>
    <w:rsid w:val="00C7728C"/>
    <w:rsid w:val="00C80279"/>
    <w:rsid w:val="00C8032A"/>
    <w:rsid w:val="00C81AD2"/>
    <w:rsid w:val="00C81C7D"/>
    <w:rsid w:val="00C822AF"/>
    <w:rsid w:val="00C82453"/>
    <w:rsid w:val="00C829A1"/>
    <w:rsid w:val="00C83711"/>
    <w:rsid w:val="00C83DE4"/>
    <w:rsid w:val="00C845B4"/>
    <w:rsid w:val="00C84CE4"/>
    <w:rsid w:val="00C85F06"/>
    <w:rsid w:val="00C8675B"/>
    <w:rsid w:val="00C86E54"/>
    <w:rsid w:val="00C87980"/>
    <w:rsid w:val="00C907F4"/>
    <w:rsid w:val="00C90B03"/>
    <w:rsid w:val="00C91170"/>
    <w:rsid w:val="00C91429"/>
    <w:rsid w:val="00C91C33"/>
    <w:rsid w:val="00C923F9"/>
    <w:rsid w:val="00C932DD"/>
    <w:rsid w:val="00C9467B"/>
    <w:rsid w:val="00C9655C"/>
    <w:rsid w:val="00C96603"/>
    <w:rsid w:val="00C96A58"/>
    <w:rsid w:val="00C9767A"/>
    <w:rsid w:val="00CA03D1"/>
    <w:rsid w:val="00CA0C37"/>
    <w:rsid w:val="00CA1DA8"/>
    <w:rsid w:val="00CA3BD0"/>
    <w:rsid w:val="00CA44BC"/>
    <w:rsid w:val="00CA5C35"/>
    <w:rsid w:val="00CA625A"/>
    <w:rsid w:val="00CA6BF8"/>
    <w:rsid w:val="00CA6F5B"/>
    <w:rsid w:val="00CA707D"/>
    <w:rsid w:val="00CB1541"/>
    <w:rsid w:val="00CB2F56"/>
    <w:rsid w:val="00CB4182"/>
    <w:rsid w:val="00CB59F4"/>
    <w:rsid w:val="00CB780B"/>
    <w:rsid w:val="00CC0ACD"/>
    <w:rsid w:val="00CC4771"/>
    <w:rsid w:val="00CC7E30"/>
    <w:rsid w:val="00CD13BD"/>
    <w:rsid w:val="00CD2BE6"/>
    <w:rsid w:val="00CD50CF"/>
    <w:rsid w:val="00CE0103"/>
    <w:rsid w:val="00CE0853"/>
    <w:rsid w:val="00CE1457"/>
    <w:rsid w:val="00CE1D2A"/>
    <w:rsid w:val="00CE23DF"/>
    <w:rsid w:val="00CE3E44"/>
    <w:rsid w:val="00CE46CB"/>
    <w:rsid w:val="00CE4B4B"/>
    <w:rsid w:val="00CE5E90"/>
    <w:rsid w:val="00CE5EDC"/>
    <w:rsid w:val="00CE7B3E"/>
    <w:rsid w:val="00CE7C2B"/>
    <w:rsid w:val="00CF16BC"/>
    <w:rsid w:val="00CF210D"/>
    <w:rsid w:val="00CF45F9"/>
    <w:rsid w:val="00CF4C10"/>
    <w:rsid w:val="00CF524E"/>
    <w:rsid w:val="00CF62AB"/>
    <w:rsid w:val="00CF7FAF"/>
    <w:rsid w:val="00D01453"/>
    <w:rsid w:val="00D02C0F"/>
    <w:rsid w:val="00D0367B"/>
    <w:rsid w:val="00D03E48"/>
    <w:rsid w:val="00D03FA1"/>
    <w:rsid w:val="00D0454D"/>
    <w:rsid w:val="00D0744A"/>
    <w:rsid w:val="00D105ED"/>
    <w:rsid w:val="00D110D2"/>
    <w:rsid w:val="00D13D16"/>
    <w:rsid w:val="00D14B1E"/>
    <w:rsid w:val="00D14B77"/>
    <w:rsid w:val="00D15702"/>
    <w:rsid w:val="00D2000A"/>
    <w:rsid w:val="00D2067A"/>
    <w:rsid w:val="00D20E08"/>
    <w:rsid w:val="00D24034"/>
    <w:rsid w:val="00D2752B"/>
    <w:rsid w:val="00D27606"/>
    <w:rsid w:val="00D27ED3"/>
    <w:rsid w:val="00D307CD"/>
    <w:rsid w:val="00D311B5"/>
    <w:rsid w:val="00D32265"/>
    <w:rsid w:val="00D32796"/>
    <w:rsid w:val="00D34E44"/>
    <w:rsid w:val="00D36115"/>
    <w:rsid w:val="00D3790E"/>
    <w:rsid w:val="00D37CF8"/>
    <w:rsid w:val="00D40E62"/>
    <w:rsid w:val="00D41F9B"/>
    <w:rsid w:val="00D42A9B"/>
    <w:rsid w:val="00D45851"/>
    <w:rsid w:val="00D45E03"/>
    <w:rsid w:val="00D501CE"/>
    <w:rsid w:val="00D5207C"/>
    <w:rsid w:val="00D529D2"/>
    <w:rsid w:val="00D54AA9"/>
    <w:rsid w:val="00D560B5"/>
    <w:rsid w:val="00D56B76"/>
    <w:rsid w:val="00D60B6B"/>
    <w:rsid w:val="00D60D03"/>
    <w:rsid w:val="00D61263"/>
    <w:rsid w:val="00D61DD1"/>
    <w:rsid w:val="00D64028"/>
    <w:rsid w:val="00D640D6"/>
    <w:rsid w:val="00D65832"/>
    <w:rsid w:val="00D67BF3"/>
    <w:rsid w:val="00D70024"/>
    <w:rsid w:val="00D71206"/>
    <w:rsid w:val="00D713D5"/>
    <w:rsid w:val="00D71CA7"/>
    <w:rsid w:val="00D7296B"/>
    <w:rsid w:val="00D733EE"/>
    <w:rsid w:val="00D7471C"/>
    <w:rsid w:val="00D75B8D"/>
    <w:rsid w:val="00D773DA"/>
    <w:rsid w:val="00D80B5B"/>
    <w:rsid w:val="00D815B3"/>
    <w:rsid w:val="00D82576"/>
    <w:rsid w:val="00D82E7E"/>
    <w:rsid w:val="00D8735D"/>
    <w:rsid w:val="00D915D9"/>
    <w:rsid w:val="00D92A26"/>
    <w:rsid w:val="00D93F54"/>
    <w:rsid w:val="00D941ED"/>
    <w:rsid w:val="00D94956"/>
    <w:rsid w:val="00D95096"/>
    <w:rsid w:val="00D9666C"/>
    <w:rsid w:val="00D96894"/>
    <w:rsid w:val="00D96F41"/>
    <w:rsid w:val="00D9738E"/>
    <w:rsid w:val="00DA1F61"/>
    <w:rsid w:val="00DA3027"/>
    <w:rsid w:val="00DA3BB7"/>
    <w:rsid w:val="00DA48DA"/>
    <w:rsid w:val="00DA5D1C"/>
    <w:rsid w:val="00DA6922"/>
    <w:rsid w:val="00DB006A"/>
    <w:rsid w:val="00DB31B3"/>
    <w:rsid w:val="00DB3212"/>
    <w:rsid w:val="00DB3658"/>
    <w:rsid w:val="00DB3E86"/>
    <w:rsid w:val="00DB4052"/>
    <w:rsid w:val="00DB5D0F"/>
    <w:rsid w:val="00DB7B7F"/>
    <w:rsid w:val="00DC11C5"/>
    <w:rsid w:val="00DC17CD"/>
    <w:rsid w:val="00DC20BD"/>
    <w:rsid w:val="00DC335C"/>
    <w:rsid w:val="00DC5560"/>
    <w:rsid w:val="00DC5DC7"/>
    <w:rsid w:val="00DC778A"/>
    <w:rsid w:val="00DD30F3"/>
    <w:rsid w:val="00DD3133"/>
    <w:rsid w:val="00DD4B8D"/>
    <w:rsid w:val="00DD5AB5"/>
    <w:rsid w:val="00DD6F17"/>
    <w:rsid w:val="00DD74E2"/>
    <w:rsid w:val="00DE2997"/>
    <w:rsid w:val="00DE3545"/>
    <w:rsid w:val="00DE4169"/>
    <w:rsid w:val="00DE51C1"/>
    <w:rsid w:val="00DE717E"/>
    <w:rsid w:val="00DE7319"/>
    <w:rsid w:val="00DF1E92"/>
    <w:rsid w:val="00DF4C13"/>
    <w:rsid w:val="00DF553F"/>
    <w:rsid w:val="00DF618B"/>
    <w:rsid w:val="00DF65D5"/>
    <w:rsid w:val="00DF6A90"/>
    <w:rsid w:val="00E03D5E"/>
    <w:rsid w:val="00E04FAB"/>
    <w:rsid w:val="00E05EA4"/>
    <w:rsid w:val="00E0615A"/>
    <w:rsid w:val="00E069A2"/>
    <w:rsid w:val="00E06B81"/>
    <w:rsid w:val="00E12A39"/>
    <w:rsid w:val="00E13E31"/>
    <w:rsid w:val="00E141A0"/>
    <w:rsid w:val="00E146C0"/>
    <w:rsid w:val="00E16089"/>
    <w:rsid w:val="00E1723A"/>
    <w:rsid w:val="00E17EAC"/>
    <w:rsid w:val="00E202A3"/>
    <w:rsid w:val="00E2046A"/>
    <w:rsid w:val="00E22412"/>
    <w:rsid w:val="00E23CD7"/>
    <w:rsid w:val="00E242A4"/>
    <w:rsid w:val="00E24CE4"/>
    <w:rsid w:val="00E25C8F"/>
    <w:rsid w:val="00E279AF"/>
    <w:rsid w:val="00E30D4A"/>
    <w:rsid w:val="00E3115F"/>
    <w:rsid w:val="00E3401F"/>
    <w:rsid w:val="00E34B47"/>
    <w:rsid w:val="00E34D71"/>
    <w:rsid w:val="00E35BA9"/>
    <w:rsid w:val="00E3716F"/>
    <w:rsid w:val="00E377CA"/>
    <w:rsid w:val="00E37F47"/>
    <w:rsid w:val="00E41643"/>
    <w:rsid w:val="00E42ED2"/>
    <w:rsid w:val="00E4348D"/>
    <w:rsid w:val="00E455BE"/>
    <w:rsid w:val="00E45A76"/>
    <w:rsid w:val="00E47879"/>
    <w:rsid w:val="00E47CCC"/>
    <w:rsid w:val="00E47DA2"/>
    <w:rsid w:val="00E52290"/>
    <w:rsid w:val="00E545C7"/>
    <w:rsid w:val="00E55753"/>
    <w:rsid w:val="00E5620D"/>
    <w:rsid w:val="00E574C5"/>
    <w:rsid w:val="00E6116F"/>
    <w:rsid w:val="00E61BC1"/>
    <w:rsid w:val="00E623E1"/>
    <w:rsid w:val="00E6350C"/>
    <w:rsid w:val="00E66290"/>
    <w:rsid w:val="00E67624"/>
    <w:rsid w:val="00E71A41"/>
    <w:rsid w:val="00E71CAB"/>
    <w:rsid w:val="00E72091"/>
    <w:rsid w:val="00E72338"/>
    <w:rsid w:val="00E73120"/>
    <w:rsid w:val="00E748E9"/>
    <w:rsid w:val="00E7517C"/>
    <w:rsid w:val="00E75659"/>
    <w:rsid w:val="00E76ED1"/>
    <w:rsid w:val="00E82389"/>
    <w:rsid w:val="00E823A4"/>
    <w:rsid w:val="00E824AF"/>
    <w:rsid w:val="00E84F78"/>
    <w:rsid w:val="00E8669F"/>
    <w:rsid w:val="00E91825"/>
    <w:rsid w:val="00E91D48"/>
    <w:rsid w:val="00E92909"/>
    <w:rsid w:val="00E92F70"/>
    <w:rsid w:val="00E93DE3"/>
    <w:rsid w:val="00E9402C"/>
    <w:rsid w:val="00E94245"/>
    <w:rsid w:val="00E94272"/>
    <w:rsid w:val="00E94769"/>
    <w:rsid w:val="00E96F7D"/>
    <w:rsid w:val="00E9707A"/>
    <w:rsid w:val="00E979FD"/>
    <w:rsid w:val="00EA0589"/>
    <w:rsid w:val="00EA1BD2"/>
    <w:rsid w:val="00EA1F0D"/>
    <w:rsid w:val="00EA3224"/>
    <w:rsid w:val="00EA42B6"/>
    <w:rsid w:val="00EA692C"/>
    <w:rsid w:val="00EA7F9C"/>
    <w:rsid w:val="00EB277C"/>
    <w:rsid w:val="00EB2B84"/>
    <w:rsid w:val="00EB2E84"/>
    <w:rsid w:val="00EB48B5"/>
    <w:rsid w:val="00EB5F92"/>
    <w:rsid w:val="00EB7777"/>
    <w:rsid w:val="00EC310E"/>
    <w:rsid w:val="00EC3880"/>
    <w:rsid w:val="00EC3B1D"/>
    <w:rsid w:val="00EC3DAA"/>
    <w:rsid w:val="00EC3F86"/>
    <w:rsid w:val="00EC4995"/>
    <w:rsid w:val="00EC615B"/>
    <w:rsid w:val="00EC725C"/>
    <w:rsid w:val="00EC795E"/>
    <w:rsid w:val="00EC7F9D"/>
    <w:rsid w:val="00ED2EBB"/>
    <w:rsid w:val="00ED2FF1"/>
    <w:rsid w:val="00ED5013"/>
    <w:rsid w:val="00ED6955"/>
    <w:rsid w:val="00ED7DDA"/>
    <w:rsid w:val="00EE0FF8"/>
    <w:rsid w:val="00EE2C1C"/>
    <w:rsid w:val="00EE5406"/>
    <w:rsid w:val="00EF0891"/>
    <w:rsid w:val="00EF0B7E"/>
    <w:rsid w:val="00EF1CBF"/>
    <w:rsid w:val="00EF1FEF"/>
    <w:rsid w:val="00EF23D1"/>
    <w:rsid w:val="00EF24FE"/>
    <w:rsid w:val="00EF3137"/>
    <w:rsid w:val="00EF3696"/>
    <w:rsid w:val="00EF422D"/>
    <w:rsid w:val="00F0048C"/>
    <w:rsid w:val="00F00D0A"/>
    <w:rsid w:val="00F011BB"/>
    <w:rsid w:val="00F03FEB"/>
    <w:rsid w:val="00F10246"/>
    <w:rsid w:val="00F102ED"/>
    <w:rsid w:val="00F10C12"/>
    <w:rsid w:val="00F10D36"/>
    <w:rsid w:val="00F12600"/>
    <w:rsid w:val="00F12ABC"/>
    <w:rsid w:val="00F136C6"/>
    <w:rsid w:val="00F15DC1"/>
    <w:rsid w:val="00F16008"/>
    <w:rsid w:val="00F16530"/>
    <w:rsid w:val="00F17693"/>
    <w:rsid w:val="00F20120"/>
    <w:rsid w:val="00F21B79"/>
    <w:rsid w:val="00F24C03"/>
    <w:rsid w:val="00F256B3"/>
    <w:rsid w:val="00F30437"/>
    <w:rsid w:val="00F3083E"/>
    <w:rsid w:val="00F310EA"/>
    <w:rsid w:val="00F31966"/>
    <w:rsid w:val="00F31CA9"/>
    <w:rsid w:val="00F33ABF"/>
    <w:rsid w:val="00F34799"/>
    <w:rsid w:val="00F35522"/>
    <w:rsid w:val="00F40D96"/>
    <w:rsid w:val="00F41C8C"/>
    <w:rsid w:val="00F4287D"/>
    <w:rsid w:val="00F4345D"/>
    <w:rsid w:val="00F4391A"/>
    <w:rsid w:val="00F43C4A"/>
    <w:rsid w:val="00F440D7"/>
    <w:rsid w:val="00F460B6"/>
    <w:rsid w:val="00F46890"/>
    <w:rsid w:val="00F46DA1"/>
    <w:rsid w:val="00F47583"/>
    <w:rsid w:val="00F50B9B"/>
    <w:rsid w:val="00F51F7F"/>
    <w:rsid w:val="00F52491"/>
    <w:rsid w:val="00F52550"/>
    <w:rsid w:val="00F52884"/>
    <w:rsid w:val="00F54B0F"/>
    <w:rsid w:val="00F55B47"/>
    <w:rsid w:val="00F574DE"/>
    <w:rsid w:val="00F5791C"/>
    <w:rsid w:val="00F6058E"/>
    <w:rsid w:val="00F6130F"/>
    <w:rsid w:val="00F62BDF"/>
    <w:rsid w:val="00F62C83"/>
    <w:rsid w:val="00F6590C"/>
    <w:rsid w:val="00F6661E"/>
    <w:rsid w:val="00F676C8"/>
    <w:rsid w:val="00F756A7"/>
    <w:rsid w:val="00F75D37"/>
    <w:rsid w:val="00F75E3C"/>
    <w:rsid w:val="00F76021"/>
    <w:rsid w:val="00F76944"/>
    <w:rsid w:val="00F7743F"/>
    <w:rsid w:val="00F831E4"/>
    <w:rsid w:val="00F85BF3"/>
    <w:rsid w:val="00F85CF5"/>
    <w:rsid w:val="00F86309"/>
    <w:rsid w:val="00F87417"/>
    <w:rsid w:val="00F9015F"/>
    <w:rsid w:val="00F91C9E"/>
    <w:rsid w:val="00F91CF8"/>
    <w:rsid w:val="00F933E9"/>
    <w:rsid w:val="00F93860"/>
    <w:rsid w:val="00F93F11"/>
    <w:rsid w:val="00F95461"/>
    <w:rsid w:val="00F976AE"/>
    <w:rsid w:val="00F97840"/>
    <w:rsid w:val="00FA1BCE"/>
    <w:rsid w:val="00FA3061"/>
    <w:rsid w:val="00FA476B"/>
    <w:rsid w:val="00FA4C9E"/>
    <w:rsid w:val="00FA6FDD"/>
    <w:rsid w:val="00FB1E5C"/>
    <w:rsid w:val="00FB237B"/>
    <w:rsid w:val="00FB43F5"/>
    <w:rsid w:val="00FB55CF"/>
    <w:rsid w:val="00FB5D15"/>
    <w:rsid w:val="00FB763E"/>
    <w:rsid w:val="00FC06E7"/>
    <w:rsid w:val="00FC0AFE"/>
    <w:rsid w:val="00FC1544"/>
    <w:rsid w:val="00FC1AE4"/>
    <w:rsid w:val="00FC223B"/>
    <w:rsid w:val="00FC51F8"/>
    <w:rsid w:val="00FC54C0"/>
    <w:rsid w:val="00FC6A22"/>
    <w:rsid w:val="00FC7A24"/>
    <w:rsid w:val="00FD15ED"/>
    <w:rsid w:val="00FD162F"/>
    <w:rsid w:val="00FD482F"/>
    <w:rsid w:val="00FD64CB"/>
    <w:rsid w:val="00FE02CC"/>
    <w:rsid w:val="00FE2DD4"/>
    <w:rsid w:val="00FE59E4"/>
    <w:rsid w:val="00FE694C"/>
    <w:rsid w:val="00FE6E22"/>
    <w:rsid w:val="00FF02A9"/>
    <w:rsid w:val="00FF0C15"/>
    <w:rsid w:val="00FF133A"/>
    <w:rsid w:val="00FF2169"/>
    <w:rsid w:val="00FF57F5"/>
    <w:rsid w:val="00FF5FFF"/>
    <w:rsid w:val="00FF724C"/>
    <w:rsid w:val="00FF7D88"/>
    <w:rsid w:val="014BFC49"/>
    <w:rsid w:val="0159B5E3"/>
    <w:rsid w:val="01AD41BA"/>
    <w:rsid w:val="025A5012"/>
    <w:rsid w:val="0261E1E9"/>
    <w:rsid w:val="0270BB51"/>
    <w:rsid w:val="02FDBD37"/>
    <w:rsid w:val="03481534"/>
    <w:rsid w:val="0416887C"/>
    <w:rsid w:val="04D51EA4"/>
    <w:rsid w:val="04F7A38E"/>
    <w:rsid w:val="05F11DA8"/>
    <w:rsid w:val="05FA032F"/>
    <w:rsid w:val="089A29E7"/>
    <w:rsid w:val="089A6F9E"/>
    <w:rsid w:val="096D73D2"/>
    <w:rsid w:val="0982F3B6"/>
    <w:rsid w:val="0A31A989"/>
    <w:rsid w:val="0B0D078D"/>
    <w:rsid w:val="0B85BE73"/>
    <w:rsid w:val="0BAC6B11"/>
    <w:rsid w:val="0CD7D3C4"/>
    <w:rsid w:val="0D3F7A06"/>
    <w:rsid w:val="0D69E0FE"/>
    <w:rsid w:val="0DCAC4F0"/>
    <w:rsid w:val="0DD7139D"/>
    <w:rsid w:val="0E122BD5"/>
    <w:rsid w:val="10154195"/>
    <w:rsid w:val="10428E8E"/>
    <w:rsid w:val="110923AC"/>
    <w:rsid w:val="11194266"/>
    <w:rsid w:val="11B111F6"/>
    <w:rsid w:val="11E6ED8A"/>
    <w:rsid w:val="11FE8CE8"/>
    <w:rsid w:val="131D3A0E"/>
    <w:rsid w:val="13363F18"/>
    <w:rsid w:val="13F7FAB8"/>
    <w:rsid w:val="1522AE1B"/>
    <w:rsid w:val="15443613"/>
    <w:rsid w:val="1595BA6F"/>
    <w:rsid w:val="166030D8"/>
    <w:rsid w:val="177C5E8F"/>
    <w:rsid w:val="1878223E"/>
    <w:rsid w:val="190E81EB"/>
    <w:rsid w:val="19346BBA"/>
    <w:rsid w:val="1967D3D2"/>
    <w:rsid w:val="1984F870"/>
    <w:rsid w:val="1AB7533B"/>
    <w:rsid w:val="1AF88E13"/>
    <w:rsid w:val="1BF15689"/>
    <w:rsid w:val="1C376AD0"/>
    <w:rsid w:val="1CA1F2C5"/>
    <w:rsid w:val="1DE16586"/>
    <w:rsid w:val="1DE748BF"/>
    <w:rsid w:val="1E5E6965"/>
    <w:rsid w:val="1E77F5A0"/>
    <w:rsid w:val="1F15391D"/>
    <w:rsid w:val="1F2EA07C"/>
    <w:rsid w:val="1FABA240"/>
    <w:rsid w:val="20021460"/>
    <w:rsid w:val="20B73082"/>
    <w:rsid w:val="2213196C"/>
    <w:rsid w:val="2239B616"/>
    <w:rsid w:val="229C0347"/>
    <w:rsid w:val="22AB42ED"/>
    <w:rsid w:val="231A840F"/>
    <w:rsid w:val="23943E07"/>
    <w:rsid w:val="23BAF2BC"/>
    <w:rsid w:val="242F4FA5"/>
    <w:rsid w:val="244221E2"/>
    <w:rsid w:val="246EE857"/>
    <w:rsid w:val="24DEFAF8"/>
    <w:rsid w:val="25087C82"/>
    <w:rsid w:val="258A7F35"/>
    <w:rsid w:val="264C61A8"/>
    <w:rsid w:val="26B4F29D"/>
    <w:rsid w:val="27264F96"/>
    <w:rsid w:val="276F746A"/>
    <w:rsid w:val="27865A78"/>
    <w:rsid w:val="27B9BD96"/>
    <w:rsid w:val="282306C6"/>
    <w:rsid w:val="2879AFD0"/>
    <w:rsid w:val="2A6DDF00"/>
    <w:rsid w:val="2B1F1693"/>
    <w:rsid w:val="2C00AC7C"/>
    <w:rsid w:val="2C2D5229"/>
    <w:rsid w:val="2C41F501"/>
    <w:rsid w:val="2C506F48"/>
    <w:rsid w:val="2D243421"/>
    <w:rsid w:val="2D4E76A8"/>
    <w:rsid w:val="2EBA432A"/>
    <w:rsid w:val="2F18391E"/>
    <w:rsid w:val="2F915E48"/>
    <w:rsid w:val="3025246E"/>
    <w:rsid w:val="3088DE67"/>
    <w:rsid w:val="316D33BF"/>
    <w:rsid w:val="31F7A544"/>
    <w:rsid w:val="32B13685"/>
    <w:rsid w:val="3330DAEA"/>
    <w:rsid w:val="33644DDD"/>
    <w:rsid w:val="3383E395"/>
    <w:rsid w:val="33DE80EE"/>
    <w:rsid w:val="37CC8E35"/>
    <w:rsid w:val="38170DF6"/>
    <w:rsid w:val="381C4249"/>
    <w:rsid w:val="39D68E88"/>
    <w:rsid w:val="3C6609E0"/>
    <w:rsid w:val="3C760568"/>
    <w:rsid w:val="3CBA3028"/>
    <w:rsid w:val="3CD9B47C"/>
    <w:rsid w:val="3D93DA7E"/>
    <w:rsid w:val="3E11A177"/>
    <w:rsid w:val="3E86DAC4"/>
    <w:rsid w:val="3F82F29A"/>
    <w:rsid w:val="409C984F"/>
    <w:rsid w:val="4222D3F7"/>
    <w:rsid w:val="42B43D4F"/>
    <w:rsid w:val="436F67BD"/>
    <w:rsid w:val="43ED2E9D"/>
    <w:rsid w:val="43FB5754"/>
    <w:rsid w:val="443BA8C3"/>
    <w:rsid w:val="4481A1FB"/>
    <w:rsid w:val="44B4D603"/>
    <w:rsid w:val="44C9C1DD"/>
    <w:rsid w:val="44CB9E04"/>
    <w:rsid w:val="452919D8"/>
    <w:rsid w:val="455E0C80"/>
    <w:rsid w:val="45DDB4AB"/>
    <w:rsid w:val="4679CC2C"/>
    <w:rsid w:val="46994EE5"/>
    <w:rsid w:val="46D995A7"/>
    <w:rsid w:val="47ABC778"/>
    <w:rsid w:val="47B4E07A"/>
    <w:rsid w:val="48DD2CB4"/>
    <w:rsid w:val="494797D9"/>
    <w:rsid w:val="4957A528"/>
    <w:rsid w:val="49D0EFA7"/>
    <w:rsid w:val="4A0DCD13"/>
    <w:rsid w:val="4A6CA577"/>
    <w:rsid w:val="4BAAD84A"/>
    <w:rsid w:val="4C252889"/>
    <w:rsid w:val="4CCD6EAC"/>
    <w:rsid w:val="4CE21D44"/>
    <w:rsid w:val="4D303D35"/>
    <w:rsid w:val="4E1E33C5"/>
    <w:rsid w:val="4E8B386D"/>
    <w:rsid w:val="4F1A68A5"/>
    <w:rsid w:val="507B5E30"/>
    <w:rsid w:val="51CDBBDD"/>
    <w:rsid w:val="53183158"/>
    <w:rsid w:val="535F7E71"/>
    <w:rsid w:val="540B3FED"/>
    <w:rsid w:val="565C3C1A"/>
    <w:rsid w:val="5710C2C6"/>
    <w:rsid w:val="574C2CD4"/>
    <w:rsid w:val="588526FC"/>
    <w:rsid w:val="595FE81A"/>
    <w:rsid w:val="5B0875F6"/>
    <w:rsid w:val="5EE1FD08"/>
    <w:rsid w:val="603E6068"/>
    <w:rsid w:val="6089BB4A"/>
    <w:rsid w:val="6167A000"/>
    <w:rsid w:val="618F62EC"/>
    <w:rsid w:val="61A60B2A"/>
    <w:rsid w:val="622DA877"/>
    <w:rsid w:val="628DD036"/>
    <w:rsid w:val="638FB1C2"/>
    <w:rsid w:val="63B5E9EF"/>
    <w:rsid w:val="649F40C2"/>
    <w:rsid w:val="64A3E02D"/>
    <w:rsid w:val="64AFB250"/>
    <w:rsid w:val="6620C4AA"/>
    <w:rsid w:val="662542C5"/>
    <w:rsid w:val="691F747C"/>
    <w:rsid w:val="69F00FC4"/>
    <w:rsid w:val="6A5415A9"/>
    <w:rsid w:val="6ABF7E55"/>
    <w:rsid w:val="6D69FF73"/>
    <w:rsid w:val="6DCF2842"/>
    <w:rsid w:val="6DD819AF"/>
    <w:rsid w:val="6E4FEEC8"/>
    <w:rsid w:val="6F3C1604"/>
    <w:rsid w:val="71A93916"/>
    <w:rsid w:val="72470F10"/>
    <w:rsid w:val="72FD1D62"/>
    <w:rsid w:val="7336B865"/>
    <w:rsid w:val="735D5C2A"/>
    <w:rsid w:val="73678FA7"/>
    <w:rsid w:val="747B7C01"/>
    <w:rsid w:val="7498AB74"/>
    <w:rsid w:val="7572770A"/>
    <w:rsid w:val="75D79223"/>
    <w:rsid w:val="76673230"/>
    <w:rsid w:val="78055D6F"/>
    <w:rsid w:val="7878C2C4"/>
    <w:rsid w:val="789EA909"/>
    <w:rsid w:val="7961FA5C"/>
    <w:rsid w:val="79FF9150"/>
    <w:rsid w:val="7A142EEB"/>
    <w:rsid w:val="7A9D20AA"/>
    <w:rsid w:val="7B4E41F1"/>
    <w:rsid w:val="7B7D9462"/>
    <w:rsid w:val="7BD1846E"/>
    <w:rsid w:val="7BD81AE1"/>
    <w:rsid w:val="7BFF40A6"/>
    <w:rsid w:val="7C08D6F3"/>
    <w:rsid w:val="7DB34D73"/>
    <w:rsid w:val="7E153067"/>
    <w:rsid w:val="7F2930EF"/>
    <w:rsid w:val="7FB3008A"/>
    <w:rsid w:val="7FCBED2A"/>
    <w:rsid w:val="7FE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CD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822AF"/>
    <w:pPr>
      <w:shd w:val="clear" w:color="auto" w:fill="FFFFFF"/>
      <w:jc w:val="both"/>
    </w:pPr>
    <w:rPr>
      <w:rFonts w:ascii="Book Antiqua" w:hAnsi="Book Antiqua"/>
      <w:sz w:val="22"/>
      <w:lang w:eastAsia="en-US"/>
    </w:rPr>
  </w:style>
  <w:style w:type="paragraph" w:styleId="Naslov1">
    <w:name w:val="heading 1"/>
    <w:basedOn w:val="Navaden"/>
    <w:next w:val="Navaden"/>
    <w:qFormat/>
    <w:rsid w:val="00FF57F5"/>
    <w:pPr>
      <w:keepNext/>
      <w:numPr>
        <w:numId w:val="1"/>
      </w:numPr>
      <w:shd w:val="clear" w:color="auto" w:fill="auto"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F57F5"/>
    <w:pPr>
      <w:keepNext/>
      <w:numPr>
        <w:ilvl w:val="1"/>
        <w:numId w:val="1"/>
      </w:numPr>
      <w:shd w:val="clear" w:color="auto" w:fill="auto"/>
      <w:spacing w:before="240" w:after="120" w:line="312" w:lineRule="auto"/>
      <w:jc w:val="center"/>
      <w:outlineLvl w:val="1"/>
    </w:pPr>
    <w:rPr>
      <w:b/>
      <w:bCs/>
      <w:iCs/>
      <w:sz w:val="28"/>
      <w:lang w:val="en-GB"/>
    </w:rPr>
  </w:style>
  <w:style w:type="paragraph" w:styleId="Naslov3">
    <w:name w:val="heading 3"/>
    <w:basedOn w:val="Naslov2"/>
    <w:next w:val="Navaden"/>
    <w:link w:val="Naslov3Znak"/>
    <w:qFormat/>
    <w:rsid w:val="00B17AD6"/>
    <w:pPr>
      <w:numPr>
        <w:ilvl w:val="2"/>
      </w:numPr>
      <w:jc w:val="left"/>
      <w:outlineLvl w:val="2"/>
    </w:pPr>
    <w:rPr>
      <w:szCs w:val="24"/>
      <w:lang w:val="sl-SI"/>
    </w:rPr>
  </w:style>
  <w:style w:type="paragraph" w:styleId="Naslov4">
    <w:name w:val="heading 4"/>
    <w:basedOn w:val="Navaden"/>
    <w:next w:val="Navaden"/>
    <w:link w:val="Naslov4Znak"/>
    <w:qFormat/>
    <w:rsid w:val="00EF0B7E"/>
    <w:pPr>
      <w:keepNext/>
      <w:numPr>
        <w:ilvl w:val="3"/>
        <w:numId w:val="1"/>
      </w:numPr>
      <w:shd w:val="clear" w:color="auto" w:fill="auto"/>
      <w:tabs>
        <w:tab w:val="left" w:pos="720"/>
      </w:tabs>
      <w:outlineLvl w:val="3"/>
    </w:pPr>
    <w:rPr>
      <w:bCs/>
      <w:szCs w:val="22"/>
      <w:lang w:eastAsia="sl-SI"/>
    </w:rPr>
  </w:style>
  <w:style w:type="paragraph" w:styleId="Naslov5">
    <w:name w:val="heading 5"/>
    <w:basedOn w:val="Navaden"/>
    <w:next w:val="Navaden"/>
    <w:qFormat/>
    <w:rsid w:val="00FF57F5"/>
    <w:pPr>
      <w:numPr>
        <w:ilvl w:val="4"/>
        <w:numId w:val="1"/>
      </w:numPr>
      <w:shd w:val="clear" w:color="auto" w:fill="auto"/>
      <w:spacing w:before="240" w:after="60"/>
      <w:outlineLvl w:val="4"/>
    </w:pPr>
    <w:rPr>
      <w:b/>
      <w:bCs/>
      <w:i/>
      <w:iCs/>
      <w:sz w:val="26"/>
      <w:szCs w:val="26"/>
      <w:lang w:eastAsia="sl-SI"/>
    </w:rPr>
  </w:style>
  <w:style w:type="paragraph" w:styleId="Naslov8">
    <w:name w:val="heading 8"/>
    <w:basedOn w:val="Navaden"/>
    <w:next w:val="Navaden"/>
    <w:qFormat/>
    <w:rsid w:val="00FF57F5"/>
    <w:pPr>
      <w:numPr>
        <w:ilvl w:val="7"/>
        <w:numId w:val="1"/>
      </w:numPr>
      <w:shd w:val="clear" w:color="auto" w:fill="auto"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qFormat/>
    <w:rsid w:val="00FF57F5"/>
    <w:pPr>
      <w:numPr>
        <w:ilvl w:val="8"/>
        <w:numId w:val="1"/>
      </w:numPr>
      <w:shd w:val="clear" w:color="auto" w:fill="auto"/>
      <w:outlineLvl w:val="8"/>
    </w:pPr>
    <w:rPr>
      <w:rFonts w:cs="Arial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F57F5"/>
    <w:pPr>
      <w:jc w:val="center"/>
    </w:pPr>
    <w:rPr>
      <w:b/>
      <w:bCs/>
      <w:sz w:val="32"/>
    </w:rPr>
  </w:style>
  <w:style w:type="character" w:styleId="Hiperpovezava">
    <w:name w:val="Hyperlink"/>
    <w:rsid w:val="00FF57F5"/>
    <w:rPr>
      <w:color w:val="0000FF"/>
      <w:u w:val="single"/>
    </w:rPr>
  </w:style>
  <w:style w:type="character" w:styleId="SledenaHiperpovezava">
    <w:name w:val="FollowedHyperlink"/>
    <w:rsid w:val="00FF57F5"/>
    <w:rPr>
      <w:color w:val="800080"/>
      <w:u w:val="single"/>
    </w:rPr>
  </w:style>
  <w:style w:type="paragraph" w:styleId="Besedilooblaka">
    <w:name w:val="Balloon Text"/>
    <w:basedOn w:val="Navaden"/>
    <w:semiHidden/>
    <w:rsid w:val="00FF57F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FF57F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F57F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F57F5"/>
  </w:style>
  <w:style w:type="table" w:styleId="Tabelamrea">
    <w:name w:val="Table Grid"/>
    <w:basedOn w:val="Navadnatabela"/>
    <w:rsid w:val="00FF57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FF57F5"/>
    <w:pPr>
      <w:shd w:val="clear" w:color="auto" w:fill="000080"/>
    </w:pPr>
    <w:rPr>
      <w:rFonts w:ascii="Tahoma" w:hAnsi="Tahoma" w:cs="Tahoma"/>
    </w:rPr>
  </w:style>
  <w:style w:type="character" w:styleId="Pripombasklic">
    <w:name w:val="annotation reference"/>
    <w:rsid w:val="00FF57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F57F5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FF57F5"/>
    <w:rPr>
      <w:b/>
      <w:bCs/>
    </w:rPr>
  </w:style>
  <w:style w:type="character" w:customStyle="1" w:styleId="Naslov4Znak">
    <w:name w:val="Naslov 4 Znak"/>
    <w:link w:val="Naslov4"/>
    <w:rsid w:val="00EF0B7E"/>
    <w:rPr>
      <w:rFonts w:ascii="Book Antiqua" w:hAnsi="Book Antiqua"/>
      <w:bCs/>
      <w:sz w:val="22"/>
      <w:szCs w:val="22"/>
    </w:rPr>
  </w:style>
  <w:style w:type="character" w:customStyle="1" w:styleId="Naslov2Znak">
    <w:name w:val="Naslov 2 Znak"/>
    <w:link w:val="Naslov2"/>
    <w:rsid w:val="00B17AD6"/>
    <w:rPr>
      <w:rFonts w:ascii="Book Antiqua" w:hAnsi="Book Antiqua"/>
      <w:b/>
      <w:bCs/>
      <w:iCs/>
      <w:sz w:val="28"/>
      <w:lang w:val="en-GB" w:eastAsia="en-US"/>
    </w:rPr>
  </w:style>
  <w:style w:type="character" w:customStyle="1" w:styleId="Naslov3Znak">
    <w:name w:val="Naslov 3 Znak"/>
    <w:link w:val="Naslov3"/>
    <w:rsid w:val="00B17AD6"/>
    <w:rPr>
      <w:rFonts w:ascii="Book Antiqua" w:hAnsi="Book Antiqua"/>
      <w:b/>
      <w:bCs/>
      <w:iCs/>
      <w:sz w:val="28"/>
      <w:szCs w:val="24"/>
      <w:lang w:eastAsia="en-US"/>
    </w:rPr>
  </w:style>
  <w:style w:type="paragraph" w:styleId="Revizija">
    <w:name w:val="Revision"/>
    <w:hidden/>
    <w:uiPriority w:val="99"/>
    <w:semiHidden/>
    <w:rsid w:val="00512C9B"/>
    <w:rPr>
      <w:rFonts w:ascii="Book Antiqua" w:hAnsi="Book Antiqua"/>
      <w:sz w:val="22"/>
      <w:lang w:eastAsia="en-US"/>
    </w:rPr>
  </w:style>
  <w:style w:type="paragraph" w:styleId="Telobesedila">
    <w:name w:val="Body Text"/>
    <w:basedOn w:val="Navaden"/>
    <w:link w:val="TelobesedilaZnak"/>
    <w:rsid w:val="00B910B6"/>
    <w:pPr>
      <w:widowControl w:val="0"/>
      <w:shd w:val="clear" w:color="auto" w:fill="auto"/>
      <w:tabs>
        <w:tab w:val="left" w:pos="90"/>
        <w:tab w:val="left" w:pos="242"/>
        <w:tab w:val="left" w:pos="962"/>
        <w:tab w:val="left" w:pos="1682"/>
        <w:tab w:val="left" w:pos="2402"/>
        <w:tab w:val="left" w:pos="3122"/>
        <w:tab w:val="left" w:pos="3842"/>
        <w:tab w:val="left" w:pos="4562"/>
        <w:tab w:val="left" w:pos="5282"/>
        <w:tab w:val="left" w:pos="6002"/>
        <w:tab w:val="left" w:pos="6722"/>
        <w:tab w:val="left" w:pos="7442"/>
      </w:tabs>
      <w:autoSpaceDE w:val="0"/>
      <w:autoSpaceDN w:val="0"/>
      <w:adjustRightInd w:val="0"/>
      <w:spacing w:line="300" w:lineRule="exact"/>
    </w:pPr>
    <w:rPr>
      <w:rFonts w:ascii="Times New Roman" w:hAnsi="Times New Roman"/>
      <w:sz w:val="24"/>
      <w:szCs w:val="24"/>
    </w:rPr>
  </w:style>
  <w:style w:type="character" w:customStyle="1" w:styleId="TelobesedilaZnak">
    <w:name w:val="Telo besedila Znak"/>
    <w:link w:val="Telobesedila"/>
    <w:rsid w:val="00B910B6"/>
    <w:rPr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rsid w:val="00B910B6"/>
    <w:pPr>
      <w:widowControl w:val="0"/>
      <w:shd w:val="clear" w:color="auto" w:fill="auto"/>
      <w:tabs>
        <w:tab w:val="left" w:pos="0"/>
        <w:tab w:val="left" w:pos="152"/>
        <w:tab w:val="left" w:pos="872"/>
        <w:tab w:val="left" w:pos="1592"/>
        <w:tab w:val="left" w:pos="2312"/>
        <w:tab w:val="left" w:pos="3032"/>
        <w:tab w:val="left" w:pos="3752"/>
        <w:tab w:val="left" w:pos="4472"/>
        <w:tab w:val="left" w:pos="5192"/>
        <w:tab w:val="left" w:pos="5912"/>
        <w:tab w:val="left" w:pos="6632"/>
        <w:tab w:val="left" w:pos="7352"/>
      </w:tabs>
      <w:autoSpaceDE w:val="0"/>
      <w:autoSpaceDN w:val="0"/>
      <w:adjustRightInd w:val="0"/>
      <w:spacing w:line="300" w:lineRule="exact"/>
    </w:pPr>
    <w:rPr>
      <w:rFonts w:ascii="Times New Roman" w:eastAsia="@PMingLiU" w:hAnsi="Times New Roman"/>
      <w:i/>
      <w:iCs/>
      <w:color w:val="0000FF"/>
      <w:sz w:val="24"/>
      <w:szCs w:val="24"/>
    </w:rPr>
  </w:style>
  <w:style w:type="character" w:customStyle="1" w:styleId="Telobesedila2Znak">
    <w:name w:val="Telo besedila 2 Znak"/>
    <w:link w:val="Telobesedila2"/>
    <w:rsid w:val="00B910B6"/>
    <w:rPr>
      <w:rFonts w:eastAsia="@PMingLiU"/>
      <w:i/>
      <w:iCs/>
      <w:color w:val="0000FF"/>
      <w:sz w:val="24"/>
      <w:szCs w:val="24"/>
      <w:lang w:eastAsia="en-US"/>
    </w:rPr>
  </w:style>
  <w:style w:type="paragraph" w:customStyle="1" w:styleId="Vrstapredpisa">
    <w:name w:val="Vrsta predpisa"/>
    <w:basedOn w:val="Navaden"/>
    <w:link w:val="VrstapredpisaZnak"/>
    <w:qFormat/>
    <w:rsid w:val="00392CAF"/>
    <w:pPr>
      <w:shd w:val="clear" w:color="auto" w:fill="auto"/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bCs/>
      <w:color w:val="000000"/>
      <w:spacing w:val="40"/>
      <w:szCs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392CAF"/>
    <w:pPr>
      <w:shd w:val="clear" w:color="auto" w:fill="auto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Cs w:val="22"/>
      <w:lang w:eastAsia="sl-SI"/>
    </w:rPr>
  </w:style>
  <w:style w:type="character" w:customStyle="1" w:styleId="VrstapredpisaZnak">
    <w:name w:val="Vrsta predpisa Znak"/>
    <w:link w:val="Vrstapredpisa"/>
    <w:rsid w:val="00392CAF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92CAF"/>
    <w:rPr>
      <w:rFonts w:ascii="Arial" w:hAnsi="Arial" w:cs="Arial"/>
      <w:b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0B6FB2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0B6FB2"/>
    <w:rPr>
      <w:rFonts w:ascii="Book Antiqua" w:hAnsi="Book Antiqua"/>
      <w:sz w:val="22"/>
      <w:shd w:val="clear" w:color="auto" w:fill="FFFFFF"/>
      <w:lang w:eastAsia="en-US"/>
    </w:rPr>
  </w:style>
  <w:style w:type="paragraph" w:styleId="Telobesedila-zamik3">
    <w:name w:val="Body Text Indent 3"/>
    <w:basedOn w:val="Navaden"/>
    <w:link w:val="Telobesedila-zamik3Znak"/>
    <w:rsid w:val="000B6FB2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0B6FB2"/>
    <w:rPr>
      <w:rFonts w:ascii="Book Antiqua" w:hAnsi="Book Antiqua"/>
      <w:sz w:val="16"/>
      <w:szCs w:val="16"/>
      <w:shd w:val="clear" w:color="auto" w:fill="FFFFFF"/>
      <w:lang w:eastAsia="en-US"/>
    </w:rPr>
  </w:style>
  <w:style w:type="paragraph" w:styleId="Navadensplet">
    <w:name w:val="Normal (Web)"/>
    <w:basedOn w:val="Navaden"/>
    <w:rsid w:val="00923656"/>
    <w:rPr>
      <w:rFonts w:ascii="Times New Roman" w:hAnsi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AC0324"/>
    <w:pPr>
      <w:shd w:val="clear" w:color="auto" w:fill="auto"/>
      <w:spacing w:line="260" w:lineRule="atLeast"/>
      <w:jc w:val="left"/>
    </w:pPr>
    <w:rPr>
      <w:rFonts w:ascii="Arial" w:hAnsi="Arial"/>
      <w:sz w:val="20"/>
      <w:lang w:val="en-US"/>
    </w:rPr>
  </w:style>
  <w:style w:type="character" w:customStyle="1" w:styleId="Sprotnaopomba-besediloZnak">
    <w:name w:val="Sprotna opomba - besedilo Znak"/>
    <w:link w:val="Sprotnaopomba-besedilo"/>
    <w:rsid w:val="00AC0324"/>
    <w:rPr>
      <w:rFonts w:ascii="Arial" w:hAnsi="Arial"/>
      <w:lang w:val="en-US" w:eastAsia="en-US"/>
    </w:rPr>
  </w:style>
  <w:style w:type="character" w:styleId="Sprotnaopomba-sklic">
    <w:name w:val="footnote reference"/>
    <w:rsid w:val="00AC0324"/>
    <w:rPr>
      <w:vertAlign w:val="superscript"/>
    </w:rPr>
  </w:style>
  <w:style w:type="paragraph" w:customStyle="1" w:styleId="CM1">
    <w:name w:val="CM1"/>
    <w:basedOn w:val="Navaden"/>
    <w:next w:val="Navaden"/>
    <w:uiPriority w:val="99"/>
    <w:rsid w:val="00A0063C"/>
    <w:pPr>
      <w:shd w:val="clear" w:color="auto" w:fill="auto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sl-SI"/>
    </w:rPr>
  </w:style>
  <w:style w:type="paragraph" w:customStyle="1" w:styleId="CM3">
    <w:name w:val="CM3"/>
    <w:basedOn w:val="Navaden"/>
    <w:next w:val="Navaden"/>
    <w:uiPriority w:val="99"/>
    <w:rsid w:val="00A0063C"/>
    <w:pPr>
      <w:shd w:val="clear" w:color="auto" w:fill="auto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62FAA"/>
    <w:pPr>
      <w:shd w:val="clear" w:color="auto" w:fill="auto"/>
      <w:spacing w:after="200" w:line="276" w:lineRule="auto"/>
      <w:ind w:left="720"/>
      <w:contextualSpacing/>
      <w:jc w:val="left"/>
    </w:pPr>
    <w:rPr>
      <w:rFonts w:ascii="Arial" w:eastAsia="Calibri" w:hAnsi="Arial"/>
      <w:szCs w:val="22"/>
    </w:rPr>
  </w:style>
  <w:style w:type="character" w:customStyle="1" w:styleId="GlavaZnak">
    <w:name w:val="Glava Znak"/>
    <w:link w:val="Glava"/>
    <w:uiPriority w:val="99"/>
    <w:rsid w:val="002C0CE4"/>
    <w:rPr>
      <w:rFonts w:ascii="Book Antiqua" w:hAnsi="Book Antiqua"/>
      <w:sz w:val="22"/>
      <w:shd w:val="clear" w:color="auto" w:fill="FFFFFF"/>
      <w:lang w:eastAsia="en-US"/>
    </w:rPr>
  </w:style>
  <w:style w:type="character" w:customStyle="1" w:styleId="NogaZnak">
    <w:name w:val="Noga Znak"/>
    <w:link w:val="Noga"/>
    <w:uiPriority w:val="99"/>
    <w:rsid w:val="00234A1C"/>
    <w:rPr>
      <w:rFonts w:ascii="Book Antiqua" w:hAnsi="Book Antiqua"/>
      <w:sz w:val="22"/>
      <w:shd w:val="clear" w:color="auto" w:fill="FFFFFF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8E36AD"/>
    <w:rPr>
      <w:color w:val="808080"/>
    </w:rPr>
  </w:style>
  <w:style w:type="character" w:customStyle="1" w:styleId="PripombabesediloZnak">
    <w:name w:val="Pripomba – besedilo Znak"/>
    <w:basedOn w:val="Privzetapisavaodstavka"/>
    <w:link w:val="Pripombabesedilo"/>
    <w:rsid w:val="006C21BD"/>
    <w:rPr>
      <w:rFonts w:ascii="Book Antiqua" w:hAnsi="Book Antiqua"/>
      <w:shd w:val="clear" w:color="auto" w:fill="FFFFFF"/>
      <w:lang w:eastAsia="en-US"/>
    </w:rPr>
  </w:style>
  <w:style w:type="character" w:customStyle="1" w:styleId="cf01">
    <w:name w:val="cf01"/>
    <w:basedOn w:val="Privzetapisavaodstavka"/>
    <w:rsid w:val="001135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E247-1B3D-4A73-92A3-AE3AB70E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2024-04-08T13:00:00Z</dcterms:created>
  <dcterms:modified xsi:type="dcterms:W3CDTF">2024-04-29T06:15:00Z</dcterms:modified>
</cp:coreProperties>
</file>