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9D" w:rsidRPr="00C21D9D" w:rsidRDefault="00C21D9D" w:rsidP="00C21D9D">
      <w:pPr>
        <w:pStyle w:val="Default"/>
        <w:rPr>
          <w:b/>
          <w:sz w:val="28"/>
        </w:rPr>
      </w:pPr>
      <w:r w:rsidRPr="00C21D9D">
        <w:rPr>
          <w:b/>
          <w:sz w:val="28"/>
        </w:rPr>
        <w:t>Republika Slovenija</w:t>
      </w:r>
    </w:p>
    <w:p w:rsidR="00C21D9D" w:rsidRPr="00C21D9D" w:rsidRDefault="00C21D9D" w:rsidP="00C21D9D">
      <w:pPr>
        <w:pStyle w:val="Default"/>
        <w:rPr>
          <w:b/>
          <w:sz w:val="28"/>
        </w:rPr>
      </w:pPr>
      <w:r w:rsidRPr="00C21D9D">
        <w:rPr>
          <w:b/>
          <w:sz w:val="28"/>
        </w:rPr>
        <w:t>Ministrstvo za finance</w:t>
      </w:r>
    </w:p>
    <w:p w:rsidR="00C21D9D" w:rsidRDefault="00C21D9D" w:rsidP="00C21D9D">
      <w:pPr>
        <w:pStyle w:val="Default"/>
      </w:pPr>
    </w:p>
    <w:p w:rsidR="00C21D9D" w:rsidRDefault="00C21D9D" w:rsidP="00C21D9D">
      <w:pPr>
        <w:pStyle w:val="Default"/>
        <w:jc w:val="both"/>
        <w:rPr>
          <w:sz w:val="23"/>
          <w:szCs w:val="23"/>
        </w:rPr>
      </w:pPr>
      <w:r>
        <w:rPr>
          <w:b/>
          <w:bCs/>
          <w:sz w:val="23"/>
          <w:szCs w:val="23"/>
        </w:rPr>
        <w:t>Slovenija podpira usklajeno uveljavitev T+2, kot standardnega obdobja poravnave poslov s prenosljivimi državnimi vrednostnimi papirji na OTC sekundarnih trgih s 6. oktobrom 2014</w:t>
      </w:r>
      <w:r>
        <w:rPr>
          <w:b/>
          <w:bCs/>
          <w:sz w:val="23"/>
          <w:szCs w:val="23"/>
        </w:rPr>
        <w:t>.</w:t>
      </w:r>
      <w:r>
        <w:rPr>
          <w:b/>
          <w:bCs/>
          <w:sz w:val="23"/>
          <w:szCs w:val="23"/>
        </w:rPr>
        <w:t xml:space="preserve"> </w:t>
      </w:r>
    </w:p>
    <w:p w:rsidR="00C21D9D" w:rsidRDefault="00C21D9D" w:rsidP="00C21D9D">
      <w:pPr>
        <w:pStyle w:val="Default"/>
        <w:jc w:val="both"/>
        <w:rPr>
          <w:sz w:val="23"/>
          <w:szCs w:val="23"/>
        </w:rPr>
      </w:pPr>
    </w:p>
    <w:p w:rsidR="00C21D9D" w:rsidRDefault="00C21D9D" w:rsidP="00C21D9D">
      <w:pPr>
        <w:pStyle w:val="Default"/>
        <w:jc w:val="both"/>
        <w:rPr>
          <w:sz w:val="23"/>
          <w:szCs w:val="23"/>
        </w:rPr>
      </w:pPr>
      <w:r>
        <w:rPr>
          <w:sz w:val="23"/>
          <w:szCs w:val="23"/>
        </w:rPr>
        <w:t>Besedilo uredbe o izboljšanju poravnave vrednostnih papirjev v EU in o centralnih depozitarjih vrednostnih papirjev (CSDR), ki jo je Evropski parlament sprejel 15. aprila, med drugim vključuje poenotenje obdobja poravnave poslov s prenosljivimi vrednostnimi papirji, ki se sklenejo preko mesta trgovanja v Evropi, in sicer je kot datum poravnave določen najkasneje drugi delovni dan po sklenitvi posla (T+2). Večina mest trgovanja je potrdila, da bo obdobje poravnave T+2 uveljavila s 6. oktobrom 2014.</w:t>
      </w:r>
    </w:p>
    <w:p w:rsidR="00C21D9D" w:rsidRDefault="00C21D9D" w:rsidP="00C21D9D">
      <w:pPr>
        <w:pStyle w:val="Default"/>
        <w:jc w:val="both"/>
        <w:rPr>
          <w:sz w:val="23"/>
          <w:szCs w:val="23"/>
        </w:rPr>
      </w:pPr>
      <w:r>
        <w:rPr>
          <w:sz w:val="23"/>
          <w:szCs w:val="23"/>
        </w:rPr>
        <w:t xml:space="preserve"> </w:t>
      </w:r>
    </w:p>
    <w:p w:rsidR="00C21D9D" w:rsidRDefault="00C21D9D" w:rsidP="00C21D9D">
      <w:pPr>
        <w:pStyle w:val="Default"/>
        <w:jc w:val="both"/>
        <w:rPr>
          <w:sz w:val="23"/>
          <w:szCs w:val="23"/>
        </w:rPr>
      </w:pPr>
      <w:r>
        <w:rPr>
          <w:sz w:val="23"/>
          <w:szCs w:val="23"/>
        </w:rPr>
        <w:t>V povezavi s CSDR in odločitvami mest trgovanja so se zakladnice vseh 28 držav članic EU, kot tudi EK, ESM in EFSF dogovorile, da podprejo usklajeno uvedbo T+2 kot standardnega obdobja poravnave</w:t>
      </w:r>
      <w:r>
        <w:rPr>
          <w:rStyle w:val="FootnoteReference"/>
          <w:sz w:val="23"/>
          <w:szCs w:val="23"/>
        </w:rPr>
        <w:footnoteReference w:id="1"/>
      </w:r>
      <w:r>
        <w:rPr>
          <w:sz w:val="16"/>
          <w:szCs w:val="16"/>
        </w:rPr>
        <w:t xml:space="preserve"> </w:t>
      </w:r>
      <w:r>
        <w:rPr>
          <w:sz w:val="23"/>
          <w:szCs w:val="23"/>
        </w:rPr>
        <w:t xml:space="preserve">za posle z državnimi vrednostnimi papirji na OTC sekundarnem trgu s 6. oktobrom 2014. </w:t>
      </w:r>
    </w:p>
    <w:p w:rsidR="00C21D9D" w:rsidRDefault="00C21D9D" w:rsidP="00C21D9D">
      <w:pPr>
        <w:pStyle w:val="Default"/>
        <w:jc w:val="both"/>
        <w:rPr>
          <w:sz w:val="23"/>
          <w:szCs w:val="23"/>
        </w:rPr>
      </w:pPr>
    </w:p>
    <w:p w:rsidR="00C21D9D" w:rsidRDefault="00C21D9D" w:rsidP="00C21D9D">
      <w:pPr>
        <w:pStyle w:val="Default"/>
        <w:jc w:val="both"/>
        <w:rPr>
          <w:sz w:val="23"/>
          <w:szCs w:val="23"/>
        </w:rPr>
      </w:pPr>
      <w:r>
        <w:rPr>
          <w:sz w:val="23"/>
          <w:szCs w:val="23"/>
        </w:rPr>
        <w:t xml:space="preserve">Takšna okrepljena uskladitev vseh sekundarnih trgov bo dodatno zmanjšala operativne neučinkovitosti in tveganja za čezmejne transakcije. Enako kot sedaj, bodo stranke bilateralnih poslov za OTC transakcije lahko dogovorile tudi drugačen datum poravnave od standardnega T+2. </w:t>
      </w:r>
    </w:p>
    <w:p w:rsidR="00C21D9D" w:rsidRDefault="00C21D9D" w:rsidP="00C21D9D">
      <w:pPr>
        <w:pStyle w:val="Default"/>
        <w:jc w:val="both"/>
        <w:rPr>
          <w:sz w:val="23"/>
          <w:szCs w:val="23"/>
        </w:rPr>
      </w:pPr>
    </w:p>
    <w:p w:rsidR="00C21D9D" w:rsidRDefault="00C21D9D" w:rsidP="00C21D9D">
      <w:pPr>
        <w:pStyle w:val="Default"/>
        <w:jc w:val="both"/>
        <w:rPr>
          <w:sz w:val="23"/>
          <w:szCs w:val="23"/>
        </w:rPr>
      </w:pPr>
      <w:r>
        <w:rPr>
          <w:sz w:val="23"/>
          <w:szCs w:val="23"/>
        </w:rPr>
        <w:t xml:space="preserve">Tudi na primarnem trgu želijo države članice, kot tudi EK, ESM in EFSF, poenotiti poravnalno obdobje izdaj dolžniških državnih vrednostnih papirjev v </w:t>
      </w:r>
      <w:proofErr w:type="spellStart"/>
      <w:r>
        <w:rPr>
          <w:sz w:val="23"/>
          <w:szCs w:val="23"/>
        </w:rPr>
        <w:t>avkcijskem</w:t>
      </w:r>
      <w:proofErr w:type="spellEnd"/>
      <w:r>
        <w:rPr>
          <w:sz w:val="23"/>
          <w:szCs w:val="23"/>
        </w:rPr>
        <w:t xml:space="preserve"> načinu na največ T+2, kjer je to mogoče. V ta namen bodo vse države članice na svojih spletnih straneh objavile, kdaj bodo to uskladitev izvedle. Ta informacija bo objavljena tudi na spletni strani pod-odbora EFC za trge državnega dolga EU (»EFC </w:t>
      </w:r>
      <w:proofErr w:type="spellStart"/>
      <w:r>
        <w:rPr>
          <w:sz w:val="23"/>
          <w:szCs w:val="23"/>
        </w:rPr>
        <w:t>Sub</w:t>
      </w:r>
      <w:proofErr w:type="spellEnd"/>
      <w:r>
        <w:rPr>
          <w:sz w:val="23"/>
          <w:szCs w:val="23"/>
        </w:rPr>
        <w:t>-</w:t>
      </w:r>
      <w:proofErr w:type="spellStart"/>
      <w:r>
        <w:rPr>
          <w:sz w:val="23"/>
          <w:szCs w:val="23"/>
        </w:rPr>
        <w:t>Committee</w:t>
      </w:r>
      <w:proofErr w:type="spellEnd"/>
      <w:r>
        <w:rPr>
          <w:sz w:val="23"/>
          <w:szCs w:val="23"/>
        </w:rPr>
        <w:t xml:space="preserve"> on EU </w:t>
      </w:r>
      <w:proofErr w:type="spellStart"/>
      <w:r>
        <w:rPr>
          <w:sz w:val="23"/>
          <w:szCs w:val="23"/>
        </w:rPr>
        <w:t>Sovereign</w:t>
      </w:r>
      <w:proofErr w:type="spellEnd"/>
      <w:r>
        <w:rPr>
          <w:sz w:val="23"/>
          <w:szCs w:val="23"/>
        </w:rPr>
        <w:t xml:space="preserve"> </w:t>
      </w:r>
      <w:proofErr w:type="spellStart"/>
      <w:r>
        <w:rPr>
          <w:sz w:val="23"/>
          <w:szCs w:val="23"/>
        </w:rPr>
        <w:t>Debt</w:t>
      </w:r>
      <w:proofErr w:type="spellEnd"/>
      <w:r>
        <w:rPr>
          <w:sz w:val="23"/>
          <w:szCs w:val="23"/>
        </w:rPr>
        <w:t xml:space="preserve"> </w:t>
      </w:r>
      <w:proofErr w:type="spellStart"/>
      <w:r>
        <w:rPr>
          <w:sz w:val="23"/>
          <w:szCs w:val="23"/>
        </w:rPr>
        <w:t>Markets</w:t>
      </w:r>
      <w:proofErr w:type="spellEnd"/>
      <w:r>
        <w:rPr>
          <w:sz w:val="23"/>
          <w:szCs w:val="23"/>
        </w:rPr>
        <w:t xml:space="preserve">«). Za izdaje dolžniških vrednostnih papirjev Republike Slovenije v </w:t>
      </w:r>
      <w:proofErr w:type="spellStart"/>
      <w:r>
        <w:rPr>
          <w:sz w:val="23"/>
          <w:szCs w:val="23"/>
        </w:rPr>
        <w:t>avkcijskem</w:t>
      </w:r>
      <w:proofErr w:type="spellEnd"/>
      <w:r>
        <w:rPr>
          <w:sz w:val="23"/>
          <w:szCs w:val="23"/>
        </w:rPr>
        <w:t xml:space="preserve"> načinu že sedaj velja obdobje poravnave T+2.</w:t>
      </w:r>
    </w:p>
    <w:p w:rsidR="0047266C" w:rsidRPr="00C21D9D" w:rsidRDefault="00C21D9D" w:rsidP="00C21D9D">
      <w:pPr>
        <w:pStyle w:val="Default"/>
        <w:jc w:val="right"/>
        <w:rPr>
          <w:sz w:val="23"/>
          <w:szCs w:val="23"/>
        </w:rPr>
      </w:pPr>
      <w:bookmarkStart w:id="0" w:name="_GoBack"/>
      <w:bookmarkEnd w:id="0"/>
      <w:r>
        <w:rPr>
          <w:sz w:val="23"/>
          <w:szCs w:val="23"/>
        </w:rPr>
        <w:t>Ljubljana, 15.5.</w:t>
      </w:r>
      <w:r w:rsidRPr="00C21D9D">
        <w:rPr>
          <w:sz w:val="23"/>
          <w:szCs w:val="23"/>
        </w:rPr>
        <w:t>2014</w:t>
      </w:r>
    </w:p>
    <w:sectPr w:rsidR="0047266C" w:rsidRPr="00C21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07" w:rsidRDefault="00D21C07" w:rsidP="00C21D9D">
      <w:pPr>
        <w:spacing w:after="0" w:line="240" w:lineRule="auto"/>
      </w:pPr>
      <w:r>
        <w:separator/>
      </w:r>
    </w:p>
  </w:endnote>
  <w:endnote w:type="continuationSeparator" w:id="0">
    <w:p w:rsidR="00D21C07" w:rsidRDefault="00D21C07" w:rsidP="00C2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07" w:rsidRDefault="00D21C07" w:rsidP="00C21D9D">
      <w:pPr>
        <w:spacing w:after="0" w:line="240" w:lineRule="auto"/>
      </w:pPr>
      <w:r>
        <w:separator/>
      </w:r>
    </w:p>
  </w:footnote>
  <w:footnote w:type="continuationSeparator" w:id="0">
    <w:p w:rsidR="00D21C07" w:rsidRDefault="00D21C07" w:rsidP="00C21D9D">
      <w:pPr>
        <w:spacing w:after="0" w:line="240" w:lineRule="auto"/>
      </w:pPr>
      <w:r>
        <w:continuationSeparator/>
      </w:r>
    </w:p>
  </w:footnote>
  <w:footnote w:id="1">
    <w:p w:rsidR="00C21D9D" w:rsidRDefault="00C21D9D">
      <w:pPr>
        <w:pStyle w:val="FootnoteText"/>
      </w:pPr>
      <w:r>
        <w:rPr>
          <w:rStyle w:val="FootnoteReference"/>
        </w:rPr>
        <w:footnoteRef/>
      </w:r>
      <w:r>
        <w:t xml:space="preserve"> </w:t>
      </w:r>
      <w:r w:rsidRPr="00C21D9D">
        <w:t>Navedeno ne vpliva na države članice, ki že imajo standardno poravnalno obdobje krajše kot T+2, npr. Nemčija ter Združeno kraljestvo.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E38B3"/>
    <w:multiLevelType w:val="hybridMultilevel"/>
    <w:tmpl w:val="D646FDFE"/>
    <w:lvl w:ilvl="0" w:tplc="89E4814E">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9D"/>
    <w:rsid w:val="0047266C"/>
    <w:rsid w:val="00BF4D7B"/>
    <w:rsid w:val="00C21D9D"/>
    <w:rsid w:val="00C760B5"/>
    <w:rsid w:val="00D21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F4D7B"/>
    <w:pPr>
      <w:keepNext/>
      <w:keepLines/>
      <w:suppressAutoHyphens/>
      <w:spacing w:before="480" w:after="0" w:line="240" w:lineRule="auto"/>
      <w:ind w:left="720" w:hanging="360"/>
      <w:outlineLvl w:val="0"/>
    </w:pPr>
    <w:rPr>
      <w:rFonts w:ascii="Times New Roman" w:eastAsiaTheme="majorEastAsia" w:hAnsi="Times New Roman" w:cstheme="majorBidi"/>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7B"/>
    <w:rPr>
      <w:rFonts w:ascii="Times New Roman" w:eastAsiaTheme="majorEastAsia" w:hAnsi="Times New Roman" w:cstheme="majorBidi"/>
      <w:b/>
      <w:bCs/>
      <w:sz w:val="28"/>
      <w:szCs w:val="28"/>
      <w:lang w:eastAsia="ar-SA"/>
    </w:rPr>
  </w:style>
  <w:style w:type="paragraph" w:customStyle="1" w:styleId="Default">
    <w:name w:val="Default"/>
    <w:rsid w:val="00C21D9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21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D9D"/>
    <w:rPr>
      <w:sz w:val="20"/>
      <w:szCs w:val="20"/>
    </w:rPr>
  </w:style>
  <w:style w:type="character" w:styleId="FootnoteReference">
    <w:name w:val="footnote reference"/>
    <w:basedOn w:val="DefaultParagraphFont"/>
    <w:uiPriority w:val="99"/>
    <w:semiHidden/>
    <w:unhideWhenUsed/>
    <w:rsid w:val="00C21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F4D7B"/>
    <w:pPr>
      <w:keepNext/>
      <w:keepLines/>
      <w:suppressAutoHyphens/>
      <w:spacing w:before="480" w:after="0" w:line="240" w:lineRule="auto"/>
      <w:ind w:left="720" w:hanging="360"/>
      <w:outlineLvl w:val="0"/>
    </w:pPr>
    <w:rPr>
      <w:rFonts w:ascii="Times New Roman" w:eastAsiaTheme="majorEastAsia" w:hAnsi="Times New Roman" w:cstheme="majorBidi"/>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7B"/>
    <w:rPr>
      <w:rFonts w:ascii="Times New Roman" w:eastAsiaTheme="majorEastAsia" w:hAnsi="Times New Roman" w:cstheme="majorBidi"/>
      <w:b/>
      <w:bCs/>
      <w:sz w:val="28"/>
      <w:szCs w:val="28"/>
      <w:lang w:eastAsia="ar-SA"/>
    </w:rPr>
  </w:style>
  <w:style w:type="paragraph" w:customStyle="1" w:styleId="Default">
    <w:name w:val="Default"/>
    <w:rsid w:val="00C21D9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21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D9D"/>
    <w:rPr>
      <w:sz w:val="20"/>
      <w:szCs w:val="20"/>
    </w:rPr>
  </w:style>
  <w:style w:type="character" w:styleId="FootnoteReference">
    <w:name w:val="footnote reference"/>
    <w:basedOn w:val="DefaultParagraphFont"/>
    <w:uiPriority w:val="99"/>
    <w:semiHidden/>
    <w:unhideWhenUsed/>
    <w:rsid w:val="00C21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C6863-4807-42BD-89DD-7AC9483D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2020-09-09T13:06:00Z</dcterms:created>
  <dcterms:modified xsi:type="dcterms:W3CDTF">2020-09-09T13:11:00Z</dcterms:modified>
</cp:coreProperties>
</file>