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F3B8" w14:textId="77777777" w:rsidR="004F6C94" w:rsidRPr="0025613F" w:rsidRDefault="004F6C94" w:rsidP="001E47FB">
      <w:pPr>
        <w:spacing w:line="260" w:lineRule="exact"/>
        <w:rPr>
          <w:rFonts w:ascii="Arial" w:hAnsi="Arial" w:cs="Arial"/>
          <w:b/>
          <w:i/>
          <w:sz w:val="20"/>
          <w:szCs w:val="20"/>
        </w:rPr>
      </w:pPr>
    </w:p>
    <w:p w14:paraId="334EDEE2" w14:textId="77777777" w:rsidR="005A1B6C" w:rsidRPr="005A1B6C" w:rsidRDefault="005A1B6C" w:rsidP="005A1B6C">
      <w:pPr>
        <w:spacing w:line="260" w:lineRule="exact"/>
        <w:jc w:val="both"/>
        <w:rPr>
          <w:rFonts w:ascii="Arial" w:hAnsi="Arial" w:cs="Arial"/>
          <w:sz w:val="20"/>
          <w:szCs w:val="20"/>
        </w:rPr>
      </w:pPr>
    </w:p>
    <w:p w14:paraId="73C95373" w14:textId="796BF94E" w:rsidR="005A1B6C" w:rsidRPr="005A1B6C" w:rsidRDefault="005A1B6C" w:rsidP="005A1B6C">
      <w:pPr>
        <w:spacing w:line="260" w:lineRule="exact"/>
        <w:jc w:val="both"/>
        <w:rPr>
          <w:rFonts w:ascii="Arial" w:hAnsi="Arial" w:cs="Arial"/>
          <w:sz w:val="20"/>
          <w:szCs w:val="20"/>
        </w:rPr>
      </w:pPr>
      <w:r w:rsidRPr="005A1B6C">
        <w:rPr>
          <w:rFonts w:ascii="Arial" w:hAnsi="Arial" w:cs="Arial"/>
          <w:sz w:val="20"/>
          <w:szCs w:val="20"/>
        </w:rPr>
        <w:t xml:space="preserve">Številka: </w:t>
      </w:r>
      <w:r w:rsidRPr="005A1B6C">
        <w:rPr>
          <w:rFonts w:ascii="Arial" w:hAnsi="Arial" w:cs="Arial"/>
          <w:sz w:val="20"/>
          <w:szCs w:val="20"/>
        </w:rPr>
        <w:tab/>
        <w:t xml:space="preserve">41003-21/2022/4 </w:t>
      </w:r>
      <w:r>
        <w:rPr>
          <w:rFonts w:ascii="Arial" w:hAnsi="Arial" w:cs="Arial"/>
          <w:sz w:val="20"/>
          <w:szCs w:val="20"/>
        </w:rPr>
        <w:t xml:space="preserve">in </w:t>
      </w:r>
      <w:r w:rsidR="00273C0A" w:rsidRPr="00485798">
        <w:rPr>
          <w:rFonts w:ascii="Arial" w:hAnsi="Arial" w:cs="Arial"/>
          <w:sz w:val="20"/>
          <w:szCs w:val="20"/>
        </w:rPr>
        <w:t>41003-21/2022/</w:t>
      </w:r>
      <w:r w:rsidR="003E3DF9">
        <w:rPr>
          <w:rFonts w:ascii="Arial" w:hAnsi="Arial" w:cs="Arial"/>
          <w:sz w:val="20"/>
          <w:szCs w:val="20"/>
        </w:rPr>
        <w:t>7</w:t>
      </w:r>
    </w:p>
    <w:p w14:paraId="4D9D292C" w14:textId="77777777" w:rsidR="005A1B6C" w:rsidRPr="005A1B6C" w:rsidRDefault="005A1B6C" w:rsidP="005A1B6C">
      <w:pPr>
        <w:spacing w:line="260" w:lineRule="exact"/>
        <w:jc w:val="both"/>
        <w:rPr>
          <w:rFonts w:ascii="Arial" w:hAnsi="Arial" w:cs="Arial"/>
          <w:sz w:val="20"/>
          <w:szCs w:val="20"/>
        </w:rPr>
      </w:pPr>
    </w:p>
    <w:p w14:paraId="3340D197" w14:textId="6E6DCC8E" w:rsidR="003E3DF9" w:rsidRDefault="005A1B6C" w:rsidP="005A1B6C">
      <w:pPr>
        <w:spacing w:line="260" w:lineRule="exact"/>
        <w:jc w:val="both"/>
        <w:rPr>
          <w:rFonts w:ascii="Arial" w:hAnsi="Arial" w:cs="Arial"/>
          <w:sz w:val="20"/>
          <w:szCs w:val="20"/>
        </w:rPr>
      </w:pPr>
      <w:r w:rsidRPr="005A1B6C">
        <w:rPr>
          <w:rFonts w:ascii="Arial" w:hAnsi="Arial" w:cs="Arial"/>
          <w:sz w:val="20"/>
          <w:szCs w:val="20"/>
        </w:rPr>
        <w:t>Datum</w:t>
      </w:r>
      <w:r>
        <w:rPr>
          <w:rFonts w:ascii="Arial" w:hAnsi="Arial" w:cs="Arial"/>
          <w:sz w:val="20"/>
          <w:szCs w:val="20"/>
        </w:rPr>
        <w:t>:</w:t>
      </w:r>
      <w:r>
        <w:rPr>
          <w:rFonts w:ascii="Arial" w:hAnsi="Arial" w:cs="Arial"/>
          <w:sz w:val="20"/>
          <w:szCs w:val="20"/>
        </w:rPr>
        <w:tab/>
      </w:r>
      <w:r>
        <w:rPr>
          <w:rFonts w:ascii="Arial" w:hAnsi="Arial" w:cs="Arial"/>
          <w:sz w:val="20"/>
          <w:szCs w:val="20"/>
        </w:rPr>
        <w:tab/>
      </w:r>
      <w:r w:rsidRPr="005A1B6C">
        <w:rPr>
          <w:rFonts w:ascii="Arial" w:hAnsi="Arial" w:cs="Arial"/>
          <w:sz w:val="20"/>
          <w:szCs w:val="20"/>
        </w:rPr>
        <w:t xml:space="preserve">22. 12. 2022 </w:t>
      </w:r>
      <w:r>
        <w:rPr>
          <w:rFonts w:ascii="Arial" w:hAnsi="Arial" w:cs="Arial"/>
          <w:sz w:val="20"/>
          <w:szCs w:val="20"/>
        </w:rPr>
        <w:t xml:space="preserve">in </w:t>
      </w:r>
      <w:r w:rsidR="00273C0A">
        <w:rPr>
          <w:rFonts w:ascii="Arial" w:hAnsi="Arial" w:cs="Arial"/>
          <w:sz w:val="20"/>
          <w:szCs w:val="20"/>
        </w:rPr>
        <w:t>13.7.2023</w:t>
      </w:r>
    </w:p>
    <w:p w14:paraId="5645477D" w14:textId="77777777" w:rsidR="003E3DF9" w:rsidRPr="005A1B6C" w:rsidRDefault="003E3DF9" w:rsidP="005A1B6C">
      <w:pPr>
        <w:spacing w:line="260" w:lineRule="exact"/>
        <w:jc w:val="both"/>
        <w:rPr>
          <w:rFonts w:ascii="Arial" w:hAnsi="Arial" w:cs="Arial"/>
          <w:sz w:val="20"/>
          <w:szCs w:val="20"/>
        </w:rPr>
      </w:pPr>
    </w:p>
    <w:p w14:paraId="4F2CC9EA" w14:textId="1C09C1BF" w:rsidR="005A1B6C" w:rsidRDefault="005A1B6C" w:rsidP="00C47769">
      <w:pPr>
        <w:spacing w:line="260" w:lineRule="exact"/>
        <w:rPr>
          <w:rFonts w:ascii="Arial" w:hAnsi="Arial" w:cs="Arial"/>
          <w:b/>
          <w:sz w:val="22"/>
          <w:szCs w:val="20"/>
        </w:rPr>
      </w:pPr>
      <w:r w:rsidRPr="0025613F">
        <w:rPr>
          <w:rFonts w:ascii="Arial" w:hAnsi="Arial" w:cs="Arial"/>
          <w:b/>
          <w:sz w:val="22"/>
          <w:szCs w:val="20"/>
        </w:rPr>
        <w:t>PROGRAM FINANCIRANJA PRORAČUNA REPUBLIKE SLOVENIJE ZA LETO 202</w:t>
      </w:r>
      <w:r>
        <w:rPr>
          <w:rFonts w:ascii="Arial" w:hAnsi="Arial" w:cs="Arial"/>
          <w:b/>
          <w:sz w:val="22"/>
          <w:szCs w:val="20"/>
        </w:rPr>
        <w:t>3</w:t>
      </w:r>
    </w:p>
    <w:p w14:paraId="5F303503" w14:textId="77777777" w:rsidR="00AE5A14" w:rsidRPr="00D40767" w:rsidRDefault="00AE5A14" w:rsidP="00AE5A14">
      <w:pPr>
        <w:pStyle w:val="Odstavekseznama"/>
        <w:numPr>
          <w:ilvl w:val="0"/>
          <w:numId w:val="48"/>
        </w:numPr>
        <w:spacing w:line="260" w:lineRule="exact"/>
        <w:jc w:val="center"/>
        <w:rPr>
          <w:rFonts w:ascii="Arial" w:hAnsi="Arial" w:cs="Arial"/>
          <w:b/>
          <w:sz w:val="22"/>
          <w:szCs w:val="20"/>
        </w:rPr>
      </w:pPr>
      <w:r>
        <w:rPr>
          <w:rFonts w:ascii="Arial" w:hAnsi="Arial" w:cs="Arial"/>
          <w:b/>
          <w:sz w:val="22"/>
          <w:szCs w:val="20"/>
        </w:rPr>
        <w:t>sprememba, konsolidirano besedilo</w:t>
      </w:r>
    </w:p>
    <w:p w14:paraId="044AFB9D" w14:textId="0C564DDB" w:rsidR="005A1B6C" w:rsidRPr="0025613F" w:rsidRDefault="005A1B6C" w:rsidP="00C47769">
      <w:pPr>
        <w:pStyle w:val="Naslov1"/>
      </w:pPr>
      <w:r w:rsidRPr="0025613F">
        <w:t xml:space="preserve">PRAVNA PODLAGA TER STRATEŠKI IN OPERATIVNI CILJI FINANCIRANJA DRŽAVNEGA PRORAČUNA </w:t>
      </w:r>
    </w:p>
    <w:p w14:paraId="4BA37533" w14:textId="63D1ACE8" w:rsidR="005A1B6C" w:rsidRDefault="005A1B6C" w:rsidP="006B06B3">
      <w:pPr>
        <w:pStyle w:val="Naslov2"/>
      </w:pPr>
      <w:r w:rsidRPr="0025613F">
        <w:t>PRAVNA PODLAGA</w:t>
      </w:r>
    </w:p>
    <w:p w14:paraId="58D40416"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V skladu s 84. členom </w:t>
      </w:r>
      <w:r w:rsidRPr="0025613F">
        <w:rPr>
          <w:rFonts w:ascii="Arial" w:hAnsi="Arial" w:cs="Arial"/>
          <w:bCs/>
          <w:sz w:val="20"/>
          <w:szCs w:val="20"/>
        </w:rPr>
        <w:t xml:space="preserve">Zakona o javnih </w:t>
      </w:r>
      <w:r w:rsidRPr="0025613F">
        <w:rPr>
          <w:rFonts w:ascii="Arial" w:hAnsi="Arial" w:cs="Arial"/>
          <w:sz w:val="20"/>
          <w:szCs w:val="20"/>
        </w:rPr>
        <w:t xml:space="preserve">financah (Uradni list RS, št. 11/11 – uradno prečiščeno besedilo, 14/13 – popr., 101/13, 55/15 – ZFisP, 96/15 – ZIPRS1617, 13/18 </w:t>
      </w:r>
      <w:r w:rsidRPr="00773899">
        <w:rPr>
          <w:rFonts w:ascii="Arial" w:hAnsi="Arial" w:cs="Arial"/>
          <w:sz w:val="20"/>
          <w:szCs w:val="20"/>
        </w:rPr>
        <w:t>in </w:t>
      </w:r>
      <w:hyperlink r:id="rId9"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773899">
          <w:rPr>
            <w:rFonts w:ascii="Arial" w:hAnsi="Arial" w:cs="Arial"/>
            <w:sz w:val="20"/>
            <w:szCs w:val="20"/>
          </w:rPr>
          <w:t>195/20</w:t>
        </w:r>
      </w:hyperlink>
      <w:r w:rsidRPr="00773899">
        <w:rPr>
          <w:rFonts w:ascii="Arial" w:hAnsi="Arial" w:cs="Arial"/>
          <w:sz w:val="20"/>
          <w:szCs w:val="20"/>
        </w:rPr>
        <w:t> – odl. US</w:t>
      </w:r>
      <w:r w:rsidRPr="0025613F">
        <w:rPr>
          <w:rFonts w:ascii="Arial" w:hAnsi="Arial" w:cs="Arial"/>
          <w:sz w:val="20"/>
          <w:szCs w:val="20"/>
        </w:rPr>
        <w:t xml:space="preserve">; v nadaljnjem besedilu: ZJF) se zadolževanje za financiranje izvrševanja državnega proračuna in za upravljanje z državnim dolgom v posameznem proračunskem letu izvaja na podlagi programa financiranja, ki ga sprejme Vlada Republike Slovenije (v nadaljnjem besedilu: vlada). </w:t>
      </w:r>
    </w:p>
    <w:p w14:paraId="58ADA2AC" w14:textId="77777777" w:rsidR="005A1B6C" w:rsidRPr="0025613F" w:rsidRDefault="005A1B6C" w:rsidP="006B06B3">
      <w:pPr>
        <w:pStyle w:val="Naslov2"/>
      </w:pPr>
      <w:bookmarkStart w:id="0" w:name="_Ref373929421"/>
      <w:r w:rsidRPr="0025613F">
        <w:t>STRATEŠKI IN OPERATIVNI CILJI</w:t>
      </w:r>
      <w:bookmarkEnd w:id="0"/>
    </w:p>
    <w:p w14:paraId="184682CB"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Strateški cilji, na katerih temelji program financiranja, so naslednji:</w:t>
      </w:r>
    </w:p>
    <w:p w14:paraId="64146535" w14:textId="77777777" w:rsidR="005A1B6C" w:rsidRPr="0025613F" w:rsidRDefault="005A1B6C" w:rsidP="005A1B6C">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zagotovitev pravočasnega financiranja izvrševanja državnega proračuna v potrebnem obsegu,</w:t>
      </w:r>
    </w:p>
    <w:p w14:paraId="7D7B9CAF" w14:textId="77777777" w:rsidR="005A1B6C" w:rsidRPr="0025613F" w:rsidRDefault="005A1B6C" w:rsidP="005A1B6C">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minimiziranje dolgoročnega stroška financiranja s sprejemljivim tveganjem refinanciranja ter sprejemljivim valutnim, obrestnim in drugimi tržnimi tveganji,</w:t>
      </w:r>
    </w:p>
    <w:p w14:paraId="0A36DE23" w14:textId="77777777" w:rsidR="005A1B6C" w:rsidRPr="0025613F" w:rsidRDefault="005A1B6C" w:rsidP="005A1B6C">
      <w:pPr>
        <w:pStyle w:val="Odstavekseznama"/>
        <w:numPr>
          <w:ilvl w:val="0"/>
          <w:numId w:val="36"/>
        </w:numPr>
        <w:suppressAutoHyphens w:val="0"/>
        <w:spacing w:line="260" w:lineRule="exact"/>
        <w:jc w:val="both"/>
        <w:rPr>
          <w:rFonts w:ascii="Arial" w:hAnsi="Arial" w:cs="Arial"/>
          <w:sz w:val="20"/>
          <w:szCs w:val="20"/>
        </w:rPr>
      </w:pPr>
      <w:r w:rsidRPr="0025613F">
        <w:rPr>
          <w:rFonts w:ascii="Arial" w:hAnsi="Arial" w:cs="Arial"/>
          <w:sz w:val="20"/>
          <w:szCs w:val="20"/>
        </w:rPr>
        <w:t>izvedba transakcij z uporabo tržnih metod,</w:t>
      </w:r>
    </w:p>
    <w:p w14:paraId="75F4A23A" w14:textId="77777777" w:rsidR="005A1B6C" w:rsidRPr="0025613F" w:rsidRDefault="005A1B6C" w:rsidP="005A1B6C">
      <w:pPr>
        <w:pStyle w:val="Odstavekseznama"/>
        <w:numPr>
          <w:ilvl w:val="0"/>
          <w:numId w:val="36"/>
        </w:numPr>
        <w:tabs>
          <w:tab w:val="num" w:pos="709"/>
        </w:tabs>
        <w:spacing w:line="260" w:lineRule="exact"/>
        <w:jc w:val="both"/>
        <w:rPr>
          <w:rFonts w:ascii="Arial" w:hAnsi="Arial" w:cs="Arial"/>
          <w:sz w:val="20"/>
          <w:szCs w:val="20"/>
        </w:rPr>
      </w:pPr>
      <w:r w:rsidRPr="0025613F">
        <w:rPr>
          <w:rFonts w:ascii="Arial" w:hAnsi="Arial" w:cs="Arial"/>
          <w:sz w:val="20"/>
          <w:szCs w:val="20"/>
        </w:rPr>
        <w:t>širitev investicijskega zaledja ter zagotovitev stalnega in zanesljivega dostopa do virov financiranja ter</w:t>
      </w:r>
    </w:p>
    <w:p w14:paraId="45009025" w14:textId="77777777" w:rsidR="005A1B6C" w:rsidRPr="0025613F" w:rsidRDefault="005A1B6C" w:rsidP="005A1B6C">
      <w:pPr>
        <w:pStyle w:val="Odstavekseznama"/>
        <w:numPr>
          <w:ilvl w:val="0"/>
          <w:numId w:val="36"/>
        </w:numPr>
        <w:tabs>
          <w:tab w:val="num" w:pos="709"/>
        </w:tabs>
        <w:spacing w:line="260" w:lineRule="exact"/>
        <w:jc w:val="both"/>
        <w:rPr>
          <w:rFonts w:ascii="Arial" w:hAnsi="Arial" w:cs="Arial"/>
          <w:sz w:val="20"/>
          <w:szCs w:val="20"/>
        </w:rPr>
      </w:pPr>
      <w:r w:rsidRPr="0025613F">
        <w:rPr>
          <w:rFonts w:ascii="Arial" w:hAnsi="Arial" w:cs="Arial"/>
          <w:sz w:val="20"/>
          <w:szCs w:val="20"/>
        </w:rPr>
        <w:t xml:space="preserve">povečanje likvidnosti državnih vrednostnih papirjev in razvoj sekundarnega trga državnih vrednostnih papirjev. </w:t>
      </w:r>
    </w:p>
    <w:p w14:paraId="41A6A5B2" w14:textId="77777777" w:rsidR="005A1B6C" w:rsidRPr="0025613F" w:rsidRDefault="005A1B6C" w:rsidP="005A1B6C">
      <w:pPr>
        <w:suppressAutoHyphens w:val="0"/>
        <w:spacing w:line="260" w:lineRule="exact"/>
        <w:ind w:left="360"/>
        <w:jc w:val="both"/>
        <w:rPr>
          <w:rFonts w:ascii="Arial" w:hAnsi="Arial" w:cs="Arial"/>
          <w:sz w:val="20"/>
          <w:szCs w:val="20"/>
        </w:rPr>
      </w:pPr>
    </w:p>
    <w:p w14:paraId="312F77BB"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V skladu s 84. členom ZJF je program financiranja temeljni operativni dokument za izvajanje financiranja izvrševanja državnega proračuna in transakcij upravljanja z državnim dolgom. Določa okvirno strukturo instrumentov financiranja državnega proračuna in upravljanja z državnim dolgom ob upoštevanju optimizacije valutne, rokovne in obrestne strukture državnega dolga in obvladovanja tveganj portfelja državnega dolga.</w:t>
      </w:r>
    </w:p>
    <w:p w14:paraId="05110127" w14:textId="77777777" w:rsidR="005A1B6C" w:rsidRPr="0025613F" w:rsidRDefault="005A1B6C" w:rsidP="005A1B6C">
      <w:pPr>
        <w:spacing w:line="260" w:lineRule="exact"/>
        <w:jc w:val="both"/>
        <w:rPr>
          <w:rFonts w:ascii="Arial" w:hAnsi="Arial" w:cs="Arial"/>
          <w:sz w:val="20"/>
          <w:szCs w:val="20"/>
        </w:rPr>
      </w:pPr>
    </w:p>
    <w:p w14:paraId="7865DBD4"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Program financiranja za leto 202</w:t>
      </w:r>
      <w:r>
        <w:rPr>
          <w:rFonts w:ascii="Arial" w:hAnsi="Arial" w:cs="Arial"/>
          <w:sz w:val="20"/>
          <w:szCs w:val="20"/>
        </w:rPr>
        <w:t>3</w:t>
      </w:r>
      <w:r w:rsidRPr="0025613F">
        <w:rPr>
          <w:rFonts w:ascii="Arial" w:hAnsi="Arial" w:cs="Arial"/>
          <w:sz w:val="20"/>
          <w:szCs w:val="20"/>
        </w:rPr>
        <w:t xml:space="preserve"> je pripravljen v skladu z 81. členom ZJF, ki poleg zadolževanja za financiranje izvrševanja državnega proračuna tekočega leta dovoljuje tudi dodatno zadolževanje za namene predfinanciranja, katerega dovoljeni obseg določa višina odplačil glavnic državnega dolga naslednjih dveh proračunskih let. </w:t>
      </w:r>
    </w:p>
    <w:p w14:paraId="76AF49BA" w14:textId="77777777" w:rsidR="005A1B6C" w:rsidRPr="0025613F" w:rsidRDefault="005A1B6C" w:rsidP="005A1B6C">
      <w:pPr>
        <w:spacing w:line="260" w:lineRule="exact"/>
        <w:jc w:val="both"/>
        <w:rPr>
          <w:rFonts w:ascii="Arial" w:hAnsi="Arial" w:cs="Arial"/>
          <w:sz w:val="20"/>
          <w:szCs w:val="20"/>
        </w:rPr>
      </w:pPr>
    </w:p>
    <w:p w14:paraId="3DAC4C32"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S predfinanciranjem se zmanjšuje tveganje refinanciranja</w:t>
      </w:r>
      <w:r w:rsidRPr="0025613F">
        <w:t xml:space="preserve"> </w:t>
      </w:r>
      <w:r w:rsidRPr="0025613F">
        <w:rPr>
          <w:rFonts w:ascii="Arial" w:hAnsi="Arial" w:cs="Arial"/>
          <w:sz w:val="20"/>
          <w:szCs w:val="20"/>
        </w:rPr>
        <w:t xml:space="preserve">dolga državnega proračuna, omogoča tržnim razmeram ustrezno uravnavanje dinamike financiranja in izboljšuje uravnavanje operativnih tveganj pri </w:t>
      </w:r>
      <w:r w:rsidRPr="0025613F">
        <w:rPr>
          <w:rFonts w:ascii="Arial" w:hAnsi="Arial" w:cs="Arial"/>
          <w:sz w:val="20"/>
          <w:szCs w:val="20"/>
        </w:rPr>
        <w:lastRenderedPageBreak/>
        <w:t>izvajanju programa financiranja državnega proračuna. Predfinanciranje omogoča tudi večjo prožnost pri izboru instrumentov financiranja. Omenjeno pripomore k učinkovitejši izvedbi financiranja, zlasti ker je pri izboru instrumentov financiranja potrebno upoštevati tudi cilj oblikovanja krivulje donosnosti državnih vrednostnih papirjev in doseganja minimalnega zneska sindicirane izdaje državnih obveznic v višini 1 mrd evrov. Možnost predčasnega financiranja zagotavlja ustreznejše odzivanje na tržne razmere, kar je še posebej pomembno v kriznih in negotovih obdobjih. Predfinanciranje je le sprememba časa zadolžitve in ne povečevanje zadolževanja nad višino zadolževanja, potrebno za financiranje proračuna v posameznem letu, saj se zadolžitev za potrebe proračuna tekočega leta zmanjša za v predhodnem letu izvršeno predfinanciranje (tj. vnaprej izvršeno zadolžitev).</w:t>
      </w:r>
    </w:p>
    <w:p w14:paraId="15F3FC19" w14:textId="77777777" w:rsidR="005A1B6C" w:rsidRPr="0025613F" w:rsidRDefault="005A1B6C" w:rsidP="005A1B6C">
      <w:pPr>
        <w:spacing w:line="260" w:lineRule="exact"/>
        <w:jc w:val="both"/>
        <w:rPr>
          <w:rFonts w:ascii="Arial" w:hAnsi="Arial" w:cs="Arial"/>
          <w:sz w:val="20"/>
          <w:szCs w:val="20"/>
        </w:rPr>
      </w:pPr>
    </w:p>
    <w:p w14:paraId="4C1B0E11" w14:textId="1E3EF9D2" w:rsidR="005A1B6C" w:rsidRDefault="005A1B6C" w:rsidP="005A1B6C">
      <w:pPr>
        <w:suppressAutoHyphens w:val="0"/>
        <w:spacing w:line="260" w:lineRule="exact"/>
        <w:jc w:val="both"/>
        <w:rPr>
          <w:rFonts w:ascii="Arial" w:hAnsi="Arial" w:cs="Arial"/>
          <w:sz w:val="20"/>
          <w:szCs w:val="20"/>
        </w:rPr>
      </w:pPr>
      <w:r w:rsidRPr="0025613F">
        <w:rPr>
          <w:rFonts w:ascii="Arial" w:hAnsi="Arial" w:cs="Arial"/>
          <w:sz w:val="20"/>
          <w:szCs w:val="20"/>
        </w:rPr>
        <w:t>Upoštevajoč strateške cilje, so operativni cilji v programu financiranja za leto 202</w:t>
      </w:r>
      <w:r>
        <w:rPr>
          <w:rFonts w:ascii="Arial" w:hAnsi="Arial" w:cs="Arial"/>
          <w:sz w:val="20"/>
          <w:szCs w:val="20"/>
        </w:rPr>
        <w:t>3</w:t>
      </w:r>
      <w:r w:rsidRPr="0025613F">
        <w:rPr>
          <w:rFonts w:ascii="Arial" w:hAnsi="Arial" w:cs="Arial"/>
          <w:sz w:val="20"/>
          <w:szCs w:val="20"/>
        </w:rPr>
        <w:t xml:space="preserve"> opredeljeni s predvideno vrsto in strukturo instrumentov financiranja in upravljanja z državnim dolgom ter okvirnimi usmeritvami glede načina izvedbe teh operacij.</w:t>
      </w:r>
    </w:p>
    <w:p w14:paraId="021D5F3D" w14:textId="77777777" w:rsidR="00963D33" w:rsidRPr="0025613F" w:rsidRDefault="00963D33" w:rsidP="005A1B6C">
      <w:pPr>
        <w:suppressAutoHyphens w:val="0"/>
        <w:spacing w:line="260" w:lineRule="exact"/>
        <w:jc w:val="both"/>
        <w:rPr>
          <w:rFonts w:ascii="Arial" w:hAnsi="Arial" w:cs="Arial"/>
          <w:sz w:val="20"/>
          <w:szCs w:val="20"/>
        </w:rPr>
      </w:pPr>
    </w:p>
    <w:p w14:paraId="15E7DBBC" w14:textId="643FBED3" w:rsidR="00963D33" w:rsidRDefault="005A1B6C" w:rsidP="00BE59B6">
      <w:pPr>
        <w:pStyle w:val="Naslov1"/>
      </w:pPr>
      <w:r w:rsidRPr="0025613F">
        <w:t>IZVRŠEVANJE FINANCIRANJA PRORAČUNA REPUBLIKE SLOVENIJE ZA LETO 202</w:t>
      </w:r>
      <w:r>
        <w:t>3</w:t>
      </w:r>
    </w:p>
    <w:p w14:paraId="7C888335" w14:textId="77777777" w:rsidR="00963D33" w:rsidRPr="00C47769" w:rsidRDefault="00963D33" w:rsidP="00C47769">
      <w:pPr>
        <w:rPr>
          <w:lang w:eastAsia="sl-SI"/>
        </w:rPr>
      </w:pPr>
    </w:p>
    <w:p w14:paraId="6AAB4E03" w14:textId="2920D6FC" w:rsidR="00963D33" w:rsidRPr="00963D33" w:rsidRDefault="00963D33" w:rsidP="00C47769">
      <w:pPr>
        <w:keepNext/>
        <w:keepLines/>
        <w:spacing w:line="360" w:lineRule="auto"/>
        <w:outlineLvl w:val="0"/>
        <w:rPr>
          <w:rFonts w:ascii="Arial" w:eastAsia="SimSun" w:hAnsi="Arial" w:cstheme="majorBidi"/>
          <w:b/>
          <w:bCs/>
          <w:vanish/>
          <w:sz w:val="22"/>
          <w:szCs w:val="26"/>
          <w:lang w:eastAsia="sl-SI"/>
        </w:rPr>
      </w:pPr>
      <w:r>
        <w:rPr>
          <w:rFonts w:ascii="Arial" w:eastAsiaTheme="majorEastAsia" w:hAnsi="Arial" w:cstheme="majorBidi"/>
          <w:b/>
          <w:bCs/>
          <w:sz w:val="22"/>
          <w:szCs w:val="28"/>
          <w:lang w:eastAsia="sl-SI"/>
        </w:rPr>
        <w:t>2</w:t>
      </w:r>
      <w:r w:rsidRPr="00963D33">
        <w:rPr>
          <w:rFonts w:ascii="Arial" w:eastAsiaTheme="majorEastAsia" w:hAnsi="Arial" w:cstheme="majorBidi"/>
          <w:b/>
          <w:bCs/>
          <w:sz w:val="22"/>
          <w:szCs w:val="28"/>
          <w:lang w:eastAsia="sl-SI"/>
        </w:rPr>
        <w:t>.1</w:t>
      </w:r>
      <w:r w:rsidRPr="00963D33">
        <w:rPr>
          <w:rFonts w:ascii="Arial" w:eastAsiaTheme="majorEastAsia" w:hAnsi="Arial" w:cstheme="majorBidi"/>
          <w:b/>
          <w:bCs/>
          <w:sz w:val="22"/>
          <w:szCs w:val="28"/>
          <w:lang w:eastAsia="sl-SI"/>
        </w:rPr>
        <w:tab/>
      </w:r>
    </w:p>
    <w:p w14:paraId="48DCC41F" w14:textId="4DD4CA7E" w:rsidR="00963D33" w:rsidRDefault="00963D33" w:rsidP="00963D33">
      <w:pPr>
        <w:keepNext/>
        <w:keepLines/>
        <w:numPr>
          <w:ilvl w:val="0"/>
          <w:numId w:val="35"/>
        </w:numPr>
        <w:spacing w:line="360" w:lineRule="auto"/>
        <w:ind w:left="0" w:firstLine="0"/>
        <w:outlineLvl w:val="1"/>
        <w:rPr>
          <w:rFonts w:ascii="Arial" w:eastAsia="SimSun" w:hAnsi="Arial"/>
          <w:b/>
          <w:bCs/>
          <w:sz w:val="22"/>
          <w:szCs w:val="26"/>
        </w:rPr>
      </w:pPr>
      <w:r w:rsidRPr="00963D33">
        <w:rPr>
          <w:rFonts w:ascii="Arial" w:eastAsia="SimSun" w:hAnsi="Arial"/>
          <w:b/>
          <w:bCs/>
          <w:sz w:val="22"/>
          <w:szCs w:val="26"/>
        </w:rPr>
        <w:t>OCENA VIŠINE IN STRUKTURE DOLGA DRŽAVNEGA PRORAČUNA PO IZVEDBI FINANCIRANJA V LETU 2023</w:t>
      </w:r>
    </w:p>
    <w:p w14:paraId="776934B0" w14:textId="77777777" w:rsidR="00963D33" w:rsidRPr="00963D33" w:rsidRDefault="00963D33" w:rsidP="00C47769">
      <w:pPr>
        <w:keepNext/>
        <w:keepLines/>
        <w:spacing w:line="360" w:lineRule="auto"/>
        <w:outlineLvl w:val="1"/>
        <w:rPr>
          <w:rFonts w:ascii="Arial" w:eastAsia="SimSun" w:hAnsi="Arial"/>
          <w:b/>
          <w:bCs/>
          <w:sz w:val="22"/>
          <w:szCs w:val="26"/>
        </w:rPr>
      </w:pPr>
    </w:p>
    <w:p w14:paraId="585CBCD7" w14:textId="77777777" w:rsidR="00963D33" w:rsidRPr="00963D33" w:rsidRDefault="00963D33" w:rsidP="00963D33">
      <w:pPr>
        <w:keepNext/>
        <w:keepLines/>
        <w:numPr>
          <w:ilvl w:val="0"/>
          <w:numId w:val="20"/>
        </w:numPr>
        <w:spacing w:before="200"/>
        <w:outlineLvl w:val="1"/>
        <w:rPr>
          <w:rFonts w:ascii="Arial" w:eastAsia="SimSun" w:hAnsi="Arial"/>
          <w:b/>
          <w:bCs/>
          <w:vanish/>
          <w:sz w:val="22"/>
          <w:szCs w:val="26"/>
        </w:rPr>
      </w:pPr>
    </w:p>
    <w:p w14:paraId="78C56D4D" w14:textId="77777777" w:rsidR="00963D33" w:rsidRPr="00963D33" w:rsidRDefault="00963D33" w:rsidP="00963D33">
      <w:pPr>
        <w:keepNext/>
        <w:keepLines/>
        <w:numPr>
          <w:ilvl w:val="2"/>
          <w:numId w:val="41"/>
        </w:numPr>
        <w:autoSpaceDE w:val="0"/>
        <w:autoSpaceDN w:val="0"/>
        <w:adjustRightInd w:val="0"/>
        <w:spacing w:before="200" w:line="480" w:lineRule="auto"/>
        <w:contextualSpacing/>
        <w:outlineLvl w:val="2"/>
        <w:rPr>
          <w:rFonts w:ascii="Arial" w:hAnsi="Arial" w:cs="Arial"/>
          <w:b/>
          <w:bCs/>
          <w:i/>
          <w:iCs/>
          <w:color w:val="000000"/>
          <w:sz w:val="20"/>
          <w:szCs w:val="20"/>
          <w:lang w:eastAsia="sl-SI"/>
        </w:rPr>
      </w:pPr>
      <w:r w:rsidRPr="00963D33">
        <w:rPr>
          <w:rFonts w:ascii="Arial" w:hAnsi="Arial" w:cs="Arial"/>
          <w:b/>
          <w:bCs/>
          <w:i/>
          <w:iCs/>
          <w:color w:val="000000"/>
          <w:sz w:val="20"/>
          <w:szCs w:val="20"/>
          <w:lang w:eastAsia="sl-SI"/>
        </w:rPr>
        <w:t xml:space="preserve">Odplačila glavnic dolga državnega proračuna po letih </w:t>
      </w:r>
    </w:p>
    <w:p w14:paraId="48FF2413" w14:textId="46E12BF6" w:rsidR="00963D33" w:rsidRPr="00963D33" w:rsidRDefault="00963D33" w:rsidP="00963D33">
      <w:pPr>
        <w:spacing w:line="260" w:lineRule="exact"/>
        <w:jc w:val="both"/>
        <w:rPr>
          <w:rFonts w:ascii="Arial" w:hAnsi="Arial" w:cs="Arial"/>
          <w:bCs/>
          <w:sz w:val="20"/>
          <w:szCs w:val="20"/>
        </w:rPr>
      </w:pPr>
      <w:r w:rsidRPr="00963D33">
        <w:rPr>
          <w:rFonts w:ascii="Arial" w:hAnsi="Arial" w:cs="Arial"/>
          <w:bCs/>
          <w:sz w:val="20"/>
          <w:szCs w:val="20"/>
        </w:rPr>
        <w:t>V spodnjem grafu so prikazani zneski odplačil glavnic iz naslova obstoječega stanja dolga državnega proračuna na dan 15. 6. 2023 za obdobje od leta 2023 do leta 2081.</w:t>
      </w:r>
    </w:p>
    <w:p w14:paraId="7F17C58A" w14:textId="77777777" w:rsidR="00963D33" w:rsidRPr="00963D33" w:rsidRDefault="00963D33" w:rsidP="00963D33">
      <w:pPr>
        <w:spacing w:line="260" w:lineRule="atLeast"/>
        <w:jc w:val="both"/>
        <w:rPr>
          <w:rFonts w:ascii="Arial" w:hAnsi="Arial" w:cs="Arial"/>
          <w:b/>
          <w:bCs/>
        </w:rPr>
      </w:pPr>
    </w:p>
    <w:p w14:paraId="4E023AC4" w14:textId="77777777" w:rsidR="00963D33" w:rsidRPr="00963D33" w:rsidRDefault="00963D33" w:rsidP="00963D33">
      <w:pPr>
        <w:spacing w:line="260" w:lineRule="atLeast"/>
        <w:jc w:val="both"/>
        <w:rPr>
          <w:rFonts w:ascii="Arial" w:hAnsi="Arial" w:cs="Arial"/>
          <w:sz w:val="20"/>
          <w:szCs w:val="20"/>
        </w:rPr>
      </w:pPr>
      <w:r w:rsidRPr="00963D33">
        <w:rPr>
          <w:rFonts w:ascii="Arial" w:hAnsi="Arial" w:cs="Arial"/>
          <w:sz w:val="20"/>
          <w:szCs w:val="20"/>
        </w:rPr>
        <w:t>Graf 1: Odplačila glavnic državnega proračuna</w:t>
      </w:r>
    </w:p>
    <w:p w14:paraId="46953FF4" w14:textId="77777777" w:rsidR="00963D33" w:rsidRPr="00963D33" w:rsidRDefault="00963D33" w:rsidP="00963D33">
      <w:pPr>
        <w:spacing w:line="260" w:lineRule="atLeast"/>
        <w:jc w:val="both"/>
        <w:rPr>
          <w:rFonts w:ascii="Arial" w:hAnsi="Arial" w:cs="Arial"/>
          <w:sz w:val="20"/>
          <w:szCs w:val="20"/>
        </w:rPr>
      </w:pPr>
    </w:p>
    <w:p w14:paraId="66C349CE" w14:textId="77777777" w:rsidR="00963D33" w:rsidRPr="00963D33" w:rsidRDefault="00963D33" w:rsidP="00963D33">
      <w:pPr>
        <w:spacing w:line="260" w:lineRule="atLeast"/>
        <w:jc w:val="both"/>
        <w:rPr>
          <w:rFonts w:ascii="Arial" w:hAnsi="Arial" w:cs="Arial"/>
          <w:sz w:val="20"/>
          <w:szCs w:val="20"/>
        </w:rPr>
      </w:pPr>
      <w:r w:rsidRPr="00963D33">
        <w:rPr>
          <w:noProof/>
        </w:rPr>
        <w:drawing>
          <wp:inline distT="0" distB="0" distL="0" distR="0" wp14:anchorId="17CFFE47" wp14:editId="4627E0C2">
            <wp:extent cx="5391150" cy="3095625"/>
            <wp:effectExtent l="0" t="0" r="0" b="0"/>
            <wp:docPr id="5" name="Grafikon 5">
              <a:extLst xmlns:a="http://schemas.openxmlformats.org/drawingml/2006/main">
                <a:ext uri="{FF2B5EF4-FFF2-40B4-BE49-F238E27FC236}">
                  <a16:creationId xmlns:a16="http://schemas.microsoft.com/office/drawing/2014/main" id="{E8A9CE80-C484-6454-15FB-18CA1C803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F35FB1" w14:textId="77777777" w:rsidR="00963D33" w:rsidRPr="00963D33" w:rsidRDefault="00963D33" w:rsidP="00963D33">
      <w:pPr>
        <w:spacing w:line="260" w:lineRule="atLeast"/>
        <w:jc w:val="both"/>
        <w:rPr>
          <w:rFonts w:ascii="Arial" w:hAnsi="Arial"/>
          <w:i/>
          <w:iCs/>
          <w:sz w:val="16"/>
          <w:szCs w:val="16"/>
        </w:rPr>
      </w:pPr>
      <w:r w:rsidRPr="00963D33">
        <w:rPr>
          <w:rFonts w:ascii="Arial" w:hAnsi="Arial"/>
          <w:bCs/>
          <w:i/>
          <w:iCs/>
          <w:sz w:val="16"/>
          <w:szCs w:val="16"/>
        </w:rPr>
        <w:t xml:space="preserve">*Vir: Ministrstvo za finance, </w:t>
      </w:r>
      <w:r w:rsidRPr="00963D33">
        <w:rPr>
          <w:rFonts w:ascii="Arial" w:hAnsi="Arial"/>
          <w:i/>
          <w:iCs/>
          <w:sz w:val="16"/>
          <w:szCs w:val="16"/>
        </w:rPr>
        <w:t>preračun po tečajni listi Banke Slovenije na dan 15. 06. 2023.</w:t>
      </w:r>
    </w:p>
    <w:p w14:paraId="4FAAECCE" w14:textId="77777777" w:rsidR="00963D33" w:rsidRPr="00963D33" w:rsidRDefault="00963D33" w:rsidP="00963D33">
      <w:pPr>
        <w:suppressAutoHyphens w:val="0"/>
        <w:spacing w:after="200" w:line="276" w:lineRule="auto"/>
        <w:jc w:val="both"/>
        <w:rPr>
          <w:rFonts w:ascii="Arial" w:hAnsi="Arial"/>
          <w:sz w:val="16"/>
          <w:szCs w:val="16"/>
        </w:rPr>
      </w:pPr>
    </w:p>
    <w:p w14:paraId="7BEB3831" w14:textId="77777777" w:rsidR="00963D33" w:rsidRPr="00963D33" w:rsidRDefault="00963D33" w:rsidP="00963D33">
      <w:pPr>
        <w:numPr>
          <w:ilvl w:val="2"/>
          <w:numId w:val="41"/>
        </w:numPr>
        <w:autoSpaceDE w:val="0"/>
        <w:autoSpaceDN w:val="0"/>
        <w:adjustRightInd w:val="0"/>
        <w:spacing w:line="480" w:lineRule="auto"/>
        <w:contextualSpacing/>
        <w:outlineLvl w:val="2"/>
        <w:rPr>
          <w:rFonts w:ascii="Arial" w:hAnsi="Arial" w:cs="Arial"/>
          <w:b/>
          <w:bCs/>
          <w:i/>
          <w:iCs/>
          <w:color w:val="000000"/>
          <w:sz w:val="20"/>
          <w:szCs w:val="20"/>
          <w:lang w:eastAsia="sl-SI"/>
        </w:rPr>
      </w:pPr>
      <w:r w:rsidRPr="00963D33">
        <w:rPr>
          <w:rFonts w:ascii="Arial" w:hAnsi="Arial" w:cs="Arial"/>
          <w:b/>
          <w:bCs/>
          <w:i/>
          <w:iCs/>
          <w:color w:val="000000"/>
          <w:sz w:val="20"/>
          <w:szCs w:val="20"/>
          <w:lang w:eastAsia="sl-SI"/>
        </w:rPr>
        <w:lastRenderedPageBreak/>
        <w:t>Stanje dolga državnega proračuna konec leta 2022 in ocena konec leta 2023</w:t>
      </w:r>
    </w:p>
    <w:p w14:paraId="09D7AAD6" w14:textId="2F1D2C96" w:rsidR="00963D33" w:rsidRPr="00963D33" w:rsidRDefault="00963D33" w:rsidP="00963D33">
      <w:pPr>
        <w:spacing w:line="260" w:lineRule="exact"/>
        <w:jc w:val="both"/>
        <w:rPr>
          <w:rFonts w:ascii="Arial" w:hAnsi="Arial" w:cs="Arial"/>
          <w:bCs/>
          <w:sz w:val="20"/>
          <w:szCs w:val="20"/>
        </w:rPr>
      </w:pPr>
      <w:r w:rsidRPr="00963D33">
        <w:rPr>
          <w:rFonts w:ascii="Arial" w:hAnsi="Arial" w:cs="Arial"/>
          <w:bCs/>
          <w:sz w:val="20"/>
          <w:szCs w:val="20"/>
        </w:rPr>
        <w:t xml:space="preserve">Na podlagi izvršenega zadolževanja za financiranje državnega proračuna v skupni višini 1.754.318.722 </w:t>
      </w:r>
      <w:r w:rsidR="004B10D5" w:rsidRPr="00963D33">
        <w:rPr>
          <w:rFonts w:ascii="Arial" w:hAnsi="Arial" w:cs="Arial"/>
          <w:bCs/>
          <w:sz w:val="20"/>
          <w:szCs w:val="20"/>
        </w:rPr>
        <w:t xml:space="preserve">EUR </w:t>
      </w:r>
      <w:r w:rsidRPr="00963D33">
        <w:rPr>
          <w:rFonts w:ascii="Arial" w:hAnsi="Arial" w:cs="Arial"/>
          <w:bCs/>
          <w:sz w:val="20"/>
          <w:szCs w:val="20"/>
        </w:rPr>
        <w:t>do dne 15.</w:t>
      </w:r>
      <w:r w:rsidR="004B10D5">
        <w:rPr>
          <w:rFonts w:ascii="Arial" w:hAnsi="Arial" w:cs="Arial"/>
          <w:bCs/>
          <w:sz w:val="20"/>
          <w:szCs w:val="20"/>
        </w:rPr>
        <w:t> </w:t>
      </w:r>
      <w:r w:rsidRPr="00963D33">
        <w:rPr>
          <w:rFonts w:ascii="Arial" w:hAnsi="Arial" w:cs="Arial"/>
          <w:bCs/>
          <w:sz w:val="20"/>
          <w:szCs w:val="20"/>
        </w:rPr>
        <w:t>6.</w:t>
      </w:r>
      <w:r w:rsidR="004B10D5">
        <w:rPr>
          <w:rFonts w:ascii="Arial" w:hAnsi="Arial" w:cs="Arial"/>
          <w:bCs/>
          <w:sz w:val="20"/>
          <w:szCs w:val="20"/>
        </w:rPr>
        <w:t> </w:t>
      </w:r>
      <w:r w:rsidRPr="00963D33">
        <w:rPr>
          <w:rFonts w:ascii="Arial" w:hAnsi="Arial" w:cs="Arial"/>
          <w:bCs/>
          <w:sz w:val="20"/>
          <w:szCs w:val="20"/>
        </w:rPr>
        <w:t>2023 in predvideni strukturi instrumentov, kot je to navedeno v točki 2.3 tega dokumenta, bi ocenjeni dolg državnega proračuna konec leta 2023 znašal 40.942.285.802 EUR, kar predstavlja 63,3 - odstotni delež dolga v BDP.</w:t>
      </w:r>
    </w:p>
    <w:p w14:paraId="31C1911C" w14:textId="77777777" w:rsidR="00963D33" w:rsidRPr="00963D33" w:rsidRDefault="00963D33" w:rsidP="00963D33">
      <w:pPr>
        <w:spacing w:line="260" w:lineRule="exact"/>
        <w:jc w:val="both"/>
        <w:rPr>
          <w:rFonts w:ascii="Arial" w:hAnsi="Arial" w:cs="Arial"/>
          <w:bCs/>
          <w:sz w:val="20"/>
          <w:szCs w:val="20"/>
        </w:rPr>
      </w:pPr>
    </w:p>
    <w:p w14:paraId="69E8AFF1" w14:textId="77777777" w:rsidR="00963D33" w:rsidRPr="00963D33" w:rsidRDefault="00963D33" w:rsidP="00963D33">
      <w:pPr>
        <w:suppressAutoHyphens w:val="0"/>
        <w:spacing w:line="260" w:lineRule="exact"/>
        <w:rPr>
          <w:rFonts w:ascii="Arial" w:hAnsi="Arial" w:cs="Arial"/>
          <w:bCs/>
          <w:iCs/>
          <w:sz w:val="20"/>
          <w:szCs w:val="20"/>
        </w:rPr>
      </w:pPr>
      <w:r w:rsidRPr="00963D33">
        <w:rPr>
          <w:rFonts w:ascii="Arial" w:hAnsi="Arial" w:cs="Arial"/>
          <w:bCs/>
          <w:iCs/>
          <w:sz w:val="20"/>
          <w:lang w:eastAsia="en-US"/>
        </w:rPr>
        <w:t>Tabela 1: Stanje dolga državnega proračuna konec leta 2022 in ocena konec leta 2023</w:t>
      </w:r>
    </w:p>
    <w:p w14:paraId="1EB2A96A" w14:textId="77777777" w:rsidR="00963D33" w:rsidRPr="00963D33" w:rsidRDefault="00963D33" w:rsidP="00963D33">
      <w:pPr>
        <w:suppressAutoHyphens w:val="0"/>
        <w:spacing w:line="260" w:lineRule="exact"/>
        <w:rPr>
          <w:rFonts w:ascii="Arial" w:hAnsi="Arial" w:cs="Arial"/>
          <w:bCs/>
          <w:sz w:val="20"/>
          <w:szCs w:val="20"/>
        </w:rPr>
      </w:pPr>
    </w:p>
    <w:tbl>
      <w:tblPr>
        <w:tblW w:w="9002" w:type="dxa"/>
        <w:tblLayout w:type="fixed"/>
        <w:tblCellMar>
          <w:left w:w="0" w:type="dxa"/>
          <w:right w:w="0" w:type="dxa"/>
        </w:tblCellMar>
        <w:tblLook w:val="0000" w:firstRow="0" w:lastRow="0" w:firstColumn="0" w:lastColumn="0" w:noHBand="0" w:noVBand="0"/>
      </w:tblPr>
      <w:tblGrid>
        <w:gridCol w:w="5402"/>
        <w:gridCol w:w="1800"/>
        <w:gridCol w:w="1800"/>
      </w:tblGrid>
      <w:tr w:rsidR="00963D33" w:rsidRPr="00963D33" w14:paraId="1C61D11B" w14:textId="77777777" w:rsidTr="00CB0A5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19FA75" w14:textId="77777777" w:rsidR="00963D33" w:rsidRPr="00963D33" w:rsidRDefault="00963D33" w:rsidP="00963D33">
            <w:pPr>
              <w:jc w:val="both"/>
              <w:rPr>
                <w:rFonts w:ascii="Arial" w:hAnsi="Arial" w:cs="Arial"/>
                <w:bCs/>
                <w:sz w:val="20"/>
                <w:szCs w:val="20"/>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AA4820" w14:textId="77777777" w:rsidR="00963D33" w:rsidRPr="00963D33" w:rsidRDefault="00963D33" w:rsidP="00963D33">
            <w:pPr>
              <w:jc w:val="center"/>
              <w:rPr>
                <w:rFonts w:ascii="Arial" w:hAnsi="Arial" w:cs="Arial"/>
                <w:bCs/>
                <w:sz w:val="20"/>
                <w:szCs w:val="20"/>
              </w:rPr>
            </w:pPr>
            <w:r w:rsidRPr="00963D33">
              <w:rPr>
                <w:rFonts w:ascii="Arial" w:hAnsi="Arial" w:cs="Arial"/>
                <w:bCs/>
                <w:sz w:val="20"/>
                <w:szCs w:val="20"/>
              </w:rPr>
              <w:t>31. 12. 2022</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19DC381" w14:textId="77777777" w:rsidR="00963D33" w:rsidRPr="00963D33" w:rsidRDefault="00963D33" w:rsidP="00963D33">
            <w:pPr>
              <w:jc w:val="center"/>
              <w:rPr>
                <w:rFonts w:ascii="Arial" w:hAnsi="Arial" w:cs="Arial"/>
                <w:bCs/>
                <w:sz w:val="20"/>
                <w:szCs w:val="20"/>
              </w:rPr>
            </w:pPr>
            <w:r w:rsidRPr="00963D33">
              <w:rPr>
                <w:rFonts w:ascii="Arial" w:hAnsi="Arial" w:cs="Arial"/>
                <w:bCs/>
                <w:sz w:val="20"/>
                <w:szCs w:val="20"/>
              </w:rPr>
              <w:t>31. 12. 2023</w:t>
            </w:r>
          </w:p>
        </w:tc>
      </w:tr>
      <w:tr w:rsidR="00963D33" w:rsidRPr="00963D33" w14:paraId="1F549BA4" w14:textId="77777777" w:rsidTr="00CB0A5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9FB6D9" w14:textId="15BFAF8D" w:rsidR="00963D33" w:rsidRPr="00963D33" w:rsidRDefault="00963D33" w:rsidP="00963D33">
            <w:pPr>
              <w:jc w:val="both"/>
              <w:rPr>
                <w:rFonts w:ascii="Arial" w:hAnsi="Arial" w:cs="Arial"/>
                <w:bCs/>
                <w:sz w:val="20"/>
                <w:szCs w:val="20"/>
              </w:rPr>
            </w:pPr>
            <w:r w:rsidRPr="00963D33">
              <w:rPr>
                <w:rFonts w:ascii="Arial" w:hAnsi="Arial" w:cs="Arial"/>
                <w:bCs/>
                <w:sz w:val="20"/>
                <w:szCs w:val="20"/>
              </w:rPr>
              <w:t>Dolg državnega proračuna,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369775" w14:textId="77777777" w:rsidR="00963D33" w:rsidRPr="00963D33" w:rsidRDefault="00963D33" w:rsidP="00963D33">
            <w:pPr>
              <w:jc w:val="center"/>
              <w:rPr>
                <w:rFonts w:ascii="Arial" w:hAnsi="Arial" w:cs="Arial"/>
                <w:bCs/>
                <w:sz w:val="20"/>
                <w:szCs w:val="20"/>
              </w:rPr>
            </w:pPr>
            <w:r w:rsidRPr="00963D33">
              <w:rPr>
                <w:rFonts w:ascii="Arial" w:hAnsi="Arial" w:cs="Arial"/>
                <w:sz w:val="20"/>
                <w:szCs w:val="20"/>
              </w:rPr>
              <w:t>37.845</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5D460A" w14:textId="77777777" w:rsidR="00963D33" w:rsidRPr="00963D33" w:rsidRDefault="00963D33" w:rsidP="00963D33">
            <w:pPr>
              <w:jc w:val="center"/>
              <w:rPr>
                <w:rFonts w:ascii="Arial" w:hAnsi="Arial" w:cs="Arial"/>
                <w:bCs/>
                <w:sz w:val="20"/>
                <w:szCs w:val="20"/>
              </w:rPr>
            </w:pPr>
            <w:r w:rsidRPr="00963D33">
              <w:rPr>
                <w:rFonts w:ascii="Arial" w:hAnsi="Arial" w:cs="Arial"/>
                <w:bCs/>
                <w:sz w:val="20"/>
                <w:szCs w:val="20"/>
              </w:rPr>
              <w:t>40.942</w:t>
            </w:r>
          </w:p>
        </w:tc>
      </w:tr>
      <w:tr w:rsidR="00963D33" w:rsidRPr="00963D33" w14:paraId="2EE0B09F" w14:textId="77777777" w:rsidTr="00CB0A5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E3AA4A" w14:textId="77777777" w:rsidR="00963D33" w:rsidRPr="00963D33" w:rsidRDefault="00963D33" w:rsidP="00963D33">
            <w:pPr>
              <w:jc w:val="both"/>
              <w:rPr>
                <w:rFonts w:ascii="Arial" w:hAnsi="Arial" w:cs="Arial"/>
                <w:bCs/>
                <w:sz w:val="20"/>
                <w:szCs w:val="20"/>
              </w:rPr>
            </w:pPr>
            <w:r w:rsidRPr="00963D33">
              <w:rPr>
                <w:rFonts w:ascii="Arial" w:hAnsi="Arial" w:cs="Arial"/>
                <w:bCs/>
                <w:sz w:val="20"/>
                <w:szCs w:val="20"/>
              </w:rPr>
              <w:t>BDP, mio EUR*</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0885D7" w14:textId="77777777" w:rsidR="00963D33" w:rsidRPr="00963D33" w:rsidRDefault="00963D33" w:rsidP="00963D33">
            <w:pPr>
              <w:jc w:val="center"/>
              <w:rPr>
                <w:rFonts w:ascii="Arial" w:hAnsi="Arial" w:cs="Arial"/>
                <w:bCs/>
                <w:sz w:val="20"/>
                <w:szCs w:val="20"/>
              </w:rPr>
            </w:pPr>
            <w:r w:rsidRPr="00963D33">
              <w:rPr>
                <w:rFonts w:ascii="Arial" w:hAnsi="Arial" w:cs="Arial"/>
                <w:sz w:val="20"/>
                <w:szCs w:val="20"/>
              </w:rPr>
              <w:t>58.989</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036259" w14:textId="77777777" w:rsidR="00963D33" w:rsidRPr="00963D33" w:rsidRDefault="00963D33" w:rsidP="00963D33">
            <w:pPr>
              <w:jc w:val="center"/>
              <w:rPr>
                <w:rFonts w:ascii="Arial" w:hAnsi="Arial" w:cs="Arial"/>
                <w:bCs/>
                <w:sz w:val="20"/>
                <w:szCs w:val="20"/>
              </w:rPr>
            </w:pPr>
            <w:r w:rsidRPr="00963D33">
              <w:rPr>
                <w:rFonts w:ascii="Arial" w:hAnsi="Arial" w:cs="Arial"/>
                <w:bCs/>
                <w:sz w:val="20"/>
                <w:szCs w:val="20"/>
              </w:rPr>
              <w:t>64.723</w:t>
            </w:r>
          </w:p>
        </w:tc>
      </w:tr>
      <w:tr w:rsidR="00963D33" w:rsidRPr="00963D33" w14:paraId="7E722FCA" w14:textId="77777777" w:rsidTr="00CB0A56">
        <w:tc>
          <w:tcPr>
            <w:tcW w:w="54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E497C1" w14:textId="75BE7A6D" w:rsidR="00963D33" w:rsidRPr="00963D33" w:rsidRDefault="00963D33" w:rsidP="00963D33">
            <w:pPr>
              <w:jc w:val="both"/>
              <w:rPr>
                <w:rFonts w:ascii="Arial" w:hAnsi="Arial" w:cs="Arial"/>
                <w:bCs/>
                <w:sz w:val="20"/>
                <w:szCs w:val="20"/>
              </w:rPr>
            </w:pPr>
            <w:r w:rsidRPr="00963D33">
              <w:rPr>
                <w:rFonts w:ascii="Arial" w:hAnsi="Arial" w:cs="Arial"/>
                <w:bCs/>
                <w:sz w:val="20"/>
                <w:szCs w:val="20"/>
              </w:rPr>
              <w:t>Dolg / BDP, v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9EB8B4" w14:textId="77777777" w:rsidR="00963D33" w:rsidRPr="00963D33" w:rsidRDefault="00963D33" w:rsidP="00963D33">
            <w:pPr>
              <w:jc w:val="center"/>
              <w:rPr>
                <w:rFonts w:ascii="Arial" w:hAnsi="Arial" w:cs="Arial"/>
                <w:bCs/>
                <w:sz w:val="20"/>
                <w:szCs w:val="20"/>
              </w:rPr>
            </w:pPr>
            <w:r w:rsidRPr="00963D33">
              <w:rPr>
                <w:rFonts w:ascii="Arial" w:hAnsi="Arial" w:cs="Arial"/>
                <w:sz w:val="20"/>
                <w:szCs w:val="20"/>
              </w:rPr>
              <w:t xml:space="preserve">64,2 </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0B951" w14:textId="77777777" w:rsidR="00963D33" w:rsidRPr="00963D33" w:rsidRDefault="00963D33" w:rsidP="00963D33">
            <w:pPr>
              <w:jc w:val="center"/>
              <w:rPr>
                <w:rFonts w:ascii="Arial" w:hAnsi="Arial" w:cs="Arial"/>
                <w:bCs/>
                <w:sz w:val="20"/>
                <w:szCs w:val="20"/>
              </w:rPr>
            </w:pPr>
            <w:r w:rsidRPr="00963D33">
              <w:rPr>
                <w:rFonts w:ascii="Arial" w:hAnsi="Arial" w:cs="Arial"/>
                <w:bCs/>
                <w:sz w:val="20"/>
                <w:szCs w:val="20"/>
              </w:rPr>
              <w:t xml:space="preserve">63,3 </w:t>
            </w:r>
          </w:p>
        </w:tc>
      </w:tr>
    </w:tbl>
    <w:p w14:paraId="7DA050A4" w14:textId="77777777" w:rsidR="00963D33" w:rsidRPr="00963D33" w:rsidRDefault="00963D33" w:rsidP="00963D33">
      <w:pPr>
        <w:jc w:val="both"/>
        <w:rPr>
          <w:rFonts w:ascii="Arial" w:hAnsi="Arial"/>
          <w:bCs/>
          <w:i/>
          <w:iCs/>
          <w:sz w:val="16"/>
          <w:szCs w:val="16"/>
        </w:rPr>
      </w:pPr>
      <w:r w:rsidRPr="00963D33">
        <w:rPr>
          <w:rFonts w:ascii="Arial" w:hAnsi="Arial"/>
          <w:bCs/>
          <w:i/>
          <w:iCs/>
          <w:sz w:val="16"/>
          <w:szCs w:val="16"/>
        </w:rPr>
        <w:t>Vir: MF.</w:t>
      </w:r>
    </w:p>
    <w:p w14:paraId="0A4291F3" w14:textId="77777777" w:rsidR="00963D33" w:rsidRPr="00963D33" w:rsidRDefault="00963D33" w:rsidP="00963D33">
      <w:pPr>
        <w:jc w:val="both"/>
        <w:rPr>
          <w:rFonts w:ascii="Arial" w:hAnsi="Arial"/>
          <w:bCs/>
          <w:i/>
          <w:iCs/>
          <w:sz w:val="16"/>
          <w:szCs w:val="16"/>
        </w:rPr>
      </w:pPr>
      <w:r w:rsidRPr="00963D33">
        <w:rPr>
          <w:rFonts w:ascii="Arial" w:hAnsi="Arial"/>
          <w:bCs/>
          <w:i/>
          <w:iCs/>
          <w:sz w:val="16"/>
          <w:szCs w:val="16"/>
        </w:rPr>
        <w:t>*UMAR, Spomladanska napoved gospodarskih gibanj, marec 2023.</w:t>
      </w:r>
    </w:p>
    <w:p w14:paraId="36E5E02F" w14:textId="77777777" w:rsidR="00963D33" w:rsidRPr="00963D33" w:rsidRDefault="00963D33" w:rsidP="00963D33">
      <w:pPr>
        <w:jc w:val="both"/>
        <w:rPr>
          <w:rFonts w:ascii="Arial" w:hAnsi="Arial" w:cs="Arial"/>
          <w:bCs/>
          <w:sz w:val="20"/>
          <w:szCs w:val="20"/>
        </w:rPr>
      </w:pPr>
    </w:p>
    <w:p w14:paraId="2BD63ACD" w14:textId="77777777" w:rsidR="00963D33" w:rsidRPr="00963D33" w:rsidRDefault="00963D33" w:rsidP="00963D33">
      <w:pPr>
        <w:suppressAutoHyphens w:val="0"/>
        <w:jc w:val="both"/>
        <w:rPr>
          <w:sz w:val="22"/>
          <w:szCs w:val="22"/>
          <w:lang w:eastAsia="en-US"/>
        </w:rPr>
      </w:pPr>
    </w:p>
    <w:p w14:paraId="549A8823" w14:textId="77777777" w:rsidR="00963D33" w:rsidRPr="00963D33" w:rsidRDefault="00963D33" w:rsidP="00963D33">
      <w:pPr>
        <w:numPr>
          <w:ilvl w:val="2"/>
          <w:numId w:val="41"/>
        </w:numPr>
        <w:autoSpaceDE w:val="0"/>
        <w:autoSpaceDN w:val="0"/>
        <w:adjustRightInd w:val="0"/>
        <w:spacing w:line="480" w:lineRule="auto"/>
        <w:outlineLvl w:val="2"/>
        <w:rPr>
          <w:rFonts w:ascii="Arial" w:hAnsi="Arial" w:cs="Arial"/>
          <w:b/>
          <w:bCs/>
          <w:i/>
          <w:iCs/>
          <w:color w:val="000000"/>
          <w:sz w:val="20"/>
          <w:szCs w:val="20"/>
          <w:lang w:eastAsia="sl-SI"/>
        </w:rPr>
      </w:pPr>
      <w:r w:rsidRPr="00963D33">
        <w:rPr>
          <w:rFonts w:ascii="Arial" w:hAnsi="Arial" w:cs="Arial"/>
          <w:b/>
          <w:bCs/>
          <w:i/>
          <w:iCs/>
          <w:color w:val="000000"/>
          <w:sz w:val="20"/>
          <w:szCs w:val="20"/>
          <w:lang w:eastAsia="sl-SI"/>
        </w:rPr>
        <w:t xml:space="preserve">Ocena valutne strukture dolga državnega proračuna </w:t>
      </w:r>
    </w:p>
    <w:p w14:paraId="4765935C" w14:textId="0FED4883" w:rsidR="00963D33" w:rsidRPr="00963D33" w:rsidRDefault="00963D33" w:rsidP="00963D33">
      <w:pPr>
        <w:spacing w:line="276" w:lineRule="auto"/>
        <w:jc w:val="both"/>
        <w:rPr>
          <w:lang w:eastAsia="sl-SI"/>
        </w:rPr>
      </w:pPr>
      <w:r w:rsidRPr="00963D33">
        <w:rPr>
          <w:rFonts w:ascii="Arial" w:hAnsi="Arial" w:cs="Arial"/>
          <w:bCs/>
          <w:sz w:val="20"/>
          <w:szCs w:val="20"/>
        </w:rPr>
        <w:t>Konec leta 2022 je delež dolga v evrih znašal 98,2</w:t>
      </w:r>
      <w:r w:rsidR="004B10D5">
        <w:rPr>
          <w:rFonts w:ascii="Arial" w:hAnsi="Arial" w:cs="Arial"/>
          <w:bCs/>
          <w:sz w:val="20"/>
          <w:szCs w:val="20"/>
        </w:rPr>
        <w:t> </w:t>
      </w:r>
      <w:r w:rsidRPr="00963D33">
        <w:rPr>
          <w:rFonts w:ascii="Arial" w:hAnsi="Arial" w:cs="Arial"/>
          <w:bCs/>
          <w:sz w:val="20"/>
          <w:szCs w:val="20"/>
        </w:rPr>
        <w:t>% celotnega dolga državnega proračuna. Ob upoštevanju dejstva, da so ob zadolžitvah v ameriških dolarjih bile izvedene tudi transakcije valutnih zamenjav obveznosti v ameriških dolarjih v evre, se delež dolga v evrih poveča na 99,9</w:t>
      </w:r>
      <w:r w:rsidR="004B10D5">
        <w:rPr>
          <w:rFonts w:ascii="Arial" w:hAnsi="Arial" w:cs="Arial"/>
          <w:bCs/>
          <w:sz w:val="20"/>
          <w:szCs w:val="20"/>
        </w:rPr>
        <w:t> </w:t>
      </w:r>
      <w:r w:rsidRPr="00963D33">
        <w:rPr>
          <w:rFonts w:ascii="Arial" w:hAnsi="Arial" w:cs="Arial"/>
          <w:bCs/>
          <w:sz w:val="20"/>
          <w:szCs w:val="20"/>
        </w:rPr>
        <w:t>% celotnega dolga državnega proračuna. Konec leta 2023 se deleži ne bi bistveno spremenili.</w:t>
      </w:r>
    </w:p>
    <w:p w14:paraId="1ED318CD" w14:textId="77777777" w:rsidR="00963D33" w:rsidRPr="00963D33" w:rsidRDefault="00963D33" w:rsidP="00963D33">
      <w:pPr>
        <w:spacing w:line="276" w:lineRule="auto"/>
        <w:rPr>
          <w:lang w:eastAsia="sl-SI"/>
        </w:rPr>
      </w:pPr>
    </w:p>
    <w:p w14:paraId="236B24ED" w14:textId="77777777" w:rsidR="00963D33" w:rsidRPr="00963D33" w:rsidRDefault="00963D33" w:rsidP="00963D33">
      <w:pPr>
        <w:spacing w:line="260" w:lineRule="exact"/>
        <w:jc w:val="both"/>
        <w:rPr>
          <w:rFonts w:ascii="Arial" w:hAnsi="Arial" w:cs="Arial"/>
          <w:bCs/>
          <w:sz w:val="20"/>
          <w:szCs w:val="20"/>
        </w:rPr>
      </w:pPr>
    </w:p>
    <w:p w14:paraId="60745144" w14:textId="77777777" w:rsidR="00963D33" w:rsidRPr="00963D33" w:rsidRDefault="00963D33" w:rsidP="00963D33">
      <w:pPr>
        <w:numPr>
          <w:ilvl w:val="2"/>
          <w:numId w:val="41"/>
        </w:numPr>
        <w:autoSpaceDE w:val="0"/>
        <w:autoSpaceDN w:val="0"/>
        <w:adjustRightInd w:val="0"/>
        <w:spacing w:line="480" w:lineRule="auto"/>
        <w:contextualSpacing/>
        <w:outlineLvl w:val="2"/>
        <w:rPr>
          <w:rFonts w:ascii="Arial" w:hAnsi="Arial" w:cs="Arial"/>
          <w:b/>
          <w:bCs/>
          <w:i/>
          <w:iCs/>
          <w:color w:val="000000"/>
          <w:sz w:val="20"/>
          <w:szCs w:val="20"/>
          <w:lang w:eastAsia="sl-SI"/>
        </w:rPr>
      </w:pPr>
      <w:r w:rsidRPr="00963D33">
        <w:rPr>
          <w:rFonts w:ascii="Arial" w:hAnsi="Arial" w:cs="Arial"/>
          <w:b/>
          <w:bCs/>
          <w:i/>
          <w:iCs/>
          <w:color w:val="000000"/>
          <w:sz w:val="20"/>
          <w:szCs w:val="20"/>
          <w:lang w:eastAsia="sl-SI"/>
        </w:rPr>
        <w:t>Struktura dolga državnega proračuna glede na obrestno mero</w:t>
      </w:r>
    </w:p>
    <w:p w14:paraId="695E8E3E" w14:textId="2B6015A6" w:rsidR="00963D33" w:rsidRPr="00963D33" w:rsidRDefault="00963D33" w:rsidP="00963D33">
      <w:pPr>
        <w:jc w:val="both"/>
      </w:pPr>
      <w:r w:rsidRPr="00963D33">
        <w:rPr>
          <w:rFonts w:ascii="Arial" w:hAnsi="Arial" w:cs="Arial"/>
          <w:bCs/>
          <w:sz w:val="20"/>
          <w:szCs w:val="20"/>
        </w:rPr>
        <w:t>Dolg državnega proračuna je konec leta 2022 sestavljen iz 0,7</w:t>
      </w:r>
      <w:r w:rsidR="004B10D5">
        <w:rPr>
          <w:rFonts w:ascii="Arial" w:hAnsi="Arial" w:cs="Arial"/>
          <w:bCs/>
          <w:sz w:val="20"/>
          <w:szCs w:val="20"/>
        </w:rPr>
        <w:t> </w:t>
      </w:r>
      <w:r w:rsidRPr="00963D33">
        <w:rPr>
          <w:rFonts w:ascii="Arial" w:hAnsi="Arial" w:cs="Arial"/>
          <w:bCs/>
          <w:sz w:val="20"/>
          <w:szCs w:val="20"/>
        </w:rPr>
        <w:t>% instrumentov s spremenljivo obrestno mero in 99,3</w:t>
      </w:r>
      <w:r w:rsidR="004B10D5">
        <w:rPr>
          <w:rFonts w:ascii="Arial" w:hAnsi="Arial" w:cs="Arial"/>
          <w:bCs/>
          <w:sz w:val="20"/>
          <w:szCs w:val="20"/>
        </w:rPr>
        <w:t> </w:t>
      </w:r>
      <w:r w:rsidRPr="00963D33">
        <w:rPr>
          <w:rFonts w:ascii="Arial" w:hAnsi="Arial" w:cs="Arial"/>
          <w:bCs/>
          <w:sz w:val="20"/>
          <w:szCs w:val="20"/>
        </w:rPr>
        <w:t>% instrumentov z nespremenljivo obrestno mero. Konec leta 2023 se struktura ne bi bistveno spremenila.</w:t>
      </w:r>
    </w:p>
    <w:p w14:paraId="6B83D9FB" w14:textId="77777777" w:rsidR="00963D33" w:rsidRPr="00963D33" w:rsidRDefault="00963D33" w:rsidP="00963D33"/>
    <w:p w14:paraId="3C4E5CE2" w14:textId="0B5230F0" w:rsidR="00963D33" w:rsidRDefault="00963D33" w:rsidP="00963D33">
      <w:pPr>
        <w:pStyle w:val="Odstavekseznama"/>
        <w:keepNext/>
        <w:keepLines/>
        <w:numPr>
          <w:ilvl w:val="1"/>
          <w:numId w:val="41"/>
        </w:numPr>
        <w:spacing w:before="400" w:after="200" w:line="360" w:lineRule="auto"/>
        <w:outlineLvl w:val="1"/>
        <w:rPr>
          <w:rFonts w:ascii="Arial" w:eastAsia="SimSun" w:hAnsi="Arial"/>
          <w:b/>
          <w:bCs/>
          <w:sz w:val="22"/>
          <w:szCs w:val="26"/>
        </w:rPr>
      </w:pPr>
      <w:r w:rsidRPr="00C47769">
        <w:rPr>
          <w:rFonts w:ascii="Arial" w:eastAsia="SimSun" w:hAnsi="Arial"/>
          <w:b/>
          <w:bCs/>
          <w:sz w:val="22"/>
          <w:szCs w:val="26"/>
        </w:rPr>
        <w:t>OBSEG FINANCIRANJA V 2023</w:t>
      </w:r>
    </w:p>
    <w:p w14:paraId="0E35B43E" w14:textId="77777777" w:rsidR="00BE59B6" w:rsidRPr="00C47769" w:rsidRDefault="00BE59B6" w:rsidP="00C47769">
      <w:pPr>
        <w:spacing w:line="260" w:lineRule="exact"/>
        <w:jc w:val="both"/>
        <w:rPr>
          <w:rFonts w:ascii="Arial" w:eastAsiaTheme="minorHAnsi" w:hAnsi="Arial" w:cstheme="minorBidi"/>
          <w:sz w:val="20"/>
          <w:szCs w:val="22"/>
          <w:lang w:eastAsia="en-US"/>
        </w:rPr>
      </w:pPr>
      <w:r w:rsidRPr="00C47769">
        <w:rPr>
          <w:rFonts w:ascii="Arial" w:eastAsiaTheme="minorHAnsi" w:hAnsi="Arial" w:cstheme="minorBidi"/>
          <w:sz w:val="20"/>
          <w:szCs w:val="22"/>
          <w:lang w:eastAsia="en-US"/>
        </w:rPr>
        <w:t xml:space="preserve">Na podlagi 81. člena ZJF, sprejetega Rebalansa </w:t>
      </w:r>
      <w:r w:rsidRPr="00C47769">
        <w:rPr>
          <w:rFonts w:ascii="Arial" w:hAnsi="Arial" w:cs="Arial"/>
          <w:bCs/>
          <w:sz w:val="20"/>
          <w:szCs w:val="20"/>
        </w:rPr>
        <w:t>proračuna</w:t>
      </w:r>
      <w:r w:rsidRPr="00C47769">
        <w:rPr>
          <w:rFonts w:ascii="Arial" w:eastAsiaTheme="minorHAnsi" w:hAnsi="Arial" w:cstheme="minorBidi"/>
          <w:sz w:val="20"/>
          <w:szCs w:val="22"/>
          <w:lang w:eastAsia="en-US"/>
        </w:rPr>
        <w:t xml:space="preserve"> Republike Slovenije za leto 2023 (Uradni list RS, št. 65/23), obsega financiranja za leto 2023, določenega v prvem odstavku 51. člena Zakona o izvrševanju proračunov Republike Slovenije za leti 2023 in 2024 (Uradni list RS, št. 150/22 in 65/23; v nadaljnjem besedilu: ZIPRS2324), upoštevaje spremembo stanja sredstev na računu in porabo kupnine od prodaje kapitalskih naložb, neporabljeno v letu 2022, se država v letu 2023 lahko zadolži za izvrševanje državnega proračuna za leto 2023 in za predfinanciranje do obsegov, navedenih v nadaljevanju.</w:t>
      </w:r>
    </w:p>
    <w:p w14:paraId="5054CD7A" w14:textId="155AFADB" w:rsidR="00BE59B6" w:rsidRDefault="00BE59B6" w:rsidP="00BE59B6">
      <w:pPr>
        <w:suppressAutoHyphens w:val="0"/>
        <w:spacing w:after="200" w:line="260" w:lineRule="exact"/>
        <w:jc w:val="both"/>
        <w:rPr>
          <w:rFonts w:ascii="Arial" w:eastAsiaTheme="minorHAnsi" w:hAnsi="Arial" w:cs="Arial"/>
          <w:b/>
          <w:bCs/>
          <w:sz w:val="20"/>
          <w:szCs w:val="20"/>
          <w:lang w:eastAsia="en-US"/>
        </w:rPr>
      </w:pPr>
    </w:p>
    <w:p w14:paraId="4A5A5496" w14:textId="398577E1" w:rsidR="00BE59B6" w:rsidRDefault="00BE59B6" w:rsidP="00BE59B6">
      <w:pPr>
        <w:suppressAutoHyphens w:val="0"/>
        <w:spacing w:after="200" w:line="260" w:lineRule="exact"/>
        <w:jc w:val="both"/>
        <w:rPr>
          <w:rFonts w:ascii="Arial" w:eastAsiaTheme="minorHAnsi" w:hAnsi="Arial" w:cs="Arial"/>
          <w:b/>
          <w:bCs/>
          <w:sz w:val="20"/>
          <w:szCs w:val="20"/>
          <w:lang w:eastAsia="en-US"/>
        </w:rPr>
      </w:pPr>
      <w:r w:rsidRPr="00963D33">
        <w:rPr>
          <w:rFonts w:ascii="Arial" w:eastAsiaTheme="minorHAnsi" w:hAnsi="Arial" w:cs="Arial"/>
          <w:b/>
          <w:bCs/>
          <w:sz w:val="20"/>
          <w:szCs w:val="20"/>
          <w:lang w:eastAsia="en-US"/>
        </w:rPr>
        <w:t>Financiranje v letu 2023 za izvrševanje državnega proračuna</w:t>
      </w:r>
    </w:p>
    <w:p w14:paraId="0AD018A7" w14:textId="77777777" w:rsidR="00BE59B6" w:rsidRPr="00963D33" w:rsidRDefault="00BE59B6" w:rsidP="00BE59B6">
      <w:pPr>
        <w:suppressAutoHyphens w:val="0"/>
        <w:spacing w:after="200" w:line="260" w:lineRule="exact"/>
        <w:rPr>
          <w:rFonts w:ascii="Arial" w:eastAsiaTheme="minorHAnsi" w:hAnsi="Arial" w:cstheme="minorBidi"/>
          <w:sz w:val="20"/>
          <w:szCs w:val="22"/>
          <w:lang w:eastAsia="en-US"/>
        </w:rPr>
      </w:pPr>
      <w:r w:rsidRPr="00963D33">
        <w:rPr>
          <w:rFonts w:ascii="Arial" w:eastAsiaTheme="minorHAnsi" w:hAnsi="Arial" w:cs="Arial"/>
          <w:bCs/>
          <w:i/>
          <w:sz w:val="20"/>
          <w:szCs w:val="22"/>
          <w:lang w:eastAsia="en-US"/>
        </w:rPr>
        <w:t>Tabela 2: Financiranje izvrševanja proračuna Republike Slovenije v letu 2023</w:t>
      </w:r>
    </w:p>
    <w:tbl>
      <w:tblPr>
        <w:tblpPr w:leftFromText="180" w:rightFromText="180" w:vertAnchor="text" w:horzAnchor="margin" w:tblpY="209"/>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65"/>
        <w:gridCol w:w="2977"/>
      </w:tblGrid>
      <w:tr w:rsidR="00BE59B6" w:rsidRPr="00963D33" w14:paraId="415DD0DE" w14:textId="77777777" w:rsidTr="00CB0A56">
        <w:trPr>
          <w:trHeight w:val="334"/>
        </w:trPr>
        <w:tc>
          <w:tcPr>
            <w:tcW w:w="567" w:type="dxa"/>
            <w:vAlign w:val="center"/>
          </w:tcPr>
          <w:p w14:paraId="6C4E7EF4" w14:textId="77777777" w:rsidR="00BE59B6" w:rsidRPr="00963D33" w:rsidRDefault="00BE59B6" w:rsidP="00CB0A56">
            <w:pPr>
              <w:suppressAutoHyphens w:val="0"/>
              <w:spacing w:line="260" w:lineRule="atLeast"/>
              <w:rPr>
                <w:rFonts w:ascii="Arial" w:eastAsiaTheme="minorHAnsi" w:hAnsi="Arial" w:cs="Arial"/>
                <w:b/>
                <w:bCs/>
                <w:sz w:val="20"/>
                <w:lang w:eastAsia="en-US"/>
              </w:rPr>
            </w:pPr>
            <w:r w:rsidRPr="00963D33">
              <w:rPr>
                <w:rFonts w:ascii="Arial" w:eastAsiaTheme="minorHAnsi" w:hAnsi="Arial" w:cs="Arial"/>
                <w:b/>
                <w:bCs/>
                <w:sz w:val="20"/>
                <w:szCs w:val="22"/>
                <w:lang w:eastAsia="en-US"/>
              </w:rPr>
              <w:t>I.</w:t>
            </w:r>
          </w:p>
        </w:tc>
        <w:tc>
          <w:tcPr>
            <w:tcW w:w="5765" w:type="dxa"/>
            <w:vAlign w:val="center"/>
          </w:tcPr>
          <w:p w14:paraId="1A695100" w14:textId="77777777" w:rsidR="00BE59B6" w:rsidRPr="00963D33" w:rsidRDefault="00BE59B6" w:rsidP="00CB0A56">
            <w:pPr>
              <w:suppressAutoHyphens w:val="0"/>
              <w:spacing w:line="260" w:lineRule="atLeast"/>
              <w:rPr>
                <w:rFonts w:ascii="Arial" w:eastAsiaTheme="minorHAnsi" w:hAnsi="Arial" w:cs="Arial"/>
                <w:b/>
                <w:bCs/>
                <w:sz w:val="20"/>
                <w:lang w:eastAsia="en-US"/>
              </w:rPr>
            </w:pPr>
            <w:r w:rsidRPr="00963D33">
              <w:rPr>
                <w:rFonts w:ascii="Arial" w:eastAsiaTheme="minorHAnsi" w:hAnsi="Arial" w:cs="Arial"/>
                <w:b/>
                <w:bCs/>
                <w:sz w:val="20"/>
                <w:szCs w:val="22"/>
                <w:lang w:eastAsia="en-US"/>
              </w:rPr>
              <w:t xml:space="preserve">Proračun Republike Slovenije </w:t>
            </w:r>
          </w:p>
        </w:tc>
        <w:tc>
          <w:tcPr>
            <w:tcW w:w="2977" w:type="dxa"/>
          </w:tcPr>
          <w:p w14:paraId="5555384D" w14:textId="77777777" w:rsidR="00BE59B6" w:rsidRPr="00963D33" w:rsidDel="00FA557F" w:rsidRDefault="00BE59B6" w:rsidP="00CB0A56">
            <w:pPr>
              <w:suppressAutoHyphens w:val="0"/>
              <w:spacing w:after="200" w:line="260" w:lineRule="atLeast"/>
              <w:jc w:val="right"/>
              <w:rPr>
                <w:rFonts w:ascii="Arial" w:eastAsiaTheme="minorHAnsi" w:hAnsi="Arial" w:cs="Arial"/>
                <w:bCs/>
                <w:sz w:val="20"/>
                <w:lang w:eastAsia="en-US"/>
              </w:rPr>
            </w:pPr>
          </w:p>
        </w:tc>
      </w:tr>
      <w:tr w:rsidR="00BE59B6" w:rsidRPr="00963D33" w14:paraId="5CF7BA32" w14:textId="77777777" w:rsidTr="00CB0A56">
        <w:trPr>
          <w:trHeight w:val="520"/>
        </w:trPr>
        <w:tc>
          <w:tcPr>
            <w:tcW w:w="567" w:type="dxa"/>
            <w:vAlign w:val="center"/>
          </w:tcPr>
          <w:p w14:paraId="4722A7E5" w14:textId="77777777" w:rsidR="00BE59B6" w:rsidRPr="00963D33" w:rsidRDefault="00BE59B6" w:rsidP="00CB0A56">
            <w:pPr>
              <w:suppressAutoHyphens w:val="0"/>
              <w:spacing w:after="200" w:line="260" w:lineRule="atLeast"/>
              <w:jc w:val="center"/>
              <w:rPr>
                <w:rFonts w:ascii="Arial" w:eastAsiaTheme="minorHAnsi" w:hAnsi="Arial" w:cs="Arial"/>
                <w:b/>
                <w:bCs/>
                <w:sz w:val="20"/>
                <w:lang w:eastAsia="en-US"/>
              </w:rPr>
            </w:pPr>
          </w:p>
        </w:tc>
        <w:tc>
          <w:tcPr>
            <w:tcW w:w="5765" w:type="dxa"/>
            <w:vAlign w:val="center"/>
          </w:tcPr>
          <w:p w14:paraId="178FCE77" w14:textId="77777777" w:rsidR="00BE59B6" w:rsidRPr="00963D33" w:rsidRDefault="00BE59B6" w:rsidP="00CB0A56">
            <w:pPr>
              <w:numPr>
                <w:ilvl w:val="0"/>
                <w:numId w:val="11"/>
              </w:numPr>
              <w:suppressAutoHyphens w:val="0"/>
              <w:spacing w:line="260" w:lineRule="atLeast"/>
              <w:contextualSpacing/>
              <w:rPr>
                <w:rFonts w:ascii="Arial" w:eastAsiaTheme="minorHAnsi" w:hAnsi="Arial" w:cs="Arial"/>
                <w:bCs/>
                <w:sz w:val="20"/>
                <w:lang w:eastAsia="en-US"/>
              </w:rPr>
            </w:pPr>
            <w:r w:rsidRPr="00963D33">
              <w:rPr>
                <w:rFonts w:ascii="Arial" w:eastAsiaTheme="minorHAnsi" w:hAnsi="Arial" w:cs="Arial"/>
                <w:bCs/>
                <w:sz w:val="20"/>
                <w:szCs w:val="22"/>
                <w:lang w:eastAsia="en-US"/>
              </w:rPr>
              <w:t>Primanjkljaj A. Bilance prihodkov in odhodkov</w:t>
            </w:r>
          </w:p>
        </w:tc>
        <w:tc>
          <w:tcPr>
            <w:tcW w:w="2977" w:type="dxa"/>
            <w:vAlign w:val="center"/>
          </w:tcPr>
          <w:p w14:paraId="02F06FA5" w14:textId="77777777" w:rsidR="00BE59B6" w:rsidRPr="00963D33" w:rsidRDefault="00BE59B6" w:rsidP="00CB0A56">
            <w:pPr>
              <w:suppressAutoHyphens w:val="0"/>
              <w:spacing w:line="260" w:lineRule="atLeast"/>
              <w:jc w:val="right"/>
              <w:rPr>
                <w:rFonts w:ascii="Arial" w:eastAsiaTheme="minorHAnsi" w:hAnsi="Arial" w:cs="Arial"/>
                <w:bCs/>
                <w:sz w:val="20"/>
                <w:lang w:eastAsia="en-US"/>
              </w:rPr>
            </w:pPr>
            <w:r w:rsidRPr="00963D33">
              <w:rPr>
                <w:rFonts w:ascii="Arial" w:eastAsiaTheme="minorHAnsi" w:hAnsi="Arial" w:cs="Arial"/>
                <w:bCs/>
                <w:sz w:val="20"/>
                <w:szCs w:val="22"/>
                <w:lang w:eastAsia="en-US"/>
              </w:rPr>
              <w:t>2.938.050.940,00 EUR</w:t>
            </w:r>
          </w:p>
        </w:tc>
      </w:tr>
      <w:tr w:rsidR="00BE59B6" w:rsidRPr="00963D33" w14:paraId="182E9BDD" w14:textId="77777777" w:rsidTr="00CB0A56">
        <w:trPr>
          <w:trHeight w:val="520"/>
        </w:trPr>
        <w:tc>
          <w:tcPr>
            <w:tcW w:w="567" w:type="dxa"/>
            <w:vAlign w:val="center"/>
          </w:tcPr>
          <w:p w14:paraId="26AF0548" w14:textId="77777777" w:rsidR="00BE59B6" w:rsidRPr="00963D33" w:rsidRDefault="00BE59B6" w:rsidP="00CB0A56">
            <w:pPr>
              <w:suppressAutoHyphens w:val="0"/>
              <w:spacing w:after="200" w:line="260" w:lineRule="atLeast"/>
              <w:jc w:val="center"/>
              <w:rPr>
                <w:rFonts w:ascii="Arial" w:eastAsiaTheme="minorHAnsi" w:hAnsi="Arial" w:cs="Arial"/>
                <w:bCs/>
                <w:sz w:val="20"/>
                <w:lang w:eastAsia="en-US"/>
              </w:rPr>
            </w:pPr>
          </w:p>
        </w:tc>
        <w:tc>
          <w:tcPr>
            <w:tcW w:w="5765" w:type="dxa"/>
            <w:vAlign w:val="center"/>
          </w:tcPr>
          <w:p w14:paraId="236A61F7" w14:textId="77777777" w:rsidR="00BE59B6" w:rsidRPr="00963D33" w:rsidRDefault="00BE59B6" w:rsidP="00CB0A56">
            <w:pPr>
              <w:numPr>
                <w:ilvl w:val="0"/>
                <w:numId w:val="11"/>
              </w:numPr>
              <w:suppressAutoHyphens w:val="0"/>
              <w:spacing w:line="260" w:lineRule="atLeast"/>
              <w:contextualSpacing/>
              <w:rPr>
                <w:rFonts w:ascii="Arial" w:eastAsiaTheme="minorHAnsi" w:hAnsi="Arial" w:cs="Arial"/>
                <w:bCs/>
                <w:sz w:val="20"/>
                <w:lang w:eastAsia="en-US"/>
              </w:rPr>
            </w:pPr>
            <w:r w:rsidRPr="00963D33">
              <w:rPr>
                <w:rFonts w:ascii="Arial" w:eastAsiaTheme="minorHAnsi" w:hAnsi="Arial" w:cs="Arial"/>
                <w:bCs/>
                <w:sz w:val="20"/>
                <w:szCs w:val="22"/>
                <w:lang w:eastAsia="en-US"/>
              </w:rPr>
              <w:t>Primanjkljaj B. Računa finančnih terjatev in naložb</w:t>
            </w:r>
          </w:p>
        </w:tc>
        <w:tc>
          <w:tcPr>
            <w:tcW w:w="2977" w:type="dxa"/>
            <w:vAlign w:val="center"/>
          </w:tcPr>
          <w:p w14:paraId="433D0D28" w14:textId="77777777" w:rsidR="00BE59B6" w:rsidRPr="00963D33" w:rsidRDefault="00BE59B6" w:rsidP="00CB0A56">
            <w:pPr>
              <w:suppressAutoHyphens w:val="0"/>
              <w:spacing w:line="260" w:lineRule="atLeast"/>
              <w:jc w:val="right"/>
              <w:rPr>
                <w:rFonts w:ascii="Arial" w:eastAsiaTheme="minorHAnsi" w:hAnsi="Arial" w:cs="Arial"/>
                <w:bCs/>
                <w:sz w:val="20"/>
                <w:lang w:eastAsia="en-US"/>
              </w:rPr>
            </w:pPr>
            <w:r w:rsidRPr="00963D33">
              <w:rPr>
                <w:rFonts w:ascii="Arial" w:eastAsiaTheme="minorHAnsi" w:hAnsi="Arial" w:cs="Arial"/>
                <w:bCs/>
                <w:sz w:val="20"/>
                <w:szCs w:val="22"/>
                <w:lang w:eastAsia="en-US"/>
              </w:rPr>
              <w:t>736.139.778,00 EUR</w:t>
            </w:r>
          </w:p>
        </w:tc>
      </w:tr>
      <w:tr w:rsidR="00BE59B6" w:rsidRPr="00963D33" w14:paraId="7E2BFDEA" w14:textId="77777777" w:rsidTr="00CB0A56">
        <w:trPr>
          <w:trHeight w:val="520"/>
        </w:trPr>
        <w:tc>
          <w:tcPr>
            <w:tcW w:w="567" w:type="dxa"/>
            <w:vAlign w:val="center"/>
          </w:tcPr>
          <w:p w14:paraId="4F1E2914" w14:textId="77777777" w:rsidR="00BE59B6" w:rsidRPr="00963D33" w:rsidRDefault="00BE59B6" w:rsidP="00CB0A56">
            <w:pPr>
              <w:suppressAutoHyphens w:val="0"/>
              <w:spacing w:after="200" w:line="260" w:lineRule="atLeast"/>
              <w:jc w:val="center"/>
              <w:rPr>
                <w:rFonts w:ascii="Arial" w:eastAsiaTheme="minorHAnsi" w:hAnsi="Arial" w:cs="Arial"/>
                <w:bCs/>
                <w:sz w:val="20"/>
                <w:lang w:eastAsia="en-US"/>
              </w:rPr>
            </w:pPr>
          </w:p>
        </w:tc>
        <w:tc>
          <w:tcPr>
            <w:tcW w:w="5765" w:type="dxa"/>
            <w:vAlign w:val="center"/>
          </w:tcPr>
          <w:p w14:paraId="531ABC28" w14:textId="77777777" w:rsidR="00BE59B6" w:rsidRPr="00963D33" w:rsidRDefault="00BE59B6" w:rsidP="00CB0A56">
            <w:pPr>
              <w:numPr>
                <w:ilvl w:val="0"/>
                <w:numId w:val="11"/>
              </w:numPr>
              <w:suppressAutoHyphens w:val="0"/>
              <w:spacing w:line="260" w:lineRule="atLeast"/>
              <w:contextualSpacing/>
              <w:rPr>
                <w:rFonts w:ascii="Arial" w:eastAsiaTheme="minorHAnsi" w:hAnsi="Arial" w:cs="Arial"/>
                <w:bCs/>
                <w:sz w:val="20"/>
                <w:lang w:eastAsia="en-US"/>
              </w:rPr>
            </w:pPr>
            <w:r w:rsidRPr="00963D33">
              <w:rPr>
                <w:rFonts w:ascii="Arial" w:eastAsiaTheme="minorHAnsi" w:hAnsi="Arial" w:cs="Arial"/>
                <w:bCs/>
                <w:sz w:val="20"/>
                <w:szCs w:val="22"/>
                <w:lang w:eastAsia="en-US"/>
              </w:rPr>
              <w:t>C. Račun financiranja - Odplačila glavnic dolga državnega proračuna v letu 2023</w:t>
            </w:r>
            <w:r w:rsidRPr="00963D33">
              <w:rPr>
                <w:rFonts w:ascii="Arial" w:eastAsiaTheme="minorHAnsi" w:hAnsi="Arial" w:cstheme="minorBidi"/>
                <w:bCs/>
                <w:sz w:val="20"/>
                <w:szCs w:val="22"/>
                <w:vertAlign w:val="superscript"/>
                <w:lang w:eastAsia="en-US"/>
              </w:rPr>
              <w:footnoteReference w:id="2"/>
            </w:r>
          </w:p>
        </w:tc>
        <w:tc>
          <w:tcPr>
            <w:tcW w:w="2977" w:type="dxa"/>
            <w:vAlign w:val="center"/>
          </w:tcPr>
          <w:p w14:paraId="43B126D8" w14:textId="77777777" w:rsidR="00BE59B6" w:rsidRPr="00963D33" w:rsidRDefault="00BE59B6" w:rsidP="00CB0A56">
            <w:pPr>
              <w:suppressAutoHyphens w:val="0"/>
              <w:spacing w:line="260" w:lineRule="atLeast"/>
              <w:jc w:val="right"/>
              <w:rPr>
                <w:rFonts w:ascii="Arial" w:eastAsiaTheme="minorHAnsi" w:hAnsi="Arial" w:cs="Arial"/>
                <w:bCs/>
                <w:sz w:val="20"/>
                <w:lang w:eastAsia="en-US"/>
              </w:rPr>
            </w:pPr>
            <w:r w:rsidRPr="00963D33">
              <w:rPr>
                <w:rFonts w:ascii="Arial" w:eastAsiaTheme="minorHAnsi" w:hAnsi="Arial" w:cs="Arial"/>
                <w:bCs/>
                <w:sz w:val="20"/>
                <w:szCs w:val="22"/>
                <w:lang w:eastAsia="en-US"/>
              </w:rPr>
              <w:t>1.491.639.085,00 EUR</w:t>
            </w:r>
          </w:p>
        </w:tc>
      </w:tr>
      <w:tr w:rsidR="00BE59B6" w:rsidRPr="00963D33" w14:paraId="2860B885" w14:textId="77777777" w:rsidTr="00CB0A56">
        <w:trPr>
          <w:trHeight w:val="520"/>
        </w:trPr>
        <w:tc>
          <w:tcPr>
            <w:tcW w:w="567" w:type="dxa"/>
            <w:vAlign w:val="center"/>
          </w:tcPr>
          <w:p w14:paraId="78B8E4DA" w14:textId="77777777" w:rsidR="00BE59B6" w:rsidRPr="00963D33" w:rsidRDefault="00BE59B6" w:rsidP="00CB0A56">
            <w:pPr>
              <w:suppressAutoHyphens w:val="0"/>
              <w:spacing w:after="200" w:line="260" w:lineRule="atLeast"/>
              <w:jc w:val="center"/>
              <w:rPr>
                <w:rFonts w:ascii="Arial" w:eastAsiaTheme="minorHAnsi" w:hAnsi="Arial" w:cs="Arial"/>
                <w:b/>
                <w:bCs/>
                <w:sz w:val="20"/>
                <w:lang w:eastAsia="en-US"/>
              </w:rPr>
            </w:pPr>
          </w:p>
        </w:tc>
        <w:tc>
          <w:tcPr>
            <w:tcW w:w="5765" w:type="dxa"/>
          </w:tcPr>
          <w:p w14:paraId="6830804B" w14:textId="77777777" w:rsidR="00BE59B6" w:rsidRPr="00963D33" w:rsidRDefault="00BE59B6" w:rsidP="00CB0A56">
            <w:pPr>
              <w:numPr>
                <w:ilvl w:val="0"/>
                <w:numId w:val="11"/>
              </w:numPr>
              <w:suppressAutoHyphens w:val="0"/>
              <w:spacing w:line="260" w:lineRule="atLeast"/>
              <w:contextualSpacing/>
              <w:rPr>
                <w:rFonts w:ascii="Arial" w:eastAsiaTheme="minorHAnsi" w:hAnsi="Arial" w:cs="Arial"/>
                <w:bCs/>
                <w:sz w:val="20"/>
                <w:lang w:eastAsia="en-US"/>
              </w:rPr>
            </w:pPr>
            <w:r w:rsidRPr="00963D33">
              <w:rPr>
                <w:rFonts w:ascii="Arial" w:eastAsiaTheme="minorHAnsi" w:hAnsi="Arial" w:cs="Arial"/>
                <w:bCs/>
                <w:sz w:val="20"/>
                <w:szCs w:val="22"/>
                <w:lang w:eastAsia="en-US"/>
              </w:rPr>
              <w:t>C. Račun financiranja – Sprememba (zmanjšanje) stanja sredstev na računu</w:t>
            </w:r>
          </w:p>
        </w:tc>
        <w:tc>
          <w:tcPr>
            <w:tcW w:w="2977" w:type="dxa"/>
            <w:vAlign w:val="center"/>
          </w:tcPr>
          <w:p w14:paraId="27B6BC40" w14:textId="77777777" w:rsidR="00BE59B6" w:rsidRPr="00963D33" w:rsidRDefault="00BE59B6" w:rsidP="00CB0A56">
            <w:pPr>
              <w:suppressAutoHyphens w:val="0"/>
              <w:spacing w:line="260" w:lineRule="atLeast"/>
              <w:ind w:left="360"/>
              <w:jc w:val="right"/>
              <w:rPr>
                <w:rFonts w:ascii="Arial" w:eastAsiaTheme="minorHAnsi" w:hAnsi="Arial" w:cs="Arial"/>
                <w:bCs/>
                <w:sz w:val="20"/>
                <w:lang w:eastAsia="en-US"/>
              </w:rPr>
            </w:pPr>
            <w:r w:rsidRPr="00963D33">
              <w:rPr>
                <w:rFonts w:ascii="Arial" w:eastAsiaTheme="minorHAnsi" w:hAnsi="Arial" w:cs="Arial"/>
                <w:bCs/>
                <w:sz w:val="20"/>
                <w:szCs w:val="22"/>
                <w:lang w:eastAsia="en-US"/>
              </w:rPr>
              <w:t>-1.000.000.000,00 EUR</w:t>
            </w:r>
          </w:p>
        </w:tc>
      </w:tr>
      <w:tr w:rsidR="00BE59B6" w:rsidRPr="00963D33" w14:paraId="456F9DF7" w14:textId="77777777" w:rsidTr="00CB0A56">
        <w:trPr>
          <w:trHeight w:val="520"/>
        </w:trPr>
        <w:tc>
          <w:tcPr>
            <w:tcW w:w="567" w:type="dxa"/>
            <w:vAlign w:val="center"/>
          </w:tcPr>
          <w:p w14:paraId="219394EB" w14:textId="77777777" w:rsidR="00BE59B6" w:rsidRPr="00963D33" w:rsidRDefault="00BE59B6" w:rsidP="00CB0A56">
            <w:pPr>
              <w:suppressAutoHyphens w:val="0"/>
              <w:spacing w:after="200" w:line="260" w:lineRule="atLeast"/>
              <w:jc w:val="center"/>
              <w:rPr>
                <w:rFonts w:ascii="Arial" w:eastAsiaTheme="minorHAnsi" w:hAnsi="Arial" w:cs="Arial"/>
                <w:b/>
                <w:bCs/>
                <w:sz w:val="20"/>
                <w:lang w:eastAsia="en-US"/>
              </w:rPr>
            </w:pPr>
          </w:p>
        </w:tc>
        <w:tc>
          <w:tcPr>
            <w:tcW w:w="5765" w:type="dxa"/>
            <w:vAlign w:val="center"/>
          </w:tcPr>
          <w:p w14:paraId="35C4C39A" w14:textId="77777777" w:rsidR="00BE59B6" w:rsidRPr="00963D33" w:rsidRDefault="00BE59B6" w:rsidP="00CB0A56">
            <w:pPr>
              <w:tabs>
                <w:tab w:val="left" w:pos="1508"/>
              </w:tabs>
              <w:suppressAutoHyphens w:val="0"/>
              <w:spacing w:line="260" w:lineRule="atLeast"/>
              <w:rPr>
                <w:rFonts w:ascii="Arial" w:eastAsiaTheme="minorHAnsi" w:hAnsi="Arial" w:cs="Arial"/>
                <w:b/>
                <w:bCs/>
                <w:sz w:val="20"/>
                <w:lang w:eastAsia="en-US"/>
              </w:rPr>
            </w:pPr>
            <w:r w:rsidRPr="00963D33">
              <w:rPr>
                <w:rFonts w:ascii="Arial" w:eastAsiaTheme="minorHAnsi" w:hAnsi="Arial" w:cs="Arial"/>
                <w:b/>
                <w:bCs/>
                <w:sz w:val="20"/>
                <w:szCs w:val="22"/>
                <w:lang w:eastAsia="en-US"/>
              </w:rPr>
              <w:t>Skupaj I. (1.+2.+3.-4.)</w:t>
            </w:r>
            <w:r w:rsidRPr="00963D33">
              <w:rPr>
                <w:rFonts w:ascii="Arial" w:eastAsiaTheme="minorHAnsi" w:hAnsi="Arial" w:cs="Arial"/>
                <w:b/>
                <w:bCs/>
                <w:sz w:val="20"/>
                <w:szCs w:val="22"/>
                <w:lang w:eastAsia="en-US"/>
              </w:rPr>
              <w:tab/>
            </w:r>
          </w:p>
        </w:tc>
        <w:tc>
          <w:tcPr>
            <w:tcW w:w="2977" w:type="dxa"/>
            <w:vAlign w:val="center"/>
          </w:tcPr>
          <w:p w14:paraId="5890C8AE" w14:textId="77777777" w:rsidR="00BE59B6" w:rsidRPr="00963D33" w:rsidRDefault="00BE59B6" w:rsidP="00CB0A56">
            <w:pPr>
              <w:suppressAutoHyphens w:val="0"/>
              <w:spacing w:line="260" w:lineRule="atLeast"/>
              <w:jc w:val="right"/>
              <w:rPr>
                <w:rFonts w:ascii="Arial" w:eastAsiaTheme="minorHAnsi" w:hAnsi="Arial" w:cs="Arial"/>
                <w:b/>
                <w:bCs/>
                <w:sz w:val="20"/>
                <w:lang w:eastAsia="en-US"/>
              </w:rPr>
            </w:pPr>
            <w:r w:rsidRPr="00963D33">
              <w:rPr>
                <w:rFonts w:ascii="Arial" w:eastAsiaTheme="minorHAnsi" w:hAnsi="Arial" w:cs="Arial"/>
                <w:b/>
                <w:bCs/>
                <w:sz w:val="20"/>
                <w:szCs w:val="22"/>
                <w:lang w:eastAsia="en-US"/>
              </w:rPr>
              <w:t>4.165.829.803,00 EUR</w:t>
            </w:r>
          </w:p>
        </w:tc>
      </w:tr>
      <w:tr w:rsidR="00BE59B6" w:rsidRPr="00963D33" w14:paraId="73E96611" w14:textId="77777777" w:rsidTr="00CB0A56">
        <w:trPr>
          <w:trHeight w:val="136"/>
        </w:trPr>
        <w:tc>
          <w:tcPr>
            <w:tcW w:w="9309" w:type="dxa"/>
            <w:gridSpan w:val="3"/>
            <w:vAlign w:val="center"/>
          </w:tcPr>
          <w:p w14:paraId="660BF601" w14:textId="77777777" w:rsidR="00BE59B6" w:rsidRPr="00963D33" w:rsidRDefault="00BE59B6" w:rsidP="00CB0A56">
            <w:pPr>
              <w:suppressAutoHyphens w:val="0"/>
              <w:spacing w:line="260" w:lineRule="atLeast"/>
              <w:jc w:val="right"/>
              <w:rPr>
                <w:rFonts w:ascii="Arial" w:eastAsiaTheme="minorHAnsi" w:hAnsi="Arial" w:cs="Arial"/>
                <w:b/>
                <w:bCs/>
                <w:sz w:val="20"/>
                <w:lang w:eastAsia="en-US"/>
              </w:rPr>
            </w:pPr>
          </w:p>
        </w:tc>
      </w:tr>
      <w:tr w:rsidR="00BE59B6" w:rsidRPr="00963D33" w14:paraId="0D7FE2CA" w14:textId="77777777" w:rsidTr="00CB0A56">
        <w:tc>
          <w:tcPr>
            <w:tcW w:w="567" w:type="dxa"/>
            <w:vAlign w:val="center"/>
          </w:tcPr>
          <w:p w14:paraId="5BFD94FB" w14:textId="77777777" w:rsidR="00BE59B6" w:rsidRPr="00963D33" w:rsidRDefault="00BE59B6" w:rsidP="00CB0A56">
            <w:pPr>
              <w:suppressAutoHyphens w:val="0"/>
              <w:spacing w:line="260" w:lineRule="atLeast"/>
              <w:jc w:val="center"/>
              <w:rPr>
                <w:rFonts w:ascii="Arial" w:eastAsiaTheme="minorHAnsi" w:hAnsi="Arial" w:cs="Arial"/>
                <w:b/>
                <w:bCs/>
                <w:sz w:val="20"/>
                <w:lang w:eastAsia="en-US"/>
              </w:rPr>
            </w:pPr>
            <w:r w:rsidRPr="00963D33">
              <w:rPr>
                <w:rFonts w:ascii="Arial" w:eastAsiaTheme="minorHAnsi" w:hAnsi="Arial" w:cs="Arial"/>
                <w:b/>
                <w:bCs/>
                <w:sz w:val="20"/>
                <w:szCs w:val="22"/>
                <w:lang w:eastAsia="en-US"/>
              </w:rPr>
              <w:t>II.</w:t>
            </w:r>
          </w:p>
        </w:tc>
        <w:tc>
          <w:tcPr>
            <w:tcW w:w="5765" w:type="dxa"/>
            <w:shd w:val="clear" w:color="auto" w:fill="FFFFFF"/>
          </w:tcPr>
          <w:p w14:paraId="2A49564C" w14:textId="77777777" w:rsidR="00BE59B6" w:rsidRPr="00963D33" w:rsidRDefault="00BE59B6" w:rsidP="00CB0A56">
            <w:pPr>
              <w:suppressAutoHyphens w:val="0"/>
              <w:spacing w:line="260" w:lineRule="atLeast"/>
              <w:rPr>
                <w:rFonts w:ascii="Arial" w:eastAsiaTheme="minorHAnsi" w:hAnsi="Arial" w:cs="Arial"/>
                <w:b/>
                <w:bCs/>
                <w:sz w:val="20"/>
                <w:lang w:eastAsia="en-US"/>
              </w:rPr>
            </w:pPr>
            <w:r w:rsidRPr="00963D33">
              <w:rPr>
                <w:rFonts w:ascii="Arial" w:eastAsiaTheme="minorHAnsi" w:hAnsi="Arial" w:cs="Arial"/>
                <w:b/>
                <w:bCs/>
                <w:sz w:val="20"/>
                <w:szCs w:val="22"/>
                <w:lang w:eastAsia="en-US"/>
              </w:rPr>
              <w:t>Predfinanciranje, izvršeno v letu 2022, in kupnine od prodaje kapitalskih naložb</w:t>
            </w:r>
          </w:p>
        </w:tc>
        <w:tc>
          <w:tcPr>
            <w:tcW w:w="2977" w:type="dxa"/>
            <w:shd w:val="clear" w:color="auto" w:fill="FFFFFF"/>
            <w:vAlign w:val="center"/>
          </w:tcPr>
          <w:p w14:paraId="5A8077C7" w14:textId="77777777" w:rsidR="00BE59B6" w:rsidRPr="00963D33" w:rsidRDefault="00BE59B6" w:rsidP="00CB0A56">
            <w:pPr>
              <w:suppressAutoHyphens w:val="0"/>
              <w:spacing w:line="260" w:lineRule="atLeast"/>
              <w:jc w:val="right"/>
              <w:rPr>
                <w:rFonts w:ascii="Arial" w:eastAsiaTheme="minorHAnsi" w:hAnsi="Arial" w:cs="Arial"/>
                <w:bCs/>
                <w:color w:val="FF0000"/>
                <w:sz w:val="20"/>
                <w:lang w:eastAsia="en-US"/>
              </w:rPr>
            </w:pPr>
          </w:p>
        </w:tc>
      </w:tr>
      <w:tr w:rsidR="00BE59B6" w:rsidRPr="00963D33" w14:paraId="4090C400" w14:textId="77777777" w:rsidTr="00CB0A56">
        <w:tc>
          <w:tcPr>
            <w:tcW w:w="567" w:type="dxa"/>
            <w:vAlign w:val="center"/>
          </w:tcPr>
          <w:p w14:paraId="7E2C1C85" w14:textId="77777777" w:rsidR="00BE59B6" w:rsidRPr="00963D33" w:rsidRDefault="00BE59B6" w:rsidP="00CB0A56">
            <w:pPr>
              <w:suppressAutoHyphens w:val="0"/>
              <w:spacing w:line="260" w:lineRule="atLeast"/>
              <w:jc w:val="center"/>
              <w:rPr>
                <w:rFonts w:ascii="Arial" w:eastAsiaTheme="minorHAnsi" w:hAnsi="Arial" w:cs="Arial"/>
                <w:sz w:val="20"/>
                <w:lang w:eastAsia="en-US"/>
              </w:rPr>
            </w:pPr>
          </w:p>
        </w:tc>
        <w:tc>
          <w:tcPr>
            <w:tcW w:w="5765" w:type="dxa"/>
            <w:shd w:val="clear" w:color="auto" w:fill="FFFFFF"/>
          </w:tcPr>
          <w:p w14:paraId="7D4F22E8" w14:textId="77777777" w:rsidR="00BE59B6" w:rsidRPr="00963D33" w:rsidRDefault="00BE59B6" w:rsidP="00CB0A56">
            <w:pPr>
              <w:numPr>
                <w:ilvl w:val="0"/>
                <w:numId w:val="40"/>
              </w:numPr>
              <w:suppressAutoHyphens w:val="0"/>
              <w:spacing w:line="260" w:lineRule="atLeast"/>
              <w:contextualSpacing/>
              <w:rPr>
                <w:rFonts w:ascii="Arial" w:eastAsiaTheme="minorHAnsi" w:hAnsi="Arial" w:cs="Arial"/>
                <w:sz w:val="20"/>
                <w:lang w:eastAsia="en-US"/>
              </w:rPr>
            </w:pPr>
            <w:r w:rsidRPr="00963D33">
              <w:rPr>
                <w:rFonts w:ascii="Arial" w:eastAsiaTheme="minorHAnsi" w:hAnsi="Arial" w:cs="Arial"/>
                <w:sz w:val="20"/>
                <w:szCs w:val="22"/>
                <w:lang w:eastAsia="en-US"/>
              </w:rPr>
              <w:t>Predfinanciranje, izvršeno v letu 2022</w:t>
            </w:r>
          </w:p>
        </w:tc>
        <w:tc>
          <w:tcPr>
            <w:tcW w:w="2977" w:type="dxa"/>
            <w:shd w:val="clear" w:color="auto" w:fill="FFFFFF"/>
            <w:vAlign w:val="center"/>
          </w:tcPr>
          <w:p w14:paraId="5FFB2394" w14:textId="77777777" w:rsidR="00BE59B6" w:rsidRPr="00963D33" w:rsidRDefault="00BE59B6" w:rsidP="00CB0A56">
            <w:pPr>
              <w:suppressAutoHyphens w:val="0"/>
              <w:spacing w:line="260" w:lineRule="atLeast"/>
              <w:jc w:val="center"/>
              <w:rPr>
                <w:rFonts w:ascii="Arial" w:eastAsiaTheme="minorHAnsi" w:hAnsi="Arial" w:cs="Arial"/>
                <w:sz w:val="20"/>
                <w:lang w:eastAsia="en-US"/>
              </w:rPr>
            </w:pPr>
            <w:r w:rsidRPr="00963D33">
              <w:rPr>
                <w:rFonts w:ascii="Arial" w:eastAsiaTheme="minorHAnsi" w:hAnsi="Arial" w:cs="Arial"/>
                <w:bCs/>
                <w:sz w:val="20"/>
                <w:szCs w:val="22"/>
                <w:lang w:eastAsia="en-US"/>
              </w:rPr>
              <w:t>/</w:t>
            </w:r>
          </w:p>
        </w:tc>
      </w:tr>
      <w:tr w:rsidR="00BE59B6" w:rsidRPr="00963D33" w14:paraId="194CDAD0" w14:textId="77777777" w:rsidTr="00CB0A56">
        <w:tc>
          <w:tcPr>
            <w:tcW w:w="567" w:type="dxa"/>
            <w:vAlign w:val="center"/>
          </w:tcPr>
          <w:p w14:paraId="0CBC08AC" w14:textId="77777777" w:rsidR="00BE59B6" w:rsidRPr="00963D33" w:rsidRDefault="00BE59B6" w:rsidP="00CB0A56">
            <w:pPr>
              <w:suppressAutoHyphens w:val="0"/>
              <w:spacing w:line="260" w:lineRule="atLeast"/>
              <w:jc w:val="center"/>
              <w:rPr>
                <w:rFonts w:ascii="Arial" w:eastAsiaTheme="minorHAnsi" w:hAnsi="Arial" w:cs="Arial"/>
                <w:sz w:val="20"/>
                <w:lang w:eastAsia="en-US"/>
              </w:rPr>
            </w:pPr>
          </w:p>
        </w:tc>
        <w:tc>
          <w:tcPr>
            <w:tcW w:w="5765" w:type="dxa"/>
            <w:shd w:val="clear" w:color="auto" w:fill="FFFFFF"/>
          </w:tcPr>
          <w:p w14:paraId="24A56BB4" w14:textId="77777777" w:rsidR="00BE59B6" w:rsidRPr="00963D33" w:rsidRDefault="00BE59B6" w:rsidP="00CB0A56">
            <w:pPr>
              <w:numPr>
                <w:ilvl w:val="0"/>
                <w:numId w:val="40"/>
              </w:numPr>
              <w:suppressAutoHyphens w:val="0"/>
              <w:spacing w:line="260" w:lineRule="atLeast"/>
              <w:contextualSpacing/>
              <w:rPr>
                <w:rFonts w:ascii="Arial" w:eastAsiaTheme="minorHAnsi" w:hAnsi="Arial" w:cs="Arial"/>
                <w:sz w:val="20"/>
                <w:lang w:eastAsia="en-US"/>
              </w:rPr>
            </w:pPr>
            <w:r w:rsidRPr="00963D33">
              <w:rPr>
                <w:rFonts w:ascii="Arial" w:eastAsiaTheme="minorHAnsi" w:hAnsi="Arial" w:cs="Arial"/>
                <w:sz w:val="20"/>
                <w:szCs w:val="22"/>
                <w:lang w:eastAsia="en-US"/>
              </w:rPr>
              <w:t>Kupnine od prodaje kapitalskih naložb, neporabljene v letu 2022</w:t>
            </w:r>
          </w:p>
        </w:tc>
        <w:tc>
          <w:tcPr>
            <w:tcW w:w="2977" w:type="dxa"/>
            <w:shd w:val="clear" w:color="auto" w:fill="FFFFFF"/>
            <w:vAlign w:val="center"/>
          </w:tcPr>
          <w:p w14:paraId="79219B39" w14:textId="77777777" w:rsidR="00BE59B6" w:rsidRPr="00963D33" w:rsidRDefault="00BE59B6" w:rsidP="00CB0A56">
            <w:pPr>
              <w:suppressAutoHyphens w:val="0"/>
              <w:spacing w:line="260" w:lineRule="atLeast"/>
              <w:jc w:val="right"/>
              <w:rPr>
                <w:rFonts w:ascii="Arial" w:eastAsiaTheme="minorHAnsi" w:hAnsi="Arial" w:cs="Arial"/>
                <w:sz w:val="20"/>
                <w:lang w:eastAsia="en-US"/>
              </w:rPr>
            </w:pPr>
            <w:r w:rsidRPr="00963D33">
              <w:rPr>
                <w:rFonts w:ascii="Arial" w:eastAsiaTheme="minorHAnsi" w:hAnsi="Arial" w:cs="Arial"/>
                <w:sz w:val="20"/>
                <w:szCs w:val="22"/>
                <w:lang w:eastAsia="en-US"/>
              </w:rPr>
              <w:t xml:space="preserve">20.061,05 EUR     </w:t>
            </w:r>
          </w:p>
        </w:tc>
      </w:tr>
      <w:tr w:rsidR="00BE59B6" w:rsidRPr="00963D33" w14:paraId="3D338060" w14:textId="77777777" w:rsidTr="00CB0A56">
        <w:tc>
          <w:tcPr>
            <w:tcW w:w="9309" w:type="dxa"/>
            <w:gridSpan w:val="3"/>
            <w:vAlign w:val="center"/>
          </w:tcPr>
          <w:p w14:paraId="34730FD7" w14:textId="77777777" w:rsidR="00BE59B6" w:rsidRPr="00963D33" w:rsidRDefault="00BE59B6" w:rsidP="00CB0A56">
            <w:pPr>
              <w:suppressAutoHyphens w:val="0"/>
              <w:spacing w:line="260" w:lineRule="atLeast"/>
              <w:jc w:val="right"/>
              <w:rPr>
                <w:rFonts w:ascii="Arial" w:eastAsiaTheme="minorHAnsi" w:hAnsi="Arial" w:cs="Arial"/>
                <w:color w:val="FF0000"/>
                <w:sz w:val="20"/>
                <w:lang w:eastAsia="en-US"/>
              </w:rPr>
            </w:pPr>
          </w:p>
        </w:tc>
      </w:tr>
      <w:tr w:rsidR="00BE59B6" w:rsidRPr="00963D33" w14:paraId="04CDE4C3" w14:textId="77777777" w:rsidTr="00CB0A56">
        <w:tc>
          <w:tcPr>
            <w:tcW w:w="567" w:type="dxa"/>
            <w:shd w:val="clear" w:color="auto" w:fill="auto"/>
            <w:vAlign w:val="center"/>
          </w:tcPr>
          <w:p w14:paraId="7BD0B179" w14:textId="77777777" w:rsidR="00BE59B6" w:rsidRPr="00963D33" w:rsidRDefault="00BE59B6" w:rsidP="00CB0A56">
            <w:pPr>
              <w:suppressAutoHyphens w:val="0"/>
              <w:spacing w:line="260" w:lineRule="atLeast"/>
              <w:jc w:val="center"/>
              <w:rPr>
                <w:rFonts w:ascii="Arial" w:eastAsiaTheme="minorHAnsi" w:hAnsi="Arial" w:cs="Arial"/>
                <w:b/>
                <w:bCs/>
                <w:sz w:val="20"/>
                <w:lang w:eastAsia="en-US"/>
              </w:rPr>
            </w:pPr>
            <w:r w:rsidRPr="00963D33">
              <w:rPr>
                <w:rFonts w:ascii="Arial" w:eastAsiaTheme="minorHAnsi" w:hAnsi="Arial" w:cs="Arial"/>
                <w:b/>
                <w:bCs/>
                <w:sz w:val="20"/>
                <w:szCs w:val="22"/>
                <w:lang w:eastAsia="en-US"/>
              </w:rPr>
              <w:t xml:space="preserve">III. </w:t>
            </w:r>
          </w:p>
        </w:tc>
        <w:tc>
          <w:tcPr>
            <w:tcW w:w="5765" w:type="dxa"/>
            <w:shd w:val="clear" w:color="auto" w:fill="auto"/>
          </w:tcPr>
          <w:p w14:paraId="10355D8E" w14:textId="77777777" w:rsidR="00BE59B6" w:rsidRPr="00963D33" w:rsidRDefault="00BE59B6" w:rsidP="00CB0A56">
            <w:pPr>
              <w:suppressAutoHyphens w:val="0"/>
              <w:spacing w:line="260" w:lineRule="atLeast"/>
              <w:rPr>
                <w:rFonts w:ascii="Arial" w:eastAsiaTheme="minorHAnsi" w:hAnsi="Arial" w:cstheme="minorBidi"/>
                <w:sz w:val="20"/>
                <w:lang w:eastAsia="en-US"/>
              </w:rPr>
            </w:pPr>
            <w:r w:rsidRPr="00963D33">
              <w:rPr>
                <w:rFonts w:ascii="Arial" w:eastAsiaTheme="minorHAnsi" w:hAnsi="Arial" w:cs="Arial"/>
                <w:b/>
                <w:bCs/>
                <w:sz w:val="20"/>
                <w:szCs w:val="22"/>
                <w:lang w:eastAsia="en-US"/>
              </w:rPr>
              <w:t>Financiranje v letu 2023 za izvrševanje državnega proračuna (I-II)</w:t>
            </w:r>
          </w:p>
        </w:tc>
        <w:tc>
          <w:tcPr>
            <w:tcW w:w="2977" w:type="dxa"/>
            <w:shd w:val="clear" w:color="auto" w:fill="auto"/>
            <w:vAlign w:val="center"/>
          </w:tcPr>
          <w:p w14:paraId="6A52C7F5" w14:textId="77777777" w:rsidR="00BE59B6" w:rsidRPr="00963D33" w:rsidRDefault="00BE59B6" w:rsidP="00CB0A56">
            <w:pPr>
              <w:suppressAutoHyphens w:val="0"/>
              <w:spacing w:line="260" w:lineRule="atLeast"/>
              <w:jc w:val="right"/>
              <w:rPr>
                <w:rFonts w:ascii="Arial" w:eastAsiaTheme="minorHAnsi" w:hAnsi="Arial" w:cstheme="minorBidi"/>
                <w:b/>
                <w:sz w:val="20"/>
                <w:lang w:eastAsia="en-US"/>
              </w:rPr>
            </w:pPr>
            <w:r w:rsidRPr="00963D33">
              <w:rPr>
                <w:rFonts w:ascii="Arial" w:eastAsiaTheme="minorHAnsi" w:hAnsi="Arial" w:cstheme="minorBidi"/>
                <w:b/>
                <w:sz w:val="20"/>
                <w:szCs w:val="22"/>
                <w:lang w:eastAsia="en-US"/>
              </w:rPr>
              <w:t>4.165.809.741,95 EUR</w:t>
            </w:r>
          </w:p>
        </w:tc>
      </w:tr>
    </w:tbl>
    <w:p w14:paraId="69CDCFC0" w14:textId="77777777" w:rsidR="00BE59B6" w:rsidRPr="00963D33" w:rsidRDefault="00BE59B6" w:rsidP="00BE59B6">
      <w:pPr>
        <w:suppressAutoHyphens w:val="0"/>
        <w:spacing w:after="200" w:line="260" w:lineRule="atLeast"/>
        <w:jc w:val="both"/>
        <w:rPr>
          <w:rFonts w:ascii="Arial" w:eastAsiaTheme="minorHAnsi" w:hAnsi="Arial" w:cs="Arial"/>
          <w:bCs/>
          <w:sz w:val="20"/>
          <w:szCs w:val="22"/>
          <w:lang w:eastAsia="en-US"/>
        </w:rPr>
      </w:pPr>
    </w:p>
    <w:p w14:paraId="17A7DA76" w14:textId="77777777" w:rsidR="00BE59B6" w:rsidRPr="00963D33" w:rsidRDefault="00BE59B6" w:rsidP="00BE59B6">
      <w:pPr>
        <w:suppressAutoHyphens w:val="0"/>
        <w:spacing w:after="200" w:line="260" w:lineRule="atLeast"/>
        <w:jc w:val="both"/>
        <w:rPr>
          <w:rFonts w:ascii="Arial" w:eastAsiaTheme="minorHAnsi" w:hAnsi="Arial" w:cs="Arial"/>
          <w:sz w:val="20"/>
          <w:szCs w:val="22"/>
          <w:lang w:eastAsia="en-US"/>
        </w:rPr>
      </w:pPr>
      <w:r w:rsidRPr="00963D33">
        <w:rPr>
          <w:rFonts w:ascii="Arial" w:eastAsiaTheme="minorHAnsi" w:hAnsi="Arial" w:cs="Arial"/>
          <w:bCs/>
          <w:sz w:val="20"/>
          <w:szCs w:val="22"/>
          <w:lang w:eastAsia="en-US"/>
        </w:rPr>
        <w:t>Zneski, navedeni v razdelku I. Tabele 2, so povzeti iz Rebalansa proračuna Republike Slovenije za leto 2023 (Uradni list RS, št.65/23; v nadaljnjem besedilu: Rebalans).</w:t>
      </w:r>
    </w:p>
    <w:p w14:paraId="1D748EF3" w14:textId="77777777" w:rsidR="00BE59B6" w:rsidRPr="00963D33" w:rsidRDefault="00BE59B6" w:rsidP="00BE59B6">
      <w:pPr>
        <w:suppressAutoHyphens w:val="0"/>
        <w:spacing w:after="200" w:line="260" w:lineRule="atLeast"/>
        <w:jc w:val="both"/>
        <w:rPr>
          <w:rFonts w:ascii="Arial" w:eastAsiaTheme="minorHAnsi" w:hAnsi="Arial" w:cstheme="minorBidi"/>
          <w:sz w:val="20"/>
          <w:szCs w:val="22"/>
          <w:highlight w:val="green"/>
          <w:lang w:eastAsia="en-US"/>
        </w:rPr>
      </w:pPr>
      <w:r w:rsidRPr="00963D33">
        <w:rPr>
          <w:rFonts w:ascii="Arial" w:eastAsiaTheme="minorHAnsi" w:hAnsi="Arial" w:cs="Arial"/>
          <w:bCs/>
          <w:sz w:val="20"/>
          <w:szCs w:val="22"/>
          <w:lang w:eastAsia="en-US"/>
        </w:rPr>
        <w:t xml:space="preserve">Glede na Rebalans, ki izkazuje primanjkljaj bilance A v višini 2.938.050.940,00 EUR in primanjkljaj bilance B v višini 736.139.778,00 EUR, ob upoštevanju potrebnega financiranja zapadlih glavnic v letu 2023 v višini 1.491.639.085,00 EUR in spremembe (zmanjšanja) sredstev na računu v C. računu financiranja 1.000.000.000,00 EUR, znaša potrebno financiranje za izvrševanje državnega proračuna v letu 2023 skupaj </w:t>
      </w:r>
      <w:bookmarkStart w:id="1" w:name="_Hlk137660932"/>
      <w:r w:rsidRPr="00963D33">
        <w:rPr>
          <w:rFonts w:ascii="Arial" w:eastAsiaTheme="minorHAnsi" w:hAnsi="Arial" w:cs="Arial"/>
          <w:bCs/>
          <w:sz w:val="20"/>
          <w:szCs w:val="22"/>
          <w:lang w:eastAsia="en-US"/>
        </w:rPr>
        <w:t xml:space="preserve">4.165.829.803,00 </w:t>
      </w:r>
      <w:bookmarkEnd w:id="1"/>
      <w:r w:rsidRPr="00963D33">
        <w:rPr>
          <w:rFonts w:ascii="Arial" w:eastAsiaTheme="minorHAnsi" w:hAnsi="Arial" w:cs="Arial"/>
          <w:bCs/>
          <w:sz w:val="20"/>
          <w:szCs w:val="22"/>
          <w:lang w:eastAsia="en-US"/>
        </w:rPr>
        <w:t xml:space="preserve">EUR. Ob upoštevanju porabe kupnine od prodaje kapitalskih naložb, neporabljene v letu 2022, znaša končni znesek financiranja v letu 2023 za izvrševanje državnega proračuna </w:t>
      </w:r>
      <w:bookmarkStart w:id="2" w:name="_Hlk137660968"/>
      <w:r w:rsidRPr="00963D33">
        <w:rPr>
          <w:rFonts w:ascii="Arial" w:eastAsiaTheme="minorHAnsi" w:hAnsi="Arial" w:cs="Arial"/>
          <w:bCs/>
          <w:sz w:val="20"/>
          <w:szCs w:val="22"/>
          <w:lang w:eastAsia="en-US"/>
        </w:rPr>
        <w:t xml:space="preserve">4.165.809.741,95 </w:t>
      </w:r>
      <w:bookmarkEnd w:id="2"/>
      <w:r w:rsidRPr="00963D33">
        <w:rPr>
          <w:rFonts w:ascii="Arial" w:eastAsiaTheme="minorHAnsi" w:hAnsi="Arial" w:cs="Arial"/>
          <w:bCs/>
          <w:sz w:val="20"/>
          <w:szCs w:val="22"/>
          <w:lang w:eastAsia="en-US"/>
        </w:rPr>
        <w:t xml:space="preserve">EUR.  </w:t>
      </w:r>
    </w:p>
    <w:p w14:paraId="1B9CCEF4" w14:textId="794A562F" w:rsidR="00BE59B6" w:rsidRDefault="00BE59B6" w:rsidP="00BE59B6">
      <w:pPr>
        <w:suppressAutoHyphens w:val="0"/>
        <w:spacing w:after="200" w:line="260" w:lineRule="atLeast"/>
        <w:jc w:val="both"/>
        <w:rPr>
          <w:rFonts w:ascii="Arial" w:eastAsiaTheme="minorHAnsi" w:hAnsi="Arial" w:cs="Arial"/>
          <w:bCs/>
          <w:sz w:val="20"/>
          <w:szCs w:val="22"/>
          <w:lang w:eastAsia="en-US"/>
        </w:rPr>
      </w:pPr>
      <w:r w:rsidRPr="00963D33">
        <w:rPr>
          <w:rFonts w:ascii="Arial" w:eastAsiaTheme="minorHAnsi" w:hAnsi="Arial" w:cs="Arial"/>
          <w:bCs/>
          <w:sz w:val="20"/>
          <w:szCs w:val="22"/>
          <w:lang w:eastAsia="en-US"/>
        </w:rPr>
        <w:t>V skladu z 81. členom ZJF je poleg financiranja izvrševanja proračuna Republike Slovenije za leto 2023 dovoljeno tudi predčasno financiranje dela proračunskih potreb prihodnjega dveletnega obdobja. Največji dodatni obseg zadolževanja, ki ga zakon dovoljuje za ta namen v letu 2023, je vsota odplačil glavnic dolga državnega proračuna, ki zapadejo v plačilo v letih 2024 in 2025, in sicer po stanju iz evidence dolga državnega proračuna na dan vsakokratne nove zadolžitve v letu 2023.</w:t>
      </w:r>
    </w:p>
    <w:p w14:paraId="33D9399E" w14:textId="77777777" w:rsidR="00BE59B6" w:rsidRPr="00963D33" w:rsidRDefault="00BE59B6" w:rsidP="00BE59B6">
      <w:pPr>
        <w:suppressAutoHyphens w:val="0"/>
        <w:spacing w:after="200" w:line="260" w:lineRule="atLeast"/>
        <w:jc w:val="both"/>
        <w:rPr>
          <w:rFonts w:ascii="Arial" w:eastAsiaTheme="minorHAnsi" w:hAnsi="Arial" w:cs="Arial"/>
          <w:bCs/>
          <w:sz w:val="20"/>
          <w:szCs w:val="22"/>
          <w:lang w:eastAsia="en-US"/>
        </w:rPr>
      </w:pPr>
    </w:p>
    <w:p w14:paraId="291EF8A6" w14:textId="50F05D77" w:rsidR="00963D33" w:rsidRPr="00C47769" w:rsidRDefault="00BE59B6" w:rsidP="00C47769">
      <w:pPr>
        <w:pStyle w:val="Odstavekseznama"/>
        <w:keepNext/>
        <w:keepLines/>
        <w:numPr>
          <w:ilvl w:val="1"/>
          <w:numId w:val="41"/>
        </w:numPr>
        <w:spacing w:before="400" w:after="200" w:line="360" w:lineRule="auto"/>
        <w:outlineLvl w:val="1"/>
        <w:rPr>
          <w:rFonts w:ascii="Arial" w:eastAsia="SimSun" w:hAnsi="Arial"/>
          <w:b/>
          <w:bCs/>
          <w:sz w:val="22"/>
          <w:szCs w:val="26"/>
        </w:rPr>
      </w:pPr>
      <w:r w:rsidRPr="00BE59B6">
        <w:rPr>
          <w:rFonts w:ascii="Arial" w:eastAsia="SimSun" w:hAnsi="Arial"/>
          <w:b/>
          <w:bCs/>
          <w:sz w:val="22"/>
          <w:szCs w:val="26"/>
        </w:rPr>
        <w:t>IZVEDBA FINANCIRANJA – PREDVIDENI INSTRUMENTI IN DINAMIKA FINANCIRANJA</w:t>
      </w:r>
    </w:p>
    <w:p w14:paraId="7D8A999A"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Struktura instrumentov financiranja, razmerje med kratkoročnim in dolgoročnim financiranjem in dinamika financiranja se v programu financiranja praviloma načrtuje predvsem na podlagi strateških ciljev in načel zadolževanja za proračun Republike Slovenije in ocenjene dinamike proračunskih denarnih tokov. </w:t>
      </w:r>
    </w:p>
    <w:p w14:paraId="4933AD58" w14:textId="77777777" w:rsidR="005A1B6C" w:rsidRPr="0025613F" w:rsidRDefault="005A1B6C" w:rsidP="005A1B6C">
      <w:pPr>
        <w:spacing w:line="260" w:lineRule="exact"/>
        <w:jc w:val="both"/>
        <w:rPr>
          <w:rFonts w:ascii="Arial" w:hAnsi="Arial" w:cs="Arial"/>
          <w:sz w:val="20"/>
          <w:szCs w:val="20"/>
        </w:rPr>
      </w:pPr>
    </w:p>
    <w:p w14:paraId="5E8DE14F"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Izbor instrumentov financiranja je tudi pomemben dejavnik oblikovanja krivulje donosnosti državnih obveznic in izboljševanja ravni likvidnosti sekundarnega trga slovenskih državnih vrednostnih papirjev. </w:t>
      </w:r>
    </w:p>
    <w:p w14:paraId="04097376" w14:textId="77777777" w:rsidR="005A1B6C" w:rsidRPr="0025613F" w:rsidRDefault="005A1B6C" w:rsidP="005A1B6C">
      <w:pPr>
        <w:spacing w:line="260" w:lineRule="exact"/>
        <w:jc w:val="both"/>
        <w:rPr>
          <w:rFonts w:ascii="Arial" w:hAnsi="Arial" w:cs="Arial"/>
          <w:sz w:val="20"/>
          <w:szCs w:val="20"/>
        </w:rPr>
      </w:pPr>
    </w:p>
    <w:p w14:paraId="799F2E96"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Hkrati je v programu financiranja potrebno upoštevati tudi strategijo izvajanja financiranja, katere poglavitno načelo je predvidljivost ob ohranjanju največje možne prožnosti izvedbe financiranja. Le tako se je pri izvedbi programa mogoče primerno odzivati na spremembe tržnih razmer. Načelo prožnosti je </w:t>
      </w:r>
      <w:r w:rsidRPr="0025613F">
        <w:rPr>
          <w:rFonts w:ascii="Arial" w:hAnsi="Arial" w:cs="Arial"/>
          <w:sz w:val="20"/>
          <w:szCs w:val="20"/>
        </w:rPr>
        <w:lastRenderedPageBreak/>
        <w:t xml:space="preserve">posebej pomembno v kriznih tržnih razmerah, ko je financiranje državnega proračuna potrebno zagotoviti z alternativnimi scenariji izvedbe zadolževanja. </w:t>
      </w:r>
    </w:p>
    <w:p w14:paraId="6ACB1D96" w14:textId="77777777" w:rsidR="005A1B6C" w:rsidRPr="0025613F" w:rsidRDefault="005A1B6C" w:rsidP="005A1B6C">
      <w:pPr>
        <w:spacing w:line="260" w:lineRule="exact"/>
        <w:jc w:val="both"/>
        <w:rPr>
          <w:rFonts w:ascii="Arial" w:hAnsi="Arial" w:cs="Arial"/>
          <w:sz w:val="20"/>
          <w:szCs w:val="20"/>
        </w:rPr>
      </w:pPr>
    </w:p>
    <w:p w14:paraId="0D3AEF51"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Predvidljivost se v programu ohranja z navedbo obsega potrebnega financiranja in instrumentov financiranja (primarnih in alternativnih). Skladno načelu prožnosti izvedbe bodo dejanski izbor instrumentov (vrsta, struktura, ročnost, valuta), višina financiranja s posameznim instrumentom in čas financiranja odvisni od aktualnih tržnih razmer in povpraševanja s strani investitorjev. Pri izboru ročnosti posameznih instrumentov bo upoštevano tudi načelo upravljanja s tveganjem refinanciranja in določanje ročnosti posamezne zadolžitve glede na višino odplačil glavnic že obstoječega dolga državnega proračuna v posameznih letih, upoštevaje tudi obliko krivulje donosnosti in likvidnost različnih ročnosti dolžniških državnih vrednostnih papirjev.</w:t>
      </w:r>
    </w:p>
    <w:p w14:paraId="28FBB897" w14:textId="77777777" w:rsidR="005A1B6C" w:rsidRPr="0025613F" w:rsidRDefault="005A1B6C" w:rsidP="005A1B6C">
      <w:pPr>
        <w:spacing w:line="260" w:lineRule="exact"/>
        <w:jc w:val="both"/>
        <w:rPr>
          <w:rFonts w:ascii="Arial" w:hAnsi="Arial" w:cs="Arial"/>
          <w:sz w:val="20"/>
          <w:szCs w:val="20"/>
        </w:rPr>
      </w:pPr>
    </w:p>
    <w:p w14:paraId="5BE53B3E" w14:textId="77777777" w:rsidR="005A1B6C" w:rsidRPr="0025613F" w:rsidRDefault="005A1B6C" w:rsidP="005A1B6C">
      <w:pPr>
        <w:suppressAutoHyphens w:val="0"/>
        <w:spacing w:line="260" w:lineRule="exact"/>
        <w:jc w:val="both"/>
        <w:rPr>
          <w:rFonts w:ascii="Arial" w:hAnsi="Arial" w:cs="Arial"/>
          <w:sz w:val="20"/>
          <w:szCs w:val="20"/>
        </w:rPr>
      </w:pPr>
      <w:r w:rsidRPr="0025613F">
        <w:rPr>
          <w:rFonts w:ascii="Arial" w:hAnsi="Arial" w:cs="Arial"/>
          <w:sz w:val="20"/>
          <w:szCs w:val="20"/>
        </w:rPr>
        <w:t xml:space="preserve">Kot primarni instrument financiranja pretežnega dela potreb državnega proračuna je predvideno financiranje z izdajo državnih obveznic in z izdajo zakladnih menic. Za doseganje strateških in operativnih ciljev, opredeljenih v točki 1.2 </w:t>
      </w:r>
      <w:r>
        <w:rPr>
          <w:rFonts w:ascii="Arial" w:hAnsi="Arial" w:cs="Arial"/>
          <w:sz w:val="20"/>
          <w:szCs w:val="20"/>
        </w:rPr>
        <w:t xml:space="preserve">tega </w:t>
      </w:r>
      <w:r w:rsidRPr="0025613F">
        <w:rPr>
          <w:rFonts w:ascii="Arial" w:hAnsi="Arial" w:cs="Arial"/>
          <w:sz w:val="20"/>
          <w:szCs w:val="20"/>
        </w:rPr>
        <w:t xml:space="preserve">programa financiranja, se lahko v manjšem obsegu uporabijo tudi drugi instrumenti financiranja, navedeni v drugem odstavku točke 2.3.2 </w:t>
      </w:r>
      <w:r>
        <w:rPr>
          <w:rFonts w:ascii="Arial" w:hAnsi="Arial" w:cs="Arial"/>
          <w:sz w:val="20"/>
          <w:szCs w:val="20"/>
        </w:rPr>
        <w:t xml:space="preserve">tega </w:t>
      </w:r>
      <w:r w:rsidRPr="0025613F">
        <w:rPr>
          <w:rFonts w:ascii="Arial" w:hAnsi="Arial" w:cs="Arial"/>
          <w:sz w:val="20"/>
          <w:szCs w:val="20"/>
        </w:rPr>
        <w:t xml:space="preserve">programa financiranja. Pretežni del financiranja bo izveden z dolgoročnimi instrumenti zadolževanja. V kolikor zaradi razmer na finančnem trgu financiranja državnega proračuna ne bi bilo mogoče izvesti na takšen način, bo financiranje državnega proračuna zagotovljeno z izvedbo drugih instrumentov financiranja, navedenih v drugem odstavku točke 2.3.2 </w:t>
      </w:r>
      <w:r>
        <w:rPr>
          <w:rFonts w:ascii="Arial" w:hAnsi="Arial" w:cs="Arial"/>
          <w:sz w:val="20"/>
          <w:szCs w:val="20"/>
        </w:rPr>
        <w:t xml:space="preserve">tega </w:t>
      </w:r>
      <w:r w:rsidRPr="0025613F">
        <w:rPr>
          <w:rFonts w:ascii="Arial" w:hAnsi="Arial" w:cs="Arial"/>
          <w:sz w:val="20"/>
          <w:szCs w:val="20"/>
        </w:rPr>
        <w:t>programa financiranja, v potrebnem obsegu ter s prilagoditvijo razmerja med kratkoročnim in dolgoročnim financiranjem.</w:t>
      </w:r>
    </w:p>
    <w:p w14:paraId="041E90D2" w14:textId="77777777" w:rsidR="005A1B6C" w:rsidRPr="0025613F" w:rsidRDefault="005A1B6C" w:rsidP="005A1B6C">
      <w:pPr>
        <w:suppressAutoHyphens w:val="0"/>
        <w:spacing w:line="260" w:lineRule="exact"/>
        <w:jc w:val="both"/>
        <w:rPr>
          <w:rFonts w:ascii="Arial" w:hAnsi="Arial" w:cs="Arial"/>
          <w:sz w:val="20"/>
          <w:szCs w:val="20"/>
        </w:rPr>
      </w:pPr>
    </w:p>
    <w:p w14:paraId="23A66CDB" w14:textId="7DAADD1A" w:rsidR="005A1B6C" w:rsidRDefault="005A1B6C" w:rsidP="00C47769">
      <w:pPr>
        <w:pStyle w:val="Naslov3"/>
        <w:numPr>
          <w:ilvl w:val="2"/>
          <w:numId w:val="41"/>
        </w:numPr>
      </w:pPr>
      <w:r w:rsidRPr="0025613F">
        <w:t>Kratkoročni instrumenti zadolževanja</w:t>
      </w:r>
    </w:p>
    <w:p w14:paraId="42AAD99C" w14:textId="77777777" w:rsidR="005A1B6C" w:rsidRPr="0025613F" w:rsidRDefault="005A1B6C" w:rsidP="005A1B6C">
      <w:pPr>
        <w:suppressAutoHyphens w:val="0"/>
        <w:spacing w:line="260" w:lineRule="exact"/>
        <w:jc w:val="both"/>
        <w:rPr>
          <w:rFonts w:ascii="Arial" w:hAnsi="Arial" w:cs="Arial"/>
          <w:sz w:val="20"/>
          <w:szCs w:val="20"/>
        </w:rPr>
      </w:pPr>
      <w:r w:rsidRPr="0025613F">
        <w:rPr>
          <w:rFonts w:ascii="Arial" w:hAnsi="Arial" w:cs="Arial"/>
          <w:sz w:val="20"/>
          <w:szCs w:val="20"/>
        </w:rPr>
        <w:t>Predvideni nabor kratkoročnih instrumentov, ki bodo lahko uporabljeni pri izvedbi financiranja v letu 202</w:t>
      </w:r>
      <w:r>
        <w:rPr>
          <w:rFonts w:ascii="Arial" w:hAnsi="Arial" w:cs="Arial"/>
          <w:sz w:val="20"/>
          <w:szCs w:val="20"/>
        </w:rPr>
        <w:t>3</w:t>
      </w:r>
      <w:r w:rsidRPr="0025613F">
        <w:rPr>
          <w:rFonts w:ascii="Arial" w:hAnsi="Arial" w:cs="Arial"/>
          <w:sz w:val="20"/>
          <w:szCs w:val="20"/>
        </w:rPr>
        <w:t>, bo zajemal 3-, 6- in 12-mesečne zakladne menice ali zakladne menice drugih ročnosti, zadolževanje v okviru sistema enotnega zakladniškega računa države,</w:t>
      </w:r>
      <w:r w:rsidRPr="0025613F">
        <w:t xml:space="preserve"> </w:t>
      </w:r>
      <w:r w:rsidRPr="0025613F">
        <w:rPr>
          <w:rFonts w:ascii="Arial" w:hAnsi="Arial" w:cs="Arial"/>
          <w:sz w:val="20"/>
          <w:szCs w:val="20"/>
        </w:rPr>
        <w:t xml:space="preserve">začasne prodaje ter druge kratkoročne instrumente, izbrane v skladu s tržnimi razmerami. </w:t>
      </w:r>
    </w:p>
    <w:p w14:paraId="2F6B1D86" w14:textId="77777777" w:rsidR="005A1B6C" w:rsidRPr="0025613F" w:rsidRDefault="005A1B6C" w:rsidP="005A1B6C">
      <w:pPr>
        <w:suppressAutoHyphens w:val="0"/>
        <w:spacing w:line="260" w:lineRule="exact"/>
        <w:jc w:val="both"/>
        <w:rPr>
          <w:rFonts w:ascii="Arial" w:hAnsi="Arial" w:cs="Arial"/>
          <w:sz w:val="20"/>
          <w:szCs w:val="20"/>
        </w:rPr>
      </w:pPr>
    </w:p>
    <w:p w14:paraId="3B586E14" w14:textId="77777777" w:rsidR="005A1B6C" w:rsidRPr="0025613F" w:rsidRDefault="005A1B6C" w:rsidP="005A1B6C">
      <w:pPr>
        <w:suppressAutoHyphens w:val="0"/>
        <w:spacing w:line="260" w:lineRule="exact"/>
        <w:jc w:val="both"/>
        <w:rPr>
          <w:rFonts w:ascii="Arial" w:hAnsi="Arial" w:cs="Arial"/>
          <w:sz w:val="20"/>
          <w:szCs w:val="20"/>
          <w:lang w:eastAsia="en-US"/>
        </w:rPr>
      </w:pPr>
      <w:r w:rsidRPr="0025613F">
        <w:rPr>
          <w:rFonts w:ascii="Arial" w:hAnsi="Arial" w:cs="Arial"/>
          <w:sz w:val="20"/>
          <w:szCs w:val="20"/>
        </w:rPr>
        <w:t>Financiranje z izdajami zakladnih menic se bo predvidoma izvrševalo na avkcijski način. Avkcije zakladnih menic predvidenih ročnosti (vključno z avkcijami 18-mesečnih zakladnih menic, kot dolgoročnim instrumentom zadolževanja) bodo razpisane skladno koledarju avkcij oziroma po potrebi tudi izven koledarja avkcij, v okvirni višini, dejansko doseženi obseg posamezne izdaje zakladnih menic pa bo odvisen od povpraševanja in tržnih pogojev na dan avkcije. Koledar avkcij zakladnih menic se lahko spremeni, v skladu s povpraševanjem po posameznih ročnostih. Koledar avkcij bo določilo Ministrstvo za finance na podlagi odločitve ministra po prvem odstavku 84. člena ZJF o izvedbi avkcij zakladnih menic in ga bo objavilo na spletni strani ministrstva</w:t>
      </w:r>
      <w:r w:rsidRPr="0025613F">
        <w:rPr>
          <w:rFonts w:ascii="Arial" w:hAnsi="Arial" w:cs="Arial"/>
          <w:sz w:val="20"/>
          <w:szCs w:val="20"/>
          <w:lang w:eastAsia="en-US"/>
        </w:rPr>
        <w:t xml:space="preserve">. </w:t>
      </w:r>
      <w:r w:rsidRPr="0025613F">
        <w:rPr>
          <w:rFonts w:ascii="Arial" w:hAnsi="Arial" w:cs="Arial"/>
          <w:sz w:val="20"/>
          <w:szCs w:val="20"/>
        </w:rPr>
        <w:t>Avkcije po enotni ceni bodo izvedene na elektronski način preko Bloomberg sistema elektronskih avkcij, v skladu s pravili za izvedbo avkcij</w:t>
      </w:r>
      <w:r w:rsidRPr="00773899">
        <w:rPr>
          <w:rFonts w:ascii="Arial" w:hAnsi="Arial" w:cs="Arial"/>
          <w:sz w:val="20"/>
          <w:szCs w:val="20"/>
          <w:vertAlign w:val="superscript"/>
          <w:lang w:eastAsia="en-US"/>
        </w:rPr>
        <w:footnoteReference w:id="3"/>
      </w:r>
      <w:r w:rsidRPr="0025613F">
        <w:rPr>
          <w:rFonts w:ascii="Arial" w:hAnsi="Arial" w:cs="Arial"/>
          <w:sz w:val="20"/>
          <w:szCs w:val="20"/>
          <w:lang w:eastAsia="en-US"/>
        </w:rPr>
        <w:t xml:space="preserve">. </w:t>
      </w:r>
    </w:p>
    <w:p w14:paraId="4A83CB48" w14:textId="77777777" w:rsidR="005A1B6C" w:rsidRPr="0025613F" w:rsidRDefault="005A1B6C" w:rsidP="005A1B6C">
      <w:pPr>
        <w:suppressAutoHyphens w:val="0"/>
        <w:spacing w:line="260" w:lineRule="exact"/>
        <w:jc w:val="both"/>
        <w:rPr>
          <w:rFonts w:ascii="Arial" w:hAnsi="Arial" w:cs="Arial"/>
          <w:sz w:val="20"/>
          <w:szCs w:val="20"/>
          <w:lang w:eastAsia="en-US"/>
        </w:rPr>
      </w:pPr>
    </w:p>
    <w:p w14:paraId="3D1A7714" w14:textId="77777777" w:rsidR="005A1B6C" w:rsidRPr="0025613F" w:rsidRDefault="005A1B6C" w:rsidP="005A1B6C">
      <w:pPr>
        <w:suppressAutoHyphens w:val="0"/>
        <w:spacing w:line="260" w:lineRule="exact"/>
        <w:jc w:val="both"/>
        <w:rPr>
          <w:rFonts w:ascii="Arial" w:hAnsi="Arial" w:cs="Arial"/>
          <w:sz w:val="20"/>
          <w:szCs w:val="20"/>
        </w:rPr>
      </w:pPr>
      <w:r w:rsidRPr="0025613F">
        <w:rPr>
          <w:rFonts w:ascii="Arial" w:hAnsi="Arial" w:cs="Arial"/>
          <w:sz w:val="20"/>
          <w:szCs w:val="20"/>
        </w:rPr>
        <w:t>Dejanski izbor kratkoročnih instrumentov financiranja v letu 202</w:t>
      </w:r>
      <w:r>
        <w:rPr>
          <w:rFonts w:ascii="Arial" w:hAnsi="Arial" w:cs="Arial"/>
          <w:sz w:val="20"/>
          <w:szCs w:val="20"/>
        </w:rPr>
        <w:t>3</w:t>
      </w:r>
      <w:r w:rsidRPr="0025613F">
        <w:rPr>
          <w:rFonts w:ascii="Arial" w:hAnsi="Arial" w:cs="Arial"/>
          <w:sz w:val="20"/>
          <w:szCs w:val="20"/>
        </w:rPr>
        <w:t xml:space="preserve">, ročnost in dinamika ter način tovrstnega financiranja bodo odvisni od aktualnih tržnih razmer in namena tovrstnega financiranja, upoštevaje strateške in operativne cilje in rokovno strukturo obstoječega dolga državnega proračuna. </w:t>
      </w:r>
    </w:p>
    <w:p w14:paraId="3B56FFA6" w14:textId="77777777" w:rsidR="005A1B6C" w:rsidRPr="0025613F" w:rsidRDefault="005A1B6C" w:rsidP="005A1B6C">
      <w:pPr>
        <w:spacing w:line="260" w:lineRule="exact"/>
        <w:rPr>
          <w:rFonts w:ascii="Arial" w:hAnsi="Arial" w:cs="Arial"/>
          <w:sz w:val="20"/>
          <w:szCs w:val="20"/>
        </w:rPr>
      </w:pPr>
    </w:p>
    <w:p w14:paraId="139A64CA" w14:textId="77777777" w:rsidR="005A1B6C" w:rsidRPr="0025613F" w:rsidRDefault="005A1B6C" w:rsidP="005A1B6C">
      <w:pPr>
        <w:spacing w:line="260" w:lineRule="exact"/>
        <w:rPr>
          <w:rFonts w:ascii="Arial" w:hAnsi="Arial" w:cs="Arial"/>
          <w:b/>
          <w:sz w:val="20"/>
          <w:szCs w:val="20"/>
        </w:rPr>
      </w:pPr>
      <w:r w:rsidRPr="0025613F">
        <w:rPr>
          <w:rFonts w:ascii="Arial" w:hAnsi="Arial" w:cs="Arial"/>
          <w:b/>
          <w:sz w:val="20"/>
          <w:szCs w:val="20"/>
        </w:rPr>
        <w:t xml:space="preserve">Glavne značilnosti zakladnih menic: </w:t>
      </w:r>
    </w:p>
    <w:p w14:paraId="251958ED" w14:textId="77777777" w:rsidR="005A1B6C" w:rsidRPr="0025613F" w:rsidRDefault="005A1B6C" w:rsidP="005A1B6C">
      <w:pPr>
        <w:spacing w:line="260" w:lineRule="exact"/>
        <w:rPr>
          <w:sz w:val="22"/>
          <w:szCs w:val="22"/>
        </w:rPr>
      </w:pPr>
    </w:p>
    <w:p w14:paraId="587530C5" w14:textId="77777777" w:rsidR="005A1B6C" w:rsidRPr="0025613F" w:rsidRDefault="005A1B6C" w:rsidP="005A1B6C">
      <w:pPr>
        <w:spacing w:line="260" w:lineRule="exact"/>
        <w:ind w:left="2832" w:hanging="2832"/>
        <w:jc w:val="both"/>
        <w:rPr>
          <w:rFonts w:ascii="Arial" w:hAnsi="Arial" w:cs="Arial"/>
          <w:sz w:val="20"/>
          <w:szCs w:val="20"/>
        </w:rPr>
      </w:pPr>
      <w:r w:rsidRPr="0025613F">
        <w:rPr>
          <w:rFonts w:ascii="Arial" w:hAnsi="Arial" w:cs="Arial"/>
          <w:sz w:val="20"/>
          <w:szCs w:val="20"/>
        </w:rPr>
        <w:t xml:space="preserve">tip vrednostnega papirja: </w:t>
      </w:r>
      <w:r w:rsidRPr="0025613F">
        <w:rPr>
          <w:rFonts w:ascii="Arial" w:hAnsi="Arial" w:cs="Arial"/>
          <w:sz w:val="20"/>
          <w:szCs w:val="20"/>
        </w:rPr>
        <w:tab/>
      </w:r>
      <w:r>
        <w:rPr>
          <w:rFonts w:ascii="Arial" w:hAnsi="Arial" w:cs="Arial"/>
          <w:sz w:val="20"/>
          <w:szCs w:val="20"/>
        </w:rPr>
        <w:t xml:space="preserve"> </w:t>
      </w:r>
      <w:r w:rsidRPr="0025613F">
        <w:rPr>
          <w:rFonts w:ascii="Arial" w:hAnsi="Arial" w:cs="Arial"/>
          <w:sz w:val="20"/>
          <w:szCs w:val="20"/>
        </w:rPr>
        <w:t>diskontni vrednostni papir, nematerializiran, serijski, imenski</w:t>
      </w:r>
      <w:r>
        <w:rPr>
          <w:rFonts w:ascii="Arial" w:hAnsi="Arial" w:cs="Arial"/>
          <w:sz w:val="20"/>
          <w:szCs w:val="20"/>
        </w:rPr>
        <w:br/>
      </w:r>
      <w:r w:rsidRPr="0025613F">
        <w:rPr>
          <w:rFonts w:ascii="Arial" w:hAnsi="Arial" w:cs="Arial"/>
          <w:sz w:val="20"/>
          <w:szCs w:val="20"/>
        </w:rPr>
        <w:t xml:space="preserve"> vrednostni papir</w:t>
      </w:r>
    </w:p>
    <w:p w14:paraId="22DCEA02"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višina apoena:</w:t>
      </w:r>
      <w:r w:rsidRPr="0025613F">
        <w:rPr>
          <w:rFonts w:ascii="Arial" w:hAnsi="Arial" w:cs="Arial"/>
          <w:sz w:val="20"/>
          <w:szCs w:val="20"/>
        </w:rPr>
        <w:tab/>
        <w:t>1.000 EUR</w:t>
      </w:r>
      <w:r w:rsidRPr="0025613F">
        <w:rPr>
          <w:rFonts w:ascii="Arial" w:hAnsi="Arial" w:cs="Arial"/>
          <w:sz w:val="20"/>
          <w:szCs w:val="20"/>
        </w:rPr>
        <w:tab/>
      </w:r>
    </w:p>
    <w:p w14:paraId="100A0C8C"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ročnost:</w:t>
      </w:r>
      <w:r w:rsidRPr="0025613F">
        <w:rPr>
          <w:rFonts w:ascii="Arial" w:hAnsi="Arial" w:cs="Arial"/>
          <w:sz w:val="20"/>
          <w:szCs w:val="20"/>
        </w:rPr>
        <w:tab/>
        <w:t xml:space="preserve">3, 6 ali 12 mesecev ali zakladne menice drugih ročnosti </w:t>
      </w:r>
    </w:p>
    <w:p w14:paraId="6C9004B7"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izplačilo:</w:t>
      </w:r>
      <w:r w:rsidRPr="0025613F">
        <w:rPr>
          <w:rFonts w:ascii="Arial" w:hAnsi="Arial" w:cs="Arial"/>
          <w:sz w:val="20"/>
          <w:szCs w:val="20"/>
        </w:rPr>
        <w:tab/>
        <w:t xml:space="preserve">ob dospelosti se izplača nominalna vrednost </w:t>
      </w:r>
    </w:p>
    <w:p w14:paraId="6C11C09C"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lastRenderedPageBreak/>
        <w:t>obrestna mera:</w:t>
      </w:r>
      <w:r w:rsidRPr="0025613F">
        <w:rPr>
          <w:rFonts w:ascii="Arial" w:hAnsi="Arial" w:cs="Arial"/>
          <w:sz w:val="20"/>
          <w:szCs w:val="20"/>
        </w:rPr>
        <w:tab/>
        <w:t>uporaba nominalne proporcionalne obrestne mere, izračunane na podlagi zneska obresti in prodajne cene (razlika med nominalnim zneskom in prodajno ceno)</w:t>
      </w:r>
    </w:p>
    <w:p w14:paraId="001722AD"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plačilo obresti:</w:t>
      </w:r>
      <w:r w:rsidRPr="0025613F">
        <w:rPr>
          <w:rFonts w:ascii="Arial" w:hAnsi="Arial" w:cs="Arial"/>
          <w:sz w:val="20"/>
          <w:szCs w:val="20"/>
        </w:rPr>
        <w:tab/>
        <w:t>ob dospetju, kot unovčena razlika med nominalno in prodajno ceno zakladne menice</w:t>
      </w:r>
    </w:p>
    <w:p w14:paraId="129A0005" w14:textId="77777777" w:rsidR="005A1B6C" w:rsidRPr="0025613F" w:rsidRDefault="005A1B6C" w:rsidP="005A1B6C">
      <w:pPr>
        <w:spacing w:line="260" w:lineRule="exact"/>
        <w:ind w:left="2880" w:hanging="2880"/>
        <w:jc w:val="both"/>
        <w:rPr>
          <w:rFonts w:ascii="Arial" w:hAnsi="Arial" w:cs="Arial"/>
          <w:sz w:val="20"/>
          <w:szCs w:val="20"/>
        </w:rPr>
      </w:pPr>
      <w:r w:rsidRPr="0025613F">
        <w:rPr>
          <w:rFonts w:ascii="Arial" w:hAnsi="Arial" w:cs="Arial"/>
          <w:sz w:val="20"/>
          <w:szCs w:val="20"/>
        </w:rPr>
        <w:t>mesto izdaje:</w:t>
      </w:r>
      <w:r w:rsidRPr="0025613F">
        <w:rPr>
          <w:rFonts w:ascii="Arial" w:hAnsi="Arial" w:cs="Arial"/>
          <w:bCs/>
          <w:sz w:val="20"/>
          <w:szCs w:val="20"/>
        </w:rPr>
        <w:t xml:space="preserve"> </w:t>
      </w:r>
      <w:r w:rsidRPr="0025613F">
        <w:rPr>
          <w:rFonts w:ascii="Arial" w:hAnsi="Arial" w:cs="Arial"/>
          <w:bCs/>
          <w:sz w:val="20"/>
          <w:szCs w:val="20"/>
        </w:rPr>
        <w:tab/>
        <w:t xml:space="preserve">zakladne menice bodo izdane z vpisom v centralni register </w:t>
      </w:r>
      <w:r w:rsidRPr="0025613F">
        <w:rPr>
          <w:rFonts w:ascii="Arial" w:hAnsi="Arial" w:cs="Arial"/>
          <w:bCs/>
          <w:sz w:val="20"/>
          <w:szCs w:val="20"/>
        </w:rPr>
        <w:br/>
        <w:t>KDD – Centralne klirinško depotne družbe d.</w:t>
      </w:r>
      <w:r>
        <w:rPr>
          <w:rFonts w:ascii="Arial" w:hAnsi="Arial" w:cs="Arial"/>
          <w:bCs/>
          <w:sz w:val="20"/>
          <w:szCs w:val="20"/>
        </w:rPr>
        <w:t>o</w:t>
      </w:r>
      <w:r w:rsidRPr="0025613F">
        <w:rPr>
          <w:rFonts w:ascii="Arial" w:hAnsi="Arial" w:cs="Arial"/>
          <w:bCs/>
          <w:sz w:val="20"/>
          <w:szCs w:val="20"/>
        </w:rPr>
        <w:t>.</w:t>
      </w:r>
      <w:r>
        <w:rPr>
          <w:rFonts w:ascii="Arial" w:hAnsi="Arial" w:cs="Arial"/>
          <w:bCs/>
          <w:sz w:val="20"/>
          <w:szCs w:val="20"/>
        </w:rPr>
        <w:t>o.</w:t>
      </w:r>
      <w:r w:rsidRPr="0025613F">
        <w:rPr>
          <w:rFonts w:ascii="Arial" w:hAnsi="Arial" w:cs="Arial"/>
          <w:bCs/>
          <w:sz w:val="20"/>
          <w:szCs w:val="20"/>
        </w:rPr>
        <w:t>, Ljubljana</w:t>
      </w:r>
    </w:p>
    <w:p w14:paraId="38FF89FF" w14:textId="77777777" w:rsidR="005A1B6C" w:rsidRPr="0025613F" w:rsidRDefault="005A1B6C" w:rsidP="005A1B6C">
      <w:pPr>
        <w:spacing w:line="260" w:lineRule="exact"/>
        <w:ind w:left="2880" w:hanging="2880"/>
        <w:jc w:val="both"/>
        <w:rPr>
          <w:rFonts w:ascii="Arial" w:hAnsi="Arial" w:cs="Arial"/>
          <w:sz w:val="20"/>
          <w:szCs w:val="20"/>
        </w:rPr>
      </w:pPr>
    </w:p>
    <w:p w14:paraId="3E5DDC63" w14:textId="77777777" w:rsidR="005A1B6C" w:rsidRPr="0025613F" w:rsidRDefault="005A1B6C" w:rsidP="005A1B6C">
      <w:pPr>
        <w:spacing w:line="260" w:lineRule="exact"/>
        <w:rPr>
          <w:rFonts w:ascii="Arial" w:hAnsi="Arial" w:cs="Arial"/>
          <w:sz w:val="20"/>
          <w:szCs w:val="20"/>
        </w:rPr>
      </w:pPr>
    </w:p>
    <w:p w14:paraId="31DCA70B" w14:textId="77777777" w:rsidR="005A1B6C" w:rsidRPr="0025613F" w:rsidRDefault="005A1B6C" w:rsidP="00C47769">
      <w:pPr>
        <w:pStyle w:val="Naslov3"/>
        <w:numPr>
          <w:ilvl w:val="2"/>
          <w:numId w:val="41"/>
        </w:numPr>
      </w:pPr>
      <w:bookmarkStart w:id="3" w:name="_Ref373930944"/>
      <w:r w:rsidRPr="0025613F">
        <w:t>Dolgoročni instrumenti financiranja</w:t>
      </w:r>
      <w:bookmarkEnd w:id="3"/>
    </w:p>
    <w:p w14:paraId="79012C1B" w14:textId="77777777" w:rsidR="005A1B6C" w:rsidRPr="0025613F" w:rsidRDefault="005A1B6C" w:rsidP="005A1B6C">
      <w:pPr>
        <w:spacing w:line="260" w:lineRule="exact"/>
        <w:jc w:val="both"/>
        <w:rPr>
          <w:rFonts w:ascii="Arial" w:hAnsi="Arial" w:cs="Arial"/>
          <w:bCs/>
          <w:sz w:val="20"/>
          <w:szCs w:val="20"/>
        </w:rPr>
      </w:pPr>
      <w:r w:rsidRPr="0025613F">
        <w:rPr>
          <w:rFonts w:ascii="Arial" w:hAnsi="Arial" w:cs="Arial"/>
          <w:bCs/>
          <w:sz w:val="20"/>
          <w:szCs w:val="20"/>
        </w:rPr>
        <w:t xml:space="preserve">V okviru dolgoročnih instrumentov </w:t>
      </w:r>
      <w:r w:rsidRPr="0025613F">
        <w:rPr>
          <w:rFonts w:ascii="Arial" w:hAnsi="Arial" w:cs="Arial"/>
          <w:sz w:val="20"/>
          <w:szCs w:val="20"/>
        </w:rPr>
        <w:t xml:space="preserve">financiranja </w:t>
      </w:r>
      <w:r w:rsidRPr="0025613F">
        <w:rPr>
          <w:rFonts w:ascii="Arial" w:hAnsi="Arial" w:cs="Arial"/>
          <w:bCs/>
          <w:sz w:val="20"/>
          <w:szCs w:val="20"/>
        </w:rPr>
        <w:t>je kot primarni instrument predvidena izdaja državnih obveznic s ponudbo javnosti, na evropskem ali drugih trgih, na sindiciran ali avkcijski način, kot nova ali dodatna izdaja obstoječih obveznic, na podlagi dokumentacije za posamezno izdajo ali na podlagi okvirnega programa za izdaje dolžniških vrednostnih papirjev Republike Slovenije</w:t>
      </w:r>
      <w:r w:rsidRPr="0025613F">
        <w:rPr>
          <w:rStyle w:val="Sprotnaopomba-sklic"/>
          <w:bCs/>
          <w:sz w:val="20"/>
          <w:szCs w:val="20"/>
        </w:rPr>
        <w:footnoteReference w:id="4"/>
      </w:r>
      <w:r w:rsidRPr="0025613F">
        <w:rPr>
          <w:rFonts w:ascii="Arial" w:hAnsi="Arial" w:cs="Arial"/>
          <w:bCs/>
          <w:sz w:val="20"/>
          <w:szCs w:val="20"/>
        </w:rPr>
        <w:t xml:space="preserve">. </w:t>
      </w:r>
    </w:p>
    <w:p w14:paraId="3D060337" w14:textId="77777777" w:rsidR="005A1B6C" w:rsidRPr="0025613F" w:rsidRDefault="005A1B6C" w:rsidP="005A1B6C">
      <w:pPr>
        <w:spacing w:line="260" w:lineRule="exact"/>
        <w:jc w:val="both"/>
        <w:rPr>
          <w:rFonts w:ascii="Arial" w:hAnsi="Arial" w:cs="Arial"/>
          <w:bCs/>
          <w:sz w:val="20"/>
          <w:szCs w:val="20"/>
        </w:rPr>
      </w:pPr>
    </w:p>
    <w:p w14:paraId="2AB6351D"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bCs/>
          <w:sz w:val="20"/>
          <w:szCs w:val="20"/>
        </w:rPr>
        <w:t xml:space="preserve">Drugi možni dolgoročni instrumenti financiranja so lahko </w:t>
      </w:r>
      <w:r w:rsidRPr="0025613F">
        <w:rPr>
          <w:rFonts w:ascii="Arial" w:hAnsi="Arial" w:cs="Arial"/>
          <w:sz w:val="20"/>
          <w:szCs w:val="20"/>
        </w:rPr>
        <w:t>redne avkcije 18-mesečnih zakladnih menic</w:t>
      </w:r>
      <w:r w:rsidRPr="0025613F">
        <w:rPr>
          <w:rStyle w:val="Sprotnaopomba-sklic"/>
          <w:rFonts w:cs="Arial"/>
          <w:sz w:val="20"/>
          <w:szCs w:val="20"/>
        </w:rPr>
        <w:footnoteReference w:id="5"/>
      </w:r>
      <w:r w:rsidRPr="0025613F">
        <w:rPr>
          <w:rFonts w:ascii="Arial" w:hAnsi="Arial" w:cs="Arial"/>
          <w:sz w:val="20"/>
          <w:szCs w:val="20"/>
        </w:rPr>
        <w:t>, izdaja obveznic, namenjena omejenemu krogu investitorjev (zasebni plasma), posojila, »Schuldschein«, začasne prodaje ali drugi dolgoročni instrumenti financiranja, uveljavljeni na finančnem trgu.</w:t>
      </w:r>
    </w:p>
    <w:p w14:paraId="2B207519" w14:textId="77777777" w:rsidR="005A1B6C" w:rsidRPr="0025613F" w:rsidRDefault="005A1B6C" w:rsidP="005A1B6C">
      <w:pPr>
        <w:spacing w:line="260" w:lineRule="exact"/>
        <w:jc w:val="both"/>
        <w:rPr>
          <w:rFonts w:ascii="Arial" w:hAnsi="Arial" w:cs="Arial"/>
          <w:sz w:val="20"/>
          <w:szCs w:val="20"/>
        </w:rPr>
      </w:pPr>
    </w:p>
    <w:p w14:paraId="17391893" w14:textId="5125E70C"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Vrsto dolgoročnih instrumentov financiranja, njihovo ročnost in dinamiko izdaje bo določilo Ministrstvo za finance na podlagi odločitve ministra po prvem odstavku 84. člena ZJF (ali imetnika ustreznega pooblastila ministra), v odvisnosti od tržnih razmer, v skladu s strateškimi in operativnimi cilji, opredeljenimi v točki </w:t>
      </w:r>
      <w:r w:rsidR="003E3DF9" w:rsidRPr="003E3DF9">
        <w:rPr>
          <w:rFonts w:ascii="Arial" w:hAnsi="Arial" w:cs="Arial"/>
          <w:sz w:val="20"/>
          <w:szCs w:val="20"/>
        </w:rPr>
        <w:t>1.2</w:t>
      </w:r>
      <w:r w:rsidRPr="0077152B">
        <w:rPr>
          <w:rFonts w:ascii="Arial" w:hAnsi="Arial" w:cs="Arial"/>
          <w:sz w:val="20"/>
          <w:szCs w:val="20"/>
        </w:rPr>
        <w:t xml:space="preserve"> tega</w:t>
      </w:r>
      <w:r>
        <w:t xml:space="preserve"> </w:t>
      </w:r>
      <w:r w:rsidRPr="0025613F">
        <w:rPr>
          <w:rFonts w:ascii="Arial" w:hAnsi="Arial" w:cs="Arial"/>
          <w:sz w:val="20"/>
          <w:szCs w:val="20"/>
        </w:rPr>
        <w:t>programa financiranja, upoštevaje rokovno strukturo obstoječega dolga državnega proračuna. V kolikor bodo v okviru programa financiranja za leto 202</w:t>
      </w:r>
      <w:r>
        <w:rPr>
          <w:rFonts w:ascii="Arial" w:hAnsi="Arial" w:cs="Arial"/>
          <w:sz w:val="20"/>
          <w:szCs w:val="20"/>
        </w:rPr>
        <w:t>3</w:t>
      </w:r>
      <w:r w:rsidRPr="0025613F">
        <w:rPr>
          <w:rFonts w:ascii="Arial" w:hAnsi="Arial" w:cs="Arial"/>
          <w:sz w:val="20"/>
          <w:szCs w:val="20"/>
        </w:rPr>
        <w:t xml:space="preserve"> izvedene tudi izdaje državnih obveznic na avkcijski način, bo Ministrstvo </w:t>
      </w:r>
      <w:r>
        <w:rPr>
          <w:rFonts w:ascii="Arial" w:hAnsi="Arial" w:cs="Arial"/>
          <w:sz w:val="20"/>
          <w:szCs w:val="20"/>
        </w:rPr>
        <w:t xml:space="preserve">za finance </w:t>
      </w:r>
      <w:r w:rsidRPr="0025613F">
        <w:rPr>
          <w:rFonts w:ascii="Arial" w:hAnsi="Arial" w:cs="Arial"/>
          <w:sz w:val="20"/>
          <w:szCs w:val="20"/>
        </w:rPr>
        <w:t>določilo koledar avkcij obveznic na podlagi odločitve ministra po prvem odstavku 84. člena ZJF o izvedbi avkcij obveznic in ga bo objavilo na spletni strani ministrstva</w:t>
      </w:r>
      <w:r w:rsidRPr="0025613F">
        <w:rPr>
          <w:rFonts w:ascii="Arial" w:hAnsi="Arial"/>
          <w:sz w:val="22"/>
          <w:szCs w:val="22"/>
          <w:lang w:eastAsia="en-US"/>
        </w:rPr>
        <w:t xml:space="preserve">. </w:t>
      </w:r>
      <w:r w:rsidRPr="0025613F">
        <w:rPr>
          <w:rFonts w:ascii="Arial" w:hAnsi="Arial" w:cs="Arial"/>
          <w:sz w:val="20"/>
          <w:szCs w:val="20"/>
        </w:rPr>
        <w:t>Avkcije bodo izvedene na elektronski način preko Bloomberg sistema elektronskih avkcij, v skladu s pravili za izvedbo avkcij</w:t>
      </w:r>
      <w:r w:rsidRPr="00773899">
        <w:rPr>
          <w:rFonts w:ascii="Arial" w:hAnsi="Arial" w:cs="Arial"/>
          <w:sz w:val="20"/>
          <w:szCs w:val="20"/>
          <w:vertAlign w:val="superscript"/>
          <w:lang w:eastAsia="en-US"/>
        </w:rPr>
        <w:footnoteReference w:id="6"/>
      </w:r>
      <w:r w:rsidRPr="0025613F">
        <w:rPr>
          <w:rFonts w:ascii="Arial" w:hAnsi="Arial" w:cs="Arial"/>
          <w:sz w:val="20"/>
          <w:szCs w:val="20"/>
          <w:lang w:eastAsia="en-US"/>
        </w:rPr>
        <w:t>.</w:t>
      </w:r>
    </w:p>
    <w:p w14:paraId="047086BD" w14:textId="70EADD6F" w:rsidR="005A1B6C" w:rsidRPr="0025613F" w:rsidRDefault="005A1B6C" w:rsidP="00BE59B6">
      <w:pPr>
        <w:pStyle w:val="Naslov1"/>
      </w:pPr>
      <w:r w:rsidRPr="0025613F">
        <w:t>UPRAVLJANJE Z DRŽAVNIM DOLGOM</w:t>
      </w:r>
    </w:p>
    <w:p w14:paraId="6BEDB123"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Vrste transakcij upravljanja z dolgom in osnovni nameni izvajanja teh transakcij so določeni v </w:t>
      </w:r>
      <w:r w:rsidRPr="0025613F">
        <w:rPr>
          <w:rFonts w:ascii="Arial" w:hAnsi="Arial" w:cs="Arial"/>
          <w:sz w:val="20"/>
          <w:szCs w:val="20"/>
        </w:rPr>
        <w:br/>
        <w:t>82. členu ZJF.</w:t>
      </w:r>
    </w:p>
    <w:p w14:paraId="18B17990" w14:textId="77777777" w:rsidR="005A1B6C" w:rsidRPr="0025613F" w:rsidRDefault="005A1B6C" w:rsidP="005A1B6C">
      <w:pPr>
        <w:spacing w:line="260" w:lineRule="exact"/>
        <w:jc w:val="both"/>
        <w:rPr>
          <w:rFonts w:ascii="Arial" w:hAnsi="Arial" w:cs="Arial"/>
          <w:sz w:val="20"/>
          <w:szCs w:val="20"/>
        </w:rPr>
      </w:pPr>
    </w:p>
    <w:p w14:paraId="6B9147E0"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Prvi odstavek 82. člena ZJF določa, da lahko država s črpanjem posojil in izdajanjem vrednostnih papirjev pridobiva sredstva, potrebna za vračilo državnega dolga pred njegovo dospelostjo ali za odkup lastnih vrednostnih papirjev, če se s tem:</w:t>
      </w:r>
    </w:p>
    <w:p w14:paraId="3F7F4FEA" w14:textId="77777777" w:rsidR="005A1B6C" w:rsidRPr="0025613F" w:rsidRDefault="005A1B6C" w:rsidP="005A1B6C">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podpirajo ukrepi za doseganje gospodarskega ravnotežja;</w:t>
      </w:r>
    </w:p>
    <w:p w14:paraId="1229A172" w14:textId="77777777" w:rsidR="005A1B6C" w:rsidRPr="00773899" w:rsidRDefault="005A1B6C" w:rsidP="005A1B6C">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zmanjšajo stroški državnega dolga ali</w:t>
      </w:r>
    </w:p>
    <w:p w14:paraId="6223594B" w14:textId="77777777" w:rsidR="005A1B6C" w:rsidRPr="0025613F" w:rsidRDefault="005A1B6C" w:rsidP="005A1B6C">
      <w:pPr>
        <w:pStyle w:val="Odstavekseznama"/>
        <w:numPr>
          <w:ilvl w:val="0"/>
          <w:numId w:val="39"/>
        </w:numPr>
        <w:suppressAutoHyphens w:val="0"/>
        <w:spacing w:line="260" w:lineRule="exact"/>
        <w:jc w:val="both"/>
        <w:rPr>
          <w:rFonts w:ascii="Arial" w:hAnsi="Arial" w:cs="Arial"/>
          <w:sz w:val="20"/>
          <w:szCs w:val="20"/>
        </w:rPr>
      </w:pPr>
      <w:r w:rsidRPr="0025613F">
        <w:rPr>
          <w:rFonts w:ascii="Arial" w:hAnsi="Arial" w:cs="Arial"/>
          <w:sz w:val="20"/>
          <w:szCs w:val="20"/>
        </w:rPr>
        <w:t>izboljša kakovost zadolžitve in se s tem dolg države ne poveča.</w:t>
      </w:r>
    </w:p>
    <w:p w14:paraId="01258C02" w14:textId="77777777" w:rsidR="005A1B6C" w:rsidRPr="0025613F" w:rsidRDefault="005A1B6C" w:rsidP="005A1B6C">
      <w:pPr>
        <w:spacing w:line="260" w:lineRule="exact"/>
        <w:rPr>
          <w:rFonts w:ascii="Arial" w:hAnsi="Arial" w:cs="Arial"/>
          <w:sz w:val="20"/>
          <w:szCs w:val="20"/>
        </w:rPr>
      </w:pPr>
    </w:p>
    <w:p w14:paraId="1878E293"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V skladu z drugim odstavkom 82. člena ZJF lahko država za namen državnih uravnavanj tečajnih in obrestnih tveganj poleg zgoraj omenjenih poslov sklepa tudi druge posle, povezane z državnim dolgom (izvedeni finančni inštrumenti). </w:t>
      </w:r>
    </w:p>
    <w:p w14:paraId="7098DD91" w14:textId="77777777" w:rsidR="005A1B6C" w:rsidRPr="0025613F" w:rsidRDefault="005A1B6C" w:rsidP="005A1B6C">
      <w:pPr>
        <w:spacing w:line="260" w:lineRule="exact"/>
        <w:jc w:val="both"/>
        <w:rPr>
          <w:rFonts w:ascii="Arial" w:hAnsi="Arial" w:cs="Arial"/>
          <w:sz w:val="20"/>
          <w:szCs w:val="20"/>
        </w:rPr>
      </w:pPr>
    </w:p>
    <w:p w14:paraId="337909E9" w14:textId="77777777" w:rsidR="005A1B6C" w:rsidRPr="004B10D5" w:rsidRDefault="005A1B6C" w:rsidP="005A1B6C">
      <w:pPr>
        <w:spacing w:line="260" w:lineRule="exact"/>
        <w:jc w:val="both"/>
        <w:rPr>
          <w:rFonts w:ascii="Arial" w:hAnsi="Arial" w:cs="Arial"/>
          <w:sz w:val="20"/>
          <w:szCs w:val="20"/>
        </w:rPr>
      </w:pPr>
      <w:r w:rsidRPr="004B10D5">
        <w:rPr>
          <w:rFonts w:ascii="Arial" w:hAnsi="Arial" w:cs="Arial"/>
          <w:sz w:val="20"/>
          <w:szCs w:val="20"/>
        </w:rPr>
        <w:t>O sklepanju poslov upravljanja z državnim dolgom odloča minister, pristojen za finance, na podlagi prvega odstavka 84. člena ZJF ter na podlagi letnega programa financiranja, ki ga sprejme vlada, oziroma druga oseba po njegovem pooblastilu.</w:t>
      </w:r>
    </w:p>
    <w:p w14:paraId="457E0609" w14:textId="77777777" w:rsidR="005A1B6C" w:rsidRPr="004B10D5" w:rsidRDefault="005A1B6C" w:rsidP="005A1B6C">
      <w:pPr>
        <w:spacing w:line="260" w:lineRule="exact"/>
        <w:jc w:val="both"/>
        <w:rPr>
          <w:rFonts w:ascii="Arial" w:hAnsi="Arial" w:cs="Arial"/>
          <w:sz w:val="20"/>
          <w:szCs w:val="20"/>
        </w:rPr>
      </w:pPr>
    </w:p>
    <w:p w14:paraId="0EBA71AC" w14:textId="77777777" w:rsidR="005A1B6C" w:rsidRPr="004B10D5" w:rsidRDefault="005A1B6C" w:rsidP="005A1B6C">
      <w:pPr>
        <w:spacing w:line="260" w:lineRule="exact"/>
        <w:jc w:val="both"/>
        <w:rPr>
          <w:rFonts w:ascii="Arial" w:hAnsi="Arial" w:cs="Arial"/>
          <w:sz w:val="20"/>
          <w:szCs w:val="20"/>
        </w:rPr>
      </w:pPr>
      <w:r w:rsidRPr="004B10D5">
        <w:rPr>
          <w:rFonts w:ascii="Arial" w:hAnsi="Arial" w:cs="Arial"/>
          <w:sz w:val="20"/>
          <w:szCs w:val="20"/>
        </w:rPr>
        <w:t xml:space="preserve">Predčasno vračilo dolga pred dospelostjo iz prvega odstavka 82. člena ZJF se lahko izvaja v obliki predčasnega odplačila glavnice in pripadajočih obresti instrumentov financiranja, ki vsebujejo pravico predčasnega odplačila (posojila ali vrednostni papirji), z odkupom ali zamenjavo lastnih vrednostnih papirjev. Izbira oblike vračila in možnost izvedbe predčasnega vračila je pogojena z možnostjo nove zadolžitve v višini predčasnega vračila in s takšno donosnostjo in strukturo, ki zagotovi izpolnjevanje vsaj enega izmed pogojev, navedenih v prvem odstavku 82. člena ZJF. Pri teh transakcijah upravljanja z državnim dolgom se presojajo učinki na strukturo dolga, izpostavljenost makroekonomskim in tržnim tveganjem, na likvidnost ter krivuljo donosa slovenskih državnih vrednostnih papirjev. </w:t>
      </w:r>
    </w:p>
    <w:p w14:paraId="21A78444" w14:textId="77777777" w:rsidR="005A1B6C" w:rsidRPr="0025613F" w:rsidRDefault="005A1B6C" w:rsidP="005A1B6C">
      <w:pPr>
        <w:spacing w:line="260" w:lineRule="exact"/>
        <w:jc w:val="both"/>
        <w:rPr>
          <w:rFonts w:ascii="Arial" w:hAnsi="Arial" w:cs="Arial"/>
          <w:sz w:val="20"/>
          <w:szCs w:val="20"/>
        </w:rPr>
      </w:pPr>
    </w:p>
    <w:p w14:paraId="3289E1B2"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iz drugega odstavka </w:t>
      </w:r>
      <w:r w:rsidRPr="0025613F">
        <w:rPr>
          <w:rFonts w:ascii="Arial" w:hAnsi="Arial" w:cs="Arial"/>
          <w:sz w:val="20"/>
          <w:szCs w:val="20"/>
        </w:rPr>
        <w:br/>
        <w:t>82. člena ZJF se lahko izvajajo z valutnimi zamenjavami, obrestnimi zamenjavami in drugimi izvedenimi finančnimi instrumenti, uveljavljenimi na finančnem trgu za takšen namen, vključno s transakcijami, ki zmanjšujejo kreditno izpostavljenost v zvezi z njimi.</w:t>
      </w:r>
    </w:p>
    <w:p w14:paraId="6EA43DF5" w14:textId="77777777" w:rsidR="005A1B6C" w:rsidRPr="0025613F" w:rsidRDefault="005A1B6C" w:rsidP="005A1B6C">
      <w:pPr>
        <w:spacing w:line="260" w:lineRule="exact"/>
        <w:jc w:val="both"/>
        <w:rPr>
          <w:rFonts w:ascii="Arial" w:hAnsi="Arial" w:cs="Arial"/>
          <w:sz w:val="20"/>
          <w:szCs w:val="20"/>
        </w:rPr>
      </w:pPr>
    </w:p>
    <w:p w14:paraId="2DE9C71B" w14:textId="2957CC2E" w:rsidR="005A1B6C" w:rsidRPr="004B10D5" w:rsidRDefault="005A1B6C" w:rsidP="005A1B6C">
      <w:pPr>
        <w:spacing w:line="260" w:lineRule="exact"/>
        <w:jc w:val="both"/>
        <w:rPr>
          <w:rFonts w:ascii="Arial" w:hAnsi="Arial" w:cs="Arial"/>
          <w:sz w:val="20"/>
          <w:szCs w:val="20"/>
        </w:rPr>
      </w:pPr>
      <w:r w:rsidRPr="004B10D5">
        <w:rPr>
          <w:rFonts w:ascii="Arial" w:hAnsi="Arial" w:cs="Arial"/>
          <w:sz w:val="20"/>
          <w:szCs w:val="20"/>
        </w:rPr>
        <w:t xml:space="preserve">V točki </w:t>
      </w:r>
      <w:r w:rsidRPr="00344FA5">
        <w:rPr>
          <w:rFonts w:ascii="Arial" w:hAnsi="Arial" w:cs="Arial"/>
          <w:sz w:val="20"/>
          <w:szCs w:val="20"/>
        </w:rPr>
        <w:fldChar w:fldCharType="begin"/>
      </w:r>
      <w:r w:rsidRPr="00344FA5">
        <w:rPr>
          <w:rFonts w:ascii="Arial" w:hAnsi="Arial" w:cs="Arial"/>
          <w:sz w:val="20"/>
          <w:szCs w:val="20"/>
        </w:rPr>
        <w:instrText xml:space="preserve"> REF _Ref373930480 \r \h  \* MERGEFORMAT </w:instrText>
      </w:r>
      <w:r w:rsidRPr="00344FA5">
        <w:rPr>
          <w:rFonts w:ascii="Arial" w:hAnsi="Arial" w:cs="Arial"/>
          <w:sz w:val="20"/>
          <w:szCs w:val="20"/>
        </w:rPr>
      </w:r>
      <w:r w:rsidRPr="00344FA5">
        <w:rPr>
          <w:rFonts w:ascii="Arial" w:hAnsi="Arial" w:cs="Arial"/>
          <w:sz w:val="20"/>
          <w:szCs w:val="20"/>
        </w:rPr>
        <w:fldChar w:fldCharType="separate"/>
      </w:r>
      <w:r w:rsidR="00E01EF4" w:rsidRPr="00344FA5">
        <w:rPr>
          <w:rFonts w:ascii="Arial" w:hAnsi="Arial" w:cs="Arial"/>
          <w:sz w:val="20"/>
          <w:szCs w:val="20"/>
        </w:rPr>
        <w:t>2</w:t>
      </w:r>
      <w:r w:rsidRPr="00344FA5">
        <w:rPr>
          <w:rFonts w:ascii="Arial" w:hAnsi="Arial" w:cs="Arial"/>
          <w:sz w:val="20"/>
          <w:szCs w:val="20"/>
        </w:rPr>
        <w:fldChar w:fldCharType="end"/>
      </w:r>
      <w:r w:rsidRPr="004B10D5">
        <w:rPr>
          <w:rFonts w:ascii="Arial" w:hAnsi="Arial" w:cs="Arial"/>
          <w:sz w:val="20"/>
          <w:szCs w:val="20"/>
        </w:rPr>
        <w:t xml:space="preserve"> so podrobneje opisani kriteriji in način izvedbe odkupov in zamenjav državnih vrednostnih papirjev, v točki </w:t>
      </w:r>
      <w:r w:rsidR="003E3DF9" w:rsidRPr="004B10D5">
        <w:rPr>
          <w:rFonts w:ascii="Arial" w:hAnsi="Arial" w:cs="Arial"/>
          <w:sz w:val="20"/>
          <w:szCs w:val="20"/>
        </w:rPr>
        <w:t xml:space="preserve">3.2 </w:t>
      </w:r>
      <w:r w:rsidRPr="004B10D5">
        <w:rPr>
          <w:rFonts w:ascii="Arial" w:hAnsi="Arial" w:cs="Arial"/>
          <w:sz w:val="20"/>
          <w:szCs w:val="20"/>
        </w:rPr>
        <w:t xml:space="preserve">tega programa financiranja pa so navedeni izvedeni finančni instrumenti za uravnavanje tečajnih in obrestnih tveganj in nameni uporabe takšnih instrumentov. </w:t>
      </w:r>
    </w:p>
    <w:p w14:paraId="7C882E3F" w14:textId="77777777" w:rsidR="005A1B6C" w:rsidRPr="0025613F" w:rsidRDefault="005A1B6C" w:rsidP="005A1B6C">
      <w:pPr>
        <w:pStyle w:val="Odstavekseznama"/>
        <w:keepNext/>
        <w:keepLines/>
        <w:numPr>
          <w:ilvl w:val="0"/>
          <w:numId w:val="20"/>
        </w:numPr>
        <w:spacing w:before="200"/>
        <w:contextualSpacing w:val="0"/>
        <w:outlineLvl w:val="1"/>
        <w:rPr>
          <w:rFonts w:ascii="Arial" w:eastAsia="SimSun" w:hAnsi="Arial"/>
          <w:b/>
          <w:bCs/>
          <w:vanish/>
          <w:sz w:val="22"/>
          <w:szCs w:val="26"/>
        </w:rPr>
      </w:pPr>
      <w:bookmarkStart w:id="4" w:name="_Ref373930480"/>
    </w:p>
    <w:p w14:paraId="0F63261E" w14:textId="13297786" w:rsidR="005A1B6C" w:rsidRDefault="00BE59B6" w:rsidP="006B06B3">
      <w:pPr>
        <w:pStyle w:val="Naslov2"/>
      </w:pPr>
      <w:r>
        <w:t>3.1</w:t>
      </w:r>
      <w:r>
        <w:tab/>
      </w:r>
      <w:r w:rsidR="005A1B6C" w:rsidRPr="0025613F">
        <w:t>ODKUPI IN ZAMENJAVE DRŽAVNIH VREDNOSTNIH PAPIRJEV</w:t>
      </w:r>
      <w:bookmarkEnd w:id="4"/>
    </w:p>
    <w:p w14:paraId="69BA10DB"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Odkupi in zamenjave vrednostnih papirjev so tržne transakcije, izvedene po tržnih pogojih in so odvisne od odziva oziroma volje imetnikov vrednostnih papirjev, da določeni vrednostni papir po določeni ceni državi prodajo oziroma ga zamenjajo za drug vrednostni papir. Učinki tovrstnih transakcij upravljanja z dolgom državnega proračuna so odvisni od tržnih razmer v času izvedbe transakcije</w:t>
      </w:r>
      <w:r w:rsidRPr="0025613F" w:rsidDel="002F72B5">
        <w:rPr>
          <w:rFonts w:ascii="Arial" w:hAnsi="Arial" w:cs="Arial"/>
          <w:sz w:val="20"/>
          <w:szCs w:val="20"/>
        </w:rPr>
        <w:t xml:space="preserve"> </w:t>
      </w:r>
      <w:r w:rsidRPr="0025613F">
        <w:rPr>
          <w:rFonts w:ascii="Arial" w:hAnsi="Arial" w:cs="Arial"/>
          <w:sz w:val="20"/>
          <w:szCs w:val="20"/>
        </w:rPr>
        <w:t>in se jih izračunava.</w:t>
      </w:r>
    </w:p>
    <w:p w14:paraId="22259819" w14:textId="77777777" w:rsidR="005A1B6C" w:rsidRPr="0025613F" w:rsidRDefault="005A1B6C" w:rsidP="005A1B6C">
      <w:pPr>
        <w:spacing w:line="260" w:lineRule="exact"/>
        <w:jc w:val="both"/>
        <w:rPr>
          <w:rFonts w:ascii="Arial" w:hAnsi="Arial" w:cs="Arial"/>
          <w:sz w:val="20"/>
          <w:szCs w:val="20"/>
        </w:rPr>
      </w:pPr>
      <w:bookmarkStart w:id="5" w:name="_Ref373930796"/>
    </w:p>
    <w:p w14:paraId="1748B833" w14:textId="5C26614D" w:rsidR="005A1B6C" w:rsidRPr="0025613F" w:rsidRDefault="00BE59B6" w:rsidP="00C47769">
      <w:pPr>
        <w:pStyle w:val="Naslov3"/>
        <w:numPr>
          <w:ilvl w:val="0"/>
          <w:numId w:val="0"/>
        </w:numPr>
      </w:pPr>
      <w:r>
        <w:t>3.1.1</w:t>
      </w:r>
      <w:r>
        <w:tab/>
      </w:r>
      <w:r w:rsidR="005A1B6C" w:rsidRPr="0025613F">
        <w:t>Kriteriji za izvedbo transakcij odkupov</w:t>
      </w:r>
      <w:r w:rsidR="005A1B6C" w:rsidRPr="0025613F" w:rsidDel="00E67C35">
        <w:t xml:space="preserve"> </w:t>
      </w:r>
      <w:r w:rsidR="005A1B6C" w:rsidRPr="0025613F">
        <w:t>in zamenjav vrednostnih papirjev</w:t>
      </w:r>
      <w:bookmarkEnd w:id="5"/>
    </w:p>
    <w:p w14:paraId="5BCF2A15"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Transakcije odkupov in zamenjav vrednostnih papirjev se bodo izvajale v skladu z 82. členom ZJF. Ob tem se bodo presojali učinki transakcij odkupov in/ali zamenjav ter zasledovali cilji učinkovitega upravljanja z dolgom državnega proračuna z vidika naslednjih kriterijev:</w:t>
      </w:r>
    </w:p>
    <w:p w14:paraId="358E5241"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zmanjšanje obrestnih izdatkov;</w:t>
      </w:r>
    </w:p>
    <w:p w14:paraId="2FF64D4C"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povečanje povprečne ročnosti dolga ter utrditev strukture portfelja dolga državnega proračuna, ko Republika Slovenija obveznice s krajšo preostalo dospelostjo nadomesti z obveznicami daljše ročnosti in se s tem zmanjša tveganje refinanciranja;</w:t>
      </w:r>
    </w:p>
    <w:p w14:paraId="1700339B"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ocena pričakovane pozitivne finančne ekonomike preloma, kar pomeni, da se s transakcijo predčasnega refinanciranja obveznic krajših preostalih ročnosti in z izdajo obveznic daljših ročnosti realizira obstoječe tržne obrestne mere za daljše obdobje, za katere se glede na širše makroekonomske in finančne razmere v naslednjem srednjeročnem obdobju z veliko stopnjo gotovosti pričakuje, da bodo najmanj enake ali nekoliko višje. S tem se doseže pozitivni učinek tako na strani stroška zadolževanja, kot stroška držanja likvidnostne rezerve upravljavca likvidnosti državnega proračuna;</w:t>
      </w:r>
    </w:p>
    <w:p w14:paraId="7DC8705C"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pozitiven vpliv na proračun z vidika spremembe stanja dolga z vidika pozitivne neto sedanje vrednosti transakcije upravljanja z dolgom;</w:t>
      </w:r>
    </w:p>
    <w:p w14:paraId="0D8B7C53" w14:textId="77777777" w:rsidR="005A1B6C" w:rsidRPr="0025613F" w:rsidRDefault="005A1B6C" w:rsidP="005A1B6C">
      <w:pPr>
        <w:pStyle w:val="Odstavekseznama"/>
        <w:numPr>
          <w:ilvl w:val="0"/>
          <w:numId w:val="37"/>
        </w:numPr>
        <w:suppressAutoHyphens w:val="0"/>
        <w:spacing w:line="260" w:lineRule="exact"/>
        <w:jc w:val="both"/>
        <w:rPr>
          <w:rFonts w:ascii="Arial" w:hAnsi="Arial" w:cs="Arial"/>
          <w:sz w:val="20"/>
          <w:szCs w:val="20"/>
        </w:rPr>
      </w:pPr>
      <w:r w:rsidRPr="0025613F">
        <w:rPr>
          <w:rFonts w:ascii="Arial" w:hAnsi="Arial" w:cs="Arial"/>
          <w:sz w:val="20"/>
          <w:szCs w:val="20"/>
        </w:rPr>
        <w:t>izbira obveznic za predčasni odkup in/ali zamenjavo, s katero Republika Slovenija lahko doseže kar največjo participacijo imetnikov in s tem nižjo premijo za predčasni odkup in/ali nižji diskont pri zamenjavi.</w:t>
      </w:r>
    </w:p>
    <w:p w14:paraId="3B2D3C37" w14:textId="77777777" w:rsidR="005A1B6C" w:rsidRPr="0025613F" w:rsidRDefault="005A1B6C" w:rsidP="005A1B6C">
      <w:pPr>
        <w:spacing w:line="260" w:lineRule="exact"/>
        <w:jc w:val="both"/>
        <w:rPr>
          <w:rFonts w:ascii="Arial" w:hAnsi="Arial" w:cs="Arial"/>
          <w:sz w:val="20"/>
          <w:szCs w:val="20"/>
        </w:rPr>
      </w:pPr>
    </w:p>
    <w:p w14:paraId="516BEF6F"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Na podlagi zgoraj navedenih kriterijev se s transakcijami odkupov in/ali zamenjav zasleduje doseganje tudi naslednjih pozitivnih učinkov:</w:t>
      </w:r>
    </w:p>
    <w:p w14:paraId="34CD4CEB" w14:textId="77777777" w:rsidR="005A1B6C" w:rsidRPr="0025613F" w:rsidRDefault="005A1B6C" w:rsidP="005A1B6C">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 xml:space="preserve">povečanje likvidnosti državnih vrednostnih papirjev na sekundarnem trgu; </w:t>
      </w:r>
    </w:p>
    <w:p w14:paraId="430C93CF" w14:textId="77777777" w:rsidR="005A1B6C" w:rsidRPr="0025613F" w:rsidRDefault="005A1B6C" w:rsidP="005A1B6C">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konsolidacija portfelja dolga državnega proračuna;</w:t>
      </w:r>
    </w:p>
    <w:p w14:paraId="548F4E21" w14:textId="77777777" w:rsidR="005A1B6C" w:rsidRPr="0025613F" w:rsidRDefault="005A1B6C" w:rsidP="005A1B6C">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t xml:space="preserve">oblikovanje referenčne krivulje zahtevane donosnosti državnih vrednostnih papirjev; </w:t>
      </w:r>
    </w:p>
    <w:p w14:paraId="18B53157" w14:textId="77777777" w:rsidR="005A1B6C" w:rsidRPr="0025613F" w:rsidRDefault="005A1B6C" w:rsidP="005A1B6C">
      <w:pPr>
        <w:pStyle w:val="Odstavekseznama"/>
        <w:numPr>
          <w:ilvl w:val="0"/>
          <w:numId w:val="38"/>
        </w:numPr>
        <w:suppressAutoHyphens w:val="0"/>
        <w:spacing w:line="260" w:lineRule="exact"/>
        <w:jc w:val="both"/>
        <w:rPr>
          <w:rFonts w:ascii="Arial" w:hAnsi="Arial" w:cs="Arial"/>
          <w:sz w:val="20"/>
          <w:szCs w:val="20"/>
        </w:rPr>
      </w:pPr>
      <w:r w:rsidRPr="0025613F">
        <w:rPr>
          <w:rFonts w:ascii="Arial" w:hAnsi="Arial" w:cs="Arial"/>
          <w:sz w:val="20"/>
          <w:szCs w:val="20"/>
        </w:rPr>
        <w:lastRenderedPageBreak/>
        <w:t>učinkovito umeščanje dolga državnega proračuna na skupnem evropskem in globalnem dolžniškem kapitalskem trgu.</w:t>
      </w:r>
    </w:p>
    <w:p w14:paraId="7A3298EA" w14:textId="77777777" w:rsidR="005A1B6C" w:rsidRPr="0025613F" w:rsidRDefault="005A1B6C" w:rsidP="005A1B6C">
      <w:pPr>
        <w:spacing w:line="260" w:lineRule="exact"/>
        <w:jc w:val="both"/>
        <w:rPr>
          <w:rFonts w:ascii="Arial" w:hAnsi="Arial" w:cs="Arial"/>
          <w:sz w:val="20"/>
          <w:szCs w:val="20"/>
        </w:rPr>
      </w:pPr>
    </w:p>
    <w:p w14:paraId="02213FB3"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Cena odkupa in/ali zamenjave posameznega vrednostnega papirja bo določena tržno. </w:t>
      </w:r>
    </w:p>
    <w:p w14:paraId="50955EB6" w14:textId="77777777" w:rsidR="005A1B6C" w:rsidRPr="0025613F" w:rsidRDefault="005A1B6C" w:rsidP="005A1B6C">
      <w:pPr>
        <w:spacing w:line="260" w:lineRule="exact"/>
        <w:jc w:val="both"/>
        <w:rPr>
          <w:rFonts w:ascii="Arial" w:hAnsi="Arial" w:cs="Arial"/>
          <w:sz w:val="20"/>
          <w:szCs w:val="20"/>
        </w:rPr>
      </w:pPr>
    </w:p>
    <w:p w14:paraId="0D5F5E2A"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Republika Slovenija bo, v kolikor bodo to omogočale tržne razmere in bodo izpolnjeni kriteriji iz točke 3.1.1 </w:t>
      </w:r>
      <w:r>
        <w:rPr>
          <w:rFonts w:ascii="Arial" w:hAnsi="Arial" w:cs="Arial"/>
          <w:sz w:val="20"/>
          <w:szCs w:val="20"/>
        </w:rPr>
        <w:t xml:space="preserve">tega </w:t>
      </w:r>
      <w:r w:rsidRPr="0025613F">
        <w:rPr>
          <w:rFonts w:ascii="Arial" w:hAnsi="Arial" w:cs="Arial"/>
          <w:sz w:val="20"/>
          <w:szCs w:val="20"/>
        </w:rPr>
        <w:t>programa financiranja, v letu 202</w:t>
      </w:r>
      <w:r>
        <w:rPr>
          <w:rFonts w:ascii="Arial" w:hAnsi="Arial" w:cs="Arial"/>
          <w:sz w:val="20"/>
          <w:szCs w:val="20"/>
        </w:rPr>
        <w:t>3</w:t>
      </w:r>
      <w:r w:rsidRPr="0025613F">
        <w:rPr>
          <w:rFonts w:ascii="Arial" w:hAnsi="Arial" w:cs="Arial"/>
          <w:sz w:val="20"/>
          <w:szCs w:val="20"/>
        </w:rPr>
        <w:t xml:space="preserve"> v odkup in/ali zamenjavo lahko ponudila vsakega od obstoječih vrednostnih papirjev iz portfelja dolga državnega proračuna.</w:t>
      </w:r>
    </w:p>
    <w:p w14:paraId="1EAC26E9" w14:textId="77777777" w:rsidR="005A1B6C" w:rsidRPr="0025613F" w:rsidRDefault="005A1B6C" w:rsidP="005A1B6C">
      <w:pPr>
        <w:spacing w:line="260" w:lineRule="exact"/>
        <w:jc w:val="both"/>
        <w:rPr>
          <w:rFonts w:ascii="Arial" w:hAnsi="Arial" w:cs="Arial"/>
          <w:sz w:val="20"/>
          <w:szCs w:val="20"/>
        </w:rPr>
      </w:pPr>
    </w:p>
    <w:p w14:paraId="4D5D6E38" w14:textId="177D3740" w:rsidR="005A1B6C" w:rsidRPr="0025613F" w:rsidRDefault="00BE59B6" w:rsidP="00C47769">
      <w:pPr>
        <w:pStyle w:val="Naslov3"/>
        <w:numPr>
          <w:ilvl w:val="0"/>
          <w:numId w:val="0"/>
        </w:numPr>
      </w:pPr>
      <w:r>
        <w:t>3.1.2</w:t>
      </w:r>
      <w:r>
        <w:tab/>
      </w:r>
      <w:r w:rsidR="005A1B6C" w:rsidRPr="0025613F">
        <w:t>Način izvedbe transakcij odkupov in zamenjav vrednostnih papirjev</w:t>
      </w:r>
    </w:p>
    <w:p w14:paraId="145A2F51"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 xml:space="preserve">Transakcije odkupov in zamenjav se bodo lahko izvajale preko avkcij, s smiselno uporabo vsakokrat veljavnih pravil za izvedbo avkcij državnih vrednostnih papirjev, ali na drug način, v skladu s standardno tržno prakso, uveljavljeno na finančnem trgu. </w:t>
      </w:r>
    </w:p>
    <w:p w14:paraId="62D5E927" w14:textId="77777777" w:rsidR="005A1B6C" w:rsidRPr="0025613F" w:rsidRDefault="005A1B6C" w:rsidP="005A1B6C">
      <w:pPr>
        <w:spacing w:line="260" w:lineRule="exact"/>
        <w:jc w:val="both"/>
        <w:rPr>
          <w:rFonts w:ascii="Arial" w:hAnsi="Arial" w:cs="Arial"/>
          <w:sz w:val="20"/>
          <w:szCs w:val="20"/>
        </w:rPr>
      </w:pPr>
    </w:p>
    <w:p w14:paraId="435E55E2" w14:textId="77777777" w:rsidR="005A1B6C" w:rsidRPr="0025613F" w:rsidRDefault="005A1B6C" w:rsidP="005A1B6C">
      <w:pPr>
        <w:spacing w:line="260" w:lineRule="exact"/>
        <w:jc w:val="both"/>
        <w:rPr>
          <w:rFonts w:ascii="Arial" w:hAnsi="Arial" w:cs="Arial"/>
          <w:sz w:val="20"/>
          <w:szCs w:val="20"/>
        </w:rPr>
      </w:pPr>
      <w:r w:rsidRPr="0025613F">
        <w:rPr>
          <w:rFonts w:ascii="Arial" w:hAnsi="Arial" w:cs="Arial"/>
          <w:sz w:val="20"/>
          <w:szCs w:val="20"/>
        </w:rPr>
        <w:t>Transakcije odkupov in zamenjav vrednostnih papirjev bodo izvršene, v kolikor bodo to omogočale tržne razmere, če bo na trgu izražen interes za prodajo ali zamenjavo vrednostnih papirjev in glede na likvidnost državnega proračuna. Ministrstvo za finance bo med letom preverjalo tržni interes za prodajo oziroma zamenjavo vrednostnih papirjev pri investitorjih in primarnih vpisnikih za državne vrednostne papirje. V kolikor bo na trgu izražen interes za prodajo ali zamenjavo vrednostnih papirjev in bo transakcije odkupov ali zamenjav možno izvesti, bo Ministrstvo za finance določilo vrednostne papirje za odkup oziroma zamenjavo, okvirno skupno višino odkupa oziroma zamenjave, čas obvestila javnosti o ponudbi za odkup oziroma zamenjavo ter v primeru zamenjave vrednostnih papirjev določilo ponudbo novih vrednostnih papirjev, za katere bodo določeni vrednostni papirji zamenjani in menjalno razmerje. Ministrstvo za finance lahko izvaja tudi posamične odkupe oziroma zamenjave vrednostnih papirjev na bilateralni osnovi v primeru izraženega interesa za prodajo ali zamenjavo vrednostnih papirjev s strani imetnika ali Ministrstva za finance.</w:t>
      </w:r>
    </w:p>
    <w:p w14:paraId="15119B57" w14:textId="6127F6FC" w:rsidR="005A1B6C" w:rsidRPr="0025613F" w:rsidRDefault="00BE59B6" w:rsidP="006B06B3">
      <w:pPr>
        <w:pStyle w:val="Naslov2"/>
      </w:pPr>
      <w:bookmarkStart w:id="6" w:name="_Ref373930495"/>
      <w:r>
        <w:t>3.2</w:t>
      </w:r>
      <w:r>
        <w:tab/>
      </w:r>
      <w:r>
        <w:tab/>
      </w:r>
      <w:r w:rsidR="005A1B6C" w:rsidRPr="0025613F">
        <w:t xml:space="preserve">IZVEDENI FINANČNI INSTRUMENTI ZA URAVNAVANJE TEČAJNIH IN OBRESTNIH TVEGANJ </w:t>
      </w:r>
      <w:bookmarkEnd w:id="6"/>
    </w:p>
    <w:p w14:paraId="5F812315" w14:textId="2840D575" w:rsidR="005A1B6C" w:rsidRPr="0025613F" w:rsidRDefault="005A1B6C" w:rsidP="005A1B6C">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Kot navedeno v točkah </w:t>
      </w:r>
      <w:r w:rsidR="003E3DF9">
        <w:rPr>
          <w:rFonts w:ascii="Arial" w:hAnsi="Arial" w:cs="Arial"/>
          <w:sz w:val="20"/>
          <w:szCs w:val="20"/>
        </w:rPr>
        <w:t>2.3</w:t>
      </w:r>
      <w:r w:rsidRPr="0025613F">
        <w:rPr>
          <w:rFonts w:ascii="Arial" w:hAnsi="Arial" w:cs="Arial"/>
          <w:sz w:val="20"/>
          <w:szCs w:val="20"/>
        </w:rPr>
        <w:t xml:space="preserve"> in </w:t>
      </w:r>
      <w:r>
        <w:fldChar w:fldCharType="begin"/>
      </w:r>
      <w:r>
        <w:instrText xml:space="preserve"> REF _Ref373930944 \r \h  \* MERGEFORMAT </w:instrText>
      </w:r>
      <w:r>
        <w:fldChar w:fldCharType="separate"/>
      </w:r>
      <w:r w:rsidR="00E01EF4" w:rsidRPr="00C47769">
        <w:rPr>
          <w:rFonts w:ascii="Arial" w:hAnsi="Arial" w:cs="Arial"/>
          <w:sz w:val="20"/>
          <w:szCs w:val="20"/>
        </w:rPr>
        <w:t>2.3.2</w:t>
      </w:r>
      <w:r>
        <w:fldChar w:fldCharType="end"/>
      </w:r>
      <w:r w:rsidRPr="0025613F">
        <w:t xml:space="preserve"> </w:t>
      </w:r>
      <w:r w:rsidRPr="0077152B">
        <w:rPr>
          <w:rFonts w:ascii="Arial" w:hAnsi="Arial" w:cs="Arial"/>
          <w:sz w:val="20"/>
          <w:szCs w:val="20"/>
        </w:rPr>
        <w:t xml:space="preserve">tega </w:t>
      </w:r>
      <w:r w:rsidRPr="0025613F">
        <w:rPr>
          <w:rFonts w:ascii="Arial" w:hAnsi="Arial" w:cs="Arial"/>
          <w:sz w:val="20"/>
          <w:szCs w:val="20"/>
        </w:rPr>
        <w:t xml:space="preserve">programa financiranja je primarni instrument financiranja državnega proračuna dolgoročno zadolževanje z javno izdajo referenčnih državnih obveznic, na evropskem ali drugih trgih, na sindiciran način. Referenčne državne obveznice se skladno strateškim ciljem zadolževanja praviloma izdajajo s fiksno obrestno mero. Dejanski izbor instrumentov (vrsta, struktura, ročnost, valuta), višina zadolžitve s posameznim instrumentom in čas zadolževanja so odvisni od aktualnih tržnih razmer in povpraševanja s strani investitorjev. V primeru zadolževanja z izdajami referenčnih državnih obveznic v valuti, ki ni domača, lahko država z namenom uravnavanja izpostavljenosti tečajnemu tveganju, ki bi izhajalo iz servisiranja obveznosti iz naslova zadolžitev v tuji valuti, izvaja posle valutnih zamenjav. V primeru zadolžitve z variabilno obrestno mero se lahko za namen omejitve tveganja, ki bi izhajalo iz spremenljive osnove obrestne mere, izvede obrestna zamenjava takšne zadolžitve v fiksno obrestno mero. </w:t>
      </w:r>
    </w:p>
    <w:p w14:paraId="782BCB98" w14:textId="77777777" w:rsidR="005A1B6C" w:rsidRPr="0025613F" w:rsidRDefault="005A1B6C" w:rsidP="005A1B6C">
      <w:pPr>
        <w:tabs>
          <w:tab w:val="left" w:pos="708"/>
        </w:tabs>
        <w:spacing w:line="260" w:lineRule="exact"/>
        <w:jc w:val="both"/>
        <w:rPr>
          <w:rFonts w:ascii="Arial" w:hAnsi="Arial" w:cs="Arial"/>
          <w:sz w:val="20"/>
          <w:szCs w:val="20"/>
        </w:rPr>
      </w:pPr>
    </w:p>
    <w:p w14:paraId="432E86CC" w14:textId="77777777" w:rsidR="005A1B6C" w:rsidRPr="0025613F" w:rsidRDefault="005A1B6C" w:rsidP="005A1B6C">
      <w:pPr>
        <w:tabs>
          <w:tab w:val="left" w:pos="708"/>
        </w:tabs>
        <w:spacing w:line="260" w:lineRule="exact"/>
        <w:jc w:val="both"/>
        <w:rPr>
          <w:rFonts w:ascii="Arial" w:hAnsi="Arial" w:cs="Arial"/>
          <w:sz w:val="20"/>
          <w:szCs w:val="20"/>
        </w:rPr>
      </w:pPr>
      <w:r w:rsidRPr="0025613F">
        <w:rPr>
          <w:rFonts w:ascii="Arial" w:hAnsi="Arial" w:cs="Arial"/>
          <w:sz w:val="20"/>
          <w:szCs w:val="20"/>
        </w:rPr>
        <w:t>Za zaščito pred drugimi tečajnimi in obrestnimi tveganji se lahko sklenejo tudi drugi posli z izvedenimi finančnimi instrumenti, uveljavljenimi na finančnem trgu za takšen namen. Na podlagi programa financiranja se lahko sklepajo tudi izvedeni finančni instrumenti, ki so sklenjeni v letu 202</w:t>
      </w:r>
      <w:r>
        <w:rPr>
          <w:rFonts w:ascii="Arial" w:hAnsi="Arial" w:cs="Arial"/>
          <w:sz w:val="20"/>
          <w:szCs w:val="20"/>
        </w:rPr>
        <w:t>3</w:t>
      </w:r>
      <w:r w:rsidRPr="0025613F">
        <w:rPr>
          <w:rFonts w:ascii="Arial" w:hAnsi="Arial" w:cs="Arial"/>
          <w:sz w:val="20"/>
          <w:szCs w:val="20"/>
        </w:rPr>
        <w:t xml:space="preserve">, njihova poravnava pa se prične oziroma izvrši v prihodnjih letih. </w:t>
      </w:r>
    </w:p>
    <w:p w14:paraId="6AF60E42" w14:textId="77777777" w:rsidR="005A1B6C" w:rsidRPr="0025613F" w:rsidRDefault="005A1B6C" w:rsidP="005A1B6C">
      <w:pPr>
        <w:tabs>
          <w:tab w:val="left" w:pos="708"/>
        </w:tabs>
        <w:spacing w:line="260" w:lineRule="exact"/>
        <w:jc w:val="both"/>
        <w:rPr>
          <w:rFonts w:ascii="Arial" w:hAnsi="Arial" w:cs="Arial"/>
          <w:sz w:val="20"/>
          <w:szCs w:val="20"/>
        </w:rPr>
      </w:pPr>
    </w:p>
    <w:p w14:paraId="7C8DE51F" w14:textId="77777777" w:rsidR="005A1B6C" w:rsidRPr="0025613F" w:rsidRDefault="005A1B6C" w:rsidP="005A1B6C">
      <w:pPr>
        <w:tabs>
          <w:tab w:val="left" w:pos="708"/>
        </w:tabs>
        <w:spacing w:line="260" w:lineRule="exact"/>
        <w:jc w:val="both"/>
        <w:rPr>
          <w:rFonts w:ascii="Arial" w:hAnsi="Arial" w:cs="Arial"/>
          <w:sz w:val="20"/>
          <w:szCs w:val="20"/>
        </w:rPr>
      </w:pPr>
      <w:r w:rsidRPr="0025613F">
        <w:rPr>
          <w:rFonts w:ascii="Arial" w:hAnsi="Arial" w:cs="Arial"/>
          <w:sz w:val="20"/>
          <w:szCs w:val="20"/>
        </w:rPr>
        <w:t xml:space="preserve">Izvedeni finančni instrumenti za uravnavanje tečajnih in obrestnih tveganj so tržne transakcije, ki se sklepajo po tržnih pogojih in v skladu z ustrezno poslovno prakso. </w:t>
      </w:r>
    </w:p>
    <w:p w14:paraId="6A9BCCDF" w14:textId="77777777" w:rsidR="005A1B6C" w:rsidRPr="0025613F" w:rsidRDefault="005A1B6C" w:rsidP="005A1B6C">
      <w:pPr>
        <w:tabs>
          <w:tab w:val="left" w:pos="3396"/>
        </w:tabs>
        <w:rPr>
          <w:rFonts w:ascii="Arial" w:hAnsi="Arial" w:cs="Arial"/>
          <w:sz w:val="20"/>
          <w:szCs w:val="20"/>
        </w:rPr>
      </w:pPr>
    </w:p>
    <w:p w14:paraId="28188180" w14:textId="77777777" w:rsidR="005A1B6C" w:rsidRDefault="005A1B6C" w:rsidP="005A1B6C">
      <w:pPr>
        <w:spacing w:line="260" w:lineRule="exact"/>
        <w:rPr>
          <w:rFonts w:ascii="Arial" w:hAnsi="Arial" w:cs="Arial"/>
          <w:b/>
          <w:sz w:val="22"/>
          <w:szCs w:val="20"/>
        </w:rPr>
      </w:pPr>
    </w:p>
    <w:sectPr w:rsidR="005A1B6C" w:rsidSect="007A6216">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F202" w14:textId="77777777" w:rsidR="008E466A" w:rsidRDefault="008E466A" w:rsidP="00C3541D">
      <w:r>
        <w:separator/>
      </w:r>
    </w:p>
  </w:endnote>
  <w:endnote w:type="continuationSeparator" w:id="0">
    <w:p w14:paraId="7E1F4DDC" w14:textId="77777777" w:rsidR="008E466A" w:rsidRDefault="008E466A" w:rsidP="00C3541D">
      <w:r>
        <w:continuationSeparator/>
      </w:r>
    </w:p>
  </w:endnote>
  <w:endnote w:type="continuationNotice" w:id="1">
    <w:p w14:paraId="62C1ED37" w14:textId="77777777" w:rsidR="008E466A" w:rsidRDefault="008E4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1958"/>
      <w:docPartObj>
        <w:docPartGallery w:val="Page Numbers (Bottom of Page)"/>
        <w:docPartUnique/>
      </w:docPartObj>
    </w:sdtPr>
    <w:sdtContent>
      <w:p w14:paraId="2B102125" w14:textId="77777777" w:rsidR="002F1898" w:rsidRDefault="003F0E0A">
        <w:pPr>
          <w:pStyle w:val="Noga"/>
          <w:jc w:val="right"/>
        </w:pPr>
        <w:r w:rsidRPr="00B31A6F">
          <w:rPr>
            <w:rFonts w:ascii="Arial" w:hAnsi="Arial" w:cs="Arial"/>
            <w:sz w:val="16"/>
            <w:szCs w:val="16"/>
          </w:rPr>
          <w:fldChar w:fldCharType="begin"/>
        </w:r>
        <w:r w:rsidR="002F1898" w:rsidRPr="00B31A6F">
          <w:rPr>
            <w:rFonts w:ascii="Arial" w:hAnsi="Arial" w:cs="Arial"/>
            <w:sz w:val="16"/>
            <w:szCs w:val="16"/>
          </w:rPr>
          <w:instrText>PAGE   \* MERGEFORMAT</w:instrText>
        </w:r>
        <w:r w:rsidRPr="00B31A6F">
          <w:rPr>
            <w:rFonts w:ascii="Arial" w:hAnsi="Arial" w:cs="Arial"/>
            <w:sz w:val="16"/>
            <w:szCs w:val="16"/>
          </w:rPr>
          <w:fldChar w:fldCharType="separate"/>
        </w:r>
        <w:r w:rsidR="00D4277A">
          <w:rPr>
            <w:rFonts w:ascii="Arial" w:hAnsi="Arial" w:cs="Arial"/>
            <w:noProof/>
            <w:sz w:val="16"/>
            <w:szCs w:val="16"/>
          </w:rPr>
          <w:t>4</w:t>
        </w:r>
        <w:r w:rsidRPr="00B31A6F">
          <w:rPr>
            <w:rFonts w:ascii="Arial" w:hAnsi="Arial" w:cs="Arial"/>
            <w:sz w:val="16"/>
            <w:szCs w:val="16"/>
          </w:rPr>
          <w:fldChar w:fldCharType="end"/>
        </w:r>
      </w:p>
    </w:sdtContent>
  </w:sdt>
  <w:p w14:paraId="24D44DD4" w14:textId="77777777" w:rsidR="002F1898" w:rsidRDefault="002F18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1FC8" w14:textId="77777777" w:rsidR="008E466A" w:rsidRDefault="008E466A" w:rsidP="00C3541D">
      <w:r>
        <w:separator/>
      </w:r>
    </w:p>
  </w:footnote>
  <w:footnote w:type="continuationSeparator" w:id="0">
    <w:p w14:paraId="4DE1AA66" w14:textId="77777777" w:rsidR="008E466A" w:rsidRDefault="008E466A" w:rsidP="00C3541D">
      <w:r>
        <w:continuationSeparator/>
      </w:r>
    </w:p>
  </w:footnote>
  <w:footnote w:type="continuationNotice" w:id="1">
    <w:p w14:paraId="3B209477" w14:textId="77777777" w:rsidR="008E466A" w:rsidRDefault="008E466A"/>
  </w:footnote>
  <w:footnote w:id="2">
    <w:p w14:paraId="2DF43FFA" w14:textId="77777777" w:rsidR="00BE59B6" w:rsidRPr="00642ECD" w:rsidRDefault="00BE59B6" w:rsidP="00BE59B6">
      <w:pPr>
        <w:pStyle w:val="Sprotnaopomba-besedilo"/>
        <w:tabs>
          <w:tab w:val="left" w:pos="142"/>
        </w:tabs>
        <w:ind w:left="142" w:hanging="142"/>
        <w:rPr>
          <w:rFonts w:cs="Arial"/>
          <w:bCs/>
          <w:sz w:val="16"/>
          <w:szCs w:val="16"/>
        </w:rPr>
      </w:pPr>
      <w:r w:rsidRPr="00642ECD">
        <w:rPr>
          <w:rStyle w:val="Sprotnaopomba-sklic"/>
        </w:rPr>
        <w:footnoteRef/>
      </w:r>
      <w:r w:rsidRPr="00642ECD">
        <w:t xml:space="preserve"> </w:t>
      </w:r>
      <w:r w:rsidRPr="00642ECD">
        <w:rPr>
          <w:rFonts w:cs="Arial"/>
          <w:bCs/>
          <w:sz w:val="16"/>
          <w:szCs w:val="16"/>
        </w:rPr>
        <w:t>Znesek odplačil glavnic dolga državnega proračuna v letu 20</w:t>
      </w:r>
      <w:r>
        <w:rPr>
          <w:rFonts w:cs="Arial"/>
          <w:bCs/>
          <w:sz w:val="16"/>
          <w:szCs w:val="16"/>
        </w:rPr>
        <w:t>23</w:t>
      </w:r>
      <w:r w:rsidRPr="00642ECD">
        <w:rPr>
          <w:rFonts w:cs="Arial"/>
          <w:bCs/>
          <w:sz w:val="16"/>
          <w:szCs w:val="16"/>
        </w:rPr>
        <w:t xml:space="preserve"> je </w:t>
      </w:r>
      <w:r w:rsidRPr="00E429EC">
        <w:rPr>
          <w:rFonts w:cs="Arial"/>
          <w:bCs/>
          <w:sz w:val="16"/>
          <w:szCs w:val="16"/>
        </w:rPr>
        <w:t xml:space="preserve">naveden v višini, kot so določene </w:t>
      </w:r>
      <w:r>
        <w:rPr>
          <w:rFonts w:cs="Arial"/>
          <w:bCs/>
          <w:sz w:val="16"/>
          <w:szCs w:val="16"/>
        </w:rPr>
        <w:t>z Rebalansom</w:t>
      </w:r>
      <w:r w:rsidRPr="00E429EC">
        <w:rPr>
          <w:rFonts w:cs="Arial"/>
          <w:bCs/>
          <w:sz w:val="16"/>
          <w:szCs w:val="16"/>
        </w:rPr>
        <w:t xml:space="preserve"> </w:t>
      </w:r>
      <w:r>
        <w:rPr>
          <w:rFonts w:cs="Arial"/>
          <w:bCs/>
          <w:sz w:val="16"/>
          <w:szCs w:val="16"/>
        </w:rPr>
        <w:t>p</w:t>
      </w:r>
      <w:r w:rsidRPr="00E429EC">
        <w:rPr>
          <w:rFonts w:cs="Arial"/>
          <w:bCs/>
          <w:sz w:val="16"/>
          <w:szCs w:val="16"/>
        </w:rPr>
        <w:t>roračuna</w:t>
      </w:r>
      <w:r w:rsidRPr="00ED438D">
        <w:rPr>
          <w:rFonts w:cs="Arial"/>
          <w:bCs/>
          <w:sz w:val="16"/>
          <w:szCs w:val="16"/>
        </w:rPr>
        <w:t xml:space="preserve"> </w:t>
      </w:r>
      <w:r>
        <w:rPr>
          <w:rFonts w:cs="Arial"/>
          <w:bCs/>
          <w:sz w:val="16"/>
          <w:szCs w:val="16"/>
        </w:rPr>
        <w:t xml:space="preserve">RS za leto </w:t>
      </w:r>
      <w:r w:rsidRPr="00ED438D">
        <w:rPr>
          <w:rFonts w:cs="Arial"/>
          <w:bCs/>
          <w:sz w:val="16"/>
          <w:szCs w:val="16"/>
        </w:rPr>
        <w:t>202</w:t>
      </w:r>
      <w:r>
        <w:rPr>
          <w:rFonts w:cs="Arial"/>
          <w:bCs/>
          <w:sz w:val="16"/>
          <w:szCs w:val="16"/>
        </w:rPr>
        <w:t>3</w:t>
      </w:r>
      <w:r w:rsidRPr="009859BD">
        <w:rPr>
          <w:rFonts w:cs="Arial"/>
          <w:bCs/>
          <w:sz w:val="16"/>
          <w:szCs w:val="16"/>
        </w:rPr>
        <w:t>.</w:t>
      </w:r>
    </w:p>
  </w:footnote>
  <w:footnote w:id="3">
    <w:p w14:paraId="2D0F1C4D" w14:textId="77777777" w:rsidR="005A1B6C" w:rsidRPr="008C6E9D" w:rsidRDefault="005A1B6C" w:rsidP="005A1B6C">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Vsakokratno veljavna </w:t>
      </w:r>
      <w:r>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 w:id="4">
    <w:p w14:paraId="37BD7969" w14:textId="77777777" w:rsidR="005A1B6C" w:rsidRDefault="005A1B6C" w:rsidP="005A1B6C">
      <w:pPr>
        <w:pStyle w:val="Sprotnaopomba-besedilo"/>
      </w:pPr>
      <w:r w:rsidRPr="009859BD">
        <w:rPr>
          <w:rStyle w:val="Sprotnaopomba-sklic"/>
          <w:sz w:val="16"/>
          <w:szCs w:val="16"/>
        </w:rPr>
        <w:footnoteRef/>
      </w:r>
      <w:r>
        <w:t xml:space="preserve"> </w:t>
      </w:r>
      <w:r w:rsidRPr="002A5C89">
        <w:rPr>
          <w:rFonts w:cs="Arial"/>
          <w:sz w:val="16"/>
          <w:szCs w:val="16"/>
        </w:rPr>
        <w:t xml:space="preserve">EMTN </w:t>
      </w:r>
      <w:r>
        <w:rPr>
          <w:rFonts w:cs="Arial"/>
          <w:sz w:val="16"/>
          <w:szCs w:val="16"/>
        </w:rPr>
        <w:t>p</w:t>
      </w:r>
      <w:r w:rsidRPr="002A5C89">
        <w:rPr>
          <w:rFonts w:cs="Arial"/>
          <w:sz w:val="16"/>
          <w:szCs w:val="16"/>
        </w:rPr>
        <w:t>rogram</w:t>
      </w:r>
      <w:r>
        <w:t xml:space="preserve"> </w:t>
      </w:r>
    </w:p>
  </w:footnote>
  <w:footnote w:id="5">
    <w:p w14:paraId="7AE776E6" w14:textId="77777777" w:rsidR="005A1B6C" w:rsidRPr="008C6E9D" w:rsidRDefault="005A1B6C" w:rsidP="005A1B6C">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Glavne značilnosti 18-mesečnih zakladnih menic so smiselno enake glavnim značilnostim kratkoročnih zakladnih menic.</w:t>
      </w:r>
    </w:p>
  </w:footnote>
  <w:footnote w:id="6">
    <w:p w14:paraId="1CC959E1" w14:textId="77777777" w:rsidR="005A1B6C" w:rsidRPr="008C6E9D" w:rsidRDefault="005A1B6C" w:rsidP="005A1B6C">
      <w:pPr>
        <w:pStyle w:val="Sprotnaopomba-besedilo"/>
        <w:ind w:left="0" w:firstLine="0"/>
        <w:rPr>
          <w:rFonts w:cs="Arial"/>
          <w:sz w:val="16"/>
          <w:szCs w:val="16"/>
        </w:rPr>
      </w:pPr>
      <w:r w:rsidRPr="008C6E9D">
        <w:rPr>
          <w:rStyle w:val="Sprotnaopomba-sklic"/>
          <w:rFonts w:cs="Arial"/>
          <w:sz w:val="16"/>
          <w:szCs w:val="16"/>
        </w:rPr>
        <w:footnoteRef/>
      </w:r>
      <w:r w:rsidRPr="008C6E9D">
        <w:rPr>
          <w:rStyle w:val="Sprotnaopomba-sklic"/>
          <w:rFonts w:cs="Arial"/>
          <w:sz w:val="16"/>
          <w:szCs w:val="16"/>
        </w:rPr>
        <w:t xml:space="preserve"> </w:t>
      </w:r>
      <w:r w:rsidRPr="008C6E9D">
        <w:rPr>
          <w:rFonts w:cs="Arial"/>
          <w:sz w:val="16"/>
          <w:szCs w:val="16"/>
        </w:rPr>
        <w:t xml:space="preserve">Vsakokratno veljavna </w:t>
      </w:r>
      <w:r>
        <w:rPr>
          <w:rFonts w:cs="Arial"/>
          <w:sz w:val="16"/>
          <w:szCs w:val="16"/>
        </w:rPr>
        <w:t>p</w:t>
      </w:r>
      <w:r w:rsidRPr="008C6E9D">
        <w:rPr>
          <w:rFonts w:cs="Arial"/>
          <w:sz w:val="16"/>
          <w:szCs w:val="16"/>
        </w:rPr>
        <w:t>ravila za izvedbo avkcij državnih vrednostnih papirjev, ki jih sprej</w:t>
      </w:r>
      <w:r>
        <w:rPr>
          <w:rFonts w:cs="Arial"/>
          <w:sz w:val="16"/>
          <w:szCs w:val="16"/>
        </w:rPr>
        <w:t>me</w:t>
      </w:r>
      <w:r w:rsidRPr="008C6E9D">
        <w:rPr>
          <w:rFonts w:cs="Arial"/>
          <w:sz w:val="16"/>
          <w:szCs w:val="16"/>
        </w:rPr>
        <w:t xml:space="preserve"> minister za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F341" w14:textId="77777777" w:rsidR="002F1898" w:rsidRDefault="00B51C5B" w:rsidP="007A6216">
    <w:pPr>
      <w:pStyle w:val="Glava"/>
    </w:pPr>
    <w:r w:rsidRPr="007A5B9C">
      <w:rPr>
        <w:rFonts w:ascii="Republika" w:hAnsi="Republika"/>
        <w:noProof/>
        <w:lang w:eastAsia="sl-SI"/>
      </w:rPr>
      <w:drawing>
        <wp:inline distT="0" distB="0" distL="0" distR="0" wp14:anchorId="7DC4735C" wp14:editId="748A7C51">
          <wp:extent cx="3745383" cy="481988"/>
          <wp:effectExtent l="0" t="0" r="7620" b="0"/>
          <wp:docPr id="2" name="Slika 1" descr="Logotip prikazuje grb Republike Slovenije s pripisanim nazivov Republika SlovenijA,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67" t="50397"/>
                  <a:stretch/>
                </pic:blipFill>
                <pic:spPr bwMode="auto">
                  <a:xfrm>
                    <a:off x="0" y="0"/>
                    <a:ext cx="3745207" cy="481965"/>
                  </a:xfrm>
                  <a:prstGeom prst="rect">
                    <a:avLst/>
                  </a:prstGeom>
                  <a:noFill/>
                  <a:ln>
                    <a:noFill/>
                  </a:ln>
                  <a:extLst>
                    <a:ext uri="{53640926-AAD7-44D8-BBD7-CCE9431645EC}">
                      <a14:shadowObscured xmlns:a14="http://schemas.microsoft.com/office/drawing/2010/main"/>
                    </a:ext>
                  </a:extLst>
                </pic:spPr>
              </pic:pic>
            </a:graphicData>
          </a:graphic>
        </wp:inline>
      </w:drawing>
    </w:r>
  </w:p>
  <w:p w14:paraId="5811DFA6" w14:textId="77777777" w:rsidR="002F1898" w:rsidRDefault="002F1898" w:rsidP="007A6216">
    <w:pPr>
      <w:pStyle w:val="Glava"/>
    </w:pPr>
  </w:p>
  <w:p w14:paraId="40BDD7BE" w14:textId="77777777" w:rsidR="00406D45" w:rsidRDefault="002F1898" w:rsidP="00406D45">
    <w:pPr>
      <w:pStyle w:val="Glava"/>
      <w:tabs>
        <w:tab w:val="left" w:pos="5112"/>
      </w:tabs>
      <w:spacing w:before="120"/>
      <w:contextualSpacing/>
      <w:jc w:val="both"/>
      <w:rPr>
        <w:rFonts w:ascii="Republika" w:hAnsi="Republika" w:cs="Arial"/>
        <w:sz w:val="16"/>
      </w:rPr>
    </w:pPr>
    <w:r w:rsidRPr="007A5B9C">
      <w:rPr>
        <w:rFonts w:ascii="Republika" w:hAnsi="Republika" w:cs="Arial"/>
        <w:sz w:val="16"/>
      </w:rPr>
      <w:t>Gregorčičeva 20–25, Sl-1001 Ljubljana</w:t>
    </w:r>
  </w:p>
  <w:p w14:paraId="4E0A7834" w14:textId="77777777" w:rsidR="002F1898" w:rsidRPr="007A5B9C" w:rsidRDefault="00B17A0F" w:rsidP="00406D45">
    <w:pPr>
      <w:pStyle w:val="Glava"/>
      <w:tabs>
        <w:tab w:val="left" w:pos="5112"/>
      </w:tabs>
      <w:spacing w:before="120"/>
      <w:ind w:left="6372"/>
      <w:contextualSpacing/>
      <w:rPr>
        <w:rFonts w:ascii="Republika" w:hAnsi="Republika" w:cs="Arial"/>
        <w:sz w:val="16"/>
      </w:rPr>
    </w:pPr>
    <w:r>
      <w:rPr>
        <w:rFonts w:ascii="Republika" w:hAnsi="Republika" w:cs="Arial"/>
        <w:sz w:val="16"/>
      </w:rPr>
      <w:br/>
    </w:r>
    <w:r w:rsidR="002F1898" w:rsidRPr="007A5B9C">
      <w:rPr>
        <w:rFonts w:ascii="Republika" w:hAnsi="Republika" w:cs="Arial"/>
        <w:sz w:val="16"/>
      </w:rPr>
      <w:t>T: +386 1 478 1000</w:t>
    </w:r>
  </w:p>
  <w:p w14:paraId="02B2371D"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F: +386 1 478 1607</w:t>
    </w:r>
  </w:p>
  <w:p w14:paraId="09F90D4F"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E: gp.gs@gov.si</w:t>
    </w:r>
  </w:p>
  <w:p w14:paraId="328044E7" w14:textId="77777777" w:rsidR="002F1898" w:rsidRDefault="002F1898" w:rsidP="00B17A0F">
    <w:pPr>
      <w:pStyle w:val="Glava"/>
      <w:tabs>
        <w:tab w:val="left" w:pos="5112"/>
      </w:tabs>
      <w:ind w:left="6372"/>
      <w:contextualSpacing/>
    </w:pPr>
    <w:r w:rsidRPr="007A5B9C">
      <w:rPr>
        <w:rFonts w:ascii="Republika" w:hAnsi="Republika" w:cs="Arial"/>
        <w:sz w:val="16"/>
      </w:rPr>
      <w:t>http://www.vlada.si/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A16"/>
    <w:multiLevelType w:val="hybridMultilevel"/>
    <w:tmpl w:val="C7C21BC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623A6"/>
    <w:multiLevelType w:val="hybridMultilevel"/>
    <w:tmpl w:val="9D60E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5519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5653A"/>
    <w:multiLevelType w:val="multilevel"/>
    <w:tmpl w:val="11D6B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DD56973"/>
    <w:multiLevelType w:val="multilevel"/>
    <w:tmpl w:val="962694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3B52F8A"/>
    <w:multiLevelType w:val="hybridMultilevel"/>
    <w:tmpl w:val="1C96FA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F535F8"/>
    <w:multiLevelType w:val="hybridMultilevel"/>
    <w:tmpl w:val="C4AEE084"/>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455E1"/>
    <w:multiLevelType w:val="hybridMultilevel"/>
    <w:tmpl w:val="227E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95BD1"/>
    <w:multiLevelType w:val="multilevel"/>
    <w:tmpl w:val="71B81F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5545B"/>
    <w:multiLevelType w:val="multilevel"/>
    <w:tmpl w:val="CE4CC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9124E3F"/>
    <w:multiLevelType w:val="hybridMultilevel"/>
    <w:tmpl w:val="1E9A5854"/>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B8B1E19"/>
    <w:multiLevelType w:val="multilevel"/>
    <w:tmpl w:val="09520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06BDC"/>
    <w:multiLevelType w:val="hybridMultilevel"/>
    <w:tmpl w:val="A06030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4247DE4"/>
    <w:multiLevelType w:val="hybridMultilevel"/>
    <w:tmpl w:val="35ECE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57D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A06F98"/>
    <w:multiLevelType w:val="multilevel"/>
    <w:tmpl w:val="4E709A0A"/>
    <w:lvl w:ilvl="0">
      <w:start w:val="1"/>
      <w:numFmt w:val="decimal"/>
      <w:pStyle w:val="Naslov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02559"/>
    <w:multiLevelType w:val="multilevel"/>
    <w:tmpl w:val="4F92E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455B72"/>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47B80E7E"/>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9" w15:restartNumberingAfterBreak="0">
    <w:nsid w:val="4DF62E95"/>
    <w:multiLevelType w:val="multilevel"/>
    <w:tmpl w:val="73EEEDF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17396F"/>
    <w:multiLevelType w:val="multilevel"/>
    <w:tmpl w:val="38161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624EA7"/>
    <w:multiLevelType w:val="hybridMultilevel"/>
    <w:tmpl w:val="94CA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220033"/>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3" w15:restartNumberingAfterBreak="0">
    <w:nsid w:val="57330D86"/>
    <w:multiLevelType w:val="hybridMultilevel"/>
    <w:tmpl w:val="F372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B96732"/>
    <w:multiLevelType w:val="multilevel"/>
    <w:tmpl w:val="2082A65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8845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943CD2"/>
    <w:multiLevelType w:val="hybridMultilevel"/>
    <w:tmpl w:val="AA12E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384270"/>
    <w:multiLevelType w:val="hybridMultilevel"/>
    <w:tmpl w:val="BE961D64"/>
    <w:lvl w:ilvl="0" w:tplc="05D2A87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8" w15:restartNumberingAfterBreak="0">
    <w:nsid w:val="67F3345F"/>
    <w:multiLevelType w:val="multilevel"/>
    <w:tmpl w:val="9466A936"/>
    <w:lvl w:ilvl="0">
      <w:start w:val="1"/>
      <w:numFmt w:val="decimal"/>
      <w:lvlText w:val="%1."/>
      <w:lvlJc w:val="left"/>
      <w:pPr>
        <w:ind w:left="750" w:hanging="360"/>
      </w:pPr>
      <w:rPr>
        <w:rFonts w:hint="default"/>
      </w:rPr>
    </w:lvl>
    <w:lvl w:ilvl="1">
      <w:start w:val="1"/>
      <w:numFmt w:val="decimal"/>
      <w:isLgl/>
      <w:lvlText w:val="%1.%2"/>
      <w:lvlJc w:val="left"/>
      <w:pPr>
        <w:ind w:left="825" w:hanging="43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29" w15:restartNumberingAfterBreak="0">
    <w:nsid w:val="708D1D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B1267"/>
    <w:multiLevelType w:val="multilevel"/>
    <w:tmpl w:val="368C11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132EF6"/>
    <w:multiLevelType w:val="multilevel"/>
    <w:tmpl w:val="60668950"/>
    <w:lvl w:ilvl="0">
      <w:start w:val="1"/>
      <w:numFmt w:val="decimal"/>
      <w:lvlText w:val="%1."/>
      <w:lvlJc w:val="left"/>
      <w:pPr>
        <w:ind w:left="360" w:hanging="360"/>
      </w:pPr>
      <w:rPr>
        <w:rFonts w:hint="default"/>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2A7D7E"/>
    <w:multiLevelType w:val="hybridMultilevel"/>
    <w:tmpl w:val="41E66832"/>
    <w:lvl w:ilvl="0" w:tplc="0424000F">
      <w:start w:val="1"/>
      <w:numFmt w:val="decimal"/>
      <w:lvlText w:val="%1."/>
      <w:lvlJc w:val="left"/>
      <w:pPr>
        <w:tabs>
          <w:tab w:val="num" w:pos="1068"/>
        </w:tabs>
        <w:ind w:left="1068" w:hanging="360"/>
      </w:pPr>
      <w:rPr>
        <w:rFonts w:cs="Times New Roman"/>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33" w15:restartNumberingAfterBreak="0">
    <w:nsid w:val="7E5E38B3"/>
    <w:multiLevelType w:val="hybridMultilevel"/>
    <w:tmpl w:val="F2DC857C"/>
    <w:lvl w:ilvl="0" w:tplc="D7D837E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FB760F7"/>
    <w:multiLevelType w:val="multilevel"/>
    <w:tmpl w:val="48D20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07474185">
    <w:abstractNumId w:val="3"/>
  </w:num>
  <w:num w:numId="2" w16cid:durableId="1108431767">
    <w:abstractNumId w:val="32"/>
  </w:num>
  <w:num w:numId="3" w16cid:durableId="1063483020">
    <w:abstractNumId w:val="22"/>
  </w:num>
  <w:num w:numId="4" w16cid:durableId="1271085982">
    <w:abstractNumId w:val="0"/>
  </w:num>
  <w:num w:numId="5" w16cid:durableId="458647425">
    <w:abstractNumId w:val="10"/>
  </w:num>
  <w:num w:numId="6" w16cid:durableId="1601638912">
    <w:abstractNumId w:val="12"/>
  </w:num>
  <w:num w:numId="7" w16cid:durableId="1721510781">
    <w:abstractNumId w:val="9"/>
  </w:num>
  <w:num w:numId="8" w16cid:durableId="898250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582778">
    <w:abstractNumId w:val="6"/>
  </w:num>
  <w:num w:numId="10" w16cid:durableId="339550751">
    <w:abstractNumId w:val="21"/>
  </w:num>
  <w:num w:numId="11" w16cid:durableId="1051224463">
    <w:abstractNumId w:val="13"/>
  </w:num>
  <w:num w:numId="12" w16cid:durableId="929854008">
    <w:abstractNumId w:val="7"/>
  </w:num>
  <w:num w:numId="13" w16cid:durableId="152306724">
    <w:abstractNumId w:val="20"/>
  </w:num>
  <w:num w:numId="14" w16cid:durableId="1979139834">
    <w:abstractNumId w:val="33"/>
  </w:num>
  <w:num w:numId="15" w16cid:durableId="1836721550">
    <w:abstractNumId w:val="8"/>
  </w:num>
  <w:num w:numId="16" w16cid:durableId="2105877077">
    <w:abstractNumId w:val="16"/>
  </w:num>
  <w:num w:numId="17" w16cid:durableId="1280841406">
    <w:abstractNumId w:val="17"/>
  </w:num>
  <w:num w:numId="18" w16cid:durableId="1883593473">
    <w:abstractNumId w:val="18"/>
  </w:num>
  <w:num w:numId="19" w16cid:durableId="1995790474">
    <w:abstractNumId w:val="25"/>
  </w:num>
  <w:num w:numId="20" w16cid:durableId="1327394113">
    <w:abstractNumId w:val="31"/>
  </w:num>
  <w:num w:numId="21" w16cid:durableId="709262047">
    <w:abstractNumId w:val="33"/>
  </w:num>
  <w:num w:numId="22" w16cid:durableId="13558844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5733071">
    <w:abstractNumId w:val="11"/>
  </w:num>
  <w:num w:numId="24" w16cid:durableId="893544447">
    <w:abstractNumId w:val="34"/>
  </w:num>
  <w:num w:numId="25" w16cid:durableId="1383166153">
    <w:abstractNumId w:val="31"/>
  </w:num>
  <w:num w:numId="26" w16cid:durableId="2134786689">
    <w:abstractNumId w:val="14"/>
  </w:num>
  <w:num w:numId="27" w16cid:durableId="1252658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29255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8844929">
    <w:abstractNumId w:val="16"/>
  </w:num>
  <w:num w:numId="30" w16cid:durableId="200748613">
    <w:abstractNumId w:val="16"/>
  </w:num>
  <w:num w:numId="31" w16cid:durableId="463305361">
    <w:abstractNumId w:val="29"/>
  </w:num>
  <w:num w:numId="32" w16cid:durableId="2074155390">
    <w:abstractNumId w:val="30"/>
  </w:num>
  <w:num w:numId="33" w16cid:durableId="225070784">
    <w:abstractNumId w:val="2"/>
  </w:num>
  <w:num w:numId="34" w16cid:durableId="1293638109">
    <w:abstractNumId w:val="30"/>
  </w:num>
  <w:num w:numId="35" w16cid:durableId="1970436342">
    <w:abstractNumId w:val="4"/>
  </w:num>
  <w:num w:numId="36" w16cid:durableId="118887526">
    <w:abstractNumId w:val="5"/>
  </w:num>
  <w:num w:numId="37" w16cid:durableId="1708604387">
    <w:abstractNumId w:val="23"/>
  </w:num>
  <w:num w:numId="38" w16cid:durableId="2035568511">
    <w:abstractNumId w:val="1"/>
  </w:num>
  <w:num w:numId="39" w16cid:durableId="1225876136">
    <w:abstractNumId w:val="24"/>
  </w:num>
  <w:num w:numId="40" w16cid:durableId="273679709">
    <w:abstractNumId w:val="28"/>
  </w:num>
  <w:num w:numId="41" w16cid:durableId="1995645500">
    <w:abstractNumId w:val="19"/>
  </w:num>
  <w:num w:numId="42" w16cid:durableId="1247686344">
    <w:abstractNumId w:val="4"/>
  </w:num>
  <w:num w:numId="43" w16cid:durableId="781070053">
    <w:abstractNumId w:val="26"/>
  </w:num>
  <w:num w:numId="44" w16cid:durableId="1915044629">
    <w:abstractNumId w:val="15"/>
  </w:num>
  <w:num w:numId="45" w16cid:durableId="215047430">
    <w:abstractNumId w:val="15"/>
  </w:num>
  <w:num w:numId="46" w16cid:durableId="1955939913">
    <w:abstractNumId w:val="4"/>
  </w:num>
  <w:num w:numId="47" w16cid:durableId="877662315">
    <w:abstractNumId w:val="4"/>
  </w:num>
  <w:num w:numId="48" w16cid:durableId="12016989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1D"/>
    <w:rsid w:val="00002C24"/>
    <w:rsid w:val="00003101"/>
    <w:rsid w:val="000036D3"/>
    <w:rsid w:val="000050CC"/>
    <w:rsid w:val="0000753A"/>
    <w:rsid w:val="00010D52"/>
    <w:rsid w:val="00012B70"/>
    <w:rsid w:val="00013E05"/>
    <w:rsid w:val="00013F75"/>
    <w:rsid w:val="000164F7"/>
    <w:rsid w:val="00023A93"/>
    <w:rsid w:val="00024934"/>
    <w:rsid w:val="00033CED"/>
    <w:rsid w:val="000358BF"/>
    <w:rsid w:val="00043245"/>
    <w:rsid w:val="00047635"/>
    <w:rsid w:val="0004770E"/>
    <w:rsid w:val="000522A7"/>
    <w:rsid w:val="00054365"/>
    <w:rsid w:val="00070ACA"/>
    <w:rsid w:val="00071DC6"/>
    <w:rsid w:val="00074E0C"/>
    <w:rsid w:val="000751DF"/>
    <w:rsid w:val="0007611B"/>
    <w:rsid w:val="0007748E"/>
    <w:rsid w:val="000871C7"/>
    <w:rsid w:val="00087783"/>
    <w:rsid w:val="000A24EB"/>
    <w:rsid w:val="000A29C9"/>
    <w:rsid w:val="000A2BB3"/>
    <w:rsid w:val="000A7326"/>
    <w:rsid w:val="000B100E"/>
    <w:rsid w:val="000B19CA"/>
    <w:rsid w:val="000C0963"/>
    <w:rsid w:val="000C11EE"/>
    <w:rsid w:val="000C3A2F"/>
    <w:rsid w:val="000D1F22"/>
    <w:rsid w:val="000E0794"/>
    <w:rsid w:val="000E1AC5"/>
    <w:rsid w:val="000E2B17"/>
    <w:rsid w:val="000E46F6"/>
    <w:rsid w:val="000E5472"/>
    <w:rsid w:val="000E7E67"/>
    <w:rsid w:val="000F4FFD"/>
    <w:rsid w:val="000F6E63"/>
    <w:rsid w:val="00100201"/>
    <w:rsid w:val="00100A54"/>
    <w:rsid w:val="00103A1D"/>
    <w:rsid w:val="00106566"/>
    <w:rsid w:val="00106691"/>
    <w:rsid w:val="00106A00"/>
    <w:rsid w:val="00107159"/>
    <w:rsid w:val="00114E3D"/>
    <w:rsid w:val="00117ED1"/>
    <w:rsid w:val="00123270"/>
    <w:rsid w:val="00130D60"/>
    <w:rsid w:val="00130DF5"/>
    <w:rsid w:val="00132975"/>
    <w:rsid w:val="00133E1B"/>
    <w:rsid w:val="00135EB6"/>
    <w:rsid w:val="00140627"/>
    <w:rsid w:val="00141E10"/>
    <w:rsid w:val="00142BB8"/>
    <w:rsid w:val="00147707"/>
    <w:rsid w:val="0014779C"/>
    <w:rsid w:val="001532B6"/>
    <w:rsid w:val="0015540E"/>
    <w:rsid w:val="00155C26"/>
    <w:rsid w:val="00163F99"/>
    <w:rsid w:val="00164A9B"/>
    <w:rsid w:val="0017187F"/>
    <w:rsid w:val="001815C3"/>
    <w:rsid w:val="00184AFA"/>
    <w:rsid w:val="00185376"/>
    <w:rsid w:val="0019168B"/>
    <w:rsid w:val="0019242A"/>
    <w:rsid w:val="00192E3F"/>
    <w:rsid w:val="001A3E19"/>
    <w:rsid w:val="001A55F4"/>
    <w:rsid w:val="001A751B"/>
    <w:rsid w:val="001B03B4"/>
    <w:rsid w:val="001B2BA9"/>
    <w:rsid w:val="001B6517"/>
    <w:rsid w:val="001B668D"/>
    <w:rsid w:val="001C55BB"/>
    <w:rsid w:val="001C6721"/>
    <w:rsid w:val="001D36C1"/>
    <w:rsid w:val="001D6BF3"/>
    <w:rsid w:val="001E3BA5"/>
    <w:rsid w:val="001E47FB"/>
    <w:rsid w:val="001F1ACA"/>
    <w:rsid w:val="001F59ED"/>
    <w:rsid w:val="001F61A1"/>
    <w:rsid w:val="001F7B6F"/>
    <w:rsid w:val="00200A33"/>
    <w:rsid w:val="00201C60"/>
    <w:rsid w:val="00202578"/>
    <w:rsid w:val="002055B1"/>
    <w:rsid w:val="0021137F"/>
    <w:rsid w:val="002119F7"/>
    <w:rsid w:val="0021285D"/>
    <w:rsid w:val="002164C6"/>
    <w:rsid w:val="00225515"/>
    <w:rsid w:val="0023213D"/>
    <w:rsid w:val="00232D55"/>
    <w:rsid w:val="00235671"/>
    <w:rsid w:val="00237476"/>
    <w:rsid w:val="0024028C"/>
    <w:rsid w:val="0024388B"/>
    <w:rsid w:val="00244220"/>
    <w:rsid w:val="002446C6"/>
    <w:rsid w:val="00244EFE"/>
    <w:rsid w:val="00245AD6"/>
    <w:rsid w:val="0024652D"/>
    <w:rsid w:val="00252F83"/>
    <w:rsid w:val="002556CE"/>
    <w:rsid w:val="0025613F"/>
    <w:rsid w:val="00256A62"/>
    <w:rsid w:val="00264CED"/>
    <w:rsid w:val="0026765E"/>
    <w:rsid w:val="00270052"/>
    <w:rsid w:val="0027053A"/>
    <w:rsid w:val="00273C0A"/>
    <w:rsid w:val="00275464"/>
    <w:rsid w:val="0029026C"/>
    <w:rsid w:val="002925BE"/>
    <w:rsid w:val="00294E7F"/>
    <w:rsid w:val="002A3961"/>
    <w:rsid w:val="002A39CE"/>
    <w:rsid w:val="002A3E3E"/>
    <w:rsid w:val="002A4426"/>
    <w:rsid w:val="002A5C89"/>
    <w:rsid w:val="002A5DE3"/>
    <w:rsid w:val="002A6B44"/>
    <w:rsid w:val="002B0A81"/>
    <w:rsid w:val="002B0EC7"/>
    <w:rsid w:val="002B3100"/>
    <w:rsid w:val="002B4130"/>
    <w:rsid w:val="002C222B"/>
    <w:rsid w:val="002C2900"/>
    <w:rsid w:val="002C31DB"/>
    <w:rsid w:val="002C4A81"/>
    <w:rsid w:val="002D00D7"/>
    <w:rsid w:val="002D1392"/>
    <w:rsid w:val="002D3CAE"/>
    <w:rsid w:val="002D7705"/>
    <w:rsid w:val="002D7A03"/>
    <w:rsid w:val="002E2C29"/>
    <w:rsid w:val="002E3708"/>
    <w:rsid w:val="002E4137"/>
    <w:rsid w:val="002E7155"/>
    <w:rsid w:val="002F01B2"/>
    <w:rsid w:val="002F08D1"/>
    <w:rsid w:val="002F11A7"/>
    <w:rsid w:val="002F1898"/>
    <w:rsid w:val="002F1E0D"/>
    <w:rsid w:val="002F3005"/>
    <w:rsid w:val="002F3B47"/>
    <w:rsid w:val="002F467B"/>
    <w:rsid w:val="002F6C53"/>
    <w:rsid w:val="002F72B5"/>
    <w:rsid w:val="00301CD9"/>
    <w:rsid w:val="0031054A"/>
    <w:rsid w:val="0031701E"/>
    <w:rsid w:val="00317136"/>
    <w:rsid w:val="00322A58"/>
    <w:rsid w:val="003245F0"/>
    <w:rsid w:val="00325E4C"/>
    <w:rsid w:val="00332B8F"/>
    <w:rsid w:val="00334BD8"/>
    <w:rsid w:val="00336AC1"/>
    <w:rsid w:val="00344FA5"/>
    <w:rsid w:val="003471EF"/>
    <w:rsid w:val="00347F4E"/>
    <w:rsid w:val="003533FC"/>
    <w:rsid w:val="00361C7C"/>
    <w:rsid w:val="003625E9"/>
    <w:rsid w:val="00364CE0"/>
    <w:rsid w:val="00365776"/>
    <w:rsid w:val="00366F24"/>
    <w:rsid w:val="0037163B"/>
    <w:rsid w:val="00372ADA"/>
    <w:rsid w:val="00372BA8"/>
    <w:rsid w:val="003731CE"/>
    <w:rsid w:val="003816AD"/>
    <w:rsid w:val="003838C1"/>
    <w:rsid w:val="003877DB"/>
    <w:rsid w:val="00395AF0"/>
    <w:rsid w:val="003A13DD"/>
    <w:rsid w:val="003A28F0"/>
    <w:rsid w:val="003A3DFB"/>
    <w:rsid w:val="003A42B8"/>
    <w:rsid w:val="003A54EE"/>
    <w:rsid w:val="003B2F22"/>
    <w:rsid w:val="003C1685"/>
    <w:rsid w:val="003C2388"/>
    <w:rsid w:val="003C2B7F"/>
    <w:rsid w:val="003C3767"/>
    <w:rsid w:val="003C54D3"/>
    <w:rsid w:val="003D3102"/>
    <w:rsid w:val="003D61A6"/>
    <w:rsid w:val="003E2CF9"/>
    <w:rsid w:val="003E3CB1"/>
    <w:rsid w:val="003E3DF9"/>
    <w:rsid w:val="003E3ED7"/>
    <w:rsid w:val="003F0E0A"/>
    <w:rsid w:val="003F36FE"/>
    <w:rsid w:val="003F53C9"/>
    <w:rsid w:val="003F71F1"/>
    <w:rsid w:val="003F79E5"/>
    <w:rsid w:val="0040049A"/>
    <w:rsid w:val="0040107B"/>
    <w:rsid w:val="00401B5A"/>
    <w:rsid w:val="004046AE"/>
    <w:rsid w:val="00406D45"/>
    <w:rsid w:val="0041225F"/>
    <w:rsid w:val="00413C1A"/>
    <w:rsid w:val="00413C26"/>
    <w:rsid w:val="00414E24"/>
    <w:rsid w:val="00420562"/>
    <w:rsid w:val="00421CEB"/>
    <w:rsid w:val="0042356F"/>
    <w:rsid w:val="0043351B"/>
    <w:rsid w:val="0043447B"/>
    <w:rsid w:val="00435B5A"/>
    <w:rsid w:val="004372B7"/>
    <w:rsid w:val="00446139"/>
    <w:rsid w:val="00452DAA"/>
    <w:rsid w:val="004558FC"/>
    <w:rsid w:val="00461C09"/>
    <w:rsid w:val="00467737"/>
    <w:rsid w:val="004701D5"/>
    <w:rsid w:val="00470D32"/>
    <w:rsid w:val="0047123D"/>
    <w:rsid w:val="004726FB"/>
    <w:rsid w:val="00480A93"/>
    <w:rsid w:val="004828AD"/>
    <w:rsid w:val="00483701"/>
    <w:rsid w:val="00485798"/>
    <w:rsid w:val="0049219A"/>
    <w:rsid w:val="0049776E"/>
    <w:rsid w:val="004A0B69"/>
    <w:rsid w:val="004A7309"/>
    <w:rsid w:val="004A7BBF"/>
    <w:rsid w:val="004B0D42"/>
    <w:rsid w:val="004B10D5"/>
    <w:rsid w:val="004B17CE"/>
    <w:rsid w:val="004B2D55"/>
    <w:rsid w:val="004B5E82"/>
    <w:rsid w:val="004B7AA4"/>
    <w:rsid w:val="004C038B"/>
    <w:rsid w:val="004C107F"/>
    <w:rsid w:val="004C10F8"/>
    <w:rsid w:val="004C7FCC"/>
    <w:rsid w:val="004D0151"/>
    <w:rsid w:val="004E033C"/>
    <w:rsid w:val="004E3235"/>
    <w:rsid w:val="004F403F"/>
    <w:rsid w:val="004F4AB8"/>
    <w:rsid w:val="004F5E4D"/>
    <w:rsid w:val="004F6C94"/>
    <w:rsid w:val="00500706"/>
    <w:rsid w:val="00504768"/>
    <w:rsid w:val="00510373"/>
    <w:rsid w:val="00511054"/>
    <w:rsid w:val="00520E68"/>
    <w:rsid w:val="00522BA1"/>
    <w:rsid w:val="005244DF"/>
    <w:rsid w:val="00525C87"/>
    <w:rsid w:val="00526854"/>
    <w:rsid w:val="00526FB9"/>
    <w:rsid w:val="00536D29"/>
    <w:rsid w:val="00537424"/>
    <w:rsid w:val="00540719"/>
    <w:rsid w:val="00542199"/>
    <w:rsid w:val="00542DC6"/>
    <w:rsid w:val="00546E5E"/>
    <w:rsid w:val="00551014"/>
    <w:rsid w:val="00553167"/>
    <w:rsid w:val="00553B00"/>
    <w:rsid w:val="00554EDE"/>
    <w:rsid w:val="00556BC3"/>
    <w:rsid w:val="00563F09"/>
    <w:rsid w:val="005658C5"/>
    <w:rsid w:val="00573214"/>
    <w:rsid w:val="00575EC1"/>
    <w:rsid w:val="00577975"/>
    <w:rsid w:val="0058403A"/>
    <w:rsid w:val="0058632F"/>
    <w:rsid w:val="0059173A"/>
    <w:rsid w:val="00594189"/>
    <w:rsid w:val="005A12C7"/>
    <w:rsid w:val="005A1B6C"/>
    <w:rsid w:val="005A4A3B"/>
    <w:rsid w:val="005A4D66"/>
    <w:rsid w:val="005A5007"/>
    <w:rsid w:val="005A6C31"/>
    <w:rsid w:val="005A7FE0"/>
    <w:rsid w:val="005B666D"/>
    <w:rsid w:val="005B6878"/>
    <w:rsid w:val="005B769B"/>
    <w:rsid w:val="005C0A83"/>
    <w:rsid w:val="005D331E"/>
    <w:rsid w:val="005F095E"/>
    <w:rsid w:val="005F0DD2"/>
    <w:rsid w:val="005F13D1"/>
    <w:rsid w:val="005F1408"/>
    <w:rsid w:val="005F2C9B"/>
    <w:rsid w:val="005F3D6A"/>
    <w:rsid w:val="006037E9"/>
    <w:rsid w:val="006071BE"/>
    <w:rsid w:val="00611D4E"/>
    <w:rsid w:val="0062220E"/>
    <w:rsid w:val="00622A8E"/>
    <w:rsid w:val="006245ED"/>
    <w:rsid w:val="0063005C"/>
    <w:rsid w:val="00630B18"/>
    <w:rsid w:val="00631EB3"/>
    <w:rsid w:val="00635B36"/>
    <w:rsid w:val="006419A3"/>
    <w:rsid w:val="00642281"/>
    <w:rsid w:val="00644551"/>
    <w:rsid w:val="006453DC"/>
    <w:rsid w:val="00645D9A"/>
    <w:rsid w:val="006478AF"/>
    <w:rsid w:val="00652328"/>
    <w:rsid w:val="00654B58"/>
    <w:rsid w:val="00654D4E"/>
    <w:rsid w:val="006601FD"/>
    <w:rsid w:val="00660371"/>
    <w:rsid w:val="006603F8"/>
    <w:rsid w:val="00661071"/>
    <w:rsid w:val="0066392E"/>
    <w:rsid w:val="00667FE2"/>
    <w:rsid w:val="00671907"/>
    <w:rsid w:val="00680A5A"/>
    <w:rsid w:val="006817A3"/>
    <w:rsid w:val="006837D8"/>
    <w:rsid w:val="00684EE2"/>
    <w:rsid w:val="00686899"/>
    <w:rsid w:val="006A1B25"/>
    <w:rsid w:val="006A6606"/>
    <w:rsid w:val="006B06B3"/>
    <w:rsid w:val="006B0C47"/>
    <w:rsid w:val="006B2EC7"/>
    <w:rsid w:val="006B44BC"/>
    <w:rsid w:val="006B492A"/>
    <w:rsid w:val="006B4956"/>
    <w:rsid w:val="006C3022"/>
    <w:rsid w:val="006C772F"/>
    <w:rsid w:val="006D6DED"/>
    <w:rsid w:val="006E667A"/>
    <w:rsid w:val="006E708C"/>
    <w:rsid w:val="006F2C90"/>
    <w:rsid w:val="006F392E"/>
    <w:rsid w:val="006F67E7"/>
    <w:rsid w:val="006F6989"/>
    <w:rsid w:val="006F7285"/>
    <w:rsid w:val="00703931"/>
    <w:rsid w:val="00703F72"/>
    <w:rsid w:val="00704AA8"/>
    <w:rsid w:val="00707CFD"/>
    <w:rsid w:val="00712CED"/>
    <w:rsid w:val="00717873"/>
    <w:rsid w:val="00722553"/>
    <w:rsid w:val="0072414D"/>
    <w:rsid w:val="007244DB"/>
    <w:rsid w:val="007252CB"/>
    <w:rsid w:val="00725441"/>
    <w:rsid w:val="00727EA9"/>
    <w:rsid w:val="00736C01"/>
    <w:rsid w:val="00736DA5"/>
    <w:rsid w:val="00747F9D"/>
    <w:rsid w:val="00750339"/>
    <w:rsid w:val="007539F3"/>
    <w:rsid w:val="00755504"/>
    <w:rsid w:val="0075683E"/>
    <w:rsid w:val="00763D0C"/>
    <w:rsid w:val="00764FB8"/>
    <w:rsid w:val="00773899"/>
    <w:rsid w:val="0077481A"/>
    <w:rsid w:val="0077519C"/>
    <w:rsid w:val="00780084"/>
    <w:rsid w:val="007800BC"/>
    <w:rsid w:val="007833D6"/>
    <w:rsid w:val="007845BB"/>
    <w:rsid w:val="00784D27"/>
    <w:rsid w:val="007879B9"/>
    <w:rsid w:val="00790973"/>
    <w:rsid w:val="00793121"/>
    <w:rsid w:val="007A0D8F"/>
    <w:rsid w:val="007A19F4"/>
    <w:rsid w:val="007A6216"/>
    <w:rsid w:val="007A69EE"/>
    <w:rsid w:val="007B6B81"/>
    <w:rsid w:val="007C002D"/>
    <w:rsid w:val="007C3C67"/>
    <w:rsid w:val="007D183E"/>
    <w:rsid w:val="007D5409"/>
    <w:rsid w:val="007D7034"/>
    <w:rsid w:val="007E7121"/>
    <w:rsid w:val="007F35D6"/>
    <w:rsid w:val="007F6C09"/>
    <w:rsid w:val="00805BC2"/>
    <w:rsid w:val="00806507"/>
    <w:rsid w:val="00806701"/>
    <w:rsid w:val="00814AD2"/>
    <w:rsid w:val="008153DC"/>
    <w:rsid w:val="00822852"/>
    <w:rsid w:val="00833021"/>
    <w:rsid w:val="008349C3"/>
    <w:rsid w:val="00840446"/>
    <w:rsid w:val="00841869"/>
    <w:rsid w:val="00850347"/>
    <w:rsid w:val="00852669"/>
    <w:rsid w:val="00853C03"/>
    <w:rsid w:val="00853D3F"/>
    <w:rsid w:val="00860D3C"/>
    <w:rsid w:val="008679E2"/>
    <w:rsid w:val="00871A3B"/>
    <w:rsid w:val="00874EE9"/>
    <w:rsid w:val="0087714E"/>
    <w:rsid w:val="0087764E"/>
    <w:rsid w:val="008813F0"/>
    <w:rsid w:val="00881A66"/>
    <w:rsid w:val="008820C5"/>
    <w:rsid w:val="00883DB6"/>
    <w:rsid w:val="00886162"/>
    <w:rsid w:val="00886D98"/>
    <w:rsid w:val="008870D5"/>
    <w:rsid w:val="00887257"/>
    <w:rsid w:val="00887338"/>
    <w:rsid w:val="0089131E"/>
    <w:rsid w:val="00892B14"/>
    <w:rsid w:val="00893865"/>
    <w:rsid w:val="00894484"/>
    <w:rsid w:val="00894C5C"/>
    <w:rsid w:val="00895826"/>
    <w:rsid w:val="008978A5"/>
    <w:rsid w:val="008A08D1"/>
    <w:rsid w:val="008A514F"/>
    <w:rsid w:val="008A55E8"/>
    <w:rsid w:val="008B2E1B"/>
    <w:rsid w:val="008B63BD"/>
    <w:rsid w:val="008B67FD"/>
    <w:rsid w:val="008C0A59"/>
    <w:rsid w:val="008C3970"/>
    <w:rsid w:val="008C5061"/>
    <w:rsid w:val="008C57B7"/>
    <w:rsid w:val="008C69BF"/>
    <w:rsid w:val="008C6E9D"/>
    <w:rsid w:val="008C6F57"/>
    <w:rsid w:val="008D1840"/>
    <w:rsid w:val="008E466A"/>
    <w:rsid w:val="008F3262"/>
    <w:rsid w:val="008F35FD"/>
    <w:rsid w:val="008F41C2"/>
    <w:rsid w:val="0090511F"/>
    <w:rsid w:val="009054FD"/>
    <w:rsid w:val="00910B68"/>
    <w:rsid w:val="00912382"/>
    <w:rsid w:val="009171B2"/>
    <w:rsid w:val="0091778B"/>
    <w:rsid w:val="00923AA5"/>
    <w:rsid w:val="009249B0"/>
    <w:rsid w:val="009276FD"/>
    <w:rsid w:val="00927B83"/>
    <w:rsid w:val="0093017D"/>
    <w:rsid w:val="00931208"/>
    <w:rsid w:val="00936BD2"/>
    <w:rsid w:val="0094278A"/>
    <w:rsid w:val="00947890"/>
    <w:rsid w:val="009506F4"/>
    <w:rsid w:val="00950881"/>
    <w:rsid w:val="009540C9"/>
    <w:rsid w:val="00957B44"/>
    <w:rsid w:val="00961D8D"/>
    <w:rsid w:val="00963D33"/>
    <w:rsid w:val="00963F4F"/>
    <w:rsid w:val="009641B5"/>
    <w:rsid w:val="009711A1"/>
    <w:rsid w:val="00976CC2"/>
    <w:rsid w:val="00976E2C"/>
    <w:rsid w:val="00980CCD"/>
    <w:rsid w:val="00982750"/>
    <w:rsid w:val="009859BD"/>
    <w:rsid w:val="00986670"/>
    <w:rsid w:val="009870BA"/>
    <w:rsid w:val="009915E4"/>
    <w:rsid w:val="009924BA"/>
    <w:rsid w:val="0099724E"/>
    <w:rsid w:val="00997252"/>
    <w:rsid w:val="009A0859"/>
    <w:rsid w:val="009A486C"/>
    <w:rsid w:val="009A60E5"/>
    <w:rsid w:val="009A7561"/>
    <w:rsid w:val="009B081F"/>
    <w:rsid w:val="009B152A"/>
    <w:rsid w:val="009B366C"/>
    <w:rsid w:val="009B6562"/>
    <w:rsid w:val="009C5AEE"/>
    <w:rsid w:val="009D1389"/>
    <w:rsid w:val="009D28E5"/>
    <w:rsid w:val="009D2BAC"/>
    <w:rsid w:val="009D5561"/>
    <w:rsid w:val="009E1B77"/>
    <w:rsid w:val="009E343A"/>
    <w:rsid w:val="009E445C"/>
    <w:rsid w:val="009E5E21"/>
    <w:rsid w:val="009F0355"/>
    <w:rsid w:val="009F3C45"/>
    <w:rsid w:val="009F3FA6"/>
    <w:rsid w:val="009F6B5E"/>
    <w:rsid w:val="009F6D07"/>
    <w:rsid w:val="00A0051A"/>
    <w:rsid w:val="00A201E9"/>
    <w:rsid w:val="00A246D0"/>
    <w:rsid w:val="00A274D4"/>
    <w:rsid w:val="00A3090F"/>
    <w:rsid w:val="00A32440"/>
    <w:rsid w:val="00A43D66"/>
    <w:rsid w:val="00A513A6"/>
    <w:rsid w:val="00A5449B"/>
    <w:rsid w:val="00A54A5A"/>
    <w:rsid w:val="00A561A2"/>
    <w:rsid w:val="00A56EEE"/>
    <w:rsid w:val="00A62127"/>
    <w:rsid w:val="00A62372"/>
    <w:rsid w:val="00A62DCF"/>
    <w:rsid w:val="00A644AE"/>
    <w:rsid w:val="00A703E5"/>
    <w:rsid w:val="00A704DA"/>
    <w:rsid w:val="00A77377"/>
    <w:rsid w:val="00A809D7"/>
    <w:rsid w:val="00A833AE"/>
    <w:rsid w:val="00A838F5"/>
    <w:rsid w:val="00A839CD"/>
    <w:rsid w:val="00A8500B"/>
    <w:rsid w:val="00A8568D"/>
    <w:rsid w:val="00A85C2F"/>
    <w:rsid w:val="00A9738E"/>
    <w:rsid w:val="00A97DA4"/>
    <w:rsid w:val="00AB0E62"/>
    <w:rsid w:val="00AB5762"/>
    <w:rsid w:val="00AC3B7D"/>
    <w:rsid w:val="00AC4A60"/>
    <w:rsid w:val="00AC560C"/>
    <w:rsid w:val="00AC792B"/>
    <w:rsid w:val="00AD068C"/>
    <w:rsid w:val="00AD69EB"/>
    <w:rsid w:val="00AD6FF5"/>
    <w:rsid w:val="00AE00D5"/>
    <w:rsid w:val="00AE0591"/>
    <w:rsid w:val="00AE3B18"/>
    <w:rsid w:val="00AE5A14"/>
    <w:rsid w:val="00AF1404"/>
    <w:rsid w:val="00AF4AC6"/>
    <w:rsid w:val="00AF617E"/>
    <w:rsid w:val="00AF7ABC"/>
    <w:rsid w:val="00AF7F1E"/>
    <w:rsid w:val="00B01557"/>
    <w:rsid w:val="00B0559C"/>
    <w:rsid w:val="00B10198"/>
    <w:rsid w:val="00B11C76"/>
    <w:rsid w:val="00B141A6"/>
    <w:rsid w:val="00B15B9B"/>
    <w:rsid w:val="00B174C6"/>
    <w:rsid w:val="00B17A0F"/>
    <w:rsid w:val="00B24E67"/>
    <w:rsid w:val="00B252A5"/>
    <w:rsid w:val="00B2655D"/>
    <w:rsid w:val="00B30284"/>
    <w:rsid w:val="00B31A6F"/>
    <w:rsid w:val="00B32DF4"/>
    <w:rsid w:val="00B3659B"/>
    <w:rsid w:val="00B37A69"/>
    <w:rsid w:val="00B44619"/>
    <w:rsid w:val="00B46F01"/>
    <w:rsid w:val="00B51C5B"/>
    <w:rsid w:val="00B5614A"/>
    <w:rsid w:val="00B56CF4"/>
    <w:rsid w:val="00B57FFE"/>
    <w:rsid w:val="00B62F37"/>
    <w:rsid w:val="00B63E40"/>
    <w:rsid w:val="00B640C9"/>
    <w:rsid w:val="00B66F04"/>
    <w:rsid w:val="00B6756A"/>
    <w:rsid w:val="00B67FE8"/>
    <w:rsid w:val="00B71834"/>
    <w:rsid w:val="00B7782E"/>
    <w:rsid w:val="00B90776"/>
    <w:rsid w:val="00B92388"/>
    <w:rsid w:val="00BA1228"/>
    <w:rsid w:val="00BA42EF"/>
    <w:rsid w:val="00BB3C2F"/>
    <w:rsid w:val="00BB64BA"/>
    <w:rsid w:val="00BB672B"/>
    <w:rsid w:val="00BC1350"/>
    <w:rsid w:val="00BD10A1"/>
    <w:rsid w:val="00BD189C"/>
    <w:rsid w:val="00BD4883"/>
    <w:rsid w:val="00BD6EDF"/>
    <w:rsid w:val="00BD79DB"/>
    <w:rsid w:val="00BE12AF"/>
    <w:rsid w:val="00BE13DF"/>
    <w:rsid w:val="00BE36E3"/>
    <w:rsid w:val="00BE59B6"/>
    <w:rsid w:val="00BF054C"/>
    <w:rsid w:val="00BF1A98"/>
    <w:rsid w:val="00BF2996"/>
    <w:rsid w:val="00BF5003"/>
    <w:rsid w:val="00BF6352"/>
    <w:rsid w:val="00BF73F2"/>
    <w:rsid w:val="00C0192E"/>
    <w:rsid w:val="00C07DC7"/>
    <w:rsid w:val="00C12BB7"/>
    <w:rsid w:val="00C13C07"/>
    <w:rsid w:val="00C2663E"/>
    <w:rsid w:val="00C2675B"/>
    <w:rsid w:val="00C33274"/>
    <w:rsid w:val="00C3359E"/>
    <w:rsid w:val="00C3541D"/>
    <w:rsid w:val="00C41560"/>
    <w:rsid w:val="00C42984"/>
    <w:rsid w:val="00C438AB"/>
    <w:rsid w:val="00C46CA3"/>
    <w:rsid w:val="00C47769"/>
    <w:rsid w:val="00C47D5D"/>
    <w:rsid w:val="00C52C3D"/>
    <w:rsid w:val="00C535F0"/>
    <w:rsid w:val="00C5533B"/>
    <w:rsid w:val="00C703F9"/>
    <w:rsid w:val="00C85295"/>
    <w:rsid w:val="00C93866"/>
    <w:rsid w:val="00CA56EC"/>
    <w:rsid w:val="00CB04D9"/>
    <w:rsid w:val="00CB1BA5"/>
    <w:rsid w:val="00CB2E48"/>
    <w:rsid w:val="00CB5386"/>
    <w:rsid w:val="00CB717A"/>
    <w:rsid w:val="00CC6E46"/>
    <w:rsid w:val="00CD39A0"/>
    <w:rsid w:val="00CE012B"/>
    <w:rsid w:val="00CE3830"/>
    <w:rsid w:val="00CE7AAF"/>
    <w:rsid w:val="00CF01BB"/>
    <w:rsid w:val="00CF122A"/>
    <w:rsid w:val="00CF4EB8"/>
    <w:rsid w:val="00CF5BF7"/>
    <w:rsid w:val="00CF7407"/>
    <w:rsid w:val="00D10C8F"/>
    <w:rsid w:val="00D11B67"/>
    <w:rsid w:val="00D12C88"/>
    <w:rsid w:val="00D167B6"/>
    <w:rsid w:val="00D16C91"/>
    <w:rsid w:val="00D17526"/>
    <w:rsid w:val="00D17875"/>
    <w:rsid w:val="00D2287D"/>
    <w:rsid w:val="00D3301C"/>
    <w:rsid w:val="00D33CD1"/>
    <w:rsid w:val="00D3633A"/>
    <w:rsid w:val="00D4277A"/>
    <w:rsid w:val="00D4349E"/>
    <w:rsid w:val="00D43710"/>
    <w:rsid w:val="00D50F4A"/>
    <w:rsid w:val="00D53D10"/>
    <w:rsid w:val="00D54C5E"/>
    <w:rsid w:val="00D54CAA"/>
    <w:rsid w:val="00D57F8A"/>
    <w:rsid w:val="00D67156"/>
    <w:rsid w:val="00D70B5A"/>
    <w:rsid w:val="00D73324"/>
    <w:rsid w:val="00D75482"/>
    <w:rsid w:val="00D770FD"/>
    <w:rsid w:val="00D9598F"/>
    <w:rsid w:val="00D95AA1"/>
    <w:rsid w:val="00DB140F"/>
    <w:rsid w:val="00DB33D4"/>
    <w:rsid w:val="00DB4724"/>
    <w:rsid w:val="00DB544F"/>
    <w:rsid w:val="00DB7350"/>
    <w:rsid w:val="00DC7658"/>
    <w:rsid w:val="00DD05AB"/>
    <w:rsid w:val="00DD3AAB"/>
    <w:rsid w:val="00DD7E6D"/>
    <w:rsid w:val="00DE0A01"/>
    <w:rsid w:val="00DE2E52"/>
    <w:rsid w:val="00DE6FFB"/>
    <w:rsid w:val="00DE7982"/>
    <w:rsid w:val="00DF073F"/>
    <w:rsid w:val="00DF1915"/>
    <w:rsid w:val="00DF44FB"/>
    <w:rsid w:val="00DF69F4"/>
    <w:rsid w:val="00E008CE"/>
    <w:rsid w:val="00E01EF4"/>
    <w:rsid w:val="00E03C4A"/>
    <w:rsid w:val="00E138A5"/>
    <w:rsid w:val="00E160A3"/>
    <w:rsid w:val="00E22738"/>
    <w:rsid w:val="00E23502"/>
    <w:rsid w:val="00E269D2"/>
    <w:rsid w:val="00E270A3"/>
    <w:rsid w:val="00E277D0"/>
    <w:rsid w:val="00E27A14"/>
    <w:rsid w:val="00E34446"/>
    <w:rsid w:val="00E34C35"/>
    <w:rsid w:val="00E3577A"/>
    <w:rsid w:val="00E429EC"/>
    <w:rsid w:val="00E46879"/>
    <w:rsid w:val="00E53392"/>
    <w:rsid w:val="00E600F9"/>
    <w:rsid w:val="00E63AD7"/>
    <w:rsid w:val="00E74919"/>
    <w:rsid w:val="00E846A7"/>
    <w:rsid w:val="00E8644A"/>
    <w:rsid w:val="00E9078E"/>
    <w:rsid w:val="00E91557"/>
    <w:rsid w:val="00E94E4F"/>
    <w:rsid w:val="00EA6AD0"/>
    <w:rsid w:val="00EB49BB"/>
    <w:rsid w:val="00EC1756"/>
    <w:rsid w:val="00EC6446"/>
    <w:rsid w:val="00EC6F43"/>
    <w:rsid w:val="00EC7FCC"/>
    <w:rsid w:val="00ED763C"/>
    <w:rsid w:val="00EE3731"/>
    <w:rsid w:val="00EE4B48"/>
    <w:rsid w:val="00EF40FE"/>
    <w:rsid w:val="00EF6418"/>
    <w:rsid w:val="00EF6470"/>
    <w:rsid w:val="00EF6C98"/>
    <w:rsid w:val="00F0480C"/>
    <w:rsid w:val="00F11947"/>
    <w:rsid w:val="00F12095"/>
    <w:rsid w:val="00F14003"/>
    <w:rsid w:val="00F17C83"/>
    <w:rsid w:val="00F21CA3"/>
    <w:rsid w:val="00F259BD"/>
    <w:rsid w:val="00F27DD4"/>
    <w:rsid w:val="00F31D06"/>
    <w:rsid w:val="00F351AE"/>
    <w:rsid w:val="00F37A5D"/>
    <w:rsid w:val="00F427B0"/>
    <w:rsid w:val="00F43310"/>
    <w:rsid w:val="00F50CC3"/>
    <w:rsid w:val="00F5271D"/>
    <w:rsid w:val="00F542FC"/>
    <w:rsid w:val="00F54366"/>
    <w:rsid w:val="00F56566"/>
    <w:rsid w:val="00F56D14"/>
    <w:rsid w:val="00F60E16"/>
    <w:rsid w:val="00F636BE"/>
    <w:rsid w:val="00F75AEC"/>
    <w:rsid w:val="00F7794C"/>
    <w:rsid w:val="00F800D6"/>
    <w:rsid w:val="00F823BB"/>
    <w:rsid w:val="00F83BC7"/>
    <w:rsid w:val="00F8763E"/>
    <w:rsid w:val="00F91F18"/>
    <w:rsid w:val="00F9266C"/>
    <w:rsid w:val="00F96237"/>
    <w:rsid w:val="00F96714"/>
    <w:rsid w:val="00F96F95"/>
    <w:rsid w:val="00FB218F"/>
    <w:rsid w:val="00FB67F3"/>
    <w:rsid w:val="00FC00B8"/>
    <w:rsid w:val="00FC0464"/>
    <w:rsid w:val="00FC09F2"/>
    <w:rsid w:val="00FC0F1F"/>
    <w:rsid w:val="00FC416D"/>
    <w:rsid w:val="00FD0C89"/>
    <w:rsid w:val="00FD4E85"/>
    <w:rsid w:val="00FD4F25"/>
    <w:rsid w:val="00FD6C44"/>
    <w:rsid w:val="00FD7016"/>
    <w:rsid w:val="00FE6EF2"/>
    <w:rsid w:val="00FF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2E06"/>
  <w15:docId w15:val="{34E2E28C-D478-4BB3-9D06-9C065E32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41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autoRedefine/>
    <w:uiPriority w:val="9"/>
    <w:qFormat/>
    <w:rsid w:val="00BE59B6"/>
    <w:pPr>
      <w:keepNext/>
      <w:keepLines/>
      <w:numPr>
        <w:numId w:val="44"/>
      </w:numPr>
      <w:spacing w:before="480" w:after="200" w:line="360" w:lineRule="auto"/>
      <w:outlineLvl w:val="0"/>
    </w:pPr>
    <w:rPr>
      <w:rFonts w:ascii="Arial" w:eastAsiaTheme="majorEastAsia" w:hAnsi="Arial" w:cstheme="majorBidi"/>
      <w:b/>
      <w:bCs/>
      <w:sz w:val="22"/>
      <w:szCs w:val="28"/>
      <w:lang w:eastAsia="sl-SI"/>
    </w:rPr>
  </w:style>
  <w:style w:type="paragraph" w:styleId="Naslov2">
    <w:name w:val="heading 2"/>
    <w:basedOn w:val="Navaden"/>
    <w:next w:val="Navaden"/>
    <w:link w:val="Naslov2Znak"/>
    <w:autoRedefine/>
    <w:uiPriority w:val="9"/>
    <w:unhideWhenUsed/>
    <w:qFormat/>
    <w:rsid w:val="006B06B3"/>
    <w:pPr>
      <w:keepNext/>
      <w:keepLines/>
      <w:spacing w:before="400" w:after="200" w:line="360" w:lineRule="auto"/>
      <w:ind w:left="360" w:hanging="360"/>
      <w:jc w:val="both"/>
      <w:outlineLvl w:val="1"/>
    </w:pPr>
    <w:rPr>
      <w:rFonts w:ascii="Arial" w:eastAsia="SimSun" w:hAnsi="Arial"/>
      <w:b/>
      <w:bCs/>
      <w:sz w:val="22"/>
      <w:szCs w:val="26"/>
    </w:rPr>
  </w:style>
  <w:style w:type="paragraph" w:styleId="Naslov3">
    <w:name w:val="heading 3"/>
    <w:basedOn w:val="Navaden"/>
    <w:next w:val="Navaden"/>
    <w:link w:val="Naslov3Znak"/>
    <w:uiPriority w:val="9"/>
    <w:unhideWhenUsed/>
    <w:qFormat/>
    <w:rsid w:val="00AF7F1E"/>
    <w:pPr>
      <w:numPr>
        <w:ilvl w:val="2"/>
        <w:numId w:val="35"/>
      </w:numPr>
      <w:autoSpaceDE w:val="0"/>
      <w:autoSpaceDN w:val="0"/>
      <w:adjustRightInd w:val="0"/>
      <w:spacing w:line="480" w:lineRule="auto"/>
      <w:outlineLvl w:val="2"/>
    </w:pPr>
    <w:rPr>
      <w:rFonts w:ascii="Arial" w:hAnsi="Arial" w:cs="Arial"/>
      <w:b/>
      <w:bCs/>
      <w:i/>
      <w:iCs/>
      <w:color w:val="000000"/>
      <w:sz w:val="20"/>
      <w:szCs w:val="20"/>
      <w:lang w:eastAsia="sl-SI"/>
    </w:rPr>
  </w:style>
  <w:style w:type="paragraph" w:styleId="Naslov4">
    <w:name w:val="heading 4"/>
    <w:basedOn w:val="Navaden"/>
    <w:next w:val="Navaden"/>
    <w:link w:val="Naslov4Znak"/>
    <w:uiPriority w:val="9"/>
    <w:semiHidden/>
    <w:unhideWhenUsed/>
    <w:qFormat/>
    <w:rsid w:val="00936BD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36BD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36BD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36BD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36BD2"/>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36BD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C3541D"/>
    <w:rPr>
      <w:rFonts w:ascii="Arial" w:hAnsi="Arial" w:cs="Times New Roman"/>
      <w:vertAlign w:val="superscript"/>
    </w:rPr>
  </w:style>
  <w:style w:type="paragraph" w:styleId="Sprotnaopomba-besedilo">
    <w:name w:val="footnote text"/>
    <w:basedOn w:val="Navaden"/>
    <w:link w:val="Sprotnaopomba-besediloZnak"/>
    <w:rsid w:val="00C3541D"/>
    <w:pPr>
      <w:tabs>
        <w:tab w:val="left" w:pos="284"/>
      </w:tabs>
      <w:suppressAutoHyphens w:val="0"/>
      <w:ind w:left="284" w:hanging="284"/>
      <w:jc w:val="both"/>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C3541D"/>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C35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41D"/>
    <w:rPr>
      <w:rFonts w:ascii="Tahoma" w:eastAsia="Times New Roman" w:hAnsi="Tahoma" w:cs="Tahoma"/>
      <w:sz w:val="16"/>
      <w:szCs w:val="16"/>
      <w:lang w:eastAsia="ar-SA"/>
    </w:rPr>
  </w:style>
  <w:style w:type="character" w:styleId="Pripombasklic">
    <w:name w:val="annotation reference"/>
    <w:basedOn w:val="Privzetapisavaodstavka"/>
    <w:uiPriority w:val="99"/>
    <w:semiHidden/>
    <w:unhideWhenUsed/>
    <w:rsid w:val="007F6C09"/>
    <w:rPr>
      <w:sz w:val="16"/>
      <w:szCs w:val="16"/>
    </w:rPr>
  </w:style>
  <w:style w:type="paragraph" w:styleId="Pripombabesedilo">
    <w:name w:val="annotation text"/>
    <w:basedOn w:val="Navaden"/>
    <w:link w:val="PripombabesediloZnak"/>
    <w:uiPriority w:val="99"/>
    <w:semiHidden/>
    <w:unhideWhenUsed/>
    <w:rsid w:val="007F6C09"/>
    <w:rPr>
      <w:sz w:val="20"/>
      <w:szCs w:val="20"/>
    </w:rPr>
  </w:style>
  <w:style w:type="character" w:customStyle="1" w:styleId="PripombabesediloZnak">
    <w:name w:val="Pripomba – besedilo Znak"/>
    <w:basedOn w:val="Privzetapisavaodstavka"/>
    <w:link w:val="Pripombabesedilo"/>
    <w:uiPriority w:val="99"/>
    <w:semiHidden/>
    <w:rsid w:val="007F6C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F6C09"/>
    <w:rPr>
      <w:b/>
      <w:bCs/>
    </w:rPr>
  </w:style>
  <w:style w:type="character" w:customStyle="1" w:styleId="ZadevapripombeZnak">
    <w:name w:val="Zadeva pripombe Znak"/>
    <w:basedOn w:val="PripombabesediloZnak"/>
    <w:link w:val="Zadevapripombe"/>
    <w:uiPriority w:val="99"/>
    <w:semiHidden/>
    <w:rsid w:val="007F6C09"/>
    <w:rPr>
      <w:rFonts w:ascii="Times New Roman" w:eastAsia="Times New Roman" w:hAnsi="Times New Roman" w:cs="Times New Roman"/>
      <w:b/>
      <w:bCs/>
      <w:sz w:val="20"/>
      <w:szCs w:val="20"/>
      <w:lang w:eastAsia="ar-SA"/>
    </w:rPr>
  </w:style>
  <w:style w:type="paragraph" w:styleId="Revizija">
    <w:name w:val="Revision"/>
    <w:hidden/>
    <w:uiPriority w:val="99"/>
    <w:semiHidden/>
    <w:rsid w:val="00A274D4"/>
    <w:pPr>
      <w:spacing w:after="0" w:line="240" w:lineRule="auto"/>
    </w:pPr>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8B67FD"/>
    <w:rPr>
      <w:color w:val="0000FF" w:themeColor="hyperlink"/>
      <w:u w:val="single"/>
    </w:rPr>
  </w:style>
  <w:style w:type="paragraph" w:styleId="Glava">
    <w:name w:val="header"/>
    <w:basedOn w:val="Navaden"/>
    <w:link w:val="GlavaZnak"/>
    <w:unhideWhenUsed/>
    <w:rsid w:val="009711A1"/>
    <w:pPr>
      <w:tabs>
        <w:tab w:val="center" w:pos="4536"/>
        <w:tab w:val="right" w:pos="9072"/>
      </w:tabs>
    </w:pPr>
  </w:style>
  <w:style w:type="character" w:customStyle="1" w:styleId="GlavaZnak">
    <w:name w:val="Glava Znak"/>
    <w:basedOn w:val="Privzetapisavaodstavka"/>
    <w:link w:val="Glava"/>
    <w:rsid w:val="009711A1"/>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711A1"/>
    <w:pPr>
      <w:tabs>
        <w:tab w:val="center" w:pos="4536"/>
        <w:tab w:val="right" w:pos="9072"/>
      </w:tabs>
    </w:pPr>
  </w:style>
  <w:style w:type="character" w:customStyle="1" w:styleId="NogaZnak">
    <w:name w:val="Noga Znak"/>
    <w:basedOn w:val="Privzetapisavaodstavka"/>
    <w:link w:val="Noga"/>
    <w:uiPriority w:val="99"/>
    <w:rsid w:val="009711A1"/>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4B17CE"/>
    <w:pPr>
      <w:ind w:left="720"/>
      <w:contextualSpacing/>
    </w:pPr>
  </w:style>
  <w:style w:type="paragraph" w:customStyle="1" w:styleId="datumtevilka">
    <w:name w:val="datum številka"/>
    <w:basedOn w:val="Navaden"/>
    <w:qFormat/>
    <w:rsid w:val="008C6E9D"/>
    <w:pPr>
      <w:tabs>
        <w:tab w:val="left" w:pos="1701"/>
      </w:tabs>
      <w:suppressAutoHyphens w:val="0"/>
      <w:spacing w:line="260" w:lineRule="exact"/>
    </w:pPr>
    <w:rPr>
      <w:rFonts w:ascii="Arial" w:hAnsi="Arial"/>
      <w:sz w:val="20"/>
      <w:szCs w:val="20"/>
      <w:lang w:eastAsia="sl-SI"/>
    </w:rPr>
  </w:style>
  <w:style w:type="paragraph" w:styleId="Naslov">
    <w:name w:val="Title"/>
    <w:basedOn w:val="Navaden"/>
    <w:next w:val="Navaden"/>
    <w:link w:val="NaslovZnak"/>
    <w:uiPriority w:val="10"/>
    <w:qFormat/>
    <w:rsid w:val="00C43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438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slov1Znak">
    <w:name w:val="Naslov 1 Znak"/>
    <w:basedOn w:val="Privzetapisavaodstavka"/>
    <w:link w:val="Naslov1"/>
    <w:uiPriority w:val="9"/>
    <w:rsid w:val="00BE59B6"/>
    <w:rPr>
      <w:rFonts w:ascii="Arial" w:eastAsiaTheme="majorEastAsia" w:hAnsi="Arial" w:cstheme="majorBidi"/>
      <w:b/>
      <w:bCs/>
      <w:szCs w:val="28"/>
      <w:lang w:eastAsia="sl-SI"/>
    </w:rPr>
  </w:style>
  <w:style w:type="character" w:customStyle="1" w:styleId="Naslov2Znak">
    <w:name w:val="Naslov 2 Znak"/>
    <w:basedOn w:val="Privzetapisavaodstavka"/>
    <w:link w:val="Naslov2"/>
    <w:uiPriority w:val="9"/>
    <w:rsid w:val="006B06B3"/>
    <w:rPr>
      <w:rFonts w:ascii="Arial" w:eastAsia="SimSun" w:hAnsi="Arial" w:cs="Times New Roman"/>
      <w:b/>
      <w:bCs/>
      <w:szCs w:val="26"/>
      <w:lang w:eastAsia="ar-SA"/>
    </w:rPr>
  </w:style>
  <w:style w:type="character" w:customStyle="1" w:styleId="Naslov3Znak">
    <w:name w:val="Naslov 3 Znak"/>
    <w:basedOn w:val="Privzetapisavaodstavka"/>
    <w:link w:val="Naslov3"/>
    <w:uiPriority w:val="9"/>
    <w:rsid w:val="00AF7F1E"/>
    <w:rPr>
      <w:rFonts w:ascii="Arial" w:eastAsia="Times New Roman" w:hAnsi="Arial" w:cs="Arial"/>
      <w:b/>
      <w:bCs/>
      <w:i/>
      <w:iCs/>
      <w:color w:val="000000"/>
      <w:sz w:val="20"/>
      <w:szCs w:val="20"/>
      <w:lang w:eastAsia="sl-SI"/>
    </w:rPr>
  </w:style>
  <w:style w:type="character" w:customStyle="1" w:styleId="Naslov4Znak">
    <w:name w:val="Naslov 4 Znak"/>
    <w:basedOn w:val="Privzetapisavaodstavka"/>
    <w:link w:val="Naslov4"/>
    <w:uiPriority w:val="9"/>
    <w:semiHidden/>
    <w:rsid w:val="00936BD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uiPriority w:val="9"/>
    <w:semiHidden/>
    <w:rsid w:val="00936BD2"/>
    <w:rPr>
      <w:rFonts w:asciiTheme="majorHAnsi" w:eastAsiaTheme="majorEastAsia" w:hAnsiTheme="majorHAnsi" w:cstheme="majorBidi"/>
      <w:color w:val="243F60" w:themeColor="accent1" w:themeShade="7F"/>
      <w:sz w:val="24"/>
      <w:szCs w:val="24"/>
      <w:lang w:eastAsia="ar-SA"/>
    </w:rPr>
  </w:style>
  <w:style w:type="character" w:customStyle="1" w:styleId="Naslov6Znak">
    <w:name w:val="Naslov 6 Znak"/>
    <w:basedOn w:val="Privzetapisavaodstavka"/>
    <w:link w:val="Naslov6"/>
    <w:uiPriority w:val="9"/>
    <w:semiHidden/>
    <w:rsid w:val="00936BD2"/>
    <w:rPr>
      <w:rFonts w:asciiTheme="majorHAnsi" w:eastAsiaTheme="majorEastAsia" w:hAnsiTheme="majorHAnsi" w:cstheme="majorBidi"/>
      <w:i/>
      <w:iCs/>
      <w:color w:val="243F60" w:themeColor="accent1" w:themeShade="7F"/>
      <w:sz w:val="24"/>
      <w:szCs w:val="24"/>
      <w:lang w:eastAsia="ar-SA"/>
    </w:rPr>
  </w:style>
  <w:style w:type="character" w:customStyle="1" w:styleId="Naslov7Znak">
    <w:name w:val="Naslov 7 Znak"/>
    <w:basedOn w:val="Privzetapisavaodstavka"/>
    <w:link w:val="Naslov7"/>
    <w:uiPriority w:val="9"/>
    <w:semiHidden/>
    <w:rsid w:val="00936BD2"/>
    <w:rPr>
      <w:rFonts w:asciiTheme="majorHAnsi" w:eastAsiaTheme="majorEastAsia" w:hAnsiTheme="majorHAnsi" w:cstheme="majorBidi"/>
      <w:i/>
      <w:iCs/>
      <w:color w:val="404040" w:themeColor="text1" w:themeTint="BF"/>
      <w:sz w:val="24"/>
      <w:szCs w:val="24"/>
      <w:lang w:eastAsia="ar-SA"/>
    </w:rPr>
  </w:style>
  <w:style w:type="character" w:customStyle="1" w:styleId="Naslov8Znak">
    <w:name w:val="Naslov 8 Znak"/>
    <w:basedOn w:val="Privzetapisavaodstavka"/>
    <w:link w:val="Naslov8"/>
    <w:uiPriority w:val="9"/>
    <w:semiHidden/>
    <w:rsid w:val="00936BD2"/>
    <w:rPr>
      <w:rFonts w:asciiTheme="majorHAnsi" w:eastAsiaTheme="majorEastAsia" w:hAnsiTheme="majorHAnsi" w:cstheme="majorBidi"/>
      <w:color w:val="404040" w:themeColor="text1" w:themeTint="BF"/>
      <w:sz w:val="20"/>
      <w:szCs w:val="20"/>
      <w:lang w:eastAsia="ar-SA"/>
    </w:rPr>
  </w:style>
  <w:style w:type="character" w:customStyle="1" w:styleId="Naslov9Znak">
    <w:name w:val="Naslov 9 Znak"/>
    <w:basedOn w:val="Privzetapisavaodstavka"/>
    <w:link w:val="Naslov9"/>
    <w:uiPriority w:val="9"/>
    <w:semiHidden/>
    <w:rsid w:val="00936BD2"/>
    <w:rPr>
      <w:rFonts w:asciiTheme="majorHAnsi" w:eastAsiaTheme="majorEastAsia" w:hAnsiTheme="majorHAnsi" w:cstheme="majorBidi"/>
      <w:i/>
      <w:iCs/>
      <w:color w:val="404040" w:themeColor="text1" w:themeTint="BF"/>
      <w:sz w:val="20"/>
      <w:szCs w:val="20"/>
      <w:lang w:eastAsia="ar-SA"/>
    </w:rPr>
  </w:style>
  <w:style w:type="character" w:customStyle="1" w:styleId="UnresolvedMention1">
    <w:name w:val="Unresolved Mention1"/>
    <w:basedOn w:val="Privzetapisavaodstavka"/>
    <w:uiPriority w:val="99"/>
    <w:semiHidden/>
    <w:unhideWhenUsed/>
    <w:rsid w:val="008C69BF"/>
    <w:rPr>
      <w:color w:val="605E5C"/>
      <w:shd w:val="clear" w:color="auto" w:fill="E1DFDD"/>
    </w:rPr>
  </w:style>
  <w:style w:type="paragraph" w:customStyle="1" w:styleId="Default">
    <w:name w:val="Default"/>
    <w:rsid w:val="005A1B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24">
      <w:bodyDiv w:val="1"/>
      <w:marLeft w:val="0"/>
      <w:marRight w:val="0"/>
      <w:marTop w:val="0"/>
      <w:marBottom w:val="0"/>
      <w:divBdr>
        <w:top w:val="none" w:sz="0" w:space="0" w:color="auto"/>
        <w:left w:val="none" w:sz="0" w:space="0" w:color="auto"/>
        <w:bottom w:val="none" w:sz="0" w:space="0" w:color="auto"/>
        <w:right w:val="none" w:sz="0" w:space="0" w:color="auto"/>
      </w:divBdr>
    </w:div>
    <w:div w:id="207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http://www.uradni-list.si/1/objava.jsp?sop=2020-01-35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ad.sigov.si\dat\MF\DZ-SAUTFS\ZAKLAD\Analize\Prora&#269;un\Program%20financiranja\Program%202023\Odpla&#269;ilo%20dolga%202023%20-%202081_15.6.202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57467330717936"/>
          <c:y val="4.3512477568447554E-2"/>
          <c:w val="0.88042519685039367"/>
          <c:h val="0.82269744500301312"/>
        </c:manualLayout>
      </c:layout>
      <c:barChart>
        <c:barDir val="col"/>
        <c:grouping val="clustered"/>
        <c:varyColors val="0"/>
        <c:ser>
          <c:idx val="2"/>
          <c:order val="0"/>
          <c:spPr>
            <a:solidFill>
              <a:schemeClr val="tx2"/>
            </a:solidFill>
          </c:spPr>
          <c:invertIfNegative val="0"/>
          <c:dLbls>
            <c:dLbl>
              <c:idx val="3"/>
              <c:numFmt formatCode="#,##0.0" sourceLinked="0"/>
              <c:spPr/>
              <c:txPr>
                <a:bodyPr rot="-5400000" vert="horz"/>
                <a:lstStyle/>
                <a:p>
                  <a:pPr algn="ctr">
                    <a:defRPr sz="900" b="0" i="0" u="none" strike="noStrike" baseline="0">
                      <a:solidFill>
                        <a:srgbClr val="FFFFCC"/>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0-355C-4CC9-8A60-1E44531FCB18}"/>
                </c:ext>
              </c:extLst>
            </c:dLbl>
            <c:dLbl>
              <c:idx val="4"/>
              <c:numFmt formatCode="#,##0.0" sourceLinked="0"/>
              <c:spPr/>
              <c:txPr>
                <a:bodyPr rot="-5400000" vert="horz"/>
                <a:lstStyle/>
                <a:p>
                  <a:pPr algn="ctr">
                    <a:defRPr sz="900" b="0" i="0" u="none" strike="noStrike" baseline="0">
                      <a:solidFill>
                        <a:srgbClr val="FFFFCC"/>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1-355C-4CC9-8A60-1E44531FCB18}"/>
                </c:ext>
              </c:extLst>
            </c:dLbl>
            <c:dLbl>
              <c:idx val="5"/>
              <c:numFmt formatCode="#,##0.0" sourceLinked="0"/>
              <c:spPr/>
              <c:txPr>
                <a:bodyPr rot="-5400000" vert="horz"/>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2-355C-4CC9-8A60-1E44531FCB18}"/>
                </c:ext>
              </c:extLst>
            </c:dLbl>
            <c:dLbl>
              <c:idx val="10"/>
              <c:numFmt formatCode="#,##0.0" sourceLinked="0"/>
              <c:spPr/>
              <c:txPr>
                <a:bodyPr rot="-5400000" vert="horz"/>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extLst>
                <c:ext xmlns:c16="http://schemas.microsoft.com/office/drawing/2014/chart" uri="{C3380CC4-5D6E-409C-BE32-E72D297353CC}">
                  <c16:uniqueId val="{00000003-355C-4CC9-8A60-1E44531FCB18}"/>
                </c:ext>
              </c:extLst>
            </c:dLbl>
            <c:dLbl>
              <c:idx val="14"/>
              <c:layout>
                <c:manualLayout>
                  <c:x val="0"/>
                  <c:y val="0.1227467797294569"/>
                </c:manualLayout>
              </c:layout>
              <c:numFmt formatCode="#,##0.0" sourceLinked="0"/>
              <c:spPr>
                <a:noFill/>
                <a:ln w="25400">
                  <a:noFill/>
                </a:ln>
              </c:spPr>
              <c:txPr>
                <a:bodyPr rot="-5400000" vert="horz"/>
                <a:lstStyle/>
                <a:p>
                  <a:pPr algn="ctr">
                    <a:defRPr sz="900" b="0" i="0" u="none" strike="noStrike" baseline="0">
                      <a:solidFill>
                        <a:srgbClr val="FFFFFF"/>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5C-4CC9-8A60-1E44531FCB18}"/>
                </c:ext>
              </c:extLst>
            </c:dLbl>
            <c:dLbl>
              <c:idx val="15"/>
              <c:layout>
                <c:manualLayout>
                  <c:x val="-4.7114252061248524E-3"/>
                  <c:y val="0.12172339995962028"/>
                </c:manualLayout>
              </c:layout>
              <c:numFmt formatCode="#,##0.0" sourceLinked="0"/>
              <c:spPr>
                <a:noFill/>
                <a:ln w="25400">
                  <a:noFill/>
                </a:ln>
              </c:spPr>
              <c:txPr>
                <a:bodyPr rot="-5400000" vert="horz"/>
                <a:lstStyle/>
                <a:p>
                  <a:pPr algn="ctr">
                    <a:defRPr sz="900" b="0" i="0" u="none" strike="noStrike" baseline="0">
                      <a:solidFill>
                        <a:srgbClr val="FFFFFF"/>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55C-4CC9-8A60-1E44531FCB18}"/>
                </c:ext>
              </c:extLst>
            </c:dLbl>
            <c:dLbl>
              <c:idx val="16"/>
              <c:layout>
                <c:manualLayout>
                  <c:x val="-1.4170528732404862E-16"/>
                  <c:y val="0.10154440032458435"/>
                </c:manualLayout>
              </c:layout>
              <c:numFmt formatCode="#,##0.0" sourceLinked="0"/>
              <c:spPr>
                <a:noFill/>
                <a:ln w="25400">
                  <a:noFill/>
                </a:ln>
              </c:spPr>
              <c:txPr>
                <a:bodyPr rot="-5400000" vert="horz"/>
                <a:lstStyle/>
                <a:p>
                  <a:pPr algn="ctr">
                    <a:defRPr sz="900" b="0" i="0" u="none" strike="noStrike" baseline="0">
                      <a:solidFill>
                        <a:srgbClr val="FFFFFF"/>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55C-4CC9-8A60-1E44531FCB18}"/>
                </c:ext>
              </c:extLst>
            </c:dLbl>
            <c:numFmt formatCode="#,##0.0" sourceLinked="0"/>
            <c:spPr>
              <a:noFill/>
              <a:ln w="25400">
                <a:noFill/>
              </a:ln>
            </c:spPr>
            <c:txPr>
              <a:bodyPr rot="-5400000" vert="horz" wrap="square" lIns="38100" tIns="19050" rIns="38100" bIns="19050" anchor="ctr">
                <a:spAutoFit/>
              </a:bodyPr>
              <a:lstStyle/>
              <a:p>
                <a:pPr algn="ctr">
                  <a:defRPr sz="900" b="0" i="0" u="none" strike="noStrike" baseline="0">
                    <a:solidFill>
                      <a:srgbClr val="FFFFFF"/>
                    </a:solidFill>
                    <a:latin typeface="Arial"/>
                    <a:ea typeface="Arial"/>
                    <a:cs typeface="Arial"/>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'Odplačila po letih SLO_ANG'!$B$3:$Q$3</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2035</c:v>
                </c:pt>
                <c:pt idx="11">
                  <c:v>2040</c:v>
                </c:pt>
                <c:pt idx="12">
                  <c:v>2045</c:v>
                </c:pt>
                <c:pt idx="13">
                  <c:v>2050</c:v>
                </c:pt>
                <c:pt idx="14">
                  <c:v>2062</c:v>
                </c:pt>
                <c:pt idx="15">
                  <c:v>2081</c:v>
                </c:pt>
              </c:numCache>
            </c:numRef>
          </c:cat>
          <c:val>
            <c:numRef>
              <c:f>'Odplačila po letih SLO_ANG'!$B$5:$Q$5</c:f>
              <c:numCache>
                <c:formatCode>#,##0.00</c:formatCode>
                <c:ptCount val="16"/>
                <c:pt idx="0">
                  <c:v>1491.639085</c:v>
                </c:pt>
                <c:pt idx="1">
                  <c:v>2251.5794410900003</c:v>
                </c:pt>
                <c:pt idx="2">
                  <c:v>2348.8308071000001</c:v>
                </c:pt>
                <c:pt idx="3">
                  <c:v>2555.1308070999999</c:v>
                </c:pt>
                <c:pt idx="4">
                  <c:v>3123.3758070999997</c:v>
                </c:pt>
                <c:pt idx="5">
                  <c:v>2893.3758070999997</c:v>
                </c:pt>
                <c:pt idx="6">
                  <c:v>2473.3758070999997</c:v>
                </c:pt>
                <c:pt idx="7">
                  <c:v>2902.1128070999998</c:v>
                </c:pt>
                <c:pt idx="8">
                  <c:v>3405.8298070999999</c:v>
                </c:pt>
                <c:pt idx="9">
                  <c:v>3904.2948071000001</c:v>
                </c:pt>
                <c:pt idx="10">
                  <c:v>2550.70807982</c:v>
                </c:pt>
                <c:pt idx="11">
                  <c:v>3105.4054054000003</c:v>
                </c:pt>
                <c:pt idx="12">
                  <c:v>2061.268</c:v>
                </c:pt>
                <c:pt idx="13">
                  <c:v>2243</c:v>
                </c:pt>
                <c:pt idx="14">
                  <c:v>500</c:v>
                </c:pt>
                <c:pt idx="15">
                  <c:v>500</c:v>
                </c:pt>
              </c:numCache>
            </c:numRef>
          </c:val>
          <c:extLst>
            <c:ext xmlns:c16="http://schemas.microsoft.com/office/drawing/2014/chart" uri="{C3380CC4-5D6E-409C-BE32-E72D297353CC}">
              <c16:uniqueId val="{00000007-355C-4CC9-8A60-1E44531FCB18}"/>
            </c:ext>
          </c:extLst>
        </c:ser>
        <c:dLbls>
          <c:showLegendKey val="0"/>
          <c:showVal val="0"/>
          <c:showCatName val="0"/>
          <c:showSerName val="0"/>
          <c:showPercent val="0"/>
          <c:showBubbleSize val="0"/>
        </c:dLbls>
        <c:gapWidth val="40"/>
        <c:overlap val="70"/>
        <c:axId val="509522856"/>
        <c:axId val="1"/>
      </c:barChart>
      <c:catAx>
        <c:axId val="50952285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4000"/>
        </c:scaling>
        <c:delete val="0"/>
        <c:axPos val="l"/>
        <c:title>
          <c:tx>
            <c:rich>
              <a:bodyPr/>
              <a:lstStyle/>
              <a:p>
                <a:pPr>
                  <a:defRPr sz="900" b="0" i="0" u="none" strike="noStrike" baseline="0">
                    <a:solidFill>
                      <a:srgbClr val="000000"/>
                    </a:solidFill>
                    <a:latin typeface="Arial"/>
                    <a:ea typeface="Arial"/>
                    <a:cs typeface="Arial"/>
                  </a:defRPr>
                </a:pPr>
                <a:r>
                  <a:rPr lang="sl-SI"/>
                  <a:t>mio EUR</a:t>
                </a:r>
              </a:p>
            </c:rich>
          </c:tx>
          <c:layout>
            <c:manualLayout>
              <c:xMode val="edge"/>
              <c:yMode val="edge"/>
              <c:x val="6.3057047197722189E-3"/>
              <c:y val="0.4501845367015498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sl-SI"/>
          </a:p>
        </c:txPr>
        <c:crossAx val="509522856"/>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sl-SI"/>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6EA6-7C6F-43C9-9DF6-5856407949E8}">
  <ds:schemaRefs>
    <ds:schemaRef ds:uri="http://schemas.openxmlformats.org/officeDocument/2006/bibliography"/>
  </ds:schemaRefs>
</ds:datastoreItem>
</file>

<file path=customXml/itemProps2.xml><?xml version="1.0" encoding="utf-8"?>
<ds:datastoreItem xmlns:ds="http://schemas.openxmlformats.org/officeDocument/2006/customXml" ds:itemID="{39478D89-E275-4B45-883D-002AD4AB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3512</Words>
  <Characters>20023</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Praprotnik Zupan</dc:creator>
  <cp:lastModifiedBy>Marija Eber</cp:lastModifiedBy>
  <cp:revision>2</cp:revision>
  <cp:lastPrinted>2021-11-25T14:56:00Z</cp:lastPrinted>
  <dcterms:created xsi:type="dcterms:W3CDTF">2023-07-14T10:16:00Z</dcterms:created>
  <dcterms:modified xsi:type="dcterms:W3CDTF">2023-07-14T10:16:00Z</dcterms:modified>
</cp:coreProperties>
</file>