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F4F99" w14:textId="77777777" w:rsidR="004F6C94" w:rsidRPr="00E269D2" w:rsidRDefault="004F6C94" w:rsidP="001E47FB">
      <w:pPr>
        <w:spacing w:line="260" w:lineRule="exact"/>
        <w:rPr>
          <w:rFonts w:ascii="Arial" w:hAnsi="Arial" w:cs="Arial"/>
          <w:b/>
          <w:i/>
          <w:sz w:val="20"/>
          <w:szCs w:val="20"/>
        </w:rPr>
      </w:pPr>
      <w:bookmarkStart w:id="0" w:name="_GoBack"/>
      <w:bookmarkEnd w:id="0"/>
    </w:p>
    <w:p w14:paraId="4F4D7BEB" w14:textId="77777777" w:rsidR="00B17A0F" w:rsidRDefault="00B17A0F" w:rsidP="002119F7">
      <w:pPr>
        <w:spacing w:line="260" w:lineRule="exact"/>
        <w:jc w:val="center"/>
        <w:rPr>
          <w:rFonts w:ascii="Arial" w:hAnsi="Arial" w:cs="Arial"/>
          <w:b/>
          <w:sz w:val="20"/>
          <w:szCs w:val="20"/>
        </w:rPr>
      </w:pPr>
    </w:p>
    <w:p w14:paraId="6A97D051" w14:textId="77777777" w:rsidR="00C3541D" w:rsidRPr="00F96714" w:rsidRDefault="00C3541D" w:rsidP="002119F7">
      <w:pPr>
        <w:spacing w:line="260" w:lineRule="exact"/>
        <w:jc w:val="center"/>
        <w:rPr>
          <w:rFonts w:ascii="Arial" w:hAnsi="Arial" w:cs="Arial"/>
          <w:b/>
          <w:sz w:val="22"/>
          <w:szCs w:val="20"/>
        </w:rPr>
      </w:pPr>
      <w:r w:rsidRPr="00F96714">
        <w:rPr>
          <w:rFonts w:ascii="Arial" w:hAnsi="Arial" w:cs="Arial"/>
          <w:b/>
          <w:sz w:val="22"/>
          <w:szCs w:val="20"/>
        </w:rPr>
        <w:t xml:space="preserve">PROGRAM FINANCIRANJA PRORAČUNA REPUBLIKE SLOVENIJE ZA LETO </w:t>
      </w:r>
      <w:r w:rsidR="00A32440" w:rsidRPr="00F96714">
        <w:rPr>
          <w:rFonts w:ascii="Arial" w:hAnsi="Arial" w:cs="Arial"/>
          <w:b/>
          <w:sz w:val="22"/>
          <w:szCs w:val="20"/>
        </w:rPr>
        <w:t>202</w:t>
      </w:r>
      <w:r w:rsidR="0093017D">
        <w:rPr>
          <w:rFonts w:ascii="Arial" w:hAnsi="Arial" w:cs="Arial"/>
          <w:b/>
          <w:sz w:val="22"/>
          <w:szCs w:val="20"/>
        </w:rPr>
        <w:t>1</w:t>
      </w:r>
    </w:p>
    <w:p w14:paraId="5D1FAD7C" w14:textId="77777777" w:rsidR="00C3541D" w:rsidRPr="00F21CA3" w:rsidRDefault="00C3541D" w:rsidP="00F96714">
      <w:pPr>
        <w:pStyle w:val="Naslov1"/>
      </w:pPr>
      <w:r w:rsidRPr="00F21CA3">
        <w:t xml:space="preserve">PRAVNA PODLAGA TER STRATEŠKI IN OPERATIVNI CILJI FINANCIRANJA DRŽAVNEGA PRORAČUNA </w:t>
      </w:r>
    </w:p>
    <w:p w14:paraId="234F43C4" w14:textId="77777777" w:rsidR="00C3541D" w:rsidRPr="00406D45" w:rsidRDefault="00C3541D" w:rsidP="00F96714">
      <w:pPr>
        <w:pStyle w:val="Naslov2"/>
      </w:pPr>
      <w:r w:rsidRPr="00406D45">
        <w:t>PRAVNA PODLAGA</w:t>
      </w:r>
    </w:p>
    <w:p w14:paraId="32E78840"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V skladu s 84. členom </w:t>
      </w:r>
      <w:r w:rsidRPr="008C6E9D">
        <w:rPr>
          <w:rFonts w:ascii="Arial" w:hAnsi="Arial" w:cs="Arial"/>
          <w:bCs/>
          <w:sz w:val="20"/>
          <w:szCs w:val="20"/>
        </w:rPr>
        <w:t xml:space="preserve">Zakona o javnih </w:t>
      </w:r>
      <w:r w:rsidRPr="008C6E9D">
        <w:rPr>
          <w:rFonts w:ascii="Arial" w:hAnsi="Arial" w:cs="Arial"/>
          <w:sz w:val="20"/>
          <w:szCs w:val="20"/>
        </w:rPr>
        <w:t xml:space="preserve">financah </w:t>
      </w:r>
      <w:r w:rsidR="009276FD" w:rsidRPr="009276FD">
        <w:rPr>
          <w:rFonts w:ascii="Arial" w:hAnsi="Arial" w:cs="Arial"/>
          <w:sz w:val="20"/>
          <w:szCs w:val="20"/>
        </w:rPr>
        <w:t>(</w:t>
      </w:r>
      <w:r w:rsidR="00AC792B" w:rsidRPr="00AC792B">
        <w:rPr>
          <w:rFonts w:ascii="Arial" w:hAnsi="Arial" w:cs="Arial"/>
          <w:sz w:val="20"/>
          <w:szCs w:val="20"/>
        </w:rPr>
        <w:t xml:space="preserve">Uradni list RS, št. 11/11 – uradno prečiščeno besedilo, 14/13 – </w:t>
      </w:r>
      <w:proofErr w:type="spellStart"/>
      <w:r w:rsidR="00AC792B" w:rsidRPr="00AC792B">
        <w:rPr>
          <w:rFonts w:ascii="Arial" w:hAnsi="Arial" w:cs="Arial"/>
          <w:sz w:val="20"/>
          <w:szCs w:val="20"/>
        </w:rPr>
        <w:t>popr</w:t>
      </w:r>
      <w:proofErr w:type="spellEnd"/>
      <w:r w:rsidR="00AC792B" w:rsidRPr="00AC792B">
        <w:rPr>
          <w:rFonts w:ascii="Arial" w:hAnsi="Arial" w:cs="Arial"/>
          <w:sz w:val="20"/>
          <w:szCs w:val="20"/>
        </w:rPr>
        <w:t xml:space="preserve">., 101/13, 55/15 – </w:t>
      </w:r>
      <w:proofErr w:type="spellStart"/>
      <w:r w:rsidR="00AC792B" w:rsidRPr="00AC792B">
        <w:rPr>
          <w:rFonts w:ascii="Arial" w:hAnsi="Arial" w:cs="Arial"/>
          <w:sz w:val="20"/>
          <w:szCs w:val="20"/>
        </w:rPr>
        <w:t>ZFisP</w:t>
      </w:r>
      <w:proofErr w:type="spellEnd"/>
      <w:r w:rsidR="00AC792B" w:rsidRPr="00AC792B">
        <w:rPr>
          <w:rFonts w:ascii="Arial" w:hAnsi="Arial" w:cs="Arial"/>
          <w:sz w:val="20"/>
          <w:szCs w:val="20"/>
        </w:rPr>
        <w:t>, 96/15 – ZIPRS1617 in 13/18</w:t>
      </w:r>
      <w:r w:rsidR="004558FC" w:rsidRPr="008C6E9D">
        <w:rPr>
          <w:rFonts w:ascii="Arial" w:hAnsi="Arial" w:cs="Arial"/>
          <w:sz w:val="20"/>
          <w:szCs w:val="20"/>
        </w:rPr>
        <w:t>; v nadalj</w:t>
      </w:r>
      <w:r w:rsidR="001532B6">
        <w:rPr>
          <w:rFonts w:ascii="Arial" w:hAnsi="Arial" w:cs="Arial"/>
          <w:sz w:val="20"/>
          <w:szCs w:val="20"/>
        </w:rPr>
        <w:t xml:space="preserve">njem </w:t>
      </w:r>
      <w:r w:rsidR="00BF5003">
        <w:rPr>
          <w:rFonts w:ascii="Arial" w:hAnsi="Arial" w:cs="Arial"/>
          <w:sz w:val="20"/>
          <w:szCs w:val="20"/>
        </w:rPr>
        <w:br/>
      </w:r>
      <w:r w:rsidR="001532B6">
        <w:rPr>
          <w:rFonts w:ascii="Arial" w:hAnsi="Arial" w:cs="Arial"/>
          <w:sz w:val="20"/>
          <w:szCs w:val="20"/>
        </w:rPr>
        <w:t>besedilu</w:t>
      </w:r>
      <w:r w:rsidR="004558FC" w:rsidRPr="008C6E9D">
        <w:rPr>
          <w:rFonts w:ascii="Arial" w:hAnsi="Arial" w:cs="Arial"/>
          <w:sz w:val="20"/>
          <w:szCs w:val="20"/>
        </w:rPr>
        <w:t>: ZJF</w:t>
      </w:r>
      <w:r w:rsidRPr="008C6E9D">
        <w:rPr>
          <w:rFonts w:ascii="Arial" w:hAnsi="Arial" w:cs="Arial"/>
          <w:sz w:val="20"/>
          <w:szCs w:val="20"/>
        </w:rPr>
        <w:t>)</w:t>
      </w:r>
      <w:r w:rsidR="004B2D55">
        <w:rPr>
          <w:rFonts w:ascii="Arial" w:hAnsi="Arial" w:cs="Arial"/>
          <w:sz w:val="20"/>
          <w:szCs w:val="20"/>
        </w:rPr>
        <w:t xml:space="preserve"> </w:t>
      </w:r>
      <w:r w:rsidRPr="008C6E9D">
        <w:rPr>
          <w:rFonts w:ascii="Arial" w:hAnsi="Arial" w:cs="Arial"/>
          <w:sz w:val="20"/>
          <w:szCs w:val="20"/>
        </w:rPr>
        <w:t>se zadolževanje za financiranje izvrševanja državnega proračuna in za upravljanje z državnim dolgom v posameznem proračunskem letu izvaja na podlagi progra</w:t>
      </w:r>
      <w:r w:rsidR="004B0D42">
        <w:rPr>
          <w:rFonts w:ascii="Arial" w:hAnsi="Arial" w:cs="Arial"/>
          <w:sz w:val="20"/>
          <w:szCs w:val="20"/>
        </w:rPr>
        <w:t>ma financiranja, ki ga sprejme V</w:t>
      </w:r>
      <w:r w:rsidRPr="008C6E9D">
        <w:rPr>
          <w:rFonts w:ascii="Arial" w:hAnsi="Arial" w:cs="Arial"/>
          <w:sz w:val="20"/>
          <w:szCs w:val="20"/>
        </w:rPr>
        <w:t>lada</w:t>
      </w:r>
      <w:r w:rsidR="004B0D42">
        <w:rPr>
          <w:rFonts w:ascii="Arial" w:hAnsi="Arial" w:cs="Arial"/>
          <w:sz w:val="20"/>
          <w:szCs w:val="20"/>
        </w:rPr>
        <w:t xml:space="preserve"> Republike Slovenije (v nadaljnjem besedilu: vlada)</w:t>
      </w:r>
      <w:r w:rsidRPr="008C6E9D">
        <w:rPr>
          <w:rFonts w:ascii="Arial" w:hAnsi="Arial" w:cs="Arial"/>
          <w:sz w:val="20"/>
          <w:szCs w:val="20"/>
        </w:rPr>
        <w:t xml:space="preserve">. </w:t>
      </w:r>
    </w:p>
    <w:p w14:paraId="7762D51D" w14:textId="77777777" w:rsidR="00C3541D" w:rsidRPr="00F21CA3" w:rsidRDefault="00C3541D" w:rsidP="00F96714">
      <w:pPr>
        <w:pStyle w:val="Naslov2"/>
      </w:pPr>
      <w:bookmarkStart w:id="1" w:name="_Ref373929421"/>
      <w:r w:rsidRPr="00F21CA3">
        <w:t>STRATEŠKI IN OPERATIVNI CILJI</w:t>
      </w:r>
      <w:bookmarkEnd w:id="1"/>
    </w:p>
    <w:p w14:paraId="2596BFE2" w14:textId="77777777" w:rsidR="00C3541D" w:rsidRPr="008C6E9D" w:rsidRDefault="00C3541D" w:rsidP="004B2D55">
      <w:pPr>
        <w:spacing w:line="260" w:lineRule="exact"/>
        <w:jc w:val="both"/>
        <w:rPr>
          <w:rFonts w:ascii="Arial" w:hAnsi="Arial" w:cs="Arial"/>
          <w:sz w:val="20"/>
          <w:szCs w:val="20"/>
        </w:rPr>
      </w:pPr>
      <w:r w:rsidRPr="008C6E9D">
        <w:rPr>
          <w:rFonts w:ascii="Arial" w:hAnsi="Arial" w:cs="Arial"/>
          <w:sz w:val="20"/>
          <w:szCs w:val="20"/>
        </w:rPr>
        <w:t>Strateški cilji, na katerih temelji program financiranja, so naslednji:</w:t>
      </w:r>
    </w:p>
    <w:p w14:paraId="234C0ECE" w14:textId="77777777" w:rsidR="004372B7" w:rsidRPr="004F403F" w:rsidRDefault="004372B7" w:rsidP="004F403F">
      <w:pPr>
        <w:pStyle w:val="Odstavekseznama"/>
        <w:numPr>
          <w:ilvl w:val="0"/>
          <w:numId w:val="36"/>
        </w:numPr>
        <w:suppressAutoHyphens w:val="0"/>
        <w:spacing w:line="260" w:lineRule="exact"/>
        <w:jc w:val="both"/>
        <w:rPr>
          <w:rFonts w:ascii="Arial" w:hAnsi="Arial" w:cs="Arial"/>
          <w:sz w:val="20"/>
          <w:szCs w:val="20"/>
        </w:rPr>
      </w:pPr>
      <w:r w:rsidRPr="004F403F">
        <w:rPr>
          <w:rFonts w:ascii="Arial" w:hAnsi="Arial" w:cs="Arial"/>
          <w:sz w:val="20"/>
          <w:szCs w:val="20"/>
        </w:rPr>
        <w:t>zagotovitev pravočasnega financiranja izvrševanja državnega proračuna v potrebnem obsegu,</w:t>
      </w:r>
    </w:p>
    <w:p w14:paraId="37E0B62D" w14:textId="77777777" w:rsidR="004372B7" w:rsidRPr="004F403F" w:rsidRDefault="004372B7" w:rsidP="004F403F">
      <w:pPr>
        <w:pStyle w:val="Odstavekseznama"/>
        <w:numPr>
          <w:ilvl w:val="0"/>
          <w:numId w:val="36"/>
        </w:numPr>
        <w:suppressAutoHyphens w:val="0"/>
        <w:spacing w:line="260" w:lineRule="exact"/>
        <w:jc w:val="both"/>
        <w:rPr>
          <w:rFonts w:ascii="Arial" w:hAnsi="Arial" w:cs="Arial"/>
          <w:sz w:val="20"/>
          <w:szCs w:val="20"/>
        </w:rPr>
      </w:pPr>
      <w:r w:rsidRPr="004F403F">
        <w:rPr>
          <w:rFonts w:ascii="Arial" w:hAnsi="Arial" w:cs="Arial"/>
          <w:sz w:val="20"/>
          <w:szCs w:val="20"/>
        </w:rPr>
        <w:t>minimiziranje dolgoročnega stroška financiranja s sprejemljivim tveganjem refinanciranja ter sprejemljivim valutnim, obrestnim in drugimi tržnimi tveganji,</w:t>
      </w:r>
    </w:p>
    <w:p w14:paraId="42B99ECF" w14:textId="77777777" w:rsidR="004372B7" w:rsidRPr="004F403F" w:rsidRDefault="004372B7" w:rsidP="004F403F">
      <w:pPr>
        <w:pStyle w:val="Odstavekseznama"/>
        <w:numPr>
          <w:ilvl w:val="0"/>
          <w:numId w:val="36"/>
        </w:numPr>
        <w:suppressAutoHyphens w:val="0"/>
        <w:spacing w:line="260" w:lineRule="exact"/>
        <w:jc w:val="both"/>
        <w:rPr>
          <w:rFonts w:ascii="Arial" w:hAnsi="Arial" w:cs="Arial"/>
          <w:sz w:val="20"/>
          <w:szCs w:val="20"/>
        </w:rPr>
      </w:pPr>
      <w:r w:rsidRPr="004F403F">
        <w:rPr>
          <w:rFonts w:ascii="Arial" w:hAnsi="Arial" w:cs="Arial"/>
          <w:sz w:val="20"/>
          <w:szCs w:val="20"/>
        </w:rPr>
        <w:t>izvedba transakcij z uporabo tržnih metod,</w:t>
      </w:r>
    </w:p>
    <w:p w14:paraId="660E4975" w14:textId="77777777" w:rsidR="004372B7" w:rsidRPr="004F403F" w:rsidRDefault="004372B7" w:rsidP="004F403F">
      <w:pPr>
        <w:pStyle w:val="Odstavekseznama"/>
        <w:numPr>
          <w:ilvl w:val="0"/>
          <w:numId w:val="36"/>
        </w:numPr>
        <w:tabs>
          <w:tab w:val="num" w:pos="709"/>
        </w:tabs>
        <w:spacing w:line="260" w:lineRule="exact"/>
        <w:jc w:val="both"/>
        <w:rPr>
          <w:rFonts w:ascii="Arial" w:hAnsi="Arial" w:cs="Arial"/>
          <w:sz w:val="20"/>
          <w:szCs w:val="20"/>
        </w:rPr>
      </w:pPr>
      <w:r w:rsidRPr="004F403F">
        <w:rPr>
          <w:rFonts w:ascii="Arial" w:hAnsi="Arial" w:cs="Arial"/>
          <w:sz w:val="20"/>
          <w:szCs w:val="20"/>
        </w:rPr>
        <w:t>širitev investicijskega zaledja ter zagotovitev stalnega in zanesljivega dostopa do virov financiranja ter</w:t>
      </w:r>
    </w:p>
    <w:p w14:paraId="4D24FAAD" w14:textId="77777777" w:rsidR="004372B7" w:rsidRPr="004F403F" w:rsidRDefault="004372B7" w:rsidP="004F403F">
      <w:pPr>
        <w:pStyle w:val="Odstavekseznama"/>
        <w:numPr>
          <w:ilvl w:val="0"/>
          <w:numId w:val="36"/>
        </w:numPr>
        <w:tabs>
          <w:tab w:val="num" w:pos="709"/>
        </w:tabs>
        <w:spacing w:line="260" w:lineRule="exact"/>
        <w:jc w:val="both"/>
        <w:rPr>
          <w:rFonts w:ascii="Arial" w:hAnsi="Arial" w:cs="Arial"/>
          <w:sz w:val="20"/>
          <w:szCs w:val="20"/>
        </w:rPr>
      </w:pPr>
      <w:r w:rsidRPr="004F403F">
        <w:rPr>
          <w:rFonts w:ascii="Arial" w:hAnsi="Arial" w:cs="Arial"/>
          <w:sz w:val="20"/>
          <w:szCs w:val="20"/>
        </w:rPr>
        <w:t xml:space="preserve">povečanje likvidnosti državnih vrednostnih papirjev in razvoj sekundarnega trga državnih vrednostnih papirjev. </w:t>
      </w:r>
    </w:p>
    <w:p w14:paraId="1EB18B47" w14:textId="77777777" w:rsidR="004B17CE" w:rsidRPr="008C6E9D" w:rsidRDefault="004B17CE" w:rsidP="008C6E9D">
      <w:pPr>
        <w:suppressAutoHyphens w:val="0"/>
        <w:spacing w:line="260" w:lineRule="exact"/>
        <w:ind w:left="360"/>
        <w:jc w:val="both"/>
        <w:rPr>
          <w:rFonts w:ascii="Arial" w:hAnsi="Arial" w:cs="Arial"/>
          <w:sz w:val="20"/>
          <w:szCs w:val="20"/>
        </w:rPr>
      </w:pPr>
    </w:p>
    <w:p w14:paraId="1C38E0C3"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V skladu s 84. členom ZJF je program financiranja temeljni operativni dokument za izvajanje financiranja izvrševanja državnega proračuna in transakcij upravljanja z državnim dolgom. Določa okvirno strukturo instrumentov </w:t>
      </w:r>
      <w:r w:rsidR="002E7155">
        <w:rPr>
          <w:rFonts w:ascii="Arial" w:hAnsi="Arial" w:cs="Arial"/>
          <w:sz w:val="20"/>
          <w:szCs w:val="20"/>
        </w:rPr>
        <w:t>financiranja</w:t>
      </w:r>
      <w:r w:rsidR="002E7155" w:rsidRPr="008C6E9D">
        <w:rPr>
          <w:rFonts w:ascii="Arial" w:hAnsi="Arial" w:cs="Arial"/>
          <w:sz w:val="20"/>
          <w:szCs w:val="20"/>
        </w:rPr>
        <w:t xml:space="preserve"> </w:t>
      </w:r>
      <w:r w:rsidR="002E7155">
        <w:rPr>
          <w:rFonts w:ascii="Arial" w:hAnsi="Arial" w:cs="Arial"/>
          <w:sz w:val="20"/>
          <w:szCs w:val="20"/>
        </w:rPr>
        <w:t xml:space="preserve">državnega </w:t>
      </w:r>
      <w:r w:rsidRPr="008C6E9D">
        <w:rPr>
          <w:rFonts w:ascii="Arial" w:hAnsi="Arial" w:cs="Arial"/>
          <w:sz w:val="20"/>
          <w:szCs w:val="20"/>
        </w:rPr>
        <w:t>proračun</w:t>
      </w:r>
      <w:r w:rsidR="002E7155">
        <w:rPr>
          <w:rFonts w:ascii="Arial" w:hAnsi="Arial" w:cs="Arial"/>
          <w:sz w:val="20"/>
          <w:szCs w:val="20"/>
        </w:rPr>
        <w:t>a</w:t>
      </w:r>
      <w:r w:rsidRPr="008C6E9D">
        <w:rPr>
          <w:rFonts w:ascii="Arial" w:hAnsi="Arial" w:cs="Arial"/>
          <w:sz w:val="20"/>
          <w:szCs w:val="20"/>
        </w:rPr>
        <w:t xml:space="preserve"> in upravljanja z državnim dolgom ob upoštevanju optimizacije valutne, rokovne in obrestne strukture državnega dolga in obvladovanja tveganj portfelja državnega dolga.</w:t>
      </w:r>
    </w:p>
    <w:p w14:paraId="4D1354A2" w14:textId="77777777" w:rsidR="00C3541D" w:rsidRPr="008C6E9D" w:rsidRDefault="00C3541D" w:rsidP="008C6E9D">
      <w:pPr>
        <w:spacing w:line="260" w:lineRule="exact"/>
        <w:jc w:val="both"/>
        <w:rPr>
          <w:rFonts w:ascii="Arial" w:hAnsi="Arial" w:cs="Arial"/>
          <w:sz w:val="20"/>
          <w:szCs w:val="20"/>
        </w:rPr>
      </w:pPr>
    </w:p>
    <w:p w14:paraId="79A2A2BD" w14:textId="77777777" w:rsidR="00C3541D" w:rsidRPr="00A838F5" w:rsidRDefault="00C3541D" w:rsidP="008C6E9D">
      <w:pPr>
        <w:spacing w:line="260" w:lineRule="exact"/>
        <w:jc w:val="both"/>
        <w:rPr>
          <w:rFonts w:ascii="Arial" w:hAnsi="Arial" w:cs="Arial"/>
          <w:sz w:val="20"/>
          <w:szCs w:val="20"/>
        </w:rPr>
      </w:pPr>
      <w:r w:rsidRPr="00A838F5">
        <w:rPr>
          <w:rFonts w:ascii="Arial" w:hAnsi="Arial" w:cs="Arial"/>
          <w:sz w:val="20"/>
          <w:szCs w:val="20"/>
        </w:rPr>
        <w:t xml:space="preserve">Program financiranja za leto </w:t>
      </w:r>
      <w:r w:rsidR="006F6989" w:rsidRPr="00A838F5">
        <w:rPr>
          <w:rFonts w:ascii="Arial" w:hAnsi="Arial" w:cs="Arial"/>
          <w:sz w:val="20"/>
          <w:szCs w:val="20"/>
        </w:rPr>
        <w:t>20</w:t>
      </w:r>
      <w:r w:rsidR="006F6989">
        <w:rPr>
          <w:rFonts w:ascii="Arial" w:hAnsi="Arial" w:cs="Arial"/>
          <w:sz w:val="20"/>
          <w:szCs w:val="20"/>
        </w:rPr>
        <w:t>2</w:t>
      </w:r>
      <w:r w:rsidR="0093017D">
        <w:rPr>
          <w:rFonts w:ascii="Arial" w:hAnsi="Arial" w:cs="Arial"/>
          <w:sz w:val="20"/>
          <w:szCs w:val="20"/>
        </w:rPr>
        <w:t>1</w:t>
      </w:r>
      <w:r w:rsidR="006F6989" w:rsidRPr="00A838F5">
        <w:rPr>
          <w:rFonts w:ascii="Arial" w:hAnsi="Arial" w:cs="Arial"/>
          <w:sz w:val="20"/>
          <w:szCs w:val="20"/>
        </w:rPr>
        <w:t xml:space="preserve"> </w:t>
      </w:r>
      <w:r w:rsidRPr="00A838F5">
        <w:rPr>
          <w:rFonts w:ascii="Arial" w:hAnsi="Arial" w:cs="Arial"/>
          <w:sz w:val="20"/>
          <w:szCs w:val="20"/>
        </w:rPr>
        <w:t xml:space="preserve">je pripravljen v skladu z 81. členom ZJF, ki poleg zadolževanja za financiranje izvrševanja državnega proračuna tekočega leta dovoljuje tudi dodatno zadolževanje </w:t>
      </w:r>
      <w:r w:rsidR="00725441" w:rsidRPr="00A838F5">
        <w:rPr>
          <w:rFonts w:ascii="Arial" w:hAnsi="Arial" w:cs="Arial"/>
          <w:sz w:val="20"/>
          <w:szCs w:val="20"/>
        </w:rPr>
        <w:t xml:space="preserve">za </w:t>
      </w:r>
      <w:r w:rsidR="00FB67F3">
        <w:rPr>
          <w:rFonts w:ascii="Arial" w:hAnsi="Arial" w:cs="Arial"/>
          <w:sz w:val="20"/>
          <w:szCs w:val="20"/>
        </w:rPr>
        <w:t xml:space="preserve">namene </w:t>
      </w:r>
      <w:proofErr w:type="spellStart"/>
      <w:r w:rsidR="00FB67F3">
        <w:rPr>
          <w:rFonts w:ascii="Arial" w:hAnsi="Arial" w:cs="Arial"/>
          <w:sz w:val="20"/>
          <w:szCs w:val="20"/>
        </w:rPr>
        <w:t>pred</w:t>
      </w:r>
      <w:r w:rsidR="00725441" w:rsidRPr="00A838F5">
        <w:rPr>
          <w:rFonts w:ascii="Arial" w:hAnsi="Arial" w:cs="Arial"/>
          <w:sz w:val="20"/>
          <w:szCs w:val="20"/>
        </w:rPr>
        <w:t>financiranj</w:t>
      </w:r>
      <w:r w:rsidR="000522A7">
        <w:rPr>
          <w:rFonts w:ascii="Arial" w:hAnsi="Arial" w:cs="Arial"/>
          <w:sz w:val="20"/>
          <w:szCs w:val="20"/>
        </w:rPr>
        <w:t>a</w:t>
      </w:r>
      <w:proofErr w:type="spellEnd"/>
      <w:r w:rsidR="00FB67F3">
        <w:rPr>
          <w:rFonts w:ascii="Arial" w:hAnsi="Arial" w:cs="Arial"/>
          <w:sz w:val="20"/>
          <w:szCs w:val="20"/>
        </w:rPr>
        <w:t xml:space="preserve">, katerega dovoljeni obseg določa </w:t>
      </w:r>
      <w:r w:rsidRPr="00A838F5">
        <w:rPr>
          <w:rFonts w:ascii="Arial" w:hAnsi="Arial" w:cs="Arial"/>
          <w:sz w:val="20"/>
          <w:szCs w:val="20"/>
        </w:rPr>
        <w:t>višin</w:t>
      </w:r>
      <w:r w:rsidR="00FB67F3">
        <w:rPr>
          <w:rFonts w:ascii="Arial" w:hAnsi="Arial" w:cs="Arial"/>
          <w:sz w:val="20"/>
          <w:szCs w:val="20"/>
        </w:rPr>
        <w:t>a</w:t>
      </w:r>
      <w:r w:rsidRPr="00A838F5">
        <w:rPr>
          <w:rFonts w:ascii="Arial" w:hAnsi="Arial" w:cs="Arial"/>
          <w:sz w:val="20"/>
          <w:szCs w:val="20"/>
        </w:rPr>
        <w:t xml:space="preserve"> odplačil glavnic državnega dolga naslednjih dveh proračunskih let. </w:t>
      </w:r>
    </w:p>
    <w:p w14:paraId="6F4A2F55" w14:textId="77777777" w:rsidR="00C3541D" w:rsidRPr="00A838F5" w:rsidRDefault="00C3541D" w:rsidP="008C6E9D">
      <w:pPr>
        <w:spacing w:line="260" w:lineRule="exact"/>
        <w:jc w:val="both"/>
        <w:rPr>
          <w:rFonts w:ascii="Arial" w:hAnsi="Arial" w:cs="Arial"/>
          <w:sz w:val="20"/>
          <w:szCs w:val="20"/>
        </w:rPr>
      </w:pPr>
    </w:p>
    <w:p w14:paraId="0C06C7B1" w14:textId="77777777" w:rsidR="0027053A" w:rsidRDefault="00725441" w:rsidP="008C6E9D">
      <w:pPr>
        <w:spacing w:line="260" w:lineRule="exact"/>
        <w:jc w:val="both"/>
        <w:rPr>
          <w:rFonts w:ascii="Arial" w:hAnsi="Arial" w:cs="Arial"/>
          <w:sz w:val="20"/>
          <w:szCs w:val="20"/>
        </w:rPr>
      </w:pPr>
      <w:r w:rsidRPr="005F13D1">
        <w:rPr>
          <w:rFonts w:ascii="Arial" w:hAnsi="Arial" w:cs="Arial"/>
          <w:sz w:val="20"/>
          <w:szCs w:val="20"/>
        </w:rPr>
        <w:t xml:space="preserve">S </w:t>
      </w:r>
      <w:proofErr w:type="spellStart"/>
      <w:r w:rsidRPr="005F13D1">
        <w:rPr>
          <w:rFonts w:ascii="Arial" w:hAnsi="Arial" w:cs="Arial"/>
          <w:sz w:val="20"/>
          <w:szCs w:val="20"/>
        </w:rPr>
        <w:t>predfinanciranjem</w:t>
      </w:r>
      <w:proofErr w:type="spellEnd"/>
      <w:r w:rsidRPr="005F13D1">
        <w:rPr>
          <w:rFonts w:ascii="Arial" w:hAnsi="Arial" w:cs="Arial"/>
          <w:sz w:val="20"/>
          <w:szCs w:val="20"/>
        </w:rPr>
        <w:t xml:space="preserve"> se zmanjšuje tveganje refinanciranja</w:t>
      </w:r>
      <w:r w:rsidR="00A561A2" w:rsidRPr="00A561A2">
        <w:t xml:space="preserve"> </w:t>
      </w:r>
      <w:r w:rsidR="00A561A2" w:rsidRPr="00A561A2">
        <w:rPr>
          <w:rFonts w:ascii="Arial" w:hAnsi="Arial" w:cs="Arial"/>
          <w:sz w:val="20"/>
          <w:szCs w:val="20"/>
        </w:rPr>
        <w:t>dolga državnega proračuna</w:t>
      </w:r>
      <w:r w:rsidRPr="005F13D1">
        <w:rPr>
          <w:rFonts w:ascii="Arial" w:hAnsi="Arial" w:cs="Arial"/>
          <w:sz w:val="20"/>
          <w:szCs w:val="20"/>
        </w:rPr>
        <w:t xml:space="preserve">, omogoča tržnim razmeram ustrezno uravnavanje dinamike </w:t>
      </w:r>
      <w:r w:rsidR="002E7155">
        <w:rPr>
          <w:rFonts w:ascii="Arial" w:hAnsi="Arial" w:cs="Arial"/>
          <w:sz w:val="20"/>
          <w:szCs w:val="20"/>
        </w:rPr>
        <w:t>financiranja</w:t>
      </w:r>
      <w:r w:rsidR="002E7155" w:rsidRPr="005F13D1">
        <w:rPr>
          <w:rFonts w:ascii="Arial" w:hAnsi="Arial" w:cs="Arial"/>
          <w:sz w:val="20"/>
          <w:szCs w:val="20"/>
        </w:rPr>
        <w:t xml:space="preserve"> </w:t>
      </w:r>
      <w:r w:rsidRPr="005F13D1">
        <w:rPr>
          <w:rFonts w:ascii="Arial" w:hAnsi="Arial" w:cs="Arial"/>
          <w:sz w:val="20"/>
          <w:szCs w:val="20"/>
        </w:rPr>
        <w:t xml:space="preserve">in izboljšuje uravnavanje operativnih tveganj pri izvajanju programa financiranja državnega proračuna. </w:t>
      </w:r>
      <w:proofErr w:type="spellStart"/>
      <w:r w:rsidR="00C3541D" w:rsidRPr="005F13D1">
        <w:rPr>
          <w:rFonts w:ascii="Arial" w:hAnsi="Arial" w:cs="Arial"/>
          <w:sz w:val="20"/>
          <w:szCs w:val="20"/>
        </w:rPr>
        <w:t>Predfinanciranje</w:t>
      </w:r>
      <w:proofErr w:type="spellEnd"/>
      <w:r w:rsidR="00C3541D" w:rsidRPr="005F13D1">
        <w:rPr>
          <w:rFonts w:ascii="Arial" w:hAnsi="Arial" w:cs="Arial"/>
          <w:sz w:val="20"/>
          <w:szCs w:val="20"/>
        </w:rPr>
        <w:t xml:space="preserve"> omogoča</w:t>
      </w:r>
      <w:r w:rsidRPr="005F13D1">
        <w:rPr>
          <w:rFonts w:ascii="Arial" w:hAnsi="Arial" w:cs="Arial"/>
          <w:sz w:val="20"/>
          <w:szCs w:val="20"/>
        </w:rPr>
        <w:t xml:space="preserve"> tudi </w:t>
      </w:r>
      <w:r w:rsidR="00C3541D" w:rsidRPr="005F13D1">
        <w:rPr>
          <w:rFonts w:ascii="Arial" w:hAnsi="Arial" w:cs="Arial"/>
          <w:sz w:val="20"/>
          <w:szCs w:val="20"/>
        </w:rPr>
        <w:t xml:space="preserve">večjo </w:t>
      </w:r>
      <w:r w:rsidRPr="005F13D1">
        <w:rPr>
          <w:rFonts w:ascii="Arial" w:hAnsi="Arial" w:cs="Arial"/>
          <w:sz w:val="20"/>
          <w:szCs w:val="20"/>
        </w:rPr>
        <w:t xml:space="preserve">prožnost </w:t>
      </w:r>
      <w:r w:rsidR="00C3541D" w:rsidRPr="005F13D1">
        <w:rPr>
          <w:rFonts w:ascii="Arial" w:hAnsi="Arial" w:cs="Arial"/>
          <w:sz w:val="20"/>
          <w:szCs w:val="20"/>
        </w:rPr>
        <w:t>pri izboru instrumentov</w:t>
      </w:r>
      <w:r w:rsidR="00C2663E" w:rsidRPr="005F13D1">
        <w:rPr>
          <w:rFonts w:ascii="Arial" w:hAnsi="Arial" w:cs="Arial"/>
          <w:sz w:val="20"/>
          <w:szCs w:val="20"/>
        </w:rPr>
        <w:t xml:space="preserve"> financiranja</w:t>
      </w:r>
      <w:r w:rsidRPr="005F13D1">
        <w:rPr>
          <w:rFonts w:ascii="Arial" w:hAnsi="Arial" w:cs="Arial"/>
          <w:sz w:val="20"/>
          <w:szCs w:val="20"/>
        </w:rPr>
        <w:t>.</w:t>
      </w:r>
      <w:r w:rsidR="00C3541D" w:rsidRPr="005F13D1">
        <w:rPr>
          <w:rFonts w:ascii="Arial" w:hAnsi="Arial" w:cs="Arial"/>
          <w:sz w:val="20"/>
          <w:szCs w:val="20"/>
        </w:rPr>
        <w:t xml:space="preserve"> Omenjeno pripomore k učinkovitejši izvedbi </w:t>
      </w:r>
      <w:r w:rsidR="002E7155">
        <w:rPr>
          <w:rFonts w:ascii="Arial" w:hAnsi="Arial" w:cs="Arial"/>
          <w:sz w:val="20"/>
          <w:szCs w:val="20"/>
        </w:rPr>
        <w:t>financiranja</w:t>
      </w:r>
      <w:r w:rsidR="00D70B5A" w:rsidRPr="005F13D1">
        <w:rPr>
          <w:rFonts w:ascii="Arial" w:hAnsi="Arial" w:cs="Arial"/>
          <w:sz w:val="20"/>
          <w:szCs w:val="20"/>
        </w:rPr>
        <w:t>,</w:t>
      </w:r>
      <w:r w:rsidR="00C3541D" w:rsidRPr="005F13D1">
        <w:rPr>
          <w:rFonts w:ascii="Arial" w:hAnsi="Arial" w:cs="Arial"/>
          <w:sz w:val="20"/>
          <w:szCs w:val="20"/>
        </w:rPr>
        <w:t xml:space="preserve"> zlasti ker je </w:t>
      </w:r>
      <w:r w:rsidR="00C2663E" w:rsidRPr="005F13D1">
        <w:rPr>
          <w:rFonts w:ascii="Arial" w:hAnsi="Arial" w:cs="Arial"/>
          <w:sz w:val="20"/>
          <w:szCs w:val="20"/>
        </w:rPr>
        <w:t xml:space="preserve">pri </w:t>
      </w:r>
      <w:r w:rsidR="000E1AC5" w:rsidRPr="005F13D1">
        <w:rPr>
          <w:rFonts w:ascii="Arial" w:hAnsi="Arial" w:cs="Arial"/>
          <w:sz w:val="20"/>
          <w:szCs w:val="20"/>
        </w:rPr>
        <w:t>izboru</w:t>
      </w:r>
      <w:r w:rsidR="00C3541D" w:rsidRPr="005F13D1">
        <w:rPr>
          <w:rFonts w:ascii="Arial" w:hAnsi="Arial" w:cs="Arial"/>
          <w:sz w:val="20"/>
          <w:szCs w:val="20"/>
        </w:rPr>
        <w:t xml:space="preserve"> instrumentov </w:t>
      </w:r>
      <w:r w:rsidR="002E7155">
        <w:rPr>
          <w:rFonts w:ascii="Arial" w:hAnsi="Arial" w:cs="Arial"/>
          <w:sz w:val="20"/>
          <w:szCs w:val="20"/>
        </w:rPr>
        <w:t>financiranja</w:t>
      </w:r>
      <w:r w:rsidR="002E7155" w:rsidRPr="005F13D1">
        <w:rPr>
          <w:rFonts w:ascii="Arial" w:hAnsi="Arial" w:cs="Arial"/>
          <w:sz w:val="20"/>
          <w:szCs w:val="20"/>
        </w:rPr>
        <w:t xml:space="preserve"> </w:t>
      </w:r>
      <w:r w:rsidR="00C3541D" w:rsidRPr="005F13D1">
        <w:rPr>
          <w:rFonts w:ascii="Arial" w:hAnsi="Arial" w:cs="Arial"/>
          <w:sz w:val="20"/>
          <w:szCs w:val="20"/>
        </w:rPr>
        <w:t xml:space="preserve">potrebno upoštevati tudi cilj oblikovanja krivulje donosnosti državnih vrednostnih papirjev in doseganja minimalnega zneska </w:t>
      </w:r>
      <w:proofErr w:type="spellStart"/>
      <w:r w:rsidR="00D70B5A" w:rsidRPr="005F13D1">
        <w:rPr>
          <w:rFonts w:ascii="Arial" w:hAnsi="Arial" w:cs="Arial"/>
          <w:sz w:val="20"/>
          <w:szCs w:val="20"/>
        </w:rPr>
        <w:t>sindicirane</w:t>
      </w:r>
      <w:proofErr w:type="spellEnd"/>
      <w:r w:rsidR="00D70B5A" w:rsidRPr="005F13D1">
        <w:rPr>
          <w:rFonts w:ascii="Arial" w:hAnsi="Arial" w:cs="Arial"/>
          <w:sz w:val="20"/>
          <w:szCs w:val="20"/>
        </w:rPr>
        <w:t xml:space="preserve"> </w:t>
      </w:r>
      <w:r w:rsidR="00C3541D" w:rsidRPr="005F13D1">
        <w:rPr>
          <w:rFonts w:ascii="Arial" w:hAnsi="Arial" w:cs="Arial"/>
          <w:sz w:val="20"/>
          <w:szCs w:val="20"/>
        </w:rPr>
        <w:t xml:space="preserve">izdaje državnih obveznic v višini 1 mrd </w:t>
      </w:r>
      <w:r w:rsidR="00BE12AF" w:rsidRPr="005F13D1">
        <w:rPr>
          <w:rFonts w:ascii="Arial" w:hAnsi="Arial" w:cs="Arial"/>
          <w:sz w:val="20"/>
          <w:szCs w:val="20"/>
        </w:rPr>
        <w:t>evrov</w:t>
      </w:r>
      <w:r w:rsidR="00C3541D" w:rsidRPr="005F13D1">
        <w:rPr>
          <w:rFonts w:ascii="Arial" w:hAnsi="Arial" w:cs="Arial"/>
          <w:sz w:val="20"/>
          <w:szCs w:val="20"/>
        </w:rPr>
        <w:t xml:space="preserve">. </w:t>
      </w:r>
      <w:r w:rsidR="00FB67F3" w:rsidRPr="005F13D1">
        <w:rPr>
          <w:rFonts w:ascii="Arial" w:hAnsi="Arial" w:cs="Arial"/>
          <w:sz w:val="20"/>
          <w:szCs w:val="20"/>
        </w:rPr>
        <w:t>M</w:t>
      </w:r>
      <w:r w:rsidR="00C3541D" w:rsidRPr="005F13D1">
        <w:rPr>
          <w:rFonts w:ascii="Arial" w:hAnsi="Arial" w:cs="Arial"/>
          <w:sz w:val="20"/>
          <w:szCs w:val="20"/>
        </w:rPr>
        <w:t xml:space="preserve">ožnost predčasnega financiranja zagotavlja ustreznejše </w:t>
      </w:r>
      <w:r w:rsidR="00C3541D" w:rsidRPr="005F13D1">
        <w:rPr>
          <w:rFonts w:ascii="Arial" w:hAnsi="Arial" w:cs="Arial"/>
          <w:sz w:val="20"/>
          <w:szCs w:val="20"/>
        </w:rPr>
        <w:lastRenderedPageBreak/>
        <w:t>odzivanje na tržne razmere, kar je še posebej pomembno v kriznih in negotovih obdobjih</w:t>
      </w:r>
      <w:r w:rsidR="000E1AC5" w:rsidRPr="005F13D1">
        <w:rPr>
          <w:rFonts w:ascii="Arial" w:hAnsi="Arial" w:cs="Arial"/>
          <w:sz w:val="20"/>
          <w:szCs w:val="20"/>
        </w:rPr>
        <w:t>.</w:t>
      </w:r>
      <w:r w:rsidR="00C3541D" w:rsidRPr="005F13D1">
        <w:rPr>
          <w:rFonts w:ascii="Arial" w:hAnsi="Arial" w:cs="Arial"/>
          <w:sz w:val="20"/>
          <w:szCs w:val="20"/>
        </w:rPr>
        <w:t xml:space="preserve"> </w:t>
      </w:r>
      <w:proofErr w:type="spellStart"/>
      <w:r w:rsidR="000E1AC5" w:rsidRPr="005F13D1">
        <w:rPr>
          <w:rFonts w:ascii="Arial" w:hAnsi="Arial" w:cs="Arial"/>
          <w:sz w:val="20"/>
          <w:szCs w:val="20"/>
        </w:rPr>
        <w:t>P</w:t>
      </w:r>
      <w:r w:rsidR="00C3541D" w:rsidRPr="005F13D1">
        <w:rPr>
          <w:rFonts w:ascii="Arial" w:hAnsi="Arial" w:cs="Arial"/>
          <w:sz w:val="20"/>
          <w:szCs w:val="20"/>
        </w:rPr>
        <w:t>redfinanciranj</w:t>
      </w:r>
      <w:r w:rsidR="000E1AC5" w:rsidRPr="005F13D1">
        <w:rPr>
          <w:rFonts w:ascii="Arial" w:hAnsi="Arial" w:cs="Arial"/>
          <w:sz w:val="20"/>
          <w:szCs w:val="20"/>
        </w:rPr>
        <w:t>e</w:t>
      </w:r>
      <w:proofErr w:type="spellEnd"/>
      <w:r w:rsidR="000E1AC5" w:rsidRPr="005F13D1">
        <w:rPr>
          <w:rFonts w:ascii="Arial" w:hAnsi="Arial" w:cs="Arial"/>
          <w:sz w:val="20"/>
          <w:szCs w:val="20"/>
        </w:rPr>
        <w:t xml:space="preserve"> </w:t>
      </w:r>
      <w:r w:rsidR="00C2663E" w:rsidRPr="005F13D1">
        <w:rPr>
          <w:rFonts w:ascii="Arial" w:hAnsi="Arial" w:cs="Arial"/>
          <w:sz w:val="20"/>
          <w:szCs w:val="20"/>
        </w:rPr>
        <w:t>je</w:t>
      </w:r>
      <w:r w:rsidR="000E1AC5" w:rsidRPr="005F13D1">
        <w:rPr>
          <w:rFonts w:ascii="Arial" w:hAnsi="Arial" w:cs="Arial"/>
          <w:sz w:val="20"/>
          <w:szCs w:val="20"/>
        </w:rPr>
        <w:t xml:space="preserve"> </w:t>
      </w:r>
      <w:r w:rsidR="00C3541D" w:rsidRPr="005F13D1">
        <w:rPr>
          <w:rFonts w:ascii="Arial" w:hAnsi="Arial" w:cs="Arial"/>
          <w:sz w:val="20"/>
          <w:szCs w:val="20"/>
        </w:rPr>
        <w:t>le sprememb</w:t>
      </w:r>
      <w:r w:rsidR="000E1AC5" w:rsidRPr="005F13D1">
        <w:rPr>
          <w:rFonts w:ascii="Arial" w:hAnsi="Arial" w:cs="Arial"/>
          <w:sz w:val="20"/>
          <w:szCs w:val="20"/>
        </w:rPr>
        <w:t>a</w:t>
      </w:r>
      <w:r w:rsidR="00C3541D" w:rsidRPr="005F13D1">
        <w:rPr>
          <w:rFonts w:ascii="Arial" w:hAnsi="Arial" w:cs="Arial"/>
          <w:sz w:val="20"/>
          <w:szCs w:val="20"/>
        </w:rPr>
        <w:t xml:space="preserve"> časa zadolžitve in ne povečevanje zadolževanja nad višino</w:t>
      </w:r>
      <w:r w:rsidR="0058403A">
        <w:rPr>
          <w:rFonts w:ascii="Arial" w:hAnsi="Arial" w:cs="Arial"/>
          <w:sz w:val="20"/>
          <w:szCs w:val="20"/>
        </w:rPr>
        <w:t xml:space="preserve"> zadolževanja,</w:t>
      </w:r>
      <w:r w:rsidR="00C3541D" w:rsidRPr="005F13D1">
        <w:rPr>
          <w:rFonts w:ascii="Arial" w:hAnsi="Arial" w:cs="Arial"/>
          <w:sz w:val="20"/>
          <w:szCs w:val="20"/>
        </w:rPr>
        <w:t xml:space="preserve"> potrebno za financiranje proračun</w:t>
      </w:r>
      <w:r w:rsidR="00A561A2">
        <w:rPr>
          <w:rFonts w:ascii="Arial" w:hAnsi="Arial" w:cs="Arial"/>
          <w:sz w:val="20"/>
          <w:szCs w:val="20"/>
        </w:rPr>
        <w:t>a</w:t>
      </w:r>
      <w:r w:rsidR="00C3541D" w:rsidRPr="005F13D1">
        <w:rPr>
          <w:rFonts w:ascii="Arial" w:hAnsi="Arial" w:cs="Arial"/>
          <w:sz w:val="20"/>
          <w:szCs w:val="20"/>
        </w:rPr>
        <w:t xml:space="preserve"> v posameznem letu</w:t>
      </w:r>
      <w:r w:rsidR="00A561A2">
        <w:rPr>
          <w:rFonts w:ascii="Arial" w:hAnsi="Arial" w:cs="Arial"/>
          <w:sz w:val="20"/>
          <w:szCs w:val="20"/>
        </w:rPr>
        <w:t>, saj se</w:t>
      </w:r>
      <w:r w:rsidR="00C3541D" w:rsidRPr="005F13D1">
        <w:rPr>
          <w:rFonts w:ascii="Arial" w:hAnsi="Arial" w:cs="Arial"/>
          <w:sz w:val="20"/>
          <w:szCs w:val="20"/>
        </w:rPr>
        <w:t xml:space="preserve"> zadolžitev za potrebe proračuna tekočega leta zmanjša za v predhodnem letu </w:t>
      </w:r>
      <w:r w:rsidR="00A561A2">
        <w:rPr>
          <w:rFonts w:ascii="Arial" w:hAnsi="Arial" w:cs="Arial"/>
          <w:sz w:val="20"/>
          <w:szCs w:val="20"/>
        </w:rPr>
        <w:t xml:space="preserve">izvršeno </w:t>
      </w:r>
      <w:proofErr w:type="spellStart"/>
      <w:r w:rsidR="00A561A2">
        <w:rPr>
          <w:rFonts w:ascii="Arial" w:hAnsi="Arial" w:cs="Arial"/>
          <w:sz w:val="20"/>
          <w:szCs w:val="20"/>
        </w:rPr>
        <w:t>pre</w:t>
      </w:r>
      <w:r w:rsidR="0058403A">
        <w:rPr>
          <w:rFonts w:ascii="Arial" w:hAnsi="Arial" w:cs="Arial"/>
          <w:sz w:val="20"/>
          <w:szCs w:val="20"/>
        </w:rPr>
        <w:t>d</w:t>
      </w:r>
      <w:r w:rsidR="00A561A2">
        <w:rPr>
          <w:rFonts w:ascii="Arial" w:hAnsi="Arial" w:cs="Arial"/>
          <w:sz w:val="20"/>
          <w:szCs w:val="20"/>
        </w:rPr>
        <w:t>financiranje</w:t>
      </w:r>
      <w:proofErr w:type="spellEnd"/>
      <w:r w:rsidR="00A561A2">
        <w:rPr>
          <w:rFonts w:ascii="Arial" w:hAnsi="Arial" w:cs="Arial"/>
          <w:sz w:val="20"/>
          <w:szCs w:val="20"/>
        </w:rPr>
        <w:t xml:space="preserve"> (</w:t>
      </w:r>
      <w:r w:rsidR="002A5DE3">
        <w:rPr>
          <w:rFonts w:ascii="Arial" w:hAnsi="Arial" w:cs="Arial"/>
          <w:sz w:val="20"/>
          <w:szCs w:val="20"/>
        </w:rPr>
        <w:t>tj.</w:t>
      </w:r>
      <w:r w:rsidR="00A561A2">
        <w:rPr>
          <w:rFonts w:ascii="Arial" w:hAnsi="Arial" w:cs="Arial"/>
          <w:sz w:val="20"/>
          <w:szCs w:val="20"/>
        </w:rPr>
        <w:t xml:space="preserve"> </w:t>
      </w:r>
      <w:r w:rsidR="00C3541D" w:rsidRPr="005F13D1">
        <w:rPr>
          <w:rFonts w:ascii="Arial" w:hAnsi="Arial" w:cs="Arial"/>
          <w:sz w:val="20"/>
          <w:szCs w:val="20"/>
        </w:rPr>
        <w:t>vnaprej izvršeno zadolžitev</w:t>
      </w:r>
      <w:r w:rsidR="00A561A2">
        <w:rPr>
          <w:rFonts w:ascii="Arial" w:hAnsi="Arial" w:cs="Arial"/>
          <w:sz w:val="20"/>
          <w:szCs w:val="20"/>
        </w:rPr>
        <w:t>)</w:t>
      </w:r>
      <w:r w:rsidR="00C3541D" w:rsidRPr="005F13D1">
        <w:rPr>
          <w:rFonts w:ascii="Arial" w:hAnsi="Arial" w:cs="Arial"/>
          <w:sz w:val="20"/>
          <w:szCs w:val="20"/>
        </w:rPr>
        <w:t>.</w:t>
      </w:r>
    </w:p>
    <w:p w14:paraId="7B2795DB" w14:textId="77777777" w:rsidR="0027053A" w:rsidRDefault="0027053A" w:rsidP="008C6E9D">
      <w:pPr>
        <w:spacing w:line="260" w:lineRule="exact"/>
        <w:jc w:val="both"/>
        <w:rPr>
          <w:rFonts w:ascii="Arial" w:hAnsi="Arial" w:cs="Arial"/>
          <w:sz w:val="20"/>
          <w:szCs w:val="20"/>
        </w:rPr>
      </w:pPr>
    </w:p>
    <w:p w14:paraId="38ACFA7B" w14:textId="77777777" w:rsidR="00C3541D" w:rsidRPr="008C6E9D" w:rsidRDefault="00C3541D" w:rsidP="008C6E9D">
      <w:pPr>
        <w:suppressAutoHyphens w:val="0"/>
        <w:spacing w:line="260" w:lineRule="exact"/>
        <w:jc w:val="both"/>
        <w:rPr>
          <w:rFonts w:ascii="Arial" w:hAnsi="Arial" w:cs="Arial"/>
          <w:sz w:val="20"/>
          <w:szCs w:val="20"/>
        </w:rPr>
      </w:pPr>
      <w:r w:rsidRPr="008C6E9D">
        <w:rPr>
          <w:rFonts w:ascii="Arial" w:hAnsi="Arial" w:cs="Arial"/>
          <w:sz w:val="20"/>
          <w:szCs w:val="20"/>
        </w:rPr>
        <w:t>Upoštevajoč strateške cilje</w:t>
      </w:r>
      <w:r w:rsidR="008C57B7">
        <w:rPr>
          <w:rFonts w:ascii="Arial" w:hAnsi="Arial" w:cs="Arial"/>
          <w:sz w:val="20"/>
          <w:szCs w:val="20"/>
        </w:rPr>
        <w:t>,</w:t>
      </w:r>
      <w:r w:rsidRPr="008C6E9D">
        <w:rPr>
          <w:rFonts w:ascii="Arial" w:hAnsi="Arial" w:cs="Arial"/>
          <w:sz w:val="20"/>
          <w:szCs w:val="20"/>
        </w:rPr>
        <w:t xml:space="preserve"> so operativni cilji v programu financiranja za leto </w:t>
      </w:r>
      <w:r w:rsidR="006F6989" w:rsidRPr="008C6E9D">
        <w:rPr>
          <w:rFonts w:ascii="Arial" w:hAnsi="Arial" w:cs="Arial"/>
          <w:sz w:val="20"/>
          <w:szCs w:val="20"/>
        </w:rPr>
        <w:t>20</w:t>
      </w:r>
      <w:r w:rsidR="006F6989">
        <w:rPr>
          <w:rFonts w:ascii="Arial" w:hAnsi="Arial" w:cs="Arial"/>
          <w:sz w:val="20"/>
          <w:szCs w:val="20"/>
        </w:rPr>
        <w:t>2</w:t>
      </w:r>
      <w:r w:rsidR="0093017D">
        <w:rPr>
          <w:rFonts w:ascii="Arial" w:hAnsi="Arial" w:cs="Arial"/>
          <w:sz w:val="20"/>
          <w:szCs w:val="20"/>
        </w:rPr>
        <w:t>1</w:t>
      </w:r>
      <w:r w:rsidR="006F6989" w:rsidRPr="008C6E9D">
        <w:rPr>
          <w:rFonts w:ascii="Arial" w:hAnsi="Arial" w:cs="Arial"/>
          <w:sz w:val="20"/>
          <w:szCs w:val="20"/>
        </w:rPr>
        <w:t xml:space="preserve"> </w:t>
      </w:r>
      <w:r w:rsidRPr="008C6E9D">
        <w:rPr>
          <w:rFonts w:ascii="Arial" w:hAnsi="Arial" w:cs="Arial"/>
          <w:sz w:val="20"/>
          <w:szCs w:val="20"/>
        </w:rPr>
        <w:t xml:space="preserve">opredeljeni s predvideno vrsto in strukturo instrumentov </w:t>
      </w:r>
      <w:r w:rsidR="002E7155">
        <w:rPr>
          <w:rFonts w:ascii="Arial" w:hAnsi="Arial" w:cs="Arial"/>
          <w:sz w:val="20"/>
          <w:szCs w:val="20"/>
        </w:rPr>
        <w:t>financiranja</w:t>
      </w:r>
      <w:r w:rsidR="002E7155" w:rsidRPr="008C6E9D">
        <w:rPr>
          <w:rFonts w:ascii="Arial" w:hAnsi="Arial" w:cs="Arial"/>
          <w:sz w:val="20"/>
          <w:szCs w:val="20"/>
        </w:rPr>
        <w:t xml:space="preserve"> </w:t>
      </w:r>
      <w:r w:rsidRPr="008C6E9D">
        <w:rPr>
          <w:rFonts w:ascii="Arial" w:hAnsi="Arial" w:cs="Arial"/>
          <w:sz w:val="20"/>
          <w:szCs w:val="20"/>
        </w:rPr>
        <w:t>in upravljanja z državnim dolgom ter okvirnimi usmeritvami glede načina izvedbe teh operacij.</w:t>
      </w:r>
    </w:p>
    <w:p w14:paraId="5F120757" w14:textId="77777777" w:rsidR="00C3541D" w:rsidRPr="008C6E9D" w:rsidRDefault="003C3767" w:rsidP="00F96714">
      <w:pPr>
        <w:pStyle w:val="Naslov1"/>
      </w:pPr>
      <w:r>
        <w:t>IZVRŠEVANJE FINANCIRANJA</w:t>
      </w:r>
      <w:r w:rsidR="00C3541D" w:rsidRPr="008C6E9D">
        <w:t xml:space="preserve"> </w:t>
      </w:r>
      <w:r w:rsidR="000358BF">
        <w:t xml:space="preserve">PRORAČUNA </w:t>
      </w:r>
      <w:r w:rsidR="00C3541D" w:rsidRPr="008C6E9D">
        <w:t xml:space="preserve">REPUBLIKE SLOVENIJE ZA LETO </w:t>
      </w:r>
      <w:r w:rsidR="007F6C09" w:rsidRPr="008C6E9D">
        <w:t>20</w:t>
      </w:r>
      <w:r w:rsidR="006F6989">
        <w:t>2</w:t>
      </w:r>
      <w:r w:rsidR="0093017D">
        <w:t>1</w:t>
      </w:r>
    </w:p>
    <w:p w14:paraId="51B07975" w14:textId="77777777" w:rsidR="00F21CA3" w:rsidRPr="00F21CA3" w:rsidRDefault="00F21CA3" w:rsidP="00F21CA3">
      <w:pPr>
        <w:pStyle w:val="Odstavekseznama"/>
        <w:keepNext/>
        <w:keepLines/>
        <w:numPr>
          <w:ilvl w:val="0"/>
          <w:numId w:val="20"/>
        </w:numPr>
        <w:spacing w:before="200"/>
        <w:contextualSpacing w:val="0"/>
        <w:outlineLvl w:val="1"/>
        <w:rPr>
          <w:rFonts w:ascii="Arial" w:eastAsia="SimSun" w:hAnsi="Arial"/>
          <w:b/>
          <w:bCs/>
          <w:vanish/>
          <w:sz w:val="22"/>
          <w:szCs w:val="26"/>
        </w:rPr>
      </w:pPr>
    </w:p>
    <w:p w14:paraId="7A306A12" w14:textId="77777777" w:rsidR="000E7E67" w:rsidRPr="00EA6AD0" w:rsidRDefault="000E7E67" w:rsidP="00F96714">
      <w:pPr>
        <w:pStyle w:val="Naslov2"/>
      </w:pPr>
      <w:r w:rsidRPr="00EA6AD0">
        <w:t xml:space="preserve">OCENA VIŠINE IN STRUKTURE DOLGA </w:t>
      </w:r>
      <w:r w:rsidR="007D183E" w:rsidRPr="00EA6AD0">
        <w:t xml:space="preserve">DRŽAVNEGA PRORAČUNA </w:t>
      </w:r>
      <w:r w:rsidR="003C3767" w:rsidRPr="00EA6AD0">
        <w:t>PO IZVEDBI FINANCIRANJA</w:t>
      </w:r>
      <w:r w:rsidRPr="00EA6AD0">
        <w:t xml:space="preserve"> V LETU </w:t>
      </w:r>
      <w:r w:rsidR="006F6989" w:rsidRPr="00EA6AD0">
        <w:t>202</w:t>
      </w:r>
      <w:r w:rsidR="0093017D">
        <w:t>1</w:t>
      </w:r>
    </w:p>
    <w:p w14:paraId="2E623C4F" w14:textId="570C1D85" w:rsidR="009E343A" w:rsidRPr="00936BD2" w:rsidRDefault="008349C3" w:rsidP="00936BD2">
      <w:pPr>
        <w:pStyle w:val="Naslov3"/>
      </w:pPr>
      <w:r>
        <w:t>O</w:t>
      </w:r>
      <w:r w:rsidR="009E343A" w:rsidRPr="00936BD2">
        <w:t>dplačil</w:t>
      </w:r>
      <w:r>
        <w:t>a</w:t>
      </w:r>
      <w:r w:rsidR="009E343A" w:rsidRPr="00936BD2">
        <w:t xml:space="preserve"> glavnic dolga državnega proračuna po letih </w:t>
      </w:r>
    </w:p>
    <w:p w14:paraId="09B081A3" w14:textId="77777777" w:rsidR="00EC1756" w:rsidRPr="009E343A" w:rsidRDefault="002F1898" w:rsidP="002F1898">
      <w:pPr>
        <w:spacing w:line="260" w:lineRule="exact"/>
        <w:jc w:val="both"/>
        <w:rPr>
          <w:rFonts w:ascii="Arial" w:hAnsi="Arial" w:cs="Arial"/>
          <w:bCs/>
          <w:sz w:val="20"/>
          <w:szCs w:val="20"/>
        </w:rPr>
      </w:pPr>
      <w:r w:rsidRPr="009E343A">
        <w:rPr>
          <w:rFonts w:ascii="Arial" w:hAnsi="Arial" w:cs="Arial"/>
          <w:bCs/>
          <w:sz w:val="20"/>
          <w:szCs w:val="20"/>
        </w:rPr>
        <w:t>V spodnjem grafu so prikazani zneski odplačil glavnic iz naslova obstoječega stanja dolga državnega proračuna za obdobje od leta 20</w:t>
      </w:r>
      <w:r>
        <w:rPr>
          <w:rFonts w:ascii="Arial" w:hAnsi="Arial" w:cs="Arial"/>
          <w:bCs/>
          <w:sz w:val="20"/>
          <w:szCs w:val="20"/>
        </w:rPr>
        <w:t>2</w:t>
      </w:r>
      <w:r w:rsidR="0093017D">
        <w:rPr>
          <w:rFonts w:ascii="Arial" w:hAnsi="Arial" w:cs="Arial"/>
          <w:bCs/>
          <w:sz w:val="20"/>
          <w:szCs w:val="20"/>
        </w:rPr>
        <w:t>1</w:t>
      </w:r>
      <w:r w:rsidRPr="009E343A">
        <w:rPr>
          <w:rFonts w:ascii="Arial" w:hAnsi="Arial" w:cs="Arial"/>
          <w:bCs/>
          <w:sz w:val="20"/>
          <w:szCs w:val="20"/>
        </w:rPr>
        <w:t xml:space="preserve"> do leta 205</w:t>
      </w:r>
      <w:r w:rsidR="00EF6C98">
        <w:rPr>
          <w:rFonts w:ascii="Arial" w:hAnsi="Arial" w:cs="Arial"/>
          <w:bCs/>
          <w:sz w:val="20"/>
          <w:szCs w:val="20"/>
        </w:rPr>
        <w:t>0</w:t>
      </w:r>
      <w:r w:rsidRPr="009E343A">
        <w:rPr>
          <w:rFonts w:ascii="Arial" w:hAnsi="Arial" w:cs="Arial"/>
          <w:bCs/>
          <w:sz w:val="20"/>
          <w:szCs w:val="20"/>
        </w:rPr>
        <w:t>.</w:t>
      </w:r>
    </w:p>
    <w:p w14:paraId="536A0302" w14:textId="77777777" w:rsidR="002F1898" w:rsidRDefault="002F1898" w:rsidP="002F1898">
      <w:pPr>
        <w:spacing w:line="260" w:lineRule="atLeast"/>
        <w:jc w:val="both"/>
        <w:rPr>
          <w:rFonts w:ascii="Arial" w:hAnsi="Arial" w:cs="Arial"/>
          <w:b/>
          <w:bCs/>
        </w:rPr>
      </w:pPr>
    </w:p>
    <w:p w14:paraId="250257CB" w14:textId="52816C41" w:rsidR="002F1898" w:rsidRDefault="00764FB8" w:rsidP="002F1898">
      <w:pPr>
        <w:spacing w:line="260" w:lineRule="atLeast"/>
        <w:jc w:val="both"/>
        <w:rPr>
          <w:rFonts w:ascii="Arial" w:hAnsi="Arial" w:cs="Arial"/>
          <w:b/>
          <w:bCs/>
        </w:rPr>
      </w:pPr>
      <w:r w:rsidRPr="00764FB8">
        <w:rPr>
          <w:lang w:eastAsia="sl-SI"/>
        </w:rPr>
        <w:t xml:space="preserve"> </w:t>
      </w:r>
      <w:r>
        <w:rPr>
          <w:noProof/>
          <w:lang w:eastAsia="sl-SI"/>
        </w:rPr>
        <w:drawing>
          <wp:inline distT="0" distB="0" distL="0" distR="0" wp14:anchorId="76D8B141" wp14:editId="5898927F">
            <wp:extent cx="5457139" cy="4107589"/>
            <wp:effectExtent l="0" t="0" r="0" b="7620"/>
            <wp:docPr id="3" name="Picture 3" descr="cid:image005.png@01D6BE74.9D71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5.png@01D6BE74.9D71C11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t="6805"/>
                    <a:stretch/>
                  </pic:blipFill>
                  <pic:spPr bwMode="auto">
                    <a:xfrm>
                      <a:off x="0" y="0"/>
                      <a:ext cx="5461639" cy="4110976"/>
                    </a:xfrm>
                    <a:prstGeom prst="rect">
                      <a:avLst/>
                    </a:prstGeom>
                    <a:noFill/>
                    <a:ln>
                      <a:noFill/>
                    </a:ln>
                    <a:extLst>
                      <a:ext uri="{53640926-AAD7-44D8-BBD7-CCE9431645EC}">
                        <a14:shadowObscured xmlns:a14="http://schemas.microsoft.com/office/drawing/2010/main"/>
                      </a:ext>
                    </a:extLst>
                  </pic:spPr>
                </pic:pic>
              </a:graphicData>
            </a:graphic>
          </wp:inline>
        </w:drawing>
      </w:r>
    </w:p>
    <w:p w14:paraId="65EEC815" w14:textId="77777777" w:rsidR="006071BE" w:rsidRPr="00526FB9" w:rsidRDefault="006071BE" w:rsidP="002F1898">
      <w:pPr>
        <w:spacing w:line="260" w:lineRule="atLeast"/>
        <w:jc w:val="both"/>
        <w:rPr>
          <w:rFonts w:ascii="Arial" w:hAnsi="Arial" w:cs="Arial"/>
          <w:b/>
          <w:bCs/>
        </w:rPr>
      </w:pPr>
    </w:p>
    <w:p w14:paraId="147EB675" w14:textId="40EA9974" w:rsidR="006071BE" w:rsidRPr="004F5E4D" w:rsidRDefault="002F1898" w:rsidP="006071BE">
      <w:pPr>
        <w:jc w:val="both"/>
        <w:rPr>
          <w:rFonts w:ascii="Arial" w:hAnsi="Arial"/>
          <w:sz w:val="16"/>
          <w:szCs w:val="16"/>
        </w:rPr>
      </w:pPr>
      <w:r w:rsidRPr="009E343A">
        <w:rPr>
          <w:rFonts w:ascii="Arial" w:hAnsi="Arial"/>
          <w:bCs/>
          <w:i/>
          <w:iCs/>
          <w:sz w:val="16"/>
          <w:szCs w:val="16"/>
        </w:rPr>
        <w:t>* Vir: M</w:t>
      </w:r>
      <w:r w:rsidR="00BF5003">
        <w:rPr>
          <w:rFonts w:ascii="Arial" w:hAnsi="Arial"/>
          <w:bCs/>
          <w:i/>
          <w:iCs/>
          <w:sz w:val="16"/>
          <w:szCs w:val="16"/>
        </w:rPr>
        <w:t>inistrstvo za finance</w:t>
      </w:r>
      <w:r w:rsidRPr="009E343A">
        <w:rPr>
          <w:rFonts w:ascii="Arial" w:hAnsi="Arial"/>
          <w:bCs/>
          <w:i/>
          <w:iCs/>
          <w:sz w:val="16"/>
          <w:szCs w:val="16"/>
        </w:rPr>
        <w:t xml:space="preserve">, </w:t>
      </w:r>
      <w:r w:rsidRPr="004F5E4D">
        <w:rPr>
          <w:rFonts w:ascii="Arial" w:hAnsi="Arial"/>
          <w:sz w:val="16"/>
          <w:szCs w:val="16"/>
        </w:rPr>
        <w:t xml:space="preserve">Preračun po tečajni listi Banke Slovenije na dan </w:t>
      </w:r>
      <w:r w:rsidR="008349C3">
        <w:rPr>
          <w:rFonts w:ascii="Arial" w:hAnsi="Arial"/>
          <w:sz w:val="16"/>
          <w:szCs w:val="16"/>
        </w:rPr>
        <w:t>19</w:t>
      </w:r>
      <w:r w:rsidR="006071BE" w:rsidRPr="004F5E4D">
        <w:rPr>
          <w:rFonts w:ascii="Arial" w:hAnsi="Arial"/>
          <w:sz w:val="16"/>
          <w:szCs w:val="16"/>
        </w:rPr>
        <w:t>. 1</w:t>
      </w:r>
      <w:r w:rsidR="008349C3">
        <w:rPr>
          <w:rFonts w:ascii="Arial" w:hAnsi="Arial"/>
          <w:sz w:val="16"/>
          <w:szCs w:val="16"/>
        </w:rPr>
        <w:t>1</w:t>
      </w:r>
      <w:r w:rsidR="006071BE" w:rsidRPr="004F5E4D">
        <w:rPr>
          <w:rFonts w:ascii="Arial" w:hAnsi="Arial"/>
          <w:sz w:val="16"/>
          <w:szCs w:val="16"/>
        </w:rPr>
        <w:t>. 2020</w:t>
      </w:r>
    </w:p>
    <w:p w14:paraId="3251F883" w14:textId="77777777" w:rsidR="006F67E7" w:rsidRDefault="006F67E7" w:rsidP="003F53C9">
      <w:pPr>
        <w:suppressAutoHyphens w:val="0"/>
        <w:spacing w:after="200" w:line="276" w:lineRule="auto"/>
        <w:jc w:val="both"/>
        <w:rPr>
          <w:rFonts w:ascii="Arial" w:hAnsi="Arial"/>
          <w:sz w:val="16"/>
          <w:szCs w:val="16"/>
        </w:rPr>
      </w:pPr>
    </w:p>
    <w:p w14:paraId="60745C39" w14:textId="3C3E9D2A" w:rsidR="00D16C91" w:rsidRPr="007252CB" w:rsidRDefault="006071BE" w:rsidP="003F53C9">
      <w:pPr>
        <w:suppressAutoHyphens w:val="0"/>
        <w:spacing w:after="200" w:line="276" w:lineRule="auto"/>
        <w:jc w:val="both"/>
        <w:rPr>
          <w:rFonts w:ascii="Arial" w:hAnsi="Arial" w:cs="Arial"/>
          <w:b/>
          <w:bCs/>
          <w:i/>
          <w:iCs/>
          <w:color w:val="000000"/>
          <w:sz w:val="20"/>
          <w:szCs w:val="20"/>
          <w:lang w:eastAsia="sl-SI"/>
        </w:rPr>
      </w:pPr>
      <w:r w:rsidRPr="00D73324">
        <w:rPr>
          <w:rFonts w:ascii="Arial" w:hAnsi="Arial"/>
          <w:sz w:val="16"/>
          <w:szCs w:val="16"/>
        </w:rPr>
        <w:t xml:space="preserve">Opomba: </w:t>
      </w:r>
      <w:r w:rsidR="00DB544F" w:rsidRPr="00D73324">
        <w:rPr>
          <w:rFonts w:ascii="Arial" w:hAnsi="Arial"/>
          <w:sz w:val="16"/>
          <w:szCs w:val="16"/>
        </w:rPr>
        <w:t>V grafikonu so upoštevana stanja glavnic</w:t>
      </w:r>
      <w:r w:rsidRPr="00D73324">
        <w:rPr>
          <w:rFonts w:ascii="Arial" w:hAnsi="Arial"/>
          <w:sz w:val="16"/>
          <w:szCs w:val="16"/>
        </w:rPr>
        <w:t xml:space="preserve"> kot izhaja </w:t>
      </w:r>
      <w:r w:rsidR="00DB544F" w:rsidRPr="00D73324">
        <w:rPr>
          <w:rFonts w:ascii="Arial" w:hAnsi="Arial"/>
          <w:sz w:val="16"/>
          <w:szCs w:val="16"/>
        </w:rPr>
        <w:t xml:space="preserve">iz obstoječega portfelja dolga državnega proračuna </w:t>
      </w:r>
      <w:r w:rsidR="006F67E7" w:rsidRPr="006F67E7">
        <w:rPr>
          <w:rFonts w:ascii="Arial" w:hAnsi="Arial"/>
          <w:sz w:val="16"/>
          <w:szCs w:val="16"/>
        </w:rPr>
        <w:t>po stanju na dan 19.11.2020</w:t>
      </w:r>
      <w:r w:rsidR="007252CB" w:rsidRPr="00D73324">
        <w:rPr>
          <w:rFonts w:ascii="Arial" w:hAnsi="Arial"/>
          <w:i/>
          <w:sz w:val="16"/>
          <w:szCs w:val="16"/>
        </w:rPr>
        <w:t>.</w:t>
      </w:r>
    </w:p>
    <w:p w14:paraId="6B02E97F" w14:textId="77777777" w:rsidR="009E343A" w:rsidRPr="00936BD2" w:rsidRDefault="009E343A" w:rsidP="00936BD2">
      <w:pPr>
        <w:pStyle w:val="Naslov3"/>
      </w:pPr>
      <w:r w:rsidRPr="00936BD2">
        <w:lastRenderedPageBreak/>
        <w:t xml:space="preserve">Ocena višine dolga državnega proračuna konec leta </w:t>
      </w:r>
      <w:r w:rsidR="006F6989" w:rsidRPr="00936BD2">
        <w:t>20</w:t>
      </w:r>
      <w:r w:rsidR="008153DC">
        <w:t>20</w:t>
      </w:r>
      <w:r w:rsidR="006F6989" w:rsidRPr="00936BD2">
        <w:t xml:space="preserve"> </w:t>
      </w:r>
      <w:r w:rsidRPr="00936BD2">
        <w:t xml:space="preserve">in </w:t>
      </w:r>
      <w:r w:rsidR="000A24EB">
        <w:t xml:space="preserve">ocena </w:t>
      </w:r>
      <w:r w:rsidRPr="00936BD2">
        <w:t xml:space="preserve">konec leta </w:t>
      </w:r>
      <w:r w:rsidR="006F6989" w:rsidRPr="00936BD2">
        <w:t>202</w:t>
      </w:r>
      <w:r w:rsidR="008153DC">
        <w:t>1</w:t>
      </w:r>
    </w:p>
    <w:p w14:paraId="69C49177" w14:textId="290E816B" w:rsidR="000A24EB" w:rsidRDefault="00712CED" w:rsidP="000A24EB">
      <w:pPr>
        <w:spacing w:line="260" w:lineRule="exact"/>
        <w:jc w:val="both"/>
        <w:rPr>
          <w:rFonts w:ascii="Arial" w:hAnsi="Arial" w:cs="Arial"/>
          <w:bCs/>
          <w:sz w:val="20"/>
          <w:szCs w:val="20"/>
        </w:rPr>
      </w:pPr>
      <w:r w:rsidRPr="009E343A">
        <w:rPr>
          <w:rFonts w:ascii="Arial" w:hAnsi="Arial" w:cs="Arial"/>
          <w:bCs/>
          <w:sz w:val="20"/>
          <w:szCs w:val="20"/>
        </w:rPr>
        <w:t xml:space="preserve">Ob predpostavki izvedbe financiranja državnega proračuna v </w:t>
      </w:r>
      <w:r w:rsidRPr="005A7FE0">
        <w:rPr>
          <w:rFonts w:ascii="Arial" w:hAnsi="Arial" w:cs="Arial"/>
          <w:bCs/>
          <w:sz w:val="20"/>
          <w:szCs w:val="20"/>
        </w:rPr>
        <w:t xml:space="preserve">višini </w:t>
      </w:r>
      <w:r w:rsidR="001C6721" w:rsidRPr="001C6721">
        <w:rPr>
          <w:rFonts w:ascii="Arial" w:hAnsi="Arial" w:cs="Arial"/>
          <w:bCs/>
          <w:sz w:val="20"/>
          <w:szCs w:val="20"/>
        </w:rPr>
        <w:t>5.673.231.031</w:t>
      </w:r>
      <w:r w:rsidRPr="005A7FE0">
        <w:rPr>
          <w:rFonts w:ascii="Arial" w:hAnsi="Arial" w:cs="Arial"/>
          <w:bCs/>
          <w:sz w:val="20"/>
          <w:szCs w:val="20"/>
        </w:rPr>
        <w:t xml:space="preserve"> EUR</w:t>
      </w:r>
      <w:r w:rsidRPr="009E343A">
        <w:rPr>
          <w:rFonts w:ascii="Arial" w:hAnsi="Arial" w:cs="Arial"/>
          <w:bCs/>
          <w:sz w:val="20"/>
          <w:szCs w:val="20"/>
        </w:rPr>
        <w:t xml:space="preserve"> in predvideni strukturi instrumentov, kot je to navedeno v točki 2.3. tega dokumenta, bi ocenjeni dolg državnega proračuna konec leta 20</w:t>
      </w:r>
      <w:r>
        <w:rPr>
          <w:rFonts w:ascii="Arial" w:hAnsi="Arial" w:cs="Arial"/>
          <w:bCs/>
          <w:sz w:val="20"/>
          <w:szCs w:val="20"/>
        </w:rPr>
        <w:t>21</w:t>
      </w:r>
      <w:r w:rsidRPr="009E343A">
        <w:rPr>
          <w:rFonts w:ascii="Arial" w:hAnsi="Arial" w:cs="Arial"/>
          <w:bCs/>
          <w:sz w:val="20"/>
          <w:szCs w:val="20"/>
        </w:rPr>
        <w:t xml:space="preserve"> </w:t>
      </w:r>
      <w:r w:rsidRPr="004D0293">
        <w:rPr>
          <w:rFonts w:ascii="Arial" w:hAnsi="Arial" w:cs="Arial"/>
          <w:bCs/>
          <w:sz w:val="20"/>
          <w:szCs w:val="20"/>
        </w:rPr>
        <w:t xml:space="preserve">znašal </w:t>
      </w:r>
      <w:r>
        <w:rPr>
          <w:rFonts w:ascii="Arial" w:hAnsi="Arial" w:cs="Arial"/>
          <w:bCs/>
          <w:sz w:val="20"/>
          <w:szCs w:val="20"/>
        </w:rPr>
        <w:t>36</w:t>
      </w:r>
      <w:r w:rsidRPr="004D0293">
        <w:rPr>
          <w:rFonts w:ascii="Arial" w:hAnsi="Arial" w:cs="Arial"/>
          <w:bCs/>
          <w:sz w:val="20"/>
          <w:szCs w:val="20"/>
        </w:rPr>
        <w:t>.</w:t>
      </w:r>
      <w:r>
        <w:rPr>
          <w:rFonts w:ascii="Arial" w:hAnsi="Arial" w:cs="Arial"/>
          <w:bCs/>
          <w:sz w:val="20"/>
          <w:szCs w:val="20"/>
        </w:rPr>
        <w:t>616</w:t>
      </w:r>
      <w:r w:rsidRPr="004D0293">
        <w:rPr>
          <w:rFonts w:ascii="Arial" w:hAnsi="Arial" w:cs="Arial"/>
          <w:bCs/>
          <w:sz w:val="20"/>
          <w:szCs w:val="20"/>
        </w:rPr>
        <w:t>.</w:t>
      </w:r>
      <w:r>
        <w:rPr>
          <w:rFonts w:ascii="Arial" w:hAnsi="Arial" w:cs="Arial"/>
          <w:bCs/>
          <w:sz w:val="20"/>
          <w:szCs w:val="20"/>
        </w:rPr>
        <w:t>810</w:t>
      </w:r>
      <w:r w:rsidRPr="004D0293">
        <w:rPr>
          <w:rFonts w:ascii="Arial" w:hAnsi="Arial" w:cs="Arial"/>
          <w:bCs/>
          <w:sz w:val="20"/>
          <w:szCs w:val="20"/>
        </w:rPr>
        <w:t>.</w:t>
      </w:r>
      <w:r>
        <w:rPr>
          <w:rFonts w:ascii="Arial" w:hAnsi="Arial" w:cs="Arial"/>
          <w:bCs/>
          <w:sz w:val="20"/>
          <w:szCs w:val="20"/>
        </w:rPr>
        <w:t>090</w:t>
      </w:r>
      <w:r w:rsidRPr="004D0293">
        <w:rPr>
          <w:rFonts w:ascii="Arial" w:hAnsi="Arial" w:cs="Arial"/>
          <w:bCs/>
          <w:sz w:val="20"/>
          <w:szCs w:val="20"/>
        </w:rPr>
        <w:t xml:space="preserve"> EUR, kar predstavlja </w:t>
      </w:r>
      <w:r>
        <w:rPr>
          <w:rFonts w:ascii="Arial" w:hAnsi="Arial" w:cs="Arial"/>
          <w:bCs/>
          <w:sz w:val="20"/>
          <w:szCs w:val="20"/>
        </w:rPr>
        <w:t>7</w:t>
      </w:r>
      <w:r w:rsidRPr="004D0293">
        <w:rPr>
          <w:rFonts w:ascii="Arial" w:hAnsi="Arial" w:cs="Arial"/>
          <w:bCs/>
          <w:sz w:val="20"/>
          <w:szCs w:val="20"/>
        </w:rPr>
        <w:t>5,</w:t>
      </w:r>
      <w:r>
        <w:rPr>
          <w:rFonts w:ascii="Arial" w:hAnsi="Arial" w:cs="Arial"/>
          <w:bCs/>
          <w:sz w:val="20"/>
          <w:szCs w:val="20"/>
        </w:rPr>
        <w:t>0</w:t>
      </w:r>
      <w:r w:rsidRPr="004D0293">
        <w:rPr>
          <w:rFonts w:ascii="Arial" w:hAnsi="Arial" w:cs="Arial"/>
          <w:bCs/>
          <w:sz w:val="20"/>
          <w:szCs w:val="20"/>
        </w:rPr>
        <w:t xml:space="preserve"> - odstotni delež dolga v </w:t>
      </w:r>
      <w:r w:rsidRPr="009E343A">
        <w:rPr>
          <w:rFonts w:ascii="Arial" w:hAnsi="Arial" w:cs="Arial"/>
          <w:bCs/>
          <w:sz w:val="20"/>
          <w:szCs w:val="20"/>
        </w:rPr>
        <w:t>BDP</w:t>
      </w:r>
      <w:r w:rsidR="00B11C76">
        <w:rPr>
          <w:rStyle w:val="Sprotnaopomba-sklic"/>
          <w:bCs/>
          <w:sz w:val="20"/>
          <w:szCs w:val="20"/>
        </w:rPr>
        <w:footnoteReference w:id="2"/>
      </w:r>
      <w:r w:rsidR="000A24EB" w:rsidRPr="000A24EB">
        <w:rPr>
          <w:rFonts w:ascii="Arial" w:hAnsi="Arial" w:cs="Arial"/>
          <w:bCs/>
          <w:sz w:val="20"/>
          <w:szCs w:val="20"/>
        </w:rPr>
        <w:t xml:space="preserve">. </w:t>
      </w:r>
    </w:p>
    <w:p w14:paraId="350D6476" w14:textId="77777777" w:rsidR="00712CED" w:rsidRPr="000A24EB" w:rsidRDefault="00712CED" w:rsidP="000A24EB">
      <w:pPr>
        <w:spacing w:line="260" w:lineRule="exact"/>
        <w:jc w:val="both"/>
        <w:rPr>
          <w:rFonts w:ascii="Arial" w:hAnsi="Arial" w:cs="Arial"/>
          <w:bCs/>
          <w:sz w:val="20"/>
          <w:szCs w:val="20"/>
        </w:rPr>
      </w:pPr>
    </w:p>
    <w:p w14:paraId="5DD3E1BA" w14:textId="73C5F90B" w:rsidR="000A24EB" w:rsidRPr="000A24EB" w:rsidRDefault="000A24EB" w:rsidP="00B11C76">
      <w:pPr>
        <w:suppressAutoHyphens w:val="0"/>
        <w:spacing w:line="260" w:lineRule="exact"/>
        <w:rPr>
          <w:rFonts w:ascii="Arial" w:hAnsi="Arial" w:cs="Arial"/>
          <w:bCs/>
          <w:sz w:val="20"/>
          <w:szCs w:val="20"/>
        </w:rPr>
      </w:pPr>
      <w:r w:rsidRPr="00B11C76">
        <w:rPr>
          <w:rFonts w:ascii="Arial" w:hAnsi="Arial" w:cs="Arial"/>
          <w:bCs/>
          <w:i/>
          <w:sz w:val="20"/>
          <w:lang w:eastAsia="en-US"/>
        </w:rPr>
        <w:t xml:space="preserve">Tabela 1: </w:t>
      </w:r>
      <w:r w:rsidR="007252CB">
        <w:rPr>
          <w:rFonts w:ascii="Arial" w:hAnsi="Arial" w:cs="Arial"/>
          <w:bCs/>
          <w:i/>
          <w:sz w:val="20"/>
          <w:lang w:eastAsia="en-US"/>
        </w:rPr>
        <w:t>Ocena v</w:t>
      </w:r>
      <w:r w:rsidRPr="00B11C76">
        <w:rPr>
          <w:rFonts w:ascii="Arial" w:hAnsi="Arial" w:cs="Arial"/>
          <w:bCs/>
          <w:i/>
          <w:sz w:val="20"/>
          <w:lang w:eastAsia="en-US"/>
        </w:rPr>
        <w:t>išin</w:t>
      </w:r>
      <w:r w:rsidR="007252CB">
        <w:rPr>
          <w:rFonts w:ascii="Arial" w:hAnsi="Arial" w:cs="Arial"/>
          <w:bCs/>
          <w:i/>
          <w:sz w:val="20"/>
          <w:lang w:eastAsia="en-US"/>
        </w:rPr>
        <w:t>e</w:t>
      </w:r>
      <w:r w:rsidRPr="00B11C76">
        <w:rPr>
          <w:rFonts w:ascii="Arial" w:hAnsi="Arial" w:cs="Arial"/>
          <w:bCs/>
          <w:i/>
          <w:sz w:val="20"/>
          <w:lang w:eastAsia="en-US"/>
        </w:rPr>
        <w:t xml:space="preserve"> dolga državnega proračuna konec leta </w:t>
      </w:r>
      <w:r w:rsidR="00EC1756" w:rsidRPr="00B11C76">
        <w:rPr>
          <w:rFonts w:ascii="Arial" w:hAnsi="Arial" w:cs="Arial"/>
          <w:bCs/>
          <w:i/>
          <w:sz w:val="20"/>
          <w:lang w:eastAsia="en-US"/>
        </w:rPr>
        <w:t>20</w:t>
      </w:r>
      <w:r w:rsidR="00EC1756">
        <w:rPr>
          <w:rFonts w:ascii="Arial" w:hAnsi="Arial" w:cs="Arial"/>
          <w:bCs/>
          <w:i/>
          <w:sz w:val="20"/>
          <w:lang w:eastAsia="en-US"/>
        </w:rPr>
        <w:t>20</w:t>
      </w:r>
      <w:r w:rsidR="00EC1756" w:rsidRPr="00B11C76">
        <w:rPr>
          <w:rFonts w:ascii="Arial" w:hAnsi="Arial" w:cs="Arial"/>
          <w:bCs/>
          <w:i/>
          <w:sz w:val="20"/>
          <w:lang w:eastAsia="en-US"/>
        </w:rPr>
        <w:t xml:space="preserve"> </w:t>
      </w:r>
      <w:r w:rsidRPr="00B11C76">
        <w:rPr>
          <w:rFonts w:ascii="Arial" w:hAnsi="Arial" w:cs="Arial"/>
          <w:bCs/>
          <w:i/>
          <w:sz w:val="20"/>
          <w:lang w:eastAsia="en-US"/>
        </w:rPr>
        <w:t xml:space="preserve">ter ocena za konec leta </w:t>
      </w:r>
      <w:r w:rsidR="00EC1756" w:rsidRPr="00B11C76">
        <w:rPr>
          <w:rFonts w:ascii="Arial" w:hAnsi="Arial" w:cs="Arial"/>
          <w:bCs/>
          <w:i/>
          <w:sz w:val="20"/>
          <w:lang w:eastAsia="en-US"/>
        </w:rPr>
        <w:t>202</w:t>
      </w:r>
      <w:r w:rsidR="00EC1756">
        <w:rPr>
          <w:rFonts w:ascii="Arial" w:hAnsi="Arial" w:cs="Arial"/>
          <w:bCs/>
          <w:i/>
          <w:sz w:val="20"/>
          <w:lang w:eastAsia="en-US"/>
        </w:rPr>
        <w:t>1</w:t>
      </w:r>
      <w:r w:rsidR="007B6B81">
        <w:rPr>
          <w:rFonts w:ascii="Arial" w:hAnsi="Arial" w:cs="Arial"/>
          <w:bCs/>
          <w:i/>
          <w:sz w:val="20"/>
          <w:lang w:eastAsia="en-US"/>
        </w:rPr>
        <w:t>,</w:t>
      </w:r>
      <w:r w:rsidR="00EC1756" w:rsidRPr="00B11C76">
        <w:rPr>
          <w:rFonts w:ascii="Arial" w:hAnsi="Arial" w:cs="Arial"/>
          <w:bCs/>
          <w:i/>
          <w:sz w:val="20"/>
          <w:lang w:eastAsia="en-US"/>
        </w:rPr>
        <w:t xml:space="preserve"> </w:t>
      </w:r>
      <w:r w:rsidRPr="00B11C76">
        <w:rPr>
          <w:rFonts w:ascii="Arial" w:hAnsi="Arial" w:cs="Arial"/>
          <w:bCs/>
          <w:i/>
          <w:sz w:val="20"/>
          <w:lang w:eastAsia="en-US"/>
        </w:rPr>
        <w:t xml:space="preserve">v EUR in </w:t>
      </w:r>
      <w:r w:rsidR="00DB544F">
        <w:rPr>
          <w:rFonts w:ascii="Arial" w:hAnsi="Arial" w:cs="Arial"/>
          <w:bCs/>
          <w:i/>
          <w:sz w:val="20"/>
          <w:lang w:eastAsia="en-US"/>
        </w:rPr>
        <w:t>v %</w:t>
      </w:r>
      <w:r w:rsidRPr="00B11C76">
        <w:rPr>
          <w:rFonts w:ascii="Arial" w:hAnsi="Arial" w:cs="Arial"/>
          <w:bCs/>
          <w:i/>
          <w:sz w:val="20"/>
          <w:lang w:eastAsia="en-US"/>
        </w:rPr>
        <w:t xml:space="preserve"> BDP</w:t>
      </w:r>
    </w:p>
    <w:p w14:paraId="248774C3" w14:textId="77777777" w:rsidR="000A24EB" w:rsidRDefault="000A24EB" w:rsidP="000A24EB">
      <w:pPr>
        <w:spacing w:line="260" w:lineRule="exact"/>
        <w:jc w:val="both"/>
        <w:rPr>
          <w:rFonts w:ascii="Arial" w:hAnsi="Arial" w:cs="Arial"/>
          <w:bCs/>
          <w:sz w:val="20"/>
          <w:szCs w:val="20"/>
        </w:rPr>
      </w:pPr>
    </w:p>
    <w:tbl>
      <w:tblPr>
        <w:tblW w:w="9002" w:type="dxa"/>
        <w:tblLayout w:type="fixed"/>
        <w:tblCellMar>
          <w:left w:w="0" w:type="dxa"/>
          <w:right w:w="0" w:type="dxa"/>
        </w:tblCellMar>
        <w:tblLook w:val="0000" w:firstRow="0" w:lastRow="0" w:firstColumn="0" w:lastColumn="0" w:noHBand="0" w:noVBand="0"/>
      </w:tblPr>
      <w:tblGrid>
        <w:gridCol w:w="5402"/>
        <w:gridCol w:w="1800"/>
        <w:gridCol w:w="1800"/>
      </w:tblGrid>
      <w:tr w:rsidR="000A24EB" w:rsidRPr="000A24EB" w14:paraId="3B609740" w14:textId="77777777" w:rsidTr="002246C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972EA9" w14:textId="77777777" w:rsidR="000A24EB" w:rsidRPr="000A24EB" w:rsidRDefault="000A24EB" w:rsidP="000A24EB">
            <w:pPr>
              <w:jc w:val="both"/>
              <w:rPr>
                <w:rFonts w:ascii="Arial" w:hAnsi="Arial" w:cs="Arial"/>
                <w:bCs/>
                <w:sz w:val="20"/>
                <w:szCs w:val="20"/>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E5F0B8" w14:textId="77777777" w:rsidR="000A24EB" w:rsidRPr="000A24EB" w:rsidRDefault="000A24EB">
            <w:pPr>
              <w:jc w:val="center"/>
              <w:rPr>
                <w:rFonts w:ascii="Arial" w:hAnsi="Arial" w:cs="Arial"/>
                <w:bCs/>
                <w:sz w:val="20"/>
                <w:szCs w:val="20"/>
              </w:rPr>
            </w:pPr>
            <w:r w:rsidRPr="000A24EB">
              <w:rPr>
                <w:rFonts w:ascii="Arial" w:hAnsi="Arial" w:cs="Arial"/>
                <w:bCs/>
                <w:sz w:val="20"/>
                <w:szCs w:val="20"/>
              </w:rPr>
              <w:t>31. 12. </w:t>
            </w:r>
            <w:r w:rsidR="00EC1756" w:rsidRPr="000A24EB">
              <w:rPr>
                <w:rFonts w:ascii="Arial" w:hAnsi="Arial" w:cs="Arial"/>
                <w:bCs/>
                <w:sz w:val="20"/>
                <w:szCs w:val="20"/>
              </w:rPr>
              <w:t>20</w:t>
            </w:r>
            <w:r w:rsidR="00EC1756">
              <w:rPr>
                <w:rFonts w:ascii="Arial" w:hAnsi="Arial" w:cs="Arial"/>
                <w:bCs/>
                <w:sz w:val="20"/>
                <w:szCs w:val="20"/>
              </w:rPr>
              <w:t>20</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50AF44" w14:textId="77777777" w:rsidR="000A24EB" w:rsidRPr="000A24EB" w:rsidRDefault="000A24EB">
            <w:pPr>
              <w:jc w:val="center"/>
              <w:rPr>
                <w:rFonts w:ascii="Arial" w:hAnsi="Arial" w:cs="Arial"/>
                <w:bCs/>
                <w:sz w:val="20"/>
                <w:szCs w:val="20"/>
              </w:rPr>
            </w:pPr>
            <w:r w:rsidRPr="000A24EB">
              <w:rPr>
                <w:rFonts w:ascii="Arial" w:hAnsi="Arial" w:cs="Arial"/>
                <w:bCs/>
                <w:sz w:val="20"/>
                <w:szCs w:val="20"/>
              </w:rPr>
              <w:t>31. 12. </w:t>
            </w:r>
            <w:r w:rsidR="00EC1756" w:rsidRPr="000A24EB">
              <w:rPr>
                <w:rFonts w:ascii="Arial" w:hAnsi="Arial" w:cs="Arial"/>
                <w:bCs/>
                <w:sz w:val="20"/>
                <w:szCs w:val="20"/>
              </w:rPr>
              <w:t>202</w:t>
            </w:r>
            <w:r w:rsidR="00EC1756">
              <w:rPr>
                <w:rFonts w:ascii="Arial" w:hAnsi="Arial" w:cs="Arial"/>
                <w:bCs/>
                <w:sz w:val="20"/>
                <w:szCs w:val="20"/>
              </w:rPr>
              <w:t>1</w:t>
            </w:r>
          </w:p>
        </w:tc>
      </w:tr>
      <w:tr w:rsidR="000A24EB" w:rsidRPr="000A24EB" w14:paraId="4BB12F2F" w14:textId="77777777" w:rsidTr="002246C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973A09" w14:textId="77777777" w:rsidR="000A24EB" w:rsidRPr="000A24EB" w:rsidRDefault="000A24EB" w:rsidP="000A24EB">
            <w:pPr>
              <w:jc w:val="both"/>
              <w:rPr>
                <w:rFonts w:ascii="Arial" w:hAnsi="Arial" w:cs="Arial"/>
                <w:bCs/>
                <w:sz w:val="20"/>
                <w:szCs w:val="20"/>
              </w:rPr>
            </w:pPr>
            <w:r w:rsidRPr="000A24EB">
              <w:rPr>
                <w:rFonts w:ascii="Arial" w:hAnsi="Arial" w:cs="Arial"/>
                <w:bCs/>
                <w:sz w:val="20"/>
                <w:szCs w:val="20"/>
              </w:rPr>
              <w:t>Dolg  – skupaj*</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9A1F32" w14:textId="77777777" w:rsidR="000A24EB" w:rsidRPr="000A24EB" w:rsidRDefault="00FC09F2">
            <w:pPr>
              <w:jc w:val="center"/>
              <w:rPr>
                <w:rFonts w:ascii="Arial" w:hAnsi="Arial" w:cs="Arial"/>
                <w:bCs/>
                <w:sz w:val="20"/>
                <w:szCs w:val="20"/>
              </w:rPr>
            </w:pPr>
            <w:r>
              <w:rPr>
                <w:rFonts w:ascii="Arial" w:hAnsi="Arial" w:cs="Arial"/>
                <w:sz w:val="20"/>
                <w:szCs w:val="20"/>
              </w:rPr>
              <w:t>34</w:t>
            </w:r>
            <w:r w:rsidR="000A24EB" w:rsidRPr="000A24EB">
              <w:rPr>
                <w:rFonts w:ascii="Arial" w:hAnsi="Arial" w:cs="Arial"/>
                <w:sz w:val="20"/>
                <w:szCs w:val="20"/>
              </w:rPr>
              <w:t>.</w:t>
            </w:r>
            <w:r>
              <w:rPr>
                <w:rFonts w:ascii="Arial" w:hAnsi="Arial" w:cs="Arial"/>
                <w:sz w:val="20"/>
                <w:szCs w:val="20"/>
              </w:rPr>
              <w:t>261</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AB9648" w14:textId="77777777" w:rsidR="000A24EB" w:rsidRPr="000A24EB" w:rsidRDefault="00FC09F2">
            <w:pPr>
              <w:jc w:val="center"/>
              <w:rPr>
                <w:rFonts w:ascii="Arial" w:hAnsi="Arial" w:cs="Arial"/>
                <w:bCs/>
                <w:sz w:val="20"/>
                <w:szCs w:val="20"/>
              </w:rPr>
            </w:pPr>
            <w:r w:rsidRPr="000A24EB">
              <w:rPr>
                <w:rFonts w:ascii="Arial" w:hAnsi="Arial" w:cs="Arial"/>
                <w:bCs/>
                <w:sz w:val="20"/>
                <w:szCs w:val="20"/>
              </w:rPr>
              <w:t>3</w:t>
            </w:r>
            <w:r>
              <w:rPr>
                <w:rFonts w:ascii="Arial" w:hAnsi="Arial" w:cs="Arial"/>
                <w:bCs/>
                <w:sz w:val="20"/>
                <w:szCs w:val="20"/>
              </w:rPr>
              <w:t>6</w:t>
            </w:r>
            <w:r w:rsidR="000A24EB" w:rsidRPr="000A24EB">
              <w:rPr>
                <w:rFonts w:ascii="Arial" w:hAnsi="Arial" w:cs="Arial"/>
                <w:bCs/>
                <w:sz w:val="20"/>
                <w:szCs w:val="20"/>
              </w:rPr>
              <w:t>.</w:t>
            </w:r>
            <w:r>
              <w:rPr>
                <w:rFonts w:ascii="Arial" w:hAnsi="Arial" w:cs="Arial"/>
                <w:bCs/>
                <w:sz w:val="20"/>
                <w:szCs w:val="20"/>
              </w:rPr>
              <w:t>617</w:t>
            </w:r>
          </w:p>
        </w:tc>
      </w:tr>
      <w:tr w:rsidR="000A24EB" w:rsidRPr="000A24EB" w14:paraId="6692B9D3" w14:textId="77777777" w:rsidTr="002246C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BEE8C" w14:textId="77777777" w:rsidR="000A24EB" w:rsidRPr="000A24EB" w:rsidRDefault="000A24EB" w:rsidP="000A24EB">
            <w:pPr>
              <w:jc w:val="both"/>
              <w:rPr>
                <w:rFonts w:ascii="Arial" w:hAnsi="Arial" w:cs="Arial"/>
                <w:bCs/>
                <w:sz w:val="20"/>
                <w:szCs w:val="20"/>
              </w:rPr>
            </w:pPr>
            <w:r w:rsidRPr="000A24EB">
              <w:rPr>
                <w:rFonts w:ascii="Arial" w:hAnsi="Arial" w:cs="Arial"/>
                <w:bCs/>
                <w:sz w:val="20"/>
                <w:szCs w:val="20"/>
              </w:rPr>
              <w:t>BDP**</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AB4DD9" w14:textId="77777777" w:rsidR="000A24EB" w:rsidRPr="000A24EB" w:rsidRDefault="00EC1756">
            <w:pPr>
              <w:jc w:val="center"/>
              <w:rPr>
                <w:rFonts w:ascii="Arial" w:hAnsi="Arial" w:cs="Arial"/>
                <w:bCs/>
                <w:sz w:val="20"/>
                <w:szCs w:val="20"/>
              </w:rPr>
            </w:pPr>
            <w:r w:rsidRPr="000A24EB">
              <w:rPr>
                <w:rFonts w:ascii="Arial" w:hAnsi="Arial" w:cs="Arial"/>
                <w:sz w:val="20"/>
                <w:szCs w:val="20"/>
              </w:rPr>
              <w:t>4</w:t>
            </w:r>
            <w:r>
              <w:rPr>
                <w:rFonts w:ascii="Arial" w:hAnsi="Arial" w:cs="Arial"/>
                <w:sz w:val="20"/>
                <w:szCs w:val="20"/>
              </w:rPr>
              <w:t>5</w:t>
            </w:r>
            <w:r w:rsidR="000A24EB" w:rsidRPr="000A24EB">
              <w:rPr>
                <w:rFonts w:ascii="Arial" w:hAnsi="Arial" w:cs="Arial"/>
                <w:sz w:val="20"/>
                <w:szCs w:val="20"/>
              </w:rPr>
              <w:t>.</w:t>
            </w:r>
            <w:r>
              <w:rPr>
                <w:rFonts w:ascii="Arial" w:hAnsi="Arial" w:cs="Arial"/>
                <w:sz w:val="20"/>
                <w:szCs w:val="20"/>
              </w:rPr>
              <w:t>769</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D64144" w14:textId="77777777" w:rsidR="000A24EB" w:rsidRPr="000A24EB" w:rsidRDefault="00EC1756">
            <w:pPr>
              <w:jc w:val="center"/>
              <w:rPr>
                <w:rFonts w:ascii="Arial" w:hAnsi="Arial" w:cs="Arial"/>
                <w:bCs/>
                <w:sz w:val="20"/>
                <w:szCs w:val="20"/>
              </w:rPr>
            </w:pPr>
            <w:r w:rsidRPr="000A24EB">
              <w:rPr>
                <w:rFonts w:ascii="Arial" w:hAnsi="Arial" w:cs="Arial"/>
                <w:bCs/>
                <w:sz w:val="20"/>
                <w:szCs w:val="20"/>
              </w:rPr>
              <w:t>4</w:t>
            </w:r>
            <w:r>
              <w:rPr>
                <w:rFonts w:ascii="Arial" w:hAnsi="Arial" w:cs="Arial"/>
                <w:bCs/>
                <w:sz w:val="20"/>
                <w:szCs w:val="20"/>
              </w:rPr>
              <w:t>8</w:t>
            </w:r>
            <w:r w:rsidR="000A24EB" w:rsidRPr="000A24EB">
              <w:rPr>
                <w:rFonts w:ascii="Arial" w:hAnsi="Arial" w:cs="Arial"/>
                <w:bCs/>
                <w:sz w:val="20"/>
                <w:szCs w:val="20"/>
              </w:rPr>
              <w:t>.</w:t>
            </w:r>
            <w:r>
              <w:rPr>
                <w:rFonts w:ascii="Arial" w:hAnsi="Arial" w:cs="Arial"/>
                <w:bCs/>
                <w:sz w:val="20"/>
                <w:szCs w:val="20"/>
              </w:rPr>
              <w:t>818</w:t>
            </w:r>
          </w:p>
        </w:tc>
      </w:tr>
      <w:tr w:rsidR="000A24EB" w:rsidRPr="000A24EB" w14:paraId="72F19A7D" w14:textId="77777777" w:rsidTr="002246CF">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EFB1B0" w14:textId="77777777" w:rsidR="000A24EB" w:rsidRPr="000A24EB" w:rsidRDefault="000A24EB" w:rsidP="000A24EB">
            <w:pPr>
              <w:jc w:val="both"/>
              <w:rPr>
                <w:rFonts w:ascii="Arial" w:hAnsi="Arial" w:cs="Arial"/>
                <w:bCs/>
                <w:sz w:val="20"/>
                <w:szCs w:val="20"/>
              </w:rPr>
            </w:pPr>
            <w:r w:rsidRPr="000A24EB">
              <w:rPr>
                <w:rFonts w:ascii="Arial" w:hAnsi="Arial" w:cs="Arial"/>
                <w:bCs/>
                <w:sz w:val="20"/>
                <w:szCs w:val="20"/>
              </w:rPr>
              <w:t>Dolg  / BDP</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808533" w14:textId="77777777" w:rsidR="000A24EB" w:rsidRPr="000A24EB" w:rsidRDefault="00EC1756">
            <w:pPr>
              <w:jc w:val="center"/>
              <w:rPr>
                <w:rFonts w:ascii="Arial" w:hAnsi="Arial" w:cs="Arial"/>
                <w:bCs/>
                <w:sz w:val="20"/>
                <w:szCs w:val="20"/>
              </w:rPr>
            </w:pPr>
            <w:r>
              <w:rPr>
                <w:rFonts w:ascii="Arial" w:hAnsi="Arial" w:cs="Arial"/>
                <w:sz w:val="20"/>
                <w:szCs w:val="20"/>
              </w:rPr>
              <w:t>74</w:t>
            </w:r>
            <w:r w:rsidR="000A24EB" w:rsidRPr="000A24EB">
              <w:rPr>
                <w:rFonts w:ascii="Arial" w:hAnsi="Arial" w:cs="Arial"/>
                <w:sz w:val="20"/>
                <w:szCs w:val="20"/>
              </w:rPr>
              <w:t>,</w:t>
            </w:r>
            <w:r>
              <w:rPr>
                <w:rFonts w:ascii="Arial" w:hAnsi="Arial" w:cs="Arial"/>
                <w:sz w:val="20"/>
                <w:szCs w:val="20"/>
              </w:rPr>
              <w:t>9</w:t>
            </w:r>
            <w:r w:rsidRPr="000A24EB">
              <w:rPr>
                <w:rFonts w:ascii="Arial" w:hAnsi="Arial" w:cs="Arial"/>
                <w:sz w:val="20"/>
                <w:szCs w:val="20"/>
              </w:rPr>
              <w:t xml:space="preserve"> </w:t>
            </w:r>
            <w:r w:rsidR="000A24EB" w:rsidRPr="000A24EB">
              <w:rPr>
                <w:rFonts w:ascii="Arial" w:hAnsi="Arial" w:cs="Arial"/>
                <w:sz w:val="20"/>
                <w:szCs w:val="20"/>
              </w:rPr>
              <w:t>%</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82F4AF" w14:textId="77777777" w:rsidR="000A24EB" w:rsidRPr="000A24EB" w:rsidRDefault="00EC1756">
            <w:pPr>
              <w:jc w:val="center"/>
              <w:rPr>
                <w:rFonts w:ascii="Arial" w:hAnsi="Arial" w:cs="Arial"/>
                <w:bCs/>
                <w:sz w:val="20"/>
                <w:szCs w:val="20"/>
              </w:rPr>
            </w:pPr>
            <w:r w:rsidRPr="000A24EB">
              <w:rPr>
                <w:rFonts w:ascii="Arial" w:hAnsi="Arial" w:cs="Arial"/>
                <w:bCs/>
                <w:sz w:val="20"/>
                <w:szCs w:val="20"/>
              </w:rPr>
              <w:t>7</w:t>
            </w:r>
            <w:r>
              <w:rPr>
                <w:rFonts w:ascii="Arial" w:hAnsi="Arial" w:cs="Arial"/>
                <w:bCs/>
                <w:sz w:val="20"/>
                <w:szCs w:val="20"/>
              </w:rPr>
              <w:t>5</w:t>
            </w:r>
            <w:r w:rsidR="000A24EB" w:rsidRPr="000A24EB">
              <w:rPr>
                <w:rFonts w:ascii="Arial" w:hAnsi="Arial" w:cs="Arial"/>
                <w:bCs/>
                <w:sz w:val="20"/>
                <w:szCs w:val="20"/>
              </w:rPr>
              <w:t>,</w:t>
            </w:r>
            <w:r>
              <w:rPr>
                <w:rFonts w:ascii="Arial" w:hAnsi="Arial" w:cs="Arial"/>
                <w:bCs/>
                <w:sz w:val="20"/>
                <w:szCs w:val="20"/>
              </w:rPr>
              <w:t>0</w:t>
            </w:r>
            <w:r w:rsidRPr="000A24EB">
              <w:rPr>
                <w:rFonts w:ascii="Arial" w:hAnsi="Arial" w:cs="Arial"/>
                <w:bCs/>
                <w:sz w:val="20"/>
                <w:szCs w:val="20"/>
              </w:rPr>
              <w:t xml:space="preserve"> </w:t>
            </w:r>
            <w:r w:rsidR="000A24EB" w:rsidRPr="000A24EB">
              <w:rPr>
                <w:rFonts w:ascii="Arial" w:hAnsi="Arial" w:cs="Arial"/>
                <w:bCs/>
                <w:sz w:val="20"/>
                <w:szCs w:val="20"/>
              </w:rPr>
              <w:t>%</w:t>
            </w:r>
          </w:p>
        </w:tc>
      </w:tr>
    </w:tbl>
    <w:p w14:paraId="39C0A11A" w14:textId="77777777" w:rsidR="000A24EB" w:rsidRPr="00B11C76" w:rsidRDefault="000A24EB" w:rsidP="00B11C76">
      <w:pPr>
        <w:jc w:val="both"/>
        <w:rPr>
          <w:rFonts w:ascii="Arial" w:hAnsi="Arial"/>
          <w:bCs/>
          <w:i/>
          <w:iCs/>
          <w:sz w:val="16"/>
          <w:szCs w:val="16"/>
        </w:rPr>
      </w:pPr>
      <w:r>
        <w:rPr>
          <w:rFonts w:ascii="Arial" w:hAnsi="Arial" w:cs="Arial"/>
          <w:bCs/>
          <w:sz w:val="20"/>
          <w:szCs w:val="20"/>
        </w:rPr>
        <w:t>*</w:t>
      </w:r>
      <w:r w:rsidRPr="00B11C76">
        <w:rPr>
          <w:rFonts w:ascii="Arial" w:hAnsi="Arial"/>
          <w:bCs/>
          <w:i/>
          <w:iCs/>
          <w:sz w:val="16"/>
          <w:szCs w:val="16"/>
        </w:rPr>
        <w:t>Vir: MF</w:t>
      </w:r>
    </w:p>
    <w:p w14:paraId="2DF1274E" w14:textId="77777777" w:rsidR="000A24EB" w:rsidRPr="00B11C76" w:rsidRDefault="000A24EB" w:rsidP="00B11C76">
      <w:pPr>
        <w:jc w:val="both"/>
        <w:rPr>
          <w:rFonts w:ascii="Arial" w:hAnsi="Arial"/>
          <w:bCs/>
          <w:i/>
          <w:iCs/>
          <w:sz w:val="16"/>
          <w:szCs w:val="16"/>
        </w:rPr>
      </w:pPr>
      <w:r w:rsidRPr="00B11C76">
        <w:rPr>
          <w:rFonts w:ascii="Arial" w:hAnsi="Arial"/>
          <w:bCs/>
          <w:i/>
          <w:iCs/>
          <w:sz w:val="16"/>
          <w:szCs w:val="16"/>
        </w:rPr>
        <w:t xml:space="preserve">** Vir: </w:t>
      </w:r>
      <w:r w:rsidR="002A3961">
        <w:rPr>
          <w:rFonts w:ascii="Arial" w:hAnsi="Arial"/>
          <w:bCs/>
          <w:i/>
          <w:iCs/>
          <w:sz w:val="16"/>
          <w:szCs w:val="16"/>
        </w:rPr>
        <w:t xml:space="preserve">UMAR, </w:t>
      </w:r>
      <w:r w:rsidRPr="00B11C76">
        <w:rPr>
          <w:rFonts w:ascii="Arial" w:hAnsi="Arial"/>
          <w:bCs/>
          <w:i/>
          <w:iCs/>
          <w:sz w:val="16"/>
          <w:szCs w:val="16"/>
        </w:rPr>
        <w:t>Jesenska napoved gospodarskih gibanj, september 2020</w:t>
      </w:r>
    </w:p>
    <w:p w14:paraId="177DB268" w14:textId="77777777" w:rsidR="000A24EB" w:rsidRDefault="000A24EB" w:rsidP="009E343A">
      <w:pPr>
        <w:spacing w:line="260" w:lineRule="exact"/>
        <w:jc w:val="both"/>
        <w:rPr>
          <w:rFonts w:ascii="Arial" w:hAnsi="Arial" w:cs="Arial"/>
          <w:bCs/>
          <w:sz w:val="20"/>
          <w:szCs w:val="20"/>
        </w:rPr>
      </w:pPr>
    </w:p>
    <w:p w14:paraId="4C31F5CE" w14:textId="77777777" w:rsidR="009E343A" w:rsidRPr="009E343A" w:rsidRDefault="009E343A" w:rsidP="009E343A">
      <w:pPr>
        <w:suppressAutoHyphens w:val="0"/>
        <w:jc w:val="both"/>
        <w:rPr>
          <w:sz w:val="22"/>
          <w:szCs w:val="22"/>
          <w:lang w:eastAsia="en-US"/>
        </w:rPr>
      </w:pPr>
    </w:p>
    <w:p w14:paraId="33AFB841" w14:textId="77777777" w:rsidR="009E343A" w:rsidRDefault="009E343A" w:rsidP="00936BD2">
      <w:pPr>
        <w:pStyle w:val="Naslov3"/>
      </w:pPr>
      <w:r w:rsidRPr="00936BD2">
        <w:t xml:space="preserve">Ocena valutne strukture dolga državnega proračuna </w:t>
      </w:r>
    </w:p>
    <w:p w14:paraId="773C55F9" w14:textId="77777777" w:rsidR="00013E05" w:rsidRPr="00B11C76" w:rsidRDefault="00013E05" w:rsidP="00B11C76">
      <w:pPr>
        <w:spacing w:line="260" w:lineRule="exact"/>
        <w:jc w:val="both"/>
        <w:rPr>
          <w:rFonts w:ascii="Arial" w:hAnsi="Arial" w:cs="Arial"/>
          <w:bCs/>
          <w:sz w:val="20"/>
          <w:szCs w:val="20"/>
        </w:rPr>
      </w:pPr>
      <w:r w:rsidRPr="00B11C76">
        <w:rPr>
          <w:rFonts w:ascii="Arial" w:hAnsi="Arial" w:cs="Arial"/>
          <w:bCs/>
          <w:sz w:val="20"/>
          <w:szCs w:val="20"/>
        </w:rPr>
        <w:t xml:space="preserve">V letih po vstopu v evropsko monetarno unijo se je delež dolga državnega proračuna v evrih gibal na približno enaki ravni in je konec leta 2011 znašal 99,8 % celotnega dolga državnega proračuna. V obdobju od 2012 do 2014 se je Republika Slovenija za državni proračun zadolževala na globalnem trgu z obveznicami </w:t>
      </w:r>
      <w:proofErr w:type="spellStart"/>
      <w:r w:rsidRPr="00B11C76">
        <w:rPr>
          <w:rFonts w:ascii="Arial" w:hAnsi="Arial" w:cs="Arial"/>
          <w:bCs/>
          <w:sz w:val="20"/>
          <w:szCs w:val="20"/>
        </w:rPr>
        <w:t>denominiranimi</w:t>
      </w:r>
      <w:proofErr w:type="spellEnd"/>
      <w:r w:rsidRPr="00B11C76">
        <w:rPr>
          <w:rFonts w:ascii="Arial" w:hAnsi="Arial" w:cs="Arial"/>
          <w:bCs/>
          <w:sz w:val="20"/>
          <w:szCs w:val="20"/>
        </w:rPr>
        <w:t xml:space="preserve"> v ameriških dolarjih, tako da je konec leta 2014 delež dolga v evrih predstavljal 73,0 % celotnega dolga. V letih 2016, 2017 in 2018 je bilo izvedenih sedem transakcij medvalutnega upravljanja z dolgom državnega proračuna in je bilo tako skupaj zamenjanega 55,1 % dolarskega dolžniškega portfelja z evrskim. V letu 2018 je v odplačilo zapadla dolarska obveznica RS krajše ročnosti v višini 1 milijarde USD. Posledično je delež dolga državnega proračuna v evrih predstavljal 91,7 % celotnega dolga državnega proračuna v letu 2018. V letu 2019 je v odplačilo zapadla druga dolarska obveznica RS krajše ročnosti v višini 1,5 milijarde USD. Konec leta 2019 je tako delež dolga v evrih znašal 95,4 % celotnega dolga državnega proračuna. Ob zadolžitvah v ameriških dolarjih so bile izvedene tudi transakcije valutnih zamenjav obveznosti v ameriških dolarjih v evre in v kolikor upoštevamo tudi to dejstvo, se delež dolga v evrih poveča na 99,9 % celotnega dolga državnega proračuna konec leta </w:t>
      </w:r>
      <w:r w:rsidR="00B252A5" w:rsidRPr="00B11C76">
        <w:rPr>
          <w:rFonts w:ascii="Arial" w:hAnsi="Arial" w:cs="Arial"/>
          <w:bCs/>
          <w:sz w:val="20"/>
          <w:szCs w:val="20"/>
        </w:rPr>
        <w:t>20</w:t>
      </w:r>
      <w:r w:rsidR="00B252A5">
        <w:rPr>
          <w:rFonts w:ascii="Arial" w:hAnsi="Arial" w:cs="Arial"/>
          <w:bCs/>
          <w:sz w:val="20"/>
          <w:szCs w:val="20"/>
        </w:rPr>
        <w:t>20</w:t>
      </w:r>
      <w:r w:rsidRPr="00B11C76">
        <w:rPr>
          <w:rFonts w:ascii="Arial" w:hAnsi="Arial" w:cs="Arial"/>
          <w:bCs/>
          <w:sz w:val="20"/>
          <w:szCs w:val="20"/>
        </w:rPr>
        <w:t xml:space="preserve">, kot tudi konec leta </w:t>
      </w:r>
      <w:r w:rsidR="00B252A5" w:rsidRPr="00B11C76">
        <w:rPr>
          <w:rFonts w:ascii="Arial" w:hAnsi="Arial" w:cs="Arial"/>
          <w:bCs/>
          <w:sz w:val="20"/>
          <w:szCs w:val="20"/>
        </w:rPr>
        <w:t>202</w:t>
      </w:r>
      <w:r w:rsidR="00B252A5">
        <w:rPr>
          <w:rFonts w:ascii="Arial" w:hAnsi="Arial" w:cs="Arial"/>
          <w:bCs/>
          <w:sz w:val="20"/>
          <w:szCs w:val="20"/>
        </w:rPr>
        <w:t>1</w:t>
      </w:r>
      <w:r w:rsidRPr="00B11C76">
        <w:rPr>
          <w:rFonts w:ascii="Arial" w:hAnsi="Arial" w:cs="Arial"/>
          <w:bCs/>
          <w:sz w:val="20"/>
          <w:szCs w:val="20"/>
        </w:rPr>
        <w:t>.</w:t>
      </w:r>
    </w:p>
    <w:p w14:paraId="60BB32C8" w14:textId="77777777" w:rsidR="00013E05" w:rsidRPr="00B11C76" w:rsidRDefault="00013E05" w:rsidP="00B11C76">
      <w:pPr>
        <w:rPr>
          <w:lang w:eastAsia="sl-SI"/>
        </w:rPr>
      </w:pPr>
    </w:p>
    <w:p w14:paraId="08981048" w14:textId="77777777" w:rsidR="009E343A" w:rsidRPr="009E343A" w:rsidRDefault="009E343A" w:rsidP="009E343A">
      <w:pPr>
        <w:spacing w:line="260" w:lineRule="exact"/>
        <w:jc w:val="both"/>
        <w:rPr>
          <w:rFonts w:ascii="Arial" w:hAnsi="Arial" w:cs="Arial"/>
          <w:bCs/>
          <w:sz w:val="20"/>
          <w:szCs w:val="20"/>
        </w:rPr>
      </w:pPr>
    </w:p>
    <w:p w14:paraId="4CB543AB" w14:textId="77777777" w:rsidR="009E343A" w:rsidRPr="00936BD2" w:rsidRDefault="009E343A" w:rsidP="00936BD2">
      <w:pPr>
        <w:pStyle w:val="Naslov3"/>
      </w:pPr>
      <w:r w:rsidRPr="00936BD2">
        <w:t>Struktura dolga državnega proračuna glede na obrestno mero</w:t>
      </w:r>
    </w:p>
    <w:p w14:paraId="60F1C2B9" w14:textId="77777777" w:rsidR="00EE3731" w:rsidRPr="009E343A" w:rsidRDefault="00EE3731" w:rsidP="0087764E">
      <w:pPr>
        <w:suppressAutoHyphens w:val="0"/>
        <w:spacing w:line="260" w:lineRule="exact"/>
        <w:jc w:val="both"/>
        <w:rPr>
          <w:rFonts w:ascii="Arial" w:hAnsi="Arial" w:cs="Arial"/>
          <w:bCs/>
          <w:sz w:val="20"/>
          <w:szCs w:val="20"/>
        </w:rPr>
      </w:pPr>
      <w:r w:rsidRPr="009E343A">
        <w:rPr>
          <w:rFonts w:ascii="Arial" w:hAnsi="Arial" w:cs="Arial"/>
          <w:bCs/>
          <w:sz w:val="20"/>
          <w:szCs w:val="20"/>
        </w:rPr>
        <w:t xml:space="preserve">Dolg državnega proračuna je konec </w:t>
      </w:r>
      <w:r w:rsidRPr="00F11A5D">
        <w:rPr>
          <w:rFonts w:ascii="Arial" w:hAnsi="Arial" w:cs="Arial"/>
          <w:bCs/>
          <w:sz w:val="20"/>
          <w:szCs w:val="20"/>
        </w:rPr>
        <w:t xml:space="preserve">leta </w:t>
      </w:r>
      <w:r w:rsidR="00B252A5" w:rsidRPr="00F11A5D">
        <w:rPr>
          <w:rFonts w:ascii="Arial" w:hAnsi="Arial" w:cs="Arial"/>
          <w:bCs/>
          <w:sz w:val="20"/>
          <w:szCs w:val="20"/>
        </w:rPr>
        <w:t>20</w:t>
      </w:r>
      <w:r w:rsidR="00B252A5">
        <w:rPr>
          <w:rFonts w:ascii="Arial" w:hAnsi="Arial" w:cs="Arial"/>
          <w:bCs/>
          <w:sz w:val="20"/>
          <w:szCs w:val="20"/>
        </w:rPr>
        <w:t>20</w:t>
      </w:r>
      <w:r w:rsidR="00B252A5" w:rsidRPr="00F11A5D">
        <w:rPr>
          <w:rFonts w:ascii="Arial" w:hAnsi="Arial" w:cs="Arial"/>
          <w:bCs/>
          <w:sz w:val="20"/>
          <w:szCs w:val="20"/>
        </w:rPr>
        <w:t xml:space="preserve"> </w:t>
      </w:r>
      <w:r w:rsidRPr="00F11A5D">
        <w:rPr>
          <w:rFonts w:ascii="Arial" w:hAnsi="Arial" w:cs="Arial"/>
          <w:bCs/>
          <w:sz w:val="20"/>
          <w:szCs w:val="20"/>
        </w:rPr>
        <w:t>sestavljen iz 0,</w:t>
      </w:r>
      <w:r w:rsidR="00B252A5">
        <w:rPr>
          <w:rFonts w:ascii="Arial" w:hAnsi="Arial" w:cs="Arial"/>
          <w:bCs/>
          <w:sz w:val="20"/>
          <w:szCs w:val="20"/>
        </w:rPr>
        <w:t>8</w:t>
      </w:r>
      <w:r w:rsidR="00B252A5" w:rsidRPr="00F11A5D">
        <w:rPr>
          <w:rFonts w:ascii="Arial" w:hAnsi="Arial" w:cs="Arial"/>
          <w:bCs/>
          <w:sz w:val="20"/>
          <w:szCs w:val="20"/>
        </w:rPr>
        <w:t xml:space="preserve"> </w:t>
      </w:r>
      <w:r w:rsidRPr="00F11A5D">
        <w:rPr>
          <w:rFonts w:ascii="Arial" w:hAnsi="Arial" w:cs="Arial"/>
          <w:bCs/>
          <w:sz w:val="20"/>
          <w:szCs w:val="20"/>
        </w:rPr>
        <w:t>% instrumentov s spremenljivo obrestno mero in 99,</w:t>
      </w:r>
      <w:r w:rsidR="00B252A5">
        <w:rPr>
          <w:rFonts w:ascii="Arial" w:hAnsi="Arial" w:cs="Arial"/>
          <w:bCs/>
          <w:sz w:val="20"/>
          <w:szCs w:val="20"/>
        </w:rPr>
        <w:t>2</w:t>
      </w:r>
      <w:r w:rsidR="00B252A5" w:rsidRPr="00F11A5D">
        <w:rPr>
          <w:rFonts w:ascii="Arial" w:hAnsi="Arial" w:cs="Arial"/>
          <w:bCs/>
          <w:sz w:val="20"/>
          <w:szCs w:val="20"/>
        </w:rPr>
        <w:t xml:space="preserve"> </w:t>
      </w:r>
      <w:r w:rsidRPr="00F11A5D">
        <w:rPr>
          <w:rFonts w:ascii="Arial" w:hAnsi="Arial" w:cs="Arial"/>
          <w:bCs/>
          <w:sz w:val="20"/>
          <w:szCs w:val="20"/>
        </w:rPr>
        <w:t xml:space="preserve">% instrumentov z nespremenljivo obrestno mero. Struktura dolga državnega proračuna glede na obrestno mere se v oceni stanja dolga državnega proračuna konec leta </w:t>
      </w:r>
      <w:r w:rsidR="00B252A5" w:rsidRPr="00F11A5D">
        <w:rPr>
          <w:rFonts w:ascii="Arial" w:hAnsi="Arial" w:cs="Arial"/>
          <w:bCs/>
          <w:sz w:val="20"/>
          <w:szCs w:val="20"/>
        </w:rPr>
        <w:t>202</w:t>
      </w:r>
      <w:r w:rsidR="00B252A5">
        <w:rPr>
          <w:rFonts w:ascii="Arial" w:hAnsi="Arial" w:cs="Arial"/>
          <w:bCs/>
          <w:sz w:val="20"/>
          <w:szCs w:val="20"/>
        </w:rPr>
        <w:t>1</w:t>
      </w:r>
      <w:r w:rsidR="00B252A5" w:rsidRPr="00F11A5D">
        <w:rPr>
          <w:rFonts w:ascii="Arial" w:hAnsi="Arial" w:cs="Arial"/>
          <w:bCs/>
          <w:sz w:val="20"/>
          <w:szCs w:val="20"/>
        </w:rPr>
        <w:t xml:space="preserve"> </w:t>
      </w:r>
      <w:r w:rsidRPr="00F11A5D">
        <w:rPr>
          <w:rFonts w:ascii="Arial" w:hAnsi="Arial" w:cs="Arial"/>
          <w:bCs/>
          <w:sz w:val="20"/>
          <w:szCs w:val="20"/>
        </w:rPr>
        <w:t>ne spreminja bistveno.</w:t>
      </w:r>
    </w:p>
    <w:p w14:paraId="35C8179D" w14:textId="77777777" w:rsidR="009E343A" w:rsidRPr="00526FB9" w:rsidRDefault="009E343A" w:rsidP="00526FB9">
      <w:pPr>
        <w:suppressAutoHyphens w:val="0"/>
        <w:spacing w:line="260" w:lineRule="atLeast"/>
        <w:jc w:val="both"/>
        <w:rPr>
          <w:rFonts w:ascii="Arial" w:hAnsi="Arial" w:cs="Arial"/>
          <w:b/>
          <w:bCs/>
          <w:sz w:val="22"/>
          <w:szCs w:val="22"/>
          <w:lang w:eastAsia="en-US"/>
        </w:rPr>
      </w:pPr>
    </w:p>
    <w:p w14:paraId="583EA4CC" w14:textId="77777777" w:rsidR="009E343A" w:rsidRPr="00F21CA3" w:rsidRDefault="009E343A" w:rsidP="00F96714">
      <w:pPr>
        <w:pStyle w:val="Naslov2"/>
      </w:pPr>
      <w:r w:rsidRPr="00F21CA3">
        <w:t xml:space="preserve">OBSEG FINANCIRANJA V </w:t>
      </w:r>
      <w:r w:rsidR="006F6989" w:rsidRPr="00F21CA3">
        <w:t>202</w:t>
      </w:r>
      <w:r w:rsidR="008153DC">
        <w:t>1</w:t>
      </w:r>
    </w:p>
    <w:p w14:paraId="7644F9E0" w14:textId="70D901FB" w:rsidR="00B90776" w:rsidRPr="00B90776" w:rsidRDefault="00B90776" w:rsidP="00B11C76">
      <w:pPr>
        <w:spacing w:line="260" w:lineRule="exact"/>
        <w:jc w:val="both"/>
        <w:rPr>
          <w:rFonts w:ascii="Arial" w:eastAsiaTheme="minorHAnsi" w:hAnsi="Arial" w:cstheme="minorBidi"/>
          <w:sz w:val="20"/>
          <w:szCs w:val="22"/>
          <w:lang w:eastAsia="en-US"/>
        </w:rPr>
      </w:pPr>
      <w:r w:rsidRPr="00B90776">
        <w:rPr>
          <w:rFonts w:ascii="Arial" w:eastAsiaTheme="minorHAnsi" w:hAnsi="Arial" w:cstheme="minorBidi"/>
          <w:sz w:val="20"/>
          <w:szCs w:val="22"/>
          <w:lang w:eastAsia="en-US"/>
        </w:rPr>
        <w:t>Na podlagi 81. člena ZJF, sprejete</w:t>
      </w:r>
      <w:r w:rsidR="0058632F">
        <w:rPr>
          <w:rFonts w:ascii="Arial" w:eastAsiaTheme="minorHAnsi" w:hAnsi="Arial" w:cstheme="minorBidi"/>
          <w:sz w:val="20"/>
          <w:szCs w:val="22"/>
          <w:lang w:eastAsia="en-US"/>
        </w:rPr>
        <w:t>ga</w:t>
      </w:r>
      <w:r w:rsidR="006E667A">
        <w:rPr>
          <w:rFonts w:ascii="Arial" w:eastAsiaTheme="minorHAnsi" w:hAnsi="Arial" w:cstheme="minorBidi"/>
          <w:sz w:val="20"/>
          <w:szCs w:val="22"/>
          <w:lang w:eastAsia="en-US"/>
        </w:rPr>
        <w:t xml:space="preserve"> </w:t>
      </w:r>
      <w:r w:rsidR="0058632F">
        <w:rPr>
          <w:rFonts w:ascii="Arial" w:hAnsi="Arial" w:cs="Arial"/>
          <w:bCs/>
          <w:sz w:val="20"/>
          <w:szCs w:val="20"/>
        </w:rPr>
        <w:t>P</w:t>
      </w:r>
      <w:r w:rsidRPr="00B90776">
        <w:rPr>
          <w:rFonts w:ascii="Arial" w:hAnsi="Arial" w:cs="Arial"/>
          <w:bCs/>
          <w:sz w:val="20"/>
          <w:szCs w:val="20"/>
        </w:rPr>
        <w:t>roračuna</w:t>
      </w:r>
      <w:r w:rsidRPr="00B90776">
        <w:rPr>
          <w:rFonts w:ascii="Arial" w:eastAsiaTheme="minorHAnsi" w:hAnsi="Arial" w:cstheme="minorBidi"/>
          <w:sz w:val="20"/>
          <w:szCs w:val="22"/>
          <w:lang w:eastAsia="en-US"/>
        </w:rPr>
        <w:t xml:space="preserve"> Republike Slovenije za leto 202</w:t>
      </w:r>
      <w:r w:rsidR="008153DC">
        <w:rPr>
          <w:rFonts w:ascii="Arial" w:eastAsiaTheme="minorHAnsi" w:hAnsi="Arial" w:cstheme="minorBidi"/>
          <w:sz w:val="20"/>
          <w:szCs w:val="22"/>
          <w:lang w:eastAsia="en-US"/>
        </w:rPr>
        <w:t>1</w:t>
      </w:r>
      <w:r w:rsidRPr="00B90776">
        <w:rPr>
          <w:rFonts w:ascii="Arial" w:eastAsiaTheme="minorHAnsi" w:hAnsi="Arial" w:cstheme="minorBidi"/>
          <w:sz w:val="20"/>
          <w:szCs w:val="22"/>
          <w:lang w:eastAsia="en-US"/>
        </w:rPr>
        <w:t xml:space="preserve"> (Uradni list RS, št. </w:t>
      </w:r>
      <w:r w:rsidR="0058632F" w:rsidRPr="0058632F">
        <w:rPr>
          <w:rFonts w:ascii="Arial" w:eastAsiaTheme="minorHAnsi" w:hAnsi="Arial" w:cstheme="minorBidi"/>
          <w:sz w:val="20"/>
          <w:szCs w:val="22"/>
          <w:lang w:eastAsia="en-US"/>
        </w:rPr>
        <w:t>75/19</w:t>
      </w:r>
      <w:r w:rsidR="0058632F">
        <w:rPr>
          <w:rFonts w:ascii="Arial" w:eastAsiaTheme="minorHAnsi" w:hAnsi="Arial" w:cstheme="minorBidi"/>
          <w:sz w:val="20"/>
          <w:szCs w:val="22"/>
          <w:lang w:eastAsia="en-US"/>
        </w:rPr>
        <w:t xml:space="preserve"> in</w:t>
      </w:r>
      <w:r w:rsidR="0058632F" w:rsidRPr="0058632F">
        <w:rPr>
          <w:rFonts w:ascii="Arial" w:eastAsiaTheme="minorHAnsi" w:hAnsi="Arial" w:cstheme="minorBidi"/>
          <w:sz w:val="20"/>
          <w:szCs w:val="22"/>
          <w:lang w:eastAsia="en-US"/>
        </w:rPr>
        <w:t xml:space="preserve"> </w:t>
      </w:r>
      <w:r w:rsidR="003F79E5">
        <w:rPr>
          <w:rFonts w:ascii="Arial" w:eastAsiaTheme="minorHAnsi" w:hAnsi="Arial" w:cstheme="minorBidi"/>
          <w:sz w:val="20"/>
          <w:szCs w:val="22"/>
          <w:lang w:eastAsia="en-US"/>
        </w:rPr>
        <w:t>1</w:t>
      </w:r>
      <w:r w:rsidR="003F79E5" w:rsidRPr="003F79E5">
        <w:rPr>
          <w:rFonts w:ascii="Arial" w:hAnsi="Arial" w:cs="Arial"/>
          <w:bCs/>
          <w:sz w:val="20"/>
          <w:szCs w:val="20"/>
        </w:rPr>
        <w:t>74</w:t>
      </w:r>
      <w:r w:rsidR="003F79E5">
        <w:rPr>
          <w:rFonts w:ascii="Arial" w:hAnsi="Arial" w:cs="Arial"/>
          <w:bCs/>
          <w:sz w:val="20"/>
          <w:szCs w:val="20"/>
        </w:rPr>
        <w:t>/20</w:t>
      </w:r>
      <w:r w:rsidRPr="00B90776">
        <w:rPr>
          <w:rFonts w:ascii="Arial" w:eastAsiaTheme="minorHAnsi" w:hAnsi="Arial" w:cstheme="minorBidi"/>
          <w:sz w:val="20"/>
          <w:szCs w:val="22"/>
          <w:lang w:eastAsia="en-US"/>
        </w:rPr>
        <w:t>), obsega financiranja za leto 202</w:t>
      </w:r>
      <w:r w:rsidR="008153DC">
        <w:rPr>
          <w:rFonts w:ascii="Arial" w:eastAsiaTheme="minorHAnsi" w:hAnsi="Arial" w:cstheme="minorBidi"/>
          <w:sz w:val="20"/>
          <w:szCs w:val="22"/>
          <w:lang w:eastAsia="en-US"/>
        </w:rPr>
        <w:t>1</w:t>
      </w:r>
      <w:r w:rsidRPr="00B90776">
        <w:rPr>
          <w:rFonts w:ascii="Arial" w:eastAsiaTheme="minorHAnsi" w:hAnsi="Arial" w:cstheme="minorBidi"/>
          <w:sz w:val="20"/>
          <w:szCs w:val="22"/>
          <w:lang w:eastAsia="en-US"/>
        </w:rPr>
        <w:t xml:space="preserve">, določenega v </w:t>
      </w:r>
      <w:r w:rsidRPr="003F79E5">
        <w:rPr>
          <w:rFonts w:ascii="Arial" w:eastAsiaTheme="minorHAnsi" w:hAnsi="Arial" w:cstheme="minorBidi"/>
          <w:sz w:val="20"/>
          <w:szCs w:val="22"/>
          <w:lang w:eastAsia="en-US"/>
        </w:rPr>
        <w:t>prvem</w:t>
      </w:r>
      <w:r w:rsidRPr="00B90776">
        <w:rPr>
          <w:rFonts w:ascii="Arial" w:eastAsiaTheme="minorHAnsi" w:hAnsi="Arial" w:cstheme="minorBidi"/>
          <w:sz w:val="20"/>
          <w:szCs w:val="22"/>
          <w:lang w:eastAsia="en-US"/>
        </w:rPr>
        <w:t xml:space="preserve"> odstavku </w:t>
      </w:r>
      <w:r w:rsidRPr="003F79E5">
        <w:rPr>
          <w:rFonts w:ascii="Arial" w:eastAsiaTheme="minorHAnsi" w:hAnsi="Arial" w:cstheme="minorBidi"/>
          <w:sz w:val="20"/>
          <w:szCs w:val="22"/>
          <w:lang w:eastAsia="en-US"/>
        </w:rPr>
        <w:t>48</w:t>
      </w:r>
      <w:r w:rsidRPr="00B90776">
        <w:rPr>
          <w:rFonts w:ascii="Arial" w:eastAsiaTheme="minorHAnsi" w:hAnsi="Arial" w:cstheme="minorBidi"/>
          <w:sz w:val="20"/>
          <w:szCs w:val="22"/>
          <w:lang w:eastAsia="en-US"/>
        </w:rPr>
        <w:t xml:space="preserve">. člena Zakona o </w:t>
      </w:r>
      <w:r w:rsidRPr="00B90776">
        <w:rPr>
          <w:rFonts w:ascii="Arial" w:eastAsiaTheme="minorHAnsi" w:hAnsi="Arial" w:cstheme="minorBidi"/>
          <w:sz w:val="20"/>
          <w:szCs w:val="22"/>
          <w:lang w:eastAsia="en-US"/>
        </w:rPr>
        <w:lastRenderedPageBreak/>
        <w:t>izvrševanju proračunov Republike Slovenije za leti 202</w:t>
      </w:r>
      <w:r w:rsidR="008153DC">
        <w:rPr>
          <w:rFonts w:ascii="Arial" w:eastAsiaTheme="minorHAnsi" w:hAnsi="Arial" w:cstheme="minorBidi"/>
          <w:sz w:val="20"/>
          <w:szCs w:val="22"/>
          <w:lang w:eastAsia="en-US"/>
        </w:rPr>
        <w:t>1</w:t>
      </w:r>
      <w:r w:rsidRPr="00B90776">
        <w:rPr>
          <w:rFonts w:ascii="Arial" w:eastAsiaTheme="minorHAnsi" w:hAnsi="Arial" w:cstheme="minorBidi"/>
          <w:sz w:val="20"/>
          <w:szCs w:val="22"/>
          <w:lang w:eastAsia="en-US"/>
        </w:rPr>
        <w:t xml:space="preserve"> in 202</w:t>
      </w:r>
      <w:r w:rsidR="008153DC">
        <w:rPr>
          <w:rFonts w:ascii="Arial" w:eastAsiaTheme="minorHAnsi" w:hAnsi="Arial" w:cstheme="minorBidi"/>
          <w:sz w:val="20"/>
          <w:szCs w:val="22"/>
          <w:lang w:eastAsia="en-US"/>
        </w:rPr>
        <w:t>2</w:t>
      </w:r>
      <w:r w:rsidRPr="00B90776">
        <w:rPr>
          <w:rFonts w:ascii="Arial" w:eastAsiaTheme="minorHAnsi" w:hAnsi="Arial" w:cstheme="minorBidi"/>
          <w:sz w:val="20"/>
          <w:szCs w:val="22"/>
          <w:lang w:eastAsia="en-US"/>
        </w:rPr>
        <w:t xml:space="preserve"> (Uradni list RS, št. </w:t>
      </w:r>
      <w:r w:rsidR="003F79E5">
        <w:rPr>
          <w:rFonts w:ascii="Arial" w:eastAsiaTheme="minorHAnsi" w:hAnsi="Arial" w:cstheme="minorBidi"/>
          <w:sz w:val="20"/>
          <w:szCs w:val="22"/>
          <w:lang w:eastAsia="en-US"/>
        </w:rPr>
        <w:t>1</w:t>
      </w:r>
      <w:r w:rsidR="003F79E5" w:rsidRPr="003F79E5">
        <w:rPr>
          <w:rFonts w:ascii="Arial" w:hAnsi="Arial" w:cs="Arial"/>
          <w:bCs/>
          <w:sz w:val="20"/>
          <w:szCs w:val="20"/>
        </w:rPr>
        <w:t>74</w:t>
      </w:r>
      <w:r w:rsidR="003F79E5" w:rsidRPr="003F79E5">
        <w:rPr>
          <w:rFonts w:ascii="Arial" w:eastAsiaTheme="minorHAnsi" w:hAnsi="Arial" w:cstheme="minorBidi"/>
          <w:sz w:val="20"/>
          <w:szCs w:val="22"/>
          <w:lang w:eastAsia="en-US"/>
        </w:rPr>
        <w:t>/20</w:t>
      </w:r>
      <w:r w:rsidRPr="003F79E5">
        <w:rPr>
          <w:rFonts w:ascii="Arial" w:eastAsiaTheme="minorHAnsi" w:hAnsi="Arial" w:cstheme="minorBidi"/>
          <w:sz w:val="20"/>
          <w:szCs w:val="22"/>
          <w:lang w:eastAsia="en-US"/>
        </w:rPr>
        <w:t>;</w:t>
      </w:r>
      <w:r w:rsidRPr="00B90776">
        <w:rPr>
          <w:rFonts w:ascii="Arial" w:eastAsiaTheme="minorHAnsi" w:hAnsi="Arial" w:cstheme="minorBidi"/>
          <w:sz w:val="20"/>
          <w:szCs w:val="22"/>
          <w:lang w:eastAsia="en-US"/>
        </w:rPr>
        <w:t xml:space="preserve"> v nadaljnjem besedilu: ZIPRS2</w:t>
      </w:r>
      <w:r w:rsidR="008153DC">
        <w:rPr>
          <w:rFonts w:ascii="Arial" w:eastAsiaTheme="minorHAnsi" w:hAnsi="Arial" w:cstheme="minorBidi"/>
          <w:sz w:val="20"/>
          <w:szCs w:val="22"/>
          <w:lang w:eastAsia="en-US"/>
        </w:rPr>
        <w:t>1</w:t>
      </w:r>
      <w:r w:rsidRPr="00B90776">
        <w:rPr>
          <w:rFonts w:ascii="Arial" w:eastAsiaTheme="minorHAnsi" w:hAnsi="Arial" w:cstheme="minorBidi"/>
          <w:sz w:val="20"/>
          <w:szCs w:val="22"/>
          <w:lang w:eastAsia="en-US"/>
        </w:rPr>
        <w:t>2</w:t>
      </w:r>
      <w:r w:rsidR="008153DC">
        <w:rPr>
          <w:rFonts w:ascii="Arial" w:eastAsiaTheme="minorHAnsi" w:hAnsi="Arial" w:cstheme="minorBidi"/>
          <w:sz w:val="20"/>
          <w:szCs w:val="22"/>
          <w:lang w:eastAsia="en-US"/>
        </w:rPr>
        <w:t>2</w:t>
      </w:r>
      <w:r w:rsidRPr="00B90776">
        <w:rPr>
          <w:rFonts w:ascii="Arial" w:eastAsiaTheme="minorHAnsi" w:hAnsi="Arial" w:cstheme="minorBidi"/>
          <w:sz w:val="20"/>
          <w:szCs w:val="22"/>
          <w:lang w:eastAsia="en-US"/>
        </w:rPr>
        <w:t xml:space="preserve">), upoštevaje spremembo stanja sredstev na računu in </w:t>
      </w:r>
      <w:proofErr w:type="spellStart"/>
      <w:r w:rsidRPr="00B90776">
        <w:rPr>
          <w:rFonts w:ascii="Arial" w:eastAsiaTheme="minorHAnsi" w:hAnsi="Arial" w:cstheme="minorBidi"/>
          <w:sz w:val="20"/>
          <w:szCs w:val="22"/>
          <w:lang w:eastAsia="en-US"/>
        </w:rPr>
        <w:t>predfinanciranje</w:t>
      </w:r>
      <w:proofErr w:type="spellEnd"/>
      <w:r w:rsidRPr="00B90776">
        <w:rPr>
          <w:rFonts w:ascii="Arial" w:eastAsiaTheme="minorHAnsi" w:hAnsi="Arial" w:cstheme="minorBidi"/>
          <w:sz w:val="20"/>
          <w:szCs w:val="22"/>
          <w:lang w:eastAsia="en-US"/>
        </w:rPr>
        <w:t>, izvršeno v letu 20</w:t>
      </w:r>
      <w:r w:rsidR="008153DC">
        <w:rPr>
          <w:rFonts w:ascii="Arial" w:eastAsiaTheme="minorHAnsi" w:hAnsi="Arial" w:cstheme="minorBidi"/>
          <w:sz w:val="20"/>
          <w:szCs w:val="22"/>
          <w:lang w:eastAsia="en-US"/>
        </w:rPr>
        <w:t>20</w:t>
      </w:r>
      <w:r w:rsidRPr="00B90776">
        <w:rPr>
          <w:rFonts w:ascii="Arial" w:eastAsiaTheme="minorHAnsi" w:hAnsi="Arial" w:cstheme="minorBidi"/>
          <w:sz w:val="20"/>
          <w:szCs w:val="22"/>
          <w:lang w:eastAsia="en-US"/>
        </w:rPr>
        <w:t>, se država v letu 202</w:t>
      </w:r>
      <w:r w:rsidR="008153DC">
        <w:rPr>
          <w:rFonts w:ascii="Arial" w:eastAsiaTheme="minorHAnsi" w:hAnsi="Arial" w:cstheme="minorBidi"/>
          <w:sz w:val="20"/>
          <w:szCs w:val="22"/>
          <w:lang w:eastAsia="en-US"/>
        </w:rPr>
        <w:t>1</w:t>
      </w:r>
      <w:r w:rsidRPr="00B90776">
        <w:rPr>
          <w:rFonts w:ascii="Arial" w:eastAsiaTheme="minorHAnsi" w:hAnsi="Arial" w:cstheme="minorBidi"/>
          <w:sz w:val="20"/>
          <w:szCs w:val="22"/>
          <w:lang w:eastAsia="en-US"/>
        </w:rPr>
        <w:t xml:space="preserve"> lahko zadolži za izvrševanje državnega proračuna za leto 202</w:t>
      </w:r>
      <w:r w:rsidR="008153DC">
        <w:rPr>
          <w:rFonts w:ascii="Arial" w:eastAsiaTheme="minorHAnsi" w:hAnsi="Arial" w:cstheme="minorBidi"/>
          <w:sz w:val="20"/>
          <w:szCs w:val="22"/>
          <w:lang w:eastAsia="en-US"/>
        </w:rPr>
        <w:t>1</w:t>
      </w:r>
      <w:r w:rsidRPr="00B90776">
        <w:rPr>
          <w:rFonts w:ascii="Arial" w:eastAsiaTheme="minorHAnsi" w:hAnsi="Arial" w:cstheme="minorBidi"/>
          <w:sz w:val="20"/>
          <w:szCs w:val="22"/>
          <w:lang w:eastAsia="en-US"/>
        </w:rPr>
        <w:t xml:space="preserve"> in za </w:t>
      </w:r>
      <w:proofErr w:type="spellStart"/>
      <w:r w:rsidRPr="00B90776">
        <w:rPr>
          <w:rFonts w:ascii="Arial" w:eastAsiaTheme="minorHAnsi" w:hAnsi="Arial" w:cstheme="minorBidi"/>
          <w:sz w:val="20"/>
          <w:szCs w:val="22"/>
          <w:lang w:eastAsia="en-US"/>
        </w:rPr>
        <w:t>predfinanciranje</w:t>
      </w:r>
      <w:proofErr w:type="spellEnd"/>
      <w:r w:rsidRPr="00B90776">
        <w:rPr>
          <w:rFonts w:ascii="Arial" w:eastAsiaTheme="minorHAnsi" w:hAnsi="Arial" w:cstheme="minorBidi"/>
          <w:sz w:val="20"/>
          <w:szCs w:val="22"/>
          <w:lang w:eastAsia="en-US"/>
        </w:rPr>
        <w:t xml:space="preserve"> do obsegov, navedenih v nadaljevanju.</w:t>
      </w:r>
    </w:p>
    <w:p w14:paraId="4F33096D" w14:textId="77777777" w:rsidR="00B90776" w:rsidRPr="00553167" w:rsidRDefault="00B90776" w:rsidP="00B90776">
      <w:pPr>
        <w:suppressAutoHyphens w:val="0"/>
        <w:spacing w:after="200" w:line="260" w:lineRule="exact"/>
        <w:jc w:val="both"/>
        <w:rPr>
          <w:rFonts w:ascii="Arial" w:eastAsiaTheme="minorHAnsi" w:hAnsi="Arial" w:cs="Arial"/>
          <w:b/>
          <w:bCs/>
          <w:sz w:val="20"/>
          <w:szCs w:val="20"/>
          <w:lang w:eastAsia="en-US"/>
        </w:rPr>
      </w:pPr>
    </w:p>
    <w:p w14:paraId="73FD6898" w14:textId="77777777" w:rsidR="00B90776" w:rsidRPr="00553167" w:rsidRDefault="00B90776" w:rsidP="00B90776">
      <w:pPr>
        <w:suppressAutoHyphens w:val="0"/>
        <w:spacing w:after="200" w:line="260" w:lineRule="exact"/>
        <w:jc w:val="both"/>
        <w:rPr>
          <w:rFonts w:ascii="Arial" w:eastAsiaTheme="minorHAnsi" w:hAnsi="Arial" w:cs="Arial"/>
          <w:b/>
          <w:bCs/>
          <w:sz w:val="20"/>
          <w:szCs w:val="20"/>
          <w:lang w:eastAsia="en-US"/>
        </w:rPr>
      </w:pPr>
      <w:r w:rsidRPr="00553167">
        <w:rPr>
          <w:rFonts w:ascii="Arial" w:eastAsiaTheme="minorHAnsi" w:hAnsi="Arial" w:cs="Arial"/>
          <w:b/>
          <w:bCs/>
          <w:sz w:val="20"/>
          <w:szCs w:val="20"/>
          <w:lang w:eastAsia="en-US"/>
        </w:rPr>
        <w:t>Financiranje v letu 202</w:t>
      </w:r>
      <w:r w:rsidR="008153DC" w:rsidRPr="00553167">
        <w:rPr>
          <w:rFonts w:ascii="Arial" w:eastAsiaTheme="minorHAnsi" w:hAnsi="Arial" w:cs="Arial"/>
          <w:b/>
          <w:bCs/>
          <w:sz w:val="20"/>
          <w:szCs w:val="20"/>
          <w:lang w:eastAsia="en-US"/>
        </w:rPr>
        <w:t>1</w:t>
      </w:r>
      <w:r w:rsidRPr="00553167">
        <w:rPr>
          <w:rFonts w:ascii="Arial" w:eastAsiaTheme="minorHAnsi" w:hAnsi="Arial" w:cs="Arial"/>
          <w:b/>
          <w:bCs/>
          <w:sz w:val="20"/>
          <w:szCs w:val="20"/>
          <w:lang w:eastAsia="en-US"/>
        </w:rPr>
        <w:t xml:space="preserve"> za izvrševanje državnega proračuna </w:t>
      </w:r>
    </w:p>
    <w:p w14:paraId="5BA292CB" w14:textId="77777777" w:rsidR="00B90776" w:rsidRPr="00553167" w:rsidRDefault="00B90776" w:rsidP="00B11C76">
      <w:pPr>
        <w:suppressAutoHyphens w:val="0"/>
        <w:spacing w:after="200" w:line="260" w:lineRule="exact"/>
        <w:rPr>
          <w:rFonts w:ascii="Arial" w:eastAsiaTheme="minorHAnsi" w:hAnsi="Arial" w:cstheme="minorBidi"/>
          <w:sz w:val="20"/>
          <w:szCs w:val="22"/>
          <w:lang w:val="it-IT" w:eastAsia="en-US"/>
        </w:rPr>
      </w:pPr>
      <w:proofErr w:type="spellStart"/>
      <w:r w:rsidRPr="00553167">
        <w:rPr>
          <w:rFonts w:ascii="Arial" w:eastAsiaTheme="minorHAnsi" w:hAnsi="Arial" w:cs="Arial"/>
          <w:bCs/>
          <w:i/>
          <w:sz w:val="20"/>
          <w:szCs w:val="22"/>
          <w:lang w:val="it-IT" w:eastAsia="en-US"/>
        </w:rPr>
        <w:t>Tabela</w:t>
      </w:r>
      <w:proofErr w:type="spellEnd"/>
      <w:r w:rsidRPr="00553167">
        <w:rPr>
          <w:rFonts w:ascii="Arial" w:eastAsiaTheme="minorHAnsi" w:hAnsi="Arial" w:cs="Arial"/>
          <w:bCs/>
          <w:i/>
          <w:sz w:val="20"/>
          <w:szCs w:val="22"/>
          <w:lang w:val="it-IT" w:eastAsia="en-US"/>
        </w:rPr>
        <w:t xml:space="preserve"> 2: </w:t>
      </w:r>
      <w:proofErr w:type="spellStart"/>
      <w:r w:rsidRPr="00553167">
        <w:rPr>
          <w:rFonts w:ascii="Arial" w:eastAsiaTheme="minorHAnsi" w:hAnsi="Arial" w:cs="Arial"/>
          <w:bCs/>
          <w:i/>
          <w:sz w:val="20"/>
          <w:szCs w:val="22"/>
          <w:lang w:val="it-IT" w:eastAsia="en-US"/>
        </w:rPr>
        <w:t>Financiranje</w:t>
      </w:r>
      <w:proofErr w:type="spellEnd"/>
      <w:r w:rsidRPr="00553167">
        <w:rPr>
          <w:rFonts w:ascii="Arial" w:eastAsiaTheme="minorHAnsi" w:hAnsi="Arial" w:cs="Arial"/>
          <w:bCs/>
          <w:i/>
          <w:sz w:val="20"/>
          <w:szCs w:val="22"/>
          <w:lang w:val="it-IT" w:eastAsia="en-US"/>
        </w:rPr>
        <w:t xml:space="preserve"> </w:t>
      </w:r>
      <w:proofErr w:type="spellStart"/>
      <w:r w:rsidRPr="00553167">
        <w:rPr>
          <w:rFonts w:ascii="Arial" w:eastAsiaTheme="minorHAnsi" w:hAnsi="Arial" w:cs="Arial"/>
          <w:bCs/>
          <w:i/>
          <w:sz w:val="20"/>
          <w:szCs w:val="22"/>
          <w:lang w:val="it-IT" w:eastAsia="en-US"/>
        </w:rPr>
        <w:t>izvrševanja</w:t>
      </w:r>
      <w:proofErr w:type="spellEnd"/>
      <w:r w:rsidRPr="00553167">
        <w:rPr>
          <w:rFonts w:ascii="Arial" w:eastAsiaTheme="minorHAnsi" w:hAnsi="Arial" w:cs="Arial"/>
          <w:bCs/>
          <w:i/>
          <w:sz w:val="20"/>
          <w:szCs w:val="22"/>
          <w:lang w:val="it-IT" w:eastAsia="en-US"/>
        </w:rPr>
        <w:t xml:space="preserve"> </w:t>
      </w:r>
      <w:proofErr w:type="spellStart"/>
      <w:r w:rsidRPr="00553167">
        <w:rPr>
          <w:rFonts w:ascii="Arial" w:eastAsiaTheme="minorHAnsi" w:hAnsi="Arial" w:cs="Arial"/>
          <w:bCs/>
          <w:i/>
          <w:sz w:val="20"/>
          <w:szCs w:val="22"/>
          <w:lang w:val="it-IT" w:eastAsia="en-US"/>
        </w:rPr>
        <w:t>proračuna</w:t>
      </w:r>
      <w:proofErr w:type="spellEnd"/>
      <w:r w:rsidRPr="00553167">
        <w:rPr>
          <w:rFonts w:ascii="Arial" w:eastAsiaTheme="minorHAnsi" w:hAnsi="Arial" w:cs="Arial"/>
          <w:bCs/>
          <w:i/>
          <w:sz w:val="20"/>
          <w:szCs w:val="22"/>
          <w:lang w:val="it-IT" w:eastAsia="en-US"/>
        </w:rPr>
        <w:t xml:space="preserve"> </w:t>
      </w:r>
      <w:proofErr w:type="spellStart"/>
      <w:r w:rsidRPr="00553167">
        <w:rPr>
          <w:rFonts w:ascii="Arial" w:eastAsiaTheme="minorHAnsi" w:hAnsi="Arial" w:cs="Arial"/>
          <w:bCs/>
          <w:i/>
          <w:sz w:val="20"/>
          <w:szCs w:val="22"/>
          <w:lang w:val="it-IT" w:eastAsia="en-US"/>
        </w:rPr>
        <w:t>Republike</w:t>
      </w:r>
      <w:proofErr w:type="spellEnd"/>
      <w:r w:rsidRPr="00553167">
        <w:rPr>
          <w:rFonts w:ascii="Arial" w:eastAsiaTheme="minorHAnsi" w:hAnsi="Arial" w:cs="Arial"/>
          <w:bCs/>
          <w:i/>
          <w:sz w:val="20"/>
          <w:szCs w:val="22"/>
          <w:lang w:val="it-IT" w:eastAsia="en-US"/>
        </w:rPr>
        <w:t xml:space="preserve"> </w:t>
      </w:r>
      <w:proofErr w:type="spellStart"/>
      <w:r w:rsidRPr="00553167">
        <w:rPr>
          <w:rFonts w:ascii="Arial" w:eastAsiaTheme="minorHAnsi" w:hAnsi="Arial" w:cs="Arial"/>
          <w:bCs/>
          <w:i/>
          <w:sz w:val="20"/>
          <w:szCs w:val="22"/>
          <w:lang w:val="it-IT" w:eastAsia="en-US"/>
        </w:rPr>
        <w:t>Slovenije</w:t>
      </w:r>
      <w:proofErr w:type="spellEnd"/>
      <w:r w:rsidRPr="00553167">
        <w:rPr>
          <w:rFonts w:ascii="Arial" w:eastAsiaTheme="minorHAnsi" w:hAnsi="Arial" w:cs="Arial"/>
          <w:bCs/>
          <w:i/>
          <w:sz w:val="20"/>
          <w:szCs w:val="22"/>
          <w:lang w:val="it-IT" w:eastAsia="en-US"/>
        </w:rPr>
        <w:t xml:space="preserve"> v </w:t>
      </w:r>
      <w:proofErr w:type="spellStart"/>
      <w:r w:rsidRPr="00553167">
        <w:rPr>
          <w:rFonts w:ascii="Arial" w:eastAsiaTheme="minorHAnsi" w:hAnsi="Arial" w:cs="Arial"/>
          <w:bCs/>
          <w:i/>
          <w:sz w:val="20"/>
          <w:szCs w:val="22"/>
          <w:lang w:val="it-IT" w:eastAsia="en-US"/>
        </w:rPr>
        <w:t>letu</w:t>
      </w:r>
      <w:proofErr w:type="spellEnd"/>
      <w:r w:rsidRPr="00553167">
        <w:rPr>
          <w:rFonts w:ascii="Arial" w:eastAsiaTheme="minorHAnsi" w:hAnsi="Arial" w:cs="Arial"/>
          <w:bCs/>
          <w:i/>
          <w:sz w:val="20"/>
          <w:szCs w:val="22"/>
          <w:lang w:val="it-IT" w:eastAsia="en-US"/>
        </w:rPr>
        <w:t xml:space="preserve"> 202</w:t>
      </w:r>
      <w:r w:rsidR="008153DC" w:rsidRPr="00553167">
        <w:rPr>
          <w:rFonts w:ascii="Arial" w:eastAsiaTheme="minorHAnsi" w:hAnsi="Arial" w:cs="Arial"/>
          <w:bCs/>
          <w:i/>
          <w:sz w:val="20"/>
          <w:szCs w:val="22"/>
          <w:lang w:val="it-IT" w:eastAsia="en-US"/>
        </w:rPr>
        <w:t>1</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B11C76" w:rsidRPr="00B90776" w14:paraId="4585B579" w14:textId="77777777" w:rsidTr="0058632F">
        <w:trPr>
          <w:trHeight w:val="334"/>
        </w:trPr>
        <w:tc>
          <w:tcPr>
            <w:tcW w:w="567" w:type="dxa"/>
            <w:vAlign w:val="center"/>
          </w:tcPr>
          <w:p w14:paraId="06E64E17" w14:textId="77777777" w:rsidR="00B11C76" w:rsidRPr="00B90776" w:rsidRDefault="00B11C76" w:rsidP="0058632F">
            <w:pPr>
              <w:suppressAutoHyphens w:val="0"/>
              <w:spacing w:line="260" w:lineRule="atLeast"/>
              <w:rPr>
                <w:rFonts w:ascii="Arial" w:eastAsiaTheme="minorHAnsi" w:hAnsi="Arial" w:cs="Arial"/>
                <w:b/>
                <w:bCs/>
                <w:sz w:val="20"/>
                <w:szCs w:val="22"/>
                <w:lang w:val="en-GB" w:eastAsia="en-US"/>
              </w:rPr>
            </w:pPr>
            <w:r w:rsidRPr="00B90776">
              <w:rPr>
                <w:rFonts w:ascii="Arial" w:eastAsiaTheme="minorHAnsi" w:hAnsi="Arial" w:cs="Arial"/>
                <w:b/>
                <w:bCs/>
                <w:sz w:val="20"/>
                <w:szCs w:val="22"/>
                <w:lang w:val="en-GB" w:eastAsia="en-US"/>
              </w:rPr>
              <w:t>I.</w:t>
            </w:r>
          </w:p>
        </w:tc>
        <w:tc>
          <w:tcPr>
            <w:tcW w:w="5765" w:type="dxa"/>
            <w:vAlign w:val="center"/>
          </w:tcPr>
          <w:p w14:paraId="4C4E81C0" w14:textId="77777777" w:rsidR="00B11C76" w:rsidRPr="00B90776" w:rsidRDefault="00B11C76" w:rsidP="0058632F">
            <w:pPr>
              <w:suppressAutoHyphens w:val="0"/>
              <w:spacing w:line="260" w:lineRule="atLeast"/>
              <w:rPr>
                <w:rFonts w:ascii="Arial" w:eastAsiaTheme="minorHAnsi" w:hAnsi="Arial" w:cs="Arial"/>
                <w:b/>
                <w:bCs/>
                <w:sz w:val="20"/>
                <w:szCs w:val="22"/>
                <w:lang w:val="en-GB" w:eastAsia="en-US"/>
              </w:rPr>
            </w:pPr>
            <w:proofErr w:type="spellStart"/>
            <w:r w:rsidRPr="00B90776">
              <w:rPr>
                <w:rFonts w:ascii="Arial" w:eastAsiaTheme="minorHAnsi" w:hAnsi="Arial" w:cs="Arial"/>
                <w:b/>
                <w:bCs/>
                <w:sz w:val="20"/>
                <w:szCs w:val="22"/>
                <w:lang w:val="en-GB" w:eastAsia="en-US"/>
              </w:rPr>
              <w:t>Proračun</w:t>
            </w:r>
            <w:proofErr w:type="spellEnd"/>
            <w:r w:rsidRPr="00B90776">
              <w:rPr>
                <w:rFonts w:ascii="Arial" w:eastAsiaTheme="minorHAnsi" w:hAnsi="Arial" w:cs="Arial"/>
                <w:b/>
                <w:bCs/>
                <w:sz w:val="20"/>
                <w:szCs w:val="22"/>
                <w:lang w:val="en-GB" w:eastAsia="en-US"/>
              </w:rPr>
              <w:t xml:space="preserve"> </w:t>
            </w:r>
            <w:proofErr w:type="spellStart"/>
            <w:r w:rsidRPr="00B90776">
              <w:rPr>
                <w:rFonts w:ascii="Arial" w:eastAsiaTheme="minorHAnsi" w:hAnsi="Arial" w:cs="Arial"/>
                <w:b/>
                <w:bCs/>
                <w:sz w:val="20"/>
                <w:szCs w:val="22"/>
                <w:lang w:val="en-GB" w:eastAsia="en-US"/>
              </w:rPr>
              <w:t>Republike</w:t>
            </w:r>
            <w:proofErr w:type="spellEnd"/>
            <w:r w:rsidRPr="00B90776">
              <w:rPr>
                <w:rFonts w:ascii="Arial" w:eastAsiaTheme="minorHAnsi" w:hAnsi="Arial" w:cs="Arial"/>
                <w:b/>
                <w:bCs/>
                <w:sz w:val="20"/>
                <w:szCs w:val="22"/>
                <w:lang w:val="en-GB" w:eastAsia="en-US"/>
              </w:rPr>
              <w:t xml:space="preserve"> </w:t>
            </w:r>
            <w:proofErr w:type="spellStart"/>
            <w:r w:rsidRPr="00B90776">
              <w:rPr>
                <w:rFonts w:ascii="Arial" w:eastAsiaTheme="minorHAnsi" w:hAnsi="Arial" w:cs="Arial"/>
                <w:b/>
                <w:bCs/>
                <w:sz w:val="20"/>
                <w:szCs w:val="22"/>
                <w:lang w:val="en-GB" w:eastAsia="en-US"/>
              </w:rPr>
              <w:t>Slovenije</w:t>
            </w:r>
            <w:proofErr w:type="spellEnd"/>
            <w:r w:rsidRPr="00B90776">
              <w:rPr>
                <w:rFonts w:ascii="Arial" w:eastAsiaTheme="minorHAnsi" w:hAnsi="Arial" w:cs="Arial"/>
                <w:b/>
                <w:bCs/>
                <w:sz w:val="20"/>
                <w:szCs w:val="22"/>
                <w:lang w:val="en-GB" w:eastAsia="en-US"/>
              </w:rPr>
              <w:t xml:space="preserve"> </w:t>
            </w:r>
          </w:p>
        </w:tc>
        <w:tc>
          <w:tcPr>
            <w:tcW w:w="2977" w:type="dxa"/>
          </w:tcPr>
          <w:p w14:paraId="7AD481D5" w14:textId="77777777" w:rsidR="00B11C76" w:rsidRPr="00B90776" w:rsidDel="00FA557F" w:rsidRDefault="00B11C76" w:rsidP="00B11C76">
            <w:pPr>
              <w:suppressAutoHyphens w:val="0"/>
              <w:spacing w:after="200" w:line="260" w:lineRule="atLeast"/>
              <w:jc w:val="right"/>
              <w:rPr>
                <w:rFonts w:ascii="Arial" w:eastAsiaTheme="minorHAnsi" w:hAnsi="Arial" w:cs="Arial"/>
                <w:bCs/>
                <w:sz w:val="20"/>
                <w:szCs w:val="22"/>
                <w:lang w:val="en-GB" w:eastAsia="en-US"/>
              </w:rPr>
            </w:pPr>
          </w:p>
        </w:tc>
      </w:tr>
      <w:tr w:rsidR="00B11C76" w:rsidRPr="00B90776" w14:paraId="712A7C3F" w14:textId="77777777" w:rsidTr="0058632F">
        <w:trPr>
          <w:trHeight w:val="520"/>
        </w:trPr>
        <w:tc>
          <w:tcPr>
            <w:tcW w:w="567" w:type="dxa"/>
            <w:vAlign w:val="center"/>
          </w:tcPr>
          <w:p w14:paraId="358FCEC8" w14:textId="77777777" w:rsidR="00B11C76" w:rsidRPr="00B90776" w:rsidRDefault="00B11C76" w:rsidP="00B11C76">
            <w:pPr>
              <w:suppressAutoHyphens w:val="0"/>
              <w:spacing w:after="200" w:line="260" w:lineRule="atLeast"/>
              <w:jc w:val="center"/>
              <w:rPr>
                <w:rFonts w:ascii="Arial" w:eastAsiaTheme="minorHAnsi" w:hAnsi="Arial" w:cs="Arial"/>
                <w:b/>
                <w:bCs/>
                <w:sz w:val="20"/>
                <w:szCs w:val="22"/>
                <w:lang w:val="en-GB" w:eastAsia="en-US"/>
              </w:rPr>
            </w:pPr>
          </w:p>
        </w:tc>
        <w:tc>
          <w:tcPr>
            <w:tcW w:w="5765" w:type="dxa"/>
            <w:vAlign w:val="center"/>
          </w:tcPr>
          <w:p w14:paraId="68FC90BE" w14:textId="77777777" w:rsidR="00B11C76" w:rsidRPr="00553167" w:rsidRDefault="00B11C76" w:rsidP="00B11C76">
            <w:pPr>
              <w:numPr>
                <w:ilvl w:val="0"/>
                <w:numId w:val="11"/>
              </w:numPr>
              <w:suppressAutoHyphens w:val="0"/>
              <w:spacing w:after="200" w:line="260" w:lineRule="atLeast"/>
              <w:contextualSpacing/>
              <w:rPr>
                <w:rFonts w:ascii="Arial" w:eastAsiaTheme="minorHAnsi" w:hAnsi="Arial" w:cs="Arial"/>
                <w:bCs/>
                <w:sz w:val="20"/>
                <w:szCs w:val="22"/>
                <w:lang w:val="it-IT" w:eastAsia="en-US"/>
              </w:rPr>
            </w:pPr>
            <w:proofErr w:type="spellStart"/>
            <w:r w:rsidRPr="00553167">
              <w:rPr>
                <w:rFonts w:ascii="Arial" w:eastAsiaTheme="minorHAnsi" w:hAnsi="Arial" w:cs="Arial"/>
                <w:bCs/>
                <w:sz w:val="20"/>
                <w:szCs w:val="22"/>
                <w:lang w:val="it-IT" w:eastAsia="en-US"/>
              </w:rPr>
              <w:t>Primanjkljaj</w:t>
            </w:r>
            <w:proofErr w:type="spellEnd"/>
            <w:r w:rsidRPr="00553167">
              <w:rPr>
                <w:rFonts w:ascii="Arial" w:eastAsiaTheme="minorHAnsi" w:hAnsi="Arial" w:cs="Arial"/>
                <w:bCs/>
                <w:sz w:val="20"/>
                <w:szCs w:val="22"/>
                <w:lang w:val="it-IT" w:eastAsia="en-US"/>
              </w:rPr>
              <w:t xml:space="preserve"> A. Bilance </w:t>
            </w:r>
            <w:proofErr w:type="spellStart"/>
            <w:r w:rsidRPr="00553167">
              <w:rPr>
                <w:rFonts w:ascii="Arial" w:eastAsiaTheme="minorHAnsi" w:hAnsi="Arial" w:cs="Arial"/>
                <w:bCs/>
                <w:sz w:val="20"/>
                <w:szCs w:val="22"/>
                <w:lang w:val="it-IT" w:eastAsia="en-US"/>
              </w:rPr>
              <w:t>prihodkov</w:t>
            </w:r>
            <w:proofErr w:type="spellEnd"/>
            <w:r w:rsidRPr="00553167">
              <w:rPr>
                <w:rFonts w:ascii="Arial" w:eastAsiaTheme="minorHAnsi" w:hAnsi="Arial" w:cs="Arial"/>
                <w:bCs/>
                <w:sz w:val="20"/>
                <w:szCs w:val="22"/>
                <w:lang w:val="it-IT" w:eastAsia="en-US"/>
              </w:rPr>
              <w:t xml:space="preserve"> in </w:t>
            </w:r>
            <w:proofErr w:type="spellStart"/>
            <w:r w:rsidRPr="00553167">
              <w:rPr>
                <w:rFonts w:ascii="Arial" w:eastAsiaTheme="minorHAnsi" w:hAnsi="Arial" w:cs="Arial"/>
                <w:bCs/>
                <w:sz w:val="20"/>
                <w:szCs w:val="22"/>
                <w:lang w:val="it-IT" w:eastAsia="en-US"/>
              </w:rPr>
              <w:t>odhodkov</w:t>
            </w:r>
            <w:proofErr w:type="spellEnd"/>
          </w:p>
        </w:tc>
        <w:tc>
          <w:tcPr>
            <w:tcW w:w="2977" w:type="dxa"/>
            <w:vAlign w:val="center"/>
          </w:tcPr>
          <w:p w14:paraId="3C49AACE" w14:textId="77777777" w:rsidR="00B11C76" w:rsidRPr="00B90776" w:rsidRDefault="00644551" w:rsidP="00510373">
            <w:pPr>
              <w:suppressAutoHyphens w:val="0"/>
              <w:spacing w:after="200" w:line="260" w:lineRule="atLeast"/>
              <w:jc w:val="right"/>
              <w:rPr>
                <w:rFonts w:ascii="Arial" w:eastAsiaTheme="minorHAnsi" w:hAnsi="Arial" w:cs="Arial"/>
                <w:bCs/>
                <w:sz w:val="20"/>
                <w:szCs w:val="22"/>
                <w:lang w:val="en-GB" w:eastAsia="en-US"/>
              </w:rPr>
            </w:pPr>
            <w:r w:rsidRPr="00644551">
              <w:rPr>
                <w:rFonts w:ascii="Arial" w:eastAsiaTheme="minorHAnsi" w:hAnsi="Arial" w:cs="Arial"/>
                <w:bCs/>
                <w:sz w:val="20"/>
                <w:szCs w:val="22"/>
                <w:lang w:val="en-GB" w:eastAsia="en-US"/>
              </w:rPr>
              <w:t>2.746.789.588,25</w:t>
            </w:r>
            <w:r w:rsidR="00B11C76" w:rsidRPr="00B90776">
              <w:rPr>
                <w:rFonts w:ascii="Arial" w:eastAsiaTheme="minorHAnsi" w:hAnsi="Arial" w:cs="Arial"/>
                <w:bCs/>
                <w:sz w:val="20"/>
                <w:szCs w:val="22"/>
                <w:lang w:val="en-GB" w:eastAsia="en-US"/>
              </w:rPr>
              <w:t xml:space="preserve"> EUR</w:t>
            </w:r>
          </w:p>
        </w:tc>
      </w:tr>
      <w:tr w:rsidR="00B11C76" w:rsidRPr="00B90776" w14:paraId="78F62593" w14:textId="77777777" w:rsidTr="0058632F">
        <w:trPr>
          <w:trHeight w:val="520"/>
        </w:trPr>
        <w:tc>
          <w:tcPr>
            <w:tcW w:w="567" w:type="dxa"/>
            <w:vAlign w:val="center"/>
          </w:tcPr>
          <w:p w14:paraId="05ED6DCF" w14:textId="77777777" w:rsidR="00B11C76" w:rsidRPr="00B90776" w:rsidRDefault="00B11C76" w:rsidP="00B11C76">
            <w:pPr>
              <w:suppressAutoHyphens w:val="0"/>
              <w:spacing w:after="200" w:line="260" w:lineRule="atLeast"/>
              <w:jc w:val="center"/>
              <w:rPr>
                <w:rFonts w:ascii="Arial" w:eastAsiaTheme="minorHAnsi" w:hAnsi="Arial" w:cs="Arial"/>
                <w:bCs/>
                <w:sz w:val="20"/>
                <w:szCs w:val="22"/>
                <w:lang w:val="en-GB" w:eastAsia="en-US"/>
              </w:rPr>
            </w:pPr>
          </w:p>
        </w:tc>
        <w:tc>
          <w:tcPr>
            <w:tcW w:w="5765" w:type="dxa"/>
          </w:tcPr>
          <w:p w14:paraId="009A477D" w14:textId="77777777" w:rsidR="00B11C76" w:rsidRPr="00B90776" w:rsidRDefault="00887257" w:rsidP="00B11C76">
            <w:pPr>
              <w:numPr>
                <w:ilvl w:val="0"/>
                <w:numId w:val="11"/>
              </w:numPr>
              <w:suppressAutoHyphens w:val="0"/>
              <w:spacing w:after="200" w:line="260" w:lineRule="atLeast"/>
              <w:contextualSpacing/>
              <w:rPr>
                <w:rFonts w:ascii="Arial" w:eastAsiaTheme="minorHAnsi" w:hAnsi="Arial" w:cs="Arial"/>
                <w:bCs/>
                <w:sz w:val="20"/>
                <w:szCs w:val="22"/>
                <w:lang w:val="en-GB" w:eastAsia="en-US"/>
              </w:rPr>
            </w:pPr>
            <w:proofErr w:type="spellStart"/>
            <w:r w:rsidRPr="00B90776">
              <w:rPr>
                <w:rFonts w:ascii="Arial" w:eastAsiaTheme="minorHAnsi" w:hAnsi="Arial" w:cs="Arial"/>
                <w:bCs/>
                <w:sz w:val="20"/>
                <w:szCs w:val="22"/>
                <w:lang w:val="en-GB" w:eastAsia="en-US"/>
              </w:rPr>
              <w:t>Primanjkljaj</w:t>
            </w:r>
            <w:proofErr w:type="spellEnd"/>
            <w:r w:rsidRPr="00B90776">
              <w:rPr>
                <w:rFonts w:ascii="Arial" w:eastAsiaTheme="minorHAnsi" w:hAnsi="Arial" w:cs="Arial"/>
                <w:bCs/>
                <w:sz w:val="20"/>
                <w:szCs w:val="22"/>
                <w:lang w:val="en-GB" w:eastAsia="en-US"/>
              </w:rPr>
              <w:t xml:space="preserve"> </w:t>
            </w:r>
            <w:r w:rsidR="00B11C76" w:rsidRPr="00B90776">
              <w:rPr>
                <w:rFonts w:ascii="Arial" w:eastAsiaTheme="minorHAnsi" w:hAnsi="Arial" w:cs="Arial"/>
                <w:bCs/>
                <w:sz w:val="20"/>
                <w:szCs w:val="22"/>
                <w:lang w:val="en-GB" w:eastAsia="en-US"/>
              </w:rPr>
              <w:t xml:space="preserve">B. </w:t>
            </w:r>
            <w:proofErr w:type="spellStart"/>
            <w:r w:rsidR="00B11C76" w:rsidRPr="00B90776">
              <w:rPr>
                <w:rFonts w:ascii="Arial" w:eastAsiaTheme="minorHAnsi" w:hAnsi="Arial" w:cs="Arial"/>
                <w:bCs/>
                <w:sz w:val="20"/>
                <w:szCs w:val="22"/>
                <w:lang w:val="en-GB" w:eastAsia="en-US"/>
              </w:rPr>
              <w:t>Računa</w:t>
            </w:r>
            <w:proofErr w:type="spellEnd"/>
            <w:r w:rsidR="00B11C76" w:rsidRPr="00B90776">
              <w:rPr>
                <w:rFonts w:ascii="Arial" w:eastAsiaTheme="minorHAnsi" w:hAnsi="Arial" w:cs="Arial"/>
                <w:bCs/>
                <w:sz w:val="20"/>
                <w:szCs w:val="22"/>
                <w:lang w:val="en-GB" w:eastAsia="en-US"/>
              </w:rPr>
              <w:t xml:space="preserve"> </w:t>
            </w:r>
            <w:proofErr w:type="spellStart"/>
            <w:r w:rsidR="00B11C76" w:rsidRPr="00B90776">
              <w:rPr>
                <w:rFonts w:ascii="Arial" w:eastAsiaTheme="minorHAnsi" w:hAnsi="Arial" w:cs="Arial"/>
                <w:bCs/>
                <w:sz w:val="20"/>
                <w:szCs w:val="22"/>
                <w:lang w:val="en-GB" w:eastAsia="en-US"/>
              </w:rPr>
              <w:t>finančnih</w:t>
            </w:r>
            <w:proofErr w:type="spellEnd"/>
            <w:r w:rsidR="00B11C76" w:rsidRPr="00B90776">
              <w:rPr>
                <w:rFonts w:ascii="Arial" w:eastAsiaTheme="minorHAnsi" w:hAnsi="Arial" w:cs="Arial"/>
                <w:bCs/>
                <w:sz w:val="20"/>
                <w:szCs w:val="22"/>
                <w:lang w:val="en-GB" w:eastAsia="en-US"/>
              </w:rPr>
              <w:t xml:space="preserve"> </w:t>
            </w:r>
            <w:proofErr w:type="spellStart"/>
            <w:r w:rsidR="00B11C76" w:rsidRPr="00B90776">
              <w:rPr>
                <w:rFonts w:ascii="Arial" w:eastAsiaTheme="minorHAnsi" w:hAnsi="Arial" w:cs="Arial"/>
                <w:bCs/>
                <w:sz w:val="20"/>
                <w:szCs w:val="22"/>
                <w:lang w:val="en-GB" w:eastAsia="en-US"/>
              </w:rPr>
              <w:t>terjatev</w:t>
            </w:r>
            <w:proofErr w:type="spellEnd"/>
            <w:r w:rsidR="00B11C76" w:rsidRPr="00B90776">
              <w:rPr>
                <w:rFonts w:ascii="Arial" w:eastAsiaTheme="minorHAnsi" w:hAnsi="Arial" w:cs="Arial"/>
                <w:bCs/>
                <w:sz w:val="20"/>
                <w:szCs w:val="22"/>
                <w:lang w:val="en-GB" w:eastAsia="en-US"/>
              </w:rPr>
              <w:t xml:space="preserve"> in </w:t>
            </w:r>
            <w:proofErr w:type="spellStart"/>
            <w:r w:rsidR="00B11C76" w:rsidRPr="00B90776">
              <w:rPr>
                <w:rFonts w:ascii="Arial" w:eastAsiaTheme="minorHAnsi" w:hAnsi="Arial" w:cs="Arial"/>
                <w:bCs/>
                <w:sz w:val="20"/>
                <w:szCs w:val="22"/>
                <w:lang w:val="en-GB" w:eastAsia="en-US"/>
              </w:rPr>
              <w:t>naložb</w:t>
            </w:r>
            <w:proofErr w:type="spellEnd"/>
          </w:p>
        </w:tc>
        <w:tc>
          <w:tcPr>
            <w:tcW w:w="2977" w:type="dxa"/>
            <w:vAlign w:val="center"/>
          </w:tcPr>
          <w:p w14:paraId="39B53D1C" w14:textId="77777777" w:rsidR="00B11C76" w:rsidRPr="00B90776" w:rsidRDefault="00644551" w:rsidP="00B11C76">
            <w:pPr>
              <w:suppressAutoHyphens w:val="0"/>
              <w:spacing w:after="200" w:line="260" w:lineRule="atLeast"/>
              <w:jc w:val="right"/>
              <w:rPr>
                <w:rFonts w:ascii="Arial" w:eastAsiaTheme="minorHAnsi" w:hAnsi="Arial" w:cs="Arial"/>
                <w:bCs/>
                <w:sz w:val="20"/>
                <w:szCs w:val="22"/>
                <w:lang w:val="en-GB" w:eastAsia="en-US"/>
              </w:rPr>
            </w:pPr>
            <w:r w:rsidRPr="00644551">
              <w:rPr>
                <w:rFonts w:ascii="Arial" w:eastAsiaTheme="minorHAnsi" w:hAnsi="Arial" w:cs="Arial"/>
                <w:bCs/>
                <w:sz w:val="20"/>
                <w:szCs w:val="22"/>
                <w:lang w:val="en-GB" w:eastAsia="en-US"/>
              </w:rPr>
              <w:t>509.574.346,49</w:t>
            </w:r>
            <w:r w:rsidRPr="00644551" w:rsidDel="00887257">
              <w:rPr>
                <w:rFonts w:ascii="Arial" w:eastAsiaTheme="minorHAnsi" w:hAnsi="Arial" w:cs="Arial"/>
                <w:bCs/>
                <w:sz w:val="20"/>
                <w:szCs w:val="22"/>
                <w:lang w:val="en-GB" w:eastAsia="en-US"/>
              </w:rPr>
              <w:t xml:space="preserve"> </w:t>
            </w:r>
            <w:r w:rsidR="00B11C76" w:rsidRPr="00B90776">
              <w:rPr>
                <w:rFonts w:ascii="Arial" w:eastAsiaTheme="minorHAnsi" w:hAnsi="Arial" w:cs="Arial"/>
                <w:bCs/>
                <w:sz w:val="20"/>
                <w:szCs w:val="22"/>
                <w:lang w:val="en-GB" w:eastAsia="en-US"/>
              </w:rPr>
              <w:t>EUR</w:t>
            </w:r>
          </w:p>
        </w:tc>
      </w:tr>
      <w:tr w:rsidR="00B11C76" w:rsidRPr="00B90776" w14:paraId="6BFED60C" w14:textId="77777777" w:rsidTr="0058632F">
        <w:trPr>
          <w:trHeight w:val="520"/>
        </w:trPr>
        <w:tc>
          <w:tcPr>
            <w:tcW w:w="567" w:type="dxa"/>
            <w:vAlign w:val="center"/>
          </w:tcPr>
          <w:p w14:paraId="160C6BDF" w14:textId="77777777" w:rsidR="00B11C76" w:rsidRPr="00B90776" w:rsidRDefault="00B11C76" w:rsidP="00B11C76">
            <w:pPr>
              <w:suppressAutoHyphens w:val="0"/>
              <w:spacing w:after="200" w:line="260" w:lineRule="atLeast"/>
              <w:jc w:val="center"/>
              <w:rPr>
                <w:rFonts w:ascii="Arial" w:eastAsiaTheme="minorHAnsi" w:hAnsi="Arial" w:cs="Arial"/>
                <w:bCs/>
                <w:sz w:val="20"/>
                <w:szCs w:val="22"/>
                <w:lang w:val="en-GB" w:eastAsia="en-US"/>
              </w:rPr>
            </w:pPr>
          </w:p>
        </w:tc>
        <w:tc>
          <w:tcPr>
            <w:tcW w:w="5765" w:type="dxa"/>
            <w:vAlign w:val="center"/>
          </w:tcPr>
          <w:p w14:paraId="7592FA0A" w14:textId="77777777" w:rsidR="00B11C76" w:rsidRPr="00B90776" w:rsidRDefault="00B11C76" w:rsidP="00644551">
            <w:pPr>
              <w:numPr>
                <w:ilvl w:val="0"/>
                <w:numId w:val="11"/>
              </w:numPr>
              <w:suppressAutoHyphens w:val="0"/>
              <w:spacing w:after="200" w:line="260" w:lineRule="atLeast"/>
              <w:contextualSpacing/>
              <w:rPr>
                <w:rFonts w:ascii="Arial" w:eastAsiaTheme="minorHAnsi" w:hAnsi="Arial" w:cs="Arial"/>
                <w:bCs/>
                <w:sz w:val="20"/>
                <w:szCs w:val="22"/>
                <w:lang w:val="en-GB" w:eastAsia="en-US"/>
              </w:rPr>
            </w:pPr>
            <w:r w:rsidRPr="00B90776">
              <w:rPr>
                <w:rFonts w:ascii="Arial" w:eastAsiaTheme="minorHAnsi" w:hAnsi="Arial" w:cs="Arial"/>
                <w:bCs/>
                <w:sz w:val="20"/>
                <w:szCs w:val="22"/>
                <w:lang w:val="en-GB" w:eastAsia="en-US"/>
              </w:rPr>
              <w:t xml:space="preserve">C. </w:t>
            </w:r>
            <w:proofErr w:type="spellStart"/>
            <w:r w:rsidRPr="00B90776">
              <w:rPr>
                <w:rFonts w:ascii="Arial" w:eastAsiaTheme="minorHAnsi" w:hAnsi="Arial" w:cs="Arial"/>
                <w:bCs/>
                <w:sz w:val="20"/>
                <w:szCs w:val="22"/>
                <w:lang w:val="en-GB" w:eastAsia="en-US"/>
              </w:rPr>
              <w:t>Račun</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financiranja</w:t>
            </w:r>
            <w:proofErr w:type="spellEnd"/>
            <w:r w:rsidRPr="00B90776">
              <w:rPr>
                <w:rFonts w:ascii="Arial" w:eastAsiaTheme="minorHAnsi" w:hAnsi="Arial" w:cs="Arial"/>
                <w:bCs/>
                <w:sz w:val="20"/>
                <w:szCs w:val="22"/>
                <w:lang w:val="en-GB" w:eastAsia="en-US"/>
              </w:rPr>
              <w:t xml:space="preserve"> - </w:t>
            </w:r>
            <w:proofErr w:type="spellStart"/>
            <w:r w:rsidRPr="00B90776">
              <w:rPr>
                <w:rFonts w:ascii="Arial" w:eastAsiaTheme="minorHAnsi" w:hAnsi="Arial" w:cs="Arial"/>
                <w:bCs/>
                <w:sz w:val="20"/>
                <w:szCs w:val="22"/>
                <w:lang w:val="en-GB" w:eastAsia="en-US"/>
              </w:rPr>
              <w:t>Odplačila</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glavnic</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dolga</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državnega</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proračuna</w:t>
            </w:r>
            <w:proofErr w:type="spellEnd"/>
            <w:r w:rsidRPr="00B90776">
              <w:rPr>
                <w:rFonts w:ascii="Arial" w:eastAsiaTheme="minorHAnsi" w:hAnsi="Arial" w:cs="Arial"/>
                <w:bCs/>
                <w:sz w:val="20"/>
                <w:szCs w:val="22"/>
                <w:lang w:val="en-GB" w:eastAsia="en-US"/>
              </w:rPr>
              <w:t xml:space="preserve"> v </w:t>
            </w:r>
            <w:proofErr w:type="spellStart"/>
            <w:r w:rsidRPr="00B90776">
              <w:rPr>
                <w:rFonts w:ascii="Arial" w:eastAsiaTheme="minorHAnsi" w:hAnsi="Arial" w:cs="Arial"/>
                <w:bCs/>
                <w:sz w:val="20"/>
                <w:szCs w:val="22"/>
                <w:lang w:val="en-GB" w:eastAsia="en-US"/>
              </w:rPr>
              <w:t>letu</w:t>
            </w:r>
            <w:proofErr w:type="spellEnd"/>
            <w:r w:rsidRPr="00B90776">
              <w:rPr>
                <w:rFonts w:ascii="Arial" w:eastAsiaTheme="minorHAnsi" w:hAnsi="Arial" w:cs="Arial"/>
                <w:bCs/>
                <w:sz w:val="20"/>
                <w:szCs w:val="22"/>
                <w:lang w:val="en-GB" w:eastAsia="en-US"/>
              </w:rPr>
              <w:t xml:space="preserve"> 202</w:t>
            </w:r>
            <w:r w:rsidR="00887257">
              <w:rPr>
                <w:rFonts w:ascii="Arial" w:eastAsiaTheme="minorHAnsi" w:hAnsi="Arial" w:cs="Arial"/>
                <w:bCs/>
                <w:sz w:val="20"/>
                <w:szCs w:val="22"/>
                <w:lang w:val="en-GB" w:eastAsia="en-US"/>
              </w:rPr>
              <w:t>1</w:t>
            </w:r>
            <w:r w:rsidRPr="00B90776">
              <w:rPr>
                <w:rFonts w:ascii="Arial" w:eastAsiaTheme="minorHAnsi" w:hAnsi="Arial" w:cstheme="minorBidi"/>
                <w:bCs/>
                <w:sz w:val="20"/>
                <w:szCs w:val="22"/>
                <w:vertAlign w:val="superscript"/>
                <w:lang w:val="en-GB" w:eastAsia="en-US"/>
              </w:rPr>
              <w:footnoteReference w:id="3"/>
            </w:r>
          </w:p>
        </w:tc>
        <w:tc>
          <w:tcPr>
            <w:tcW w:w="2977" w:type="dxa"/>
            <w:vAlign w:val="center"/>
          </w:tcPr>
          <w:p w14:paraId="228F3C08" w14:textId="77777777" w:rsidR="00B11C76" w:rsidRPr="00B90776" w:rsidRDefault="00644551" w:rsidP="00510373">
            <w:pPr>
              <w:suppressAutoHyphens w:val="0"/>
              <w:spacing w:after="200" w:line="260" w:lineRule="atLeast"/>
              <w:jc w:val="right"/>
              <w:rPr>
                <w:rFonts w:ascii="Arial" w:eastAsiaTheme="minorHAnsi" w:hAnsi="Arial" w:cs="Arial"/>
                <w:bCs/>
                <w:sz w:val="20"/>
                <w:szCs w:val="22"/>
                <w:lang w:val="en-GB" w:eastAsia="en-US"/>
              </w:rPr>
            </w:pPr>
            <w:r w:rsidRPr="00644551">
              <w:rPr>
                <w:rFonts w:ascii="Arial" w:eastAsiaTheme="minorHAnsi" w:hAnsi="Arial" w:cs="Arial"/>
                <w:bCs/>
                <w:sz w:val="20"/>
                <w:szCs w:val="22"/>
                <w:lang w:val="en-GB" w:eastAsia="en-US"/>
              </w:rPr>
              <w:t>3.731.736.601,95</w:t>
            </w:r>
            <w:r w:rsidR="00B11C76" w:rsidRPr="00B90776">
              <w:rPr>
                <w:rFonts w:ascii="Arial" w:eastAsiaTheme="minorHAnsi" w:hAnsi="Arial" w:cs="Arial"/>
                <w:bCs/>
                <w:sz w:val="20"/>
                <w:szCs w:val="22"/>
                <w:lang w:val="en-GB" w:eastAsia="en-US"/>
              </w:rPr>
              <w:t xml:space="preserve"> EUR</w:t>
            </w:r>
          </w:p>
        </w:tc>
      </w:tr>
      <w:tr w:rsidR="00B11C76" w:rsidRPr="00B90776" w14:paraId="21E6A622" w14:textId="77777777" w:rsidTr="0058632F">
        <w:trPr>
          <w:trHeight w:val="520"/>
        </w:trPr>
        <w:tc>
          <w:tcPr>
            <w:tcW w:w="567" w:type="dxa"/>
            <w:vAlign w:val="center"/>
          </w:tcPr>
          <w:p w14:paraId="2A666DB7" w14:textId="77777777" w:rsidR="00B11C76" w:rsidRPr="00B90776" w:rsidRDefault="00B11C76" w:rsidP="00B11C76">
            <w:pPr>
              <w:suppressAutoHyphens w:val="0"/>
              <w:spacing w:after="200" w:line="260" w:lineRule="atLeast"/>
              <w:jc w:val="center"/>
              <w:rPr>
                <w:rFonts w:ascii="Arial" w:eastAsiaTheme="minorHAnsi" w:hAnsi="Arial" w:cs="Arial"/>
                <w:b/>
                <w:bCs/>
                <w:sz w:val="20"/>
                <w:szCs w:val="22"/>
                <w:lang w:val="en-GB" w:eastAsia="en-US"/>
              </w:rPr>
            </w:pPr>
          </w:p>
        </w:tc>
        <w:tc>
          <w:tcPr>
            <w:tcW w:w="5765" w:type="dxa"/>
          </w:tcPr>
          <w:p w14:paraId="368BD9ED" w14:textId="77777777" w:rsidR="00B11C76" w:rsidRPr="00B90776" w:rsidRDefault="00B11C76" w:rsidP="00B11C76">
            <w:pPr>
              <w:numPr>
                <w:ilvl w:val="0"/>
                <w:numId w:val="11"/>
              </w:numPr>
              <w:suppressAutoHyphens w:val="0"/>
              <w:spacing w:after="200" w:line="260" w:lineRule="atLeast"/>
              <w:contextualSpacing/>
              <w:rPr>
                <w:rFonts w:ascii="Arial" w:eastAsiaTheme="minorHAnsi" w:hAnsi="Arial" w:cs="Arial"/>
                <w:bCs/>
                <w:sz w:val="20"/>
                <w:szCs w:val="22"/>
                <w:lang w:val="en-GB" w:eastAsia="en-US"/>
              </w:rPr>
            </w:pPr>
            <w:r w:rsidRPr="00B90776">
              <w:rPr>
                <w:rFonts w:ascii="Arial" w:eastAsiaTheme="minorHAnsi" w:hAnsi="Arial" w:cs="Arial"/>
                <w:bCs/>
                <w:sz w:val="20"/>
                <w:szCs w:val="22"/>
                <w:lang w:val="en-GB" w:eastAsia="en-US"/>
              </w:rPr>
              <w:t xml:space="preserve">C. </w:t>
            </w:r>
            <w:proofErr w:type="spellStart"/>
            <w:r w:rsidRPr="00B90776">
              <w:rPr>
                <w:rFonts w:ascii="Arial" w:eastAsiaTheme="minorHAnsi" w:hAnsi="Arial" w:cs="Arial"/>
                <w:bCs/>
                <w:sz w:val="20"/>
                <w:szCs w:val="22"/>
                <w:lang w:val="en-GB" w:eastAsia="en-US"/>
              </w:rPr>
              <w:t>Račun</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financiranja</w:t>
            </w:r>
            <w:proofErr w:type="spellEnd"/>
            <w:r w:rsidRPr="00B90776">
              <w:rPr>
                <w:rFonts w:ascii="Arial" w:eastAsiaTheme="minorHAnsi" w:hAnsi="Arial" w:cs="Arial"/>
                <w:bCs/>
                <w:sz w:val="20"/>
                <w:szCs w:val="22"/>
                <w:lang w:val="en-GB" w:eastAsia="en-US"/>
              </w:rPr>
              <w:t xml:space="preserve"> </w:t>
            </w:r>
            <w:r w:rsidR="00887257">
              <w:rPr>
                <w:rFonts w:ascii="Arial" w:eastAsiaTheme="minorHAnsi" w:hAnsi="Arial" w:cs="Arial"/>
                <w:bCs/>
                <w:sz w:val="20"/>
                <w:szCs w:val="22"/>
                <w:lang w:val="en-GB" w:eastAsia="en-US"/>
              </w:rPr>
              <w:t>–</w:t>
            </w:r>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Sprememba</w:t>
            </w:r>
            <w:proofErr w:type="spellEnd"/>
            <w:r w:rsidR="00887257">
              <w:rPr>
                <w:rFonts w:ascii="Arial" w:eastAsiaTheme="minorHAnsi" w:hAnsi="Arial" w:cs="Arial"/>
                <w:bCs/>
                <w:sz w:val="20"/>
                <w:szCs w:val="22"/>
                <w:lang w:val="en-GB" w:eastAsia="en-US"/>
              </w:rPr>
              <w:t xml:space="preserve"> (</w:t>
            </w:r>
            <w:proofErr w:type="spellStart"/>
            <w:r w:rsidR="00887257">
              <w:rPr>
                <w:rFonts w:ascii="Arial" w:eastAsiaTheme="minorHAnsi" w:hAnsi="Arial" w:cs="Arial"/>
                <w:bCs/>
                <w:sz w:val="20"/>
                <w:szCs w:val="22"/>
                <w:lang w:val="en-GB" w:eastAsia="en-US"/>
              </w:rPr>
              <w:t>zmanjšanje</w:t>
            </w:r>
            <w:proofErr w:type="spellEnd"/>
            <w:r w:rsidR="00887257">
              <w:rPr>
                <w:rFonts w:ascii="Arial" w:eastAsiaTheme="minorHAnsi" w:hAnsi="Arial" w:cs="Arial"/>
                <w:bCs/>
                <w:sz w:val="20"/>
                <w:szCs w:val="22"/>
                <w:lang w:val="en-GB" w:eastAsia="en-US"/>
              </w:rPr>
              <w:t>)</w:t>
            </w:r>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stanja</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sredstev</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na</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računu</w:t>
            </w:r>
            <w:proofErr w:type="spellEnd"/>
          </w:p>
        </w:tc>
        <w:tc>
          <w:tcPr>
            <w:tcW w:w="2977" w:type="dxa"/>
            <w:vAlign w:val="center"/>
          </w:tcPr>
          <w:p w14:paraId="2E3427C6" w14:textId="77777777" w:rsidR="00B11C76" w:rsidRPr="00B90776" w:rsidRDefault="0058632F" w:rsidP="00644551">
            <w:pPr>
              <w:suppressAutoHyphens w:val="0"/>
              <w:spacing w:after="200" w:line="260" w:lineRule="atLeast"/>
              <w:jc w:val="right"/>
              <w:rPr>
                <w:rFonts w:ascii="Arial" w:eastAsiaTheme="minorHAnsi" w:hAnsi="Arial" w:cs="Arial"/>
                <w:bCs/>
                <w:sz w:val="20"/>
                <w:szCs w:val="22"/>
                <w:lang w:val="en-GB" w:eastAsia="en-US"/>
              </w:rPr>
            </w:pPr>
            <w:r w:rsidRPr="0058632F">
              <w:rPr>
                <w:rFonts w:ascii="Arial" w:eastAsiaTheme="minorHAnsi" w:hAnsi="Arial" w:cs="Arial"/>
                <w:bCs/>
                <w:sz w:val="20"/>
                <w:szCs w:val="22"/>
                <w:lang w:val="en-GB" w:eastAsia="en-US"/>
              </w:rPr>
              <w:t>254.999.999,99</w:t>
            </w:r>
            <w:r w:rsidR="00B11C76" w:rsidRPr="00B90776">
              <w:rPr>
                <w:rFonts w:ascii="Arial" w:eastAsiaTheme="minorHAnsi" w:hAnsi="Arial" w:cs="Arial"/>
                <w:bCs/>
                <w:sz w:val="20"/>
                <w:szCs w:val="22"/>
                <w:lang w:val="en-GB" w:eastAsia="en-US"/>
              </w:rPr>
              <w:t xml:space="preserve"> EUR</w:t>
            </w:r>
          </w:p>
        </w:tc>
      </w:tr>
      <w:tr w:rsidR="00B11C76" w:rsidRPr="00B90776" w14:paraId="64B26C21" w14:textId="77777777" w:rsidTr="0058632F">
        <w:trPr>
          <w:trHeight w:val="520"/>
        </w:trPr>
        <w:tc>
          <w:tcPr>
            <w:tcW w:w="567" w:type="dxa"/>
            <w:vAlign w:val="center"/>
          </w:tcPr>
          <w:p w14:paraId="2880199B" w14:textId="77777777" w:rsidR="00B11C76" w:rsidRPr="00B90776" w:rsidRDefault="00B11C76" w:rsidP="00B11C76">
            <w:pPr>
              <w:suppressAutoHyphens w:val="0"/>
              <w:spacing w:after="200" w:line="260" w:lineRule="atLeast"/>
              <w:jc w:val="center"/>
              <w:rPr>
                <w:rFonts w:ascii="Arial" w:eastAsiaTheme="minorHAnsi" w:hAnsi="Arial" w:cs="Arial"/>
                <w:b/>
                <w:bCs/>
                <w:sz w:val="20"/>
                <w:szCs w:val="22"/>
                <w:lang w:val="en-GB" w:eastAsia="en-US"/>
              </w:rPr>
            </w:pPr>
          </w:p>
        </w:tc>
        <w:tc>
          <w:tcPr>
            <w:tcW w:w="5765" w:type="dxa"/>
            <w:vAlign w:val="center"/>
          </w:tcPr>
          <w:p w14:paraId="55630C13" w14:textId="77777777" w:rsidR="00B11C76" w:rsidRPr="00B90776" w:rsidRDefault="00B11C76" w:rsidP="0058632F">
            <w:pPr>
              <w:tabs>
                <w:tab w:val="left" w:pos="1508"/>
              </w:tabs>
              <w:suppressAutoHyphens w:val="0"/>
              <w:spacing w:line="260" w:lineRule="atLeast"/>
              <w:rPr>
                <w:rFonts w:ascii="Arial" w:eastAsiaTheme="minorHAnsi" w:hAnsi="Arial" w:cs="Arial"/>
                <w:b/>
                <w:bCs/>
                <w:sz w:val="20"/>
                <w:szCs w:val="22"/>
                <w:lang w:val="en-GB" w:eastAsia="en-US"/>
              </w:rPr>
            </w:pPr>
            <w:proofErr w:type="spellStart"/>
            <w:r w:rsidRPr="00B90776">
              <w:rPr>
                <w:rFonts w:ascii="Arial" w:eastAsiaTheme="minorHAnsi" w:hAnsi="Arial" w:cs="Arial"/>
                <w:b/>
                <w:bCs/>
                <w:sz w:val="20"/>
                <w:szCs w:val="22"/>
                <w:lang w:val="en-GB" w:eastAsia="en-US"/>
              </w:rPr>
              <w:t>Skupaj</w:t>
            </w:r>
            <w:proofErr w:type="spellEnd"/>
            <w:r w:rsidRPr="00B90776">
              <w:rPr>
                <w:rFonts w:ascii="Arial" w:eastAsiaTheme="minorHAnsi" w:hAnsi="Arial" w:cs="Arial"/>
                <w:b/>
                <w:bCs/>
                <w:sz w:val="20"/>
                <w:szCs w:val="22"/>
                <w:lang w:val="en-GB" w:eastAsia="en-US"/>
              </w:rPr>
              <w:t xml:space="preserve"> I. (</w:t>
            </w:r>
            <w:proofErr w:type="gramStart"/>
            <w:r w:rsidRPr="00B90776">
              <w:rPr>
                <w:rFonts w:ascii="Arial" w:eastAsiaTheme="minorHAnsi" w:hAnsi="Arial" w:cs="Arial"/>
                <w:b/>
                <w:bCs/>
                <w:sz w:val="20"/>
                <w:szCs w:val="22"/>
                <w:lang w:val="en-GB" w:eastAsia="en-US"/>
              </w:rPr>
              <w:t>1.</w:t>
            </w:r>
            <w:r w:rsidR="00887257">
              <w:rPr>
                <w:rFonts w:ascii="Arial" w:eastAsiaTheme="minorHAnsi" w:hAnsi="Arial" w:cs="Arial"/>
                <w:b/>
                <w:bCs/>
                <w:sz w:val="20"/>
                <w:szCs w:val="22"/>
                <w:lang w:val="en-GB" w:eastAsia="en-US"/>
              </w:rPr>
              <w:t>+</w:t>
            </w:r>
            <w:proofErr w:type="gramEnd"/>
            <w:r w:rsidRPr="00B90776">
              <w:rPr>
                <w:rFonts w:ascii="Arial" w:eastAsiaTheme="minorHAnsi" w:hAnsi="Arial" w:cs="Arial"/>
                <w:b/>
                <w:bCs/>
                <w:sz w:val="20"/>
                <w:szCs w:val="22"/>
                <w:lang w:val="en-GB" w:eastAsia="en-US"/>
              </w:rPr>
              <w:t>2.+3</w:t>
            </w:r>
            <w:r w:rsidR="00644551">
              <w:rPr>
                <w:rFonts w:ascii="Arial" w:eastAsiaTheme="minorHAnsi" w:hAnsi="Arial" w:cs="Arial"/>
                <w:b/>
                <w:bCs/>
                <w:sz w:val="20"/>
                <w:szCs w:val="22"/>
                <w:lang w:val="en-GB" w:eastAsia="en-US"/>
              </w:rPr>
              <w:t>.-</w:t>
            </w:r>
            <w:r w:rsidRPr="00B90776">
              <w:rPr>
                <w:rFonts w:ascii="Arial" w:eastAsiaTheme="minorHAnsi" w:hAnsi="Arial" w:cs="Arial"/>
                <w:b/>
                <w:bCs/>
                <w:sz w:val="20"/>
                <w:szCs w:val="22"/>
                <w:lang w:val="en-GB" w:eastAsia="en-US"/>
              </w:rPr>
              <w:t>4.)</w:t>
            </w:r>
            <w:r w:rsidRPr="00B90776">
              <w:rPr>
                <w:rFonts w:ascii="Arial" w:eastAsiaTheme="minorHAnsi" w:hAnsi="Arial" w:cs="Arial"/>
                <w:b/>
                <w:bCs/>
                <w:sz w:val="20"/>
                <w:szCs w:val="22"/>
                <w:lang w:val="en-GB" w:eastAsia="en-US"/>
              </w:rPr>
              <w:tab/>
            </w:r>
          </w:p>
        </w:tc>
        <w:tc>
          <w:tcPr>
            <w:tcW w:w="2977" w:type="dxa"/>
            <w:vAlign w:val="center"/>
          </w:tcPr>
          <w:p w14:paraId="53D31AA7" w14:textId="77777777" w:rsidR="00B11C76" w:rsidRPr="00B90776" w:rsidRDefault="00644551" w:rsidP="0058632F">
            <w:pPr>
              <w:suppressAutoHyphens w:val="0"/>
              <w:spacing w:line="260" w:lineRule="atLeast"/>
              <w:jc w:val="right"/>
              <w:rPr>
                <w:rFonts w:ascii="Arial" w:eastAsiaTheme="minorHAnsi" w:hAnsi="Arial" w:cs="Arial"/>
                <w:b/>
                <w:bCs/>
                <w:sz w:val="20"/>
                <w:szCs w:val="22"/>
                <w:lang w:val="en-GB" w:eastAsia="en-US"/>
              </w:rPr>
            </w:pPr>
            <w:r w:rsidRPr="00644551">
              <w:rPr>
                <w:rFonts w:ascii="Arial" w:eastAsiaTheme="minorHAnsi" w:hAnsi="Arial" w:cs="Arial"/>
                <w:b/>
                <w:bCs/>
                <w:sz w:val="20"/>
                <w:szCs w:val="22"/>
                <w:lang w:val="en-GB" w:eastAsia="en-US"/>
              </w:rPr>
              <w:t>6.733.100.536,70</w:t>
            </w:r>
            <w:r w:rsidR="00887257" w:rsidRPr="00887257" w:rsidDel="00887257">
              <w:rPr>
                <w:rFonts w:ascii="Arial" w:eastAsiaTheme="minorHAnsi" w:hAnsi="Arial" w:cs="Arial"/>
                <w:b/>
                <w:bCs/>
                <w:sz w:val="20"/>
                <w:szCs w:val="22"/>
                <w:lang w:val="en-GB" w:eastAsia="en-US"/>
              </w:rPr>
              <w:t xml:space="preserve"> </w:t>
            </w:r>
            <w:r w:rsidR="00B11C76" w:rsidRPr="00B90776">
              <w:rPr>
                <w:rFonts w:ascii="Arial" w:eastAsiaTheme="minorHAnsi" w:hAnsi="Arial" w:cs="Arial"/>
                <w:b/>
                <w:bCs/>
                <w:sz w:val="20"/>
                <w:szCs w:val="22"/>
                <w:lang w:val="en-GB" w:eastAsia="en-US"/>
              </w:rPr>
              <w:t>EUR</w:t>
            </w:r>
          </w:p>
        </w:tc>
      </w:tr>
      <w:tr w:rsidR="00B11C76" w:rsidRPr="00B90776" w14:paraId="313BB12E" w14:textId="77777777" w:rsidTr="00B11C76">
        <w:tc>
          <w:tcPr>
            <w:tcW w:w="567" w:type="dxa"/>
            <w:vAlign w:val="center"/>
          </w:tcPr>
          <w:p w14:paraId="2BEB2AAC" w14:textId="77777777" w:rsidR="00B11C76" w:rsidRPr="00B90776" w:rsidRDefault="00B11C76" w:rsidP="0058632F">
            <w:pPr>
              <w:suppressAutoHyphens w:val="0"/>
              <w:spacing w:line="260" w:lineRule="atLeast"/>
              <w:jc w:val="center"/>
              <w:rPr>
                <w:rFonts w:ascii="Arial" w:eastAsiaTheme="minorHAnsi" w:hAnsi="Arial" w:cs="Arial"/>
                <w:b/>
                <w:bCs/>
                <w:sz w:val="20"/>
                <w:szCs w:val="22"/>
                <w:lang w:val="en-GB" w:eastAsia="en-US"/>
              </w:rPr>
            </w:pPr>
            <w:r w:rsidRPr="00B90776">
              <w:rPr>
                <w:rFonts w:ascii="Arial" w:eastAsiaTheme="minorHAnsi" w:hAnsi="Arial" w:cs="Arial"/>
                <w:b/>
                <w:bCs/>
                <w:sz w:val="20"/>
                <w:szCs w:val="22"/>
                <w:lang w:val="en-GB" w:eastAsia="en-US"/>
              </w:rPr>
              <w:t>II.</w:t>
            </w:r>
          </w:p>
        </w:tc>
        <w:tc>
          <w:tcPr>
            <w:tcW w:w="5765" w:type="dxa"/>
            <w:shd w:val="clear" w:color="auto" w:fill="FFFFFF"/>
          </w:tcPr>
          <w:p w14:paraId="77D0C58C" w14:textId="77777777" w:rsidR="00B11C76" w:rsidRPr="00B90776" w:rsidRDefault="00B11C76" w:rsidP="0058632F">
            <w:pPr>
              <w:suppressAutoHyphens w:val="0"/>
              <w:spacing w:line="260" w:lineRule="atLeast"/>
              <w:rPr>
                <w:rFonts w:ascii="Arial" w:eastAsiaTheme="minorHAnsi" w:hAnsi="Arial" w:cs="Arial"/>
                <w:b/>
                <w:bCs/>
                <w:sz w:val="20"/>
                <w:szCs w:val="22"/>
                <w:lang w:val="en-GB" w:eastAsia="en-US"/>
              </w:rPr>
            </w:pPr>
            <w:proofErr w:type="spellStart"/>
            <w:r w:rsidRPr="00B90776">
              <w:rPr>
                <w:rFonts w:ascii="Arial" w:eastAsiaTheme="minorHAnsi" w:hAnsi="Arial" w:cs="Arial"/>
                <w:b/>
                <w:bCs/>
                <w:sz w:val="20"/>
                <w:szCs w:val="22"/>
                <w:lang w:val="en-GB" w:eastAsia="en-US"/>
              </w:rPr>
              <w:t>Predfinanciranje</w:t>
            </w:r>
            <w:proofErr w:type="spellEnd"/>
            <w:r w:rsidRPr="00B90776">
              <w:rPr>
                <w:rFonts w:ascii="Arial" w:eastAsiaTheme="minorHAnsi" w:hAnsi="Arial" w:cs="Arial"/>
                <w:b/>
                <w:bCs/>
                <w:sz w:val="20"/>
                <w:szCs w:val="22"/>
                <w:lang w:val="en-GB" w:eastAsia="en-US"/>
              </w:rPr>
              <w:t xml:space="preserve">, </w:t>
            </w:r>
            <w:proofErr w:type="spellStart"/>
            <w:r w:rsidRPr="00B90776">
              <w:rPr>
                <w:rFonts w:ascii="Arial" w:eastAsiaTheme="minorHAnsi" w:hAnsi="Arial" w:cs="Arial"/>
                <w:b/>
                <w:bCs/>
                <w:sz w:val="20"/>
                <w:szCs w:val="22"/>
                <w:lang w:val="en-GB" w:eastAsia="en-US"/>
              </w:rPr>
              <w:t>izvršeno</w:t>
            </w:r>
            <w:proofErr w:type="spellEnd"/>
            <w:r w:rsidRPr="00B90776">
              <w:rPr>
                <w:rFonts w:ascii="Arial" w:eastAsiaTheme="minorHAnsi" w:hAnsi="Arial" w:cs="Arial"/>
                <w:b/>
                <w:bCs/>
                <w:sz w:val="20"/>
                <w:szCs w:val="22"/>
                <w:lang w:val="en-GB" w:eastAsia="en-US"/>
              </w:rPr>
              <w:t xml:space="preserve"> v </w:t>
            </w:r>
            <w:proofErr w:type="spellStart"/>
            <w:r w:rsidRPr="00B90776">
              <w:rPr>
                <w:rFonts w:ascii="Arial" w:eastAsiaTheme="minorHAnsi" w:hAnsi="Arial" w:cs="Arial"/>
                <w:b/>
                <w:bCs/>
                <w:sz w:val="20"/>
                <w:szCs w:val="22"/>
                <w:lang w:val="en-GB" w:eastAsia="en-US"/>
              </w:rPr>
              <w:t>letu</w:t>
            </w:r>
            <w:proofErr w:type="spellEnd"/>
            <w:r w:rsidRPr="00B90776">
              <w:rPr>
                <w:rFonts w:ascii="Arial" w:eastAsiaTheme="minorHAnsi" w:hAnsi="Arial" w:cs="Arial"/>
                <w:b/>
                <w:bCs/>
                <w:sz w:val="20"/>
                <w:szCs w:val="22"/>
                <w:lang w:val="en-GB" w:eastAsia="en-US"/>
              </w:rPr>
              <w:t xml:space="preserve"> 20</w:t>
            </w:r>
            <w:r w:rsidR="00887257">
              <w:rPr>
                <w:rFonts w:ascii="Arial" w:eastAsiaTheme="minorHAnsi" w:hAnsi="Arial" w:cs="Arial"/>
                <w:b/>
                <w:bCs/>
                <w:sz w:val="20"/>
                <w:szCs w:val="22"/>
                <w:lang w:val="en-GB" w:eastAsia="en-US"/>
              </w:rPr>
              <w:t>20</w:t>
            </w:r>
            <w:r w:rsidRPr="00B90776">
              <w:rPr>
                <w:rFonts w:ascii="Arial" w:eastAsiaTheme="minorHAnsi" w:hAnsi="Arial" w:cs="Arial"/>
                <w:b/>
                <w:bCs/>
                <w:sz w:val="20"/>
                <w:szCs w:val="22"/>
                <w:lang w:val="en-GB" w:eastAsia="en-US"/>
              </w:rPr>
              <w:t xml:space="preserve">, in </w:t>
            </w:r>
            <w:proofErr w:type="spellStart"/>
            <w:r w:rsidRPr="00B90776">
              <w:rPr>
                <w:rFonts w:ascii="Arial" w:eastAsiaTheme="minorHAnsi" w:hAnsi="Arial" w:cs="Arial"/>
                <w:b/>
                <w:bCs/>
                <w:sz w:val="20"/>
                <w:szCs w:val="22"/>
                <w:lang w:val="en-GB" w:eastAsia="en-US"/>
              </w:rPr>
              <w:t>kupnine</w:t>
            </w:r>
            <w:proofErr w:type="spellEnd"/>
            <w:r w:rsidRPr="00B90776">
              <w:rPr>
                <w:rFonts w:ascii="Arial" w:eastAsiaTheme="minorHAnsi" w:hAnsi="Arial" w:cs="Arial"/>
                <w:b/>
                <w:bCs/>
                <w:sz w:val="20"/>
                <w:szCs w:val="22"/>
                <w:lang w:val="en-GB" w:eastAsia="en-US"/>
              </w:rPr>
              <w:t xml:space="preserve"> od </w:t>
            </w:r>
            <w:proofErr w:type="spellStart"/>
            <w:r w:rsidRPr="00B90776">
              <w:rPr>
                <w:rFonts w:ascii="Arial" w:eastAsiaTheme="minorHAnsi" w:hAnsi="Arial" w:cs="Arial"/>
                <w:b/>
                <w:bCs/>
                <w:sz w:val="20"/>
                <w:szCs w:val="22"/>
                <w:lang w:val="en-GB" w:eastAsia="en-US"/>
              </w:rPr>
              <w:t>prodaje</w:t>
            </w:r>
            <w:proofErr w:type="spellEnd"/>
            <w:r w:rsidRPr="00B90776">
              <w:rPr>
                <w:rFonts w:ascii="Arial" w:eastAsiaTheme="minorHAnsi" w:hAnsi="Arial" w:cs="Arial"/>
                <w:b/>
                <w:bCs/>
                <w:sz w:val="20"/>
                <w:szCs w:val="22"/>
                <w:lang w:val="en-GB" w:eastAsia="en-US"/>
              </w:rPr>
              <w:t xml:space="preserve"> </w:t>
            </w:r>
            <w:proofErr w:type="spellStart"/>
            <w:r w:rsidRPr="00B90776">
              <w:rPr>
                <w:rFonts w:ascii="Arial" w:eastAsiaTheme="minorHAnsi" w:hAnsi="Arial" w:cs="Arial"/>
                <w:b/>
                <w:bCs/>
                <w:sz w:val="20"/>
                <w:szCs w:val="22"/>
                <w:lang w:val="en-GB" w:eastAsia="en-US"/>
              </w:rPr>
              <w:t>kapitalskih</w:t>
            </w:r>
            <w:proofErr w:type="spellEnd"/>
            <w:r w:rsidRPr="00B90776">
              <w:rPr>
                <w:rFonts w:ascii="Arial" w:eastAsiaTheme="minorHAnsi" w:hAnsi="Arial" w:cs="Arial"/>
                <w:b/>
                <w:bCs/>
                <w:sz w:val="20"/>
                <w:szCs w:val="22"/>
                <w:lang w:val="en-GB" w:eastAsia="en-US"/>
              </w:rPr>
              <w:t xml:space="preserve"> </w:t>
            </w:r>
            <w:proofErr w:type="spellStart"/>
            <w:r w:rsidRPr="00B90776">
              <w:rPr>
                <w:rFonts w:ascii="Arial" w:eastAsiaTheme="minorHAnsi" w:hAnsi="Arial" w:cs="Arial"/>
                <w:b/>
                <w:bCs/>
                <w:sz w:val="20"/>
                <w:szCs w:val="22"/>
                <w:lang w:val="en-GB" w:eastAsia="en-US"/>
              </w:rPr>
              <w:t>naložb</w:t>
            </w:r>
            <w:proofErr w:type="spellEnd"/>
          </w:p>
        </w:tc>
        <w:tc>
          <w:tcPr>
            <w:tcW w:w="2977" w:type="dxa"/>
            <w:shd w:val="clear" w:color="auto" w:fill="FFFFFF"/>
          </w:tcPr>
          <w:p w14:paraId="1F378D7D" w14:textId="77777777" w:rsidR="00B11C76" w:rsidRPr="00B90776" w:rsidRDefault="00B11C76" w:rsidP="0058632F">
            <w:pPr>
              <w:suppressAutoHyphens w:val="0"/>
              <w:spacing w:line="260" w:lineRule="atLeast"/>
              <w:jc w:val="right"/>
              <w:rPr>
                <w:rFonts w:ascii="Arial" w:eastAsiaTheme="minorHAnsi" w:hAnsi="Arial" w:cs="Arial"/>
                <w:bCs/>
                <w:color w:val="FF0000"/>
                <w:sz w:val="20"/>
                <w:szCs w:val="22"/>
                <w:highlight w:val="yellow"/>
                <w:lang w:val="en-GB" w:eastAsia="en-US"/>
              </w:rPr>
            </w:pPr>
          </w:p>
        </w:tc>
      </w:tr>
      <w:tr w:rsidR="00B11C76" w:rsidRPr="00B90776" w14:paraId="3E5D05C7" w14:textId="77777777" w:rsidTr="0058632F">
        <w:trPr>
          <w:trHeight w:val="520"/>
        </w:trPr>
        <w:tc>
          <w:tcPr>
            <w:tcW w:w="567" w:type="dxa"/>
            <w:vAlign w:val="center"/>
          </w:tcPr>
          <w:p w14:paraId="5A08F119" w14:textId="77777777" w:rsidR="00B11C76" w:rsidRPr="00B90776" w:rsidRDefault="00B11C76" w:rsidP="0058632F">
            <w:pPr>
              <w:suppressAutoHyphens w:val="0"/>
              <w:spacing w:line="260" w:lineRule="atLeast"/>
              <w:jc w:val="center"/>
              <w:rPr>
                <w:rFonts w:ascii="Arial" w:eastAsiaTheme="minorHAnsi" w:hAnsi="Arial" w:cs="Arial"/>
                <w:b/>
                <w:bCs/>
                <w:sz w:val="20"/>
                <w:szCs w:val="22"/>
                <w:lang w:val="en-GB" w:eastAsia="en-US"/>
              </w:rPr>
            </w:pPr>
          </w:p>
        </w:tc>
        <w:tc>
          <w:tcPr>
            <w:tcW w:w="5765" w:type="dxa"/>
            <w:shd w:val="clear" w:color="auto" w:fill="FFFFFF"/>
            <w:vAlign w:val="center"/>
          </w:tcPr>
          <w:p w14:paraId="24163F8C" w14:textId="77777777" w:rsidR="00B11C76" w:rsidRPr="00B90776" w:rsidRDefault="00B11C76" w:rsidP="0058632F">
            <w:pPr>
              <w:numPr>
                <w:ilvl w:val="0"/>
                <w:numId w:val="12"/>
              </w:numPr>
              <w:suppressAutoHyphens w:val="0"/>
              <w:spacing w:line="260" w:lineRule="atLeast"/>
              <w:contextualSpacing/>
              <w:rPr>
                <w:rFonts w:ascii="Arial" w:eastAsiaTheme="minorHAnsi" w:hAnsi="Arial" w:cs="Arial"/>
                <w:bCs/>
                <w:sz w:val="20"/>
                <w:szCs w:val="22"/>
                <w:lang w:val="en-GB" w:eastAsia="en-US"/>
              </w:rPr>
            </w:pPr>
            <w:proofErr w:type="spellStart"/>
            <w:r w:rsidRPr="00B90776">
              <w:rPr>
                <w:rFonts w:ascii="Arial" w:eastAsiaTheme="minorHAnsi" w:hAnsi="Arial" w:cs="Arial"/>
                <w:bCs/>
                <w:sz w:val="20"/>
                <w:szCs w:val="22"/>
                <w:lang w:val="en-GB" w:eastAsia="en-US"/>
              </w:rPr>
              <w:t>Predfinanciranje</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izvršeno</w:t>
            </w:r>
            <w:proofErr w:type="spellEnd"/>
            <w:r w:rsidRPr="00B90776">
              <w:rPr>
                <w:rFonts w:ascii="Arial" w:eastAsiaTheme="minorHAnsi" w:hAnsi="Arial" w:cs="Arial"/>
                <w:bCs/>
                <w:sz w:val="20"/>
                <w:szCs w:val="22"/>
                <w:lang w:val="en-GB" w:eastAsia="en-US"/>
              </w:rPr>
              <w:t xml:space="preserve"> v </w:t>
            </w:r>
            <w:proofErr w:type="spellStart"/>
            <w:r w:rsidRPr="00B90776">
              <w:rPr>
                <w:rFonts w:ascii="Arial" w:eastAsiaTheme="minorHAnsi" w:hAnsi="Arial" w:cs="Arial"/>
                <w:bCs/>
                <w:sz w:val="20"/>
                <w:szCs w:val="22"/>
                <w:lang w:val="en-GB" w:eastAsia="en-US"/>
              </w:rPr>
              <w:t>letu</w:t>
            </w:r>
            <w:proofErr w:type="spellEnd"/>
            <w:r w:rsidRPr="00B90776">
              <w:rPr>
                <w:rFonts w:ascii="Arial" w:eastAsiaTheme="minorHAnsi" w:hAnsi="Arial" w:cs="Arial"/>
                <w:bCs/>
                <w:sz w:val="20"/>
                <w:szCs w:val="22"/>
                <w:lang w:val="en-GB" w:eastAsia="en-US"/>
              </w:rPr>
              <w:t xml:space="preserve"> 20</w:t>
            </w:r>
            <w:r w:rsidR="00887257">
              <w:rPr>
                <w:rFonts w:ascii="Arial" w:eastAsiaTheme="minorHAnsi" w:hAnsi="Arial" w:cs="Arial"/>
                <w:bCs/>
                <w:sz w:val="20"/>
                <w:szCs w:val="22"/>
                <w:lang w:val="en-GB" w:eastAsia="en-US"/>
              </w:rPr>
              <w:t>20</w:t>
            </w:r>
          </w:p>
        </w:tc>
        <w:tc>
          <w:tcPr>
            <w:tcW w:w="2977" w:type="dxa"/>
            <w:shd w:val="clear" w:color="auto" w:fill="FFFFFF"/>
            <w:vAlign w:val="center"/>
          </w:tcPr>
          <w:p w14:paraId="0490B42E" w14:textId="2C87A470" w:rsidR="00B11C76" w:rsidRPr="003F53C9" w:rsidRDefault="001C6721" w:rsidP="001C6721">
            <w:pPr>
              <w:suppressAutoHyphens w:val="0"/>
              <w:spacing w:line="260" w:lineRule="atLeast"/>
              <w:jc w:val="right"/>
              <w:rPr>
                <w:rFonts w:ascii="Arial" w:eastAsiaTheme="minorHAnsi" w:hAnsi="Arial" w:cs="Arial"/>
                <w:bCs/>
                <w:sz w:val="20"/>
                <w:szCs w:val="22"/>
                <w:lang w:val="en-GB" w:eastAsia="en-US"/>
              </w:rPr>
            </w:pPr>
            <w:r w:rsidRPr="001C6721">
              <w:rPr>
                <w:rFonts w:ascii="Arial" w:eastAsiaTheme="minorHAnsi" w:hAnsi="Arial" w:cs="Arial"/>
                <w:bCs/>
                <w:sz w:val="20"/>
                <w:szCs w:val="22"/>
                <w:lang w:val="en-GB" w:eastAsia="en-US"/>
              </w:rPr>
              <w:t>1.241.043.206,14</w:t>
            </w:r>
            <w:r>
              <w:rPr>
                <w:rFonts w:ascii="Arial" w:eastAsiaTheme="minorHAnsi" w:hAnsi="Arial" w:cs="Arial"/>
                <w:bCs/>
                <w:sz w:val="20"/>
                <w:szCs w:val="22"/>
                <w:lang w:val="en-GB" w:eastAsia="en-US"/>
              </w:rPr>
              <w:t xml:space="preserve"> </w:t>
            </w:r>
            <w:r w:rsidR="00B11C76" w:rsidRPr="003F53C9">
              <w:rPr>
                <w:rFonts w:ascii="Arial" w:eastAsiaTheme="minorHAnsi" w:hAnsi="Arial" w:cs="Arial"/>
                <w:bCs/>
                <w:sz w:val="20"/>
                <w:szCs w:val="22"/>
                <w:lang w:val="en-GB" w:eastAsia="en-US"/>
              </w:rPr>
              <w:t>EUR</w:t>
            </w:r>
          </w:p>
        </w:tc>
      </w:tr>
      <w:tr w:rsidR="00B11C76" w:rsidRPr="00B90776" w14:paraId="6221311D" w14:textId="77777777" w:rsidTr="0058632F">
        <w:trPr>
          <w:trHeight w:val="520"/>
        </w:trPr>
        <w:tc>
          <w:tcPr>
            <w:tcW w:w="567" w:type="dxa"/>
            <w:vAlign w:val="center"/>
          </w:tcPr>
          <w:p w14:paraId="11B37E8F" w14:textId="77777777" w:rsidR="00B11C76" w:rsidRPr="00B90776" w:rsidRDefault="00B11C76" w:rsidP="0058632F">
            <w:pPr>
              <w:suppressAutoHyphens w:val="0"/>
              <w:spacing w:line="260" w:lineRule="atLeast"/>
              <w:jc w:val="center"/>
              <w:rPr>
                <w:rFonts w:ascii="Arial" w:eastAsiaTheme="minorHAnsi" w:hAnsi="Arial" w:cs="Arial"/>
                <w:b/>
                <w:bCs/>
                <w:sz w:val="20"/>
                <w:szCs w:val="22"/>
                <w:lang w:val="en-GB" w:eastAsia="en-US"/>
              </w:rPr>
            </w:pPr>
          </w:p>
        </w:tc>
        <w:tc>
          <w:tcPr>
            <w:tcW w:w="5765" w:type="dxa"/>
            <w:shd w:val="clear" w:color="auto" w:fill="FFFFFF"/>
            <w:vAlign w:val="center"/>
          </w:tcPr>
          <w:p w14:paraId="2E0AF091" w14:textId="77777777" w:rsidR="00B11C76" w:rsidRPr="00B90776" w:rsidRDefault="00E63AD7" w:rsidP="0058632F">
            <w:pPr>
              <w:numPr>
                <w:ilvl w:val="0"/>
                <w:numId w:val="12"/>
              </w:numPr>
              <w:suppressAutoHyphens w:val="0"/>
              <w:spacing w:line="260" w:lineRule="atLeast"/>
              <w:contextualSpacing/>
              <w:rPr>
                <w:rFonts w:ascii="Arial" w:eastAsiaTheme="minorHAnsi" w:hAnsi="Arial" w:cs="Arial"/>
                <w:bCs/>
                <w:sz w:val="20"/>
                <w:szCs w:val="22"/>
                <w:lang w:val="en-GB" w:eastAsia="en-US"/>
              </w:rPr>
            </w:pPr>
            <w:proofErr w:type="spellStart"/>
            <w:r>
              <w:rPr>
                <w:rFonts w:ascii="Arial" w:eastAsiaTheme="minorHAnsi" w:hAnsi="Arial" w:cs="Arial"/>
                <w:bCs/>
                <w:sz w:val="20"/>
                <w:szCs w:val="22"/>
                <w:lang w:val="en-GB" w:eastAsia="en-US"/>
              </w:rPr>
              <w:t>P</w:t>
            </w:r>
            <w:r w:rsidRPr="00E63AD7">
              <w:rPr>
                <w:rFonts w:ascii="Arial" w:eastAsiaTheme="minorHAnsi" w:hAnsi="Arial" w:cs="Arial"/>
                <w:bCs/>
                <w:sz w:val="20"/>
                <w:szCs w:val="22"/>
                <w:lang w:val="en-GB" w:eastAsia="en-US"/>
              </w:rPr>
              <w:t>redfinanciranje</w:t>
            </w:r>
            <w:proofErr w:type="spellEnd"/>
            <w:r>
              <w:rPr>
                <w:rFonts w:ascii="Arial" w:eastAsiaTheme="minorHAnsi" w:hAnsi="Arial" w:cs="Arial"/>
                <w:bCs/>
                <w:sz w:val="20"/>
                <w:szCs w:val="22"/>
                <w:lang w:val="en-GB" w:eastAsia="en-US"/>
              </w:rPr>
              <w:t>,</w:t>
            </w:r>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izvršeno</w:t>
            </w:r>
            <w:proofErr w:type="spellEnd"/>
            <w:r w:rsidRPr="00B90776">
              <w:rPr>
                <w:rFonts w:ascii="Arial" w:eastAsiaTheme="minorHAnsi" w:hAnsi="Arial" w:cs="Arial"/>
                <w:bCs/>
                <w:sz w:val="20"/>
                <w:szCs w:val="22"/>
                <w:lang w:val="en-GB" w:eastAsia="en-US"/>
              </w:rPr>
              <w:t xml:space="preserve"> v </w:t>
            </w:r>
            <w:proofErr w:type="spellStart"/>
            <w:r w:rsidRPr="00B90776">
              <w:rPr>
                <w:rFonts w:ascii="Arial" w:eastAsiaTheme="minorHAnsi" w:hAnsi="Arial" w:cs="Arial"/>
                <w:bCs/>
                <w:sz w:val="20"/>
                <w:szCs w:val="22"/>
                <w:lang w:val="en-GB" w:eastAsia="en-US"/>
              </w:rPr>
              <w:t>letu</w:t>
            </w:r>
            <w:proofErr w:type="spellEnd"/>
            <w:r w:rsidRPr="00B90776">
              <w:rPr>
                <w:rFonts w:ascii="Arial" w:eastAsiaTheme="minorHAnsi" w:hAnsi="Arial" w:cs="Arial"/>
                <w:bCs/>
                <w:sz w:val="20"/>
                <w:szCs w:val="22"/>
                <w:lang w:val="en-GB" w:eastAsia="en-US"/>
              </w:rPr>
              <w:t xml:space="preserve"> </w:t>
            </w:r>
            <w:r>
              <w:rPr>
                <w:rFonts w:ascii="Arial" w:eastAsiaTheme="minorHAnsi" w:hAnsi="Arial" w:cs="Arial"/>
                <w:bCs/>
                <w:sz w:val="20"/>
                <w:szCs w:val="22"/>
                <w:lang w:val="en-GB" w:eastAsia="en-US"/>
              </w:rPr>
              <w:t xml:space="preserve">2020, </w:t>
            </w:r>
            <w:proofErr w:type="spellStart"/>
            <w:r>
              <w:rPr>
                <w:rFonts w:ascii="Arial" w:eastAsiaTheme="minorHAnsi" w:hAnsi="Arial" w:cs="Arial"/>
                <w:bCs/>
                <w:sz w:val="20"/>
                <w:szCs w:val="22"/>
                <w:lang w:val="en-GB" w:eastAsia="en-US"/>
              </w:rPr>
              <w:t>že</w:t>
            </w:r>
            <w:proofErr w:type="spellEnd"/>
            <w:r>
              <w:rPr>
                <w:rFonts w:ascii="Arial" w:eastAsiaTheme="minorHAnsi" w:hAnsi="Arial" w:cs="Arial"/>
                <w:bCs/>
                <w:sz w:val="20"/>
                <w:szCs w:val="22"/>
                <w:lang w:val="en-GB" w:eastAsia="en-US"/>
              </w:rPr>
              <w:t xml:space="preserve"> </w:t>
            </w:r>
            <w:proofErr w:type="spellStart"/>
            <w:r>
              <w:rPr>
                <w:rFonts w:ascii="Arial" w:eastAsiaTheme="minorHAnsi" w:hAnsi="Arial" w:cs="Arial"/>
                <w:bCs/>
                <w:sz w:val="20"/>
                <w:szCs w:val="22"/>
                <w:lang w:val="en-GB" w:eastAsia="en-US"/>
              </w:rPr>
              <w:t>izkazano</w:t>
            </w:r>
            <w:proofErr w:type="spellEnd"/>
            <w:r>
              <w:rPr>
                <w:rFonts w:ascii="Arial" w:eastAsiaTheme="minorHAnsi" w:hAnsi="Arial" w:cs="Arial"/>
                <w:bCs/>
                <w:sz w:val="20"/>
                <w:szCs w:val="22"/>
                <w:lang w:val="en-GB" w:eastAsia="en-US"/>
              </w:rPr>
              <w:t xml:space="preserve"> </w:t>
            </w:r>
            <w:r w:rsidRPr="00E63AD7">
              <w:rPr>
                <w:rFonts w:ascii="Arial" w:eastAsiaTheme="minorHAnsi" w:hAnsi="Arial" w:cs="Arial"/>
                <w:bCs/>
                <w:sz w:val="20"/>
                <w:szCs w:val="22"/>
                <w:lang w:val="en-GB" w:eastAsia="en-US"/>
              </w:rPr>
              <w:t xml:space="preserve">v </w:t>
            </w:r>
            <w:proofErr w:type="spellStart"/>
            <w:r w:rsidRPr="00E63AD7">
              <w:rPr>
                <w:rFonts w:ascii="Arial" w:eastAsiaTheme="minorHAnsi" w:hAnsi="Arial" w:cs="Arial"/>
                <w:bCs/>
                <w:sz w:val="20"/>
                <w:szCs w:val="22"/>
                <w:lang w:val="en-GB" w:eastAsia="en-US"/>
              </w:rPr>
              <w:t>spremembi</w:t>
            </w:r>
            <w:proofErr w:type="spellEnd"/>
            <w:r w:rsidRPr="00E63AD7">
              <w:rPr>
                <w:rFonts w:ascii="Arial" w:eastAsiaTheme="minorHAnsi" w:hAnsi="Arial" w:cs="Arial"/>
                <w:bCs/>
                <w:sz w:val="20"/>
                <w:szCs w:val="22"/>
                <w:lang w:val="en-GB" w:eastAsia="en-US"/>
              </w:rPr>
              <w:t xml:space="preserve"> </w:t>
            </w:r>
            <w:proofErr w:type="spellStart"/>
            <w:r>
              <w:rPr>
                <w:rFonts w:ascii="Arial" w:eastAsiaTheme="minorHAnsi" w:hAnsi="Arial" w:cs="Arial"/>
                <w:bCs/>
                <w:sz w:val="20"/>
                <w:szCs w:val="22"/>
                <w:lang w:val="en-GB" w:eastAsia="en-US"/>
              </w:rPr>
              <w:t>stanja</w:t>
            </w:r>
            <w:proofErr w:type="spellEnd"/>
            <w:r>
              <w:rPr>
                <w:rFonts w:ascii="Arial" w:eastAsiaTheme="minorHAnsi" w:hAnsi="Arial" w:cs="Arial"/>
                <w:bCs/>
                <w:sz w:val="20"/>
                <w:szCs w:val="22"/>
                <w:lang w:val="en-GB" w:eastAsia="en-US"/>
              </w:rPr>
              <w:t xml:space="preserve"> </w:t>
            </w:r>
            <w:proofErr w:type="spellStart"/>
            <w:r w:rsidRPr="00E63AD7">
              <w:rPr>
                <w:rFonts w:ascii="Arial" w:eastAsiaTheme="minorHAnsi" w:hAnsi="Arial" w:cs="Arial"/>
                <w:bCs/>
                <w:sz w:val="20"/>
                <w:szCs w:val="22"/>
                <w:lang w:val="en-GB" w:eastAsia="en-US"/>
              </w:rPr>
              <w:t>sredstev</w:t>
            </w:r>
            <w:proofErr w:type="spellEnd"/>
            <w:r w:rsidRPr="00E63AD7">
              <w:rPr>
                <w:rFonts w:ascii="Arial" w:eastAsiaTheme="minorHAnsi" w:hAnsi="Arial" w:cs="Arial"/>
                <w:bCs/>
                <w:sz w:val="20"/>
                <w:szCs w:val="22"/>
                <w:lang w:val="en-GB" w:eastAsia="en-US"/>
              </w:rPr>
              <w:t xml:space="preserve"> </w:t>
            </w:r>
            <w:proofErr w:type="spellStart"/>
            <w:r w:rsidRPr="00E63AD7">
              <w:rPr>
                <w:rFonts w:ascii="Arial" w:eastAsiaTheme="minorHAnsi" w:hAnsi="Arial" w:cs="Arial"/>
                <w:bCs/>
                <w:sz w:val="20"/>
                <w:szCs w:val="22"/>
                <w:lang w:val="en-GB" w:eastAsia="en-US"/>
              </w:rPr>
              <w:t>na</w:t>
            </w:r>
            <w:proofErr w:type="spellEnd"/>
            <w:r w:rsidRPr="00E63AD7">
              <w:rPr>
                <w:rFonts w:ascii="Arial" w:eastAsiaTheme="minorHAnsi" w:hAnsi="Arial" w:cs="Arial"/>
                <w:bCs/>
                <w:sz w:val="20"/>
                <w:szCs w:val="22"/>
                <w:lang w:val="en-GB" w:eastAsia="en-US"/>
              </w:rPr>
              <w:t xml:space="preserve"> </w:t>
            </w:r>
            <w:proofErr w:type="spellStart"/>
            <w:r w:rsidRPr="00E63AD7">
              <w:rPr>
                <w:rFonts w:ascii="Arial" w:eastAsiaTheme="minorHAnsi" w:hAnsi="Arial" w:cs="Arial"/>
                <w:bCs/>
                <w:sz w:val="20"/>
                <w:szCs w:val="22"/>
                <w:lang w:val="en-GB" w:eastAsia="en-US"/>
              </w:rPr>
              <w:t>računu</w:t>
            </w:r>
            <w:proofErr w:type="spellEnd"/>
          </w:p>
        </w:tc>
        <w:tc>
          <w:tcPr>
            <w:tcW w:w="2977" w:type="dxa"/>
            <w:shd w:val="clear" w:color="auto" w:fill="FFFFFF"/>
            <w:vAlign w:val="center"/>
          </w:tcPr>
          <w:p w14:paraId="74BBC27D" w14:textId="77777777" w:rsidR="00B11C76" w:rsidRPr="003F53C9" w:rsidRDefault="0058632F" w:rsidP="0058632F">
            <w:pPr>
              <w:suppressAutoHyphens w:val="0"/>
              <w:spacing w:line="260" w:lineRule="atLeast"/>
              <w:jc w:val="right"/>
              <w:rPr>
                <w:rFonts w:ascii="Arial" w:eastAsiaTheme="minorHAnsi" w:hAnsi="Arial" w:cs="Arial"/>
                <w:bCs/>
                <w:sz w:val="20"/>
                <w:szCs w:val="22"/>
                <w:lang w:val="en-GB" w:eastAsia="en-US"/>
              </w:rPr>
            </w:pPr>
            <w:r w:rsidRPr="003F53C9">
              <w:rPr>
                <w:rFonts w:ascii="Arial" w:eastAsiaTheme="minorHAnsi" w:hAnsi="Arial" w:cs="Arial"/>
                <w:bCs/>
                <w:sz w:val="20"/>
                <w:szCs w:val="22"/>
                <w:lang w:val="en-GB" w:eastAsia="en-US"/>
              </w:rPr>
              <w:t>254.999.999,99</w:t>
            </w:r>
            <w:r w:rsidR="00887257" w:rsidRPr="003F53C9">
              <w:rPr>
                <w:rFonts w:ascii="Arial" w:eastAsiaTheme="minorHAnsi" w:hAnsi="Arial" w:cs="Arial"/>
                <w:bCs/>
                <w:sz w:val="20"/>
                <w:szCs w:val="22"/>
                <w:lang w:val="en-GB" w:eastAsia="en-US"/>
              </w:rPr>
              <w:t xml:space="preserve"> </w:t>
            </w:r>
            <w:r w:rsidR="00B11C76" w:rsidRPr="003F53C9">
              <w:rPr>
                <w:rFonts w:ascii="Arial" w:eastAsiaTheme="minorHAnsi" w:hAnsi="Arial" w:cs="Arial"/>
                <w:bCs/>
                <w:sz w:val="20"/>
                <w:szCs w:val="22"/>
                <w:lang w:val="en-GB" w:eastAsia="en-US"/>
              </w:rPr>
              <w:t>EUR</w:t>
            </w:r>
          </w:p>
        </w:tc>
      </w:tr>
      <w:tr w:rsidR="00B11C76" w:rsidRPr="00B90776" w14:paraId="49BD14F0" w14:textId="77777777" w:rsidTr="0058632F">
        <w:trPr>
          <w:trHeight w:val="520"/>
        </w:trPr>
        <w:tc>
          <w:tcPr>
            <w:tcW w:w="567" w:type="dxa"/>
            <w:vAlign w:val="center"/>
          </w:tcPr>
          <w:p w14:paraId="2E66218B" w14:textId="77777777" w:rsidR="00B11C76" w:rsidRPr="00B90776" w:rsidRDefault="00B11C76" w:rsidP="0058632F">
            <w:pPr>
              <w:suppressAutoHyphens w:val="0"/>
              <w:spacing w:line="260" w:lineRule="atLeast"/>
              <w:jc w:val="center"/>
              <w:rPr>
                <w:rFonts w:ascii="Arial" w:eastAsiaTheme="minorHAnsi" w:hAnsi="Arial" w:cs="Arial"/>
                <w:b/>
                <w:bCs/>
                <w:sz w:val="20"/>
                <w:szCs w:val="22"/>
                <w:lang w:val="en-GB" w:eastAsia="en-US"/>
              </w:rPr>
            </w:pPr>
          </w:p>
        </w:tc>
        <w:tc>
          <w:tcPr>
            <w:tcW w:w="5765" w:type="dxa"/>
            <w:shd w:val="clear" w:color="auto" w:fill="FFFFFF"/>
            <w:vAlign w:val="center"/>
          </w:tcPr>
          <w:p w14:paraId="1F219C94" w14:textId="77777777" w:rsidR="00B11C76" w:rsidRPr="00B90776" w:rsidRDefault="00B11C76" w:rsidP="0058632F">
            <w:pPr>
              <w:numPr>
                <w:ilvl w:val="0"/>
                <w:numId w:val="12"/>
              </w:numPr>
              <w:suppressAutoHyphens w:val="0"/>
              <w:spacing w:line="260" w:lineRule="atLeast"/>
              <w:contextualSpacing/>
              <w:rPr>
                <w:rFonts w:ascii="Arial" w:eastAsiaTheme="minorHAnsi" w:hAnsi="Arial" w:cs="Arial"/>
                <w:bCs/>
                <w:sz w:val="20"/>
                <w:szCs w:val="22"/>
                <w:lang w:val="en-GB" w:eastAsia="en-US"/>
              </w:rPr>
            </w:pPr>
            <w:proofErr w:type="spellStart"/>
            <w:r w:rsidRPr="00B90776">
              <w:rPr>
                <w:rFonts w:ascii="Arial" w:eastAsiaTheme="minorHAnsi" w:hAnsi="Arial" w:cs="Arial"/>
                <w:bCs/>
                <w:sz w:val="20"/>
                <w:szCs w:val="22"/>
                <w:lang w:val="en-GB" w:eastAsia="en-US"/>
              </w:rPr>
              <w:t>Kupnine</w:t>
            </w:r>
            <w:proofErr w:type="spellEnd"/>
            <w:r w:rsidRPr="00B90776">
              <w:rPr>
                <w:rFonts w:ascii="Arial" w:eastAsiaTheme="minorHAnsi" w:hAnsi="Arial" w:cs="Arial"/>
                <w:bCs/>
                <w:sz w:val="20"/>
                <w:szCs w:val="22"/>
                <w:lang w:val="en-GB" w:eastAsia="en-US"/>
              </w:rPr>
              <w:t xml:space="preserve"> od </w:t>
            </w:r>
            <w:proofErr w:type="spellStart"/>
            <w:r w:rsidRPr="00B90776">
              <w:rPr>
                <w:rFonts w:ascii="Arial" w:eastAsiaTheme="minorHAnsi" w:hAnsi="Arial" w:cs="Arial"/>
                <w:bCs/>
                <w:sz w:val="20"/>
                <w:szCs w:val="22"/>
                <w:lang w:val="en-GB" w:eastAsia="en-US"/>
              </w:rPr>
              <w:t>prodaje</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kapitalskih</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naložb</w:t>
            </w:r>
            <w:proofErr w:type="spellEnd"/>
            <w:r w:rsidRPr="00B90776">
              <w:rPr>
                <w:rFonts w:ascii="Arial" w:eastAsiaTheme="minorHAnsi" w:hAnsi="Arial" w:cs="Arial"/>
                <w:bCs/>
                <w:sz w:val="20"/>
                <w:szCs w:val="22"/>
                <w:lang w:val="en-GB" w:eastAsia="en-US"/>
              </w:rPr>
              <w:t xml:space="preserve">, </w:t>
            </w:r>
            <w:proofErr w:type="spellStart"/>
            <w:r w:rsidRPr="00B90776">
              <w:rPr>
                <w:rFonts w:ascii="Arial" w:eastAsiaTheme="minorHAnsi" w:hAnsi="Arial" w:cs="Arial"/>
                <w:bCs/>
                <w:sz w:val="20"/>
                <w:szCs w:val="22"/>
                <w:lang w:val="en-GB" w:eastAsia="en-US"/>
              </w:rPr>
              <w:t>neporabljen</w:t>
            </w:r>
            <w:r w:rsidR="00E63AD7">
              <w:rPr>
                <w:rFonts w:ascii="Arial" w:eastAsiaTheme="minorHAnsi" w:hAnsi="Arial" w:cs="Arial"/>
                <w:bCs/>
                <w:sz w:val="20"/>
                <w:szCs w:val="22"/>
                <w:lang w:val="en-GB" w:eastAsia="en-US"/>
              </w:rPr>
              <w:t>e</w:t>
            </w:r>
            <w:proofErr w:type="spellEnd"/>
            <w:r w:rsidRPr="00B90776">
              <w:rPr>
                <w:rFonts w:ascii="Arial" w:eastAsiaTheme="minorHAnsi" w:hAnsi="Arial" w:cs="Arial"/>
                <w:bCs/>
                <w:sz w:val="20"/>
                <w:szCs w:val="22"/>
                <w:lang w:val="en-GB" w:eastAsia="en-US"/>
              </w:rPr>
              <w:t xml:space="preserve"> v </w:t>
            </w:r>
            <w:proofErr w:type="spellStart"/>
            <w:r w:rsidRPr="00B90776">
              <w:rPr>
                <w:rFonts w:ascii="Arial" w:eastAsiaTheme="minorHAnsi" w:hAnsi="Arial" w:cs="Arial"/>
                <w:bCs/>
                <w:sz w:val="20"/>
                <w:szCs w:val="22"/>
                <w:lang w:val="en-GB" w:eastAsia="en-US"/>
              </w:rPr>
              <w:t>letu</w:t>
            </w:r>
            <w:proofErr w:type="spellEnd"/>
            <w:r w:rsidRPr="00B90776">
              <w:rPr>
                <w:rFonts w:ascii="Arial" w:eastAsiaTheme="minorHAnsi" w:hAnsi="Arial" w:cs="Arial"/>
                <w:bCs/>
                <w:sz w:val="20"/>
                <w:szCs w:val="22"/>
                <w:lang w:val="en-GB" w:eastAsia="en-US"/>
              </w:rPr>
              <w:t xml:space="preserve"> 20</w:t>
            </w:r>
            <w:r w:rsidR="00887257">
              <w:rPr>
                <w:rFonts w:ascii="Arial" w:eastAsiaTheme="minorHAnsi" w:hAnsi="Arial" w:cs="Arial"/>
                <w:bCs/>
                <w:sz w:val="20"/>
                <w:szCs w:val="22"/>
                <w:lang w:val="en-GB" w:eastAsia="en-US"/>
              </w:rPr>
              <w:t>20</w:t>
            </w:r>
            <w:r w:rsidRPr="00B90776">
              <w:rPr>
                <w:rFonts w:ascii="Arial" w:eastAsiaTheme="minorHAnsi" w:hAnsi="Arial" w:cstheme="minorBidi"/>
                <w:bCs/>
                <w:sz w:val="20"/>
                <w:szCs w:val="22"/>
                <w:vertAlign w:val="superscript"/>
                <w:lang w:val="en-GB" w:eastAsia="en-US"/>
              </w:rPr>
              <w:footnoteReference w:id="4"/>
            </w:r>
          </w:p>
        </w:tc>
        <w:tc>
          <w:tcPr>
            <w:tcW w:w="2977" w:type="dxa"/>
            <w:shd w:val="clear" w:color="auto" w:fill="FFFFFF"/>
            <w:vAlign w:val="center"/>
          </w:tcPr>
          <w:p w14:paraId="67808D64" w14:textId="647D0B64" w:rsidR="00B11C76" w:rsidRPr="003F53C9" w:rsidRDefault="00887257" w:rsidP="0058632F">
            <w:pPr>
              <w:suppressAutoHyphens w:val="0"/>
              <w:spacing w:line="260" w:lineRule="atLeast"/>
              <w:jc w:val="right"/>
              <w:rPr>
                <w:rFonts w:ascii="Arial" w:eastAsiaTheme="minorHAnsi" w:hAnsi="Arial" w:cs="Arial"/>
                <w:bCs/>
                <w:sz w:val="20"/>
                <w:szCs w:val="22"/>
                <w:lang w:val="en-GB" w:eastAsia="en-US"/>
              </w:rPr>
            </w:pPr>
            <w:r w:rsidRPr="003F53C9">
              <w:rPr>
                <w:rFonts w:ascii="Arial" w:eastAsiaTheme="minorHAnsi" w:hAnsi="Arial" w:cs="Arial"/>
                <w:bCs/>
                <w:sz w:val="20"/>
                <w:szCs w:val="22"/>
                <w:lang w:val="en-GB" w:eastAsia="en-US"/>
              </w:rPr>
              <w:t xml:space="preserve">73.826.298,84 </w:t>
            </w:r>
            <w:r w:rsidR="00B11C76" w:rsidRPr="003F53C9">
              <w:rPr>
                <w:rFonts w:ascii="Arial" w:eastAsiaTheme="minorHAnsi" w:hAnsi="Arial" w:cs="Arial"/>
                <w:bCs/>
                <w:sz w:val="20"/>
                <w:szCs w:val="22"/>
                <w:lang w:val="en-GB" w:eastAsia="en-US"/>
              </w:rPr>
              <w:t xml:space="preserve">EUR </w:t>
            </w:r>
          </w:p>
        </w:tc>
      </w:tr>
      <w:tr w:rsidR="00B11C76" w:rsidRPr="00B90776" w14:paraId="660E84F5" w14:textId="77777777" w:rsidTr="0058632F">
        <w:trPr>
          <w:trHeight w:val="520"/>
        </w:trPr>
        <w:tc>
          <w:tcPr>
            <w:tcW w:w="567" w:type="dxa"/>
            <w:vAlign w:val="center"/>
          </w:tcPr>
          <w:p w14:paraId="75D90C55" w14:textId="77777777" w:rsidR="00B11C76" w:rsidRPr="00B90776" w:rsidRDefault="00B11C76" w:rsidP="0058632F">
            <w:pPr>
              <w:suppressAutoHyphens w:val="0"/>
              <w:spacing w:line="260" w:lineRule="atLeast"/>
              <w:jc w:val="center"/>
              <w:rPr>
                <w:rFonts w:ascii="Arial" w:eastAsiaTheme="minorHAnsi" w:hAnsi="Arial" w:cs="Arial"/>
                <w:b/>
                <w:bCs/>
                <w:sz w:val="20"/>
                <w:szCs w:val="22"/>
                <w:lang w:val="en-GB" w:eastAsia="en-US"/>
              </w:rPr>
            </w:pPr>
          </w:p>
        </w:tc>
        <w:tc>
          <w:tcPr>
            <w:tcW w:w="5765" w:type="dxa"/>
            <w:shd w:val="clear" w:color="auto" w:fill="FFFFFF"/>
            <w:vAlign w:val="center"/>
          </w:tcPr>
          <w:p w14:paraId="22BB0E38" w14:textId="77777777" w:rsidR="00B11C76" w:rsidRPr="00B90776" w:rsidRDefault="00B11C76" w:rsidP="0058632F">
            <w:pPr>
              <w:suppressAutoHyphens w:val="0"/>
              <w:spacing w:line="260" w:lineRule="atLeast"/>
              <w:contextualSpacing/>
              <w:rPr>
                <w:rFonts w:ascii="Arial" w:eastAsiaTheme="minorHAnsi" w:hAnsi="Arial" w:cs="Arial"/>
                <w:bCs/>
                <w:sz w:val="20"/>
                <w:szCs w:val="22"/>
                <w:lang w:val="en-GB" w:eastAsia="en-US"/>
              </w:rPr>
            </w:pPr>
            <w:proofErr w:type="spellStart"/>
            <w:r w:rsidRPr="00B90776">
              <w:rPr>
                <w:rFonts w:ascii="Arial" w:eastAsiaTheme="minorHAnsi" w:hAnsi="Arial" w:cs="Arial"/>
                <w:b/>
                <w:bCs/>
                <w:sz w:val="20"/>
                <w:szCs w:val="22"/>
                <w:lang w:val="en-GB" w:eastAsia="en-US"/>
              </w:rPr>
              <w:t>Skupaj</w:t>
            </w:r>
            <w:proofErr w:type="spellEnd"/>
            <w:r w:rsidRPr="00B90776">
              <w:rPr>
                <w:rFonts w:ascii="Arial" w:eastAsiaTheme="minorHAnsi" w:hAnsi="Arial" w:cs="Arial"/>
                <w:b/>
                <w:bCs/>
                <w:sz w:val="20"/>
                <w:szCs w:val="22"/>
                <w:lang w:val="en-GB" w:eastAsia="en-US"/>
              </w:rPr>
              <w:t xml:space="preserve"> II. </w:t>
            </w:r>
            <w:r w:rsidRPr="00510373">
              <w:rPr>
                <w:rFonts w:ascii="Arial" w:eastAsiaTheme="minorHAnsi" w:hAnsi="Arial" w:cs="Arial"/>
                <w:b/>
                <w:bCs/>
                <w:sz w:val="20"/>
                <w:szCs w:val="22"/>
                <w:lang w:val="en-GB" w:eastAsia="en-US"/>
              </w:rPr>
              <w:t>(1.</w:t>
            </w:r>
            <w:r w:rsidR="00E63AD7" w:rsidRPr="0058632F">
              <w:rPr>
                <w:rFonts w:ascii="Arial" w:eastAsiaTheme="minorHAnsi" w:hAnsi="Arial" w:cs="Arial"/>
                <w:b/>
                <w:bCs/>
                <w:sz w:val="20"/>
                <w:szCs w:val="22"/>
                <w:lang w:val="en-GB" w:eastAsia="en-US"/>
              </w:rPr>
              <w:t>-</w:t>
            </w:r>
            <w:proofErr w:type="gramStart"/>
            <w:r w:rsidRPr="00510373">
              <w:rPr>
                <w:rFonts w:ascii="Arial" w:eastAsiaTheme="minorHAnsi" w:hAnsi="Arial" w:cs="Arial"/>
                <w:b/>
                <w:bCs/>
                <w:sz w:val="20"/>
                <w:szCs w:val="22"/>
                <w:lang w:val="en-GB" w:eastAsia="en-US"/>
              </w:rPr>
              <w:t>2.+</w:t>
            </w:r>
            <w:proofErr w:type="gramEnd"/>
            <w:r w:rsidRPr="00510373">
              <w:rPr>
                <w:rFonts w:ascii="Arial" w:eastAsiaTheme="minorHAnsi" w:hAnsi="Arial" w:cs="Arial"/>
                <w:b/>
                <w:bCs/>
                <w:sz w:val="20"/>
                <w:szCs w:val="22"/>
                <w:lang w:val="en-GB" w:eastAsia="en-US"/>
              </w:rPr>
              <w:t>3.</w:t>
            </w:r>
            <w:r w:rsidR="00E63AD7" w:rsidRPr="0058632F">
              <w:rPr>
                <w:rFonts w:ascii="Arial" w:eastAsiaTheme="minorHAnsi" w:hAnsi="Arial" w:cs="Arial"/>
                <w:b/>
                <w:bCs/>
                <w:sz w:val="20"/>
                <w:szCs w:val="22"/>
                <w:lang w:val="en-GB" w:eastAsia="en-US"/>
              </w:rPr>
              <w:t>)</w:t>
            </w:r>
          </w:p>
        </w:tc>
        <w:tc>
          <w:tcPr>
            <w:tcW w:w="2977" w:type="dxa"/>
            <w:shd w:val="clear" w:color="auto" w:fill="FFFFFF"/>
            <w:vAlign w:val="center"/>
          </w:tcPr>
          <w:p w14:paraId="7D1D3F33" w14:textId="1D1A205A" w:rsidR="00B11C76" w:rsidRPr="003F53C9" w:rsidRDefault="001C6721" w:rsidP="001C6721">
            <w:pPr>
              <w:suppressAutoHyphens w:val="0"/>
              <w:spacing w:line="260" w:lineRule="atLeast"/>
              <w:jc w:val="right"/>
              <w:rPr>
                <w:rFonts w:ascii="Arial" w:eastAsiaTheme="minorHAnsi" w:hAnsi="Arial" w:cstheme="minorBidi"/>
                <w:sz w:val="20"/>
                <w:szCs w:val="22"/>
                <w:lang w:val="en-GB" w:eastAsia="en-US"/>
              </w:rPr>
            </w:pPr>
            <w:r w:rsidRPr="001C6721">
              <w:rPr>
                <w:rFonts w:ascii="Arial" w:eastAsiaTheme="minorHAnsi" w:hAnsi="Arial" w:cs="Arial"/>
                <w:b/>
                <w:bCs/>
                <w:sz w:val="20"/>
                <w:szCs w:val="22"/>
                <w:lang w:val="en-GB" w:eastAsia="en-US"/>
              </w:rPr>
              <w:t>1.059.869.504,99</w:t>
            </w:r>
            <w:r>
              <w:rPr>
                <w:rFonts w:ascii="Arial" w:eastAsiaTheme="minorHAnsi" w:hAnsi="Arial" w:cs="Arial"/>
                <w:b/>
                <w:bCs/>
                <w:sz w:val="20"/>
                <w:szCs w:val="22"/>
                <w:lang w:val="en-GB" w:eastAsia="en-US"/>
              </w:rPr>
              <w:t xml:space="preserve"> </w:t>
            </w:r>
            <w:r w:rsidR="00B11C76" w:rsidRPr="003F53C9">
              <w:rPr>
                <w:rFonts w:ascii="Arial" w:eastAsiaTheme="minorHAnsi" w:hAnsi="Arial" w:cs="Arial"/>
                <w:b/>
                <w:bCs/>
                <w:sz w:val="20"/>
                <w:szCs w:val="22"/>
                <w:lang w:val="en-GB" w:eastAsia="en-US"/>
              </w:rPr>
              <w:t>EUR</w:t>
            </w:r>
          </w:p>
        </w:tc>
      </w:tr>
      <w:tr w:rsidR="00B11C76" w:rsidRPr="00B90776" w14:paraId="3906DB1F" w14:textId="77777777" w:rsidTr="00B11C76">
        <w:tc>
          <w:tcPr>
            <w:tcW w:w="567" w:type="dxa"/>
            <w:shd w:val="clear" w:color="auto" w:fill="auto"/>
            <w:vAlign w:val="center"/>
          </w:tcPr>
          <w:p w14:paraId="560F878A" w14:textId="2C2AFA68" w:rsidR="00B11C76" w:rsidRPr="00B90776" w:rsidRDefault="00B11C76" w:rsidP="0058632F">
            <w:pPr>
              <w:suppressAutoHyphens w:val="0"/>
              <w:spacing w:line="260" w:lineRule="atLeast"/>
              <w:jc w:val="center"/>
              <w:rPr>
                <w:rFonts w:ascii="Arial" w:eastAsiaTheme="minorHAnsi" w:hAnsi="Arial" w:cs="Arial"/>
                <w:b/>
                <w:bCs/>
                <w:sz w:val="20"/>
                <w:szCs w:val="22"/>
                <w:lang w:val="en-GB" w:eastAsia="en-US"/>
              </w:rPr>
            </w:pPr>
            <w:r w:rsidRPr="00B90776">
              <w:rPr>
                <w:rFonts w:ascii="Arial" w:eastAsiaTheme="minorHAnsi" w:hAnsi="Arial" w:cs="Arial"/>
                <w:b/>
                <w:bCs/>
                <w:sz w:val="20"/>
                <w:szCs w:val="22"/>
                <w:lang w:val="en-GB" w:eastAsia="en-US"/>
              </w:rPr>
              <w:t xml:space="preserve">III. </w:t>
            </w:r>
          </w:p>
        </w:tc>
        <w:tc>
          <w:tcPr>
            <w:tcW w:w="5765" w:type="dxa"/>
            <w:shd w:val="clear" w:color="auto" w:fill="auto"/>
          </w:tcPr>
          <w:p w14:paraId="2CCF9F7D" w14:textId="77777777" w:rsidR="00B11C76" w:rsidRPr="00553167" w:rsidRDefault="00B11C76" w:rsidP="006F2C90">
            <w:pPr>
              <w:suppressAutoHyphens w:val="0"/>
              <w:spacing w:line="260" w:lineRule="atLeast"/>
              <w:rPr>
                <w:rFonts w:ascii="Arial" w:eastAsiaTheme="minorHAnsi" w:hAnsi="Arial" w:cstheme="minorBidi"/>
                <w:sz w:val="20"/>
                <w:szCs w:val="22"/>
                <w:lang w:val="it-IT" w:eastAsia="en-US"/>
              </w:rPr>
            </w:pPr>
            <w:proofErr w:type="spellStart"/>
            <w:r w:rsidRPr="00553167">
              <w:rPr>
                <w:rFonts w:ascii="Arial" w:eastAsiaTheme="minorHAnsi" w:hAnsi="Arial" w:cs="Arial"/>
                <w:b/>
                <w:bCs/>
                <w:sz w:val="20"/>
                <w:szCs w:val="22"/>
                <w:lang w:val="it-IT" w:eastAsia="en-US"/>
              </w:rPr>
              <w:t>Financiranje</w:t>
            </w:r>
            <w:proofErr w:type="spellEnd"/>
            <w:r w:rsidRPr="00553167">
              <w:rPr>
                <w:rFonts w:ascii="Arial" w:eastAsiaTheme="minorHAnsi" w:hAnsi="Arial" w:cs="Arial"/>
                <w:b/>
                <w:bCs/>
                <w:sz w:val="20"/>
                <w:szCs w:val="22"/>
                <w:lang w:val="it-IT" w:eastAsia="en-US"/>
              </w:rPr>
              <w:t xml:space="preserve"> v </w:t>
            </w:r>
            <w:proofErr w:type="spellStart"/>
            <w:r w:rsidRPr="00553167">
              <w:rPr>
                <w:rFonts w:ascii="Arial" w:eastAsiaTheme="minorHAnsi" w:hAnsi="Arial" w:cs="Arial"/>
                <w:b/>
                <w:bCs/>
                <w:sz w:val="20"/>
                <w:szCs w:val="22"/>
                <w:lang w:val="it-IT" w:eastAsia="en-US"/>
              </w:rPr>
              <w:t>letu</w:t>
            </w:r>
            <w:proofErr w:type="spellEnd"/>
            <w:r w:rsidRPr="00553167">
              <w:rPr>
                <w:rFonts w:ascii="Arial" w:eastAsiaTheme="minorHAnsi" w:hAnsi="Arial" w:cs="Arial"/>
                <w:b/>
                <w:bCs/>
                <w:sz w:val="20"/>
                <w:szCs w:val="22"/>
                <w:lang w:val="it-IT" w:eastAsia="en-US"/>
              </w:rPr>
              <w:t xml:space="preserve"> 202</w:t>
            </w:r>
            <w:r w:rsidR="00887257" w:rsidRPr="00553167">
              <w:rPr>
                <w:rFonts w:ascii="Arial" w:eastAsiaTheme="minorHAnsi" w:hAnsi="Arial" w:cs="Arial"/>
                <w:b/>
                <w:bCs/>
                <w:sz w:val="20"/>
                <w:szCs w:val="22"/>
                <w:lang w:val="it-IT" w:eastAsia="en-US"/>
              </w:rPr>
              <w:t>1</w:t>
            </w:r>
            <w:r w:rsidRPr="00553167">
              <w:rPr>
                <w:rFonts w:ascii="Arial" w:eastAsiaTheme="minorHAnsi" w:hAnsi="Arial" w:cs="Arial"/>
                <w:b/>
                <w:bCs/>
                <w:sz w:val="20"/>
                <w:szCs w:val="22"/>
                <w:lang w:val="it-IT" w:eastAsia="en-US"/>
              </w:rPr>
              <w:t xml:space="preserve"> za </w:t>
            </w:r>
            <w:proofErr w:type="spellStart"/>
            <w:r w:rsidRPr="00553167">
              <w:rPr>
                <w:rFonts w:ascii="Arial" w:eastAsiaTheme="minorHAnsi" w:hAnsi="Arial" w:cs="Arial"/>
                <w:b/>
                <w:bCs/>
                <w:sz w:val="20"/>
                <w:szCs w:val="22"/>
                <w:lang w:val="it-IT" w:eastAsia="en-US"/>
              </w:rPr>
              <w:t>izvrševanje</w:t>
            </w:r>
            <w:proofErr w:type="spellEnd"/>
            <w:r w:rsidRPr="00553167">
              <w:rPr>
                <w:rFonts w:ascii="Arial" w:eastAsiaTheme="minorHAnsi" w:hAnsi="Arial" w:cs="Arial"/>
                <w:b/>
                <w:bCs/>
                <w:sz w:val="20"/>
                <w:szCs w:val="22"/>
                <w:lang w:val="it-IT" w:eastAsia="en-US"/>
              </w:rPr>
              <w:t xml:space="preserve"> </w:t>
            </w:r>
            <w:proofErr w:type="spellStart"/>
            <w:r w:rsidRPr="00553167">
              <w:rPr>
                <w:rFonts w:ascii="Arial" w:eastAsiaTheme="minorHAnsi" w:hAnsi="Arial" w:cs="Arial"/>
                <w:b/>
                <w:bCs/>
                <w:sz w:val="20"/>
                <w:szCs w:val="22"/>
                <w:lang w:val="it-IT" w:eastAsia="en-US"/>
              </w:rPr>
              <w:t>državnega</w:t>
            </w:r>
            <w:proofErr w:type="spellEnd"/>
            <w:r w:rsidRPr="00553167">
              <w:rPr>
                <w:rFonts w:ascii="Arial" w:eastAsiaTheme="minorHAnsi" w:hAnsi="Arial" w:cs="Arial"/>
                <w:b/>
                <w:bCs/>
                <w:sz w:val="20"/>
                <w:szCs w:val="22"/>
                <w:lang w:val="it-IT" w:eastAsia="en-US"/>
              </w:rPr>
              <w:t xml:space="preserve"> </w:t>
            </w:r>
            <w:proofErr w:type="spellStart"/>
            <w:r w:rsidRPr="00553167">
              <w:rPr>
                <w:rFonts w:ascii="Arial" w:eastAsiaTheme="minorHAnsi" w:hAnsi="Arial" w:cs="Arial"/>
                <w:b/>
                <w:bCs/>
                <w:sz w:val="20"/>
                <w:szCs w:val="22"/>
                <w:lang w:val="it-IT" w:eastAsia="en-US"/>
              </w:rPr>
              <w:t>proračuna</w:t>
            </w:r>
            <w:proofErr w:type="spellEnd"/>
            <w:r w:rsidRPr="00553167">
              <w:rPr>
                <w:rFonts w:ascii="Arial" w:eastAsiaTheme="minorHAnsi" w:hAnsi="Arial" w:cs="Arial"/>
                <w:b/>
                <w:bCs/>
                <w:sz w:val="20"/>
                <w:szCs w:val="22"/>
                <w:lang w:val="it-IT" w:eastAsia="en-US"/>
              </w:rPr>
              <w:t xml:space="preserve"> (I-II)</w:t>
            </w:r>
          </w:p>
        </w:tc>
        <w:tc>
          <w:tcPr>
            <w:tcW w:w="2977" w:type="dxa"/>
            <w:shd w:val="clear" w:color="auto" w:fill="auto"/>
            <w:vAlign w:val="center"/>
          </w:tcPr>
          <w:p w14:paraId="34263688" w14:textId="70E568CB" w:rsidR="00B11C76" w:rsidRPr="003F53C9" w:rsidRDefault="001C6721" w:rsidP="001C6721">
            <w:pPr>
              <w:suppressAutoHyphens w:val="0"/>
              <w:spacing w:line="260" w:lineRule="atLeast"/>
              <w:jc w:val="right"/>
              <w:rPr>
                <w:rFonts w:ascii="Arial" w:eastAsiaTheme="minorHAnsi" w:hAnsi="Arial" w:cstheme="minorBidi"/>
                <w:b/>
                <w:sz w:val="20"/>
                <w:szCs w:val="22"/>
                <w:lang w:val="en-GB" w:eastAsia="en-US"/>
              </w:rPr>
            </w:pPr>
            <w:r w:rsidRPr="001C6721">
              <w:rPr>
                <w:rFonts w:ascii="Arial" w:eastAsiaTheme="minorHAnsi" w:hAnsi="Arial" w:cs="Arial"/>
                <w:b/>
                <w:bCs/>
                <w:sz w:val="20"/>
                <w:szCs w:val="22"/>
                <w:lang w:val="en-GB" w:eastAsia="en-US"/>
              </w:rPr>
              <w:t>5.673.231.031,71</w:t>
            </w:r>
            <w:r>
              <w:rPr>
                <w:rFonts w:ascii="Arial" w:eastAsiaTheme="minorHAnsi" w:hAnsi="Arial" w:cs="Arial"/>
                <w:b/>
                <w:bCs/>
                <w:sz w:val="20"/>
                <w:szCs w:val="22"/>
                <w:lang w:val="en-GB" w:eastAsia="en-US"/>
              </w:rPr>
              <w:t xml:space="preserve"> </w:t>
            </w:r>
            <w:r w:rsidR="00E63AD7" w:rsidRPr="003F53C9">
              <w:rPr>
                <w:rFonts w:ascii="Arial" w:eastAsiaTheme="minorHAnsi" w:hAnsi="Arial" w:cstheme="minorBidi"/>
                <w:b/>
                <w:sz w:val="20"/>
                <w:szCs w:val="22"/>
                <w:lang w:val="en-GB" w:eastAsia="en-US"/>
              </w:rPr>
              <w:t>E</w:t>
            </w:r>
            <w:r w:rsidR="00B11C76" w:rsidRPr="003F53C9">
              <w:rPr>
                <w:rFonts w:ascii="Arial" w:eastAsiaTheme="minorHAnsi" w:hAnsi="Arial" w:cstheme="minorBidi"/>
                <w:b/>
                <w:sz w:val="20"/>
                <w:szCs w:val="22"/>
                <w:lang w:val="en-GB" w:eastAsia="en-US"/>
              </w:rPr>
              <w:t>UR</w:t>
            </w:r>
          </w:p>
        </w:tc>
      </w:tr>
    </w:tbl>
    <w:p w14:paraId="5710F453" w14:textId="77777777" w:rsidR="00B90776" w:rsidRDefault="00B90776" w:rsidP="00B90776">
      <w:pPr>
        <w:suppressAutoHyphens w:val="0"/>
        <w:spacing w:after="200" w:line="260" w:lineRule="atLeast"/>
        <w:jc w:val="both"/>
        <w:rPr>
          <w:rFonts w:ascii="Arial" w:eastAsiaTheme="minorHAnsi" w:hAnsi="Arial" w:cs="Arial"/>
          <w:bCs/>
          <w:sz w:val="20"/>
          <w:szCs w:val="22"/>
          <w:lang w:val="en-GB" w:eastAsia="en-US"/>
        </w:rPr>
      </w:pPr>
    </w:p>
    <w:p w14:paraId="4079F99B" w14:textId="1512CF9A" w:rsidR="00B90776" w:rsidRPr="00B90776" w:rsidRDefault="00B90776" w:rsidP="00B90776">
      <w:pPr>
        <w:suppressAutoHyphens w:val="0"/>
        <w:spacing w:after="200" w:line="260" w:lineRule="atLeast"/>
        <w:jc w:val="both"/>
        <w:rPr>
          <w:rFonts w:ascii="Arial" w:eastAsiaTheme="minorHAnsi" w:hAnsi="Arial" w:cs="Arial"/>
          <w:sz w:val="20"/>
          <w:szCs w:val="22"/>
          <w:lang w:eastAsia="en-US"/>
        </w:rPr>
      </w:pPr>
      <w:r w:rsidRPr="00B90776">
        <w:rPr>
          <w:rFonts w:ascii="Arial" w:eastAsiaTheme="minorHAnsi" w:hAnsi="Arial" w:cs="Arial"/>
          <w:bCs/>
          <w:sz w:val="20"/>
          <w:szCs w:val="22"/>
          <w:lang w:eastAsia="en-US"/>
        </w:rPr>
        <w:t xml:space="preserve">Zneski, navedeni v razdelku I. Tabele 2, so povzeti iz </w:t>
      </w:r>
      <w:r w:rsidR="00887257">
        <w:rPr>
          <w:rFonts w:ascii="Arial" w:eastAsiaTheme="minorHAnsi" w:hAnsi="Arial" w:cs="Arial"/>
          <w:bCs/>
          <w:sz w:val="20"/>
          <w:szCs w:val="22"/>
          <w:lang w:eastAsia="en-US"/>
        </w:rPr>
        <w:t>P</w:t>
      </w:r>
      <w:r w:rsidRPr="00B90776">
        <w:rPr>
          <w:rFonts w:ascii="Arial" w:eastAsiaTheme="minorHAnsi" w:hAnsi="Arial" w:cs="Arial"/>
          <w:bCs/>
          <w:sz w:val="20"/>
          <w:szCs w:val="22"/>
          <w:lang w:eastAsia="en-US"/>
        </w:rPr>
        <w:t>roračuna Republike Slovenije za leto 202</w:t>
      </w:r>
      <w:r w:rsidR="00887257">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xml:space="preserve"> (Uradni list RS, št. </w:t>
      </w:r>
      <w:r w:rsidR="0058632F" w:rsidRPr="0058632F">
        <w:rPr>
          <w:rFonts w:ascii="Arial" w:eastAsiaTheme="minorHAnsi" w:hAnsi="Arial" w:cs="Arial"/>
          <w:bCs/>
          <w:sz w:val="20"/>
          <w:szCs w:val="22"/>
          <w:lang w:eastAsia="en-US"/>
        </w:rPr>
        <w:t xml:space="preserve">75/19 in </w:t>
      </w:r>
      <w:r w:rsidR="003F79E5" w:rsidRPr="003F79E5">
        <w:rPr>
          <w:rFonts w:ascii="Arial" w:eastAsiaTheme="minorHAnsi" w:hAnsi="Arial" w:cs="Arial"/>
          <w:bCs/>
          <w:sz w:val="20"/>
          <w:szCs w:val="22"/>
          <w:lang w:eastAsia="en-US"/>
        </w:rPr>
        <w:t>174/20</w:t>
      </w:r>
      <w:r w:rsidRPr="003F79E5">
        <w:rPr>
          <w:rFonts w:ascii="Arial" w:eastAsiaTheme="minorHAnsi" w:hAnsi="Arial" w:cs="Arial"/>
          <w:bCs/>
          <w:sz w:val="20"/>
          <w:szCs w:val="22"/>
          <w:lang w:eastAsia="en-US"/>
        </w:rPr>
        <w:t>;</w:t>
      </w:r>
      <w:r w:rsidRPr="00B90776">
        <w:rPr>
          <w:rFonts w:ascii="Arial" w:eastAsiaTheme="minorHAnsi" w:hAnsi="Arial" w:cs="Arial"/>
          <w:bCs/>
          <w:sz w:val="20"/>
          <w:szCs w:val="22"/>
          <w:lang w:eastAsia="en-US"/>
        </w:rPr>
        <w:t xml:space="preserve"> v nadaljnjem besedilu: </w:t>
      </w:r>
      <w:r w:rsidR="00887257">
        <w:rPr>
          <w:rFonts w:ascii="Arial" w:eastAsiaTheme="minorHAnsi" w:hAnsi="Arial" w:cs="Arial"/>
          <w:bCs/>
          <w:sz w:val="20"/>
          <w:szCs w:val="22"/>
          <w:lang w:eastAsia="en-US"/>
        </w:rPr>
        <w:t>Proračun</w:t>
      </w:r>
      <w:r w:rsidR="00887257" w:rsidRPr="00B90776">
        <w:rPr>
          <w:rFonts w:ascii="Arial" w:eastAsiaTheme="minorHAnsi" w:hAnsi="Arial" w:cs="Arial"/>
          <w:bCs/>
          <w:sz w:val="20"/>
          <w:szCs w:val="22"/>
          <w:lang w:eastAsia="en-US"/>
        </w:rPr>
        <w:t xml:space="preserve"> </w:t>
      </w:r>
      <w:r w:rsidRPr="00B90776">
        <w:rPr>
          <w:rFonts w:ascii="Arial" w:eastAsiaTheme="minorHAnsi" w:hAnsi="Arial" w:cs="Arial"/>
          <w:bCs/>
          <w:sz w:val="20"/>
          <w:szCs w:val="22"/>
          <w:lang w:eastAsia="en-US"/>
        </w:rPr>
        <w:t>202</w:t>
      </w:r>
      <w:r w:rsidR="00887257">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xml:space="preserve">). </w:t>
      </w:r>
    </w:p>
    <w:p w14:paraId="226986E7" w14:textId="2C582040" w:rsidR="00B90776" w:rsidRPr="00B11C76" w:rsidRDefault="00B90776" w:rsidP="00B90776">
      <w:pPr>
        <w:suppressAutoHyphens w:val="0"/>
        <w:spacing w:after="200" w:line="260" w:lineRule="atLeast"/>
        <w:jc w:val="both"/>
        <w:rPr>
          <w:rFonts w:ascii="Arial" w:eastAsiaTheme="minorHAnsi" w:hAnsi="Arial" w:cstheme="minorBidi"/>
          <w:sz w:val="20"/>
          <w:szCs w:val="22"/>
          <w:highlight w:val="green"/>
          <w:lang w:eastAsia="en-US"/>
        </w:rPr>
      </w:pPr>
      <w:r w:rsidRPr="00B90776">
        <w:rPr>
          <w:rFonts w:ascii="Arial" w:eastAsiaTheme="minorHAnsi" w:hAnsi="Arial" w:cs="Arial"/>
          <w:bCs/>
          <w:sz w:val="20"/>
          <w:szCs w:val="22"/>
          <w:lang w:eastAsia="en-US"/>
        </w:rPr>
        <w:t xml:space="preserve">Glede na </w:t>
      </w:r>
      <w:r w:rsidR="00887257">
        <w:rPr>
          <w:rFonts w:ascii="Arial" w:eastAsiaTheme="minorHAnsi" w:hAnsi="Arial" w:cs="Arial"/>
          <w:bCs/>
          <w:sz w:val="20"/>
          <w:szCs w:val="22"/>
          <w:lang w:eastAsia="en-US"/>
        </w:rPr>
        <w:t>Proračun</w:t>
      </w:r>
      <w:r w:rsidR="00887257" w:rsidRPr="00B90776">
        <w:rPr>
          <w:rFonts w:ascii="Arial" w:eastAsiaTheme="minorHAnsi" w:hAnsi="Arial" w:cs="Arial"/>
          <w:bCs/>
          <w:sz w:val="20"/>
          <w:szCs w:val="22"/>
          <w:lang w:eastAsia="en-US"/>
        </w:rPr>
        <w:t xml:space="preserve"> 202</w:t>
      </w:r>
      <w:r w:rsidR="00887257">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xml:space="preserve">, ki izkazuje primanjkljaj bilance A v višini </w:t>
      </w:r>
      <w:r w:rsidR="00644551" w:rsidRPr="00644551">
        <w:rPr>
          <w:rFonts w:ascii="Arial" w:eastAsiaTheme="minorHAnsi" w:hAnsi="Arial" w:cs="Arial"/>
          <w:bCs/>
          <w:sz w:val="20"/>
          <w:szCs w:val="22"/>
          <w:lang w:eastAsia="en-US"/>
        </w:rPr>
        <w:t>2.746.789.588,25</w:t>
      </w:r>
      <w:r w:rsidRPr="00B90776">
        <w:rPr>
          <w:rFonts w:ascii="Arial" w:eastAsiaTheme="minorHAnsi" w:hAnsi="Arial" w:cs="Arial"/>
          <w:bCs/>
          <w:sz w:val="20"/>
          <w:szCs w:val="22"/>
          <w:lang w:eastAsia="en-US"/>
        </w:rPr>
        <w:t xml:space="preserve"> EUR in </w:t>
      </w:r>
      <w:r w:rsidR="00644551" w:rsidRPr="00B90776">
        <w:rPr>
          <w:rFonts w:ascii="Arial" w:eastAsiaTheme="minorHAnsi" w:hAnsi="Arial" w:cs="Arial"/>
          <w:bCs/>
          <w:sz w:val="20"/>
          <w:szCs w:val="22"/>
          <w:lang w:eastAsia="en-US"/>
        </w:rPr>
        <w:t xml:space="preserve">primanjkljaj </w:t>
      </w:r>
      <w:r w:rsidRPr="00B90776">
        <w:rPr>
          <w:rFonts w:ascii="Arial" w:eastAsiaTheme="minorHAnsi" w:hAnsi="Arial" w:cs="Arial"/>
          <w:bCs/>
          <w:sz w:val="20"/>
          <w:szCs w:val="22"/>
          <w:lang w:eastAsia="en-US"/>
        </w:rPr>
        <w:t xml:space="preserve">bilance B v višini </w:t>
      </w:r>
      <w:r w:rsidR="00644551" w:rsidRPr="00553167">
        <w:rPr>
          <w:rFonts w:ascii="Arial" w:eastAsiaTheme="minorHAnsi" w:hAnsi="Arial" w:cs="Arial"/>
          <w:bCs/>
          <w:sz w:val="20"/>
          <w:szCs w:val="22"/>
          <w:lang w:eastAsia="en-US"/>
        </w:rPr>
        <w:t>509.574.346,49</w:t>
      </w:r>
      <w:r w:rsidRPr="00B90776">
        <w:rPr>
          <w:rFonts w:ascii="Arial" w:eastAsiaTheme="minorHAnsi" w:hAnsi="Arial" w:cs="Arial"/>
          <w:bCs/>
          <w:sz w:val="20"/>
          <w:szCs w:val="22"/>
          <w:lang w:eastAsia="en-US"/>
        </w:rPr>
        <w:t xml:space="preserve"> EUR, ob upoštevanju potrebnega financiranja zapadlih glavnic v letu 202</w:t>
      </w:r>
      <w:r w:rsidR="00644551">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xml:space="preserve"> v višini </w:t>
      </w:r>
      <w:r w:rsidR="00644551" w:rsidRPr="00553167">
        <w:rPr>
          <w:rFonts w:ascii="Arial" w:eastAsiaTheme="minorHAnsi" w:hAnsi="Arial" w:cs="Arial"/>
          <w:bCs/>
          <w:sz w:val="20"/>
          <w:szCs w:val="22"/>
          <w:lang w:eastAsia="en-US"/>
        </w:rPr>
        <w:t>3.731.736.601,95</w:t>
      </w:r>
      <w:r w:rsidRPr="00B90776">
        <w:rPr>
          <w:rFonts w:ascii="Arial" w:eastAsiaTheme="minorHAnsi" w:hAnsi="Arial" w:cs="Arial"/>
          <w:bCs/>
          <w:sz w:val="20"/>
          <w:szCs w:val="22"/>
          <w:lang w:eastAsia="en-US"/>
        </w:rPr>
        <w:t xml:space="preserve"> EUR in spremembe</w:t>
      </w:r>
      <w:r w:rsidR="00644551">
        <w:rPr>
          <w:rFonts w:ascii="Arial" w:eastAsiaTheme="minorHAnsi" w:hAnsi="Arial" w:cs="Arial"/>
          <w:bCs/>
          <w:sz w:val="20"/>
          <w:szCs w:val="22"/>
          <w:lang w:eastAsia="en-US"/>
        </w:rPr>
        <w:t xml:space="preserve"> (zmanjšanja)</w:t>
      </w:r>
      <w:r w:rsidRPr="00B90776">
        <w:rPr>
          <w:rFonts w:ascii="Arial" w:eastAsiaTheme="minorHAnsi" w:hAnsi="Arial" w:cs="Arial"/>
          <w:bCs/>
          <w:sz w:val="20"/>
          <w:szCs w:val="22"/>
          <w:lang w:eastAsia="en-US"/>
        </w:rPr>
        <w:t xml:space="preserve"> sredstev na računu v C. računu financiranja v višini </w:t>
      </w:r>
      <w:r w:rsidR="0058632F" w:rsidRPr="0058632F">
        <w:rPr>
          <w:rFonts w:ascii="Arial" w:eastAsiaTheme="minorHAnsi" w:hAnsi="Arial" w:cs="Arial"/>
          <w:bCs/>
          <w:sz w:val="20"/>
          <w:szCs w:val="22"/>
          <w:lang w:eastAsia="en-US"/>
        </w:rPr>
        <w:t>254.999.999,99</w:t>
      </w:r>
      <w:r w:rsidRPr="00B90776">
        <w:rPr>
          <w:rFonts w:ascii="Arial" w:eastAsiaTheme="minorHAnsi" w:hAnsi="Arial" w:cs="Arial"/>
          <w:bCs/>
          <w:sz w:val="20"/>
          <w:szCs w:val="22"/>
          <w:lang w:eastAsia="en-US"/>
        </w:rPr>
        <w:t xml:space="preserve"> EUR znaša</w:t>
      </w:r>
      <w:r w:rsidR="00644551">
        <w:rPr>
          <w:rFonts w:ascii="Arial" w:eastAsiaTheme="minorHAnsi" w:hAnsi="Arial" w:cs="Arial"/>
          <w:bCs/>
          <w:sz w:val="20"/>
          <w:szCs w:val="22"/>
          <w:lang w:eastAsia="en-US"/>
        </w:rPr>
        <w:t xml:space="preserve"> potrebno</w:t>
      </w:r>
      <w:r w:rsidRPr="00B90776">
        <w:rPr>
          <w:rFonts w:ascii="Arial" w:eastAsiaTheme="minorHAnsi" w:hAnsi="Arial" w:cs="Arial"/>
          <w:bCs/>
          <w:sz w:val="20"/>
          <w:szCs w:val="22"/>
          <w:lang w:eastAsia="en-US"/>
        </w:rPr>
        <w:t xml:space="preserve"> financiranje za izvrševanje državnega proračuna v letu 202</w:t>
      </w:r>
      <w:r w:rsidR="00644551">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xml:space="preserve"> </w:t>
      </w:r>
      <w:r w:rsidR="00644551">
        <w:rPr>
          <w:rFonts w:ascii="Arial" w:eastAsiaTheme="minorHAnsi" w:hAnsi="Arial" w:cs="Arial"/>
          <w:bCs/>
          <w:sz w:val="20"/>
          <w:szCs w:val="22"/>
          <w:lang w:eastAsia="en-US"/>
        </w:rPr>
        <w:t xml:space="preserve">v višini </w:t>
      </w:r>
      <w:r w:rsidR="00644551" w:rsidRPr="00644551">
        <w:rPr>
          <w:rFonts w:ascii="Arial" w:eastAsiaTheme="minorHAnsi" w:hAnsi="Arial" w:cs="Arial"/>
          <w:bCs/>
          <w:sz w:val="20"/>
          <w:szCs w:val="22"/>
          <w:lang w:eastAsia="en-US"/>
        </w:rPr>
        <w:t>6.733.100.536,70</w:t>
      </w:r>
      <w:r w:rsidRPr="00B90776">
        <w:rPr>
          <w:rFonts w:ascii="Arial" w:eastAsiaTheme="minorHAnsi" w:hAnsi="Arial" w:cs="Arial"/>
          <w:bCs/>
          <w:sz w:val="20"/>
          <w:szCs w:val="22"/>
          <w:lang w:eastAsia="en-US"/>
        </w:rPr>
        <w:t xml:space="preserve"> EUR. Ta znesek se zniža za </w:t>
      </w:r>
      <w:r w:rsidR="001C6721" w:rsidRPr="00553167">
        <w:rPr>
          <w:rFonts w:ascii="Arial" w:eastAsiaTheme="minorHAnsi" w:hAnsi="Arial" w:cs="Arial"/>
          <w:bCs/>
          <w:sz w:val="20"/>
          <w:szCs w:val="22"/>
          <w:lang w:eastAsia="en-US"/>
        </w:rPr>
        <w:t>1.059.869.504,99</w:t>
      </w:r>
      <w:r w:rsidR="00A5449B" w:rsidRPr="00553167">
        <w:rPr>
          <w:rFonts w:ascii="Arial" w:eastAsiaTheme="minorHAnsi" w:hAnsi="Arial" w:cs="Arial"/>
          <w:bCs/>
          <w:sz w:val="20"/>
          <w:szCs w:val="22"/>
          <w:lang w:eastAsia="en-US"/>
        </w:rPr>
        <w:t xml:space="preserve"> </w:t>
      </w:r>
      <w:r w:rsidR="00644551" w:rsidRPr="00553167">
        <w:rPr>
          <w:rFonts w:ascii="Arial" w:eastAsiaTheme="minorHAnsi" w:hAnsi="Arial" w:cs="Arial"/>
          <w:bCs/>
          <w:sz w:val="20"/>
          <w:szCs w:val="22"/>
          <w:lang w:eastAsia="en-US"/>
        </w:rPr>
        <w:t xml:space="preserve">EUR </w:t>
      </w:r>
      <w:r w:rsidRPr="00B90776">
        <w:rPr>
          <w:rFonts w:ascii="Arial" w:eastAsiaTheme="minorHAnsi" w:hAnsi="Arial" w:cs="Arial"/>
          <w:bCs/>
          <w:sz w:val="20"/>
          <w:szCs w:val="22"/>
          <w:lang w:eastAsia="en-US"/>
        </w:rPr>
        <w:t xml:space="preserve">iz naslova </w:t>
      </w:r>
      <w:proofErr w:type="spellStart"/>
      <w:r w:rsidRPr="00B90776">
        <w:rPr>
          <w:rFonts w:ascii="Arial" w:eastAsiaTheme="minorHAnsi" w:hAnsi="Arial" w:cs="Arial"/>
          <w:bCs/>
          <w:sz w:val="20"/>
          <w:szCs w:val="22"/>
          <w:lang w:eastAsia="en-US"/>
        </w:rPr>
        <w:t>predfinanciranja</w:t>
      </w:r>
      <w:proofErr w:type="spellEnd"/>
      <w:r w:rsidRPr="00B90776">
        <w:rPr>
          <w:rFonts w:ascii="Arial" w:eastAsiaTheme="minorHAnsi" w:hAnsi="Arial" w:cs="Arial"/>
          <w:bCs/>
          <w:sz w:val="20"/>
          <w:szCs w:val="22"/>
          <w:lang w:eastAsia="en-US"/>
        </w:rPr>
        <w:t>, izvršenega z zadolžitvijo v letu 20</w:t>
      </w:r>
      <w:r w:rsidR="00644551">
        <w:rPr>
          <w:rFonts w:ascii="Arial" w:eastAsiaTheme="minorHAnsi" w:hAnsi="Arial" w:cs="Arial"/>
          <w:bCs/>
          <w:sz w:val="20"/>
          <w:szCs w:val="22"/>
          <w:lang w:eastAsia="en-US"/>
        </w:rPr>
        <w:t>20</w:t>
      </w:r>
      <w:r w:rsidRPr="00B90776">
        <w:rPr>
          <w:rFonts w:ascii="Arial" w:eastAsiaTheme="minorHAnsi" w:hAnsi="Arial" w:cs="Arial"/>
          <w:bCs/>
          <w:sz w:val="20"/>
          <w:szCs w:val="22"/>
          <w:lang w:eastAsia="en-US"/>
        </w:rPr>
        <w:t xml:space="preserve">, in iz naslova kupnine od prodaje kapitalskih naložb. Tako </w:t>
      </w:r>
      <w:r w:rsidR="00644551">
        <w:rPr>
          <w:rFonts w:ascii="Arial" w:eastAsiaTheme="minorHAnsi" w:hAnsi="Arial" w:cs="Arial"/>
          <w:bCs/>
          <w:sz w:val="20"/>
          <w:szCs w:val="22"/>
          <w:lang w:eastAsia="en-US"/>
        </w:rPr>
        <w:t>znaša</w:t>
      </w:r>
      <w:r w:rsidR="00644551" w:rsidRPr="00B90776">
        <w:rPr>
          <w:rFonts w:ascii="Arial" w:eastAsiaTheme="minorHAnsi" w:hAnsi="Arial" w:cs="Arial"/>
          <w:bCs/>
          <w:sz w:val="20"/>
          <w:szCs w:val="22"/>
          <w:lang w:eastAsia="en-US"/>
        </w:rPr>
        <w:t xml:space="preserve"> </w:t>
      </w:r>
      <w:r w:rsidRPr="00B90776">
        <w:rPr>
          <w:rFonts w:ascii="Arial" w:eastAsiaTheme="minorHAnsi" w:hAnsi="Arial" w:cs="Arial"/>
          <w:bCs/>
          <w:sz w:val="20"/>
          <w:szCs w:val="22"/>
          <w:lang w:eastAsia="en-US"/>
        </w:rPr>
        <w:t>končni znesek financiranja v letu 202</w:t>
      </w:r>
      <w:r w:rsidR="00644551">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xml:space="preserve"> za izvrševanje državnega </w:t>
      </w:r>
      <w:r w:rsidRPr="003F53C9">
        <w:rPr>
          <w:rFonts w:ascii="Arial" w:eastAsiaTheme="minorHAnsi" w:hAnsi="Arial" w:cs="Arial"/>
          <w:bCs/>
          <w:sz w:val="20"/>
          <w:szCs w:val="22"/>
          <w:lang w:eastAsia="en-US"/>
        </w:rPr>
        <w:t xml:space="preserve">proračuna </w:t>
      </w:r>
      <w:r w:rsidR="001C6721" w:rsidRPr="00553167">
        <w:rPr>
          <w:rFonts w:ascii="Arial" w:eastAsiaTheme="minorHAnsi" w:hAnsi="Arial" w:cs="Arial"/>
          <w:bCs/>
          <w:sz w:val="20"/>
          <w:szCs w:val="22"/>
          <w:lang w:eastAsia="en-US"/>
        </w:rPr>
        <w:t>5.673.231.031,71</w:t>
      </w:r>
      <w:r w:rsidR="004F5E4D" w:rsidRPr="00553167">
        <w:rPr>
          <w:rFonts w:ascii="Arial" w:eastAsiaTheme="minorHAnsi" w:hAnsi="Arial" w:cs="Arial"/>
          <w:bCs/>
          <w:sz w:val="20"/>
          <w:szCs w:val="22"/>
          <w:lang w:eastAsia="en-US"/>
        </w:rPr>
        <w:t xml:space="preserve"> </w:t>
      </w:r>
      <w:r w:rsidRPr="003F53C9">
        <w:rPr>
          <w:rFonts w:ascii="Arial" w:eastAsiaTheme="minorHAnsi" w:hAnsi="Arial" w:cs="Arial"/>
          <w:bCs/>
          <w:sz w:val="20"/>
          <w:szCs w:val="22"/>
          <w:lang w:eastAsia="en-US"/>
        </w:rPr>
        <w:t>EUR</w:t>
      </w:r>
      <w:r w:rsidRPr="00B90776">
        <w:rPr>
          <w:rFonts w:ascii="Arial" w:eastAsiaTheme="minorHAnsi" w:hAnsi="Arial" w:cs="Arial"/>
          <w:bCs/>
          <w:sz w:val="20"/>
          <w:szCs w:val="22"/>
          <w:lang w:eastAsia="en-US"/>
        </w:rPr>
        <w:t xml:space="preserve">. </w:t>
      </w:r>
    </w:p>
    <w:p w14:paraId="45690C5B" w14:textId="77777777" w:rsidR="00B90776" w:rsidRPr="00B90776" w:rsidRDefault="00B90776" w:rsidP="00B90776">
      <w:pPr>
        <w:suppressAutoHyphens w:val="0"/>
        <w:spacing w:after="200" w:line="260" w:lineRule="atLeast"/>
        <w:jc w:val="both"/>
        <w:rPr>
          <w:rFonts w:ascii="Arial" w:eastAsiaTheme="minorHAnsi" w:hAnsi="Arial" w:cs="Arial"/>
          <w:bCs/>
          <w:sz w:val="20"/>
          <w:szCs w:val="22"/>
          <w:lang w:eastAsia="en-US"/>
        </w:rPr>
      </w:pPr>
      <w:r w:rsidRPr="00B90776">
        <w:rPr>
          <w:rFonts w:ascii="Arial" w:eastAsiaTheme="minorHAnsi" w:hAnsi="Arial" w:cs="Arial"/>
          <w:bCs/>
          <w:sz w:val="20"/>
          <w:szCs w:val="22"/>
          <w:lang w:eastAsia="en-US"/>
        </w:rPr>
        <w:t>V skladu z 81. členom ZJF je poleg financiranja izvrševanja proračuna Republike Slovenije za leto 202</w:t>
      </w:r>
      <w:r w:rsidR="00644551">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xml:space="preserve"> dovoljeno tudi predčasno financiranje dela proračunskih potreb prihodnjega dveletnega obdobja. </w:t>
      </w:r>
      <w:r w:rsidRPr="00B90776">
        <w:rPr>
          <w:rFonts w:ascii="Arial" w:eastAsiaTheme="minorHAnsi" w:hAnsi="Arial" w:cs="Arial"/>
          <w:bCs/>
          <w:sz w:val="20"/>
          <w:szCs w:val="22"/>
          <w:lang w:eastAsia="en-US"/>
        </w:rPr>
        <w:lastRenderedPageBreak/>
        <w:t>Največji dodatni obseg zadolževanja, ki ga zakon dovoljuje za ta namen v letu 202</w:t>
      </w:r>
      <w:r w:rsidR="00644551">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je vsota odplačil</w:t>
      </w:r>
      <w:r w:rsidRPr="00553167">
        <w:rPr>
          <w:rFonts w:ascii="Arial" w:eastAsiaTheme="minorHAnsi" w:hAnsi="Arial" w:cs="Arial"/>
          <w:bCs/>
          <w:sz w:val="20"/>
          <w:szCs w:val="22"/>
          <w:lang w:eastAsia="en-US"/>
        </w:rPr>
        <w:t xml:space="preserve"> </w:t>
      </w:r>
      <w:r w:rsidRPr="00B90776">
        <w:rPr>
          <w:rFonts w:ascii="Arial" w:eastAsiaTheme="minorHAnsi" w:hAnsi="Arial" w:cs="Arial"/>
          <w:bCs/>
          <w:sz w:val="20"/>
          <w:szCs w:val="22"/>
          <w:lang w:eastAsia="en-US"/>
        </w:rPr>
        <w:t>glavnic dolga državnega proračuna, ki zapadejo v plačilo v letih 202</w:t>
      </w:r>
      <w:r w:rsidR="00644551">
        <w:rPr>
          <w:rFonts w:ascii="Arial" w:eastAsiaTheme="minorHAnsi" w:hAnsi="Arial" w:cs="Arial"/>
          <w:bCs/>
          <w:sz w:val="20"/>
          <w:szCs w:val="22"/>
          <w:lang w:eastAsia="en-US"/>
        </w:rPr>
        <w:t>2</w:t>
      </w:r>
      <w:r w:rsidRPr="00B90776">
        <w:rPr>
          <w:rFonts w:ascii="Arial" w:eastAsiaTheme="minorHAnsi" w:hAnsi="Arial" w:cs="Arial"/>
          <w:bCs/>
          <w:sz w:val="20"/>
          <w:szCs w:val="22"/>
          <w:lang w:eastAsia="en-US"/>
        </w:rPr>
        <w:t xml:space="preserve"> in 202</w:t>
      </w:r>
      <w:r w:rsidR="00644551">
        <w:rPr>
          <w:rFonts w:ascii="Arial" w:eastAsiaTheme="minorHAnsi" w:hAnsi="Arial" w:cs="Arial"/>
          <w:bCs/>
          <w:sz w:val="20"/>
          <w:szCs w:val="22"/>
          <w:lang w:eastAsia="en-US"/>
        </w:rPr>
        <w:t>3</w:t>
      </w:r>
      <w:r w:rsidRPr="00B90776">
        <w:rPr>
          <w:rFonts w:ascii="Arial" w:eastAsiaTheme="minorHAnsi" w:hAnsi="Arial" w:cs="Arial"/>
          <w:bCs/>
          <w:sz w:val="20"/>
          <w:szCs w:val="22"/>
          <w:lang w:eastAsia="en-US"/>
        </w:rPr>
        <w:t>, in sicer po stanju iz evidence dolga državnega proračuna na dan vsakokratne nove zadolžitve v letu 202</w:t>
      </w:r>
      <w:r w:rsidR="00644551">
        <w:rPr>
          <w:rFonts w:ascii="Arial" w:eastAsiaTheme="minorHAnsi" w:hAnsi="Arial" w:cs="Arial"/>
          <w:bCs/>
          <w:sz w:val="20"/>
          <w:szCs w:val="22"/>
          <w:lang w:eastAsia="en-US"/>
        </w:rPr>
        <w:t>1</w:t>
      </w:r>
      <w:r w:rsidRPr="00B90776">
        <w:rPr>
          <w:rFonts w:ascii="Arial" w:eastAsiaTheme="minorHAnsi" w:hAnsi="Arial" w:cs="Arial"/>
          <w:bCs/>
          <w:sz w:val="20"/>
          <w:szCs w:val="22"/>
          <w:lang w:eastAsia="en-US"/>
        </w:rPr>
        <w:t xml:space="preserve">. </w:t>
      </w:r>
    </w:p>
    <w:p w14:paraId="6A0BE0FD" w14:textId="77777777" w:rsidR="008C6F57" w:rsidRPr="008C6E9D" w:rsidRDefault="008C6F57" w:rsidP="008C6E9D">
      <w:pPr>
        <w:spacing w:line="260" w:lineRule="exact"/>
        <w:rPr>
          <w:rFonts w:ascii="Arial" w:hAnsi="Arial" w:cs="Arial"/>
          <w:bCs/>
          <w:sz w:val="20"/>
          <w:szCs w:val="20"/>
        </w:rPr>
      </w:pPr>
    </w:p>
    <w:p w14:paraId="64C33342" w14:textId="77777777" w:rsidR="0087764E" w:rsidRPr="0087764E" w:rsidRDefault="00C3541D" w:rsidP="00F96714">
      <w:pPr>
        <w:pStyle w:val="Naslov2"/>
      </w:pPr>
      <w:bookmarkStart w:id="2" w:name="_Ref373851092"/>
      <w:r w:rsidRPr="00F21CA3">
        <w:t xml:space="preserve">IZVEDBA </w:t>
      </w:r>
      <w:r w:rsidR="002E7155" w:rsidRPr="00F21CA3">
        <w:t xml:space="preserve">FINANCIRANJA </w:t>
      </w:r>
      <w:r w:rsidR="002E2C29" w:rsidRPr="00F21CA3">
        <w:t>–</w:t>
      </w:r>
      <w:r w:rsidRPr="00F21CA3">
        <w:t xml:space="preserve"> PREDVIDENI INSTRUMENTI IN DINAMIKA </w:t>
      </w:r>
      <w:bookmarkEnd w:id="2"/>
      <w:r w:rsidR="002E7155" w:rsidRPr="00F21CA3">
        <w:t xml:space="preserve">FINANCIRANJA </w:t>
      </w:r>
    </w:p>
    <w:p w14:paraId="2F9253A7"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Struktura instrumentov </w:t>
      </w:r>
      <w:r w:rsidR="002E7155">
        <w:rPr>
          <w:rFonts w:ascii="Arial" w:hAnsi="Arial" w:cs="Arial"/>
          <w:sz w:val="20"/>
          <w:szCs w:val="20"/>
        </w:rPr>
        <w:t>financiranja</w:t>
      </w:r>
      <w:r w:rsidRPr="008C6E9D">
        <w:rPr>
          <w:rFonts w:ascii="Arial" w:hAnsi="Arial" w:cs="Arial"/>
          <w:sz w:val="20"/>
          <w:szCs w:val="20"/>
        </w:rPr>
        <w:t xml:space="preserve">, razmerje med kratkoročnim in dolgoročnim financiranjem in dinamika </w:t>
      </w:r>
      <w:r w:rsidR="002E7155">
        <w:rPr>
          <w:rFonts w:ascii="Arial" w:hAnsi="Arial" w:cs="Arial"/>
          <w:sz w:val="20"/>
          <w:szCs w:val="20"/>
        </w:rPr>
        <w:t>financiranja</w:t>
      </w:r>
      <w:r w:rsidR="002E7155" w:rsidRPr="008C6E9D">
        <w:rPr>
          <w:rFonts w:ascii="Arial" w:hAnsi="Arial" w:cs="Arial"/>
          <w:sz w:val="20"/>
          <w:szCs w:val="20"/>
        </w:rPr>
        <w:t xml:space="preserve"> </w:t>
      </w:r>
      <w:r w:rsidRPr="00542199">
        <w:rPr>
          <w:rFonts w:ascii="Arial" w:hAnsi="Arial" w:cs="Arial"/>
          <w:sz w:val="20"/>
          <w:szCs w:val="20"/>
        </w:rPr>
        <w:t>se v programu financiranja</w:t>
      </w:r>
      <w:r w:rsidRPr="008C6E9D">
        <w:rPr>
          <w:rFonts w:ascii="Arial" w:hAnsi="Arial" w:cs="Arial"/>
          <w:sz w:val="20"/>
          <w:szCs w:val="20"/>
        </w:rPr>
        <w:t xml:space="preserve"> praviloma načrtuje predvsem na podlagi strateških ciljev in načel zadolževanja za proračun Republike Slovenije in ocenjene dinamike proračunskih denarnih tokov.</w:t>
      </w:r>
      <w:r w:rsidR="002119F7">
        <w:rPr>
          <w:rFonts w:ascii="Arial" w:hAnsi="Arial" w:cs="Arial"/>
          <w:sz w:val="20"/>
          <w:szCs w:val="20"/>
        </w:rPr>
        <w:t xml:space="preserve"> </w:t>
      </w:r>
    </w:p>
    <w:p w14:paraId="1B9FFDFE" w14:textId="77777777" w:rsidR="00C3541D" w:rsidRPr="008C6E9D" w:rsidRDefault="00C3541D" w:rsidP="008C6E9D">
      <w:pPr>
        <w:spacing w:line="260" w:lineRule="exact"/>
        <w:jc w:val="both"/>
        <w:rPr>
          <w:rFonts w:ascii="Arial" w:hAnsi="Arial" w:cs="Arial"/>
          <w:sz w:val="20"/>
          <w:szCs w:val="20"/>
        </w:rPr>
      </w:pPr>
    </w:p>
    <w:p w14:paraId="63DFC852"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1B14E3D5" w14:textId="77777777" w:rsidR="00C3541D" w:rsidRPr="008C6E9D" w:rsidRDefault="00C3541D" w:rsidP="008C6E9D">
      <w:pPr>
        <w:spacing w:line="260" w:lineRule="exact"/>
        <w:jc w:val="both"/>
        <w:rPr>
          <w:rFonts w:ascii="Arial" w:hAnsi="Arial" w:cs="Arial"/>
          <w:sz w:val="20"/>
          <w:szCs w:val="20"/>
        </w:rPr>
      </w:pPr>
    </w:p>
    <w:p w14:paraId="0B752764"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Hkrati je v programu financiranja potrebno upoštevati tudi strategijo izvajanja </w:t>
      </w:r>
      <w:r w:rsidR="002E7155">
        <w:rPr>
          <w:rFonts w:ascii="Arial" w:hAnsi="Arial" w:cs="Arial"/>
          <w:sz w:val="20"/>
          <w:szCs w:val="20"/>
        </w:rPr>
        <w:t>financiranja</w:t>
      </w:r>
      <w:r w:rsidRPr="008C6E9D">
        <w:rPr>
          <w:rFonts w:ascii="Arial" w:hAnsi="Arial" w:cs="Arial"/>
          <w:sz w:val="20"/>
          <w:szCs w:val="20"/>
        </w:rPr>
        <w:t>, katere poglavitno načelo je</w:t>
      </w:r>
      <w:r w:rsidR="003A28F0" w:rsidRPr="008C6E9D">
        <w:rPr>
          <w:rFonts w:ascii="Arial" w:hAnsi="Arial" w:cs="Arial"/>
          <w:sz w:val="20"/>
          <w:szCs w:val="20"/>
        </w:rPr>
        <w:t xml:space="preserve"> </w:t>
      </w:r>
      <w:r w:rsidRPr="008C6E9D">
        <w:rPr>
          <w:rFonts w:ascii="Arial" w:hAnsi="Arial" w:cs="Arial"/>
          <w:sz w:val="20"/>
          <w:szCs w:val="20"/>
        </w:rPr>
        <w:t xml:space="preserve">predvidljivost </w:t>
      </w:r>
      <w:r w:rsidR="003A28F0" w:rsidRPr="008C6E9D">
        <w:rPr>
          <w:rFonts w:ascii="Arial" w:hAnsi="Arial" w:cs="Arial"/>
          <w:sz w:val="20"/>
          <w:szCs w:val="20"/>
        </w:rPr>
        <w:t xml:space="preserve">ob ohranjanju največje možne </w:t>
      </w:r>
      <w:r w:rsidRPr="008C6E9D">
        <w:rPr>
          <w:rFonts w:ascii="Arial" w:hAnsi="Arial" w:cs="Arial"/>
          <w:sz w:val="20"/>
          <w:szCs w:val="20"/>
        </w:rPr>
        <w:t>prožnosti</w:t>
      </w:r>
      <w:r w:rsidR="009540C9" w:rsidRPr="008C6E9D">
        <w:rPr>
          <w:rFonts w:ascii="Arial" w:hAnsi="Arial" w:cs="Arial"/>
          <w:sz w:val="20"/>
          <w:szCs w:val="20"/>
        </w:rPr>
        <w:t xml:space="preserve"> izvedbe </w:t>
      </w:r>
      <w:r w:rsidR="002E7155">
        <w:rPr>
          <w:rFonts w:ascii="Arial" w:hAnsi="Arial" w:cs="Arial"/>
          <w:sz w:val="20"/>
          <w:szCs w:val="20"/>
        </w:rPr>
        <w:t>financiranja</w:t>
      </w:r>
      <w:r w:rsidRPr="008C6E9D">
        <w:rPr>
          <w:rFonts w:ascii="Arial" w:hAnsi="Arial" w:cs="Arial"/>
          <w:sz w:val="20"/>
          <w:szCs w:val="20"/>
        </w:rPr>
        <w:t xml:space="preserve">. Le tako se je pri izvedbi programa mogoče primerno odzivati na spremembe tržnih </w:t>
      </w:r>
      <w:r w:rsidRPr="00F91F18">
        <w:rPr>
          <w:rFonts w:ascii="Arial" w:hAnsi="Arial" w:cs="Arial"/>
          <w:sz w:val="20"/>
          <w:szCs w:val="20"/>
        </w:rPr>
        <w:t>razmer</w:t>
      </w:r>
      <w:r w:rsidRPr="0075683E">
        <w:rPr>
          <w:rFonts w:ascii="Arial" w:hAnsi="Arial" w:cs="Arial"/>
          <w:sz w:val="20"/>
          <w:szCs w:val="20"/>
        </w:rPr>
        <w:t xml:space="preserve">. </w:t>
      </w:r>
      <w:r w:rsidR="00C52C3D">
        <w:rPr>
          <w:rFonts w:ascii="Arial" w:hAnsi="Arial" w:cs="Arial"/>
          <w:sz w:val="20"/>
          <w:szCs w:val="20"/>
        </w:rPr>
        <w:t>N</w:t>
      </w:r>
      <w:r w:rsidRPr="008C6E9D">
        <w:rPr>
          <w:rFonts w:ascii="Arial" w:hAnsi="Arial" w:cs="Arial"/>
          <w:sz w:val="20"/>
          <w:szCs w:val="20"/>
        </w:rPr>
        <w:t xml:space="preserve">ačelo prožnosti </w:t>
      </w:r>
      <w:r w:rsidR="00C52C3D">
        <w:rPr>
          <w:rFonts w:ascii="Arial" w:hAnsi="Arial" w:cs="Arial"/>
          <w:sz w:val="20"/>
          <w:szCs w:val="20"/>
        </w:rPr>
        <w:t>je posebej pomembno v kriznih tržnih razmerah</w:t>
      </w:r>
      <w:r w:rsidRPr="008C6E9D">
        <w:rPr>
          <w:rFonts w:ascii="Arial" w:hAnsi="Arial" w:cs="Arial"/>
          <w:sz w:val="20"/>
          <w:szCs w:val="20"/>
        </w:rPr>
        <w:t xml:space="preserve">, </w:t>
      </w:r>
      <w:r w:rsidR="00C52C3D">
        <w:rPr>
          <w:rFonts w:ascii="Arial" w:hAnsi="Arial" w:cs="Arial"/>
          <w:sz w:val="20"/>
          <w:szCs w:val="20"/>
        </w:rPr>
        <w:t xml:space="preserve">ko je financiranje državnega proračuna </w:t>
      </w:r>
      <w:r w:rsidRPr="008C6E9D">
        <w:rPr>
          <w:rFonts w:ascii="Arial" w:hAnsi="Arial" w:cs="Arial"/>
          <w:sz w:val="20"/>
          <w:szCs w:val="20"/>
        </w:rPr>
        <w:t xml:space="preserve">potrebno zagotoviti </w:t>
      </w:r>
      <w:r w:rsidR="00C85295">
        <w:rPr>
          <w:rFonts w:ascii="Arial" w:hAnsi="Arial" w:cs="Arial"/>
          <w:sz w:val="20"/>
          <w:szCs w:val="20"/>
        </w:rPr>
        <w:t xml:space="preserve">z </w:t>
      </w:r>
      <w:r w:rsidRPr="008C6E9D">
        <w:rPr>
          <w:rFonts w:ascii="Arial" w:hAnsi="Arial" w:cs="Arial"/>
          <w:sz w:val="20"/>
          <w:szCs w:val="20"/>
        </w:rPr>
        <w:t>alternativni</w:t>
      </w:r>
      <w:r w:rsidR="00C52C3D">
        <w:rPr>
          <w:rFonts w:ascii="Arial" w:hAnsi="Arial" w:cs="Arial"/>
          <w:sz w:val="20"/>
          <w:szCs w:val="20"/>
        </w:rPr>
        <w:t>mi</w:t>
      </w:r>
      <w:r w:rsidRPr="008C6E9D">
        <w:rPr>
          <w:rFonts w:ascii="Arial" w:hAnsi="Arial" w:cs="Arial"/>
          <w:sz w:val="20"/>
          <w:szCs w:val="20"/>
        </w:rPr>
        <w:t xml:space="preserve"> scenarij</w:t>
      </w:r>
      <w:r w:rsidR="00C52C3D">
        <w:rPr>
          <w:rFonts w:ascii="Arial" w:hAnsi="Arial" w:cs="Arial"/>
          <w:sz w:val="20"/>
          <w:szCs w:val="20"/>
        </w:rPr>
        <w:t>i</w:t>
      </w:r>
      <w:r w:rsidRPr="008C6E9D">
        <w:rPr>
          <w:rFonts w:ascii="Arial" w:hAnsi="Arial" w:cs="Arial"/>
          <w:sz w:val="20"/>
          <w:szCs w:val="20"/>
        </w:rPr>
        <w:t xml:space="preserve"> izvedbe zadolževanja</w:t>
      </w:r>
      <w:r w:rsidR="00C52C3D">
        <w:rPr>
          <w:rFonts w:ascii="Arial" w:hAnsi="Arial" w:cs="Arial"/>
          <w:sz w:val="20"/>
          <w:szCs w:val="20"/>
        </w:rPr>
        <w:t>.</w:t>
      </w:r>
      <w:r w:rsidR="002119F7">
        <w:rPr>
          <w:rFonts w:ascii="Arial" w:hAnsi="Arial" w:cs="Arial"/>
          <w:sz w:val="20"/>
          <w:szCs w:val="20"/>
        </w:rPr>
        <w:t xml:space="preserve"> </w:t>
      </w:r>
    </w:p>
    <w:p w14:paraId="2874E5F8" w14:textId="77777777" w:rsidR="00C3541D" w:rsidRPr="008C6E9D" w:rsidRDefault="00C3541D" w:rsidP="008C6E9D">
      <w:pPr>
        <w:spacing w:line="260" w:lineRule="exact"/>
        <w:jc w:val="both"/>
        <w:rPr>
          <w:rFonts w:ascii="Arial" w:hAnsi="Arial" w:cs="Arial"/>
          <w:sz w:val="20"/>
          <w:szCs w:val="20"/>
        </w:rPr>
      </w:pPr>
    </w:p>
    <w:p w14:paraId="27A72F3D"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Predvidljivost se v programu ohranja z navedbo obsega potrebnega financiranja in instrumentov financiranja (primarnih in alternativnih). Skladno načelu prožnosti izvedbe bo</w:t>
      </w:r>
      <w:r w:rsidR="006245ED">
        <w:rPr>
          <w:rFonts w:ascii="Arial" w:hAnsi="Arial" w:cs="Arial"/>
          <w:sz w:val="20"/>
          <w:szCs w:val="20"/>
        </w:rPr>
        <w:t>do</w:t>
      </w:r>
      <w:r w:rsidRPr="008C6E9D">
        <w:rPr>
          <w:rFonts w:ascii="Arial" w:hAnsi="Arial" w:cs="Arial"/>
          <w:sz w:val="20"/>
          <w:szCs w:val="20"/>
        </w:rPr>
        <w:t xml:space="preserve"> dejanski izbor instrumentov (vrsta, struktura, ročnost, valuta), višina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s posameznim instrumentom in čas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odvisni od aktualnih tržnih razmer in povpraševanja s strani investitorjev. Pri izboru ročnosti posameznih instrumentov </w:t>
      </w:r>
      <w:r w:rsidR="009540C9" w:rsidRPr="008C6E9D">
        <w:rPr>
          <w:rFonts w:ascii="Arial" w:hAnsi="Arial" w:cs="Arial"/>
          <w:sz w:val="20"/>
          <w:szCs w:val="20"/>
        </w:rPr>
        <w:t>bo upoštevano</w:t>
      </w:r>
      <w:r w:rsidR="002119F7">
        <w:rPr>
          <w:rFonts w:ascii="Arial" w:hAnsi="Arial" w:cs="Arial"/>
          <w:sz w:val="20"/>
          <w:szCs w:val="20"/>
        </w:rPr>
        <w:t xml:space="preserve"> </w:t>
      </w:r>
      <w:r w:rsidRPr="008C6E9D">
        <w:rPr>
          <w:rFonts w:ascii="Arial" w:hAnsi="Arial" w:cs="Arial"/>
          <w:sz w:val="20"/>
          <w:szCs w:val="20"/>
        </w:rPr>
        <w:t xml:space="preserve">tudi načelo upravljanja s tveganjem refinanciranja in </w:t>
      </w:r>
      <w:r w:rsidR="00270052">
        <w:rPr>
          <w:rFonts w:ascii="Arial" w:hAnsi="Arial" w:cs="Arial"/>
          <w:sz w:val="20"/>
          <w:szCs w:val="20"/>
        </w:rPr>
        <w:t xml:space="preserve">določanje </w:t>
      </w:r>
      <w:r w:rsidRPr="008C6E9D">
        <w:rPr>
          <w:rFonts w:ascii="Arial" w:hAnsi="Arial" w:cs="Arial"/>
          <w:sz w:val="20"/>
          <w:szCs w:val="20"/>
        </w:rPr>
        <w:t>ročnost</w:t>
      </w:r>
      <w:r w:rsidR="00270052">
        <w:rPr>
          <w:rFonts w:ascii="Arial" w:hAnsi="Arial" w:cs="Arial"/>
          <w:sz w:val="20"/>
          <w:szCs w:val="20"/>
        </w:rPr>
        <w:t>i</w:t>
      </w:r>
      <w:r w:rsidRPr="008C6E9D">
        <w:rPr>
          <w:rFonts w:ascii="Arial" w:hAnsi="Arial" w:cs="Arial"/>
          <w:sz w:val="20"/>
          <w:szCs w:val="20"/>
        </w:rPr>
        <w:t xml:space="preserve"> posamezne zadolžitve glede na višino odplačil glavnic že obstoječega dolga državnega proračuna v posameznih letih</w:t>
      </w:r>
      <w:r w:rsidR="001B03B4">
        <w:rPr>
          <w:rFonts w:ascii="Arial" w:hAnsi="Arial" w:cs="Arial"/>
          <w:sz w:val="20"/>
          <w:szCs w:val="20"/>
        </w:rPr>
        <w:t xml:space="preserve">, upoštevaje tudi obliko krivulje donosnosti </w:t>
      </w:r>
      <w:r w:rsidR="00947890">
        <w:rPr>
          <w:rFonts w:ascii="Arial" w:hAnsi="Arial" w:cs="Arial"/>
          <w:sz w:val="20"/>
          <w:szCs w:val="20"/>
        </w:rPr>
        <w:t xml:space="preserve">in </w:t>
      </w:r>
      <w:r w:rsidR="00947890" w:rsidRPr="00947890">
        <w:rPr>
          <w:rFonts w:ascii="Arial" w:hAnsi="Arial" w:cs="Arial"/>
          <w:sz w:val="20"/>
          <w:szCs w:val="20"/>
        </w:rPr>
        <w:t xml:space="preserve">likvidnost različnih ročnosti </w:t>
      </w:r>
      <w:r w:rsidR="001B03B4">
        <w:rPr>
          <w:rFonts w:ascii="Arial" w:hAnsi="Arial" w:cs="Arial"/>
          <w:sz w:val="20"/>
          <w:szCs w:val="20"/>
        </w:rPr>
        <w:t>dolžniških državnih vrednostnih papirjev</w:t>
      </w:r>
      <w:r w:rsidRPr="008C6E9D">
        <w:rPr>
          <w:rFonts w:ascii="Arial" w:hAnsi="Arial" w:cs="Arial"/>
          <w:sz w:val="20"/>
          <w:szCs w:val="20"/>
        </w:rPr>
        <w:t>.</w:t>
      </w:r>
    </w:p>
    <w:p w14:paraId="53CC1053" w14:textId="77777777" w:rsidR="00C3541D" w:rsidRPr="008C6E9D" w:rsidRDefault="00C3541D" w:rsidP="008C6E9D">
      <w:pPr>
        <w:spacing w:line="260" w:lineRule="exact"/>
        <w:jc w:val="both"/>
        <w:rPr>
          <w:rFonts w:ascii="Arial" w:hAnsi="Arial" w:cs="Arial"/>
          <w:sz w:val="20"/>
          <w:szCs w:val="20"/>
        </w:rPr>
      </w:pPr>
    </w:p>
    <w:p w14:paraId="569B1FD6" w14:textId="732EB3AC" w:rsidR="0027053A" w:rsidRDefault="00163F99" w:rsidP="00736C01">
      <w:pPr>
        <w:suppressAutoHyphens w:val="0"/>
        <w:spacing w:line="260" w:lineRule="exact"/>
        <w:jc w:val="both"/>
        <w:rPr>
          <w:rFonts w:ascii="Arial" w:hAnsi="Arial" w:cs="Arial"/>
          <w:sz w:val="20"/>
          <w:szCs w:val="20"/>
        </w:rPr>
      </w:pPr>
      <w:r w:rsidRPr="00163F99">
        <w:rPr>
          <w:rFonts w:ascii="Arial" w:hAnsi="Arial" w:cs="Arial"/>
          <w:sz w:val="20"/>
          <w:szCs w:val="20"/>
        </w:rPr>
        <w:t xml:space="preserve">Kot primarni instrument financiranja pretežnega dela potreb državnega proračuna je predvideno </w:t>
      </w:r>
      <w:r w:rsidR="003D61A6">
        <w:rPr>
          <w:rFonts w:ascii="Arial" w:hAnsi="Arial" w:cs="Arial"/>
          <w:sz w:val="20"/>
          <w:szCs w:val="20"/>
        </w:rPr>
        <w:t>financiranje</w:t>
      </w:r>
      <w:r w:rsidR="003D61A6" w:rsidRPr="00163F99">
        <w:rPr>
          <w:rFonts w:ascii="Arial" w:hAnsi="Arial" w:cs="Arial"/>
          <w:sz w:val="20"/>
          <w:szCs w:val="20"/>
        </w:rPr>
        <w:t xml:space="preserve"> </w:t>
      </w:r>
      <w:r w:rsidRPr="00163F99">
        <w:rPr>
          <w:rFonts w:ascii="Arial" w:hAnsi="Arial" w:cs="Arial"/>
          <w:sz w:val="20"/>
          <w:szCs w:val="20"/>
        </w:rPr>
        <w:t xml:space="preserve">z izdajo državnih obveznic in z izdajo zakladnih menic. Za doseganje strateških in operativnih ciljev, opredeljenih v točki 1.2 programa financiranja, se lahko v manjšem obsegu uporabijo tudi drugi instrumenti financiranja, navedeni v </w:t>
      </w:r>
      <w:r w:rsidR="00642281">
        <w:rPr>
          <w:rFonts w:ascii="Arial" w:hAnsi="Arial" w:cs="Arial"/>
          <w:sz w:val="20"/>
          <w:szCs w:val="20"/>
        </w:rPr>
        <w:t>drugem</w:t>
      </w:r>
      <w:r w:rsidRPr="00163F99">
        <w:rPr>
          <w:rFonts w:ascii="Arial" w:hAnsi="Arial" w:cs="Arial"/>
          <w:sz w:val="20"/>
          <w:szCs w:val="20"/>
        </w:rPr>
        <w:t xml:space="preserve"> odstavku točke 2.3.2 programa financiranja. </w:t>
      </w:r>
      <w:r w:rsidR="00542199">
        <w:rPr>
          <w:rFonts w:ascii="Arial" w:hAnsi="Arial" w:cs="Arial"/>
          <w:sz w:val="20"/>
          <w:szCs w:val="20"/>
        </w:rPr>
        <w:t xml:space="preserve">Pretežni del financiranja bo izveden z dolgoročnimi instrumenti zadolževanja. </w:t>
      </w:r>
      <w:r w:rsidRPr="00163F99">
        <w:rPr>
          <w:rFonts w:ascii="Arial" w:hAnsi="Arial" w:cs="Arial"/>
          <w:sz w:val="20"/>
          <w:szCs w:val="20"/>
        </w:rPr>
        <w:t xml:space="preserve">V kolikor zaradi razmer na finančnem trgu financiranja državnega proračuna ne bi bilo mogoče izvesti na takšen način, bo financiranje državnega proračuna zagotovljeno z izvedbo drugih instrumentov financiranja, navedenih v </w:t>
      </w:r>
      <w:r w:rsidR="00642281">
        <w:rPr>
          <w:rFonts w:ascii="Arial" w:hAnsi="Arial" w:cs="Arial"/>
          <w:sz w:val="20"/>
          <w:szCs w:val="20"/>
        </w:rPr>
        <w:t>drugem</w:t>
      </w:r>
      <w:r w:rsidRPr="00163F99">
        <w:rPr>
          <w:rFonts w:ascii="Arial" w:hAnsi="Arial" w:cs="Arial"/>
          <w:sz w:val="20"/>
          <w:szCs w:val="20"/>
        </w:rPr>
        <w:t xml:space="preserve"> odstavku točke 2.3.2 programa financiranja, v potrebnem obsegu</w:t>
      </w:r>
      <w:r w:rsidR="00542199">
        <w:rPr>
          <w:rFonts w:ascii="Arial" w:hAnsi="Arial" w:cs="Arial"/>
          <w:sz w:val="20"/>
          <w:szCs w:val="20"/>
        </w:rPr>
        <w:t xml:space="preserve"> ter s prilagoditvijo</w:t>
      </w:r>
      <w:r w:rsidR="00542199" w:rsidRPr="00736C01">
        <w:rPr>
          <w:rFonts w:ascii="Arial" w:hAnsi="Arial" w:cs="Arial"/>
          <w:sz w:val="20"/>
          <w:szCs w:val="20"/>
        </w:rPr>
        <w:t xml:space="preserve"> </w:t>
      </w:r>
      <w:r w:rsidR="00542199">
        <w:rPr>
          <w:rFonts w:ascii="Arial" w:hAnsi="Arial" w:cs="Arial"/>
          <w:sz w:val="20"/>
          <w:szCs w:val="20"/>
        </w:rPr>
        <w:t>razmerja</w:t>
      </w:r>
      <w:r w:rsidR="00542199" w:rsidRPr="00542199">
        <w:rPr>
          <w:rFonts w:ascii="Arial" w:hAnsi="Arial" w:cs="Arial"/>
          <w:sz w:val="20"/>
          <w:szCs w:val="20"/>
        </w:rPr>
        <w:t xml:space="preserve"> med kratkoročnim in dolgoročnim financiranjem</w:t>
      </w:r>
      <w:r w:rsidR="00542199">
        <w:rPr>
          <w:rFonts w:ascii="Arial" w:hAnsi="Arial" w:cs="Arial"/>
          <w:sz w:val="20"/>
          <w:szCs w:val="20"/>
        </w:rPr>
        <w:t>.</w:t>
      </w:r>
    </w:p>
    <w:p w14:paraId="18212CDC" w14:textId="77777777" w:rsidR="00680A5A" w:rsidRPr="00736C01" w:rsidRDefault="00680A5A" w:rsidP="00736C01">
      <w:pPr>
        <w:suppressAutoHyphens w:val="0"/>
        <w:spacing w:line="260" w:lineRule="exact"/>
        <w:jc w:val="both"/>
        <w:rPr>
          <w:rFonts w:ascii="Arial" w:hAnsi="Arial" w:cs="Arial"/>
          <w:sz w:val="20"/>
          <w:szCs w:val="20"/>
        </w:rPr>
      </w:pPr>
    </w:p>
    <w:p w14:paraId="4BC2BEC6" w14:textId="77777777" w:rsidR="00C3541D" w:rsidRPr="00936BD2" w:rsidRDefault="00C3541D" w:rsidP="00936BD2">
      <w:pPr>
        <w:pStyle w:val="Naslov3"/>
      </w:pPr>
      <w:r w:rsidRPr="00936BD2">
        <w:t>Kratkoročni instrumenti zadolževanja</w:t>
      </w:r>
    </w:p>
    <w:p w14:paraId="091D9D61" w14:textId="77777777" w:rsidR="00C3541D" w:rsidRPr="008C6E9D" w:rsidRDefault="00C3541D" w:rsidP="008C6E9D">
      <w:pPr>
        <w:suppressAutoHyphens w:val="0"/>
        <w:spacing w:line="260" w:lineRule="exact"/>
        <w:jc w:val="both"/>
        <w:rPr>
          <w:rFonts w:ascii="Arial" w:hAnsi="Arial" w:cs="Arial"/>
          <w:sz w:val="20"/>
          <w:szCs w:val="20"/>
        </w:rPr>
      </w:pPr>
      <w:r w:rsidRPr="008C6E9D">
        <w:rPr>
          <w:rFonts w:ascii="Arial" w:hAnsi="Arial" w:cs="Arial"/>
          <w:sz w:val="20"/>
          <w:szCs w:val="20"/>
        </w:rPr>
        <w:t xml:space="preserve">Predvideni nabor kratkoročnih instrumentov, ki bodo lahko uporabljeni pri izvedbi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v letu </w:t>
      </w:r>
      <w:r w:rsidR="00F11947" w:rsidRPr="008C6E9D">
        <w:rPr>
          <w:rFonts w:ascii="Arial" w:hAnsi="Arial" w:cs="Arial"/>
          <w:sz w:val="20"/>
          <w:szCs w:val="20"/>
        </w:rPr>
        <w:t>20</w:t>
      </w:r>
      <w:r w:rsidR="00F11947">
        <w:rPr>
          <w:rFonts w:ascii="Arial" w:hAnsi="Arial" w:cs="Arial"/>
          <w:sz w:val="20"/>
          <w:szCs w:val="20"/>
        </w:rPr>
        <w:t>2</w:t>
      </w:r>
      <w:r w:rsidR="004F5E4D">
        <w:rPr>
          <w:rFonts w:ascii="Arial" w:hAnsi="Arial" w:cs="Arial"/>
          <w:sz w:val="20"/>
          <w:szCs w:val="20"/>
        </w:rPr>
        <w:t>1</w:t>
      </w:r>
      <w:r w:rsidRPr="008C6E9D">
        <w:rPr>
          <w:rFonts w:ascii="Arial" w:hAnsi="Arial" w:cs="Arial"/>
          <w:sz w:val="20"/>
          <w:szCs w:val="20"/>
        </w:rPr>
        <w:t xml:space="preserve">, bo zajemal </w:t>
      </w:r>
      <w:r w:rsidRPr="005C0A83">
        <w:rPr>
          <w:rFonts w:ascii="Arial" w:hAnsi="Arial" w:cs="Arial"/>
          <w:sz w:val="20"/>
          <w:szCs w:val="20"/>
        </w:rPr>
        <w:t>3-, 6- in 12-</w:t>
      </w:r>
      <w:r w:rsidRPr="008C6E9D">
        <w:rPr>
          <w:rFonts w:ascii="Arial" w:hAnsi="Arial" w:cs="Arial"/>
          <w:sz w:val="20"/>
          <w:szCs w:val="20"/>
        </w:rPr>
        <w:t>mesečne zakladne menice</w:t>
      </w:r>
      <w:r w:rsidR="009B6562">
        <w:rPr>
          <w:rFonts w:ascii="Arial" w:hAnsi="Arial" w:cs="Arial"/>
          <w:sz w:val="20"/>
          <w:szCs w:val="20"/>
        </w:rPr>
        <w:t xml:space="preserve"> ali zakladne menice </w:t>
      </w:r>
      <w:r w:rsidR="0024388B">
        <w:rPr>
          <w:rFonts w:ascii="Arial" w:hAnsi="Arial" w:cs="Arial"/>
          <w:sz w:val="20"/>
          <w:szCs w:val="20"/>
        </w:rPr>
        <w:t>drugih</w:t>
      </w:r>
      <w:r w:rsidR="00DF69F4">
        <w:rPr>
          <w:rFonts w:ascii="Arial" w:hAnsi="Arial" w:cs="Arial"/>
          <w:sz w:val="20"/>
          <w:szCs w:val="20"/>
        </w:rPr>
        <w:t xml:space="preserve"> </w:t>
      </w:r>
      <w:r w:rsidR="009B6562">
        <w:rPr>
          <w:rFonts w:ascii="Arial" w:hAnsi="Arial" w:cs="Arial"/>
          <w:sz w:val="20"/>
          <w:szCs w:val="20"/>
        </w:rPr>
        <w:t>ročnosti</w:t>
      </w:r>
      <w:r w:rsidRPr="008C6E9D">
        <w:rPr>
          <w:rFonts w:ascii="Arial" w:hAnsi="Arial" w:cs="Arial"/>
          <w:sz w:val="20"/>
          <w:szCs w:val="20"/>
        </w:rPr>
        <w:t>, zadolževanje v okviru sistema enotnega zakladniškega računa države</w:t>
      </w:r>
      <w:r w:rsidR="00A5449B">
        <w:rPr>
          <w:rFonts w:ascii="Arial" w:hAnsi="Arial" w:cs="Arial"/>
          <w:sz w:val="20"/>
          <w:szCs w:val="20"/>
        </w:rPr>
        <w:t>,</w:t>
      </w:r>
      <w:r w:rsidR="00A5449B" w:rsidRPr="00A5449B">
        <w:t xml:space="preserve"> </w:t>
      </w:r>
      <w:r w:rsidR="00A5449B" w:rsidRPr="00A5449B">
        <w:rPr>
          <w:rFonts w:ascii="Arial" w:hAnsi="Arial" w:cs="Arial"/>
          <w:sz w:val="20"/>
          <w:szCs w:val="20"/>
        </w:rPr>
        <w:t>začasne prodaje</w:t>
      </w:r>
      <w:r w:rsidRPr="008C6E9D">
        <w:rPr>
          <w:rFonts w:ascii="Arial" w:hAnsi="Arial" w:cs="Arial"/>
          <w:sz w:val="20"/>
          <w:szCs w:val="20"/>
        </w:rPr>
        <w:t xml:space="preserve"> ter druge kratkoročne instrumente, izbrane v skladu s tržnimi razmerami. </w:t>
      </w:r>
    </w:p>
    <w:p w14:paraId="502B57D9" w14:textId="77777777" w:rsidR="00C3541D" w:rsidRPr="008C6E9D" w:rsidRDefault="00C3541D" w:rsidP="008C6E9D">
      <w:pPr>
        <w:suppressAutoHyphens w:val="0"/>
        <w:spacing w:line="260" w:lineRule="exact"/>
        <w:jc w:val="both"/>
        <w:rPr>
          <w:rFonts w:ascii="Arial" w:hAnsi="Arial" w:cs="Arial"/>
          <w:sz w:val="20"/>
          <w:szCs w:val="20"/>
        </w:rPr>
      </w:pPr>
    </w:p>
    <w:p w14:paraId="29D5EFDB" w14:textId="77777777" w:rsidR="00C3541D" w:rsidRPr="008C6E9D" w:rsidRDefault="003D61A6" w:rsidP="008C6E9D">
      <w:pPr>
        <w:suppressAutoHyphens w:val="0"/>
        <w:spacing w:line="260" w:lineRule="exact"/>
        <w:jc w:val="both"/>
        <w:rPr>
          <w:rFonts w:ascii="Arial" w:hAnsi="Arial" w:cs="Arial"/>
          <w:sz w:val="20"/>
          <w:szCs w:val="20"/>
          <w:lang w:eastAsia="en-US"/>
        </w:rPr>
      </w:pPr>
      <w:r>
        <w:rPr>
          <w:rFonts w:ascii="Arial" w:hAnsi="Arial" w:cs="Arial"/>
          <w:sz w:val="20"/>
          <w:szCs w:val="20"/>
        </w:rPr>
        <w:t>Financiranje</w:t>
      </w:r>
      <w:r w:rsidRPr="008C6E9D">
        <w:rPr>
          <w:rFonts w:ascii="Arial" w:hAnsi="Arial" w:cs="Arial"/>
          <w:sz w:val="20"/>
          <w:szCs w:val="20"/>
        </w:rPr>
        <w:t xml:space="preserve"> </w:t>
      </w:r>
      <w:r w:rsidR="00C3541D" w:rsidRPr="008C6E9D">
        <w:rPr>
          <w:rFonts w:ascii="Arial" w:hAnsi="Arial" w:cs="Arial"/>
          <w:sz w:val="20"/>
          <w:szCs w:val="20"/>
        </w:rPr>
        <w:t xml:space="preserve">z izdajami zakladnih menic se bo predvidoma izvrševalo na </w:t>
      </w:r>
      <w:proofErr w:type="spellStart"/>
      <w:r w:rsidR="00C3541D" w:rsidRPr="008C6E9D">
        <w:rPr>
          <w:rFonts w:ascii="Arial" w:hAnsi="Arial" w:cs="Arial"/>
          <w:sz w:val="20"/>
          <w:szCs w:val="20"/>
        </w:rPr>
        <w:t>avkcijski</w:t>
      </w:r>
      <w:proofErr w:type="spellEnd"/>
      <w:r w:rsidR="00C3541D" w:rsidRPr="008C6E9D">
        <w:rPr>
          <w:rFonts w:ascii="Arial" w:hAnsi="Arial" w:cs="Arial"/>
          <w:sz w:val="20"/>
          <w:szCs w:val="20"/>
        </w:rPr>
        <w:t xml:space="preserve"> način. Avkcije zakladnih menic predvidenih ročnosti</w:t>
      </w:r>
      <w:r w:rsidR="00894484" w:rsidRPr="008C6E9D">
        <w:rPr>
          <w:rFonts w:ascii="Arial" w:hAnsi="Arial" w:cs="Arial"/>
          <w:sz w:val="20"/>
          <w:szCs w:val="20"/>
        </w:rPr>
        <w:t xml:space="preserve"> (</w:t>
      </w:r>
      <w:r w:rsidR="00894484" w:rsidRPr="000522A7">
        <w:rPr>
          <w:rFonts w:ascii="Arial" w:hAnsi="Arial" w:cs="Arial"/>
          <w:sz w:val="20"/>
          <w:szCs w:val="20"/>
        </w:rPr>
        <w:t>vključno z avkcij</w:t>
      </w:r>
      <w:r w:rsidR="00A56EEE" w:rsidRPr="000522A7">
        <w:rPr>
          <w:rFonts w:ascii="Arial" w:hAnsi="Arial" w:cs="Arial"/>
          <w:sz w:val="20"/>
          <w:szCs w:val="20"/>
        </w:rPr>
        <w:t>ami</w:t>
      </w:r>
      <w:r w:rsidR="00894484" w:rsidRPr="000522A7">
        <w:rPr>
          <w:rFonts w:ascii="Arial" w:hAnsi="Arial" w:cs="Arial"/>
          <w:sz w:val="20"/>
          <w:szCs w:val="20"/>
        </w:rPr>
        <w:t xml:space="preserve"> 18-mesečn</w:t>
      </w:r>
      <w:r w:rsidR="00A56EEE" w:rsidRPr="000522A7">
        <w:rPr>
          <w:rFonts w:ascii="Arial" w:hAnsi="Arial" w:cs="Arial"/>
          <w:sz w:val="20"/>
          <w:szCs w:val="20"/>
        </w:rPr>
        <w:t>ih</w:t>
      </w:r>
      <w:r w:rsidR="00894484" w:rsidRPr="000522A7">
        <w:rPr>
          <w:rFonts w:ascii="Arial" w:hAnsi="Arial" w:cs="Arial"/>
          <w:sz w:val="20"/>
          <w:szCs w:val="20"/>
        </w:rPr>
        <w:t xml:space="preserve"> zakladn</w:t>
      </w:r>
      <w:r w:rsidR="00A56EEE" w:rsidRPr="000522A7">
        <w:rPr>
          <w:rFonts w:ascii="Arial" w:hAnsi="Arial" w:cs="Arial"/>
          <w:sz w:val="20"/>
          <w:szCs w:val="20"/>
        </w:rPr>
        <w:t>ih</w:t>
      </w:r>
      <w:r w:rsidR="00894484" w:rsidRPr="000522A7">
        <w:rPr>
          <w:rFonts w:ascii="Arial" w:hAnsi="Arial" w:cs="Arial"/>
          <w:sz w:val="20"/>
          <w:szCs w:val="20"/>
        </w:rPr>
        <w:t xml:space="preserve"> menic</w:t>
      </w:r>
      <w:r w:rsidR="00894484" w:rsidRPr="008C6E9D">
        <w:rPr>
          <w:rFonts w:ascii="Arial" w:hAnsi="Arial" w:cs="Arial"/>
          <w:sz w:val="20"/>
          <w:szCs w:val="20"/>
        </w:rPr>
        <w:t>, kot dolgoročnim instrumentom zadolževanja)</w:t>
      </w:r>
      <w:r w:rsidR="00C3541D" w:rsidRPr="008C6E9D">
        <w:rPr>
          <w:rFonts w:ascii="Arial" w:hAnsi="Arial" w:cs="Arial"/>
          <w:sz w:val="20"/>
          <w:szCs w:val="20"/>
        </w:rPr>
        <w:t xml:space="preserve"> bodo razpisane skladno koledarju avkcij</w:t>
      </w:r>
      <w:r w:rsidR="00DF69F4">
        <w:rPr>
          <w:rFonts w:ascii="Arial" w:hAnsi="Arial" w:cs="Arial"/>
          <w:sz w:val="20"/>
          <w:szCs w:val="20"/>
        </w:rPr>
        <w:t xml:space="preserve"> oziroma po potrebi tudi izven koledarja avkcij</w:t>
      </w:r>
      <w:r w:rsidR="004B17CE" w:rsidRPr="008C6E9D">
        <w:rPr>
          <w:rFonts w:ascii="Arial" w:hAnsi="Arial" w:cs="Arial"/>
          <w:sz w:val="20"/>
          <w:szCs w:val="20"/>
        </w:rPr>
        <w:t>,</w:t>
      </w:r>
      <w:r w:rsidR="00C3541D" w:rsidRPr="008C6E9D">
        <w:rPr>
          <w:rFonts w:ascii="Arial" w:hAnsi="Arial" w:cs="Arial"/>
          <w:sz w:val="20"/>
          <w:szCs w:val="20"/>
        </w:rPr>
        <w:t xml:space="preserve"> v okvirni višini, dejansko doseženi obseg posamezne izdaje zakladnih </w:t>
      </w:r>
      <w:r w:rsidR="00C3541D" w:rsidRPr="008C6E9D">
        <w:rPr>
          <w:rFonts w:ascii="Arial" w:hAnsi="Arial" w:cs="Arial"/>
          <w:sz w:val="20"/>
          <w:szCs w:val="20"/>
        </w:rPr>
        <w:lastRenderedPageBreak/>
        <w:t>menic pa bo odvisen od povpraševanja in tržnih pogojev</w:t>
      </w:r>
      <w:r w:rsidR="00947890">
        <w:rPr>
          <w:rFonts w:ascii="Arial" w:hAnsi="Arial" w:cs="Arial"/>
          <w:sz w:val="20"/>
          <w:szCs w:val="20"/>
        </w:rPr>
        <w:t xml:space="preserve"> na dan avkcije</w:t>
      </w:r>
      <w:r w:rsidR="00C3541D" w:rsidRPr="008C6E9D">
        <w:rPr>
          <w:rFonts w:ascii="Arial" w:hAnsi="Arial" w:cs="Arial"/>
          <w:sz w:val="20"/>
          <w:szCs w:val="20"/>
        </w:rPr>
        <w:t xml:space="preserve">. </w:t>
      </w:r>
      <w:r w:rsidR="00630B18" w:rsidRPr="008C6E9D">
        <w:rPr>
          <w:rFonts w:ascii="Arial" w:hAnsi="Arial" w:cs="Arial"/>
          <w:sz w:val="20"/>
          <w:szCs w:val="20"/>
        </w:rPr>
        <w:t>Koledar avkcij zakladnih menic se lahko spremeni</w:t>
      </w:r>
      <w:r w:rsidR="004B17CE" w:rsidRPr="008C6E9D">
        <w:rPr>
          <w:rFonts w:ascii="Arial" w:hAnsi="Arial" w:cs="Arial"/>
          <w:sz w:val="20"/>
          <w:szCs w:val="20"/>
        </w:rPr>
        <w:t>,</w:t>
      </w:r>
      <w:r w:rsidR="00630B18" w:rsidRPr="008C6E9D">
        <w:rPr>
          <w:rFonts w:ascii="Arial" w:hAnsi="Arial" w:cs="Arial"/>
          <w:sz w:val="20"/>
          <w:szCs w:val="20"/>
        </w:rPr>
        <w:t xml:space="preserve"> v skladu s povpraševanjem po posameznih ročnostih</w:t>
      </w:r>
      <w:r w:rsidR="00C3541D" w:rsidRPr="008C6E9D">
        <w:rPr>
          <w:rFonts w:ascii="Arial" w:hAnsi="Arial" w:cs="Arial"/>
          <w:sz w:val="20"/>
          <w:szCs w:val="20"/>
        </w:rPr>
        <w:t xml:space="preserve">. Koledar avkcij bo določilo Ministrstvo za finance na podlagi odločitve ministra po </w:t>
      </w:r>
      <w:r w:rsidR="002E2C29">
        <w:rPr>
          <w:rFonts w:ascii="Arial" w:hAnsi="Arial" w:cs="Arial"/>
          <w:sz w:val="20"/>
          <w:szCs w:val="20"/>
        </w:rPr>
        <w:t>prvem</w:t>
      </w:r>
      <w:r w:rsidR="00C3541D" w:rsidRPr="008C6E9D">
        <w:rPr>
          <w:rFonts w:ascii="Arial" w:hAnsi="Arial" w:cs="Arial"/>
          <w:sz w:val="20"/>
          <w:szCs w:val="20"/>
        </w:rPr>
        <w:t xml:space="preserve"> odstavku 84. člena ZJF </w:t>
      </w:r>
      <w:r w:rsidR="00D54CAA">
        <w:rPr>
          <w:rFonts w:ascii="Arial" w:hAnsi="Arial" w:cs="Arial"/>
          <w:sz w:val="20"/>
          <w:szCs w:val="20"/>
        </w:rPr>
        <w:t>o izvedbi avkcij zakladnih menic</w:t>
      </w:r>
      <w:r w:rsidR="00D54CAA" w:rsidRPr="008C6E9D">
        <w:rPr>
          <w:rFonts w:ascii="Arial" w:hAnsi="Arial" w:cs="Arial"/>
          <w:sz w:val="20"/>
          <w:szCs w:val="20"/>
        </w:rPr>
        <w:t xml:space="preserve"> </w:t>
      </w:r>
      <w:r w:rsidR="00C3541D" w:rsidRPr="008C6E9D">
        <w:rPr>
          <w:rFonts w:ascii="Arial" w:hAnsi="Arial" w:cs="Arial"/>
          <w:sz w:val="20"/>
          <w:szCs w:val="20"/>
        </w:rPr>
        <w:t>in ga bo objavilo na spletni strani ministrstva</w:t>
      </w:r>
      <w:r w:rsidR="00C3541D" w:rsidRPr="008C6E9D">
        <w:rPr>
          <w:rFonts w:ascii="Arial" w:hAnsi="Arial" w:cs="Arial"/>
          <w:sz w:val="20"/>
          <w:szCs w:val="20"/>
          <w:lang w:eastAsia="en-US"/>
        </w:rPr>
        <w:t xml:space="preserve">. </w:t>
      </w:r>
      <w:r w:rsidR="00C3541D" w:rsidRPr="008C6E9D">
        <w:rPr>
          <w:rFonts w:ascii="Arial" w:hAnsi="Arial" w:cs="Arial"/>
          <w:sz w:val="20"/>
          <w:szCs w:val="20"/>
        </w:rPr>
        <w:t xml:space="preserve">Avkcije po enotni ceni bodo izvedene na elektronski način preko </w:t>
      </w:r>
      <w:proofErr w:type="spellStart"/>
      <w:r w:rsidR="00C3541D" w:rsidRPr="008C6E9D">
        <w:rPr>
          <w:rFonts w:ascii="Arial" w:hAnsi="Arial" w:cs="Arial"/>
          <w:sz w:val="20"/>
          <w:szCs w:val="20"/>
        </w:rPr>
        <w:t>Bloomberg</w:t>
      </w:r>
      <w:proofErr w:type="spellEnd"/>
      <w:r w:rsidR="00C3541D" w:rsidRPr="008C6E9D">
        <w:rPr>
          <w:rFonts w:ascii="Arial" w:hAnsi="Arial" w:cs="Arial"/>
          <w:sz w:val="20"/>
          <w:szCs w:val="20"/>
        </w:rPr>
        <w:t xml:space="preserve"> sistema elektronskih avkcij, v skladu s pravili za izvedbo avkcij</w:t>
      </w:r>
      <w:r w:rsidR="00C3541D" w:rsidRPr="008C6E9D">
        <w:rPr>
          <w:rFonts w:ascii="Arial" w:hAnsi="Arial" w:cs="Arial"/>
          <w:sz w:val="20"/>
          <w:szCs w:val="20"/>
          <w:vertAlign w:val="superscript"/>
          <w:lang w:val="en-US" w:eastAsia="en-US"/>
        </w:rPr>
        <w:footnoteReference w:id="5"/>
      </w:r>
      <w:r w:rsidR="00C3541D" w:rsidRPr="008C6E9D">
        <w:rPr>
          <w:rFonts w:ascii="Arial" w:hAnsi="Arial" w:cs="Arial"/>
          <w:sz w:val="20"/>
          <w:szCs w:val="20"/>
          <w:lang w:eastAsia="en-US"/>
        </w:rPr>
        <w:t xml:space="preserve">. </w:t>
      </w:r>
    </w:p>
    <w:p w14:paraId="0F5F7E1A" w14:textId="77777777" w:rsidR="00C3541D" w:rsidRPr="008C6E9D" w:rsidRDefault="00C3541D" w:rsidP="008C6E9D">
      <w:pPr>
        <w:suppressAutoHyphens w:val="0"/>
        <w:spacing w:line="260" w:lineRule="exact"/>
        <w:jc w:val="both"/>
        <w:rPr>
          <w:rFonts w:ascii="Arial" w:hAnsi="Arial" w:cs="Arial"/>
          <w:sz w:val="20"/>
          <w:szCs w:val="20"/>
          <w:lang w:eastAsia="en-US"/>
        </w:rPr>
      </w:pPr>
    </w:p>
    <w:p w14:paraId="5D75613E" w14:textId="77777777" w:rsidR="00C3541D" w:rsidRPr="008C6E9D" w:rsidRDefault="00C3541D" w:rsidP="008C6E9D">
      <w:pPr>
        <w:suppressAutoHyphens w:val="0"/>
        <w:spacing w:line="260" w:lineRule="exact"/>
        <w:jc w:val="both"/>
        <w:rPr>
          <w:rFonts w:ascii="Arial" w:hAnsi="Arial" w:cs="Arial"/>
          <w:sz w:val="20"/>
          <w:szCs w:val="20"/>
        </w:rPr>
      </w:pPr>
      <w:r w:rsidRPr="008C6E9D">
        <w:rPr>
          <w:rFonts w:ascii="Arial" w:hAnsi="Arial" w:cs="Arial"/>
          <w:sz w:val="20"/>
          <w:szCs w:val="20"/>
        </w:rPr>
        <w:t xml:space="preserve">Dejanski izbor kratkoročnih instrumentov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v letu </w:t>
      </w:r>
      <w:r w:rsidR="0077481A" w:rsidRPr="008C6E9D">
        <w:rPr>
          <w:rFonts w:ascii="Arial" w:hAnsi="Arial" w:cs="Arial"/>
          <w:sz w:val="20"/>
          <w:szCs w:val="20"/>
        </w:rPr>
        <w:t>20</w:t>
      </w:r>
      <w:r w:rsidR="00F11947">
        <w:rPr>
          <w:rFonts w:ascii="Arial" w:hAnsi="Arial" w:cs="Arial"/>
          <w:sz w:val="20"/>
          <w:szCs w:val="20"/>
        </w:rPr>
        <w:t>2</w:t>
      </w:r>
      <w:r w:rsidR="009641B5">
        <w:rPr>
          <w:rFonts w:ascii="Arial" w:hAnsi="Arial" w:cs="Arial"/>
          <w:sz w:val="20"/>
          <w:szCs w:val="20"/>
        </w:rPr>
        <w:t>1</w:t>
      </w:r>
      <w:r w:rsidR="00DF69F4">
        <w:rPr>
          <w:rFonts w:ascii="Arial" w:hAnsi="Arial" w:cs="Arial"/>
          <w:sz w:val="20"/>
          <w:szCs w:val="20"/>
        </w:rPr>
        <w:t>, ročnost</w:t>
      </w:r>
      <w:r w:rsidR="0077481A" w:rsidRPr="008C6E9D">
        <w:rPr>
          <w:rFonts w:ascii="Arial" w:hAnsi="Arial" w:cs="Arial"/>
          <w:sz w:val="20"/>
          <w:szCs w:val="20"/>
        </w:rPr>
        <w:t xml:space="preserve"> </w:t>
      </w:r>
      <w:r w:rsidRPr="008C6E9D">
        <w:rPr>
          <w:rFonts w:ascii="Arial" w:hAnsi="Arial" w:cs="Arial"/>
          <w:sz w:val="20"/>
          <w:szCs w:val="20"/>
        </w:rPr>
        <w:t xml:space="preserve">in dinamika ter način tovrstnega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bodo odvisni od aktualnih tržnih razmer in namena tovrstnega </w:t>
      </w:r>
      <w:r w:rsidR="003D61A6">
        <w:rPr>
          <w:rFonts w:ascii="Arial" w:hAnsi="Arial" w:cs="Arial"/>
          <w:sz w:val="20"/>
          <w:szCs w:val="20"/>
        </w:rPr>
        <w:t>financiranja</w:t>
      </w:r>
      <w:r w:rsidRPr="008C6E9D">
        <w:rPr>
          <w:rFonts w:ascii="Arial" w:hAnsi="Arial" w:cs="Arial"/>
          <w:sz w:val="20"/>
          <w:szCs w:val="20"/>
        </w:rPr>
        <w:t>, upoštevaje strateške in operativne cilje in rokovno strukturo obstoječega dolga</w:t>
      </w:r>
      <w:r w:rsidR="00947890">
        <w:rPr>
          <w:rFonts w:ascii="Arial" w:hAnsi="Arial" w:cs="Arial"/>
          <w:sz w:val="20"/>
          <w:szCs w:val="20"/>
        </w:rPr>
        <w:t xml:space="preserve"> državnega proračuna</w:t>
      </w:r>
      <w:r w:rsidRPr="008C6E9D">
        <w:rPr>
          <w:rFonts w:ascii="Arial" w:hAnsi="Arial" w:cs="Arial"/>
          <w:sz w:val="20"/>
          <w:szCs w:val="20"/>
        </w:rPr>
        <w:t xml:space="preserve">. </w:t>
      </w:r>
    </w:p>
    <w:p w14:paraId="7B207165" w14:textId="77777777" w:rsidR="00C3541D" w:rsidRPr="008C6E9D" w:rsidRDefault="00C3541D" w:rsidP="008C6E9D">
      <w:pPr>
        <w:spacing w:line="260" w:lineRule="exact"/>
        <w:rPr>
          <w:rFonts w:ascii="Arial" w:hAnsi="Arial" w:cs="Arial"/>
          <w:sz w:val="20"/>
          <w:szCs w:val="20"/>
        </w:rPr>
      </w:pPr>
    </w:p>
    <w:p w14:paraId="26AB22C8" w14:textId="77777777" w:rsidR="00C3541D" w:rsidRPr="008C6E9D" w:rsidRDefault="00C3541D" w:rsidP="008C6E9D">
      <w:pPr>
        <w:spacing w:line="260" w:lineRule="exact"/>
        <w:rPr>
          <w:rFonts w:ascii="Arial" w:hAnsi="Arial" w:cs="Arial"/>
          <w:b/>
          <w:sz w:val="20"/>
          <w:szCs w:val="20"/>
        </w:rPr>
      </w:pPr>
      <w:r w:rsidRPr="008C6E9D">
        <w:rPr>
          <w:rFonts w:ascii="Arial" w:hAnsi="Arial" w:cs="Arial"/>
          <w:b/>
          <w:sz w:val="20"/>
          <w:szCs w:val="20"/>
        </w:rPr>
        <w:t xml:space="preserve">Glavne značilnosti zakladnih menic: </w:t>
      </w:r>
    </w:p>
    <w:p w14:paraId="0E622C80" w14:textId="77777777" w:rsidR="00C3541D" w:rsidRPr="00635962" w:rsidRDefault="00C3541D" w:rsidP="008C6E9D">
      <w:pPr>
        <w:spacing w:line="260" w:lineRule="exact"/>
        <w:rPr>
          <w:sz w:val="22"/>
          <w:szCs w:val="22"/>
        </w:rPr>
      </w:pPr>
    </w:p>
    <w:p w14:paraId="6751D5CE" w14:textId="77777777" w:rsidR="00C3541D" w:rsidRPr="008C6E9D" w:rsidRDefault="00C3541D" w:rsidP="004E033C">
      <w:pPr>
        <w:spacing w:line="260" w:lineRule="exact"/>
        <w:ind w:left="2832" w:hanging="2832"/>
        <w:jc w:val="both"/>
        <w:rPr>
          <w:rFonts w:ascii="Arial" w:hAnsi="Arial" w:cs="Arial"/>
          <w:sz w:val="20"/>
          <w:szCs w:val="20"/>
        </w:rPr>
      </w:pPr>
      <w:r w:rsidRPr="008C6E9D">
        <w:rPr>
          <w:rFonts w:ascii="Arial" w:hAnsi="Arial" w:cs="Arial"/>
          <w:sz w:val="20"/>
          <w:szCs w:val="20"/>
        </w:rPr>
        <w:t xml:space="preserve">tip vrednostnega papirja: </w:t>
      </w:r>
      <w:r w:rsidRPr="008C6E9D">
        <w:rPr>
          <w:rFonts w:ascii="Arial" w:hAnsi="Arial" w:cs="Arial"/>
          <w:sz w:val="20"/>
          <w:szCs w:val="20"/>
        </w:rPr>
        <w:tab/>
        <w:t>diskontni vrednostni papir, nematerializiran, serijski, imenski vrednostni papir</w:t>
      </w:r>
    </w:p>
    <w:p w14:paraId="49843F97"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višina apoena:</w:t>
      </w:r>
      <w:r w:rsidRPr="008C6E9D">
        <w:rPr>
          <w:rFonts w:ascii="Arial" w:hAnsi="Arial" w:cs="Arial"/>
          <w:sz w:val="20"/>
          <w:szCs w:val="20"/>
        </w:rPr>
        <w:tab/>
        <w:t>1.000 EUR</w:t>
      </w:r>
      <w:r w:rsidRPr="008C6E9D">
        <w:rPr>
          <w:rFonts w:ascii="Arial" w:hAnsi="Arial" w:cs="Arial"/>
          <w:sz w:val="20"/>
          <w:szCs w:val="20"/>
        </w:rPr>
        <w:tab/>
      </w:r>
    </w:p>
    <w:p w14:paraId="71885214"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ročnost:</w:t>
      </w:r>
      <w:r w:rsidRPr="008C6E9D">
        <w:rPr>
          <w:rFonts w:ascii="Arial" w:hAnsi="Arial" w:cs="Arial"/>
          <w:sz w:val="20"/>
          <w:szCs w:val="20"/>
        </w:rPr>
        <w:tab/>
        <w:t>3, 6 ali 12 mesecev</w:t>
      </w:r>
      <w:r w:rsidR="00B57FFE">
        <w:rPr>
          <w:rFonts w:ascii="Arial" w:hAnsi="Arial" w:cs="Arial"/>
          <w:sz w:val="20"/>
          <w:szCs w:val="20"/>
        </w:rPr>
        <w:t xml:space="preserve"> ali zakladne menice </w:t>
      </w:r>
      <w:r w:rsidR="002B3100">
        <w:rPr>
          <w:rFonts w:ascii="Arial" w:hAnsi="Arial" w:cs="Arial"/>
          <w:sz w:val="20"/>
          <w:szCs w:val="20"/>
        </w:rPr>
        <w:t>drugih</w:t>
      </w:r>
      <w:r w:rsidR="00DF69F4">
        <w:rPr>
          <w:rFonts w:ascii="Arial" w:hAnsi="Arial" w:cs="Arial"/>
          <w:sz w:val="20"/>
          <w:szCs w:val="20"/>
        </w:rPr>
        <w:t xml:space="preserve"> </w:t>
      </w:r>
      <w:r w:rsidR="00B57FFE">
        <w:rPr>
          <w:rFonts w:ascii="Arial" w:hAnsi="Arial" w:cs="Arial"/>
          <w:sz w:val="20"/>
          <w:szCs w:val="20"/>
        </w:rPr>
        <w:t>ročnosti</w:t>
      </w:r>
      <w:r w:rsidRPr="008C6E9D">
        <w:rPr>
          <w:rFonts w:ascii="Arial" w:hAnsi="Arial" w:cs="Arial"/>
          <w:sz w:val="20"/>
          <w:szCs w:val="20"/>
        </w:rPr>
        <w:t xml:space="preserve"> </w:t>
      </w:r>
    </w:p>
    <w:p w14:paraId="15C1BB62"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izplačilo:</w:t>
      </w:r>
      <w:r w:rsidRPr="008C6E9D">
        <w:rPr>
          <w:rFonts w:ascii="Arial" w:hAnsi="Arial" w:cs="Arial"/>
          <w:sz w:val="20"/>
          <w:szCs w:val="20"/>
        </w:rPr>
        <w:tab/>
        <w:t xml:space="preserve">ob dospelosti se izplača nominalna vrednost </w:t>
      </w:r>
    </w:p>
    <w:p w14:paraId="443E6AA7"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obrestna mera:</w:t>
      </w:r>
      <w:r w:rsidRPr="008C6E9D">
        <w:rPr>
          <w:rFonts w:ascii="Arial" w:hAnsi="Arial" w:cs="Arial"/>
          <w:sz w:val="20"/>
          <w:szCs w:val="20"/>
        </w:rPr>
        <w:tab/>
        <w:t>uporaba nominalne proporcionalne obrestne mere, izračunane na podlagi zneska obresti in prodajne cene (razlika med nominalnim zneskom in prodajno ceno)</w:t>
      </w:r>
    </w:p>
    <w:p w14:paraId="298E7085"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plačilo obresti:</w:t>
      </w:r>
      <w:r w:rsidRPr="008C6E9D">
        <w:rPr>
          <w:rFonts w:ascii="Arial" w:hAnsi="Arial" w:cs="Arial"/>
          <w:sz w:val="20"/>
          <w:szCs w:val="20"/>
        </w:rPr>
        <w:tab/>
        <w:t>ob dospetju, kot unovčena razlika med nominalno in prodajno ceno zakladne menice</w:t>
      </w:r>
    </w:p>
    <w:p w14:paraId="587F6EB7"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mesto izdaje:</w:t>
      </w:r>
      <w:r w:rsidRPr="008C6E9D">
        <w:rPr>
          <w:rFonts w:ascii="Arial" w:hAnsi="Arial" w:cs="Arial"/>
          <w:bCs/>
          <w:sz w:val="20"/>
          <w:szCs w:val="20"/>
        </w:rPr>
        <w:t xml:space="preserve"> </w:t>
      </w:r>
      <w:r w:rsidRPr="008C6E9D">
        <w:rPr>
          <w:rFonts w:ascii="Arial" w:hAnsi="Arial" w:cs="Arial"/>
          <w:bCs/>
          <w:sz w:val="20"/>
          <w:szCs w:val="20"/>
        </w:rPr>
        <w:tab/>
        <w:t xml:space="preserve">zakladne menice bodo izdane z vpisom v centralni register </w:t>
      </w:r>
      <w:r w:rsidR="004E033C">
        <w:rPr>
          <w:rFonts w:ascii="Arial" w:hAnsi="Arial" w:cs="Arial"/>
          <w:bCs/>
          <w:sz w:val="20"/>
          <w:szCs w:val="20"/>
        </w:rPr>
        <w:br/>
      </w:r>
      <w:r w:rsidRPr="008C6E9D">
        <w:rPr>
          <w:rFonts w:ascii="Arial" w:hAnsi="Arial" w:cs="Arial"/>
          <w:bCs/>
          <w:sz w:val="20"/>
          <w:szCs w:val="20"/>
        </w:rPr>
        <w:t>KDD – Centralne klirinško depotne družbe d.</w:t>
      </w:r>
      <w:r w:rsidR="004E033C">
        <w:rPr>
          <w:rFonts w:ascii="Arial" w:hAnsi="Arial" w:cs="Arial"/>
          <w:bCs/>
          <w:sz w:val="20"/>
          <w:szCs w:val="20"/>
        </w:rPr>
        <w:t> </w:t>
      </w:r>
      <w:r w:rsidR="00FF6C68">
        <w:rPr>
          <w:rFonts w:ascii="Arial" w:hAnsi="Arial" w:cs="Arial"/>
          <w:bCs/>
          <w:sz w:val="20"/>
          <w:szCs w:val="20"/>
        </w:rPr>
        <w:t>d., Ljubljana</w:t>
      </w:r>
    </w:p>
    <w:p w14:paraId="2BC73880" w14:textId="77777777" w:rsidR="00C3541D" w:rsidRPr="008C6E9D" w:rsidRDefault="00C3541D" w:rsidP="004E033C">
      <w:pPr>
        <w:spacing w:line="260" w:lineRule="exact"/>
        <w:ind w:left="2880" w:hanging="2880"/>
        <w:jc w:val="both"/>
        <w:rPr>
          <w:rFonts w:ascii="Arial" w:hAnsi="Arial" w:cs="Arial"/>
          <w:sz w:val="20"/>
          <w:szCs w:val="20"/>
        </w:rPr>
      </w:pPr>
    </w:p>
    <w:p w14:paraId="14CF4E0F" w14:textId="77777777" w:rsidR="00C3541D" w:rsidRPr="008C6E9D" w:rsidRDefault="00C3541D" w:rsidP="008C6E9D">
      <w:pPr>
        <w:spacing w:line="260" w:lineRule="exact"/>
        <w:rPr>
          <w:rFonts w:ascii="Arial" w:hAnsi="Arial" w:cs="Arial"/>
          <w:sz w:val="20"/>
          <w:szCs w:val="20"/>
        </w:rPr>
      </w:pPr>
    </w:p>
    <w:p w14:paraId="6FF25AD5" w14:textId="77777777" w:rsidR="00C3541D" w:rsidRPr="00936BD2" w:rsidRDefault="00C3541D" w:rsidP="00936BD2">
      <w:pPr>
        <w:pStyle w:val="Naslov3"/>
      </w:pPr>
      <w:bookmarkStart w:id="3" w:name="_Ref373930944"/>
      <w:r w:rsidRPr="00936BD2">
        <w:t xml:space="preserve">Dolgoročni instrumenti </w:t>
      </w:r>
      <w:r w:rsidR="003D61A6" w:rsidRPr="00936BD2">
        <w:t>financiranja</w:t>
      </w:r>
      <w:bookmarkEnd w:id="3"/>
    </w:p>
    <w:p w14:paraId="3F937EDC" w14:textId="77777777" w:rsidR="00C3541D" w:rsidRPr="008C6E9D" w:rsidRDefault="00C3541D" w:rsidP="008C6E9D">
      <w:pPr>
        <w:spacing w:line="260" w:lineRule="exact"/>
        <w:jc w:val="both"/>
        <w:rPr>
          <w:rFonts w:ascii="Arial" w:hAnsi="Arial" w:cs="Arial"/>
          <w:bCs/>
          <w:sz w:val="20"/>
          <w:szCs w:val="20"/>
        </w:rPr>
      </w:pPr>
      <w:r w:rsidRPr="008C6E9D">
        <w:rPr>
          <w:rFonts w:ascii="Arial" w:hAnsi="Arial" w:cs="Arial"/>
          <w:bCs/>
          <w:sz w:val="20"/>
          <w:szCs w:val="20"/>
        </w:rPr>
        <w:t xml:space="preserve">V okviru dolgoročnih instrumentov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bCs/>
          <w:sz w:val="20"/>
          <w:szCs w:val="20"/>
        </w:rPr>
        <w:t xml:space="preserve">je kot primarni instrument predvidena </w:t>
      </w:r>
      <w:r w:rsidR="000C0963">
        <w:rPr>
          <w:rFonts w:ascii="Arial" w:hAnsi="Arial" w:cs="Arial"/>
          <w:bCs/>
          <w:sz w:val="20"/>
          <w:szCs w:val="20"/>
        </w:rPr>
        <w:t xml:space="preserve">izdaja </w:t>
      </w:r>
      <w:r w:rsidRPr="008C6E9D">
        <w:rPr>
          <w:rFonts w:ascii="Arial" w:hAnsi="Arial" w:cs="Arial"/>
          <w:bCs/>
          <w:sz w:val="20"/>
          <w:szCs w:val="20"/>
        </w:rPr>
        <w:t>državnih obveznic</w:t>
      </w:r>
      <w:r w:rsidR="00C85295">
        <w:rPr>
          <w:rFonts w:ascii="Arial" w:hAnsi="Arial" w:cs="Arial"/>
          <w:bCs/>
          <w:sz w:val="20"/>
          <w:szCs w:val="20"/>
        </w:rPr>
        <w:t xml:space="preserve"> s ponudbo javnosti</w:t>
      </w:r>
      <w:r w:rsidRPr="008C6E9D">
        <w:rPr>
          <w:rFonts w:ascii="Arial" w:hAnsi="Arial" w:cs="Arial"/>
          <w:bCs/>
          <w:sz w:val="20"/>
          <w:szCs w:val="20"/>
        </w:rPr>
        <w:t xml:space="preserve">, na evropskem ali drugih trgih, na </w:t>
      </w:r>
      <w:proofErr w:type="spellStart"/>
      <w:r w:rsidRPr="008C6E9D">
        <w:rPr>
          <w:rFonts w:ascii="Arial" w:hAnsi="Arial" w:cs="Arial"/>
          <w:bCs/>
          <w:sz w:val="20"/>
          <w:szCs w:val="20"/>
        </w:rPr>
        <w:t>sindiciran</w:t>
      </w:r>
      <w:proofErr w:type="spellEnd"/>
      <w:r w:rsidRPr="008C6E9D">
        <w:rPr>
          <w:rFonts w:ascii="Arial" w:hAnsi="Arial" w:cs="Arial"/>
          <w:bCs/>
          <w:sz w:val="20"/>
          <w:szCs w:val="20"/>
        </w:rPr>
        <w:t xml:space="preserve"> </w:t>
      </w:r>
      <w:r w:rsidR="00630B18" w:rsidRPr="008C6E9D">
        <w:rPr>
          <w:rFonts w:ascii="Arial" w:hAnsi="Arial" w:cs="Arial"/>
          <w:bCs/>
          <w:sz w:val="20"/>
          <w:szCs w:val="20"/>
        </w:rPr>
        <w:t xml:space="preserve">ali </w:t>
      </w:r>
      <w:proofErr w:type="spellStart"/>
      <w:r w:rsidR="00630B18" w:rsidRPr="008C6E9D">
        <w:rPr>
          <w:rFonts w:ascii="Arial" w:hAnsi="Arial" w:cs="Arial"/>
          <w:bCs/>
          <w:sz w:val="20"/>
          <w:szCs w:val="20"/>
        </w:rPr>
        <w:t>avkcijski</w:t>
      </w:r>
      <w:proofErr w:type="spellEnd"/>
      <w:r w:rsidR="00630B18" w:rsidRPr="008C6E9D">
        <w:rPr>
          <w:rFonts w:ascii="Arial" w:hAnsi="Arial" w:cs="Arial"/>
          <w:bCs/>
          <w:sz w:val="20"/>
          <w:szCs w:val="20"/>
        </w:rPr>
        <w:t xml:space="preserve"> </w:t>
      </w:r>
      <w:r w:rsidRPr="008C6E9D">
        <w:rPr>
          <w:rFonts w:ascii="Arial" w:hAnsi="Arial" w:cs="Arial"/>
          <w:bCs/>
          <w:sz w:val="20"/>
          <w:szCs w:val="20"/>
        </w:rPr>
        <w:t>način</w:t>
      </w:r>
      <w:r w:rsidR="004B17CE" w:rsidRPr="008C6E9D">
        <w:rPr>
          <w:rFonts w:ascii="Arial" w:hAnsi="Arial" w:cs="Arial"/>
          <w:bCs/>
          <w:sz w:val="20"/>
          <w:szCs w:val="20"/>
        </w:rPr>
        <w:t>,</w:t>
      </w:r>
      <w:r w:rsidR="00630B18" w:rsidRPr="008C6E9D">
        <w:rPr>
          <w:rFonts w:ascii="Arial" w:hAnsi="Arial" w:cs="Arial"/>
          <w:bCs/>
          <w:sz w:val="20"/>
          <w:szCs w:val="20"/>
        </w:rPr>
        <w:t xml:space="preserve"> kot nova ali dodatna izdaja obstoječih obveznic</w:t>
      </w:r>
      <w:r w:rsidR="0017187F">
        <w:rPr>
          <w:rFonts w:ascii="Arial" w:hAnsi="Arial" w:cs="Arial"/>
          <w:bCs/>
          <w:sz w:val="20"/>
          <w:szCs w:val="20"/>
        </w:rPr>
        <w:t xml:space="preserve">, </w:t>
      </w:r>
      <w:r w:rsidR="0015540E">
        <w:rPr>
          <w:rFonts w:ascii="Arial" w:hAnsi="Arial" w:cs="Arial"/>
          <w:bCs/>
          <w:sz w:val="20"/>
          <w:szCs w:val="20"/>
        </w:rPr>
        <w:t xml:space="preserve">na podlagi dokumentacije za posamezno </w:t>
      </w:r>
      <w:r w:rsidR="0017187F">
        <w:rPr>
          <w:rFonts w:ascii="Arial" w:hAnsi="Arial" w:cs="Arial"/>
          <w:bCs/>
          <w:sz w:val="20"/>
          <w:szCs w:val="20"/>
        </w:rPr>
        <w:t>izdaj</w:t>
      </w:r>
      <w:r w:rsidR="0015540E">
        <w:rPr>
          <w:rFonts w:ascii="Arial" w:hAnsi="Arial" w:cs="Arial"/>
          <w:bCs/>
          <w:sz w:val="20"/>
          <w:szCs w:val="20"/>
        </w:rPr>
        <w:t xml:space="preserve">o </w:t>
      </w:r>
      <w:r w:rsidR="0017187F">
        <w:rPr>
          <w:rFonts w:ascii="Arial" w:hAnsi="Arial" w:cs="Arial"/>
          <w:bCs/>
          <w:sz w:val="20"/>
          <w:szCs w:val="20"/>
        </w:rPr>
        <w:t xml:space="preserve">ali na podlagi </w:t>
      </w:r>
      <w:r w:rsidR="0015540E">
        <w:rPr>
          <w:rFonts w:ascii="Arial" w:hAnsi="Arial" w:cs="Arial"/>
          <w:bCs/>
          <w:sz w:val="20"/>
          <w:szCs w:val="20"/>
        </w:rPr>
        <w:t xml:space="preserve">okvirnega </w:t>
      </w:r>
      <w:r w:rsidR="0017187F">
        <w:rPr>
          <w:rFonts w:ascii="Arial" w:hAnsi="Arial" w:cs="Arial"/>
          <w:bCs/>
          <w:sz w:val="20"/>
          <w:szCs w:val="20"/>
        </w:rPr>
        <w:t>programa za izdaje dolžniških vrednostnih papirjev Republike Slovenije</w:t>
      </w:r>
      <w:r w:rsidR="00F60E16">
        <w:rPr>
          <w:rStyle w:val="Sprotnaopomba-sklic"/>
          <w:bCs/>
          <w:sz w:val="20"/>
          <w:szCs w:val="20"/>
        </w:rPr>
        <w:footnoteReference w:id="6"/>
      </w:r>
      <w:r w:rsidRPr="008C6E9D">
        <w:rPr>
          <w:rFonts w:ascii="Arial" w:hAnsi="Arial" w:cs="Arial"/>
          <w:bCs/>
          <w:sz w:val="20"/>
          <w:szCs w:val="20"/>
        </w:rPr>
        <w:t xml:space="preserve">. </w:t>
      </w:r>
    </w:p>
    <w:p w14:paraId="1876A3E7" w14:textId="77777777" w:rsidR="00C3541D" w:rsidRPr="008C6E9D" w:rsidRDefault="00C3541D" w:rsidP="008C6E9D">
      <w:pPr>
        <w:spacing w:line="260" w:lineRule="exact"/>
        <w:jc w:val="both"/>
        <w:rPr>
          <w:rFonts w:ascii="Arial" w:hAnsi="Arial" w:cs="Arial"/>
          <w:bCs/>
          <w:sz w:val="20"/>
          <w:szCs w:val="20"/>
        </w:rPr>
      </w:pPr>
    </w:p>
    <w:p w14:paraId="1A7A9090"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bCs/>
          <w:sz w:val="20"/>
          <w:szCs w:val="20"/>
        </w:rPr>
        <w:t xml:space="preserve">Drugi možni dolgoročni instrumenti </w:t>
      </w:r>
      <w:r w:rsidR="003D61A6" w:rsidRPr="003D61A6">
        <w:rPr>
          <w:rFonts w:ascii="Arial" w:hAnsi="Arial" w:cs="Arial"/>
          <w:bCs/>
          <w:sz w:val="20"/>
          <w:szCs w:val="20"/>
        </w:rPr>
        <w:t xml:space="preserve">financiranja </w:t>
      </w:r>
      <w:r w:rsidRPr="008C6E9D">
        <w:rPr>
          <w:rFonts w:ascii="Arial" w:hAnsi="Arial" w:cs="Arial"/>
          <w:bCs/>
          <w:sz w:val="20"/>
          <w:szCs w:val="20"/>
        </w:rPr>
        <w:t xml:space="preserve">so lahko </w:t>
      </w:r>
      <w:r w:rsidR="00366F24" w:rsidRPr="008C6E9D">
        <w:rPr>
          <w:rFonts w:ascii="Arial" w:hAnsi="Arial" w:cs="Arial"/>
          <w:sz w:val="20"/>
          <w:szCs w:val="20"/>
        </w:rPr>
        <w:t>redne avkcije 18-mesečnih zakladnih menic</w:t>
      </w:r>
      <w:r w:rsidR="00366F24" w:rsidRPr="008C6E9D">
        <w:rPr>
          <w:rStyle w:val="Sprotnaopomba-sklic"/>
          <w:rFonts w:cs="Arial"/>
          <w:sz w:val="20"/>
          <w:szCs w:val="20"/>
        </w:rPr>
        <w:footnoteReference w:id="7"/>
      </w:r>
      <w:r w:rsidR="00366F24" w:rsidRPr="008C6E9D">
        <w:rPr>
          <w:rFonts w:ascii="Arial" w:hAnsi="Arial" w:cs="Arial"/>
          <w:sz w:val="20"/>
          <w:szCs w:val="20"/>
        </w:rPr>
        <w:t xml:space="preserve">, </w:t>
      </w:r>
      <w:r w:rsidRPr="008C6E9D">
        <w:rPr>
          <w:rFonts w:ascii="Arial" w:hAnsi="Arial" w:cs="Arial"/>
          <w:sz w:val="20"/>
          <w:szCs w:val="20"/>
        </w:rPr>
        <w:t>izdaja obveznic</w:t>
      </w:r>
      <w:r w:rsidR="0007611B">
        <w:rPr>
          <w:rFonts w:ascii="Arial" w:hAnsi="Arial" w:cs="Arial"/>
          <w:sz w:val="20"/>
          <w:szCs w:val="20"/>
        </w:rPr>
        <w:t>,</w:t>
      </w:r>
      <w:r w:rsidRPr="008C6E9D">
        <w:rPr>
          <w:rFonts w:ascii="Arial" w:hAnsi="Arial" w:cs="Arial"/>
          <w:sz w:val="20"/>
          <w:szCs w:val="20"/>
        </w:rPr>
        <w:t xml:space="preserve"> namenjena omejenemu krogu investitorjev (zasebni plasma), posojila, »</w:t>
      </w:r>
      <w:proofErr w:type="spellStart"/>
      <w:r w:rsidR="00520E68" w:rsidRPr="008C6E9D">
        <w:rPr>
          <w:rFonts w:ascii="Arial" w:hAnsi="Arial" w:cs="Arial"/>
          <w:sz w:val="20"/>
          <w:szCs w:val="20"/>
        </w:rPr>
        <w:t>Schuldschein</w:t>
      </w:r>
      <w:proofErr w:type="spellEnd"/>
      <w:r w:rsidRPr="008C6E9D">
        <w:rPr>
          <w:rFonts w:ascii="Arial" w:hAnsi="Arial" w:cs="Arial"/>
          <w:sz w:val="20"/>
          <w:szCs w:val="20"/>
        </w:rPr>
        <w:t>«</w:t>
      </w:r>
      <w:r w:rsidR="009641B5">
        <w:rPr>
          <w:rFonts w:ascii="Arial" w:hAnsi="Arial" w:cs="Arial"/>
          <w:sz w:val="20"/>
          <w:szCs w:val="20"/>
        </w:rPr>
        <w:t>, začasne prodaje</w:t>
      </w:r>
      <w:r w:rsidRPr="008C6E9D">
        <w:rPr>
          <w:rFonts w:ascii="Arial" w:hAnsi="Arial" w:cs="Arial"/>
          <w:sz w:val="20"/>
          <w:szCs w:val="20"/>
        </w:rPr>
        <w:t xml:space="preserve"> ali drugi dolgoročni instrumenti </w:t>
      </w:r>
      <w:r w:rsidR="003D61A6" w:rsidRPr="003D61A6">
        <w:rPr>
          <w:rFonts w:ascii="Arial" w:hAnsi="Arial" w:cs="Arial"/>
          <w:sz w:val="20"/>
          <w:szCs w:val="20"/>
        </w:rPr>
        <w:t>financiranja</w:t>
      </w:r>
      <w:r w:rsidRPr="008C6E9D">
        <w:rPr>
          <w:rFonts w:ascii="Arial" w:hAnsi="Arial" w:cs="Arial"/>
          <w:sz w:val="20"/>
          <w:szCs w:val="20"/>
        </w:rPr>
        <w:t>, uveljavljeni na finančnem trgu.</w:t>
      </w:r>
    </w:p>
    <w:p w14:paraId="6B08AE44" w14:textId="77777777" w:rsidR="00C3541D" w:rsidRPr="008C6E9D" w:rsidRDefault="00C3541D" w:rsidP="008C6E9D">
      <w:pPr>
        <w:spacing w:line="260" w:lineRule="exact"/>
        <w:jc w:val="both"/>
        <w:rPr>
          <w:rFonts w:ascii="Arial" w:hAnsi="Arial" w:cs="Arial"/>
          <w:sz w:val="20"/>
          <w:szCs w:val="20"/>
        </w:rPr>
      </w:pPr>
    </w:p>
    <w:p w14:paraId="47124B42" w14:textId="3BD26B1F"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Vrsto dolgoročnih instrumentov </w:t>
      </w:r>
      <w:r w:rsidR="003D61A6" w:rsidRPr="003D61A6">
        <w:rPr>
          <w:rFonts w:ascii="Arial" w:hAnsi="Arial" w:cs="Arial"/>
          <w:sz w:val="20"/>
          <w:szCs w:val="20"/>
        </w:rPr>
        <w:t>financiranja</w:t>
      </w:r>
      <w:r w:rsidRPr="008C6E9D">
        <w:rPr>
          <w:rFonts w:ascii="Arial" w:hAnsi="Arial" w:cs="Arial"/>
          <w:sz w:val="20"/>
          <w:szCs w:val="20"/>
        </w:rPr>
        <w:t xml:space="preserve">, njihovo ročnost in dinamiko izdaje bo določilo Ministrstvo za finance na podlagi odločitve ministra po </w:t>
      </w:r>
      <w:r w:rsidR="002E2C29">
        <w:rPr>
          <w:rFonts w:ascii="Arial" w:hAnsi="Arial" w:cs="Arial"/>
          <w:sz w:val="20"/>
          <w:szCs w:val="20"/>
        </w:rPr>
        <w:t>prvem</w:t>
      </w:r>
      <w:r w:rsidRPr="008C6E9D">
        <w:rPr>
          <w:rFonts w:ascii="Arial" w:hAnsi="Arial" w:cs="Arial"/>
          <w:sz w:val="20"/>
          <w:szCs w:val="20"/>
        </w:rPr>
        <w:t xml:space="preserve"> odstavku 84. člena ZJF</w:t>
      </w:r>
      <w:r w:rsidR="00DE0A01">
        <w:rPr>
          <w:rFonts w:ascii="Arial" w:hAnsi="Arial" w:cs="Arial"/>
          <w:sz w:val="20"/>
          <w:szCs w:val="20"/>
        </w:rPr>
        <w:t xml:space="preserve"> (ali imetnika ustreznega pooblastila ministra)</w:t>
      </w:r>
      <w:r w:rsidR="004B17CE" w:rsidRPr="008C6E9D">
        <w:rPr>
          <w:rFonts w:ascii="Arial" w:hAnsi="Arial" w:cs="Arial"/>
          <w:sz w:val="20"/>
          <w:szCs w:val="20"/>
        </w:rPr>
        <w:t>,</w:t>
      </w:r>
      <w:r w:rsidRPr="008C6E9D">
        <w:rPr>
          <w:rFonts w:ascii="Arial" w:hAnsi="Arial" w:cs="Arial"/>
          <w:sz w:val="20"/>
          <w:szCs w:val="20"/>
        </w:rPr>
        <w:t xml:space="preserve"> v odvisnosti od tržnih razmer, v skladu s strateškimi in operativnimi cilji, opredeljenimi v točki </w:t>
      </w:r>
      <w:r w:rsidR="00F54366">
        <w:fldChar w:fldCharType="begin"/>
      </w:r>
      <w:r w:rsidR="00F54366">
        <w:instrText xml:space="preserve"> REF _Ref373929421 \r \h  \* MERGEFORMAT </w:instrText>
      </w:r>
      <w:r w:rsidR="00F54366">
        <w:fldChar w:fldCharType="separate"/>
      </w:r>
      <w:r w:rsidR="00D73324" w:rsidRPr="00D73324">
        <w:rPr>
          <w:rFonts w:ascii="Arial" w:hAnsi="Arial" w:cs="Arial"/>
          <w:sz w:val="20"/>
          <w:szCs w:val="20"/>
        </w:rPr>
        <w:t>1.2</w:t>
      </w:r>
      <w:r w:rsidR="00F54366">
        <w:fldChar w:fldCharType="end"/>
      </w:r>
      <w:r w:rsidR="000F4FFD">
        <w:t xml:space="preserve"> </w:t>
      </w:r>
      <w:r w:rsidR="000F4FFD">
        <w:rPr>
          <w:rFonts w:ascii="Arial" w:hAnsi="Arial" w:cs="Arial"/>
          <w:sz w:val="20"/>
          <w:szCs w:val="20"/>
        </w:rPr>
        <w:t>programa financiranja</w:t>
      </w:r>
      <w:r w:rsidRPr="008C6E9D">
        <w:rPr>
          <w:rFonts w:ascii="Arial" w:hAnsi="Arial" w:cs="Arial"/>
          <w:sz w:val="20"/>
          <w:szCs w:val="20"/>
        </w:rPr>
        <w:t>, upoštevaje rokovno strukturo obstoječega dolga</w:t>
      </w:r>
      <w:r w:rsidR="00947890">
        <w:rPr>
          <w:rFonts w:ascii="Arial" w:hAnsi="Arial" w:cs="Arial"/>
          <w:sz w:val="20"/>
          <w:szCs w:val="20"/>
        </w:rPr>
        <w:t xml:space="preserve"> državnega proračuna</w:t>
      </w:r>
      <w:r w:rsidRPr="008C6E9D">
        <w:rPr>
          <w:rFonts w:ascii="Arial" w:hAnsi="Arial" w:cs="Arial"/>
          <w:sz w:val="20"/>
          <w:szCs w:val="20"/>
        </w:rPr>
        <w:t>.</w:t>
      </w:r>
      <w:r w:rsidR="002119F7">
        <w:rPr>
          <w:rFonts w:ascii="Arial" w:hAnsi="Arial" w:cs="Arial"/>
          <w:sz w:val="20"/>
          <w:szCs w:val="20"/>
        </w:rPr>
        <w:t xml:space="preserve"> </w:t>
      </w:r>
      <w:r w:rsidR="00686899" w:rsidRPr="002A5C89">
        <w:rPr>
          <w:rFonts w:ascii="Arial" w:hAnsi="Arial" w:cs="Arial"/>
          <w:sz w:val="20"/>
          <w:szCs w:val="20"/>
        </w:rPr>
        <w:t>V kolikor bo</w:t>
      </w:r>
      <w:r w:rsidR="00686899">
        <w:rPr>
          <w:rFonts w:ascii="Arial" w:hAnsi="Arial" w:cs="Arial"/>
          <w:sz w:val="20"/>
          <w:szCs w:val="20"/>
        </w:rPr>
        <w:t>do</w:t>
      </w:r>
      <w:r w:rsidR="00686899" w:rsidRPr="002A5C89">
        <w:rPr>
          <w:rFonts w:ascii="Arial" w:hAnsi="Arial" w:cs="Arial"/>
          <w:sz w:val="20"/>
          <w:szCs w:val="20"/>
        </w:rPr>
        <w:t xml:space="preserve"> v okviru programa financiranja za leto </w:t>
      </w:r>
      <w:r w:rsidR="00F11947" w:rsidRPr="002A5C89">
        <w:rPr>
          <w:rFonts w:ascii="Arial" w:hAnsi="Arial" w:cs="Arial"/>
          <w:sz w:val="20"/>
          <w:szCs w:val="20"/>
        </w:rPr>
        <w:t>20</w:t>
      </w:r>
      <w:r w:rsidR="00F11947">
        <w:rPr>
          <w:rFonts w:ascii="Arial" w:hAnsi="Arial" w:cs="Arial"/>
          <w:sz w:val="20"/>
          <w:szCs w:val="20"/>
        </w:rPr>
        <w:t>2</w:t>
      </w:r>
      <w:r w:rsidR="009641B5">
        <w:rPr>
          <w:rFonts w:ascii="Arial" w:hAnsi="Arial" w:cs="Arial"/>
          <w:sz w:val="20"/>
          <w:szCs w:val="20"/>
        </w:rPr>
        <w:t>1</w:t>
      </w:r>
      <w:r w:rsidR="00F11947" w:rsidRPr="002A5C89">
        <w:rPr>
          <w:rFonts w:ascii="Arial" w:hAnsi="Arial" w:cs="Arial"/>
          <w:sz w:val="20"/>
          <w:szCs w:val="20"/>
        </w:rPr>
        <w:t xml:space="preserve"> </w:t>
      </w:r>
      <w:r w:rsidR="00686899" w:rsidRPr="002A5C89">
        <w:rPr>
          <w:rFonts w:ascii="Arial" w:hAnsi="Arial" w:cs="Arial"/>
          <w:sz w:val="20"/>
          <w:szCs w:val="20"/>
        </w:rPr>
        <w:t xml:space="preserve">izvedene tudi izdaje državnih obveznic na </w:t>
      </w:r>
      <w:proofErr w:type="spellStart"/>
      <w:r w:rsidR="00686899" w:rsidRPr="002A5C89">
        <w:rPr>
          <w:rFonts w:ascii="Arial" w:hAnsi="Arial" w:cs="Arial"/>
          <w:sz w:val="20"/>
          <w:szCs w:val="20"/>
        </w:rPr>
        <w:t>avkcijski</w:t>
      </w:r>
      <w:proofErr w:type="spellEnd"/>
      <w:r w:rsidR="00686899" w:rsidRPr="002A5C89">
        <w:rPr>
          <w:rFonts w:ascii="Arial" w:hAnsi="Arial" w:cs="Arial"/>
          <w:sz w:val="20"/>
          <w:szCs w:val="20"/>
        </w:rPr>
        <w:t xml:space="preserve"> način, bo Ministrstvo določilo koledar avkcij obveznic na podlagi odločitve ministra po prvem odstavku 84. člena ZJF o izvedbi avkcij obveznic in ga bo objavilo na spletni strani ministrstva</w:t>
      </w:r>
      <w:r w:rsidR="00686899">
        <w:rPr>
          <w:rFonts w:ascii="Arial" w:hAnsi="Arial"/>
          <w:sz w:val="22"/>
          <w:szCs w:val="22"/>
          <w:lang w:eastAsia="en-US"/>
        </w:rPr>
        <w:t xml:space="preserve">. </w:t>
      </w:r>
      <w:r w:rsidR="00684EE2" w:rsidRPr="008C6E9D">
        <w:rPr>
          <w:rFonts w:ascii="Arial" w:hAnsi="Arial" w:cs="Arial"/>
          <w:sz w:val="20"/>
          <w:szCs w:val="20"/>
        </w:rPr>
        <w:t xml:space="preserve">Avkcije bodo izvedene na elektronski način preko </w:t>
      </w:r>
      <w:proofErr w:type="spellStart"/>
      <w:r w:rsidR="00684EE2" w:rsidRPr="008C6E9D">
        <w:rPr>
          <w:rFonts w:ascii="Arial" w:hAnsi="Arial" w:cs="Arial"/>
          <w:sz w:val="20"/>
          <w:szCs w:val="20"/>
        </w:rPr>
        <w:t>Bloomberg</w:t>
      </w:r>
      <w:proofErr w:type="spellEnd"/>
      <w:r w:rsidR="00684EE2" w:rsidRPr="008C6E9D">
        <w:rPr>
          <w:rFonts w:ascii="Arial" w:hAnsi="Arial" w:cs="Arial"/>
          <w:sz w:val="20"/>
          <w:szCs w:val="20"/>
        </w:rPr>
        <w:t xml:space="preserve"> sistema elektronskih avkcij, v skladu s pravili za izvedbo avkcij</w:t>
      </w:r>
      <w:r w:rsidR="00684EE2" w:rsidRPr="008C6E9D">
        <w:rPr>
          <w:rFonts w:ascii="Arial" w:hAnsi="Arial" w:cs="Arial"/>
          <w:sz w:val="20"/>
          <w:szCs w:val="20"/>
          <w:vertAlign w:val="superscript"/>
          <w:lang w:val="en-US" w:eastAsia="en-US"/>
        </w:rPr>
        <w:footnoteReference w:id="8"/>
      </w:r>
      <w:r w:rsidR="00684EE2" w:rsidRPr="008C6E9D">
        <w:rPr>
          <w:rFonts w:ascii="Arial" w:hAnsi="Arial" w:cs="Arial"/>
          <w:sz w:val="20"/>
          <w:szCs w:val="20"/>
          <w:lang w:eastAsia="en-US"/>
        </w:rPr>
        <w:t>.</w:t>
      </w:r>
    </w:p>
    <w:p w14:paraId="23DDF3D4" w14:textId="77777777" w:rsidR="00C3541D" w:rsidRPr="00F800D6" w:rsidRDefault="00C3541D" w:rsidP="00F96714">
      <w:pPr>
        <w:pStyle w:val="Naslov1"/>
      </w:pPr>
      <w:r w:rsidRPr="00F800D6">
        <w:lastRenderedPageBreak/>
        <w:t>UPRAVLJANJE Z DRŽAVNIM DOLGOM</w:t>
      </w:r>
    </w:p>
    <w:p w14:paraId="14DFBF1F"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Vrste transakcij upravljanja z dolgom in osnovni nameni izvajanja teh transakcij so določeni v </w:t>
      </w:r>
      <w:r w:rsidR="00452DAA">
        <w:rPr>
          <w:rFonts w:ascii="Arial" w:hAnsi="Arial" w:cs="Arial"/>
          <w:sz w:val="20"/>
          <w:szCs w:val="20"/>
        </w:rPr>
        <w:br/>
      </w:r>
      <w:r w:rsidRPr="008C6E9D">
        <w:rPr>
          <w:rFonts w:ascii="Arial" w:hAnsi="Arial" w:cs="Arial"/>
          <w:sz w:val="20"/>
          <w:szCs w:val="20"/>
        </w:rPr>
        <w:t>82. členu ZJF.</w:t>
      </w:r>
    </w:p>
    <w:p w14:paraId="66B3B717" w14:textId="77777777" w:rsidR="00C3541D" w:rsidRPr="008C6E9D" w:rsidRDefault="00C3541D" w:rsidP="008C6E9D">
      <w:pPr>
        <w:spacing w:line="260" w:lineRule="exact"/>
        <w:jc w:val="both"/>
        <w:rPr>
          <w:rFonts w:ascii="Arial" w:hAnsi="Arial" w:cs="Arial"/>
          <w:sz w:val="20"/>
          <w:szCs w:val="20"/>
        </w:rPr>
      </w:pPr>
    </w:p>
    <w:p w14:paraId="1783DB5A"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Prvi odstavek 82. člena ZJF določa, da lahko država s črpanjem posojil in izdajanjem vrednostnih papirjev pridobiva sredstva, potrebna za vračilo državnega dolga pred njegovo dospelostjo ali za odkup lastnih vrednostnih papirjev, če se s tem:</w:t>
      </w:r>
    </w:p>
    <w:p w14:paraId="3882D80C" w14:textId="77777777" w:rsidR="00C3541D" w:rsidRPr="00406D45" w:rsidRDefault="00C3541D" w:rsidP="00406D45">
      <w:pPr>
        <w:pStyle w:val="Odstavekseznama"/>
        <w:numPr>
          <w:ilvl w:val="0"/>
          <w:numId w:val="39"/>
        </w:numPr>
        <w:suppressAutoHyphens w:val="0"/>
        <w:spacing w:line="260" w:lineRule="exact"/>
        <w:jc w:val="both"/>
        <w:rPr>
          <w:rFonts w:ascii="Arial" w:hAnsi="Arial" w:cs="Arial"/>
          <w:sz w:val="20"/>
          <w:szCs w:val="20"/>
        </w:rPr>
      </w:pPr>
      <w:r w:rsidRPr="00406D45">
        <w:rPr>
          <w:rFonts w:ascii="Arial" w:hAnsi="Arial" w:cs="Arial"/>
          <w:sz w:val="20"/>
          <w:szCs w:val="20"/>
        </w:rPr>
        <w:t>podpirajo ukrepi za doseganje gospodarskega ravnotežja;</w:t>
      </w:r>
    </w:p>
    <w:p w14:paraId="0EA721B9" w14:textId="77777777" w:rsidR="00C3541D" w:rsidRPr="00406D45" w:rsidRDefault="00C3541D" w:rsidP="00406D45">
      <w:pPr>
        <w:pStyle w:val="Odstavekseznama"/>
        <w:numPr>
          <w:ilvl w:val="0"/>
          <w:numId w:val="39"/>
        </w:numPr>
        <w:suppressAutoHyphens w:val="0"/>
        <w:spacing w:line="260" w:lineRule="exact"/>
        <w:jc w:val="both"/>
        <w:rPr>
          <w:rFonts w:ascii="Arial" w:hAnsi="Arial" w:cs="Arial"/>
          <w:sz w:val="20"/>
          <w:szCs w:val="20"/>
          <w:lang w:val="en-US"/>
        </w:rPr>
      </w:pPr>
      <w:r w:rsidRPr="00406D45">
        <w:rPr>
          <w:rFonts w:ascii="Arial" w:hAnsi="Arial" w:cs="Arial"/>
          <w:sz w:val="20"/>
          <w:szCs w:val="20"/>
        </w:rPr>
        <w:t>zmanjšajo stroški državnega dolga ali</w:t>
      </w:r>
    </w:p>
    <w:p w14:paraId="3CC5761F" w14:textId="77777777" w:rsidR="00C3541D" w:rsidRPr="00406D45" w:rsidRDefault="00C3541D" w:rsidP="00406D45">
      <w:pPr>
        <w:pStyle w:val="Odstavekseznama"/>
        <w:numPr>
          <w:ilvl w:val="0"/>
          <w:numId w:val="39"/>
        </w:numPr>
        <w:suppressAutoHyphens w:val="0"/>
        <w:spacing w:line="260" w:lineRule="exact"/>
        <w:jc w:val="both"/>
        <w:rPr>
          <w:rFonts w:ascii="Arial" w:hAnsi="Arial" w:cs="Arial"/>
          <w:sz w:val="20"/>
          <w:szCs w:val="20"/>
        </w:rPr>
      </w:pPr>
      <w:r w:rsidRPr="00406D45">
        <w:rPr>
          <w:rFonts w:ascii="Arial" w:hAnsi="Arial" w:cs="Arial"/>
          <w:sz w:val="20"/>
          <w:szCs w:val="20"/>
        </w:rPr>
        <w:t>izboljša kakovost zadolžitve in se s tem dolg države ne poveča.</w:t>
      </w:r>
    </w:p>
    <w:p w14:paraId="7E515AC6" w14:textId="77777777" w:rsidR="00C3541D" w:rsidRPr="008C6E9D" w:rsidRDefault="00C3541D" w:rsidP="008C6E9D">
      <w:pPr>
        <w:spacing w:line="260" w:lineRule="exact"/>
        <w:rPr>
          <w:rFonts w:ascii="Arial" w:hAnsi="Arial" w:cs="Arial"/>
          <w:sz w:val="20"/>
          <w:szCs w:val="20"/>
        </w:rPr>
      </w:pPr>
    </w:p>
    <w:p w14:paraId="12146421"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V skladu z drugim odstavkom 82. člena ZJF lahko država za</w:t>
      </w:r>
      <w:r w:rsidR="003A42B8" w:rsidRPr="008C6E9D">
        <w:rPr>
          <w:rFonts w:ascii="Arial" w:hAnsi="Arial" w:cs="Arial"/>
          <w:sz w:val="20"/>
          <w:szCs w:val="20"/>
        </w:rPr>
        <w:t xml:space="preserve"> namen</w:t>
      </w:r>
      <w:r w:rsidRPr="008C6E9D">
        <w:rPr>
          <w:rFonts w:ascii="Arial" w:hAnsi="Arial" w:cs="Arial"/>
          <w:sz w:val="20"/>
          <w:szCs w:val="20"/>
        </w:rPr>
        <w:t xml:space="preserve"> državn</w:t>
      </w:r>
      <w:r w:rsidR="00703931" w:rsidRPr="008C6E9D">
        <w:rPr>
          <w:rFonts w:ascii="Arial" w:hAnsi="Arial" w:cs="Arial"/>
          <w:sz w:val="20"/>
          <w:szCs w:val="20"/>
        </w:rPr>
        <w:t>ih</w:t>
      </w:r>
      <w:r w:rsidRPr="008C6E9D">
        <w:rPr>
          <w:rFonts w:ascii="Arial" w:hAnsi="Arial" w:cs="Arial"/>
          <w:sz w:val="20"/>
          <w:szCs w:val="20"/>
        </w:rPr>
        <w:t xml:space="preserve"> uravnavanj tečajnih in obrestnih tveganj poleg zgoraj omenjenih poslov sklepa tudi druge posle, povezane z državnim dolgom (izvedeni finančni inštrumenti). </w:t>
      </w:r>
    </w:p>
    <w:p w14:paraId="335205C1" w14:textId="77777777" w:rsidR="00C3541D" w:rsidRPr="008C6E9D" w:rsidRDefault="00C3541D" w:rsidP="008C6E9D">
      <w:pPr>
        <w:spacing w:line="260" w:lineRule="exact"/>
        <w:jc w:val="both"/>
        <w:rPr>
          <w:rFonts w:ascii="Arial" w:hAnsi="Arial" w:cs="Arial"/>
          <w:sz w:val="20"/>
          <w:szCs w:val="20"/>
        </w:rPr>
      </w:pPr>
    </w:p>
    <w:p w14:paraId="6CB386B1"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O sklepanju poslov upravljanja z državnim dolgom odloča minister, pristojen za finance, na podlagi prvega odstavka 84. člena </w:t>
      </w:r>
      <w:r w:rsidR="002D00D7" w:rsidRPr="008C6E9D">
        <w:rPr>
          <w:rFonts w:ascii="Arial" w:hAnsi="Arial" w:cs="Arial"/>
          <w:sz w:val="20"/>
          <w:szCs w:val="20"/>
        </w:rPr>
        <w:t xml:space="preserve">ZJF </w:t>
      </w:r>
      <w:r w:rsidRPr="008C6E9D">
        <w:rPr>
          <w:rFonts w:ascii="Arial" w:hAnsi="Arial" w:cs="Arial"/>
          <w:sz w:val="20"/>
          <w:szCs w:val="20"/>
        </w:rPr>
        <w:t>ter na podlagi letnega programa financiranja, ki ga sprejme vlada, oziroma druga oseba po njegovem pooblastilu.</w:t>
      </w:r>
    </w:p>
    <w:p w14:paraId="3E431C60" w14:textId="77777777" w:rsidR="00C3541D" w:rsidRPr="008C6E9D" w:rsidRDefault="00C3541D" w:rsidP="008C6E9D">
      <w:pPr>
        <w:spacing w:line="260" w:lineRule="exact"/>
        <w:jc w:val="both"/>
        <w:rPr>
          <w:rFonts w:ascii="Arial" w:hAnsi="Arial" w:cs="Arial"/>
          <w:sz w:val="20"/>
          <w:szCs w:val="20"/>
        </w:rPr>
      </w:pPr>
    </w:p>
    <w:p w14:paraId="2FA47441"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Predčasno vračilo dolga pred dospelostjo iz </w:t>
      </w:r>
      <w:r w:rsidR="002E2C29">
        <w:rPr>
          <w:rFonts w:ascii="Arial" w:hAnsi="Arial" w:cs="Arial"/>
          <w:sz w:val="20"/>
          <w:szCs w:val="20"/>
        </w:rPr>
        <w:t>prvega</w:t>
      </w:r>
      <w:r w:rsidRPr="008C6E9D">
        <w:rPr>
          <w:rFonts w:ascii="Arial" w:hAnsi="Arial" w:cs="Arial"/>
          <w:sz w:val="20"/>
          <w:szCs w:val="20"/>
        </w:rPr>
        <w:t xml:space="preserve">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w:t>
      </w:r>
      <w:r w:rsidR="002E2C29">
        <w:rPr>
          <w:rFonts w:ascii="Arial" w:hAnsi="Arial" w:cs="Arial"/>
          <w:sz w:val="20"/>
          <w:szCs w:val="20"/>
        </w:rPr>
        <w:t>prvem</w:t>
      </w:r>
      <w:r w:rsidRPr="008C6E9D">
        <w:rPr>
          <w:rFonts w:ascii="Arial" w:hAnsi="Arial" w:cs="Arial"/>
          <w:sz w:val="20"/>
          <w:szCs w:val="20"/>
        </w:rPr>
        <w:t xml:space="preserve"> odstavku 82. člena ZJF. Pri teh transakcijah upravljanja z državnim dolgom se </w:t>
      </w:r>
      <w:r w:rsidR="0049219A" w:rsidRPr="008C6E9D">
        <w:rPr>
          <w:rFonts w:ascii="Arial" w:hAnsi="Arial" w:cs="Arial"/>
          <w:sz w:val="20"/>
          <w:szCs w:val="20"/>
        </w:rPr>
        <w:t xml:space="preserve">presojajo </w:t>
      </w:r>
      <w:r w:rsidRPr="008C6E9D">
        <w:rPr>
          <w:rFonts w:ascii="Arial" w:hAnsi="Arial" w:cs="Arial"/>
          <w:sz w:val="20"/>
          <w:szCs w:val="20"/>
        </w:rPr>
        <w:t>učinki na strukturo dolga, izpostavljenost makroekonomskim in tržnim tveganjem</w:t>
      </w:r>
      <w:r w:rsidR="003A42B8" w:rsidRPr="008C6E9D">
        <w:rPr>
          <w:rFonts w:ascii="Arial" w:hAnsi="Arial" w:cs="Arial"/>
          <w:sz w:val="20"/>
          <w:szCs w:val="20"/>
        </w:rPr>
        <w:t>,</w:t>
      </w:r>
      <w:r w:rsidR="002119F7">
        <w:rPr>
          <w:rFonts w:ascii="Arial" w:hAnsi="Arial" w:cs="Arial"/>
          <w:sz w:val="20"/>
          <w:szCs w:val="20"/>
        </w:rPr>
        <w:t xml:space="preserve"> </w:t>
      </w:r>
      <w:r w:rsidR="003A42B8" w:rsidRPr="008C6E9D">
        <w:rPr>
          <w:rFonts w:ascii="Arial" w:hAnsi="Arial" w:cs="Arial"/>
          <w:sz w:val="20"/>
          <w:szCs w:val="20"/>
        </w:rPr>
        <w:t xml:space="preserve">na </w:t>
      </w:r>
      <w:r w:rsidRPr="008C6E9D">
        <w:rPr>
          <w:rFonts w:ascii="Arial" w:hAnsi="Arial" w:cs="Arial"/>
          <w:sz w:val="20"/>
          <w:szCs w:val="20"/>
        </w:rPr>
        <w:t>likvidnost</w:t>
      </w:r>
      <w:r w:rsidR="003A42B8" w:rsidRPr="008C6E9D">
        <w:rPr>
          <w:rFonts w:ascii="Arial" w:hAnsi="Arial" w:cs="Arial"/>
          <w:sz w:val="20"/>
          <w:szCs w:val="20"/>
        </w:rPr>
        <w:t xml:space="preserve"> ter</w:t>
      </w:r>
      <w:r w:rsidRPr="008C6E9D">
        <w:rPr>
          <w:rFonts w:ascii="Arial" w:hAnsi="Arial" w:cs="Arial"/>
          <w:sz w:val="20"/>
          <w:szCs w:val="20"/>
        </w:rPr>
        <w:t xml:space="preserve"> krivulj</w:t>
      </w:r>
      <w:r w:rsidR="003A42B8" w:rsidRPr="008C6E9D">
        <w:rPr>
          <w:rFonts w:ascii="Arial" w:hAnsi="Arial" w:cs="Arial"/>
          <w:sz w:val="20"/>
          <w:szCs w:val="20"/>
        </w:rPr>
        <w:t>o</w:t>
      </w:r>
      <w:r w:rsidRPr="008C6E9D">
        <w:rPr>
          <w:rFonts w:ascii="Arial" w:hAnsi="Arial" w:cs="Arial"/>
          <w:sz w:val="20"/>
          <w:szCs w:val="20"/>
        </w:rPr>
        <w:t xml:space="preserve"> donosa slovenskih državnih vrednostnih papirjev. </w:t>
      </w:r>
    </w:p>
    <w:p w14:paraId="530CB23C" w14:textId="77777777" w:rsidR="00C3541D" w:rsidRPr="008C6E9D" w:rsidRDefault="00C3541D" w:rsidP="008C6E9D">
      <w:pPr>
        <w:spacing w:line="260" w:lineRule="exact"/>
        <w:jc w:val="both"/>
        <w:rPr>
          <w:rFonts w:ascii="Arial" w:hAnsi="Arial" w:cs="Arial"/>
          <w:sz w:val="20"/>
          <w:szCs w:val="20"/>
        </w:rPr>
      </w:pPr>
    </w:p>
    <w:p w14:paraId="291E92B9" w14:textId="77777777" w:rsidR="00C3541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Izvedeni finančni instrumenti za uravnavanje tečajnih in obrestnih tveganj iz </w:t>
      </w:r>
      <w:r w:rsidR="002E2C29">
        <w:rPr>
          <w:rFonts w:ascii="Arial" w:hAnsi="Arial" w:cs="Arial"/>
          <w:sz w:val="20"/>
          <w:szCs w:val="20"/>
        </w:rPr>
        <w:t>drugega</w:t>
      </w:r>
      <w:r w:rsidRPr="008C6E9D">
        <w:rPr>
          <w:rFonts w:ascii="Arial" w:hAnsi="Arial" w:cs="Arial"/>
          <w:sz w:val="20"/>
          <w:szCs w:val="20"/>
        </w:rPr>
        <w:t xml:space="preserve"> odstavka </w:t>
      </w:r>
      <w:r w:rsidR="00452DAA">
        <w:rPr>
          <w:rFonts w:ascii="Arial" w:hAnsi="Arial" w:cs="Arial"/>
          <w:sz w:val="20"/>
          <w:szCs w:val="20"/>
        </w:rPr>
        <w:br/>
      </w:r>
      <w:r w:rsidRPr="008C6E9D">
        <w:rPr>
          <w:rFonts w:ascii="Arial" w:hAnsi="Arial" w:cs="Arial"/>
          <w:sz w:val="20"/>
          <w:szCs w:val="20"/>
        </w:rPr>
        <w:t xml:space="preserve">82. člena ZJF se lahko izvajajo </w:t>
      </w:r>
      <w:r w:rsidR="00071DC6">
        <w:rPr>
          <w:rFonts w:ascii="Arial" w:hAnsi="Arial" w:cs="Arial"/>
          <w:sz w:val="20"/>
          <w:szCs w:val="20"/>
        </w:rPr>
        <w:t xml:space="preserve">z </w:t>
      </w:r>
      <w:r w:rsidRPr="008C6E9D">
        <w:rPr>
          <w:rFonts w:ascii="Arial" w:hAnsi="Arial" w:cs="Arial"/>
          <w:sz w:val="20"/>
          <w:szCs w:val="20"/>
        </w:rPr>
        <w:t>valutni</w:t>
      </w:r>
      <w:r w:rsidR="00B63E40">
        <w:rPr>
          <w:rFonts w:ascii="Arial" w:hAnsi="Arial" w:cs="Arial"/>
          <w:sz w:val="20"/>
          <w:szCs w:val="20"/>
        </w:rPr>
        <w:t xml:space="preserve">mi zamenjavami, </w:t>
      </w:r>
      <w:r w:rsidRPr="008C6E9D">
        <w:rPr>
          <w:rFonts w:ascii="Arial" w:hAnsi="Arial" w:cs="Arial"/>
          <w:sz w:val="20"/>
          <w:szCs w:val="20"/>
        </w:rPr>
        <w:t>obrestni</w:t>
      </w:r>
      <w:r w:rsidR="00B63E40">
        <w:rPr>
          <w:rFonts w:ascii="Arial" w:hAnsi="Arial" w:cs="Arial"/>
          <w:sz w:val="20"/>
          <w:szCs w:val="20"/>
        </w:rPr>
        <w:t>mi</w:t>
      </w:r>
      <w:r w:rsidRPr="008C6E9D">
        <w:rPr>
          <w:rFonts w:ascii="Arial" w:hAnsi="Arial" w:cs="Arial"/>
          <w:sz w:val="20"/>
          <w:szCs w:val="20"/>
        </w:rPr>
        <w:t xml:space="preserve"> zamenjav</w:t>
      </w:r>
      <w:r w:rsidR="00071DC6">
        <w:rPr>
          <w:rFonts w:ascii="Arial" w:hAnsi="Arial" w:cs="Arial"/>
          <w:sz w:val="20"/>
          <w:szCs w:val="20"/>
        </w:rPr>
        <w:t>ami</w:t>
      </w:r>
      <w:r w:rsidRPr="008C6E9D">
        <w:rPr>
          <w:rFonts w:ascii="Arial" w:hAnsi="Arial" w:cs="Arial"/>
          <w:sz w:val="20"/>
          <w:szCs w:val="20"/>
        </w:rPr>
        <w:t xml:space="preserve"> </w:t>
      </w:r>
      <w:r w:rsidR="00B63E40">
        <w:rPr>
          <w:rFonts w:ascii="Arial" w:hAnsi="Arial" w:cs="Arial"/>
          <w:sz w:val="20"/>
          <w:szCs w:val="20"/>
        </w:rPr>
        <w:t>in drugi</w:t>
      </w:r>
      <w:r w:rsidR="00071DC6">
        <w:rPr>
          <w:rFonts w:ascii="Arial" w:hAnsi="Arial" w:cs="Arial"/>
          <w:sz w:val="20"/>
          <w:szCs w:val="20"/>
        </w:rPr>
        <w:t>mi</w:t>
      </w:r>
      <w:r w:rsidR="00B63E40">
        <w:rPr>
          <w:rFonts w:ascii="Arial" w:hAnsi="Arial" w:cs="Arial"/>
          <w:sz w:val="20"/>
          <w:szCs w:val="20"/>
        </w:rPr>
        <w:t xml:space="preserve"> </w:t>
      </w:r>
      <w:r w:rsidR="00B63E40" w:rsidRPr="00B63E40">
        <w:rPr>
          <w:rFonts w:ascii="Arial" w:hAnsi="Arial" w:cs="Arial"/>
          <w:sz w:val="20"/>
          <w:szCs w:val="20"/>
        </w:rPr>
        <w:t>izvedenimi finančnimi instrumenti, uveljavljenimi na finančnem trgu za takšen namen</w:t>
      </w:r>
      <w:r w:rsidR="00071DC6">
        <w:rPr>
          <w:rFonts w:ascii="Arial" w:hAnsi="Arial" w:cs="Arial"/>
          <w:sz w:val="20"/>
          <w:szCs w:val="20"/>
        </w:rPr>
        <w:t>, vključno s</w:t>
      </w:r>
      <w:r w:rsidR="00B63E40" w:rsidRPr="008C6E9D">
        <w:rPr>
          <w:rFonts w:ascii="Arial" w:hAnsi="Arial" w:cs="Arial"/>
          <w:sz w:val="20"/>
          <w:szCs w:val="20"/>
        </w:rPr>
        <w:t xml:space="preserve"> </w:t>
      </w:r>
      <w:r w:rsidRPr="008C6E9D">
        <w:rPr>
          <w:rFonts w:ascii="Arial" w:hAnsi="Arial" w:cs="Arial"/>
          <w:sz w:val="20"/>
          <w:szCs w:val="20"/>
        </w:rPr>
        <w:t>transakcij</w:t>
      </w:r>
      <w:r w:rsidR="00071DC6">
        <w:rPr>
          <w:rFonts w:ascii="Arial" w:hAnsi="Arial" w:cs="Arial"/>
          <w:sz w:val="20"/>
          <w:szCs w:val="20"/>
        </w:rPr>
        <w:t>ami</w:t>
      </w:r>
      <w:r w:rsidRPr="008C6E9D">
        <w:rPr>
          <w:rFonts w:ascii="Arial" w:hAnsi="Arial" w:cs="Arial"/>
          <w:sz w:val="20"/>
          <w:szCs w:val="20"/>
        </w:rPr>
        <w:t>, ki zmanjšujejo kreditno izpostavljenost v zvezi z njimi.</w:t>
      </w:r>
    </w:p>
    <w:p w14:paraId="14EF7E67" w14:textId="77777777" w:rsidR="009641B5" w:rsidRPr="008C6E9D" w:rsidRDefault="009641B5" w:rsidP="008C6E9D">
      <w:pPr>
        <w:spacing w:line="260" w:lineRule="exact"/>
        <w:jc w:val="both"/>
        <w:rPr>
          <w:rFonts w:ascii="Arial" w:hAnsi="Arial" w:cs="Arial"/>
          <w:sz w:val="20"/>
          <w:szCs w:val="20"/>
        </w:rPr>
      </w:pPr>
    </w:p>
    <w:p w14:paraId="42D0FBED" w14:textId="762C4B2F" w:rsidR="006603F8" w:rsidRDefault="00C3541D" w:rsidP="006603F8">
      <w:pPr>
        <w:spacing w:line="260" w:lineRule="exact"/>
        <w:jc w:val="both"/>
        <w:rPr>
          <w:rFonts w:ascii="Arial" w:hAnsi="Arial" w:cs="Arial"/>
          <w:sz w:val="20"/>
          <w:szCs w:val="20"/>
        </w:rPr>
      </w:pPr>
      <w:r w:rsidRPr="008C6E9D">
        <w:rPr>
          <w:rFonts w:ascii="Arial" w:hAnsi="Arial" w:cs="Arial"/>
          <w:sz w:val="20"/>
          <w:szCs w:val="20"/>
        </w:rPr>
        <w:t xml:space="preserve">V točki </w:t>
      </w:r>
      <w:r w:rsidR="00F54366">
        <w:fldChar w:fldCharType="begin"/>
      </w:r>
      <w:r w:rsidR="00F54366">
        <w:instrText xml:space="preserve"> REF _Ref373930480 \r \h  \* MERGEFORMAT </w:instrText>
      </w:r>
      <w:r w:rsidR="00F54366">
        <w:fldChar w:fldCharType="separate"/>
      </w:r>
      <w:r w:rsidR="00D73324" w:rsidRPr="00D73324">
        <w:rPr>
          <w:rFonts w:ascii="Arial" w:hAnsi="Arial" w:cs="Arial"/>
          <w:sz w:val="20"/>
          <w:szCs w:val="20"/>
        </w:rPr>
        <w:t>2</w:t>
      </w:r>
      <w:r w:rsidR="00F54366">
        <w:fldChar w:fldCharType="end"/>
      </w:r>
      <w:r w:rsidRPr="008C6E9D">
        <w:rPr>
          <w:rFonts w:ascii="Arial" w:hAnsi="Arial" w:cs="Arial"/>
          <w:sz w:val="20"/>
          <w:szCs w:val="20"/>
        </w:rPr>
        <w:t xml:space="preserve"> so podrobneje opisani kriteriji in način izvedbe odkupov in zamenjav državnih vrednostnih papirjev, v točki </w:t>
      </w:r>
      <w:r w:rsidR="00F54366">
        <w:fldChar w:fldCharType="begin"/>
      </w:r>
      <w:r w:rsidR="00F54366">
        <w:instrText xml:space="preserve"> REF _Ref373930495 \r \h  \* MERGEFORMAT </w:instrText>
      </w:r>
      <w:r w:rsidR="00F54366">
        <w:fldChar w:fldCharType="separate"/>
      </w:r>
      <w:r w:rsidR="00D73324" w:rsidRPr="00D73324">
        <w:rPr>
          <w:rFonts w:ascii="Arial" w:hAnsi="Arial" w:cs="Arial"/>
          <w:sz w:val="20"/>
          <w:szCs w:val="20"/>
        </w:rPr>
        <w:t>3.2</w:t>
      </w:r>
      <w:r w:rsidR="00F54366">
        <w:fldChar w:fldCharType="end"/>
      </w:r>
      <w:r w:rsidR="000F4FFD">
        <w:rPr>
          <w:rFonts w:ascii="Arial" w:hAnsi="Arial" w:cs="Arial"/>
          <w:sz w:val="20"/>
          <w:szCs w:val="20"/>
        </w:rPr>
        <w:t xml:space="preserve"> programa financiranja</w:t>
      </w:r>
      <w:r w:rsidRPr="008C6E9D">
        <w:rPr>
          <w:rFonts w:ascii="Arial" w:hAnsi="Arial" w:cs="Arial"/>
          <w:sz w:val="20"/>
          <w:szCs w:val="20"/>
        </w:rPr>
        <w:t xml:space="preserve"> pa so naveden</w:t>
      </w:r>
      <w:r w:rsidR="007800BC" w:rsidRPr="008C6E9D">
        <w:rPr>
          <w:rFonts w:ascii="Arial" w:hAnsi="Arial" w:cs="Arial"/>
          <w:sz w:val="20"/>
          <w:szCs w:val="20"/>
        </w:rPr>
        <w:t>i</w:t>
      </w:r>
      <w:r w:rsidRPr="008C6E9D">
        <w:rPr>
          <w:rFonts w:ascii="Arial" w:hAnsi="Arial" w:cs="Arial"/>
          <w:sz w:val="20"/>
          <w:szCs w:val="20"/>
        </w:rPr>
        <w:t xml:space="preserve"> </w:t>
      </w:r>
      <w:r w:rsidR="007800BC" w:rsidRPr="008C6E9D">
        <w:rPr>
          <w:rFonts w:ascii="Arial" w:hAnsi="Arial" w:cs="Arial"/>
          <w:sz w:val="20"/>
          <w:szCs w:val="20"/>
        </w:rPr>
        <w:t xml:space="preserve">izvedeni finančni instrumenti za uravnavanje tečajnih in obrestnih tveganj </w:t>
      </w:r>
      <w:r w:rsidRPr="008C6E9D">
        <w:rPr>
          <w:rFonts w:ascii="Arial" w:hAnsi="Arial" w:cs="Arial"/>
          <w:sz w:val="20"/>
          <w:szCs w:val="20"/>
        </w:rPr>
        <w:t xml:space="preserve">in nameni </w:t>
      </w:r>
      <w:r w:rsidR="007800BC" w:rsidRPr="008C6E9D">
        <w:rPr>
          <w:rFonts w:ascii="Arial" w:hAnsi="Arial" w:cs="Arial"/>
          <w:sz w:val="20"/>
          <w:szCs w:val="20"/>
        </w:rPr>
        <w:t>uporabe takšnih instrumentov</w:t>
      </w:r>
      <w:r w:rsidRPr="008C6E9D">
        <w:rPr>
          <w:rFonts w:ascii="Arial" w:hAnsi="Arial" w:cs="Arial"/>
          <w:sz w:val="20"/>
          <w:szCs w:val="20"/>
        </w:rPr>
        <w:t xml:space="preserve">. </w:t>
      </w:r>
    </w:p>
    <w:p w14:paraId="665D8A03" w14:textId="77777777" w:rsidR="00F21CA3" w:rsidRPr="00F21CA3" w:rsidRDefault="00F21CA3" w:rsidP="00F21CA3">
      <w:pPr>
        <w:pStyle w:val="Odstavekseznama"/>
        <w:keepNext/>
        <w:keepLines/>
        <w:numPr>
          <w:ilvl w:val="0"/>
          <w:numId w:val="20"/>
        </w:numPr>
        <w:spacing w:before="200"/>
        <w:contextualSpacing w:val="0"/>
        <w:outlineLvl w:val="1"/>
        <w:rPr>
          <w:rFonts w:ascii="Arial" w:eastAsia="SimSun" w:hAnsi="Arial"/>
          <w:b/>
          <w:bCs/>
          <w:vanish/>
          <w:sz w:val="22"/>
          <w:szCs w:val="26"/>
        </w:rPr>
      </w:pPr>
      <w:bookmarkStart w:id="4" w:name="_Ref373930480"/>
    </w:p>
    <w:p w14:paraId="2D8489E8" w14:textId="77777777" w:rsidR="00C3541D" w:rsidRPr="008C6E9D" w:rsidRDefault="00C3541D" w:rsidP="00F96714">
      <w:pPr>
        <w:pStyle w:val="Naslov2"/>
      </w:pPr>
      <w:r w:rsidRPr="008C6E9D">
        <w:t>ODKUPI IN ZAMENJAVE DRŽAVNIH VREDNOSTNIH PAPIRJEV</w:t>
      </w:r>
      <w:bookmarkEnd w:id="4"/>
    </w:p>
    <w:p w14:paraId="50AB4393" w14:textId="77777777" w:rsidR="00B17A0F" w:rsidRDefault="00C3541D" w:rsidP="00680A5A">
      <w:pPr>
        <w:spacing w:line="260" w:lineRule="exact"/>
        <w:jc w:val="both"/>
        <w:rPr>
          <w:rFonts w:ascii="Arial" w:hAnsi="Arial" w:cs="Arial"/>
          <w:sz w:val="20"/>
          <w:szCs w:val="20"/>
        </w:rPr>
      </w:pPr>
      <w:r w:rsidRPr="008C6E9D">
        <w:rPr>
          <w:rFonts w:ascii="Arial" w:hAnsi="Arial" w:cs="Arial"/>
          <w:sz w:val="20"/>
          <w:szCs w:val="20"/>
        </w:rPr>
        <w:t>Odkupi in zamenjave vrednostnih papirjev so tržne transakcije, izvedene po tržnih pogojih in so odvisne od odziva oziroma volje imetnikov vrednostnih papirjev, da določeni vrednostni papir po določeni ceni državi prodajo oziroma ga zamenjajo za drug vrednostni papir. Učink</w:t>
      </w:r>
      <w:r w:rsidR="002F72B5" w:rsidRPr="008C6E9D">
        <w:rPr>
          <w:rFonts w:ascii="Arial" w:hAnsi="Arial" w:cs="Arial"/>
          <w:sz w:val="20"/>
          <w:szCs w:val="20"/>
        </w:rPr>
        <w:t>i</w:t>
      </w:r>
      <w:r w:rsidRPr="008C6E9D">
        <w:rPr>
          <w:rFonts w:ascii="Arial" w:hAnsi="Arial" w:cs="Arial"/>
          <w:sz w:val="20"/>
          <w:szCs w:val="20"/>
        </w:rPr>
        <w:t xml:space="preserve"> tovrstnih</w:t>
      </w:r>
      <w:r w:rsidR="002F72B5" w:rsidRPr="008C6E9D">
        <w:rPr>
          <w:rFonts w:ascii="Arial" w:hAnsi="Arial" w:cs="Arial"/>
          <w:sz w:val="20"/>
          <w:szCs w:val="20"/>
        </w:rPr>
        <w:t xml:space="preserve"> transakcij</w:t>
      </w:r>
      <w:r w:rsidRPr="008C6E9D">
        <w:rPr>
          <w:rFonts w:ascii="Arial" w:hAnsi="Arial" w:cs="Arial"/>
          <w:sz w:val="20"/>
          <w:szCs w:val="20"/>
        </w:rPr>
        <w:t xml:space="preserve"> </w:t>
      </w:r>
      <w:r w:rsidR="002F72B5" w:rsidRPr="008C6E9D">
        <w:rPr>
          <w:rFonts w:ascii="Arial" w:hAnsi="Arial" w:cs="Arial"/>
          <w:sz w:val="20"/>
          <w:szCs w:val="20"/>
        </w:rPr>
        <w:t>upravljanja z dolgom državnega proračuna so odvisni od tržnih razmer v času izvedbe transakcije</w:t>
      </w:r>
      <w:r w:rsidR="002F72B5" w:rsidRPr="008C6E9D" w:rsidDel="002F72B5">
        <w:rPr>
          <w:rFonts w:ascii="Arial" w:hAnsi="Arial" w:cs="Arial"/>
          <w:sz w:val="20"/>
          <w:szCs w:val="20"/>
        </w:rPr>
        <w:t xml:space="preserve"> </w:t>
      </w:r>
      <w:r w:rsidR="002F72B5" w:rsidRPr="008C6E9D">
        <w:rPr>
          <w:rFonts w:ascii="Arial" w:hAnsi="Arial" w:cs="Arial"/>
          <w:sz w:val="20"/>
          <w:szCs w:val="20"/>
        </w:rPr>
        <w:t>in se jih izračunava</w:t>
      </w:r>
      <w:r w:rsidRPr="008C6E9D">
        <w:rPr>
          <w:rFonts w:ascii="Arial" w:hAnsi="Arial" w:cs="Arial"/>
          <w:sz w:val="20"/>
          <w:szCs w:val="20"/>
        </w:rPr>
        <w:t>.</w:t>
      </w:r>
    </w:p>
    <w:p w14:paraId="554C4461" w14:textId="77777777" w:rsidR="00936BD2" w:rsidRPr="00936BD2" w:rsidRDefault="00936BD2" w:rsidP="00936BD2">
      <w:pPr>
        <w:spacing w:line="260" w:lineRule="exact"/>
        <w:jc w:val="both"/>
        <w:rPr>
          <w:rFonts w:ascii="Arial" w:hAnsi="Arial" w:cs="Arial"/>
          <w:sz w:val="20"/>
          <w:szCs w:val="20"/>
        </w:rPr>
      </w:pPr>
      <w:bookmarkStart w:id="5" w:name="_Ref373930796"/>
    </w:p>
    <w:p w14:paraId="69E81F3E" w14:textId="77777777" w:rsidR="00C3541D" w:rsidRPr="00936BD2" w:rsidRDefault="00C3541D" w:rsidP="00936BD2">
      <w:pPr>
        <w:pStyle w:val="Naslov3"/>
      </w:pPr>
      <w:r w:rsidRPr="00936BD2">
        <w:t>Kriteriji za izvedbo transakcij odkupov</w:t>
      </w:r>
      <w:r w:rsidRPr="00936BD2" w:rsidDel="00E67C35">
        <w:t xml:space="preserve"> </w:t>
      </w:r>
      <w:r w:rsidRPr="00936BD2">
        <w:t>in zamenjav vrednostnih papirjev</w:t>
      </w:r>
      <w:bookmarkEnd w:id="5"/>
    </w:p>
    <w:p w14:paraId="09037DD8" w14:textId="77777777" w:rsidR="00C3541D" w:rsidRPr="008C6E9D" w:rsidRDefault="0049219A" w:rsidP="008C6E9D">
      <w:pPr>
        <w:spacing w:line="260" w:lineRule="exact"/>
        <w:jc w:val="both"/>
        <w:rPr>
          <w:rFonts w:ascii="Arial" w:hAnsi="Arial" w:cs="Arial"/>
          <w:sz w:val="20"/>
          <w:szCs w:val="20"/>
        </w:rPr>
      </w:pPr>
      <w:r w:rsidRPr="008C6E9D">
        <w:rPr>
          <w:rFonts w:ascii="Arial" w:hAnsi="Arial" w:cs="Arial"/>
          <w:sz w:val="20"/>
          <w:szCs w:val="20"/>
        </w:rPr>
        <w:t>Transakcije odkupov in zamenjav vrednostnih papirjev se bodo izvajale v</w:t>
      </w:r>
      <w:r w:rsidR="00C3541D" w:rsidRPr="008C6E9D">
        <w:rPr>
          <w:rFonts w:ascii="Arial" w:hAnsi="Arial" w:cs="Arial"/>
          <w:sz w:val="20"/>
          <w:szCs w:val="20"/>
        </w:rPr>
        <w:t xml:space="preserve"> skladu z 82. členom ZJF</w:t>
      </w:r>
      <w:r w:rsidRPr="008C6E9D">
        <w:rPr>
          <w:rFonts w:ascii="Arial" w:hAnsi="Arial" w:cs="Arial"/>
          <w:sz w:val="20"/>
          <w:szCs w:val="20"/>
        </w:rPr>
        <w:t xml:space="preserve">. Ob tem se bodo presojali učinki transakcij odkupov in/ali zamenjav ter </w:t>
      </w:r>
      <w:r w:rsidR="002F72B5" w:rsidRPr="008C6E9D">
        <w:rPr>
          <w:rFonts w:ascii="Arial" w:hAnsi="Arial" w:cs="Arial"/>
          <w:sz w:val="20"/>
          <w:szCs w:val="20"/>
        </w:rPr>
        <w:t>zasledovali cilji učinkov</w:t>
      </w:r>
      <w:r w:rsidRPr="008C6E9D">
        <w:rPr>
          <w:rFonts w:ascii="Arial" w:hAnsi="Arial" w:cs="Arial"/>
          <w:sz w:val="20"/>
          <w:szCs w:val="20"/>
        </w:rPr>
        <w:t>itega</w:t>
      </w:r>
      <w:r w:rsidR="002F72B5" w:rsidRPr="008C6E9D">
        <w:rPr>
          <w:rFonts w:ascii="Arial" w:hAnsi="Arial" w:cs="Arial"/>
          <w:sz w:val="20"/>
          <w:szCs w:val="20"/>
        </w:rPr>
        <w:t xml:space="preserve"> upravljanja z dolgom državnega proračuna z vidika naslednjih kriterijev:</w:t>
      </w:r>
    </w:p>
    <w:p w14:paraId="65FF85A8" w14:textId="77777777" w:rsidR="002F72B5" w:rsidRPr="004F403F" w:rsidRDefault="004E033C" w:rsidP="004F403F">
      <w:pPr>
        <w:pStyle w:val="Odstavekseznama"/>
        <w:numPr>
          <w:ilvl w:val="0"/>
          <w:numId w:val="37"/>
        </w:numPr>
        <w:suppressAutoHyphens w:val="0"/>
        <w:spacing w:line="260" w:lineRule="exact"/>
        <w:jc w:val="both"/>
        <w:rPr>
          <w:rFonts w:ascii="Arial" w:hAnsi="Arial" w:cs="Arial"/>
          <w:sz w:val="20"/>
          <w:szCs w:val="20"/>
        </w:rPr>
      </w:pPr>
      <w:r w:rsidRPr="004F403F">
        <w:rPr>
          <w:rFonts w:ascii="Arial" w:hAnsi="Arial" w:cs="Arial"/>
          <w:sz w:val="20"/>
          <w:szCs w:val="20"/>
        </w:rPr>
        <w:t>z</w:t>
      </w:r>
      <w:r w:rsidR="002F72B5" w:rsidRPr="004F403F">
        <w:rPr>
          <w:rFonts w:ascii="Arial" w:hAnsi="Arial" w:cs="Arial"/>
          <w:sz w:val="20"/>
          <w:szCs w:val="20"/>
        </w:rPr>
        <w:t>manjšanje obrestnih izdatkov</w:t>
      </w:r>
      <w:r w:rsidRPr="004F403F">
        <w:rPr>
          <w:rFonts w:ascii="Arial" w:hAnsi="Arial" w:cs="Arial"/>
          <w:sz w:val="20"/>
          <w:szCs w:val="20"/>
        </w:rPr>
        <w:t>;</w:t>
      </w:r>
    </w:p>
    <w:p w14:paraId="16B77518" w14:textId="77777777" w:rsidR="002F72B5" w:rsidRPr="004F403F" w:rsidRDefault="004E033C" w:rsidP="004F403F">
      <w:pPr>
        <w:pStyle w:val="Odstavekseznama"/>
        <w:numPr>
          <w:ilvl w:val="0"/>
          <w:numId w:val="37"/>
        </w:numPr>
        <w:suppressAutoHyphens w:val="0"/>
        <w:spacing w:line="260" w:lineRule="exact"/>
        <w:jc w:val="both"/>
        <w:rPr>
          <w:rFonts w:ascii="Arial" w:hAnsi="Arial" w:cs="Arial"/>
          <w:sz w:val="20"/>
          <w:szCs w:val="20"/>
        </w:rPr>
      </w:pPr>
      <w:r w:rsidRPr="004F403F">
        <w:rPr>
          <w:rFonts w:ascii="Arial" w:hAnsi="Arial" w:cs="Arial"/>
          <w:sz w:val="20"/>
          <w:szCs w:val="20"/>
        </w:rPr>
        <w:lastRenderedPageBreak/>
        <w:t>p</w:t>
      </w:r>
      <w:r w:rsidR="002F72B5" w:rsidRPr="004F403F">
        <w:rPr>
          <w:rFonts w:ascii="Arial" w:hAnsi="Arial" w:cs="Arial"/>
          <w:sz w:val="20"/>
          <w:szCs w:val="20"/>
        </w:rPr>
        <w:t xml:space="preserve">ovečanje povprečne </w:t>
      </w:r>
      <w:r w:rsidR="0049219A" w:rsidRPr="004F403F">
        <w:rPr>
          <w:rFonts w:ascii="Arial" w:hAnsi="Arial" w:cs="Arial"/>
          <w:sz w:val="20"/>
          <w:szCs w:val="20"/>
        </w:rPr>
        <w:t xml:space="preserve">ročnosti </w:t>
      </w:r>
      <w:r w:rsidR="002F72B5" w:rsidRPr="004F403F">
        <w:rPr>
          <w:rFonts w:ascii="Arial" w:hAnsi="Arial" w:cs="Arial"/>
          <w:sz w:val="20"/>
          <w:szCs w:val="20"/>
        </w:rPr>
        <w:t>dolga</w:t>
      </w:r>
      <w:r w:rsidR="00BD189C" w:rsidRPr="004F403F">
        <w:rPr>
          <w:rFonts w:ascii="Arial" w:hAnsi="Arial" w:cs="Arial"/>
          <w:sz w:val="20"/>
          <w:szCs w:val="20"/>
        </w:rPr>
        <w:t xml:space="preserve"> ter </w:t>
      </w:r>
      <w:r w:rsidR="003C54D3" w:rsidRPr="004F403F">
        <w:rPr>
          <w:rFonts w:ascii="Arial" w:hAnsi="Arial" w:cs="Arial"/>
          <w:sz w:val="20"/>
          <w:szCs w:val="20"/>
        </w:rPr>
        <w:t>utrditev</w:t>
      </w:r>
      <w:r w:rsidR="00BD189C" w:rsidRPr="004F403F">
        <w:rPr>
          <w:rFonts w:ascii="Arial" w:hAnsi="Arial" w:cs="Arial"/>
          <w:sz w:val="20"/>
          <w:szCs w:val="20"/>
        </w:rPr>
        <w:t xml:space="preserve"> struktur</w:t>
      </w:r>
      <w:r w:rsidR="003C54D3" w:rsidRPr="004F403F">
        <w:rPr>
          <w:rFonts w:ascii="Arial" w:hAnsi="Arial" w:cs="Arial"/>
          <w:sz w:val="20"/>
          <w:szCs w:val="20"/>
        </w:rPr>
        <w:t>e</w:t>
      </w:r>
      <w:r w:rsidR="00BD189C" w:rsidRPr="004F403F">
        <w:rPr>
          <w:rFonts w:ascii="Arial" w:hAnsi="Arial" w:cs="Arial"/>
          <w:sz w:val="20"/>
          <w:szCs w:val="20"/>
        </w:rPr>
        <w:t xml:space="preserve"> portfelja</w:t>
      </w:r>
      <w:r w:rsidR="003C54D3" w:rsidRPr="004F403F">
        <w:rPr>
          <w:rFonts w:ascii="Arial" w:hAnsi="Arial" w:cs="Arial"/>
          <w:sz w:val="20"/>
          <w:szCs w:val="20"/>
        </w:rPr>
        <w:t xml:space="preserve"> dolga državnega proračuna</w:t>
      </w:r>
      <w:r w:rsidR="0037163B" w:rsidRPr="004F403F">
        <w:rPr>
          <w:rFonts w:ascii="Arial" w:hAnsi="Arial" w:cs="Arial"/>
          <w:sz w:val="20"/>
          <w:szCs w:val="20"/>
        </w:rPr>
        <w:t>, ko Republika Slovenija obveznice s krajšo preostalo dospelostjo nadomesti z obveznicami daljše ročnosti in se s tem zmanjša tveganje refinanciranja</w:t>
      </w:r>
      <w:r w:rsidRPr="004F403F">
        <w:rPr>
          <w:rFonts w:ascii="Arial" w:hAnsi="Arial" w:cs="Arial"/>
          <w:sz w:val="20"/>
          <w:szCs w:val="20"/>
        </w:rPr>
        <w:t>;</w:t>
      </w:r>
    </w:p>
    <w:p w14:paraId="1713E540" w14:textId="1D0F0696" w:rsidR="0037163B" w:rsidRPr="004F403F" w:rsidRDefault="00DE0A01" w:rsidP="00DE0A01">
      <w:pPr>
        <w:pStyle w:val="Odstavekseznama"/>
        <w:numPr>
          <w:ilvl w:val="0"/>
          <w:numId w:val="37"/>
        </w:numPr>
        <w:suppressAutoHyphens w:val="0"/>
        <w:spacing w:line="260" w:lineRule="exact"/>
        <w:jc w:val="both"/>
        <w:rPr>
          <w:rFonts w:ascii="Arial" w:hAnsi="Arial" w:cs="Arial"/>
          <w:sz w:val="20"/>
          <w:szCs w:val="20"/>
        </w:rPr>
      </w:pPr>
      <w:r w:rsidRPr="00DE0A01">
        <w:rPr>
          <w:rFonts w:ascii="Arial" w:hAnsi="Arial" w:cs="Arial"/>
          <w:sz w:val="20"/>
          <w:szCs w:val="20"/>
        </w:rPr>
        <w:t>ocena pričakovane pozitivne finančne ekonomike preloma, kar pomeni, da se s transakcijo predčasnega refinanciranja obveznic krajših preostalih ročnosti in z izdajo obveznic daljših ročnosti realizira obstoječe tržne obrestne mere za daljše obdobje, za katere se glede na širše makroekonomske in finančne razmere v naslednjem srednjeročnem obdobju z veliko stopnjo gotovosti pričakuje, da bodo najmanj enake ali nekoliko višje. S tem se doseže pozitivni učinek tako na strani stroška zadolževanja</w:t>
      </w:r>
      <w:r>
        <w:rPr>
          <w:rFonts w:ascii="Arial" w:hAnsi="Arial" w:cs="Arial"/>
          <w:sz w:val="20"/>
          <w:szCs w:val="20"/>
        </w:rPr>
        <w:t>,</w:t>
      </w:r>
      <w:r w:rsidRPr="00DE0A01">
        <w:rPr>
          <w:rFonts w:ascii="Arial" w:hAnsi="Arial" w:cs="Arial"/>
          <w:sz w:val="20"/>
          <w:szCs w:val="20"/>
        </w:rPr>
        <w:t xml:space="preserve"> kot stroška držanja likvidnostne rezerve upravljavca likvidnosti državnega proračuna</w:t>
      </w:r>
      <w:r w:rsidR="004E033C" w:rsidRPr="004F403F">
        <w:rPr>
          <w:rFonts w:ascii="Arial" w:hAnsi="Arial" w:cs="Arial"/>
          <w:sz w:val="20"/>
          <w:szCs w:val="20"/>
        </w:rPr>
        <w:t>;</w:t>
      </w:r>
    </w:p>
    <w:p w14:paraId="714E7F52" w14:textId="2DB7FC1C" w:rsidR="0037163B" w:rsidRPr="004F403F" w:rsidRDefault="00DE0A01" w:rsidP="00DE0A01">
      <w:pPr>
        <w:pStyle w:val="Odstavekseznama"/>
        <w:numPr>
          <w:ilvl w:val="0"/>
          <w:numId w:val="37"/>
        </w:numPr>
        <w:suppressAutoHyphens w:val="0"/>
        <w:spacing w:line="260" w:lineRule="exact"/>
        <w:jc w:val="both"/>
        <w:rPr>
          <w:rFonts w:ascii="Arial" w:hAnsi="Arial" w:cs="Arial"/>
          <w:sz w:val="20"/>
          <w:szCs w:val="20"/>
        </w:rPr>
      </w:pPr>
      <w:r w:rsidRPr="00DE0A01">
        <w:rPr>
          <w:rFonts w:ascii="Arial" w:hAnsi="Arial" w:cs="Arial"/>
          <w:sz w:val="20"/>
          <w:szCs w:val="20"/>
        </w:rPr>
        <w:t>pozitiven vpliv na proračun z vidika spremembe stanja dolga z vidika pozitivne neto sedanje vrednosti transakcije upravljanja z dolgom;</w:t>
      </w:r>
    </w:p>
    <w:p w14:paraId="6B775A08" w14:textId="77777777" w:rsidR="00BD189C" w:rsidRPr="004F403F" w:rsidRDefault="004E033C" w:rsidP="004F403F">
      <w:pPr>
        <w:pStyle w:val="Odstavekseznama"/>
        <w:numPr>
          <w:ilvl w:val="0"/>
          <w:numId w:val="37"/>
        </w:numPr>
        <w:suppressAutoHyphens w:val="0"/>
        <w:spacing w:line="260" w:lineRule="exact"/>
        <w:jc w:val="both"/>
        <w:rPr>
          <w:rFonts w:ascii="Arial" w:hAnsi="Arial" w:cs="Arial"/>
          <w:sz w:val="20"/>
          <w:szCs w:val="20"/>
        </w:rPr>
      </w:pPr>
      <w:r w:rsidRPr="004F403F">
        <w:rPr>
          <w:rFonts w:ascii="Arial" w:hAnsi="Arial" w:cs="Arial"/>
          <w:sz w:val="20"/>
          <w:szCs w:val="20"/>
        </w:rPr>
        <w:t>i</w:t>
      </w:r>
      <w:r w:rsidR="00BD189C" w:rsidRPr="004F403F">
        <w:rPr>
          <w:rFonts w:ascii="Arial" w:hAnsi="Arial" w:cs="Arial"/>
          <w:sz w:val="20"/>
          <w:szCs w:val="20"/>
        </w:rPr>
        <w:t xml:space="preserve">zbira obveznic za predčasni odkup </w:t>
      </w:r>
      <w:r w:rsidR="003C54D3" w:rsidRPr="004F403F">
        <w:rPr>
          <w:rFonts w:ascii="Arial" w:hAnsi="Arial" w:cs="Arial"/>
          <w:sz w:val="20"/>
          <w:szCs w:val="20"/>
        </w:rPr>
        <w:t>in/ali</w:t>
      </w:r>
      <w:r w:rsidR="00BD189C" w:rsidRPr="004F403F">
        <w:rPr>
          <w:rFonts w:ascii="Arial" w:hAnsi="Arial" w:cs="Arial"/>
          <w:sz w:val="20"/>
          <w:szCs w:val="20"/>
        </w:rPr>
        <w:t xml:space="preserve"> zamenjavo, s katero Republika Slovenija lahko doseže kar največjo participacijo imetnikov in s tem nižjo premijo za predčasni odkup</w:t>
      </w:r>
      <w:r w:rsidR="001B6517" w:rsidRPr="004F403F">
        <w:rPr>
          <w:rFonts w:ascii="Arial" w:hAnsi="Arial" w:cs="Arial"/>
          <w:sz w:val="20"/>
          <w:szCs w:val="20"/>
        </w:rPr>
        <w:t xml:space="preserve"> in/ali nižji diskont pri zamenjavi</w:t>
      </w:r>
      <w:r w:rsidR="00A644AE" w:rsidRPr="004F403F">
        <w:rPr>
          <w:rFonts w:ascii="Arial" w:hAnsi="Arial" w:cs="Arial"/>
          <w:sz w:val="20"/>
          <w:szCs w:val="20"/>
        </w:rPr>
        <w:t>.</w:t>
      </w:r>
    </w:p>
    <w:p w14:paraId="5CC5DED0" w14:textId="77777777" w:rsidR="00C3541D" w:rsidRPr="008C6E9D" w:rsidRDefault="00C3541D" w:rsidP="008C6E9D">
      <w:pPr>
        <w:spacing w:line="260" w:lineRule="exact"/>
        <w:jc w:val="both"/>
        <w:rPr>
          <w:rFonts w:ascii="Arial" w:hAnsi="Arial" w:cs="Arial"/>
          <w:sz w:val="20"/>
          <w:szCs w:val="20"/>
        </w:rPr>
      </w:pPr>
    </w:p>
    <w:p w14:paraId="2E01BFC9" w14:textId="77777777" w:rsidR="00C3541D" w:rsidRPr="008C6E9D" w:rsidRDefault="00950881" w:rsidP="008C6E9D">
      <w:pPr>
        <w:spacing w:line="260" w:lineRule="exact"/>
        <w:jc w:val="both"/>
        <w:rPr>
          <w:rFonts w:ascii="Arial" w:hAnsi="Arial" w:cs="Arial"/>
          <w:sz w:val="20"/>
          <w:szCs w:val="20"/>
        </w:rPr>
      </w:pPr>
      <w:r w:rsidRPr="008C6E9D">
        <w:rPr>
          <w:rFonts w:ascii="Arial" w:hAnsi="Arial" w:cs="Arial"/>
          <w:sz w:val="20"/>
          <w:szCs w:val="20"/>
        </w:rPr>
        <w:t>Na podlagi zgoraj navedenih kriterijev</w:t>
      </w:r>
      <w:r w:rsidR="00C3541D" w:rsidRPr="008C6E9D">
        <w:rPr>
          <w:rFonts w:ascii="Arial" w:hAnsi="Arial" w:cs="Arial"/>
          <w:sz w:val="20"/>
          <w:szCs w:val="20"/>
        </w:rPr>
        <w:t xml:space="preserve"> </w:t>
      </w:r>
      <w:r w:rsidR="00A644AE" w:rsidRPr="008C6E9D">
        <w:rPr>
          <w:rFonts w:ascii="Arial" w:hAnsi="Arial" w:cs="Arial"/>
          <w:sz w:val="20"/>
          <w:szCs w:val="20"/>
        </w:rPr>
        <w:t xml:space="preserve">se </w:t>
      </w:r>
      <w:r w:rsidR="00C3541D" w:rsidRPr="008C6E9D">
        <w:rPr>
          <w:rFonts w:ascii="Arial" w:hAnsi="Arial" w:cs="Arial"/>
          <w:sz w:val="20"/>
          <w:szCs w:val="20"/>
        </w:rPr>
        <w:t xml:space="preserve">s transakcijami odkupov </w:t>
      </w:r>
      <w:r w:rsidR="003C54D3" w:rsidRPr="008C6E9D">
        <w:rPr>
          <w:rFonts w:ascii="Arial" w:hAnsi="Arial" w:cs="Arial"/>
          <w:sz w:val="20"/>
          <w:szCs w:val="20"/>
        </w:rPr>
        <w:t xml:space="preserve">in/ali </w:t>
      </w:r>
      <w:r w:rsidR="00C3541D" w:rsidRPr="008C6E9D">
        <w:rPr>
          <w:rFonts w:ascii="Arial" w:hAnsi="Arial" w:cs="Arial"/>
          <w:sz w:val="20"/>
          <w:szCs w:val="20"/>
        </w:rPr>
        <w:t xml:space="preserve">zamenjav </w:t>
      </w:r>
      <w:r w:rsidR="0049219A" w:rsidRPr="008C6E9D">
        <w:rPr>
          <w:rFonts w:ascii="Arial" w:hAnsi="Arial" w:cs="Arial"/>
          <w:sz w:val="20"/>
          <w:szCs w:val="20"/>
        </w:rPr>
        <w:t xml:space="preserve">zasleduje </w:t>
      </w:r>
      <w:r w:rsidR="00A644AE" w:rsidRPr="008C6E9D">
        <w:rPr>
          <w:rFonts w:ascii="Arial" w:hAnsi="Arial" w:cs="Arial"/>
          <w:sz w:val="20"/>
          <w:szCs w:val="20"/>
        </w:rPr>
        <w:t>dosega</w:t>
      </w:r>
      <w:r w:rsidR="0049219A" w:rsidRPr="008C6E9D">
        <w:rPr>
          <w:rFonts w:ascii="Arial" w:hAnsi="Arial" w:cs="Arial"/>
          <w:sz w:val="20"/>
          <w:szCs w:val="20"/>
        </w:rPr>
        <w:t>nje</w:t>
      </w:r>
      <w:r w:rsidR="00C3541D" w:rsidRPr="008C6E9D">
        <w:rPr>
          <w:rFonts w:ascii="Arial" w:hAnsi="Arial" w:cs="Arial"/>
          <w:sz w:val="20"/>
          <w:szCs w:val="20"/>
        </w:rPr>
        <w:t xml:space="preserve"> tudi naslednji</w:t>
      </w:r>
      <w:r w:rsidR="0049219A" w:rsidRPr="008C6E9D">
        <w:rPr>
          <w:rFonts w:ascii="Arial" w:hAnsi="Arial" w:cs="Arial"/>
          <w:sz w:val="20"/>
          <w:szCs w:val="20"/>
        </w:rPr>
        <w:t>h</w:t>
      </w:r>
      <w:r w:rsidR="00C3541D" w:rsidRPr="008C6E9D">
        <w:rPr>
          <w:rFonts w:ascii="Arial" w:hAnsi="Arial" w:cs="Arial"/>
          <w:sz w:val="20"/>
          <w:szCs w:val="20"/>
        </w:rPr>
        <w:t xml:space="preserve"> pozitivni</w:t>
      </w:r>
      <w:r w:rsidR="0049219A" w:rsidRPr="008C6E9D">
        <w:rPr>
          <w:rFonts w:ascii="Arial" w:hAnsi="Arial" w:cs="Arial"/>
          <w:sz w:val="20"/>
          <w:szCs w:val="20"/>
        </w:rPr>
        <w:t>h</w:t>
      </w:r>
      <w:r w:rsidR="00C3541D" w:rsidRPr="008C6E9D">
        <w:rPr>
          <w:rFonts w:ascii="Arial" w:hAnsi="Arial" w:cs="Arial"/>
          <w:sz w:val="20"/>
          <w:szCs w:val="20"/>
        </w:rPr>
        <w:t xml:space="preserve"> učink</w:t>
      </w:r>
      <w:r w:rsidR="0049219A" w:rsidRPr="008C6E9D">
        <w:rPr>
          <w:rFonts w:ascii="Arial" w:hAnsi="Arial" w:cs="Arial"/>
          <w:sz w:val="20"/>
          <w:szCs w:val="20"/>
        </w:rPr>
        <w:t>ov</w:t>
      </w:r>
      <w:r w:rsidR="00C3541D" w:rsidRPr="008C6E9D">
        <w:rPr>
          <w:rFonts w:ascii="Arial" w:hAnsi="Arial" w:cs="Arial"/>
          <w:sz w:val="20"/>
          <w:szCs w:val="20"/>
        </w:rPr>
        <w:t>:</w:t>
      </w:r>
    </w:p>
    <w:p w14:paraId="14273CEB" w14:textId="77777777" w:rsidR="00C3541D" w:rsidRPr="004F403F" w:rsidRDefault="004E033C" w:rsidP="004F403F">
      <w:pPr>
        <w:pStyle w:val="Odstavekseznama"/>
        <w:numPr>
          <w:ilvl w:val="0"/>
          <w:numId w:val="38"/>
        </w:numPr>
        <w:suppressAutoHyphens w:val="0"/>
        <w:spacing w:line="260" w:lineRule="exact"/>
        <w:jc w:val="both"/>
        <w:rPr>
          <w:rFonts w:ascii="Arial" w:hAnsi="Arial" w:cs="Arial"/>
          <w:sz w:val="20"/>
          <w:szCs w:val="20"/>
        </w:rPr>
      </w:pPr>
      <w:r w:rsidRPr="004F403F">
        <w:rPr>
          <w:rFonts w:ascii="Arial" w:hAnsi="Arial" w:cs="Arial"/>
          <w:sz w:val="20"/>
          <w:szCs w:val="20"/>
        </w:rPr>
        <w:t>p</w:t>
      </w:r>
      <w:r w:rsidR="00C3541D" w:rsidRPr="004F403F">
        <w:rPr>
          <w:rFonts w:ascii="Arial" w:hAnsi="Arial" w:cs="Arial"/>
          <w:sz w:val="20"/>
          <w:szCs w:val="20"/>
        </w:rPr>
        <w:t>ovečanje likvidnosti državnih vrednostnih papirjev na sekundarnem trgu</w:t>
      </w:r>
      <w:r w:rsidRPr="004F403F">
        <w:rPr>
          <w:rFonts w:ascii="Arial" w:hAnsi="Arial" w:cs="Arial"/>
          <w:sz w:val="20"/>
          <w:szCs w:val="20"/>
        </w:rPr>
        <w:t>;</w:t>
      </w:r>
      <w:r w:rsidR="00C3541D" w:rsidRPr="004F403F">
        <w:rPr>
          <w:rFonts w:ascii="Arial" w:hAnsi="Arial" w:cs="Arial"/>
          <w:sz w:val="20"/>
          <w:szCs w:val="20"/>
        </w:rPr>
        <w:t xml:space="preserve"> </w:t>
      </w:r>
    </w:p>
    <w:p w14:paraId="4058AE01" w14:textId="77777777" w:rsidR="00C3541D" w:rsidRPr="004F403F" w:rsidRDefault="004E033C" w:rsidP="004F403F">
      <w:pPr>
        <w:pStyle w:val="Odstavekseznama"/>
        <w:numPr>
          <w:ilvl w:val="0"/>
          <w:numId w:val="38"/>
        </w:numPr>
        <w:suppressAutoHyphens w:val="0"/>
        <w:spacing w:line="260" w:lineRule="exact"/>
        <w:jc w:val="both"/>
        <w:rPr>
          <w:rFonts w:ascii="Arial" w:hAnsi="Arial" w:cs="Arial"/>
          <w:sz w:val="20"/>
          <w:szCs w:val="20"/>
        </w:rPr>
      </w:pPr>
      <w:r w:rsidRPr="004F403F">
        <w:rPr>
          <w:rFonts w:ascii="Arial" w:hAnsi="Arial" w:cs="Arial"/>
          <w:sz w:val="20"/>
          <w:szCs w:val="20"/>
        </w:rPr>
        <w:t>k</w:t>
      </w:r>
      <w:r w:rsidR="00C3541D" w:rsidRPr="004F403F">
        <w:rPr>
          <w:rFonts w:ascii="Arial" w:hAnsi="Arial" w:cs="Arial"/>
          <w:sz w:val="20"/>
          <w:szCs w:val="20"/>
        </w:rPr>
        <w:t>onsolidacija portfelja dolga državnega proračuna</w:t>
      </w:r>
      <w:r w:rsidRPr="004F403F">
        <w:rPr>
          <w:rFonts w:ascii="Arial" w:hAnsi="Arial" w:cs="Arial"/>
          <w:sz w:val="20"/>
          <w:szCs w:val="20"/>
        </w:rPr>
        <w:t>;</w:t>
      </w:r>
    </w:p>
    <w:p w14:paraId="251843C4" w14:textId="77777777" w:rsidR="00C3541D" w:rsidRPr="004F403F" w:rsidRDefault="004E033C" w:rsidP="004F403F">
      <w:pPr>
        <w:pStyle w:val="Odstavekseznama"/>
        <w:numPr>
          <w:ilvl w:val="0"/>
          <w:numId w:val="38"/>
        </w:numPr>
        <w:suppressAutoHyphens w:val="0"/>
        <w:spacing w:line="260" w:lineRule="exact"/>
        <w:jc w:val="both"/>
        <w:rPr>
          <w:rFonts w:ascii="Arial" w:hAnsi="Arial" w:cs="Arial"/>
          <w:sz w:val="20"/>
          <w:szCs w:val="20"/>
        </w:rPr>
      </w:pPr>
      <w:r w:rsidRPr="004F403F">
        <w:rPr>
          <w:rFonts w:ascii="Arial" w:hAnsi="Arial" w:cs="Arial"/>
          <w:sz w:val="20"/>
          <w:szCs w:val="20"/>
        </w:rPr>
        <w:t>o</w:t>
      </w:r>
      <w:r w:rsidR="00C3541D" w:rsidRPr="004F403F">
        <w:rPr>
          <w:rFonts w:ascii="Arial" w:hAnsi="Arial" w:cs="Arial"/>
          <w:sz w:val="20"/>
          <w:szCs w:val="20"/>
        </w:rPr>
        <w:t xml:space="preserve">blikovanje referenčne krivulje </w:t>
      </w:r>
      <w:r w:rsidR="00950881" w:rsidRPr="004F403F">
        <w:rPr>
          <w:rFonts w:ascii="Arial" w:hAnsi="Arial" w:cs="Arial"/>
          <w:sz w:val="20"/>
          <w:szCs w:val="20"/>
        </w:rPr>
        <w:t xml:space="preserve">zahtevane donosnosti </w:t>
      </w:r>
      <w:r w:rsidR="00C3541D" w:rsidRPr="004F403F">
        <w:rPr>
          <w:rFonts w:ascii="Arial" w:hAnsi="Arial" w:cs="Arial"/>
          <w:sz w:val="20"/>
          <w:szCs w:val="20"/>
        </w:rPr>
        <w:t>državnih vrednostnih papirjev</w:t>
      </w:r>
      <w:r w:rsidRPr="004F403F">
        <w:rPr>
          <w:rFonts w:ascii="Arial" w:hAnsi="Arial" w:cs="Arial"/>
          <w:sz w:val="20"/>
          <w:szCs w:val="20"/>
        </w:rPr>
        <w:t>;</w:t>
      </w:r>
      <w:r w:rsidR="00C3541D" w:rsidRPr="004F403F">
        <w:rPr>
          <w:rFonts w:ascii="Arial" w:hAnsi="Arial" w:cs="Arial"/>
          <w:sz w:val="20"/>
          <w:szCs w:val="20"/>
        </w:rPr>
        <w:t xml:space="preserve"> </w:t>
      </w:r>
    </w:p>
    <w:p w14:paraId="2EEC8328" w14:textId="77777777" w:rsidR="00C3541D" w:rsidRPr="004F403F" w:rsidRDefault="004E033C" w:rsidP="004F403F">
      <w:pPr>
        <w:pStyle w:val="Odstavekseznama"/>
        <w:numPr>
          <w:ilvl w:val="0"/>
          <w:numId w:val="38"/>
        </w:numPr>
        <w:suppressAutoHyphens w:val="0"/>
        <w:spacing w:line="260" w:lineRule="exact"/>
        <w:jc w:val="both"/>
        <w:rPr>
          <w:rFonts w:ascii="Arial" w:hAnsi="Arial" w:cs="Arial"/>
          <w:sz w:val="20"/>
          <w:szCs w:val="20"/>
        </w:rPr>
      </w:pPr>
      <w:r w:rsidRPr="004F403F">
        <w:rPr>
          <w:rFonts w:ascii="Arial" w:hAnsi="Arial" w:cs="Arial"/>
          <w:sz w:val="20"/>
          <w:szCs w:val="20"/>
        </w:rPr>
        <w:t>u</w:t>
      </w:r>
      <w:r w:rsidR="00C3541D" w:rsidRPr="004F403F">
        <w:rPr>
          <w:rFonts w:ascii="Arial" w:hAnsi="Arial" w:cs="Arial"/>
          <w:sz w:val="20"/>
          <w:szCs w:val="20"/>
        </w:rPr>
        <w:t xml:space="preserve">činkovito </w:t>
      </w:r>
      <w:r w:rsidR="00950881" w:rsidRPr="004F403F">
        <w:rPr>
          <w:rFonts w:ascii="Arial" w:hAnsi="Arial" w:cs="Arial"/>
          <w:sz w:val="20"/>
          <w:szCs w:val="20"/>
        </w:rPr>
        <w:t xml:space="preserve">umeščanje </w:t>
      </w:r>
      <w:r w:rsidR="00C3541D" w:rsidRPr="004F403F">
        <w:rPr>
          <w:rFonts w:ascii="Arial" w:hAnsi="Arial" w:cs="Arial"/>
          <w:sz w:val="20"/>
          <w:szCs w:val="20"/>
        </w:rPr>
        <w:t xml:space="preserve">dolga državnega proračuna </w:t>
      </w:r>
      <w:r w:rsidR="00950881" w:rsidRPr="004F403F">
        <w:rPr>
          <w:rFonts w:ascii="Arial" w:hAnsi="Arial" w:cs="Arial"/>
          <w:sz w:val="20"/>
          <w:szCs w:val="20"/>
        </w:rPr>
        <w:t>na</w:t>
      </w:r>
      <w:r w:rsidR="00C3541D" w:rsidRPr="004F403F">
        <w:rPr>
          <w:rFonts w:ascii="Arial" w:hAnsi="Arial" w:cs="Arial"/>
          <w:sz w:val="20"/>
          <w:szCs w:val="20"/>
        </w:rPr>
        <w:t xml:space="preserve"> skupnem evropskem </w:t>
      </w:r>
      <w:r w:rsidR="00347F4E" w:rsidRPr="004F403F">
        <w:rPr>
          <w:rFonts w:ascii="Arial" w:hAnsi="Arial" w:cs="Arial"/>
          <w:sz w:val="20"/>
          <w:szCs w:val="20"/>
        </w:rPr>
        <w:t xml:space="preserve">in globalnem </w:t>
      </w:r>
      <w:r w:rsidRPr="004F403F">
        <w:rPr>
          <w:rFonts w:ascii="Arial" w:hAnsi="Arial" w:cs="Arial"/>
          <w:sz w:val="20"/>
          <w:szCs w:val="20"/>
        </w:rPr>
        <w:t>d</w:t>
      </w:r>
      <w:r w:rsidR="00950881" w:rsidRPr="004F403F">
        <w:rPr>
          <w:rFonts w:ascii="Arial" w:hAnsi="Arial" w:cs="Arial"/>
          <w:sz w:val="20"/>
          <w:szCs w:val="20"/>
        </w:rPr>
        <w:t xml:space="preserve">olžniškem kapitalskem </w:t>
      </w:r>
      <w:r w:rsidR="00C3541D" w:rsidRPr="004F403F">
        <w:rPr>
          <w:rFonts w:ascii="Arial" w:hAnsi="Arial" w:cs="Arial"/>
          <w:sz w:val="20"/>
          <w:szCs w:val="20"/>
        </w:rPr>
        <w:t>trgu.</w:t>
      </w:r>
    </w:p>
    <w:p w14:paraId="42705DEA" w14:textId="77777777" w:rsidR="00C3541D" w:rsidRPr="008C6E9D" w:rsidRDefault="00C3541D" w:rsidP="004F403F">
      <w:pPr>
        <w:spacing w:line="260" w:lineRule="exact"/>
        <w:jc w:val="both"/>
        <w:rPr>
          <w:rFonts w:ascii="Arial" w:hAnsi="Arial" w:cs="Arial"/>
          <w:sz w:val="20"/>
          <w:szCs w:val="20"/>
        </w:rPr>
      </w:pPr>
    </w:p>
    <w:p w14:paraId="6BCF9F50" w14:textId="77777777" w:rsidR="0049219A"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Cena odkupa</w:t>
      </w:r>
      <w:r w:rsidR="0049219A" w:rsidRPr="008C6E9D">
        <w:rPr>
          <w:rFonts w:ascii="Arial" w:hAnsi="Arial" w:cs="Arial"/>
          <w:sz w:val="20"/>
          <w:szCs w:val="20"/>
        </w:rPr>
        <w:t xml:space="preserve"> in/ali</w:t>
      </w:r>
      <w:r w:rsidRPr="008C6E9D">
        <w:rPr>
          <w:rFonts w:ascii="Arial" w:hAnsi="Arial" w:cs="Arial"/>
          <w:sz w:val="20"/>
          <w:szCs w:val="20"/>
        </w:rPr>
        <w:t xml:space="preserve"> zamenjave posameznega vrednostnega papirja bo določena</w:t>
      </w:r>
      <w:r w:rsidR="008A08D1" w:rsidRPr="008C6E9D">
        <w:rPr>
          <w:rFonts w:ascii="Arial" w:hAnsi="Arial" w:cs="Arial"/>
          <w:sz w:val="20"/>
          <w:szCs w:val="20"/>
        </w:rPr>
        <w:t xml:space="preserve"> tržno</w:t>
      </w:r>
      <w:r w:rsidRPr="008C6E9D">
        <w:rPr>
          <w:rFonts w:ascii="Arial" w:hAnsi="Arial" w:cs="Arial"/>
          <w:sz w:val="20"/>
          <w:szCs w:val="20"/>
        </w:rPr>
        <w:t xml:space="preserve">. </w:t>
      </w:r>
    </w:p>
    <w:p w14:paraId="171FC0F1" w14:textId="77777777" w:rsidR="00C3541D" w:rsidRPr="008C6E9D" w:rsidRDefault="00C3541D" w:rsidP="008C6E9D">
      <w:pPr>
        <w:spacing w:line="260" w:lineRule="exact"/>
        <w:jc w:val="both"/>
        <w:rPr>
          <w:rFonts w:ascii="Arial" w:hAnsi="Arial" w:cs="Arial"/>
          <w:sz w:val="20"/>
          <w:szCs w:val="20"/>
        </w:rPr>
      </w:pPr>
    </w:p>
    <w:p w14:paraId="3839A136" w14:textId="1C4D5212" w:rsidR="006603F8"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Republika Slovenija bo, v kolikor bodo to omogočale tržne razmere in bodo izpolnjeni</w:t>
      </w:r>
      <w:r w:rsidR="00347F4E" w:rsidRPr="008C6E9D">
        <w:rPr>
          <w:rFonts w:ascii="Arial" w:hAnsi="Arial" w:cs="Arial"/>
          <w:sz w:val="20"/>
          <w:szCs w:val="20"/>
        </w:rPr>
        <w:t xml:space="preserve"> kriteriji</w:t>
      </w:r>
      <w:r w:rsidR="00703931" w:rsidRPr="008C6E9D">
        <w:rPr>
          <w:rFonts w:ascii="Arial" w:hAnsi="Arial" w:cs="Arial"/>
          <w:sz w:val="20"/>
          <w:szCs w:val="20"/>
        </w:rPr>
        <w:t xml:space="preserve"> </w:t>
      </w:r>
      <w:r w:rsidRPr="008C6E9D">
        <w:rPr>
          <w:rFonts w:ascii="Arial" w:hAnsi="Arial" w:cs="Arial"/>
          <w:sz w:val="20"/>
          <w:szCs w:val="20"/>
        </w:rPr>
        <w:t>iz točke</w:t>
      </w:r>
      <w:r w:rsidR="004046AE" w:rsidRPr="008C6E9D">
        <w:rPr>
          <w:rFonts w:ascii="Arial" w:hAnsi="Arial" w:cs="Arial"/>
          <w:sz w:val="20"/>
          <w:szCs w:val="20"/>
        </w:rPr>
        <w:t xml:space="preserve"> 3.1.1</w:t>
      </w:r>
      <w:r w:rsidR="000F4FFD">
        <w:rPr>
          <w:rFonts w:ascii="Arial" w:hAnsi="Arial" w:cs="Arial"/>
          <w:sz w:val="20"/>
          <w:szCs w:val="20"/>
        </w:rPr>
        <w:t xml:space="preserve"> programa financiranja</w:t>
      </w:r>
      <w:r w:rsidRPr="008C6E9D">
        <w:rPr>
          <w:rFonts w:ascii="Arial" w:hAnsi="Arial" w:cs="Arial"/>
          <w:sz w:val="20"/>
          <w:szCs w:val="20"/>
        </w:rPr>
        <w:t xml:space="preserve">, v letu </w:t>
      </w:r>
      <w:r w:rsidR="008A55E8" w:rsidRPr="008C6E9D">
        <w:rPr>
          <w:rFonts w:ascii="Arial" w:hAnsi="Arial" w:cs="Arial"/>
          <w:sz w:val="20"/>
          <w:szCs w:val="20"/>
        </w:rPr>
        <w:t>20</w:t>
      </w:r>
      <w:r w:rsidR="008A55E8">
        <w:rPr>
          <w:rFonts w:ascii="Arial" w:hAnsi="Arial" w:cs="Arial"/>
          <w:sz w:val="20"/>
          <w:szCs w:val="20"/>
        </w:rPr>
        <w:t>2</w:t>
      </w:r>
      <w:r w:rsidR="004F5E4D">
        <w:rPr>
          <w:rFonts w:ascii="Arial" w:hAnsi="Arial" w:cs="Arial"/>
          <w:sz w:val="20"/>
          <w:szCs w:val="20"/>
        </w:rPr>
        <w:t>1</w:t>
      </w:r>
      <w:r w:rsidR="008A55E8" w:rsidRPr="008C6E9D">
        <w:rPr>
          <w:rFonts w:ascii="Arial" w:hAnsi="Arial" w:cs="Arial"/>
          <w:sz w:val="20"/>
          <w:szCs w:val="20"/>
        </w:rPr>
        <w:t xml:space="preserve"> </w:t>
      </w:r>
      <w:r w:rsidRPr="008C6E9D">
        <w:rPr>
          <w:rFonts w:ascii="Arial" w:hAnsi="Arial" w:cs="Arial"/>
          <w:sz w:val="20"/>
          <w:szCs w:val="20"/>
        </w:rPr>
        <w:t xml:space="preserve">v odkup in/ali zamenjavo lahko ponudila vsakega od obstoječih vrednostnih papirjev iz portfelja dolga </w:t>
      </w:r>
      <w:r w:rsidR="00526854">
        <w:rPr>
          <w:rFonts w:ascii="Arial" w:hAnsi="Arial" w:cs="Arial"/>
          <w:sz w:val="20"/>
          <w:szCs w:val="20"/>
        </w:rPr>
        <w:t>državnega proračuna.</w:t>
      </w:r>
    </w:p>
    <w:p w14:paraId="15EA6F49" w14:textId="77777777" w:rsidR="00C3541D" w:rsidRPr="008C6E9D" w:rsidRDefault="00C3541D" w:rsidP="008C6E9D">
      <w:pPr>
        <w:spacing w:line="260" w:lineRule="exact"/>
        <w:jc w:val="both"/>
        <w:rPr>
          <w:rFonts w:ascii="Arial" w:hAnsi="Arial" w:cs="Arial"/>
          <w:sz w:val="20"/>
          <w:szCs w:val="20"/>
        </w:rPr>
      </w:pPr>
    </w:p>
    <w:p w14:paraId="5DBBEEC0" w14:textId="77777777" w:rsidR="00C3541D" w:rsidRPr="00936BD2" w:rsidRDefault="00C3541D" w:rsidP="00936BD2">
      <w:pPr>
        <w:pStyle w:val="Naslov3"/>
      </w:pPr>
      <w:r w:rsidRPr="00936BD2">
        <w:t>Način izvedbe transakcij odkupov in zamenjav vrednostnih papirjev</w:t>
      </w:r>
    </w:p>
    <w:p w14:paraId="0DC3348A" w14:textId="77777777" w:rsidR="008A08D1" w:rsidRPr="008C6E9D" w:rsidRDefault="008A08D1" w:rsidP="008C6E9D">
      <w:pPr>
        <w:spacing w:line="260" w:lineRule="exact"/>
        <w:jc w:val="both"/>
        <w:rPr>
          <w:rFonts w:ascii="Arial" w:hAnsi="Arial" w:cs="Arial"/>
          <w:sz w:val="20"/>
          <w:szCs w:val="20"/>
        </w:rPr>
      </w:pPr>
      <w:r w:rsidRPr="008C6E9D">
        <w:rPr>
          <w:rFonts w:ascii="Arial" w:hAnsi="Arial" w:cs="Arial"/>
          <w:sz w:val="20"/>
          <w:szCs w:val="20"/>
        </w:rPr>
        <w:t>Transakcije odkupov in zamenjav se bodo lahko izvajale preko avkcij</w:t>
      </w:r>
      <w:r w:rsidR="004B17CE" w:rsidRPr="008C6E9D">
        <w:rPr>
          <w:rFonts w:ascii="Arial" w:hAnsi="Arial" w:cs="Arial"/>
          <w:sz w:val="20"/>
          <w:szCs w:val="20"/>
        </w:rPr>
        <w:t>,</w:t>
      </w:r>
      <w:r w:rsidRPr="008C6E9D">
        <w:rPr>
          <w:rFonts w:ascii="Arial" w:hAnsi="Arial" w:cs="Arial"/>
          <w:sz w:val="20"/>
          <w:szCs w:val="20"/>
        </w:rPr>
        <w:t xml:space="preserve"> </w:t>
      </w:r>
      <w:r w:rsidR="00822852" w:rsidRPr="008C6E9D">
        <w:rPr>
          <w:rFonts w:ascii="Arial" w:hAnsi="Arial" w:cs="Arial"/>
          <w:sz w:val="20"/>
          <w:szCs w:val="20"/>
        </w:rPr>
        <w:t>s smiselno uporabo vsakokrat veljavnih pravil za izvedbo avkcij državnih vrednostnih papirjev</w:t>
      </w:r>
      <w:r w:rsidR="004B17CE" w:rsidRPr="008C6E9D">
        <w:rPr>
          <w:rFonts w:ascii="Arial" w:hAnsi="Arial" w:cs="Arial"/>
          <w:sz w:val="20"/>
          <w:szCs w:val="20"/>
        </w:rPr>
        <w:t>,</w:t>
      </w:r>
      <w:r w:rsidR="00822852" w:rsidRPr="008C6E9D">
        <w:rPr>
          <w:rFonts w:ascii="Arial" w:hAnsi="Arial" w:cs="Arial"/>
          <w:sz w:val="20"/>
          <w:szCs w:val="20"/>
        </w:rPr>
        <w:t xml:space="preserve"> </w:t>
      </w:r>
      <w:r w:rsidRPr="008C6E9D">
        <w:rPr>
          <w:rFonts w:ascii="Arial" w:hAnsi="Arial" w:cs="Arial"/>
          <w:sz w:val="20"/>
          <w:szCs w:val="20"/>
        </w:rPr>
        <w:t xml:space="preserve">ali </w:t>
      </w:r>
      <w:r w:rsidR="00822852" w:rsidRPr="008C6E9D">
        <w:rPr>
          <w:rFonts w:ascii="Arial" w:hAnsi="Arial" w:cs="Arial"/>
          <w:sz w:val="20"/>
          <w:szCs w:val="20"/>
        </w:rPr>
        <w:t>na drug način, v skladu s standardno tržno prakso, uveljavljeno na finančnem trgu</w:t>
      </w:r>
      <w:r w:rsidRPr="008C6E9D">
        <w:rPr>
          <w:rFonts w:ascii="Arial" w:hAnsi="Arial" w:cs="Arial"/>
          <w:sz w:val="20"/>
          <w:szCs w:val="20"/>
        </w:rPr>
        <w:t xml:space="preserve">. </w:t>
      </w:r>
    </w:p>
    <w:p w14:paraId="14C33E1E" w14:textId="77777777" w:rsidR="008A08D1" w:rsidRPr="008C6E9D" w:rsidRDefault="008A08D1" w:rsidP="008C6E9D">
      <w:pPr>
        <w:spacing w:line="260" w:lineRule="exact"/>
        <w:jc w:val="both"/>
        <w:rPr>
          <w:rFonts w:ascii="Arial" w:hAnsi="Arial" w:cs="Arial"/>
          <w:sz w:val="20"/>
          <w:szCs w:val="20"/>
        </w:rPr>
      </w:pPr>
    </w:p>
    <w:p w14:paraId="2132D047" w14:textId="77777777" w:rsidR="004E033C" w:rsidRPr="008C6E9D" w:rsidRDefault="00822852" w:rsidP="008C6E9D">
      <w:pPr>
        <w:spacing w:line="260" w:lineRule="exact"/>
        <w:jc w:val="both"/>
        <w:rPr>
          <w:rFonts w:ascii="Arial" w:hAnsi="Arial" w:cs="Arial"/>
          <w:sz w:val="20"/>
          <w:szCs w:val="20"/>
        </w:rPr>
      </w:pPr>
      <w:r w:rsidRPr="008C6E9D">
        <w:rPr>
          <w:rFonts w:ascii="Arial" w:hAnsi="Arial" w:cs="Arial"/>
          <w:sz w:val="20"/>
          <w:szCs w:val="20"/>
        </w:rPr>
        <w:t>Transakcije</w:t>
      </w:r>
      <w:r w:rsidR="00C3541D" w:rsidRPr="008C6E9D">
        <w:rPr>
          <w:rFonts w:ascii="Arial" w:hAnsi="Arial" w:cs="Arial"/>
          <w:sz w:val="20"/>
          <w:szCs w:val="20"/>
        </w:rPr>
        <w:t xml:space="preserve"> odkupov in zamenjav vrednostnih papirjev bodo </w:t>
      </w:r>
      <w:r w:rsidRPr="008C6E9D">
        <w:rPr>
          <w:rFonts w:ascii="Arial" w:hAnsi="Arial" w:cs="Arial"/>
          <w:sz w:val="20"/>
          <w:szCs w:val="20"/>
        </w:rPr>
        <w:t>izvršene</w:t>
      </w:r>
      <w:r w:rsidR="00C3541D" w:rsidRPr="008C6E9D">
        <w:rPr>
          <w:rFonts w:ascii="Arial" w:hAnsi="Arial" w:cs="Arial"/>
          <w:sz w:val="20"/>
          <w:szCs w:val="20"/>
        </w:rPr>
        <w:t xml:space="preserve">, v kolikor bodo to omogočale tržne razmere, </w:t>
      </w:r>
      <w:r w:rsidR="0089131E">
        <w:rPr>
          <w:rFonts w:ascii="Arial" w:hAnsi="Arial" w:cs="Arial"/>
          <w:sz w:val="20"/>
          <w:szCs w:val="20"/>
        </w:rPr>
        <w:t>če</w:t>
      </w:r>
      <w:r w:rsidR="00C3541D" w:rsidRPr="008C6E9D">
        <w:rPr>
          <w:rFonts w:ascii="Arial" w:hAnsi="Arial" w:cs="Arial"/>
          <w:sz w:val="20"/>
          <w:szCs w:val="20"/>
        </w:rPr>
        <w:t xml:space="preserve"> bo na trgu izražen interes za prodajo ali zamenjavo vrednostnih papirjev in glede na likvidnost državnega proračuna. Ministrstvo za finance bo med letom preverjalo tržni interes za prodajo oziroma zamenjavo vrednostnih papirjev pri </w:t>
      </w:r>
      <w:r w:rsidR="00347F4E" w:rsidRPr="008C6E9D">
        <w:rPr>
          <w:rFonts w:ascii="Arial" w:hAnsi="Arial" w:cs="Arial"/>
          <w:sz w:val="20"/>
          <w:szCs w:val="20"/>
        </w:rPr>
        <w:t xml:space="preserve">investitorjih in </w:t>
      </w:r>
      <w:r w:rsidR="00C3541D" w:rsidRPr="008C6E9D">
        <w:rPr>
          <w:rFonts w:ascii="Arial" w:hAnsi="Arial" w:cs="Arial"/>
          <w:sz w:val="20"/>
          <w:szCs w:val="20"/>
        </w:rPr>
        <w:t xml:space="preserve">primarnih vpisnikih za državne vrednostne papirje. V kolikor bo na trgu izražen interes za prodajo ali zamenjavo vrednostnih papirjev in bo </w:t>
      </w:r>
      <w:r w:rsidRPr="008C6E9D">
        <w:rPr>
          <w:rFonts w:ascii="Arial" w:hAnsi="Arial" w:cs="Arial"/>
          <w:sz w:val="20"/>
          <w:szCs w:val="20"/>
        </w:rPr>
        <w:t xml:space="preserve">transakcije </w:t>
      </w:r>
      <w:r w:rsidR="00C3541D" w:rsidRPr="008C6E9D">
        <w:rPr>
          <w:rFonts w:ascii="Arial" w:hAnsi="Arial" w:cs="Arial"/>
          <w:sz w:val="20"/>
          <w:szCs w:val="20"/>
        </w:rPr>
        <w:t xml:space="preserve">odkupov ali zamenjav </w:t>
      </w:r>
      <w:r w:rsidRPr="008C6E9D">
        <w:rPr>
          <w:rFonts w:ascii="Arial" w:hAnsi="Arial" w:cs="Arial"/>
          <w:sz w:val="20"/>
          <w:szCs w:val="20"/>
        </w:rPr>
        <w:t>možno izvesti</w:t>
      </w:r>
      <w:r w:rsidR="00C3541D" w:rsidRPr="008C6E9D">
        <w:rPr>
          <w:rFonts w:ascii="Arial" w:hAnsi="Arial" w:cs="Arial"/>
          <w:sz w:val="20"/>
          <w:szCs w:val="20"/>
        </w:rPr>
        <w:t>, bo M</w:t>
      </w:r>
      <w:r w:rsidR="004E033C">
        <w:rPr>
          <w:rFonts w:ascii="Arial" w:hAnsi="Arial" w:cs="Arial"/>
          <w:sz w:val="20"/>
          <w:szCs w:val="20"/>
        </w:rPr>
        <w:t xml:space="preserve">inistrstvo za finance </w:t>
      </w:r>
      <w:r w:rsidR="00C3541D" w:rsidRPr="008C6E9D">
        <w:rPr>
          <w:rFonts w:ascii="Arial" w:hAnsi="Arial" w:cs="Arial"/>
          <w:sz w:val="20"/>
          <w:szCs w:val="20"/>
        </w:rPr>
        <w:t>določilo vrednostn</w:t>
      </w:r>
      <w:r w:rsidRPr="008C6E9D">
        <w:rPr>
          <w:rFonts w:ascii="Arial" w:hAnsi="Arial" w:cs="Arial"/>
          <w:sz w:val="20"/>
          <w:szCs w:val="20"/>
        </w:rPr>
        <w:t>e</w:t>
      </w:r>
      <w:r w:rsidR="00C3541D" w:rsidRPr="008C6E9D">
        <w:rPr>
          <w:rFonts w:ascii="Arial" w:hAnsi="Arial" w:cs="Arial"/>
          <w:sz w:val="20"/>
          <w:szCs w:val="20"/>
        </w:rPr>
        <w:t xml:space="preserve"> papirje za odkup oziroma zamenjavo, okvirno skupno višino odkupa oziroma zamenjave, čas obvestila javnosti o ponudbi za odkup oziroma zamenjavo ter v primeru zamenjave vrednostnih papirjev določilo ponudbo novih vrednostnih papirjev, za katere bodo določeni vrednostni papirji zamenjani in menjalno razmerje.</w:t>
      </w:r>
      <w:r w:rsidR="009641B5">
        <w:rPr>
          <w:rFonts w:ascii="Arial" w:hAnsi="Arial" w:cs="Arial"/>
          <w:sz w:val="20"/>
          <w:szCs w:val="20"/>
        </w:rPr>
        <w:t xml:space="preserve"> </w:t>
      </w:r>
      <w:r w:rsidR="009641B5" w:rsidRPr="008C6E9D">
        <w:rPr>
          <w:rFonts w:ascii="Arial" w:hAnsi="Arial" w:cs="Arial"/>
          <w:sz w:val="20"/>
          <w:szCs w:val="20"/>
        </w:rPr>
        <w:t>M</w:t>
      </w:r>
      <w:r w:rsidR="009641B5">
        <w:rPr>
          <w:rFonts w:ascii="Arial" w:hAnsi="Arial" w:cs="Arial"/>
          <w:sz w:val="20"/>
          <w:szCs w:val="20"/>
        </w:rPr>
        <w:t xml:space="preserve">inistrstvo za finance lahko izvaja tudi posamične odkupe </w:t>
      </w:r>
      <w:r w:rsidR="009641B5" w:rsidRPr="008C6E9D">
        <w:rPr>
          <w:rFonts w:ascii="Arial" w:hAnsi="Arial" w:cs="Arial"/>
          <w:sz w:val="20"/>
          <w:szCs w:val="20"/>
        </w:rPr>
        <w:t>oziroma zamenjav</w:t>
      </w:r>
      <w:r w:rsidR="009641B5">
        <w:rPr>
          <w:rFonts w:ascii="Arial" w:hAnsi="Arial" w:cs="Arial"/>
          <w:sz w:val="20"/>
          <w:szCs w:val="20"/>
        </w:rPr>
        <w:t xml:space="preserve">e vrednostnih papirjev na bilateralni osnovi v primeru </w:t>
      </w:r>
      <w:r w:rsidR="009641B5" w:rsidRPr="009641B5">
        <w:rPr>
          <w:rFonts w:ascii="Arial" w:hAnsi="Arial" w:cs="Arial"/>
          <w:sz w:val="20"/>
          <w:szCs w:val="20"/>
        </w:rPr>
        <w:t>izražen</w:t>
      </w:r>
      <w:r w:rsidR="009641B5">
        <w:rPr>
          <w:rFonts w:ascii="Arial" w:hAnsi="Arial" w:cs="Arial"/>
          <w:sz w:val="20"/>
          <w:szCs w:val="20"/>
        </w:rPr>
        <w:t>ega</w:t>
      </w:r>
      <w:r w:rsidR="009641B5" w:rsidRPr="009641B5">
        <w:rPr>
          <w:rFonts w:ascii="Arial" w:hAnsi="Arial" w:cs="Arial"/>
          <w:sz w:val="20"/>
          <w:szCs w:val="20"/>
        </w:rPr>
        <w:t xml:space="preserve"> interes</w:t>
      </w:r>
      <w:r w:rsidR="0007611B">
        <w:rPr>
          <w:rFonts w:ascii="Arial" w:hAnsi="Arial" w:cs="Arial"/>
          <w:sz w:val="20"/>
          <w:szCs w:val="20"/>
        </w:rPr>
        <w:t>a</w:t>
      </w:r>
      <w:r w:rsidR="009641B5" w:rsidRPr="009641B5">
        <w:rPr>
          <w:rFonts w:ascii="Arial" w:hAnsi="Arial" w:cs="Arial"/>
          <w:sz w:val="20"/>
          <w:szCs w:val="20"/>
        </w:rPr>
        <w:t xml:space="preserve"> za prodajo ali zamenjavo vrednostnih papirjev</w:t>
      </w:r>
      <w:r w:rsidR="009641B5">
        <w:rPr>
          <w:rFonts w:ascii="Arial" w:hAnsi="Arial" w:cs="Arial"/>
          <w:sz w:val="20"/>
          <w:szCs w:val="20"/>
        </w:rPr>
        <w:t xml:space="preserve"> s strani imetnika ali Ministrstva za finance.</w:t>
      </w:r>
    </w:p>
    <w:p w14:paraId="356D034B" w14:textId="77777777" w:rsidR="00C3541D" w:rsidRPr="00F21CA3" w:rsidRDefault="00703F72" w:rsidP="00F96714">
      <w:pPr>
        <w:pStyle w:val="Naslov2"/>
      </w:pPr>
      <w:bookmarkStart w:id="6" w:name="_Ref373930495"/>
      <w:r w:rsidRPr="00F21CA3">
        <w:lastRenderedPageBreak/>
        <w:t>IZVEDENI FINANČNI INSTRUMENTI ZA URAVNAVANJE</w:t>
      </w:r>
      <w:r w:rsidR="00F50CC3" w:rsidRPr="00F21CA3">
        <w:t xml:space="preserve"> </w:t>
      </w:r>
      <w:r w:rsidRPr="00F21CA3">
        <w:t xml:space="preserve">TEČAJNIH IN OBRESTNIH TVEGANJ </w:t>
      </w:r>
      <w:bookmarkEnd w:id="6"/>
    </w:p>
    <w:p w14:paraId="3224235F" w14:textId="5D524A17" w:rsidR="00071DC6" w:rsidRDefault="00C3541D" w:rsidP="008C6E9D">
      <w:pPr>
        <w:tabs>
          <w:tab w:val="left" w:pos="708"/>
        </w:tabs>
        <w:spacing w:line="260" w:lineRule="exact"/>
        <w:jc w:val="both"/>
        <w:rPr>
          <w:rFonts w:ascii="Arial" w:hAnsi="Arial" w:cs="Arial"/>
          <w:sz w:val="20"/>
          <w:szCs w:val="20"/>
        </w:rPr>
      </w:pPr>
      <w:r w:rsidRPr="008C6E9D">
        <w:rPr>
          <w:rFonts w:ascii="Arial" w:hAnsi="Arial" w:cs="Arial"/>
          <w:sz w:val="20"/>
          <w:szCs w:val="20"/>
        </w:rPr>
        <w:t xml:space="preserve">Kot navedeno v </w:t>
      </w:r>
      <w:r w:rsidR="00D3633A">
        <w:rPr>
          <w:rFonts w:ascii="Arial" w:hAnsi="Arial" w:cs="Arial"/>
          <w:sz w:val="20"/>
          <w:szCs w:val="20"/>
        </w:rPr>
        <w:t>točk</w:t>
      </w:r>
      <w:r w:rsidR="000F4FFD">
        <w:rPr>
          <w:rFonts w:ascii="Arial" w:hAnsi="Arial" w:cs="Arial"/>
          <w:sz w:val="20"/>
          <w:szCs w:val="20"/>
        </w:rPr>
        <w:t>ah</w:t>
      </w:r>
      <w:r w:rsidR="00D3633A" w:rsidRPr="008C6E9D">
        <w:rPr>
          <w:rFonts w:ascii="Arial" w:hAnsi="Arial" w:cs="Arial"/>
          <w:sz w:val="20"/>
          <w:szCs w:val="20"/>
        </w:rPr>
        <w:t xml:space="preserve"> </w:t>
      </w:r>
      <w:r w:rsidR="00F54366">
        <w:fldChar w:fldCharType="begin"/>
      </w:r>
      <w:r w:rsidR="00F54366">
        <w:instrText xml:space="preserve"> REF _Ref373851092 \r \h  \* MERGEFORMAT </w:instrText>
      </w:r>
      <w:r w:rsidR="00F54366">
        <w:fldChar w:fldCharType="separate"/>
      </w:r>
      <w:r w:rsidR="00D73324" w:rsidRPr="00D73324">
        <w:rPr>
          <w:rFonts w:ascii="Arial" w:hAnsi="Arial" w:cs="Arial"/>
          <w:sz w:val="20"/>
          <w:szCs w:val="20"/>
        </w:rPr>
        <w:t>2.3</w:t>
      </w:r>
      <w:r w:rsidR="00F54366">
        <w:fldChar w:fldCharType="end"/>
      </w:r>
      <w:r w:rsidRPr="008C6E9D">
        <w:rPr>
          <w:rFonts w:ascii="Arial" w:hAnsi="Arial" w:cs="Arial"/>
          <w:sz w:val="20"/>
          <w:szCs w:val="20"/>
        </w:rPr>
        <w:t xml:space="preserve"> in </w:t>
      </w:r>
      <w:r w:rsidR="00F54366">
        <w:fldChar w:fldCharType="begin"/>
      </w:r>
      <w:r w:rsidR="00F54366">
        <w:instrText xml:space="preserve"> REF _Ref373930944 \r \h  \* MERGEFORMAT </w:instrText>
      </w:r>
      <w:r w:rsidR="00F54366">
        <w:fldChar w:fldCharType="separate"/>
      </w:r>
      <w:r w:rsidR="00D73324" w:rsidRPr="00D73324">
        <w:rPr>
          <w:rFonts w:ascii="Arial" w:hAnsi="Arial" w:cs="Arial"/>
          <w:sz w:val="20"/>
          <w:szCs w:val="20"/>
        </w:rPr>
        <w:t>2.3.2</w:t>
      </w:r>
      <w:r w:rsidR="00F54366">
        <w:fldChar w:fldCharType="end"/>
      </w:r>
      <w:r w:rsidR="000F4FFD">
        <w:t xml:space="preserve"> </w:t>
      </w:r>
      <w:r w:rsidR="000F4FFD">
        <w:rPr>
          <w:rFonts w:ascii="Arial" w:hAnsi="Arial" w:cs="Arial"/>
          <w:sz w:val="20"/>
          <w:szCs w:val="20"/>
        </w:rPr>
        <w:t>programa financiranja</w:t>
      </w:r>
      <w:r w:rsidRPr="008C6E9D">
        <w:rPr>
          <w:rFonts w:ascii="Arial" w:hAnsi="Arial" w:cs="Arial"/>
          <w:sz w:val="20"/>
          <w:szCs w:val="20"/>
        </w:rPr>
        <w:t xml:space="preserve"> je primarni instrument financiranja državnega proračuna dolgoročno zadolževanje z javno izdajo referenčnih državnih obveznic, na evropskem ali drugih trgih, na </w:t>
      </w:r>
      <w:proofErr w:type="spellStart"/>
      <w:r w:rsidRPr="008C6E9D">
        <w:rPr>
          <w:rFonts w:ascii="Arial" w:hAnsi="Arial" w:cs="Arial"/>
          <w:sz w:val="20"/>
          <w:szCs w:val="20"/>
        </w:rPr>
        <w:t>sindiciran</w:t>
      </w:r>
      <w:proofErr w:type="spellEnd"/>
      <w:r w:rsidRPr="008C6E9D">
        <w:rPr>
          <w:rFonts w:ascii="Arial" w:hAnsi="Arial" w:cs="Arial"/>
          <w:sz w:val="20"/>
          <w:szCs w:val="20"/>
        </w:rPr>
        <w:t xml:space="preserve"> način. Referenčne državne obveznice se skladno strateškim ciljem zadolževanja praviloma izdajajo s fiksno obrestno mero. Dejanski izbor instrumentov (vrsta, struktura, ročnost, valuta), višina zadolžitve s posameznim instrumentom in čas zadolževanja </w:t>
      </w:r>
      <w:r w:rsidR="00703F72">
        <w:rPr>
          <w:rFonts w:ascii="Arial" w:hAnsi="Arial" w:cs="Arial"/>
          <w:sz w:val="20"/>
          <w:szCs w:val="20"/>
        </w:rPr>
        <w:t>so</w:t>
      </w:r>
      <w:r w:rsidRPr="008C6E9D">
        <w:rPr>
          <w:rFonts w:ascii="Arial" w:hAnsi="Arial" w:cs="Arial"/>
          <w:sz w:val="20"/>
          <w:szCs w:val="20"/>
        </w:rPr>
        <w:t xml:space="preserve"> odvisni od aktualnih tržnih razmer in povpraševanja s strani investitorjev. V primeru zadolževanja z izdajami 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w:t>
      </w:r>
      <w:r w:rsidR="00703F72">
        <w:rPr>
          <w:rFonts w:ascii="Arial" w:hAnsi="Arial" w:cs="Arial"/>
          <w:sz w:val="20"/>
          <w:szCs w:val="20"/>
        </w:rPr>
        <w:t xml:space="preserve"> </w:t>
      </w:r>
    </w:p>
    <w:p w14:paraId="2F6DC629" w14:textId="77777777" w:rsidR="00071DC6" w:rsidRDefault="00071DC6" w:rsidP="008C6E9D">
      <w:pPr>
        <w:tabs>
          <w:tab w:val="left" w:pos="708"/>
        </w:tabs>
        <w:spacing w:line="260" w:lineRule="exact"/>
        <w:jc w:val="both"/>
        <w:rPr>
          <w:rFonts w:ascii="Arial" w:hAnsi="Arial" w:cs="Arial"/>
          <w:sz w:val="20"/>
          <w:szCs w:val="20"/>
        </w:rPr>
      </w:pPr>
    </w:p>
    <w:p w14:paraId="2157D3C9" w14:textId="77777777" w:rsidR="00C3541D" w:rsidRPr="008C6E9D" w:rsidRDefault="00703F72" w:rsidP="008C6E9D">
      <w:pPr>
        <w:tabs>
          <w:tab w:val="left" w:pos="708"/>
        </w:tabs>
        <w:spacing w:line="260" w:lineRule="exact"/>
        <w:jc w:val="both"/>
        <w:rPr>
          <w:rFonts w:ascii="Arial" w:hAnsi="Arial" w:cs="Arial"/>
          <w:sz w:val="20"/>
          <w:szCs w:val="20"/>
        </w:rPr>
      </w:pPr>
      <w:r>
        <w:rPr>
          <w:rFonts w:ascii="Arial" w:hAnsi="Arial" w:cs="Arial"/>
          <w:sz w:val="20"/>
          <w:szCs w:val="20"/>
        </w:rPr>
        <w:t xml:space="preserve">Za </w:t>
      </w:r>
      <w:r w:rsidR="00F50CC3">
        <w:rPr>
          <w:rFonts w:ascii="Arial" w:hAnsi="Arial" w:cs="Arial"/>
          <w:sz w:val="20"/>
          <w:szCs w:val="20"/>
        </w:rPr>
        <w:t>zaščito pred</w:t>
      </w:r>
      <w:r>
        <w:rPr>
          <w:rFonts w:ascii="Arial" w:hAnsi="Arial" w:cs="Arial"/>
          <w:sz w:val="20"/>
          <w:szCs w:val="20"/>
        </w:rPr>
        <w:t xml:space="preserve"> </w:t>
      </w:r>
      <w:r w:rsidR="00071DC6">
        <w:rPr>
          <w:rFonts w:ascii="Arial" w:hAnsi="Arial" w:cs="Arial"/>
          <w:sz w:val="20"/>
          <w:szCs w:val="20"/>
        </w:rPr>
        <w:t xml:space="preserve">drugimi </w:t>
      </w:r>
      <w:r>
        <w:rPr>
          <w:rFonts w:ascii="Arial" w:hAnsi="Arial" w:cs="Arial"/>
          <w:sz w:val="20"/>
          <w:szCs w:val="20"/>
        </w:rPr>
        <w:t>tečajni</w:t>
      </w:r>
      <w:r w:rsidR="00F50CC3">
        <w:rPr>
          <w:rFonts w:ascii="Arial" w:hAnsi="Arial" w:cs="Arial"/>
          <w:sz w:val="20"/>
          <w:szCs w:val="20"/>
        </w:rPr>
        <w:t xml:space="preserve">mi </w:t>
      </w:r>
      <w:r>
        <w:rPr>
          <w:rFonts w:ascii="Arial" w:hAnsi="Arial" w:cs="Arial"/>
          <w:sz w:val="20"/>
          <w:szCs w:val="20"/>
        </w:rPr>
        <w:t xml:space="preserve">in </w:t>
      </w:r>
      <w:r w:rsidR="00F50CC3">
        <w:rPr>
          <w:rFonts w:ascii="Arial" w:hAnsi="Arial" w:cs="Arial"/>
          <w:sz w:val="20"/>
          <w:szCs w:val="20"/>
        </w:rPr>
        <w:t>obrestnimi</w:t>
      </w:r>
      <w:r>
        <w:rPr>
          <w:rFonts w:ascii="Arial" w:hAnsi="Arial" w:cs="Arial"/>
          <w:sz w:val="20"/>
          <w:szCs w:val="20"/>
        </w:rPr>
        <w:t xml:space="preserve"> tveganj</w:t>
      </w:r>
      <w:r w:rsidR="00F50CC3">
        <w:rPr>
          <w:rFonts w:ascii="Arial" w:hAnsi="Arial" w:cs="Arial"/>
          <w:sz w:val="20"/>
          <w:szCs w:val="20"/>
        </w:rPr>
        <w:t xml:space="preserve">i se lahko </w:t>
      </w:r>
      <w:r w:rsidR="00132975">
        <w:rPr>
          <w:rFonts w:ascii="Arial" w:hAnsi="Arial" w:cs="Arial"/>
          <w:sz w:val="20"/>
          <w:szCs w:val="20"/>
        </w:rPr>
        <w:t xml:space="preserve">sklenejo tudi drugi posli z </w:t>
      </w:r>
      <w:r w:rsidR="00F50CC3">
        <w:rPr>
          <w:rFonts w:ascii="Arial" w:hAnsi="Arial" w:cs="Arial"/>
          <w:sz w:val="20"/>
          <w:szCs w:val="20"/>
        </w:rPr>
        <w:t>izveden</w:t>
      </w:r>
      <w:r w:rsidR="00132975">
        <w:rPr>
          <w:rFonts w:ascii="Arial" w:hAnsi="Arial" w:cs="Arial"/>
          <w:sz w:val="20"/>
          <w:szCs w:val="20"/>
        </w:rPr>
        <w:t>imi</w:t>
      </w:r>
      <w:r w:rsidR="00F50CC3">
        <w:rPr>
          <w:rFonts w:ascii="Arial" w:hAnsi="Arial" w:cs="Arial"/>
          <w:sz w:val="20"/>
          <w:szCs w:val="20"/>
        </w:rPr>
        <w:t xml:space="preserve"> finančn</w:t>
      </w:r>
      <w:r w:rsidR="00132975">
        <w:rPr>
          <w:rFonts w:ascii="Arial" w:hAnsi="Arial" w:cs="Arial"/>
          <w:sz w:val="20"/>
          <w:szCs w:val="20"/>
        </w:rPr>
        <w:t>imi</w:t>
      </w:r>
      <w:r w:rsidR="00F50CC3">
        <w:rPr>
          <w:rFonts w:ascii="Arial" w:hAnsi="Arial" w:cs="Arial"/>
          <w:sz w:val="20"/>
          <w:szCs w:val="20"/>
        </w:rPr>
        <w:t xml:space="preserve"> instrument</w:t>
      </w:r>
      <w:r w:rsidR="00132975">
        <w:rPr>
          <w:rFonts w:ascii="Arial" w:hAnsi="Arial" w:cs="Arial"/>
          <w:sz w:val="20"/>
          <w:szCs w:val="20"/>
        </w:rPr>
        <w:t>i</w:t>
      </w:r>
      <w:r w:rsidR="00F50CC3">
        <w:rPr>
          <w:rFonts w:ascii="Arial" w:hAnsi="Arial" w:cs="Arial"/>
          <w:sz w:val="20"/>
          <w:szCs w:val="20"/>
        </w:rPr>
        <w:t>, uveljavljen</w:t>
      </w:r>
      <w:r w:rsidR="00132975">
        <w:rPr>
          <w:rFonts w:ascii="Arial" w:hAnsi="Arial" w:cs="Arial"/>
          <w:sz w:val="20"/>
          <w:szCs w:val="20"/>
        </w:rPr>
        <w:t>imi</w:t>
      </w:r>
      <w:r w:rsidR="00F50CC3">
        <w:rPr>
          <w:rFonts w:ascii="Arial" w:hAnsi="Arial" w:cs="Arial"/>
          <w:sz w:val="20"/>
          <w:szCs w:val="20"/>
        </w:rPr>
        <w:t xml:space="preserve"> na finančnem trgu za takšen namen.</w:t>
      </w:r>
      <w:r w:rsidR="00C41560">
        <w:rPr>
          <w:rFonts w:ascii="Arial" w:hAnsi="Arial" w:cs="Arial"/>
          <w:sz w:val="20"/>
          <w:szCs w:val="20"/>
        </w:rPr>
        <w:t xml:space="preserve"> Na podlagi programa financiranja se lahko sklepajo tudi izvedeni finančni instrumenti, ki so sklenjeni v letu </w:t>
      </w:r>
      <w:r w:rsidR="008A55E8">
        <w:rPr>
          <w:rFonts w:ascii="Arial" w:hAnsi="Arial" w:cs="Arial"/>
          <w:sz w:val="20"/>
          <w:szCs w:val="20"/>
        </w:rPr>
        <w:t>202</w:t>
      </w:r>
      <w:r w:rsidR="009641B5">
        <w:rPr>
          <w:rFonts w:ascii="Arial" w:hAnsi="Arial" w:cs="Arial"/>
          <w:sz w:val="20"/>
          <w:szCs w:val="20"/>
        </w:rPr>
        <w:t>1</w:t>
      </w:r>
      <w:r w:rsidR="00C41560">
        <w:rPr>
          <w:rFonts w:ascii="Arial" w:hAnsi="Arial" w:cs="Arial"/>
          <w:sz w:val="20"/>
          <w:szCs w:val="20"/>
        </w:rPr>
        <w:t>, njihova poravna</w:t>
      </w:r>
      <w:r w:rsidR="00E270A3">
        <w:rPr>
          <w:rFonts w:ascii="Arial" w:hAnsi="Arial" w:cs="Arial"/>
          <w:sz w:val="20"/>
          <w:szCs w:val="20"/>
        </w:rPr>
        <w:t>va</w:t>
      </w:r>
      <w:r w:rsidR="00C41560">
        <w:rPr>
          <w:rFonts w:ascii="Arial" w:hAnsi="Arial" w:cs="Arial"/>
          <w:sz w:val="20"/>
          <w:szCs w:val="20"/>
        </w:rPr>
        <w:t xml:space="preserve"> pa se prične oziroma izvrši v prihodnjih letih. </w:t>
      </w:r>
    </w:p>
    <w:p w14:paraId="41648509" w14:textId="77777777" w:rsidR="00C3541D" w:rsidRPr="008C6E9D" w:rsidRDefault="00C3541D" w:rsidP="008C6E9D">
      <w:pPr>
        <w:tabs>
          <w:tab w:val="left" w:pos="708"/>
        </w:tabs>
        <w:spacing w:line="260" w:lineRule="exact"/>
        <w:jc w:val="both"/>
        <w:rPr>
          <w:rFonts w:ascii="Arial" w:hAnsi="Arial" w:cs="Arial"/>
          <w:sz w:val="20"/>
          <w:szCs w:val="20"/>
        </w:rPr>
      </w:pPr>
    </w:p>
    <w:p w14:paraId="48507AE4" w14:textId="77777777" w:rsidR="00C3541D" w:rsidRPr="008C6E9D" w:rsidRDefault="00F50CC3" w:rsidP="008C6E9D">
      <w:pPr>
        <w:tabs>
          <w:tab w:val="left" w:pos="708"/>
        </w:tabs>
        <w:spacing w:line="260" w:lineRule="exact"/>
        <w:jc w:val="both"/>
        <w:rPr>
          <w:rFonts w:ascii="Arial" w:hAnsi="Arial" w:cs="Arial"/>
          <w:sz w:val="20"/>
          <w:szCs w:val="20"/>
        </w:rPr>
      </w:pPr>
      <w:r>
        <w:rPr>
          <w:rFonts w:ascii="Arial" w:hAnsi="Arial" w:cs="Arial"/>
          <w:sz w:val="20"/>
          <w:szCs w:val="20"/>
        </w:rPr>
        <w:t xml:space="preserve">Izvedeni finančni instrumenti za </w:t>
      </w:r>
      <w:r w:rsidRPr="00F50CC3">
        <w:rPr>
          <w:rFonts w:ascii="Arial" w:hAnsi="Arial" w:cs="Arial"/>
          <w:sz w:val="20"/>
          <w:szCs w:val="20"/>
        </w:rPr>
        <w:t>uravnavanj</w:t>
      </w:r>
      <w:r>
        <w:rPr>
          <w:rFonts w:ascii="Arial" w:hAnsi="Arial" w:cs="Arial"/>
          <w:sz w:val="20"/>
          <w:szCs w:val="20"/>
        </w:rPr>
        <w:t>e</w:t>
      </w:r>
      <w:r w:rsidRPr="00F50CC3">
        <w:rPr>
          <w:rFonts w:ascii="Arial" w:hAnsi="Arial" w:cs="Arial"/>
          <w:sz w:val="20"/>
          <w:szCs w:val="20"/>
        </w:rPr>
        <w:t xml:space="preserve"> tečajnih in obrestnih tveganj </w:t>
      </w:r>
      <w:r w:rsidR="00C3541D" w:rsidRPr="008C6E9D">
        <w:rPr>
          <w:rFonts w:ascii="Arial" w:hAnsi="Arial" w:cs="Arial"/>
          <w:sz w:val="20"/>
          <w:szCs w:val="20"/>
        </w:rPr>
        <w:t xml:space="preserve">so tržne transakcije, </w:t>
      </w:r>
      <w:r>
        <w:rPr>
          <w:rFonts w:ascii="Arial" w:hAnsi="Arial" w:cs="Arial"/>
          <w:sz w:val="20"/>
          <w:szCs w:val="20"/>
        </w:rPr>
        <w:t xml:space="preserve">ki se sklepajo </w:t>
      </w:r>
      <w:r w:rsidR="00C3541D" w:rsidRPr="008C6E9D">
        <w:rPr>
          <w:rFonts w:ascii="Arial" w:hAnsi="Arial" w:cs="Arial"/>
          <w:sz w:val="20"/>
          <w:szCs w:val="20"/>
        </w:rPr>
        <w:t>po tržnih pogojih in v skladu z ustrezno poslovno prakso.</w:t>
      </w:r>
      <w:r w:rsidR="00C41560">
        <w:rPr>
          <w:rFonts w:ascii="Arial" w:hAnsi="Arial" w:cs="Arial"/>
          <w:sz w:val="20"/>
          <w:szCs w:val="20"/>
        </w:rPr>
        <w:t xml:space="preserve"> </w:t>
      </w:r>
    </w:p>
    <w:p w14:paraId="528767C0" w14:textId="77777777" w:rsidR="000E46F6" w:rsidRPr="008C6E9D" w:rsidRDefault="000E46F6" w:rsidP="008C6E9D">
      <w:pPr>
        <w:tabs>
          <w:tab w:val="left" w:pos="3396"/>
        </w:tabs>
        <w:rPr>
          <w:rFonts w:ascii="Arial" w:hAnsi="Arial" w:cs="Arial"/>
          <w:sz w:val="20"/>
          <w:szCs w:val="20"/>
        </w:rPr>
      </w:pPr>
    </w:p>
    <w:sectPr w:rsidR="000E46F6" w:rsidRPr="008C6E9D" w:rsidSect="007A621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7E8D" w14:textId="77777777" w:rsidR="00EC6F43" w:rsidRDefault="00EC6F43" w:rsidP="00C3541D">
      <w:r>
        <w:separator/>
      </w:r>
    </w:p>
  </w:endnote>
  <w:endnote w:type="continuationSeparator" w:id="0">
    <w:p w14:paraId="6875EDD4" w14:textId="77777777" w:rsidR="00EC6F43" w:rsidRDefault="00EC6F43" w:rsidP="00C3541D">
      <w:r>
        <w:continuationSeparator/>
      </w:r>
    </w:p>
  </w:endnote>
  <w:endnote w:type="continuationNotice" w:id="1">
    <w:p w14:paraId="0766192D" w14:textId="77777777" w:rsidR="00EC6F43" w:rsidRDefault="00EC6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61958"/>
      <w:docPartObj>
        <w:docPartGallery w:val="Page Numbers (Bottom of Page)"/>
        <w:docPartUnique/>
      </w:docPartObj>
    </w:sdtPr>
    <w:sdtEndPr/>
    <w:sdtContent>
      <w:p w14:paraId="44BD2427" w14:textId="77777777" w:rsidR="002F1898" w:rsidRDefault="002F1898">
        <w:pPr>
          <w:pStyle w:val="Noga"/>
          <w:jc w:val="right"/>
        </w:pPr>
        <w:r w:rsidRPr="00B31A6F">
          <w:rPr>
            <w:rFonts w:ascii="Arial" w:hAnsi="Arial" w:cs="Arial"/>
            <w:sz w:val="16"/>
            <w:szCs w:val="16"/>
          </w:rPr>
          <w:fldChar w:fldCharType="begin"/>
        </w:r>
        <w:r w:rsidRPr="00B31A6F">
          <w:rPr>
            <w:rFonts w:ascii="Arial" w:hAnsi="Arial" w:cs="Arial"/>
            <w:sz w:val="16"/>
            <w:szCs w:val="16"/>
          </w:rPr>
          <w:instrText>PAGE   \* MERGEFORMAT</w:instrText>
        </w:r>
        <w:r w:rsidRPr="00B31A6F">
          <w:rPr>
            <w:rFonts w:ascii="Arial" w:hAnsi="Arial" w:cs="Arial"/>
            <w:sz w:val="16"/>
            <w:szCs w:val="16"/>
          </w:rPr>
          <w:fldChar w:fldCharType="separate"/>
        </w:r>
        <w:r w:rsidR="00AD6FF5">
          <w:rPr>
            <w:rFonts w:ascii="Arial" w:hAnsi="Arial" w:cs="Arial"/>
            <w:noProof/>
            <w:sz w:val="16"/>
            <w:szCs w:val="16"/>
          </w:rPr>
          <w:t>9</w:t>
        </w:r>
        <w:r w:rsidRPr="00B31A6F">
          <w:rPr>
            <w:rFonts w:ascii="Arial" w:hAnsi="Arial" w:cs="Arial"/>
            <w:sz w:val="16"/>
            <w:szCs w:val="16"/>
          </w:rPr>
          <w:fldChar w:fldCharType="end"/>
        </w:r>
      </w:p>
    </w:sdtContent>
  </w:sdt>
  <w:p w14:paraId="2720B839" w14:textId="77777777" w:rsidR="002F1898" w:rsidRDefault="002F18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5B180" w14:textId="77777777" w:rsidR="00EC6F43" w:rsidRDefault="00EC6F43" w:rsidP="00C3541D">
      <w:r>
        <w:separator/>
      </w:r>
    </w:p>
  </w:footnote>
  <w:footnote w:type="continuationSeparator" w:id="0">
    <w:p w14:paraId="3DE1EDF0" w14:textId="77777777" w:rsidR="00EC6F43" w:rsidRDefault="00EC6F43" w:rsidP="00C3541D">
      <w:r>
        <w:continuationSeparator/>
      </w:r>
    </w:p>
  </w:footnote>
  <w:footnote w:type="continuationNotice" w:id="1">
    <w:p w14:paraId="718A906F" w14:textId="77777777" w:rsidR="00EC6F43" w:rsidRDefault="00EC6F43"/>
  </w:footnote>
  <w:footnote w:id="2">
    <w:p w14:paraId="5A7476D9" w14:textId="77777777" w:rsidR="00B11C76" w:rsidRDefault="00B11C76" w:rsidP="00B11C76">
      <w:pPr>
        <w:pStyle w:val="Sprotnaopomba-besedilo"/>
      </w:pPr>
      <w:r w:rsidRPr="002A3961">
        <w:rPr>
          <w:rStyle w:val="Sprotnaopomba-sklic"/>
        </w:rPr>
        <w:footnoteRef/>
      </w:r>
      <w:r w:rsidRPr="002A3961">
        <w:t xml:space="preserve">   </w:t>
      </w:r>
      <w:r w:rsidRPr="002A3961">
        <w:rPr>
          <w:rFonts w:cs="Arial"/>
          <w:bCs/>
          <w:sz w:val="16"/>
          <w:szCs w:val="16"/>
        </w:rPr>
        <w:t>Stanje konsolidiranega dolga sektorja države</w:t>
      </w:r>
      <w:r w:rsidR="002A3961" w:rsidRPr="003F53C9">
        <w:rPr>
          <w:rFonts w:cs="Arial"/>
          <w:bCs/>
          <w:sz w:val="16"/>
          <w:szCs w:val="16"/>
        </w:rPr>
        <w:t xml:space="preserve">, </w:t>
      </w:r>
      <w:r w:rsidR="002A3961" w:rsidRPr="002A3961">
        <w:rPr>
          <w:rFonts w:cs="Arial"/>
          <w:bCs/>
          <w:sz w:val="16"/>
          <w:szCs w:val="16"/>
        </w:rPr>
        <w:t>kot je to navedeno v Poročilu o</w:t>
      </w:r>
      <w:r w:rsidR="00D50F4A">
        <w:rPr>
          <w:rFonts w:cs="Arial"/>
          <w:bCs/>
          <w:sz w:val="16"/>
          <w:szCs w:val="16"/>
        </w:rPr>
        <w:t xml:space="preserve"> presežnem</w:t>
      </w:r>
      <w:r w:rsidR="002A3961" w:rsidRPr="002A3961">
        <w:rPr>
          <w:rFonts w:cs="Arial"/>
          <w:bCs/>
          <w:sz w:val="16"/>
          <w:szCs w:val="16"/>
        </w:rPr>
        <w:t xml:space="preserve"> primanjkljaju in dolgu</w:t>
      </w:r>
      <w:r w:rsidR="00D50F4A">
        <w:rPr>
          <w:rFonts w:cs="Arial"/>
          <w:bCs/>
          <w:sz w:val="16"/>
          <w:szCs w:val="16"/>
        </w:rPr>
        <w:t>, Slovenija, 2016-2019,</w:t>
      </w:r>
      <w:r w:rsidR="002A3961" w:rsidRPr="002A3961">
        <w:rPr>
          <w:rFonts w:cs="Arial"/>
          <w:bCs/>
          <w:sz w:val="16"/>
          <w:szCs w:val="16"/>
        </w:rPr>
        <w:t xml:space="preserve"> </w:t>
      </w:r>
      <w:r w:rsidR="00D50F4A">
        <w:rPr>
          <w:rFonts w:cs="Arial"/>
          <w:bCs/>
          <w:sz w:val="16"/>
          <w:szCs w:val="16"/>
        </w:rPr>
        <w:t>napoved</w:t>
      </w:r>
      <w:r w:rsidR="002A3961" w:rsidRPr="002A3961">
        <w:rPr>
          <w:rFonts w:cs="Arial"/>
          <w:bCs/>
          <w:sz w:val="16"/>
          <w:szCs w:val="16"/>
        </w:rPr>
        <w:t xml:space="preserve"> 2020, se za</w:t>
      </w:r>
      <w:r w:rsidRPr="002A3961">
        <w:rPr>
          <w:rFonts w:cs="Arial"/>
          <w:bCs/>
          <w:sz w:val="16"/>
          <w:szCs w:val="16"/>
        </w:rPr>
        <w:t xml:space="preserve"> konec leta </w:t>
      </w:r>
      <w:r w:rsidR="00712CED" w:rsidRPr="002A3961">
        <w:rPr>
          <w:rFonts w:cs="Arial"/>
          <w:bCs/>
          <w:sz w:val="16"/>
          <w:szCs w:val="16"/>
        </w:rPr>
        <w:t>20</w:t>
      </w:r>
      <w:r w:rsidR="00712CED" w:rsidRPr="003F53C9">
        <w:rPr>
          <w:rFonts w:cs="Arial"/>
          <w:bCs/>
          <w:sz w:val="16"/>
          <w:szCs w:val="16"/>
        </w:rPr>
        <w:t>20</w:t>
      </w:r>
      <w:r w:rsidR="00712CED" w:rsidRPr="002A3961">
        <w:rPr>
          <w:rFonts w:cs="Arial"/>
          <w:bCs/>
          <w:sz w:val="16"/>
          <w:szCs w:val="16"/>
        </w:rPr>
        <w:t xml:space="preserve"> </w:t>
      </w:r>
      <w:r w:rsidR="002A3961" w:rsidRPr="003F53C9">
        <w:rPr>
          <w:rFonts w:cs="Arial"/>
          <w:bCs/>
          <w:sz w:val="16"/>
          <w:szCs w:val="16"/>
        </w:rPr>
        <w:t>ocenjuje v višini</w:t>
      </w:r>
      <w:r w:rsidR="002A3961" w:rsidRPr="002A3961">
        <w:rPr>
          <w:rFonts w:cs="Arial"/>
          <w:bCs/>
          <w:sz w:val="16"/>
          <w:szCs w:val="16"/>
        </w:rPr>
        <w:t xml:space="preserve"> </w:t>
      </w:r>
      <w:r w:rsidR="00712CED" w:rsidRPr="003F53C9">
        <w:rPr>
          <w:rFonts w:cs="Arial"/>
          <w:bCs/>
          <w:sz w:val="16"/>
          <w:szCs w:val="16"/>
        </w:rPr>
        <w:t>8</w:t>
      </w:r>
      <w:r w:rsidR="00635B36">
        <w:rPr>
          <w:rFonts w:cs="Arial"/>
          <w:bCs/>
          <w:sz w:val="16"/>
          <w:szCs w:val="16"/>
        </w:rPr>
        <w:t>2</w:t>
      </w:r>
      <w:r w:rsidRPr="002A3961">
        <w:rPr>
          <w:rFonts w:cs="Arial"/>
          <w:bCs/>
          <w:sz w:val="16"/>
          <w:szCs w:val="16"/>
        </w:rPr>
        <w:t>,</w:t>
      </w:r>
      <w:r w:rsidR="00635B36">
        <w:rPr>
          <w:rFonts w:cs="Arial"/>
          <w:bCs/>
          <w:sz w:val="16"/>
          <w:szCs w:val="16"/>
        </w:rPr>
        <w:t>4</w:t>
      </w:r>
      <w:r w:rsidRPr="002A3961">
        <w:rPr>
          <w:rFonts w:cs="Arial"/>
          <w:bCs/>
          <w:sz w:val="16"/>
          <w:szCs w:val="16"/>
        </w:rPr>
        <w:t xml:space="preserve">% BDP. Dolg sektorja države je tako za </w:t>
      </w:r>
      <w:r w:rsidR="00635B36">
        <w:rPr>
          <w:rFonts w:cs="Arial"/>
          <w:bCs/>
          <w:sz w:val="16"/>
          <w:szCs w:val="16"/>
        </w:rPr>
        <w:t>7</w:t>
      </w:r>
      <w:r w:rsidRPr="002A3961">
        <w:rPr>
          <w:rFonts w:cs="Arial"/>
          <w:bCs/>
          <w:sz w:val="16"/>
          <w:szCs w:val="16"/>
        </w:rPr>
        <w:t>,</w:t>
      </w:r>
      <w:r w:rsidR="00635B36">
        <w:rPr>
          <w:rFonts w:cs="Arial"/>
          <w:bCs/>
          <w:sz w:val="16"/>
          <w:szCs w:val="16"/>
        </w:rPr>
        <w:t>5</w:t>
      </w:r>
      <w:r w:rsidR="00712CED" w:rsidRPr="002A3961">
        <w:rPr>
          <w:rFonts w:cs="Arial"/>
          <w:bCs/>
          <w:sz w:val="16"/>
          <w:szCs w:val="16"/>
        </w:rPr>
        <w:t xml:space="preserve"> </w:t>
      </w:r>
      <w:r w:rsidRPr="002A3961">
        <w:rPr>
          <w:rFonts w:cs="Arial"/>
          <w:bCs/>
          <w:sz w:val="16"/>
          <w:szCs w:val="16"/>
        </w:rPr>
        <w:t xml:space="preserve">odstotne točke višji od stanja dolga državnega proračuna RS v letu </w:t>
      </w:r>
      <w:r w:rsidR="00712CED" w:rsidRPr="002A3961">
        <w:rPr>
          <w:rFonts w:cs="Arial"/>
          <w:bCs/>
          <w:sz w:val="16"/>
          <w:szCs w:val="16"/>
        </w:rPr>
        <w:t>20</w:t>
      </w:r>
      <w:r w:rsidR="00712CED" w:rsidRPr="003F53C9">
        <w:rPr>
          <w:rFonts w:cs="Arial"/>
          <w:bCs/>
          <w:sz w:val="16"/>
          <w:szCs w:val="16"/>
        </w:rPr>
        <w:t>20</w:t>
      </w:r>
      <w:r w:rsidRPr="002A3961">
        <w:rPr>
          <w:rFonts w:cs="Arial"/>
          <w:bCs/>
          <w:sz w:val="16"/>
          <w:szCs w:val="16"/>
        </w:rPr>
        <w:t>. Glavni razlog za to je v drugačnem vrednotenju kategorij (ESA 10) in institucionalnem zajetju, saj je dolg sektorja države definiran kot seštevek dolga centralne ravni države, dolga lokalne ravni države in dolga skladov za socialno in zdravstveno varstvo.</w:t>
      </w:r>
    </w:p>
  </w:footnote>
  <w:footnote w:id="3">
    <w:p w14:paraId="41005B2B" w14:textId="77777777" w:rsidR="00B11C76" w:rsidRPr="00642ECD" w:rsidRDefault="00B11C76" w:rsidP="00B11C76">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r w:rsidRPr="00642ECD">
        <w:rPr>
          <w:rFonts w:cs="Arial"/>
          <w:bCs/>
          <w:sz w:val="16"/>
          <w:szCs w:val="16"/>
        </w:rPr>
        <w:t>Znesek odplačil glavnic dolga državnega proračuna v letu 20</w:t>
      </w:r>
      <w:r>
        <w:rPr>
          <w:rFonts w:cs="Arial"/>
          <w:bCs/>
          <w:sz w:val="16"/>
          <w:szCs w:val="16"/>
        </w:rPr>
        <w:t>2</w:t>
      </w:r>
      <w:r w:rsidR="004F5E4D">
        <w:rPr>
          <w:rFonts w:cs="Arial"/>
          <w:bCs/>
          <w:sz w:val="16"/>
          <w:szCs w:val="16"/>
        </w:rPr>
        <w:t>1</w:t>
      </w:r>
      <w:r w:rsidRPr="00642ECD">
        <w:rPr>
          <w:rFonts w:cs="Arial"/>
          <w:bCs/>
          <w:sz w:val="16"/>
          <w:szCs w:val="16"/>
        </w:rPr>
        <w:t xml:space="preserve"> je naveden v višini, kot jo določa </w:t>
      </w:r>
      <w:r w:rsidR="00644551">
        <w:rPr>
          <w:rFonts w:cs="Arial"/>
          <w:bCs/>
          <w:sz w:val="16"/>
          <w:szCs w:val="16"/>
        </w:rPr>
        <w:t>Proračun</w:t>
      </w:r>
      <w:r w:rsidR="00644551" w:rsidRPr="00ED438D">
        <w:rPr>
          <w:rFonts w:cs="Arial"/>
          <w:bCs/>
          <w:sz w:val="16"/>
          <w:szCs w:val="16"/>
        </w:rPr>
        <w:t xml:space="preserve"> </w:t>
      </w:r>
      <w:r w:rsidRPr="00ED438D">
        <w:rPr>
          <w:rFonts w:cs="Arial"/>
          <w:bCs/>
          <w:sz w:val="16"/>
          <w:szCs w:val="16"/>
        </w:rPr>
        <w:t>202</w:t>
      </w:r>
      <w:r w:rsidR="00644551">
        <w:rPr>
          <w:rFonts w:cs="Arial"/>
          <w:bCs/>
          <w:sz w:val="16"/>
          <w:szCs w:val="16"/>
        </w:rPr>
        <w:t>1</w:t>
      </w:r>
      <w:r w:rsidRPr="009859BD">
        <w:rPr>
          <w:rFonts w:cs="Arial"/>
          <w:bCs/>
          <w:sz w:val="16"/>
          <w:szCs w:val="16"/>
        </w:rPr>
        <w:t>.</w:t>
      </w:r>
    </w:p>
  </w:footnote>
  <w:footnote w:id="4">
    <w:p w14:paraId="45B64F85" w14:textId="2A30456C" w:rsidR="00B11C76" w:rsidRPr="00642ECD" w:rsidRDefault="00B11C76" w:rsidP="00B11C76">
      <w:pPr>
        <w:pStyle w:val="Sprotnaopomba-besedilo"/>
        <w:tabs>
          <w:tab w:val="left" w:pos="142"/>
        </w:tabs>
        <w:rPr>
          <w:rFonts w:cs="Arial"/>
          <w:bCs/>
          <w:sz w:val="16"/>
          <w:szCs w:val="16"/>
        </w:rPr>
      </w:pPr>
      <w:r w:rsidRPr="00B57FFE">
        <w:rPr>
          <w:rStyle w:val="Sprotnaopomba-sklic"/>
        </w:rPr>
        <w:footnoteRef/>
      </w:r>
      <w:r w:rsidRPr="00B57FFE">
        <w:t xml:space="preserve"> </w:t>
      </w:r>
      <w:r w:rsidRPr="00B57FFE">
        <w:rPr>
          <w:rFonts w:cs="Arial"/>
          <w:bCs/>
          <w:sz w:val="16"/>
          <w:szCs w:val="16"/>
        </w:rPr>
        <w:t xml:space="preserve">Znesek vključuje </w:t>
      </w:r>
      <w:r w:rsidRPr="002F1898">
        <w:rPr>
          <w:rFonts w:cs="Arial"/>
          <w:bCs/>
          <w:sz w:val="16"/>
          <w:szCs w:val="16"/>
        </w:rPr>
        <w:t>kupnin</w:t>
      </w:r>
      <w:r w:rsidRPr="005A7FE0">
        <w:rPr>
          <w:rFonts w:cs="Arial"/>
          <w:bCs/>
          <w:sz w:val="16"/>
          <w:szCs w:val="16"/>
        </w:rPr>
        <w:t xml:space="preserve">o od prodanih </w:t>
      </w:r>
      <w:r w:rsidRPr="00DF69F4">
        <w:rPr>
          <w:rFonts w:cs="Arial"/>
          <w:bCs/>
          <w:sz w:val="16"/>
          <w:szCs w:val="16"/>
        </w:rPr>
        <w:t>kapitalskih naložb</w:t>
      </w:r>
      <w:r w:rsidRPr="00B57FFE">
        <w:rPr>
          <w:rFonts w:cs="Arial"/>
          <w:bCs/>
          <w:sz w:val="16"/>
          <w:szCs w:val="16"/>
        </w:rPr>
        <w:t>, ki v letu 20</w:t>
      </w:r>
      <w:r w:rsidR="00553167">
        <w:rPr>
          <w:rFonts w:cs="Arial"/>
          <w:bCs/>
          <w:sz w:val="16"/>
          <w:szCs w:val="16"/>
        </w:rPr>
        <w:t>20</w:t>
      </w:r>
      <w:r w:rsidRPr="00B57FFE">
        <w:rPr>
          <w:rFonts w:cs="Arial"/>
          <w:bCs/>
          <w:sz w:val="16"/>
          <w:szCs w:val="16"/>
        </w:rPr>
        <w:t xml:space="preserve"> ni bila porabljena za odpla</w:t>
      </w:r>
      <w:r w:rsidRPr="002F1898">
        <w:rPr>
          <w:rFonts w:cs="Arial"/>
          <w:bCs/>
          <w:sz w:val="16"/>
          <w:szCs w:val="16"/>
        </w:rPr>
        <w:t>čila dolga.</w:t>
      </w:r>
    </w:p>
  </w:footnote>
  <w:footnote w:id="5">
    <w:p w14:paraId="7E15856B" w14:textId="77777777" w:rsidR="002F1898" w:rsidRPr="008C6E9D" w:rsidRDefault="002F1898"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Vsakokratno veljavna Pravila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6">
    <w:p w14:paraId="1AAC4D7D" w14:textId="77777777" w:rsidR="002F1898" w:rsidRDefault="002F1898">
      <w:pPr>
        <w:pStyle w:val="Sprotnaopomba-besedilo"/>
      </w:pPr>
      <w:r w:rsidRPr="009859BD">
        <w:rPr>
          <w:rStyle w:val="Sprotnaopomba-sklic"/>
          <w:sz w:val="16"/>
          <w:szCs w:val="16"/>
        </w:rPr>
        <w:footnoteRef/>
      </w:r>
      <w:r>
        <w:t xml:space="preserve"> </w:t>
      </w:r>
      <w:r w:rsidRPr="002A5C89">
        <w:rPr>
          <w:rFonts w:cs="Arial"/>
          <w:sz w:val="16"/>
          <w:szCs w:val="16"/>
        </w:rPr>
        <w:t xml:space="preserve">EMTN </w:t>
      </w:r>
      <w:r w:rsidR="009859BD">
        <w:rPr>
          <w:rFonts w:cs="Arial"/>
          <w:sz w:val="16"/>
          <w:szCs w:val="16"/>
        </w:rPr>
        <w:t>p</w:t>
      </w:r>
      <w:r w:rsidRPr="002A5C89">
        <w:rPr>
          <w:rFonts w:cs="Arial"/>
          <w:sz w:val="16"/>
          <w:szCs w:val="16"/>
        </w:rPr>
        <w:t>rogram</w:t>
      </w:r>
      <w:r>
        <w:t xml:space="preserve"> </w:t>
      </w:r>
    </w:p>
  </w:footnote>
  <w:footnote w:id="7">
    <w:p w14:paraId="5F257260" w14:textId="77777777" w:rsidR="002F1898" w:rsidRPr="008C6E9D" w:rsidRDefault="002F1898"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Glavne značilnosti 18-mesečnih zakladnih menic so smiselno enake glavnim značilnostim kratkoročnih zakladnih menic.</w:t>
      </w:r>
    </w:p>
  </w:footnote>
  <w:footnote w:id="8">
    <w:p w14:paraId="3AA1AF08" w14:textId="77777777" w:rsidR="002F1898" w:rsidRPr="008C6E9D" w:rsidRDefault="002F1898" w:rsidP="00A62127">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Vsakokratno veljavna Pravila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6290" w14:textId="77777777" w:rsidR="002F1898" w:rsidRDefault="00B51C5B" w:rsidP="007A6216">
    <w:pPr>
      <w:pStyle w:val="Glava"/>
    </w:pPr>
    <w:r w:rsidRPr="007A5B9C">
      <w:rPr>
        <w:rFonts w:ascii="Republika" w:hAnsi="Republika"/>
        <w:noProof/>
        <w:lang w:eastAsia="sl-SI"/>
      </w:rPr>
      <w:drawing>
        <wp:inline distT="0" distB="0" distL="0" distR="0" wp14:anchorId="781DB041" wp14:editId="25FF9E9B">
          <wp:extent cx="3745383" cy="481988"/>
          <wp:effectExtent l="0" t="0" r="7620" b="0"/>
          <wp:docPr id="2" name="Slika 1" descr="Logotip prikazuje grb Republike Slovenije s pripisanim nazivov Republika SlovenijA, Vlada Republike Slovenije" title="Logotip Vlad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214F0455" w14:textId="77777777" w:rsidR="002F1898" w:rsidRDefault="002F1898" w:rsidP="007A6216">
    <w:pPr>
      <w:pStyle w:val="Glava"/>
    </w:pPr>
  </w:p>
  <w:p w14:paraId="6F65F86F" w14:textId="77777777" w:rsidR="00406D45" w:rsidRDefault="002F1898" w:rsidP="00406D45">
    <w:pPr>
      <w:pStyle w:val="Glava"/>
      <w:tabs>
        <w:tab w:val="left" w:pos="5112"/>
      </w:tabs>
      <w:spacing w:before="120"/>
      <w:contextualSpacing/>
      <w:jc w:val="both"/>
      <w:rPr>
        <w:rFonts w:ascii="Republika" w:hAnsi="Republika" w:cs="Arial"/>
        <w:sz w:val="16"/>
      </w:rPr>
    </w:pPr>
    <w:r w:rsidRPr="007A5B9C">
      <w:rPr>
        <w:rFonts w:ascii="Republika" w:hAnsi="Republika" w:cs="Arial"/>
        <w:sz w:val="16"/>
      </w:rPr>
      <w:t>Gregorčičeva 20–25, Sl-1001 Ljubljana</w:t>
    </w:r>
  </w:p>
  <w:p w14:paraId="35F8A612" w14:textId="77777777" w:rsidR="002F1898" w:rsidRPr="007A5B9C" w:rsidRDefault="00B17A0F" w:rsidP="00406D45">
    <w:pPr>
      <w:pStyle w:val="Glava"/>
      <w:tabs>
        <w:tab w:val="left" w:pos="5112"/>
      </w:tabs>
      <w:spacing w:before="120"/>
      <w:ind w:left="6372"/>
      <w:contextualSpacing/>
      <w:rPr>
        <w:rFonts w:ascii="Republika" w:hAnsi="Republika" w:cs="Arial"/>
        <w:sz w:val="16"/>
      </w:rPr>
    </w:pPr>
    <w:r>
      <w:rPr>
        <w:rFonts w:ascii="Republika" w:hAnsi="Republika" w:cs="Arial"/>
        <w:sz w:val="16"/>
      </w:rPr>
      <w:br/>
    </w:r>
    <w:r w:rsidR="002F1898" w:rsidRPr="007A5B9C">
      <w:rPr>
        <w:rFonts w:ascii="Republika" w:hAnsi="Republika" w:cs="Arial"/>
        <w:sz w:val="16"/>
      </w:rPr>
      <w:t>T: +386 1 478 1000</w:t>
    </w:r>
  </w:p>
  <w:p w14:paraId="1F07E22C"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F: +386 1 478 1607</w:t>
    </w:r>
  </w:p>
  <w:p w14:paraId="0C7C7F77"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E: gp.gs@gov.si</w:t>
    </w:r>
  </w:p>
  <w:p w14:paraId="1F32A4AA" w14:textId="77777777" w:rsidR="002F1898" w:rsidRDefault="002F1898" w:rsidP="00B17A0F">
    <w:pPr>
      <w:pStyle w:val="Glava"/>
      <w:tabs>
        <w:tab w:val="left" w:pos="5112"/>
      </w:tabs>
      <w:ind w:left="6372"/>
      <w:contextualSpacing/>
    </w:pPr>
    <w:r w:rsidRPr="007A5B9C">
      <w:rPr>
        <w:rFonts w:ascii="Republika" w:hAnsi="Republika" w:cs="Arial"/>
        <w:sz w:val="16"/>
      </w:rPr>
      <w:t>http://www.vlada.si/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D56973"/>
    <w:multiLevelType w:val="multilevel"/>
    <w:tmpl w:val="9E0CAE1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B96732"/>
    <w:multiLevelType w:val="hybridMultilevel"/>
    <w:tmpl w:val="8DD84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7"/>
  </w:num>
  <w:num w:numId="3">
    <w:abstractNumId w:val="20"/>
  </w:num>
  <w:num w:numId="4">
    <w:abstractNumId w:val="0"/>
  </w:num>
  <w:num w:numId="5">
    <w:abstractNumId w:val="10"/>
  </w:num>
  <w:num w:numId="6">
    <w:abstractNumId w:val="12"/>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13"/>
  </w:num>
  <w:num w:numId="12">
    <w:abstractNumId w:val="7"/>
  </w:num>
  <w:num w:numId="13">
    <w:abstractNumId w:val="18"/>
  </w:num>
  <w:num w:numId="14">
    <w:abstractNumId w:val="28"/>
  </w:num>
  <w:num w:numId="15">
    <w:abstractNumId w:val="8"/>
  </w:num>
  <w:num w:numId="16">
    <w:abstractNumId w:val="15"/>
  </w:num>
  <w:num w:numId="17">
    <w:abstractNumId w:val="16"/>
  </w:num>
  <w:num w:numId="18">
    <w:abstractNumId w:val="17"/>
  </w:num>
  <w:num w:numId="19">
    <w:abstractNumId w:val="23"/>
  </w:num>
  <w:num w:numId="20">
    <w:abstractNumId w:val="26"/>
  </w:num>
  <w:num w:numId="21">
    <w:abstractNumId w:val="2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num>
  <w:num w:numId="25">
    <w:abstractNumId w:val="26"/>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24"/>
  </w:num>
  <w:num w:numId="32">
    <w:abstractNumId w:val="25"/>
  </w:num>
  <w:num w:numId="33">
    <w:abstractNumId w:val="2"/>
  </w:num>
  <w:num w:numId="34">
    <w:abstractNumId w:val="25"/>
  </w:num>
  <w:num w:numId="35">
    <w:abstractNumId w:val="4"/>
  </w:num>
  <w:num w:numId="36">
    <w:abstractNumId w:val="5"/>
  </w:num>
  <w:num w:numId="37">
    <w:abstractNumId w:val="21"/>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1D"/>
    <w:rsid w:val="00002C24"/>
    <w:rsid w:val="00003101"/>
    <w:rsid w:val="000036D3"/>
    <w:rsid w:val="000050CC"/>
    <w:rsid w:val="0000753A"/>
    <w:rsid w:val="00010D52"/>
    <w:rsid w:val="00012B70"/>
    <w:rsid w:val="00013E05"/>
    <w:rsid w:val="00013F75"/>
    <w:rsid w:val="000164F7"/>
    <w:rsid w:val="00023A93"/>
    <w:rsid w:val="00024934"/>
    <w:rsid w:val="00033CED"/>
    <w:rsid w:val="000358BF"/>
    <w:rsid w:val="00043245"/>
    <w:rsid w:val="00047635"/>
    <w:rsid w:val="0004770E"/>
    <w:rsid w:val="000522A7"/>
    <w:rsid w:val="00054365"/>
    <w:rsid w:val="00070ACA"/>
    <w:rsid w:val="00071DC6"/>
    <w:rsid w:val="00074E0C"/>
    <w:rsid w:val="000751DF"/>
    <w:rsid w:val="0007611B"/>
    <w:rsid w:val="0007748E"/>
    <w:rsid w:val="000871C7"/>
    <w:rsid w:val="00087783"/>
    <w:rsid w:val="000A24EB"/>
    <w:rsid w:val="000A29C9"/>
    <w:rsid w:val="000A2BB3"/>
    <w:rsid w:val="000A7326"/>
    <w:rsid w:val="000B100E"/>
    <w:rsid w:val="000B19CA"/>
    <w:rsid w:val="000C0963"/>
    <w:rsid w:val="000C11EE"/>
    <w:rsid w:val="000D1F22"/>
    <w:rsid w:val="000E0794"/>
    <w:rsid w:val="000E1AC5"/>
    <w:rsid w:val="000E2B17"/>
    <w:rsid w:val="000E46F6"/>
    <w:rsid w:val="000E5472"/>
    <w:rsid w:val="000E7E67"/>
    <w:rsid w:val="000F4FFD"/>
    <w:rsid w:val="000F6E63"/>
    <w:rsid w:val="00100201"/>
    <w:rsid w:val="00100A54"/>
    <w:rsid w:val="00103A1D"/>
    <w:rsid w:val="00106566"/>
    <w:rsid w:val="00106691"/>
    <w:rsid w:val="00106A00"/>
    <w:rsid w:val="00107159"/>
    <w:rsid w:val="00114E3D"/>
    <w:rsid w:val="00117ED1"/>
    <w:rsid w:val="00123270"/>
    <w:rsid w:val="00130D60"/>
    <w:rsid w:val="00130DF5"/>
    <w:rsid w:val="00132975"/>
    <w:rsid w:val="00133E1B"/>
    <w:rsid w:val="00135EB6"/>
    <w:rsid w:val="00140627"/>
    <w:rsid w:val="00141E10"/>
    <w:rsid w:val="00142BB8"/>
    <w:rsid w:val="00147707"/>
    <w:rsid w:val="0014779C"/>
    <w:rsid w:val="001532B6"/>
    <w:rsid w:val="0015540E"/>
    <w:rsid w:val="00155C26"/>
    <w:rsid w:val="00163F99"/>
    <w:rsid w:val="00164A9B"/>
    <w:rsid w:val="0017187F"/>
    <w:rsid w:val="001815C3"/>
    <w:rsid w:val="00184AFA"/>
    <w:rsid w:val="00185376"/>
    <w:rsid w:val="0019168B"/>
    <w:rsid w:val="0019242A"/>
    <w:rsid w:val="00192E3F"/>
    <w:rsid w:val="001A3E19"/>
    <w:rsid w:val="001A55F4"/>
    <w:rsid w:val="001A751B"/>
    <w:rsid w:val="001B03B4"/>
    <w:rsid w:val="001B2BA9"/>
    <w:rsid w:val="001B6517"/>
    <w:rsid w:val="001B668D"/>
    <w:rsid w:val="001C55BB"/>
    <w:rsid w:val="001C6721"/>
    <w:rsid w:val="001D36C1"/>
    <w:rsid w:val="001D6BF3"/>
    <w:rsid w:val="001E3BA5"/>
    <w:rsid w:val="001E47FB"/>
    <w:rsid w:val="001F1ACA"/>
    <w:rsid w:val="001F59ED"/>
    <w:rsid w:val="001F61A1"/>
    <w:rsid w:val="001F7B6F"/>
    <w:rsid w:val="00201C60"/>
    <w:rsid w:val="00202578"/>
    <w:rsid w:val="002055B1"/>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652D"/>
    <w:rsid w:val="00252F83"/>
    <w:rsid w:val="002556CE"/>
    <w:rsid w:val="00264CED"/>
    <w:rsid w:val="0026765E"/>
    <w:rsid w:val="00270052"/>
    <w:rsid w:val="0027053A"/>
    <w:rsid w:val="00275464"/>
    <w:rsid w:val="0029026C"/>
    <w:rsid w:val="002925BE"/>
    <w:rsid w:val="00294E7F"/>
    <w:rsid w:val="002A3961"/>
    <w:rsid w:val="002A39CE"/>
    <w:rsid w:val="002A3E3E"/>
    <w:rsid w:val="002A4426"/>
    <w:rsid w:val="002A5C89"/>
    <w:rsid w:val="002A5DE3"/>
    <w:rsid w:val="002A6B44"/>
    <w:rsid w:val="002B0A81"/>
    <w:rsid w:val="002B0EC7"/>
    <w:rsid w:val="002B3100"/>
    <w:rsid w:val="002B4130"/>
    <w:rsid w:val="002C222B"/>
    <w:rsid w:val="002C2900"/>
    <w:rsid w:val="002C31DB"/>
    <w:rsid w:val="002C4A81"/>
    <w:rsid w:val="002D00D7"/>
    <w:rsid w:val="002D3CAE"/>
    <w:rsid w:val="002D7705"/>
    <w:rsid w:val="002D7A03"/>
    <w:rsid w:val="002E2C29"/>
    <w:rsid w:val="002E3708"/>
    <w:rsid w:val="002E4137"/>
    <w:rsid w:val="002E7155"/>
    <w:rsid w:val="002F08D1"/>
    <w:rsid w:val="002F11A7"/>
    <w:rsid w:val="002F1898"/>
    <w:rsid w:val="002F1E0D"/>
    <w:rsid w:val="002F3005"/>
    <w:rsid w:val="002F3B47"/>
    <w:rsid w:val="002F467B"/>
    <w:rsid w:val="002F6C53"/>
    <w:rsid w:val="002F72B5"/>
    <w:rsid w:val="00301CD9"/>
    <w:rsid w:val="0031054A"/>
    <w:rsid w:val="0031701E"/>
    <w:rsid w:val="00317136"/>
    <w:rsid w:val="00322A58"/>
    <w:rsid w:val="003245F0"/>
    <w:rsid w:val="00325E4C"/>
    <w:rsid w:val="00332B8F"/>
    <w:rsid w:val="00334BD8"/>
    <w:rsid w:val="00336AC1"/>
    <w:rsid w:val="003471EF"/>
    <w:rsid w:val="00347F4E"/>
    <w:rsid w:val="003533FC"/>
    <w:rsid w:val="00361C7C"/>
    <w:rsid w:val="003625E9"/>
    <w:rsid w:val="00364CE0"/>
    <w:rsid w:val="00365776"/>
    <w:rsid w:val="00366F24"/>
    <w:rsid w:val="0037163B"/>
    <w:rsid w:val="00372ADA"/>
    <w:rsid w:val="00372BA8"/>
    <w:rsid w:val="003731CE"/>
    <w:rsid w:val="003816AD"/>
    <w:rsid w:val="003838C1"/>
    <w:rsid w:val="003877DB"/>
    <w:rsid w:val="00395AF0"/>
    <w:rsid w:val="003A13DD"/>
    <w:rsid w:val="003A28F0"/>
    <w:rsid w:val="003A3DFB"/>
    <w:rsid w:val="003A42B8"/>
    <w:rsid w:val="003A54EE"/>
    <w:rsid w:val="003B2F22"/>
    <w:rsid w:val="003C2B7F"/>
    <w:rsid w:val="003C3767"/>
    <w:rsid w:val="003C54D3"/>
    <w:rsid w:val="003D3102"/>
    <w:rsid w:val="003D61A6"/>
    <w:rsid w:val="003E2CF9"/>
    <w:rsid w:val="003E3CB1"/>
    <w:rsid w:val="003E3ED7"/>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58FC"/>
    <w:rsid w:val="00461C09"/>
    <w:rsid w:val="00467737"/>
    <w:rsid w:val="004701D5"/>
    <w:rsid w:val="00470D32"/>
    <w:rsid w:val="0047123D"/>
    <w:rsid w:val="004726FB"/>
    <w:rsid w:val="00480A93"/>
    <w:rsid w:val="004828AD"/>
    <w:rsid w:val="00483701"/>
    <w:rsid w:val="0049219A"/>
    <w:rsid w:val="0049776E"/>
    <w:rsid w:val="004A0B69"/>
    <w:rsid w:val="004A7309"/>
    <w:rsid w:val="004A7BBF"/>
    <w:rsid w:val="004B0D42"/>
    <w:rsid w:val="004B17CE"/>
    <w:rsid w:val="004B2D55"/>
    <w:rsid w:val="004B5E82"/>
    <w:rsid w:val="004B7AA4"/>
    <w:rsid w:val="004C038B"/>
    <w:rsid w:val="004C107F"/>
    <w:rsid w:val="004C10F8"/>
    <w:rsid w:val="004C7FCC"/>
    <w:rsid w:val="004D0151"/>
    <w:rsid w:val="004E033C"/>
    <w:rsid w:val="004E3235"/>
    <w:rsid w:val="004F403F"/>
    <w:rsid w:val="004F4AB8"/>
    <w:rsid w:val="004F5E4D"/>
    <w:rsid w:val="004F6C94"/>
    <w:rsid w:val="00500706"/>
    <w:rsid w:val="00510373"/>
    <w:rsid w:val="00511054"/>
    <w:rsid w:val="00520E68"/>
    <w:rsid w:val="00522BA1"/>
    <w:rsid w:val="005244DF"/>
    <w:rsid w:val="00525C87"/>
    <w:rsid w:val="00526854"/>
    <w:rsid w:val="00526FB9"/>
    <w:rsid w:val="00536D29"/>
    <w:rsid w:val="00537424"/>
    <w:rsid w:val="00540719"/>
    <w:rsid w:val="00542199"/>
    <w:rsid w:val="00542DC6"/>
    <w:rsid w:val="00546E5E"/>
    <w:rsid w:val="00551014"/>
    <w:rsid w:val="00553167"/>
    <w:rsid w:val="00553B00"/>
    <w:rsid w:val="00554EDE"/>
    <w:rsid w:val="00556BC3"/>
    <w:rsid w:val="00563F09"/>
    <w:rsid w:val="005658C5"/>
    <w:rsid w:val="00573214"/>
    <w:rsid w:val="00575EC1"/>
    <w:rsid w:val="00577975"/>
    <w:rsid w:val="0058403A"/>
    <w:rsid w:val="0058632F"/>
    <w:rsid w:val="0059173A"/>
    <w:rsid w:val="00594189"/>
    <w:rsid w:val="005A12C7"/>
    <w:rsid w:val="005A4A3B"/>
    <w:rsid w:val="005A4D66"/>
    <w:rsid w:val="005A5007"/>
    <w:rsid w:val="005A6C31"/>
    <w:rsid w:val="005A7FE0"/>
    <w:rsid w:val="005B666D"/>
    <w:rsid w:val="005B6878"/>
    <w:rsid w:val="005B769B"/>
    <w:rsid w:val="005C0A83"/>
    <w:rsid w:val="005D331E"/>
    <w:rsid w:val="005F095E"/>
    <w:rsid w:val="005F0DD2"/>
    <w:rsid w:val="005F13D1"/>
    <w:rsid w:val="005F1408"/>
    <w:rsid w:val="005F2C9B"/>
    <w:rsid w:val="005F3D6A"/>
    <w:rsid w:val="006037E9"/>
    <w:rsid w:val="006071BE"/>
    <w:rsid w:val="00611D4E"/>
    <w:rsid w:val="0062220E"/>
    <w:rsid w:val="00622A8E"/>
    <w:rsid w:val="006245ED"/>
    <w:rsid w:val="0063005C"/>
    <w:rsid w:val="00630B18"/>
    <w:rsid w:val="00631EB3"/>
    <w:rsid w:val="00635B36"/>
    <w:rsid w:val="00642281"/>
    <w:rsid w:val="00644551"/>
    <w:rsid w:val="006453DC"/>
    <w:rsid w:val="00645D9A"/>
    <w:rsid w:val="006478AF"/>
    <w:rsid w:val="00652328"/>
    <w:rsid w:val="00654B58"/>
    <w:rsid w:val="00654D4E"/>
    <w:rsid w:val="006601FD"/>
    <w:rsid w:val="00660371"/>
    <w:rsid w:val="006603F8"/>
    <w:rsid w:val="00661071"/>
    <w:rsid w:val="0066392E"/>
    <w:rsid w:val="00667FE2"/>
    <w:rsid w:val="00671907"/>
    <w:rsid w:val="00680A5A"/>
    <w:rsid w:val="006817A3"/>
    <w:rsid w:val="00684EE2"/>
    <w:rsid w:val="00686899"/>
    <w:rsid w:val="006A1B25"/>
    <w:rsid w:val="006A6606"/>
    <w:rsid w:val="006B0C47"/>
    <w:rsid w:val="006B2EC7"/>
    <w:rsid w:val="006B44BC"/>
    <w:rsid w:val="006B492A"/>
    <w:rsid w:val="006B4956"/>
    <w:rsid w:val="006C3022"/>
    <w:rsid w:val="006C772F"/>
    <w:rsid w:val="006D6DED"/>
    <w:rsid w:val="006E667A"/>
    <w:rsid w:val="006E708C"/>
    <w:rsid w:val="006F2C90"/>
    <w:rsid w:val="006F392E"/>
    <w:rsid w:val="006F67E7"/>
    <w:rsid w:val="006F6989"/>
    <w:rsid w:val="006F7285"/>
    <w:rsid w:val="00703931"/>
    <w:rsid w:val="00703F72"/>
    <w:rsid w:val="00704AA8"/>
    <w:rsid w:val="00707CFD"/>
    <w:rsid w:val="00712CED"/>
    <w:rsid w:val="00717873"/>
    <w:rsid w:val="0072414D"/>
    <w:rsid w:val="007252CB"/>
    <w:rsid w:val="00725441"/>
    <w:rsid w:val="00727EA9"/>
    <w:rsid w:val="00736C01"/>
    <w:rsid w:val="00736DA5"/>
    <w:rsid w:val="00747F9D"/>
    <w:rsid w:val="007539F3"/>
    <w:rsid w:val="00755504"/>
    <w:rsid w:val="0075683E"/>
    <w:rsid w:val="00763D0C"/>
    <w:rsid w:val="00764FB8"/>
    <w:rsid w:val="0077481A"/>
    <w:rsid w:val="0077519C"/>
    <w:rsid w:val="00780084"/>
    <w:rsid w:val="007800BC"/>
    <w:rsid w:val="007845BB"/>
    <w:rsid w:val="00784D27"/>
    <w:rsid w:val="007879B9"/>
    <w:rsid w:val="00790973"/>
    <w:rsid w:val="00793121"/>
    <w:rsid w:val="007A0D8F"/>
    <w:rsid w:val="007A19F4"/>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50347"/>
    <w:rsid w:val="00852669"/>
    <w:rsid w:val="00853C03"/>
    <w:rsid w:val="00853D3F"/>
    <w:rsid w:val="00860D3C"/>
    <w:rsid w:val="008679E2"/>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2E1B"/>
    <w:rsid w:val="008B63BD"/>
    <w:rsid w:val="008B67FD"/>
    <w:rsid w:val="008C0A59"/>
    <w:rsid w:val="008C3970"/>
    <w:rsid w:val="008C5061"/>
    <w:rsid w:val="008C57B7"/>
    <w:rsid w:val="008C6E9D"/>
    <w:rsid w:val="008C6F57"/>
    <w:rsid w:val="008D1840"/>
    <w:rsid w:val="008F3262"/>
    <w:rsid w:val="008F35FD"/>
    <w:rsid w:val="008F41C2"/>
    <w:rsid w:val="0090511F"/>
    <w:rsid w:val="009054FD"/>
    <w:rsid w:val="00910B68"/>
    <w:rsid w:val="009171B2"/>
    <w:rsid w:val="0091778B"/>
    <w:rsid w:val="00923AA5"/>
    <w:rsid w:val="009249B0"/>
    <w:rsid w:val="009276FD"/>
    <w:rsid w:val="00927B83"/>
    <w:rsid w:val="0093017D"/>
    <w:rsid w:val="00931208"/>
    <w:rsid w:val="00936BD2"/>
    <w:rsid w:val="0094278A"/>
    <w:rsid w:val="00947890"/>
    <w:rsid w:val="009506F4"/>
    <w:rsid w:val="00950881"/>
    <w:rsid w:val="009540C9"/>
    <w:rsid w:val="00961D8D"/>
    <w:rsid w:val="00963F4F"/>
    <w:rsid w:val="009641B5"/>
    <w:rsid w:val="009711A1"/>
    <w:rsid w:val="00976CC2"/>
    <w:rsid w:val="00976E2C"/>
    <w:rsid w:val="00982750"/>
    <w:rsid w:val="009859BD"/>
    <w:rsid w:val="00986670"/>
    <w:rsid w:val="009870BA"/>
    <w:rsid w:val="009915E4"/>
    <w:rsid w:val="009924BA"/>
    <w:rsid w:val="0099724E"/>
    <w:rsid w:val="00997252"/>
    <w:rsid w:val="009A0859"/>
    <w:rsid w:val="009A486C"/>
    <w:rsid w:val="009A60E5"/>
    <w:rsid w:val="009A7561"/>
    <w:rsid w:val="009B081F"/>
    <w:rsid w:val="009B152A"/>
    <w:rsid w:val="009B366C"/>
    <w:rsid w:val="009B6562"/>
    <w:rsid w:val="009C5AEE"/>
    <w:rsid w:val="009D1389"/>
    <w:rsid w:val="009D28E5"/>
    <w:rsid w:val="009D2BAC"/>
    <w:rsid w:val="009D5561"/>
    <w:rsid w:val="009E1B77"/>
    <w:rsid w:val="009E343A"/>
    <w:rsid w:val="009E445C"/>
    <w:rsid w:val="009E5E21"/>
    <w:rsid w:val="009F0355"/>
    <w:rsid w:val="009F3C45"/>
    <w:rsid w:val="009F3FA6"/>
    <w:rsid w:val="009F6B5E"/>
    <w:rsid w:val="00A0051A"/>
    <w:rsid w:val="00A201E9"/>
    <w:rsid w:val="00A246D0"/>
    <w:rsid w:val="00A274D4"/>
    <w:rsid w:val="00A3090F"/>
    <w:rsid w:val="00A32440"/>
    <w:rsid w:val="00A43D66"/>
    <w:rsid w:val="00A5449B"/>
    <w:rsid w:val="00A54A5A"/>
    <w:rsid w:val="00A561A2"/>
    <w:rsid w:val="00A56EEE"/>
    <w:rsid w:val="00A62127"/>
    <w:rsid w:val="00A62372"/>
    <w:rsid w:val="00A62DCF"/>
    <w:rsid w:val="00A644AE"/>
    <w:rsid w:val="00A703E5"/>
    <w:rsid w:val="00A704DA"/>
    <w:rsid w:val="00A77377"/>
    <w:rsid w:val="00A809D7"/>
    <w:rsid w:val="00A833AE"/>
    <w:rsid w:val="00A838F5"/>
    <w:rsid w:val="00A839CD"/>
    <w:rsid w:val="00A8500B"/>
    <w:rsid w:val="00A8568D"/>
    <w:rsid w:val="00A85C2F"/>
    <w:rsid w:val="00A9738E"/>
    <w:rsid w:val="00A97DA4"/>
    <w:rsid w:val="00AB0E62"/>
    <w:rsid w:val="00AB5762"/>
    <w:rsid w:val="00AC3B7D"/>
    <w:rsid w:val="00AC4A60"/>
    <w:rsid w:val="00AC560C"/>
    <w:rsid w:val="00AC792B"/>
    <w:rsid w:val="00AD068C"/>
    <w:rsid w:val="00AD69EB"/>
    <w:rsid w:val="00AD6FF5"/>
    <w:rsid w:val="00AE00D5"/>
    <w:rsid w:val="00AE0591"/>
    <w:rsid w:val="00AE3B18"/>
    <w:rsid w:val="00AF1404"/>
    <w:rsid w:val="00AF4AC6"/>
    <w:rsid w:val="00AF617E"/>
    <w:rsid w:val="00AF7ABC"/>
    <w:rsid w:val="00AF7F1E"/>
    <w:rsid w:val="00B01557"/>
    <w:rsid w:val="00B0559C"/>
    <w:rsid w:val="00B10198"/>
    <w:rsid w:val="00B11C76"/>
    <w:rsid w:val="00B15B9B"/>
    <w:rsid w:val="00B174C6"/>
    <w:rsid w:val="00B17A0F"/>
    <w:rsid w:val="00B24E67"/>
    <w:rsid w:val="00B252A5"/>
    <w:rsid w:val="00B2655D"/>
    <w:rsid w:val="00B30284"/>
    <w:rsid w:val="00B31A6F"/>
    <w:rsid w:val="00B32DF4"/>
    <w:rsid w:val="00B3659B"/>
    <w:rsid w:val="00B37A69"/>
    <w:rsid w:val="00B46F01"/>
    <w:rsid w:val="00B51C5B"/>
    <w:rsid w:val="00B5614A"/>
    <w:rsid w:val="00B56CF4"/>
    <w:rsid w:val="00B57FFE"/>
    <w:rsid w:val="00B62F37"/>
    <w:rsid w:val="00B63E40"/>
    <w:rsid w:val="00B640C9"/>
    <w:rsid w:val="00B66F04"/>
    <w:rsid w:val="00B6756A"/>
    <w:rsid w:val="00B67FE8"/>
    <w:rsid w:val="00B71834"/>
    <w:rsid w:val="00B7782E"/>
    <w:rsid w:val="00B90776"/>
    <w:rsid w:val="00B92388"/>
    <w:rsid w:val="00BA1228"/>
    <w:rsid w:val="00BA42EF"/>
    <w:rsid w:val="00BB3C2F"/>
    <w:rsid w:val="00BB64BA"/>
    <w:rsid w:val="00BB672B"/>
    <w:rsid w:val="00BC1350"/>
    <w:rsid w:val="00BD10A1"/>
    <w:rsid w:val="00BD189C"/>
    <w:rsid w:val="00BD4883"/>
    <w:rsid w:val="00BD6EDF"/>
    <w:rsid w:val="00BE12AF"/>
    <w:rsid w:val="00BE13DF"/>
    <w:rsid w:val="00BE36E3"/>
    <w:rsid w:val="00BF054C"/>
    <w:rsid w:val="00BF1A98"/>
    <w:rsid w:val="00BF2996"/>
    <w:rsid w:val="00BF5003"/>
    <w:rsid w:val="00BF6352"/>
    <w:rsid w:val="00BF73F2"/>
    <w:rsid w:val="00C0192E"/>
    <w:rsid w:val="00C07DC7"/>
    <w:rsid w:val="00C12BB7"/>
    <w:rsid w:val="00C2663E"/>
    <w:rsid w:val="00C2675B"/>
    <w:rsid w:val="00C3359E"/>
    <w:rsid w:val="00C3541D"/>
    <w:rsid w:val="00C41560"/>
    <w:rsid w:val="00C42984"/>
    <w:rsid w:val="00C438AB"/>
    <w:rsid w:val="00C46CA3"/>
    <w:rsid w:val="00C47D5D"/>
    <w:rsid w:val="00C52C3D"/>
    <w:rsid w:val="00C535F0"/>
    <w:rsid w:val="00C5533B"/>
    <w:rsid w:val="00C703F9"/>
    <w:rsid w:val="00C85295"/>
    <w:rsid w:val="00C93866"/>
    <w:rsid w:val="00CA56EC"/>
    <w:rsid w:val="00CB04D9"/>
    <w:rsid w:val="00CB1BA5"/>
    <w:rsid w:val="00CB2E48"/>
    <w:rsid w:val="00CB5386"/>
    <w:rsid w:val="00CB717A"/>
    <w:rsid w:val="00CC6E46"/>
    <w:rsid w:val="00CE012B"/>
    <w:rsid w:val="00CE3830"/>
    <w:rsid w:val="00CF01BB"/>
    <w:rsid w:val="00CF122A"/>
    <w:rsid w:val="00CF4EB8"/>
    <w:rsid w:val="00CF5BF7"/>
    <w:rsid w:val="00CF7407"/>
    <w:rsid w:val="00D10C8F"/>
    <w:rsid w:val="00D11B67"/>
    <w:rsid w:val="00D12C88"/>
    <w:rsid w:val="00D167B6"/>
    <w:rsid w:val="00D16C91"/>
    <w:rsid w:val="00D17526"/>
    <w:rsid w:val="00D17875"/>
    <w:rsid w:val="00D2287D"/>
    <w:rsid w:val="00D3301C"/>
    <w:rsid w:val="00D33CD1"/>
    <w:rsid w:val="00D3633A"/>
    <w:rsid w:val="00D4349E"/>
    <w:rsid w:val="00D43710"/>
    <w:rsid w:val="00D50F4A"/>
    <w:rsid w:val="00D53D10"/>
    <w:rsid w:val="00D54C5E"/>
    <w:rsid w:val="00D54CAA"/>
    <w:rsid w:val="00D57F8A"/>
    <w:rsid w:val="00D67156"/>
    <w:rsid w:val="00D70B5A"/>
    <w:rsid w:val="00D73324"/>
    <w:rsid w:val="00D75482"/>
    <w:rsid w:val="00D770FD"/>
    <w:rsid w:val="00D9598F"/>
    <w:rsid w:val="00D95AA1"/>
    <w:rsid w:val="00DB140F"/>
    <w:rsid w:val="00DB33D4"/>
    <w:rsid w:val="00DB544F"/>
    <w:rsid w:val="00DB7350"/>
    <w:rsid w:val="00DC7658"/>
    <w:rsid w:val="00DD05AB"/>
    <w:rsid w:val="00DD3AAB"/>
    <w:rsid w:val="00DD7E6D"/>
    <w:rsid w:val="00DE0A01"/>
    <w:rsid w:val="00DE2E52"/>
    <w:rsid w:val="00DE6FFB"/>
    <w:rsid w:val="00DF073F"/>
    <w:rsid w:val="00DF1915"/>
    <w:rsid w:val="00DF44FB"/>
    <w:rsid w:val="00DF69F4"/>
    <w:rsid w:val="00E008CE"/>
    <w:rsid w:val="00E03C4A"/>
    <w:rsid w:val="00E138A5"/>
    <w:rsid w:val="00E160A3"/>
    <w:rsid w:val="00E22738"/>
    <w:rsid w:val="00E23502"/>
    <w:rsid w:val="00E269D2"/>
    <w:rsid w:val="00E270A3"/>
    <w:rsid w:val="00E277D0"/>
    <w:rsid w:val="00E27A14"/>
    <w:rsid w:val="00E34446"/>
    <w:rsid w:val="00E34C35"/>
    <w:rsid w:val="00E3577A"/>
    <w:rsid w:val="00E46879"/>
    <w:rsid w:val="00E53392"/>
    <w:rsid w:val="00E600F9"/>
    <w:rsid w:val="00E63AD7"/>
    <w:rsid w:val="00E74919"/>
    <w:rsid w:val="00E846A7"/>
    <w:rsid w:val="00E8644A"/>
    <w:rsid w:val="00E91557"/>
    <w:rsid w:val="00E94E4F"/>
    <w:rsid w:val="00EA6AD0"/>
    <w:rsid w:val="00EB49BB"/>
    <w:rsid w:val="00EC1756"/>
    <w:rsid w:val="00EC6446"/>
    <w:rsid w:val="00EC6F43"/>
    <w:rsid w:val="00EC7FCC"/>
    <w:rsid w:val="00EE3731"/>
    <w:rsid w:val="00EE4B48"/>
    <w:rsid w:val="00EF40FE"/>
    <w:rsid w:val="00EF6418"/>
    <w:rsid w:val="00EF6C98"/>
    <w:rsid w:val="00F0480C"/>
    <w:rsid w:val="00F11947"/>
    <w:rsid w:val="00F12095"/>
    <w:rsid w:val="00F14003"/>
    <w:rsid w:val="00F17C83"/>
    <w:rsid w:val="00F21CA3"/>
    <w:rsid w:val="00F259BD"/>
    <w:rsid w:val="00F27DD4"/>
    <w:rsid w:val="00F31D06"/>
    <w:rsid w:val="00F37A5D"/>
    <w:rsid w:val="00F427B0"/>
    <w:rsid w:val="00F43310"/>
    <w:rsid w:val="00F50CC3"/>
    <w:rsid w:val="00F5271D"/>
    <w:rsid w:val="00F542FC"/>
    <w:rsid w:val="00F54366"/>
    <w:rsid w:val="00F56566"/>
    <w:rsid w:val="00F56D14"/>
    <w:rsid w:val="00F60E16"/>
    <w:rsid w:val="00F636BE"/>
    <w:rsid w:val="00F75AEC"/>
    <w:rsid w:val="00F800D6"/>
    <w:rsid w:val="00F823BB"/>
    <w:rsid w:val="00F83BC7"/>
    <w:rsid w:val="00F8763E"/>
    <w:rsid w:val="00F91F18"/>
    <w:rsid w:val="00F9266C"/>
    <w:rsid w:val="00F96237"/>
    <w:rsid w:val="00F96714"/>
    <w:rsid w:val="00FB218F"/>
    <w:rsid w:val="00FB67F3"/>
    <w:rsid w:val="00FC00B8"/>
    <w:rsid w:val="00FC0464"/>
    <w:rsid w:val="00FC09F2"/>
    <w:rsid w:val="00FC0F1F"/>
    <w:rsid w:val="00FC416D"/>
    <w:rsid w:val="00FD0C89"/>
    <w:rsid w:val="00FD4E85"/>
    <w:rsid w:val="00FD4F25"/>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03BAF"/>
  <w15:docId w15:val="{AEA202BD-BCCA-4D74-8776-AF83E2C1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F96714"/>
    <w:pPr>
      <w:keepNext/>
      <w:keepLines/>
      <w:numPr>
        <w:numId w:val="35"/>
      </w:numPr>
      <w:spacing w:before="480" w:after="200" w:line="360" w:lineRule="auto"/>
      <w:ind w:left="431" w:hanging="431"/>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F96714"/>
    <w:pPr>
      <w:keepNext/>
      <w:keepLines/>
      <w:numPr>
        <w:ilvl w:val="1"/>
        <w:numId w:val="35"/>
      </w:numPr>
      <w:spacing w:before="400" w:after="200" w:line="360" w:lineRule="auto"/>
      <w:ind w:left="578" w:hanging="578"/>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semiHidden/>
    <w:unhideWhenUsed/>
    <w:rsid w:val="007F6C09"/>
    <w:rPr>
      <w:sz w:val="20"/>
      <w:szCs w:val="20"/>
    </w:rPr>
  </w:style>
  <w:style w:type="character" w:customStyle="1" w:styleId="PripombabesediloZnak">
    <w:name w:val="Pripomba – besedilo Znak"/>
    <w:basedOn w:val="Privzetapisavaodstavka"/>
    <w:link w:val="Pripombabesedilo"/>
    <w:uiPriority w:val="99"/>
    <w:semiHidden/>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F96714"/>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F96714"/>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5.png@01D6BE74.9D71C11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1EC1-75E8-4C0C-8996-CCA08AB1EA16}">
  <ds:schemaRefs>
    <ds:schemaRef ds:uri="http://schemas.openxmlformats.org/officeDocument/2006/bibliography"/>
  </ds:schemaRefs>
</ds:datastoreItem>
</file>

<file path=customXml/itemProps2.xml><?xml version="1.0" encoding="utf-8"?>
<ds:datastoreItem xmlns:ds="http://schemas.openxmlformats.org/officeDocument/2006/customXml" ds:itemID="{55F5EC88-3286-477D-B0A5-E9297928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3648</Words>
  <Characters>20799</Characters>
  <Application>Microsoft Office Word</Application>
  <DocSecurity>4</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Marija Eber</cp:lastModifiedBy>
  <cp:revision>2</cp:revision>
  <cp:lastPrinted>2020-11-26T13:54:00Z</cp:lastPrinted>
  <dcterms:created xsi:type="dcterms:W3CDTF">2020-12-22T09:58:00Z</dcterms:created>
  <dcterms:modified xsi:type="dcterms:W3CDTF">2020-12-22T09:58:00Z</dcterms:modified>
</cp:coreProperties>
</file>