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F5AA0" w:rsidRDefault="00B331CB" w:rsidP="00B331CB">
      <w:pPr>
        <w:pStyle w:val="Naslov10"/>
        <w:jc w:val="both"/>
        <w:rPr>
          <w:rFonts w:cs="Arial"/>
          <w:sz w:val="20"/>
          <w:szCs w:val="20"/>
        </w:rPr>
      </w:pPr>
    </w:p>
    <w:p w14:paraId="11257150" w14:textId="4FA79175" w:rsidR="00654699" w:rsidRDefault="000E3C10" w:rsidP="00654699">
      <w:pPr>
        <w:pStyle w:val="datumtevilka"/>
        <w:rPr>
          <w:rFonts w:cs="Arial"/>
          <w:color w:val="000000"/>
        </w:rPr>
      </w:pPr>
      <w:r w:rsidRPr="00702431">
        <w:rPr>
          <w:i/>
          <w:sz w:val="18"/>
          <w:szCs w:val="18"/>
        </w:rPr>
        <w:t>UNOFFICIAL TRANSLATION</w:t>
      </w:r>
      <w:r w:rsidR="006A0AC5" w:rsidRPr="00702431">
        <w:rPr>
          <w:i/>
          <w:sz w:val="18"/>
          <w:szCs w:val="18"/>
        </w:rPr>
        <w:t xml:space="preserve"> of the Financing Program of the Republic of Slovenia Central Government Budget for the Fiscal Year </w:t>
      </w:r>
      <w:r w:rsidR="001F2F8F" w:rsidRPr="00702431">
        <w:rPr>
          <w:i/>
          <w:sz w:val="18"/>
          <w:szCs w:val="18"/>
        </w:rPr>
        <w:t>20</w:t>
      </w:r>
      <w:r w:rsidR="003A7F60">
        <w:rPr>
          <w:i/>
          <w:sz w:val="18"/>
          <w:szCs w:val="18"/>
        </w:rPr>
        <w:t>2</w:t>
      </w:r>
      <w:r w:rsidR="009721EC">
        <w:rPr>
          <w:i/>
          <w:sz w:val="18"/>
          <w:szCs w:val="18"/>
        </w:rPr>
        <w:t>3</w:t>
      </w:r>
      <w:r w:rsidR="001F2F8F" w:rsidRPr="00702431">
        <w:rPr>
          <w:i/>
          <w:sz w:val="18"/>
          <w:szCs w:val="18"/>
        </w:rPr>
        <w:t xml:space="preserve"> </w:t>
      </w:r>
      <w:r w:rsidR="006A0AC5" w:rsidRPr="00702431">
        <w:rPr>
          <w:i/>
          <w:sz w:val="18"/>
          <w:szCs w:val="18"/>
        </w:rPr>
        <w:t xml:space="preserve">(Government Decision </w:t>
      </w:r>
      <w:r w:rsidR="006A0AC5" w:rsidRPr="005E392E">
        <w:rPr>
          <w:i/>
          <w:sz w:val="18"/>
          <w:szCs w:val="18"/>
        </w:rPr>
        <w:t>No</w:t>
      </w:r>
      <w:r w:rsidR="006A0AC5" w:rsidRPr="00787BC3">
        <w:rPr>
          <w:i/>
          <w:sz w:val="18"/>
          <w:szCs w:val="18"/>
        </w:rPr>
        <w:t xml:space="preserve">. </w:t>
      </w:r>
      <w:r w:rsidR="009721EC" w:rsidRPr="009721EC">
        <w:rPr>
          <w:i/>
          <w:sz w:val="18"/>
          <w:szCs w:val="18"/>
        </w:rPr>
        <w:t xml:space="preserve">41003-21/2022/4 </w:t>
      </w:r>
      <w:r w:rsidR="00C043D5">
        <w:rPr>
          <w:i/>
          <w:sz w:val="18"/>
          <w:szCs w:val="18"/>
        </w:rPr>
        <w:t xml:space="preserve"> </w:t>
      </w:r>
      <w:r w:rsidR="00AC7A2B" w:rsidRPr="002E0E98">
        <w:rPr>
          <w:i/>
          <w:sz w:val="18"/>
          <w:szCs w:val="18"/>
        </w:rPr>
        <w:t>dated</w:t>
      </w:r>
      <w:r w:rsidR="00045AB0" w:rsidRPr="002E0E98">
        <w:rPr>
          <w:i/>
          <w:sz w:val="18"/>
          <w:szCs w:val="18"/>
        </w:rPr>
        <w:t xml:space="preserve"> </w:t>
      </w:r>
      <w:r w:rsidR="009721EC">
        <w:rPr>
          <w:i/>
          <w:sz w:val="18"/>
          <w:szCs w:val="18"/>
        </w:rPr>
        <w:t>22</w:t>
      </w:r>
      <w:r w:rsidR="00C043D5" w:rsidRPr="00787BC3">
        <w:rPr>
          <w:i/>
          <w:sz w:val="18"/>
          <w:szCs w:val="18"/>
        </w:rPr>
        <w:t xml:space="preserve"> </w:t>
      </w:r>
      <w:r w:rsidR="00702431" w:rsidRPr="002E0E98">
        <w:rPr>
          <w:i/>
          <w:sz w:val="18"/>
          <w:szCs w:val="18"/>
        </w:rPr>
        <w:t xml:space="preserve">December </w:t>
      </w:r>
      <w:r w:rsidR="00C043D5" w:rsidRPr="009F4CF6">
        <w:rPr>
          <w:i/>
          <w:sz w:val="18"/>
          <w:szCs w:val="18"/>
        </w:rPr>
        <w:t>202</w:t>
      </w:r>
      <w:r w:rsidR="009721EC">
        <w:rPr>
          <w:i/>
          <w:sz w:val="18"/>
          <w:szCs w:val="18"/>
        </w:rPr>
        <w:t xml:space="preserve">2 and </w:t>
      </w:r>
      <w:r w:rsidR="009721EC" w:rsidRPr="009721EC">
        <w:rPr>
          <w:i/>
          <w:sz w:val="18"/>
          <w:szCs w:val="18"/>
        </w:rPr>
        <w:t>Government Decision No</w:t>
      </w:r>
      <w:r w:rsidR="00654699">
        <w:rPr>
          <w:b/>
          <w:i/>
          <w:sz w:val="18"/>
          <w:szCs w:val="18"/>
        </w:rPr>
        <w:t xml:space="preserve">. </w:t>
      </w:r>
      <w:r w:rsidR="00654699">
        <w:rPr>
          <w:rFonts w:cs="Arial"/>
          <w:color w:val="000000"/>
        </w:rPr>
        <w:t>41003-21/2022/7 dated 13 July 2023)</w:t>
      </w:r>
    </w:p>
    <w:p w14:paraId="017B5448" w14:textId="77777777" w:rsidR="00654699" w:rsidRPr="002760DC" w:rsidRDefault="00654699" w:rsidP="00654699">
      <w:pPr>
        <w:pStyle w:val="datumtevilka"/>
      </w:pPr>
    </w:p>
    <w:p w14:paraId="65D6DE8F" w14:textId="6478CE78" w:rsidR="008B0487" w:rsidRPr="00654699" w:rsidRDefault="008B0487" w:rsidP="00B331CB">
      <w:pPr>
        <w:pStyle w:val="Naslov10"/>
        <w:jc w:val="both"/>
        <w:rPr>
          <w:rFonts w:cs="Arial"/>
          <w:sz w:val="20"/>
          <w:szCs w:val="20"/>
          <w:lang w:val="sl-SI"/>
        </w:rPr>
      </w:pPr>
    </w:p>
    <w:p w14:paraId="7F24F7FA" w14:textId="5457161E" w:rsidR="006E6817" w:rsidRDefault="006E6817" w:rsidP="009721EC">
      <w:pPr>
        <w:pStyle w:val="Naslov10"/>
        <w:rPr>
          <w:rFonts w:cs="Arial"/>
          <w:sz w:val="20"/>
          <w:szCs w:val="20"/>
        </w:rPr>
      </w:pPr>
      <w:r w:rsidRPr="00702431">
        <w:rPr>
          <w:rFonts w:cs="Arial"/>
          <w:sz w:val="20"/>
          <w:szCs w:val="20"/>
        </w:rPr>
        <w:t xml:space="preserve">FINANCING PROGRAM OF THE REPUBLIC OF SLOVENIA CENTRAL GOVERNMENT BUDGET FOR THE FISCAL YEAR </w:t>
      </w:r>
      <w:r w:rsidR="00C043D5" w:rsidRPr="00702431">
        <w:rPr>
          <w:rFonts w:cs="Arial"/>
          <w:sz w:val="20"/>
          <w:szCs w:val="20"/>
        </w:rPr>
        <w:t>20</w:t>
      </w:r>
      <w:r w:rsidR="00C043D5">
        <w:rPr>
          <w:rFonts w:cs="Arial"/>
          <w:sz w:val="20"/>
          <w:szCs w:val="20"/>
        </w:rPr>
        <w:t>2</w:t>
      </w:r>
      <w:r w:rsidR="009721EC">
        <w:rPr>
          <w:rFonts w:cs="Arial"/>
          <w:sz w:val="20"/>
          <w:szCs w:val="20"/>
        </w:rPr>
        <w:t>3</w:t>
      </w:r>
    </w:p>
    <w:p w14:paraId="584CFB6B" w14:textId="07E7CBEF" w:rsidR="009721EC" w:rsidRDefault="009721EC" w:rsidP="00471BB1">
      <w:pPr>
        <w:pStyle w:val="Naslov10"/>
        <w:rPr>
          <w:rFonts w:cs="Arial"/>
          <w:sz w:val="20"/>
          <w:szCs w:val="20"/>
        </w:rPr>
      </w:pPr>
      <w:r>
        <w:rPr>
          <w:rFonts w:cs="Arial"/>
          <w:sz w:val="20"/>
          <w:szCs w:val="20"/>
        </w:rPr>
        <w:t>1</w:t>
      </w:r>
      <w:r w:rsidRPr="00471BB1">
        <w:rPr>
          <w:rFonts w:cs="Arial"/>
          <w:sz w:val="20"/>
          <w:szCs w:val="20"/>
          <w:vertAlign w:val="superscript"/>
        </w:rPr>
        <w:t>st</w:t>
      </w:r>
      <w:r>
        <w:rPr>
          <w:rFonts w:cs="Arial"/>
          <w:sz w:val="20"/>
          <w:szCs w:val="20"/>
        </w:rPr>
        <w:t xml:space="preserve"> Amendment, consolidated version</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2BF86354"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C043D5">
        <w:rPr>
          <w:rFonts w:cs="Arial"/>
          <w:szCs w:val="20"/>
        </w:rPr>
        <w:t>,</w:t>
      </w:r>
      <w:r w:rsidR="00DF539C">
        <w:rPr>
          <w:rFonts w:cs="Arial"/>
          <w:szCs w:val="20"/>
        </w:rPr>
        <w:t xml:space="preserve"> 13/18</w:t>
      </w:r>
      <w:r w:rsidR="00C043D5">
        <w:rPr>
          <w:rFonts w:cs="Arial"/>
          <w:szCs w:val="20"/>
        </w:rPr>
        <w:t xml:space="preserve"> </w:t>
      </w:r>
      <w:r w:rsidR="00C043D5" w:rsidRPr="0025613F">
        <w:rPr>
          <w:rFonts w:cs="Arial"/>
          <w:szCs w:val="20"/>
        </w:rPr>
        <w:t xml:space="preserve">, 13/18 </w:t>
      </w:r>
      <w:r w:rsidR="00C043D5" w:rsidRPr="00773899">
        <w:rPr>
          <w:rFonts w:cs="Arial"/>
          <w:szCs w:val="20"/>
        </w:rPr>
        <w:t>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773899">
          <w:rPr>
            <w:rFonts w:cs="Arial"/>
            <w:szCs w:val="20"/>
          </w:rPr>
          <w:t>195/20</w:t>
        </w:r>
      </w:hyperlink>
      <w:r w:rsidR="00C043D5" w:rsidRPr="00773899">
        <w:rPr>
          <w:rFonts w:cs="Arial"/>
          <w:szCs w:val="20"/>
        </w:rPr>
        <w:t> –</w:t>
      </w:r>
      <w:r w:rsidR="00C043D5">
        <w:rPr>
          <w:rFonts w:cs="Arial"/>
          <w:szCs w:val="20"/>
        </w:rPr>
        <w:t xml:space="preserve"> the </w:t>
      </w:r>
      <w:r w:rsidR="008F28DE">
        <w:rPr>
          <w:rFonts w:cs="Arial"/>
          <w:szCs w:val="20"/>
        </w:rPr>
        <w:t xml:space="preserve">Constitutional </w:t>
      </w:r>
      <w:r w:rsidR="00C043D5">
        <w:rPr>
          <w:rFonts w:cs="Arial"/>
          <w:szCs w:val="20"/>
        </w:rPr>
        <w:t>Court Decision</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75CFFE94" w:rsidR="004C7428" w:rsidRPr="00702431" w:rsidRDefault="004C7428" w:rsidP="004C7428">
      <w:pPr>
        <w:jc w:val="both"/>
        <w:rPr>
          <w:rFonts w:cs="Arial"/>
          <w:szCs w:val="20"/>
        </w:rPr>
      </w:pPr>
      <w:r w:rsidRPr="00186A64">
        <w:rPr>
          <w:rFonts w:cs="Arial"/>
          <w:szCs w:val="20"/>
        </w:rPr>
        <w:t xml:space="preserve">The Financing Program for </w:t>
      </w:r>
      <w:r w:rsidR="00C043D5" w:rsidRPr="00186A64">
        <w:rPr>
          <w:rFonts w:cs="Arial"/>
          <w:szCs w:val="20"/>
        </w:rPr>
        <w:t>20</w:t>
      </w:r>
      <w:r w:rsidR="00C043D5">
        <w:rPr>
          <w:rFonts w:cs="Arial"/>
          <w:szCs w:val="20"/>
        </w:rPr>
        <w:t>22</w:t>
      </w:r>
      <w:r w:rsidR="00C043D5"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666FF349"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w:t>
      </w:r>
      <w:r w:rsidRPr="00702431">
        <w:rPr>
          <w:rFonts w:cs="Arial"/>
          <w:szCs w:val="20"/>
        </w:rPr>
        <w:lastRenderedPageBreak/>
        <w:t xml:space="preserve">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execution, especially since the goals of building a yield curve of Slovenian central government securities and achieving syndicated bond size of €1 billion need 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42CA3F67" w:rsidR="004C7428" w:rsidRPr="00702431" w:rsidRDefault="004C7428" w:rsidP="004C7428">
      <w:pPr>
        <w:jc w:val="both"/>
        <w:rPr>
          <w:rFonts w:cs="Arial"/>
          <w:szCs w:val="20"/>
        </w:rPr>
      </w:pPr>
    </w:p>
    <w:p w14:paraId="59BCD890" w14:textId="319789BC" w:rsidR="004C7428" w:rsidRDefault="004C7428" w:rsidP="004C7428">
      <w:pPr>
        <w:jc w:val="both"/>
        <w:rPr>
          <w:rFonts w:cs="Arial"/>
          <w:szCs w:val="20"/>
        </w:rPr>
      </w:pPr>
      <w:r w:rsidRPr="00702431">
        <w:rPr>
          <w:rFonts w:cs="Arial"/>
          <w:szCs w:val="20"/>
        </w:rPr>
        <w:t xml:space="preserve">Following the strategic targets, the operational targets of the </w:t>
      </w:r>
      <w:r w:rsidR="00C043D5" w:rsidRPr="00286063">
        <w:rPr>
          <w:rFonts w:cs="Arial"/>
          <w:szCs w:val="20"/>
        </w:rPr>
        <w:t>20</w:t>
      </w:r>
      <w:r w:rsidR="00C043D5">
        <w:t>22</w:t>
      </w:r>
      <w:r w:rsidR="00C043D5"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30C2022D" w:rsidR="00F905CD" w:rsidRPr="00702431" w:rsidRDefault="00F905CD" w:rsidP="004C7428">
      <w:pPr>
        <w:jc w:val="both"/>
        <w:rPr>
          <w:rFonts w:cs="Arial"/>
          <w:szCs w:val="20"/>
        </w:rPr>
      </w:pPr>
    </w:p>
    <w:p w14:paraId="3CCCED1F" w14:textId="084562AC" w:rsidR="004C7428" w:rsidRPr="00702431" w:rsidRDefault="004C7428" w:rsidP="004C7428">
      <w:pPr>
        <w:jc w:val="both"/>
        <w:rPr>
          <w:rFonts w:cs="Arial"/>
          <w:szCs w:val="20"/>
        </w:rPr>
      </w:pPr>
    </w:p>
    <w:p w14:paraId="1CB18BD1" w14:textId="076B0CB1"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00C043D5" w:rsidRPr="009C1DF7">
        <w:t>20</w:t>
      </w:r>
      <w:r w:rsidR="00C043D5">
        <w:t>2</w:t>
      </w:r>
      <w:r w:rsidR="00EE344F">
        <w:t>3</w:t>
      </w:r>
    </w:p>
    <w:p w14:paraId="624D8453" w14:textId="003DC9A9" w:rsidR="004C7428" w:rsidRPr="00874AE8" w:rsidRDefault="004C7428" w:rsidP="004C7428">
      <w:pPr>
        <w:rPr>
          <w:rFonts w:cs="Arial"/>
          <w:szCs w:val="20"/>
        </w:rPr>
      </w:pPr>
      <w:r w:rsidRPr="00874AE8">
        <w:rPr>
          <w:rFonts w:cs="Arial"/>
          <w:szCs w:val="20"/>
        </w:rPr>
        <w:t xml:space="preserve"> </w:t>
      </w:r>
    </w:p>
    <w:p w14:paraId="52DA5538" w14:textId="51DF21C7"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C043D5" w:rsidRPr="00702431">
        <w:rPr>
          <w:rFonts w:ascii="Arial" w:hAnsi="Arial" w:cs="Arial"/>
          <w:i w:val="0"/>
          <w:sz w:val="20"/>
          <w:szCs w:val="20"/>
        </w:rPr>
        <w:t>20</w:t>
      </w:r>
      <w:r w:rsidR="00C043D5">
        <w:rPr>
          <w:rFonts w:ascii="Arial" w:hAnsi="Arial" w:cs="Arial"/>
          <w:i w:val="0"/>
          <w:sz w:val="20"/>
          <w:szCs w:val="20"/>
        </w:rPr>
        <w:t>2</w:t>
      </w:r>
      <w:r w:rsidR="00EE344F">
        <w:rPr>
          <w:rFonts w:ascii="Arial" w:hAnsi="Arial" w:cs="Arial"/>
          <w:i w:val="0"/>
          <w:sz w:val="20"/>
          <w:szCs w:val="20"/>
        </w:rPr>
        <w:t>3</w:t>
      </w:r>
    </w:p>
    <w:p w14:paraId="1D0422DB" w14:textId="6450723C" w:rsidR="004C7428" w:rsidRPr="00702431" w:rsidRDefault="004C7428" w:rsidP="004C7428">
      <w:pPr>
        <w:jc w:val="both"/>
        <w:rPr>
          <w:rFonts w:cs="Arial"/>
          <w:sz w:val="16"/>
          <w:szCs w:val="16"/>
        </w:rPr>
      </w:pPr>
    </w:p>
    <w:p w14:paraId="42B9F969" w14:textId="11D6C677"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3D7A0CAD" w:rsidR="004C7428" w:rsidRPr="00702431" w:rsidRDefault="004C7428" w:rsidP="004C7428">
      <w:pPr>
        <w:jc w:val="both"/>
        <w:rPr>
          <w:rFonts w:cs="Arial"/>
          <w:b/>
          <w:sz w:val="16"/>
          <w:szCs w:val="16"/>
        </w:rPr>
      </w:pPr>
    </w:p>
    <w:p w14:paraId="28F6E975" w14:textId="3EB37658" w:rsidR="004C7428" w:rsidRDefault="004C7428" w:rsidP="004C7428">
      <w:pPr>
        <w:jc w:val="both"/>
        <w:rPr>
          <w:rFonts w:cs="Arial"/>
          <w:szCs w:val="20"/>
          <w:u w:val="single"/>
        </w:rPr>
      </w:pPr>
      <w:r w:rsidRPr="00EE54EC">
        <w:rPr>
          <w:rFonts w:cs="Arial"/>
          <w:szCs w:val="20"/>
        </w:rPr>
        <w:t>The chart below shows the outstanding central government budget debt</w:t>
      </w:r>
      <w:r>
        <w:rPr>
          <w:rFonts w:cs="Arial"/>
          <w:szCs w:val="20"/>
        </w:rPr>
        <w:t xml:space="preserve"> repayments in the period from </w:t>
      </w:r>
      <w:r w:rsidR="00430B85">
        <w:rPr>
          <w:rFonts w:cs="Arial"/>
          <w:szCs w:val="20"/>
        </w:rPr>
        <w:t>20</w:t>
      </w:r>
      <w:r w:rsidR="003A7F60">
        <w:rPr>
          <w:rFonts w:cs="Arial"/>
          <w:szCs w:val="20"/>
        </w:rPr>
        <w:t>2</w:t>
      </w:r>
      <w:r w:rsidR="00EE344F">
        <w:rPr>
          <w:rFonts w:cs="Arial"/>
          <w:szCs w:val="20"/>
        </w:rPr>
        <w:t>3</w:t>
      </w:r>
      <w:r w:rsidR="00430B85">
        <w:rPr>
          <w:rFonts w:cs="Arial"/>
          <w:szCs w:val="20"/>
        </w:rPr>
        <w:t xml:space="preserve"> </w:t>
      </w:r>
      <w:r>
        <w:rPr>
          <w:rFonts w:cs="Arial"/>
          <w:szCs w:val="20"/>
        </w:rPr>
        <w:t xml:space="preserve">until </w:t>
      </w:r>
      <w:r w:rsidR="00C043D5">
        <w:rPr>
          <w:rFonts w:cs="Arial"/>
          <w:szCs w:val="20"/>
        </w:rPr>
        <w:t>2081</w:t>
      </w:r>
      <w:r w:rsidR="00286702">
        <w:rPr>
          <w:rFonts w:cs="Arial"/>
          <w:szCs w:val="20"/>
        </w:rPr>
        <w:t>,</w:t>
      </w:r>
      <w:r>
        <w:rPr>
          <w:rFonts w:cs="Arial"/>
          <w:szCs w:val="20"/>
        </w:rPr>
        <w:t xml:space="preserve"> </w:t>
      </w:r>
      <w:r w:rsidRPr="00CA6ED1">
        <w:rPr>
          <w:rFonts w:cs="Arial"/>
          <w:szCs w:val="20"/>
        </w:rPr>
        <w:t>projected on the basis of the outstanding central government budget debt</w:t>
      </w:r>
      <w:r w:rsidR="00C043D5">
        <w:rPr>
          <w:rFonts w:cs="Arial"/>
          <w:szCs w:val="20"/>
        </w:rPr>
        <w:t xml:space="preserve"> </w:t>
      </w:r>
      <w:r w:rsidR="00C043D5" w:rsidRPr="00D63376">
        <w:rPr>
          <w:rFonts w:cs="Arial"/>
          <w:szCs w:val="20"/>
          <w:u w:val="single"/>
        </w:rPr>
        <w:t xml:space="preserve">as of </w:t>
      </w:r>
      <w:r w:rsidR="00EE344F" w:rsidRPr="00D63376">
        <w:rPr>
          <w:rFonts w:cs="Arial"/>
          <w:szCs w:val="20"/>
          <w:u w:val="single"/>
        </w:rPr>
        <w:t>15 June</w:t>
      </w:r>
      <w:r w:rsidR="00C043D5" w:rsidRPr="00D63376">
        <w:rPr>
          <w:rFonts w:cs="Arial"/>
          <w:szCs w:val="20"/>
          <w:u w:val="single"/>
        </w:rPr>
        <w:t xml:space="preserve"> 202</w:t>
      </w:r>
      <w:r w:rsidR="00EE344F" w:rsidRPr="00D63376">
        <w:rPr>
          <w:rFonts w:cs="Arial"/>
          <w:szCs w:val="20"/>
          <w:u w:val="single"/>
        </w:rPr>
        <w:t>3</w:t>
      </w:r>
      <w:r w:rsidRPr="00D63376">
        <w:rPr>
          <w:rFonts w:cs="Arial"/>
          <w:szCs w:val="20"/>
          <w:u w:val="single"/>
        </w:rPr>
        <w:t>.</w:t>
      </w:r>
    </w:p>
    <w:p w14:paraId="05CFEEEE" w14:textId="77777777" w:rsidR="004222B0" w:rsidRPr="00D63376" w:rsidRDefault="004222B0" w:rsidP="004C7428">
      <w:pPr>
        <w:jc w:val="both"/>
        <w:rPr>
          <w:rFonts w:cs="Arial"/>
          <w:szCs w:val="20"/>
          <w:u w:val="single"/>
        </w:rPr>
      </w:pPr>
    </w:p>
    <w:p w14:paraId="4C4D8A56" w14:textId="5FFF1F2E" w:rsidR="004222B0" w:rsidRDefault="004222B0" w:rsidP="004C7428">
      <w:pPr>
        <w:jc w:val="both"/>
        <w:rPr>
          <w:rFonts w:cs="Arial"/>
          <w:szCs w:val="20"/>
        </w:rPr>
      </w:pPr>
      <w:r>
        <w:rPr>
          <w:rFonts w:cs="Arial"/>
          <w:szCs w:val="20"/>
        </w:rPr>
        <w:drawing>
          <wp:anchor distT="0" distB="0" distL="114300" distR="114300" simplePos="0" relativeHeight="251658240" behindDoc="0" locked="0" layoutInCell="1" allowOverlap="1" wp14:anchorId="14BC9EFB" wp14:editId="75639335">
            <wp:simplePos x="0" y="0"/>
            <wp:positionH relativeFrom="margin">
              <wp:posOffset>-3810</wp:posOffset>
            </wp:positionH>
            <wp:positionV relativeFrom="paragraph">
              <wp:posOffset>294640</wp:posOffset>
            </wp:positionV>
            <wp:extent cx="5104130" cy="3409315"/>
            <wp:effectExtent l="0" t="0" r="1270" b="63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2078" b="4968"/>
                    <a:stretch/>
                  </pic:blipFill>
                  <pic:spPr bwMode="auto">
                    <a:xfrm>
                      <a:off x="0" y="0"/>
                      <a:ext cx="5104130" cy="3409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5ADE" w:rsidRPr="00615590">
        <w:rPr>
          <w:rFonts w:cs="Arial"/>
          <w:szCs w:val="20"/>
        </w:rPr>
        <w:t>Chart 1: Central government budget debt r</w:t>
      </w:r>
      <w:r w:rsidR="003E5ADE" w:rsidRPr="0046087E">
        <w:rPr>
          <w:rFonts w:cs="Arial"/>
          <w:szCs w:val="20"/>
        </w:rPr>
        <w:t>e</w:t>
      </w:r>
      <w:r w:rsidR="003E5ADE" w:rsidRPr="007B508F">
        <w:rPr>
          <w:rFonts w:cs="Arial"/>
          <w:szCs w:val="20"/>
        </w:rPr>
        <w:t>payments</w:t>
      </w:r>
    </w:p>
    <w:p w14:paraId="7F3A754A" w14:textId="3F12C1CD" w:rsidR="006E6817" w:rsidRPr="00CA0289" w:rsidRDefault="006E6817" w:rsidP="008C248F">
      <w:pPr>
        <w:jc w:val="both"/>
        <w:rPr>
          <w:rFonts w:cs="Arial"/>
          <w:i/>
          <w:iCs/>
          <w:szCs w:val="20"/>
          <w:lang w:eastAsia="en-GB"/>
        </w:rPr>
      </w:pPr>
      <w:r w:rsidRPr="00CA0289">
        <w:rPr>
          <w:rFonts w:cs="Arial"/>
          <w:i/>
          <w:iCs/>
          <w:sz w:val="16"/>
          <w:szCs w:val="16"/>
        </w:rPr>
        <w:t>* Source</w:t>
      </w:r>
      <w:r w:rsidR="005D4FA8" w:rsidRPr="00CA0289">
        <w:rPr>
          <w:rFonts w:cs="Arial"/>
          <w:i/>
          <w:iCs/>
          <w:sz w:val="16"/>
          <w:szCs w:val="16"/>
        </w:rPr>
        <w:t>:</w:t>
      </w:r>
      <w:r w:rsidRPr="00CA0289">
        <w:rPr>
          <w:rFonts w:cs="Arial"/>
          <w:i/>
          <w:iCs/>
          <w:sz w:val="16"/>
          <w:szCs w:val="16"/>
        </w:rPr>
        <w:t xml:space="preserve"> M</w:t>
      </w:r>
      <w:r w:rsidR="004009A1" w:rsidRPr="00CA0289">
        <w:rPr>
          <w:rFonts w:cs="Arial"/>
          <w:i/>
          <w:iCs/>
          <w:sz w:val="16"/>
          <w:szCs w:val="16"/>
        </w:rPr>
        <w:t>o</w:t>
      </w:r>
      <w:r w:rsidRPr="00CA0289">
        <w:rPr>
          <w:rFonts w:cs="Arial"/>
          <w:i/>
          <w:iCs/>
          <w:sz w:val="16"/>
          <w:szCs w:val="16"/>
        </w:rPr>
        <w:t>F, exchange rate - BoS rate</w:t>
      </w:r>
      <w:r w:rsidR="00AC7A2B" w:rsidRPr="00CA0289">
        <w:rPr>
          <w:rFonts w:cs="Arial"/>
          <w:i/>
          <w:iCs/>
          <w:sz w:val="16"/>
          <w:szCs w:val="16"/>
        </w:rPr>
        <w:t xml:space="preserve"> </w:t>
      </w:r>
      <w:r w:rsidR="00B7006D">
        <w:rPr>
          <w:rFonts w:cs="Arial"/>
          <w:i/>
          <w:iCs/>
          <w:sz w:val="16"/>
          <w:szCs w:val="16"/>
        </w:rPr>
        <w:t xml:space="preserve">15 </w:t>
      </w:r>
      <w:r w:rsidR="00B35CFB">
        <w:rPr>
          <w:rFonts w:cs="Arial"/>
          <w:i/>
          <w:iCs/>
          <w:sz w:val="16"/>
          <w:szCs w:val="16"/>
        </w:rPr>
        <w:t>J</w:t>
      </w:r>
      <w:r w:rsidR="00B7006D">
        <w:rPr>
          <w:rFonts w:cs="Arial"/>
          <w:i/>
          <w:iCs/>
          <w:sz w:val="16"/>
          <w:szCs w:val="16"/>
        </w:rPr>
        <w:t>une 2023</w:t>
      </w:r>
      <w:r w:rsidR="00192E5A" w:rsidRPr="00CA0289">
        <w:rPr>
          <w:rFonts w:cs="Arial"/>
          <w:i/>
          <w:iCs/>
          <w:sz w:val="16"/>
          <w:szCs w:val="16"/>
        </w:rPr>
        <w:t>.</w:t>
      </w:r>
    </w:p>
    <w:p w14:paraId="00B2A6B3" w14:textId="77777777" w:rsidR="00BE486B" w:rsidRDefault="00BE486B" w:rsidP="00B331CB">
      <w:pPr>
        <w:jc w:val="both"/>
        <w:rPr>
          <w:rFonts w:cs="Arial"/>
          <w:sz w:val="14"/>
          <w:szCs w:val="20"/>
        </w:rPr>
      </w:pPr>
    </w:p>
    <w:p w14:paraId="224B5AD1" w14:textId="05754397" w:rsidR="00440F98" w:rsidRDefault="005E392E" w:rsidP="00B331CB">
      <w:pPr>
        <w:jc w:val="both"/>
        <w:rPr>
          <w:rFonts w:cs="Arial"/>
          <w:b/>
          <w:szCs w:val="20"/>
        </w:rPr>
      </w:pPr>
      <w:r w:rsidRPr="00C976CE">
        <w:rPr>
          <w:rFonts w:cs="Arial"/>
          <w:b/>
          <w:szCs w:val="20"/>
        </w:rPr>
        <w:lastRenderedPageBreak/>
        <w:t>2.1</w:t>
      </w:r>
      <w:r w:rsidR="006E6817" w:rsidRPr="00C976CE">
        <w:rPr>
          <w:rFonts w:cs="Arial"/>
          <w:b/>
          <w:szCs w:val="20"/>
        </w:rPr>
        <w:t xml:space="preserve">.2. The outstanding central government budget debt as at the end of </w:t>
      </w:r>
      <w:r w:rsidR="003E5ADE" w:rsidRPr="00C976CE">
        <w:rPr>
          <w:rFonts w:cs="Arial"/>
          <w:b/>
          <w:szCs w:val="20"/>
        </w:rPr>
        <w:t>20</w:t>
      </w:r>
      <w:r w:rsidR="003E5ADE">
        <w:rPr>
          <w:rFonts w:cs="Arial"/>
          <w:b/>
          <w:szCs w:val="20"/>
        </w:rPr>
        <w:t>2</w:t>
      </w:r>
      <w:r w:rsidR="00A20C29">
        <w:rPr>
          <w:rFonts w:cs="Arial"/>
          <w:b/>
          <w:szCs w:val="20"/>
        </w:rPr>
        <w:t>2</w:t>
      </w:r>
      <w:r w:rsidR="003E5ADE"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3E5ADE" w:rsidRPr="00702431">
        <w:rPr>
          <w:rFonts w:cs="Arial"/>
          <w:b/>
          <w:szCs w:val="20"/>
        </w:rPr>
        <w:t>20</w:t>
      </w:r>
      <w:r w:rsidR="003E5ADE">
        <w:rPr>
          <w:rFonts w:cs="Arial"/>
          <w:b/>
          <w:szCs w:val="20"/>
        </w:rPr>
        <w:t>2</w:t>
      </w:r>
      <w:r w:rsidR="00A20C29">
        <w:rPr>
          <w:rFonts w:cs="Arial"/>
          <w:b/>
          <w:szCs w:val="20"/>
        </w:rPr>
        <w:t>3</w:t>
      </w:r>
    </w:p>
    <w:p w14:paraId="3A92D823" w14:textId="77777777" w:rsidR="00471D54" w:rsidRDefault="00471D54" w:rsidP="00B331CB">
      <w:pPr>
        <w:jc w:val="both"/>
        <w:rPr>
          <w:rFonts w:cs="Arial"/>
          <w:szCs w:val="20"/>
        </w:rPr>
      </w:pPr>
    </w:p>
    <w:p w14:paraId="2E7A955A" w14:textId="2E093994" w:rsidR="006E6817" w:rsidRDefault="00CC0F4D" w:rsidP="00F14CBC">
      <w:pPr>
        <w:jc w:val="both"/>
        <w:rPr>
          <w:rFonts w:cs="Arial"/>
          <w:szCs w:val="20"/>
        </w:rPr>
      </w:pPr>
      <w:r>
        <w:rPr>
          <w:rFonts w:cs="Arial"/>
          <w:szCs w:val="20"/>
        </w:rPr>
        <w:t>On the basis of</w:t>
      </w:r>
      <w:r w:rsidR="006E6817" w:rsidRPr="00702431">
        <w:rPr>
          <w:rFonts w:cs="Arial"/>
          <w:szCs w:val="20"/>
        </w:rPr>
        <w:t xml:space="preserve"> the execut</w:t>
      </w:r>
      <w:r>
        <w:rPr>
          <w:rFonts w:cs="Arial"/>
          <w:szCs w:val="20"/>
        </w:rPr>
        <w:t>ed</w:t>
      </w:r>
      <w:r w:rsidR="006E6817"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Pr>
          <w:rFonts w:cs="Arial"/>
          <w:szCs w:val="20"/>
        </w:rPr>
        <w:t xml:space="preserve"> </w:t>
      </w:r>
      <w:r w:rsidR="006E6817" w:rsidRPr="00702431">
        <w:rPr>
          <w:rFonts w:cs="Arial"/>
          <w:szCs w:val="20"/>
        </w:rPr>
        <w:t xml:space="preserve">in the </w:t>
      </w:r>
      <w:r>
        <w:rPr>
          <w:rFonts w:cs="Arial"/>
          <w:szCs w:val="20"/>
        </w:rPr>
        <w:t xml:space="preserve">total </w:t>
      </w:r>
      <w:r w:rsidR="006E6817" w:rsidRPr="00702431">
        <w:rPr>
          <w:rFonts w:cs="Arial"/>
          <w:szCs w:val="20"/>
        </w:rPr>
        <w:t>amount of €</w:t>
      </w:r>
      <w:r w:rsidR="003E5ADE" w:rsidRPr="00773899">
        <w:rPr>
          <w:rFonts w:cs="Arial"/>
          <w:bCs/>
          <w:szCs w:val="20"/>
        </w:rPr>
        <w:t xml:space="preserve"> </w:t>
      </w:r>
      <w:r w:rsidR="00271174" w:rsidRPr="005A7FE0">
        <w:rPr>
          <w:rFonts w:cs="Arial"/>
          <w:bCs/>
          <w:szCs w:val="20"/>
        </w:rPr>
        <w:t xml:space="preserve"> </w:t>
      </w:r>
      <w:r w:rsidR="00934CB5" w:rsidRPr="00934CB5">
        <w:rPr>
          <w:rFonts w:cs="Arial"/>
          <w:bCs/>
          <w:szCs w:val="20"/>
        </w:rPr>
        <w:t>1</w:t>
      </w:r>
      <w:r w:rsidR="00934CB5">
        <w:rPr>
          <w:rFonts w:cs="Arial"/>
          <w:bCs/>
          <w:szCs w:val="20"/>
        </w:rPr>
        <w:t>,</w:t>
      </w:r>
      <w:r w:rsidR="00934CB5" w:rsidRPr="00934CB5">
        <w:rPr>
          <w:rFonts w:cs="Arial"/>
          <w:bCs/>
          <w:szCs w:val="20"/>
        </w:rPr>
        <w:t>754</w:t>
      </w:r>
      <w:r w:rsidR="00934CB5">
        <w:rPr>
          <w:rFonts w:cs="Arial"/>
          <w:bCs/>
          <w:szCs w:val="20"/>
        </w:rPr>
        <w:t>,</w:t>
      </w:r>
      <w:r w:rsidR="00934CB5" w:rsidRPr="00934CB5">
        <w:rPr>
          <w:rFonts w:cs="Arial"/>
          <w:bCs/>
          <w:szCs w:val="20"/>
        </w:rPr>
        <w:t>318</w:t>
      </w:r>
      <w:r w:rsidR="00934CB5">
        <w:rPr>
          <w:rFonts w:cs="Arial"/>
          <w:bCs/>
          <w:szCs w:val="20"/>
        </w:rPr>
        <w:t>,</w:t>
      </w:r>
      <w:r w:rsidR="00934CB5" w:rsidRPr="00934CB5">
        <w:rPr>
          <w:rFonts w:cs="Arial"/>
          <w:bCs/>
          <w:szCs w:val="20"/>
        </w:rPr>
        <w:t xml:space="preserve">722 </w:t>
      </w:r>
      <w:r w:rsidR="00934CB5">
        <w:rPr>
          <w:rFonts w:cs="Arial"/>
          <w:bCs/>
          <w:szCs w:val="20"/>
        </w:rPr>
        <w:t xml:space="preserve">until and including 15 june 2023 </w:t>
      </w:r>
      <w:r w:rsidR="006E6817" w:rsidRPr="009C1DF7">
        <w:rPr>
          <w:rFonts w:cs="Arial"/>
          <w:szCs w:val="20"/>
        </w:rPr>
        <w:t>with the structure of the financing instruments as stat</w:t>
      </w:r>
      <w:r w:rsidR="006E6817" w:rsidRPr="00EE54EC">
        <w:rPr>
          <w:rFonts w:cs="Arial"/>
          <w:szCs w:val="20"/>
        </w:rPr>
        <w:t xml:space="preserve">ed 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w:t>
      </w:r>
      <w:r w:rsidR="003E5ADE">
        <w:rPr>
          <w:rFonts w:cs="Arial"/>
          <w:szCs w:val="20"/>
        </w:rPr>
        <w:t>financing program</w:t>
      </w:r>
      <w:r w:rsidR="006E6817" w:rsidRPr="00EE54EC">
        <w:rPr>
          <w:rFonts w:cs="Arial"/>
          <w:szCs w:val="20"/>
        </w:rPr>
        <w:t xml:space="preserve">, the </w:t>
      </w:r>
      <w:r>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3E5ADE" w:rsidRPr="009C1DF7">
        <w:rPr>
          <w:rFonts w:cs="Arial"/>
          <w:szCs w:val="20"/>
        </w:rPr>
        <w:t>20</w:t>
      </w:r>
      <w:r w:rsidR="003E5ADE">
        <w:rPr>
          <w:rFonts w:cs="Arial"/>
          <w:szCs w:val="20"/>
        </w:rPr>
        <w:t>2</w:t>
      </w:r>
      <w:r w:rsidR="00934CB5">
        <w:rPr>
          <w:rFonts w:cs="Arial"/>
          <w:szCs w:val="20"/>
        </w:rPr>
        <w:t>3</w:t>
      </w:r>
      <w:r w:rsidR="003E5ADE" w:rsidRPr="009C1DF7">
        <w:rPr>
          <w:rFonts w:cs="Arial"/>
          <w:szCs w:val="20"/>
        </w:rPr>
        <w:t xml:space="preserve"> </w:t>
      </w:r>
      <w:r w:rsidR="00C51765">
        <w:rPr>
          <w:rFonts w:cs="Arial"/>
          <w:szCs w:val="20"/>
        </w:rPr>
        <w:t xml:space="preserve">is estimated to stand at </w:t>
      </w:r>
      <w:r w:rsidR="00C51765" w:rsidRPr="009C1DF7">
        <w:rPr>
          <w:rFonts w:cs="Arial"/>
          <w:szCs w:val="20"/>
        </w:rPr>
        <w:t xml:space="preserve"> </w:t>
      </w:r>
      <w:r w:rsidR="006E6817" w:rsidRPr="009C1DF7">
        <w:rPr>
          <w:rFonts w:cs="Arial"/>
          <w:szCs w:val="20"/>
        </w:rPr>
        <w:t>€</w:t>
      </w:r>
      <w:r w:rsidR="003E5ADE" w:rsidRPr="00773899">
        <w:rPr>
          <w:rFonts w:cs="Arial"/>
          <w:bCs/>
          <w:szCs w:val="20"/>
        </w:rPr>
        <w:t>40</w:t>
      </w:r>
      <w:r w:rsidR="003E5ADE">
        <w:rPr>
          <w:rFonts w:cs="Arial"/>
          <w:bCs/>
          <w:szCs w:val="20"/>
        </w:rPr>
        <w:t>,</w:t>
      </w:r>
      <w:r w:rsidR="00934CB5" w:rsidRPr="00934CB5">
        <w:t xml:space="preserve"> </w:t>
      </w:r>
      <w:r w:rsidR="00934CB5" w:rsidRPr="00934CB5">
        <w:rPr>
          <w:rFonts w:cs="Arial"/>
          <w:bCs/>
          <w:szCs w:val="20"/>
        </w:rPr>
        <w:t>942</w:t>
      </w:r>
      <w:r w:rsidR="00934CB5">
        <w:rPr>
          <w:rFonts w:cs="Arial"/>
          <w:bCs/>
          <w:szCs w:val="20"/>
        </w:rPr>
        <w:t>,</w:t>
      </w:r>
      <w:r w:rsidR="00934CB5" w:rsidRPr="00934CB5">
        <w:rPr>
          <w:rFonts w:cs="Arial"/>
          <w:bCs/>
          <w:szCs w:val="20"/>
        </w:rPr>
        <w:t>285</w:t>
      </w:r>
      <w:r w:rsidR="00934CB5">
        <w:rPr>
          <w:rFonts w:cs="Arial"/>
          <w:bCs/>
          <w:szCs w:val="20"/>
        </w:rPr>
        <w:t>,</w:t>
      </w:r>
      <w:r w:rsidR="00934CB5" w:rsidRPr="00934CB5">
        <w:rPr>
          <w:rFonts w:cs="Arial"/>
          <w:bCs/>
          <w:szCs w:val="20"/>
        </w:rPr>
        <w:t xml:space="preserve">802 </w:t>
      </w:r>
      <w:r w:rsidR="00DE1FB0">
        <w:rPr>
          <w:szCs w:val="20"/>
        </w:rPr>
        <w:t xml:space="preserve"> </w:t>
      </w:r>
      <w:r w:rsidR="006E6817" w:rsidRPr="00EE54EC">
        <w:rPr>
          <w:rFonts w:cs="Arial"/>
          <w:szCs w:val="20"/>
        </w:rPr>
        <w:t xml:space="preserve">representing </w:t>
      </w:r>
      <w:r w:rsidR="00E23BE3">
        <w:rPr>
          <w:rFonts w:cs="Arial"/>
          <w:szCs w:val="20"/>
        </w:rPr>
        <w:t>63.3</w:t>
      </w:r>
      <w:r w:rsidR="00271174">
        <w:rPr>
          <w:rFonts w:cs="Arial"/>
          <w:szCs w:val="20"/>
        </w:rPr>
        <w:t>.0</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6E6817" w:rsidRPr="009C1DF7">
        <w:rPr>
          <w:rFonts w:cs="Arial"/>
          <w:szCs w:val="20"/>
        </w:rPr>
        <w:t xml:space="preserve">. </w:t>
      </w:r>
    </w:p>
    <w:p w14:paraId="22A8AC22" w14:textId="77777777" w:rsidR="002D37FC" w:rsidRPr="009C1DF7" w:rsidRDefault="002D37FC" w:rsidP="00F14CBC">
      <w:pPr>
        <w:jc w:val="both"/>
        <w:rPr>
          <w:rFonts w:cs="Arial"/>
          <w:szCs w:val="20"/>
        </w:rPr>
      </w:pPr>
    </w:p>
    <w:p w14:paraId="2FC060FB" w14:textId="77777777" w:rsidR="00E23A96" w:rsidRPr="00EE54EC" w:rsidRDefault="00E23A96" w:rsidP="00B331CB">
      <w:pPr>
        <w:jc w:val="both"/>
        <w:rPr>
          <w:rFonts w:cs="Arial"/>
          <w:szCs w:val="20"/>
        </w:rPr>
      </w:pPr>
    </w:p>
    <w:p w14:paraId="02555B5F" w14:textId="0164BC6A"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w:t>
      </w:r>
      <w:r w:rsidR="00C51765">
        <w:rPr>
          <w:rFonts w:cs="Arial"/>
          <w:szCs w:val="20"/>
        </w:rPr>
        <w:t xml:space="preserve">projected </w:t>
      </w:r>
      <w:r w:rsidRPr="00702431">
        <w:rPr>
          <w:rFonts w:cs="Arial"/>
          <w:szCs w:val="20"/>
        </w:rPr>
        <w:t>outstanding central government debt of the Republ</w:t>
      </w:r>
      <w:r w:rsidR="00612DCA" w:rsidRPr="00702431">
        <w:rPr>
          <w:rFonts w:cs="Arial"/>
          <w:szCs w:val="20"/>
        </w:rPr>
        <w:t>ic of Slovenia as at the end of</w:t>
      </w:r>
      <w:r w:rsidR="00995D2B">
        <w:rPr>
          <w:rFonts w:cs="Arial"/>
          <w:szCs w:val="20"/>
        </w:rPr>
        <w:t xml:space="preserve"> </w:t>
      </w:r>
      <w:r w:rsidR="003E5ADE" w:rsidRPr="00702431">
        <w:rPr>
          <w:rFonts w:cs="Arial"/>
          <w:szCs w:val="20"/>
        </w:rPr>
        <w:t>20</w:t>
      </w:r>
      <w:r w:rsidR="003E5ADE">
        <w:rPr>
          <w:rFonts w:cs="Arial"/>
          <w:szCs w:val="20"/>
        </w:rPr>
        <w:t>21</w:t>
      </w:r>
      <w:r w:rsidR="003E5ADE" w:rsidRPr="00702431">
        <w:rPr>
          <w:rFonts w:cs="Arial"/>
          <w:szCs w:val="20"/>
        </w:rPr>
        <w:t xml:space="preserve"> </w:t>
      </w:r>
      <w:r w:rsidRPr="00702431">
        <w:rPr>
          <w:rFonts w:cs="Arial"/>
          <w:szCs w:val="20"/>
        </w:rPr>
        <w:t>and</w:t>
      </w:r>
      <w:r w:rsidR="00E522B8">
        <w:rPr>
          <w:rFonts w:cs="Arial"/>
          <w:szCs w:val="20"/>
        </w:rPr>
        <w:t xml:space="preserve"> projected as at the end of </w:t>
      </w:r>
      <w:r w:rsidR="003E5ADE" w:rsidRPr="00702431">
        <w:rPr>
          <w:rFonts w:cs="Arial"/>
          <w:szCs w:val="20"/>
        </w:rPr>
        <w:t>20</w:t>
      </w:r>
      <w:r w:rsidR="003E5ADE">
        <w:rPr>
          <w:rFonts w:cs="Arial"/>
          <w:szCs w:val="20"/>
        </w:rPr>
        <w:t>22</w:t>
      </w:r>
      <w:r w:rsidR="003E5ADE"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109CE1C3" w:rsidR="006E681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A03DDD"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32F2B50A"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3E5ADE" w:rsidRPr="00A03DDD">
              <w:rPr>
                <w:rFonts w:cs="Arial"/>
                <w:bCs/>
                <w:sz w:val="16"/>
                <w:szCs w:val="16"/>
                <w:lang w:val="sl-SI" w:eastAsia="ar-SA"/>
              </w:rPr>
              <w:t>20</w:t>
            </w:r>
            <w:r w:rsidR="003E5ADE">
              <w:rPr>
                <w:rFonts w:cs="Arial"/>
                <w:bCs/>
                <w:sz w:val="16"/>
                <w:szCs w:val="16"/>
                <w:lang w:val="sl-SI" w:eastAsia="ar-SA"/>
              </w:rPr>
              <w:t>2</w:t>
            </w:r>
            <w:r w:rsidR="00291B0C">
              <w:rPr>
                <w:rFonts w:cs="Arial"/>
                <w:bCs/>
                <w:sz w:val="16"/>
                <w:szCs w:val="16"/>
                <w:lang w:val="sl-SI" w:eastAsia="ar-SA"/>
              </w:rPr>
              <w:t>2</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2418050B"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3E5ADE" w:rsidRPr="00A03DDD">
              <w:rPr>
                <w:rFonts w:cs="Arial"/>
                <w:bCs/>
                <w:sz w:val="16"/>
                <w:szCs w:val="16"/>
                <w:lang w:val="sl-SI" w:eastAsia="ar-SA"/>
              </w:rPr>
              <w:t>20</w:t>
            </w:r>
            <w:r w:rsidR="003E5ADE">
              <w:rPr>
                <w:rFonts w:cs="Arial"/>
                <w:bCs/>
                <w:sz w:val="16"/>
                <w:szCs w:val="16"/>
                <w:lang w:val="sl-SI" w:eastAsia="ar-SA"/>
              </w:rPr>
              <w:t>2</w:t>
            </w:r>
            <w:r w:rsidR="00E23BE3">
              <w:rPr>
                <w:rFonts w:cs="Arial"/>
                <w:bCs/>
                <w:sz w:val="16"/>
                <w:szCs w:val="16"/>
                <w:lang w:val="sl-SI" w:eastAsia="ar-SA"/>
              </w:rPr>
              <w:t>3</w:t>
            </w:r>
          </w:p>
        </w:tc>
      </w:tr>
      <w:tr w:rsidR="00701954" w:rsidRPr="00A03DDD" w14:paraId="0EE6259A"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701954" w:rsidRPr="00A03DDD" w:rsidRDefault="00701954" w:rsidP="00701954">
            <w:pPr>
              <w:suppressAutoHyphens/>
              <w:spacing w:line="240" w:lineRule="auto"/>
              <w:jc w:val="both"/>
              <w:rPr>
                <w:rFonts w:cs="Arial"/>
                <w:bCs/>
                <w:sz w:val="16"/>
                <w:szCs w:val="16"/>
                <w:lang w:val="sl-SI" w:eastAsia="ar-SA"/>
              </w:rPr>
            </w:pPr>
            <w:r>
              <w:rPr>
                <w:rFonts w:cs="Arial"/>
                <w:bCs/>
                <w:sz w:val="16"/>
                <w:szCs w:val="16"/>
                <w:lang w:val="sl-SI" w:eastAsia="ar-SA"/>
              </w:rPr>
              <w:t xml:space="preserve">Central government debt, </w:t>
            </w:r>
            <w:r w:rsidRPr="00CA0289">
              <w:rPr>
                <w:rFonts w:cs="Arial"/>
                <w:bCs/>
                <w:i/>
                <w:iCs/>
                <w:sz w:val="16"/>
                <w:szCs w:val="16"/>
                <w:lang w:val="sl-SI" w:eastAsia="ar-SA"/>
              </w:rPr>
              <w:t>€ mio</w:t>
            </w:r>
            <w:r>
              <w:rPr>
                <w:rFonts w:cs="Arial"/>
                <w:bCs/>
                <w:sz w:val="16"/>
                <w:szCs w:val="16"/>
                <w:lang w:val="sl-SI"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A9EB8" w14:textId="48864A9E" w:rsidR="00701954" w:rsidRPr="00471BB1" w:rsidRDefault="00701954" w:rsidP="00701954">
            <w:pPr>
              <w:suppressAutoHyphens/>
              <w:spacing w:line="240" w:lineRule="auto"/>
              <w:jc w:val="center"/>
              <w:rPr>
                <w:sz w:val="16"/>
                <w:szCs w:val="16"/>
              </w:rPr>
            </w:pPr>
            <w:r w:rsidRPr="00471BB1">
              <w:rPr>
                <w:sz w:val="16"/>
                <w:szCs w:val="16"/>
              </w:rPr>
              <w:t>37</w:t>
            </w:r>
            <w:r>
              <w:rPr>
                <w:sz w:val="16"/>
                <w:szCs w:val="16"/>
              </w:rPr>
              <w:t>,</w:t>
            </w:r>
            <w:r w:rsidRPr="00471BB1">
              <w:rPr>
                <w:sz w:val="16"/>
                <w:szCs w:val="16"/>
              </w:rPr>
              <w:t>845</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E7DBC0" w14:textId="62E95E25" w:rsidR="00701954" w:rsidRPr="00471BB1" w:rsidRDefault="00701954" w:rsidP="00701954">
            <w:pPr>
              <w:suppressAutoHyphens/>
              <w:spacing w:line="240" w:lineRule="auto"/>
              <w:jc w:val="center"/>
              <w:rPr>
                <w:sz w:val="16"/>
                <w:szCs w:val="16"/>
              </w:rPr>
            </w:pPr>
            <w:r w:rsidRPr="00471BB1">
              <w:rPr>
                <w:sz w:val="16"/>
                <w:szCs w:val="16"/>
              </w:rPr>
              <w:t>40</w:t>
            </w:r>
            <w:r>
              <w:rPr>
                <w:sz w:val="16"/>
                <w:szCs w:val="16"/>
              </w:rPr>
              <w:t>,</w:t>
            </w:r>
            <w:r w:rsidRPr="00471BB1">
              <w:rPr>
                <w:sz w:val="16"/>
                <w:szCs w:val="16"/>
              </w:rPr>
              <w:t>942</w:t>
            </w:r>
          </w:p>
        </w:tc>
      </w:tr>
      <w:tr w:rsidR="00701954" w:rsidRPr="00A03DDD" w14:paraId="11FA24B3"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701954" w:rsidRPr="00A03DDD" w:rsidRDefault="00701954" w:rsidP="00701954">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r>
              <w:rPr>
                <w:rFonts w:cs="Arial"/>
                <w:bCs/>
                <w:sz w:val="16"/>
                <w:szCs w:val="16"/>
                <w:lang w:val="sl-SI" w:eastAsia="ar-SA"/>
              </w:rPr>
              <w:t xml:space="preserve">, </w:t>
            </w:r>
            <w:r w:rsidRPr="00CA0289">
              <w:rPr>
                <w:rFonts w:cs="Arial"/>
                <w:bCs/>
                <w:i/>
                <w:iCs/>
                <w:sz w:val="16"/>
                <w:szCs w:val="16"/>
                <w:lang w:val="sl-SI" w:eastAsia="ar-SA"/>
              </w:rPr>
              <w:t>€ mio</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9BF98D" w14:textId="4697FEF3" w:rsidR="00701954" w:rsidRPr="00471BB1" w:rsidRDefault="00701954" w:rsidP="00701954">
            <w:pPr>
              <w:suppressAutoHyphens/>
              <w:spacing w:line="240" w:lineRule="auto"/>
              <w:jc w:val="center"/>
              <w:rPr>
                <w:sz w:val="16"/>
                <w:szCs w:val="16"/>
              </w:rPr>
            </w:pPr>
            <w:r w:rsidRPr="00471BB1">
              <w:rPr>
                <w:sz w:val="16"/>
                <w:szCs w:val="16"/>
              </w:rPr>
              <w:t>58</w:t>
            </w:r>
            <w:r>
              <w:rPr>
                <w:sz w:val="16"/>
                <w:szCs w:val="16"/>
              </w:rPr>
              <w:t>,</w:t>
            </w:r>
            <w:r w:rsidR="00291B0C">
              <w:rPr>
                <w:sz w:val="16"/>
                <w:szCs w:val="16"/>
              </w:rPr>
              <w:t>9</w:t>
            </w:r>
            <w:r w:rsidRPr="00471BB1">
              <w:rPr>
                <w:sz w:val="16"/>
                <w:szCs w:val="16"/>
              </w:rPr>
              <w:t>89</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C18437" w14:textId="501C93C8" w:rsidR="00701954" w:rsidRPr="00471BB1" w:rsidRDefault="00701954" w:rsidP="00701954">
            <w:pPr>
              <w:suppressAutoHyphens/>
              <w:spacing w:line="240" w:lineRule="auto"/>
              <w:jc w:val="center"/>
              <w:rPr>
                <w:sz w:val="16"/>
                <w:szCs w:val="16"/>
              </w:rPr>
            </w:pPr>
            <w:r w:rsidRPr="00471BB1">
              <w:rPr>
                <w:sz w:val="16"/>
                <w:szCs w:val="16"/>
              </w:rPr>
              <w:t>64</w:t>
            </w:r>
            <w:r>
              <w:rPr>
                <w:sz w:val="16"/>
                <w:szCs w:val="16"/>
              </w:rPr>
              <w:t>,</w:t>
            </w:r>
            <w:r w:rsidRPr="00471BB1">
              <w:rPr>
                <w:sz w:val="16"/>
                <w:szCs w:val="16"/>
              </w:rPr>
              <w:t>723</w:t>
            </w:r>
          </w:p>
        </w:tc>
      </w:tr>
      <w:tr w:rsidR="00701954" w:rsidRPr="00A03DDD" w14:paraId="1410C1A7"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701954" w:rsidRPr="00A03DDD" w:rsidRDefault="00701954" w:rsidP="00701954">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 xml:space="preserve">GDP, </w:t>
            </w:r>
            <w:r w:rsidRPr="00CA0289">
              <w:rPr>
                <w:rFonts w:cs="Arial"/>
                <w:bCs/>
                <w:i/>
                <w:iCs/>
                <w:sz w:val="16"/>
                <w:szCs w:val="16"/>
                <w:lang w:val="sl-SI"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E13274" w14:textId="02128054" w:rsidR="00701954" w:rsidRPr="00471BB1" w:rsidRDefault="00701954" w:rsidP="00701954">
            <w:pPr>
              <w:suppressAutoHyphens/>
              <w:spacing w:line="240" w:lineRule="auto"/>
              <w:jc w:val="center"/>
              <w:rPr>
                <w:sz w:val="16"/>
                <w:szCs w:val="16"/>
              </w:rPr>
            </w:pPr>
            <w:r w:rsidRPr="00471BB1">
              <w:rPr>
                <w:sz w:val="16"/>
                <w:szCs w:val="16"/>
              </w:rPr>
              <w:t>64</w:t>
            </w:r>
            <w:r w:rsidR="003471A6">
              <w:rPr>
                <w:sz w:val="16"/>
                <w:szCs w:val="16"/>
              </w:rPr>
              <w:t>.</w:t>
            </w:r>
            <w:r w:rsidRPr="00471BB1">
              <w:rPr>
                <w:sz w:val="16"/>
                <w:szCs w:val="16"/>
              </w:rPr>
              <w:t xml:space="preserve">2 </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598A05" w14:textId="7D056988" w:rsidR="00701954" w:rsidRPr="00471BB1" w:rsidRDefault="00701954" w:rsidP="00701954">
            <w:pPr>
              <w:suppressAutoHyphens/>
              <w:spacing w:line="240" w:lineRule="auto"/>
              <w:jc w:val="center"/>
              <w:rPr>
                <w:sz w:val="16"/>
                <w:szCs w:val="16"/>
              </w:rPr>
            </w:pPr>
            <w:r w:rsidRPr="00471BB1">
              <w:rPr>
                <w:sz w:val="16"/>
                <w:szCs w:val="16"/>
              </w:rPr>
              <w:t>63</w:t>
            </w:r>
            <w:r w:rsidR="003471A6">
              <w:rPr>
                <w:sz w:val="16"/>
                <w:szCs w:val="16"/>
              </w:rPr>
              <w:t>.</w:t>
            </w:r>
            <w:r w:rsidRPr="00471BB1">
              <w:rPr>
                <w:sz w:val="16"/>
                <w:szCs w:val="16"/>
              </w:rPr>
              <w:t xml:space="preserve">3 </w:t>
            </w:r>
          </w:p>
        </w:tc>
      </w:tr>
    </w:tbl>
    <w:p w14:paraId="21D487B7" w14:textId="53AE7C7E" w:rsidR="007B508F" w:rsidRPr="00CA0289" w:rsidRDefault="006E6817" w:rsidP="00B331CB">
      <w:pPr>
        <w:jc w:val="both"/>
        <w:rPr>
          <w:rFonts w:cs="Arial"/>
          <w:i/>
          <w:iCs/>
          <w:sz w:val="16"/>
          <w:szCs w:val="16"/>
        </w:rPr>
      </w:pPr>
      <w:r w:rsidRPr="00CA0289">
        <w:rPr>
          <w:rFonts w:cs="Arial"/>
          <w:i/>
          <w:iCs/>
          <w:sz w:val="16"/>
          <w:szCs w:val="16"/>
        </w:rPr>
        <w:t>Source: Mo</w:t>
      </w:r>
      <w:r w:rsidR="009A13FD" w:rsidRPr="00CA0289">
        <w:rPr>
          <w:rFonts w:cs="Arial"/>
          <w:i/>
          <w:iCs/>
          <w:sz w:val="16"/>
          <w:szCs w:val="16"/>
        </w:rPr>
        <w:t xml:space="preserve">F </w:t>
      </w:r>
    </w:p>
    <w:p w14:paraId="31DC0309" w14:textId="6CE3DB0E" w:rsidR="006E6817" w:rsidRPr="00702431" w:rsidRDefault="007B508F" w:rsidP="00B331CB">
      <w:pPr>
        <w:jc w:val="both"/>
        <w:rPr>
          <w:rFonts w:cs="Arial"/>
          <w:sz w:val="16"/>
          <w:szCs w:val="16"/>
        </w:rPr>
      </w:pPr>
      <w:r w:rsidRPr="00CA0289">
        <w:rPr>
          <w:rFonts w:cs="Arial"/>
          <w:i/>
          <w:iCs/>
          <w:sz w:val="16"/>
          <w:szCs w:val="16"/>
        </w:rPr>
        <w:t>*</w:t>
      </w:r>
      <w:r w:rsidR="009A13FD" w:rsidRPr="00CA0289">
        <w:rPr>
          <w:rFonts w:cs="Arial"/>
          <w:i/>
          <w:iCs/>
          <w:sz w:val="16"/>
          <w:szCs w:val="16"/>
        </w:rPr>
        <w:t xml:space="preserve">IMAD , </w:t>
      </w:r>
      <w:r w:rsidR="00701954">
        <w:rPr>
          <w:rFonts w:cs="Arial"/>
          <w:i/>
          <w:iCs/>
          <w:sz w:val="16"/>
          <w:szCs w:val="16"/>
        </w:rPr>
        <w:t>Spring</w:t>
      </w:r>
      <w:r w:rsidR="009A13FD" w:rsidRPr="00CA0289">
        <w:rPr>
          <w:rFonts w:cs="Arial"/>
          <w:i/>
          <w:iCs/>
          <w:sz w:val="16"/>
          <w:szCs w:val="16"/>
        </w:rPr>
        <w:t xml:space="preserve"> </w:t>
      </w:r>
      <w:r w:rsidR="00701954">
        <w:rPr>
          <w:rFonts w:cs="Arial"/>
          <w:i/>
          <w:iCs/>
          <w:sz w:val="16"/>
          <w:szCs w:val="16"/>
        </w:rPr>
        <w:t>E</w:t>
      </w:r>
      <w:r w:rsidR="009A13FD" w:rsidRPr="00CA0289">
        <w:rPr>
          <w:rFonts w:cs="Arial"/>
          <w:i/>
          <w:iCs/>
          <w:sz w:val="16"/>
          <w:szCs w:val="16"/>
        </w:rPr>
        <w:t xml:space="preserve">conomic </w:t>
      </w:r>
      <w:r w:rsidR="00701954">
        <w:rPr>
          <w:rFonts w:cs="Arial"/>
          <w:i/>
          <w:iCs/>
          <w:sz w:val="16"/>
          <w:szCs w:val="16"/>
        </w:rPr>
        <w:t>F</w:t>
      </w:r>
      <w:r w:rsidR="009A13FD" w:rsidRPr="00CA0289">
        <w:rPr>
          <w:rFonts w:cs="Arial"/>
          <w:i/>
          <w:iCs/>
          <w:sz w:val="16"/>
          <w:szCs w:val="16"/>
        </w:rPr>
        <w:t xml:space="preserve">orecast, </w:t>
      </w:r>
      <w:r w:rsidR="00E23BE3">
        <w:rPr>
          <w:rFonts w:cs="Arial"/>
          <w:i/>
          <w:iCs/>
          <w:sz w:val="16"/>
          <w:szCs w:val="16"/>
        </w:rPr>
        <w:t>March</w:t>
      </w:r>
      <w:r w:rsidR="009A13FD" w:rsidRPr="00CA0289">
        <w:rPr>
          <w:rFonts w:cs="Arial"/>
          <w:i/>
          <w:iCs/>
          <w:sz w:val="16"/>
          <w:szCs w:val="16"/>
        </w:rPr>
        <w:t xml:space="preserve"> 202</w:t>
      </w:r>
      <w:r w:rsidR="00E23BE3">
        <w:rPr>
          <w:rFonts w:cs="Arial"/>
          <w:i/>
          <w:iCs/>
          <w:sz w:val="16"/>
          <w:szCs w:val="16"/>
        </w:rPr>
        <w:t>3</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5FCE5488" w:rsidR="0053097C" w:rsidRPr="00702431" w:rsidRDefault="007E03AF" w:rsidP="00B331CB">
      <w:pPr>
        <w:jc w:val="both"/>
        <w:rPr>
          <w:rFonts w:cs="Arial"/>
          <w:szCs w:val="20"/>
        </w:rPr>
      </w:pPr>
      <w:r>
        <w:rPr>
          <w:rFonts w:cs="Arial"/>
          <w:szCs w:val="20"/>
        </w:rPr>
        <w:t>T</w:t>
      </w:r>
      <w:r w:rsidR="00974960">
        <w:rPr>
          <w:rFonts w:cs="Arial"/>
          <w:szCs w:val="20"/>
        </w:rPr>
        <w:t xml:space="preserve">he share of the </w:t>
      </w:r>
      <w:r w:rsidR="000F19EF">
        <w:rPr>
          <w:rFonts w:cs="Arial"/>
          <w:szCs w:val="20"/>
        </w:rPr>
        <w:t xml:space="preserve">EUR denominated </w:t>
      </w:r>
      <w:r w:rsidR="00974960">
        <w:rPr>
          <w:rFonts w:cs="Arial"/>
          <w:szCs w:val="20"/>
        </w:rPr>
        <w:t>debt would be 9</w:t>
      </w:r>
      <w:r>
        <w:rPr>
          <w:rFonts w:cs="Arial"/>
          <w:szCs w:val="20"/>
        </w:rPr>
        <w:t>8</w:t>
      </w:r>
      <w:r w:rsidR="00974960">
        <w:rPr>
          <w:rFonts w:cs="Arial"/>
          <w:szCs w:val="20"/>
        </w:rPr>
        <w:t>.</w:t>
      </w:r>
      <w:r>
        <w:rPr>
          <w:rFonts w:cs="Arial"/>
          <w:szCs w:val="20"/>
        </w:rPr>
        <w:t>2</w:t>
      </w:r>
      <w:r w:rsidR="00974960">
        <w:rPr>
          <w:rFonts w:cs="Arial"/>
          <w:szCs w:val="20"/>
        </w:rPr>
        <w:t>% of the total debt at the end of 202</w:t>
      </w:r>
      <w:r>
        <w:rPr>
          <w:rFonts w:cs="Arial"/>
          <w:szCs w:val="20"/>
        </w:rPr>
        <w:t>2</w:t>
      </w:r>
      <w:r w:rsidR="00974960">
        <w:rPr>
          <w:rFonts w:cs="Arial"/>
          <w:szCs w:val="20"/>
        </w:rPr>
        <w:t>. Due to the fact that for the USD denominated debt</w:t>
      </w:r>
      <w:r w:rsidR="00A15E28">
        <w:rPr>
          <w:rFonts w:cs="Arial"/>
          <w:szCs w:val="20"/>
        </w:rPr>
        <w:t xml:space="preserve"> </w:t>
      </w:r>
      <w:r w:rsidR="0038007B" w:rsidRPr="00702431">
        <w:rPr>
          <w:rFonts w:cs="Arial"/>
          <w:szCs w:val="20"/>
        </w:rPr>
        <w:t>cross currency swap transactions</w:t>
      </w:r>
      <w:r w:rsidR="0038007B">
        <w:rPr>
          <w:rFonts w:cs="Arial"/>
          <w:szCs w:val="20"/>
        </w:rPr>
        <w:t xml:space="preserve"> </w:t>
      </w:r>
      <w:r w:rsidR="00A15E28">
        <w:rPr>
          <w:rFonts w:cs="Arial"/>
          <w:szCs w:val="20"/>
        </w:rPr>
        <w:t xml:space="preserve">were </w:t>
      </w:r>
      <w:r w:rsidR="0038007B">
        <w:rPr>
          <w:rFonts w:cs="Arial"/>
          <w:szCs w:val="20"/>
        </w:rPr>
        <w:t xml:space="preserve">executed at the time of the USD </w:t>
      </w:r>
      <w:r w:rsidR="006E6817" w:rsidRPr="00702431">
        <w:rPr>
          <w:rFonts w:cs="Arial"/>
          <w:szCs w:val="20"/>
        </w:rPr>
        <w:t xml:space="preserve">bond </w:t>
      </w:r>
      <w:r w:rsidR="0038007B">
        <w:rPr>
          <w:rFonts w:cs="Arial"/>
          <w:szCs w:val="20"/>
        </w:rPr>
        <w:t xml:space="preserve">issues, following which the </w:t>
      </w:r>
      <w:r w:rsidR="006E6817" w:rsidRPr="00702431">
        <w:rPr>
          <w:rFonts w:cs="Arial"/>
          <w:szCs w:val="20"/>
        </w:rPr>
        <w:t xml:space="preserve">USD obligations </w:t>
      </w:r>
      <w:r w:rsidR="0038007B">
        <w:rPr>
          <w:rFonts w:cs="Arial"/>
          <w:szCs w:val="20"/>
        </w:rPr>
        <w:t xml:space="preserve">were changed </w:t>
      </w:r>
      <w:r w:rsidR="0046087E">
        <w:rPr>
          <w:rFonts w:cs="Arial"/>
          <w:szCs w:val="20"/>
        </w:rPr>
        <w:t>to</w:t>
      </w:r>
      <w:r w:rsidR="0046087E" w:rsidRPr="00702431">
        <w:rPr>
          <w:rFonts w:cs="Arial"/>
          <w:szCs w:val="20"/>
        </w:rPr>
        <w:t xml:space="preserve"> </w:t>
      </w:r>
      <w:r w:rsidR="00A603EF">
        <w:rPr>
          <w:rFonts w:cs="Arial"/>
          <w:szCs w:val="20"/>
        </w:rPr>
        <w:t>EUR</w:t>
      </w:r>
      <w:r w:rsidR="0038007B">
        <w:rPr>
          <w:rFonts w:cs="Arial"/>
          <w:szCs w:val="20"/>
        </w:rPr>
        <w:t xml:space="preserve">, </w:t>
      </w:r>
      <w:r w:rsidR="006E6817" w:rsidRPr="00EE54EC">
        <w:rPr>
          <w:rFonts w:cs="Arial"/>
          <w:szCs w:val="20"/>
        </w:rPr>
        <w:t>the total outstanding central government budget debt in</w:t>
      </w:r>
      <w:r w:rsidR="00A603EF">
        <w:rPr>
          <w:rFonts w:cs="Arial"/>
          <w:szCs w:val="20"/>
        </w:rPr>
        <w:t xml:space="preserve"> EUR</w:t>
      </w:r>
      <w:r w:rsidR="006E6817" w:rsidRPr="00EE54EC">
        <w:rPr>
          <w:rFonts w:cs="Arial"/>
          <w:szCs w:val="20"/>
        </w:rPr>
        <w:t xml:space="preserve"> increased to 99.9 </w:t>
      </w:r>
      <w:r w:rsidR="00991E61" w:rsidRPr="00991E61">
        <w:rPr>
          <w:rFonts w:cs="Arial"/>
          <w:szCs w:val="20"/>
        </w:rPr>
        <w:t>per cent.</w:t>
      </w:r>
      <w:r w:rsidR="000F19EF">
        <w:rPr>
          <w:rFonts w:cs="Arial"/>
          <w:szCs w:val="20"/>
        </w:rPr>
        <w:t xml:space="preserve"> </w:t>
      </w:r>
      <w:r w:rsidR="00A15E28">
        <w:rPr>
          <w:rFonts w:cs="Arial"/>
          <w:szCs w:val="20"/>
        </w:rPr>
        <w:t>The level of EUR denominated debt</w:t>
      </w:r>
      <w:r w:rsidR="006E6817" w:rsidRPr="00702431">
        <w:rPr>
          <w:rFonts w:cs="Arial"/>
          <w:szCs w:val="20"/>
        </w:rPr>
        <w:t xml:space="preserve"> is </w:t>
      </w:r>
      <w:r w:rsidR="00A15E28">
        <w:rPr>
          <w:rFonts w:cs="Arial"/>
          <w:szCs w:val="20"/>
        </w:rPr>
        <w:t xml:space="preserve">not </w:t>
      </w:r>
      <w:r w:rsidR="006E6817" w:rsidRPr="00702431">
        <w:rPr>
          <w:rFonts w:cs="Arial"/>
          <w:szCs w:val="20"/>
        </w:rPr>
        <w:t xml:space="preserve">expected to </w:t>
      </w:r>
      <w:r w:rsidR="00A15E28">
        <w:rPr>
          <w:rFonts w:cs="Arial"/>
          <w:szCs w:val="20"/>
        </w:rPr>
        <w:t xml:space="preserve">change significantly by </w:t>
      </w:r>
      <w:r w:rsidR="006E6817" w:rsidRPr="00702431">
        <w:rPr>
          <w:rFonts w:cs="Arial"/>
          <w:szCs w:val="20"/>
        </w:rPr>
        <w:t xml:space="preserve">the end of </w:t>
      </w:r>
      <w:r w:rsidR="00A15E28" w:rsidRPr="00702431">
        <w:rPr>
          <w:rFonts w:cs="Arial"/>
          <w:szCs w:val="20"/>
        </w:rPr>
        <w:t>20</w:t>
      </w:r>
      <w:r w:rsidR="00A15E28">
        <w:rPr>
          <w:rFonts w:cs="Arial"/>
          <w:szCs w:val="20"/>
        </w:rPr>
        <w:t>2</w:t>
      </w:r>
      <w:r>
        <w:rPr>
          <w:rFonts w:cs="Arial"/>
          <w:szCs w:val="20"/>
        </w:rPr>
        <w:t>3</w:t>
      </w:r>
      <w:r w:rsidR="006E6817"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1E5BE0A6" w:rsidR="006E6817" w:rsidRDefault="003A7F60" w:rsidP="00B331CB">
      <w:pPr>
        <w:jc w:val="both"/>
        <w:rPr>
          <w:rFonts w:cs="Arial"/>
          <w:szCs w:val="20"/>
        </w:rPr>
      </w:pPr>
      <w:r>
        <w:rPr>
          <w:rFonts w:cs="Arial"/>
          <w:szCs w:val="20"/>
        </w:rPr>
        <w:t>T</w:t>
      </w:r>
      <w:r w:rsidR="006E6817" w:rsidRPr="00702431">
        <w:rPr>
          <w:rFonts w:cs="Arial"/>
          <w:szCs w:val="20"/>
        </w:rPr>
        <w:t xml:space="preserve">he outstanding central government budget debt </w:t>
      </w:r>
      <w:r w:rsidR="00B84E62">
        <w:rPr>
          <w:rFonts w:cs="Arial"/>
          <w:szCs w:val="20"/>
        </w:rPr>
        <w:t>is expected to be</w:t>
      </w:r>
      <w:r w:rsidR="00B84E62" w:rsidRPr="00702431">
        <w:rPr>
          <w:rFonts w:cs="Arial"/>
          <w:szCs w:val="20"/>
        </w:rPr>
        <w:t xml:space="preserve"> </w:t>
      </w:r>
      <w:r w:rsidR="006E6817" w:rsidRPr="00702431">
        <w:rPr>
          <w:rFonts w:cs="Arial"/>
          <w:szCs w:val="20"/>
        </w:rPr>
        <w:t xml:space="preserve">composed of </w:t>
      </w:r>
      <w:r>
        <w:rPr>
          <w:rFonts w:cs="Arial"/>
          <w:szCs w:val="20"/>
        </w:rPr>
        <w:t>0</w:t>
      </w:r>
      <w:r w:rsidR="006E6817" w:rsidRPr="00702431">
        <w:rPr>
          <w:rFonts w:cs="Arial"/>
          <w:szCs w:val="20"/>
        </w:rPr>
        <w:t>.</w:t>
      </w:r>
      <w:r w:rsidR="00B84E62">
        <w:rPr>
          <w:rFonts w:cs="Arial"/>
          <w:szCs w:val="20"/>
        </w:rPr>
        <w:t xml:space="preserve">7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Pr>
          <w:rFonts w:cs="Arial"/>
          <w:szCs w:val="20"/>
        </w:rPr>
        <w:t>99.</w:t>
      </w:r>
      <w:r w:rsidR="00B84E62">
        <w:rPr>
          <w:rFonts w:cs="Arial"/>
          <w:szCs w:val="20"/>
        </w:rPr>
        <w:t xml:space="preserve">3 </w:t>
      </w:r>
      <w:r w:rsidR="008433BE">
        <w:rPr>
          <w:rFonts w:cs="Arial"/>
          <w:szCs w:val="20"/>
        </w:rPr>
        <w:t>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B84E62" w:rsidRPr="008433BE">
        <w:rPr>
          <w:rFonts w:cs="Arial"/>
          <w:szCs w:val="20"/>
        </w:rPr>
        <w:t>2</w:t>
      </w:r>
      <w:r w:rsidR="00B84E62">
        <w:rPr>
          <w:rFonts w:cs="Arial"/>
          <w:szCs w:val="20"/>
        </w:rPr>
        <w:t>02</w:t>
      </w:r>
      <w:r w:rsidR="00B01BAC">
        <w:rPr>
          <w:rFonts w:cs="Arial"/>
          <w:szCs w:val="20"/>
        </w:rPr>
        <w:t>2</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B84E62" w:rsidRPr="00702431">
        <w:rPr>
          <w:rFonts w:cs="Arial"/>
          <w:szCs w:val="20"/>
        </w:rPr>
        <w:t>20</w:t>
      </w:r>
      <w:r w:rsidR="00B84E62">
        <w:rPr>
          <w:rFonts w:cs="Arial"/>
          <w:szCs w:val="20"/>
        </w:rPr>
        <w:t>2</w:t>
      </w:r>
      <w:r w:rsidR="00B01BAC">
        <w:rPr>
          <w:rFonts w:cs="Arial"/>
          <w:szCs w:val="20"/>
        </w:rPr>
        <w:t>3</w:t>
      </w:r>
      <w:r w:rsidR="00B84E62">
        <w:rPr>
          <w:rFonts w:cs="Arial"/>
          <w:szCs w:val="20"/>
        </w:rPr>
        <w:t xml:space="preserve"> is not envisaged to</w:t>
      </w:r>
      <w:r w:rsidR="006E6817" w:rsidRPr="00702431">
        <w:rPr>
          <w:rFonts w:cs="Arial"/>
          <w:szCs w:val="20"/>
        </w:rPr>
        <w:t xml:space="preserve"> change substantially. </w:t>
      </w:r>
    </w:p>
    <w:p w14:paraId="116CA16A" w14:textId="64C9B372" w:rsidR="00F905CD" w:rsidRDefault="00F905CD">
      <w:pPr>
        <w:spacing w:line="240" w:lineRule="auto"/>
        <w:rPr>
          <w:rFonts w:cs="Arial"/>
          <w:b/>
          <w:bCs/>
          <w:iCs/>
          <w:szCs w:val="20"/>
        </w:rPr>
      </w:pPr>
    </w:p>
    <w:p w14:paraId="4171E16A" w14:textId="45C5F02F"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 xml:space="preserve">IN </w:t>
      </w:r>
      <w:r w:rsidR="008D0222">
        <w:rPr>
          <w:rFonts w:ascii="Arial" w:hAnsi="Arial" w:cs="Arial"/>
          <w:i w:val="0"/>
          <w:sz w:val="20"/>
          <w:szCs w:val="20"/>
        </w:rPr>
        <w:t>202</w:t>
      </w:r>
      <w:r w:rsidR="001F1975">
        <w:rPr>
          <w:rFonts w:ascii="Arial" w:hAnsi="Arial" w:cs="Arial"/>
          <w:i w:val="0"/>
          <w:sz w:val="20"/>
          <w:szCs w:val="20"/>
        </w:rPr>
        <w:t>3</w:t>
      </w:r>
    </w:p>
    <w:p w14:paraId="48E16FAE" w14:textId="77777777" w:rsidR="00BF2DD5" w:rsidRPr="009C1DF7" w:rsidRDefault="00BF2DD5" w:rsidP="00BF2DD5">
      <w:pPr>
        <w:jc w:val="both"/>
        <w:rPr>
          <w:rFonts w:cs="Arial"/>
          <w:szCs w:val="20"/>
        </w:rPr>
      </w:pPr>
    </w:p>
    <w:p w14:paraId="0B864DB1" w14:textId="31E9A054" w:rsidR="00BF2DD5" w:rsidRDefault="00BF2DD5" w:rsidP="00BF2DD5">
      <w:pPr>
        <w:jc w:val="both"/>
        <w:rPr>
          <w:rFonts w:cs="Arial"/>
          <w:szCs w:val="20"/>
        </w:rPr>
      </w:pPr>
      <w:r w:rsidRPr="00EE54EC">
        <w:rPr>
          <w:rFonts w:cs="Arial"/>
          <w:szCs w:val="20"/>
        </w:rPr>
        <w:t xml:space="preserve">Based on Article 81 of PFA, </w:t>
      </w:r>
      <w:r w:rsidR="008D0222">
        <w:rPr>
          <w:rFonts w:cs="Arial"/>
          <w:szCs w:val="20"/>
        </w:rPr>
        <w:t xml:space="preserve">the </w:t>
      </w:r>
      <w:r w:rsidR="008D0222" w:rsidRPr="008D0222">
        <w:rPr>
          <w:rFonts w:cs="Arial"/>
          <w:szCs w:val="20"/>
        </w:rPr>
        <w:t>Amendments to the Budget of the Republic of Slovenia for 202</w:t>
      </w:r>
      <w:r w:rsidR="001F1975">
        <w:rPr>
          <w:rFonts w:cs="Arial"/>
          <w:szCs w:val="20"/>
        </w:rPr>
        <w:t>3</w:t>
      </w:r>
      <w:r w:rsidRPr="00EE54EC">
        <w:rPr>
          <w:rFonts w:cs="Arial"/>
          <w:szCs w:val="20"/>
        </w:rPr>
        <w:t xml:space="preserve"> (Official Gazette RS No. </w:t>
      </w:r>
      <w:r w:rsidR="001F1975">
        <w:rPr>
          <w:rFonts w:cs="Arial"/>
          <w:szCs w:val="20"/>
        </w:rPr>
        <w:t>65/23</w:t>
      </w:r>
      <w:r w:rsidR="00774BDB">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 xml:space="preserve">for </w:t>
      </w:r>
      <w:r w:rsidR="008D0222" w:rsidRPr="00EE54EC">
        <w:rPr>
          <w:rFonts w:cs="Arial"/>
          <w:szCs w:val="20"/>
        </w:rPr>
        <w:t>20</w:t>
      </w:r>
      <w:r w:rsidR="008D0222">
        <w:rPr>
          <w:rFonts w:cs="Arial"/>
          <w:szCs w:val="20"/>
        </w:rPr>
        <w:t>2</w:t>
      </w:r>
      <w:r w:rsidR="001F1975">
        <w:rPr>
          <w:rFonts w:cs="Arial"/>
          <w:szCs w:val="20"/>
        </w:rPr>
        <w:t>3</w:t>
      </w:r>
      <w:r>
        <w:rPr>
          <w:rFonts w:cs="Arial"/>
          <w:szCs w:val="20"/>
        </w:rPr>
        <w:t>,</w:t>
      </w:r>
      <w:r w:rsidRPr="00EE54EC">
        <w:rPr>
          <w:rFonts w:cs="Arial"/>
          <w:szCs w:val="20"/>
        </w:rPr>
        <w:t xml:space="preserve"> as determined by the </w:t>
      </w:r>
      <w:r w:rsidR="001F1975">
        <w:rPr>
          <w:rFonts w:cs="Arial"/>
          <w:szCs w:val="20"/>
        </w:rPr>
        <w:t>1</w:t>
      </w:r>
      <w:r w:rsidR="001F1975" w:rsidRPr="00471BB1">
        <w:rPr>
          <w:rFonts w:cs="Arial"/>
          <w:szCs w:val="20"/>
          <w:vertAlign w:val="superscript"/>
        </w:rPr>
        <w:t>st</w:t>
      </w:r>
      <w:r w:rsidR="001F1975">
        <w:rPr>
          <w:rFonts w:cs="Arial"/>
          <w:szCs w:val="20"/>
        </w:rPr>
        <w:t xml:space="preserve"> paragraph of the </w:t>
      </w:r>
      <w:r w:rsidRPr="00EE54EC">
        <w:rPr>
          <w:rFonts w:cs="Arial"/>
          <w:szCs w:val="20"/>
        </w:rPr>
        <w:t xml:space="preserve">Article </w:t>
      </w:r>
      <w:r w:rsidR="008D0222">
        <w:rPr>
          <w:rFonts w:cs="Arial"/>
          <w:szCs w:val="20"/>
        </w:rPr>
        <w:t>51</w:t>
      </w:r>
      <w:r w:rsidRPr="00EE54EC">
        <w:rPr>
          <w:rFonts w:cs="Arial"/>
          <w:szCs w:val="20"/>
        </w:rPr>
        <w:t xml:space="preserve"> of the Republic of Slovenia </w:t>
      </w:r>
      <w:r w:rsidR="008D0222" w:rsidRPr="00EE54EC">
        <w:rPr>
          <w:rFonts w:cs="Arial"/>
          <w:szCs w:val="20"/>
        </w:rPr>
        <w:t>20</w:t>
      </w:r>
      <w:r w:rsidR="008D0222">
        <w:rPr>
          <w:rFonts w:cs="Arial"/>
          <w:szCs w:val="20"/>
        </w:rPr>
        <w:t>2</w:t>
      </w:r>
      <w:r w:rsidR="001F1975">
        <w:rPr>
          <w:rFonts w:cs="Arial"/>
          <w:szCs w:val="20"/>
        </w:rPr>
        <w:t>3</w:t>
      </w:r>
      <w:r w:rsidR="008D0222" w:rsidRPr="00EE54EC">
        <w:rPr>
          <w:rFonts w:cs="Arial"/>
          <w:szCs w:val="20"/>
        </w:rPr>
        <w:t xml:space="preserve"> </w:t>
      </w:r>
      <w:r w:rsidRPr="00EE54EC">
        <w:rPr>
          <w:rFonts w:cs="Arial"/>
          <w:szCs w:val="20"/>
        </w:rPr>
        <w:t xml:space="preserve">and </w:t>
      </w:r>
      <w:r w:rsidR="008D0222" w:rsidRPr="00EE54EC">
        <w:rPr>
          <w:rFonts w:cs="Arial"/>
          <w:szCs w:val="20"/>
        </w:rPr>
        <w:t>20</w:t>
      </w:r>
      <w:r w:rsidR="008D0222">
        <w:rPr>
          <w:rFonts w:cs="Arial"/>
          <w:szCs w:val="20"/>
        </w:rPr>
        <w:t>2</w:t>
      </w:r>
      <w:r w:rsidR="001F1975">
        <w:rPr>
          <w:rFonts w:cs="Arial"/>
          <w:szCs w:val="20"/>
        </w:rPr>
        <w:t>4</w:t>
      </w:r>
      <w:r w:rsidR="008D0222" w:rsidRPr="00EE54EC">
        <w:rPr>
          <w:rFonts w:cs="Arial"/>
          <w:szCs w:val="20"/>
        </w:rPr>
        <w:t xml:space="preserve"> </w:t>
      </w:r>
      <w:r w:rsidRPr="00EE54EC">
        <w:rPr>
          <w:rFonts w:cs="Arial"/>
          <w:szCs w:val="20"/>
        </w:rPr>
        <w:t>Budget Execution Act (Official Gazette RS No.</w:t>
      </w:r>
      <w:r w:rsidR="001F1975">
        <w:rPr>
          <w:rFonts w:cs="Arial"/>
          <w:szCs w:val="20"/>
        </w:rPr>
        <w:t>150/22 and 65/23</w:t>
      </w:r>
      <w:r w:rsidRPr="00C056E7">
        <w:rPr>
          <w:rFonts w:cs="Arial"/>
          <w:szCs w:val="20"/>
        </w:rPr>
        <w:t xml:space="preserve">; hereinafter </w:t>
      </w:r>
      <w:r w:rsidR="008D0222" w:rsidRPr="00526A2B">
        <w:rPr>
          <w:rFonts w:cs="Arial"/>
          <w:szCs w:val="20"/>
        </w:rPr>
        <w:t>20</w:t>
      </w:r>
      <w:r w:rsidR="008D0222">
        <w:rPr>
          <w:rFonts w:cs="Arial"/>
          <w:szCs w:val="20"/>
        </w:rPr>
        <w:t>2</w:t>
      </w:r>
      <w:r w:rsidR="001F1975">
        <w:rPr>
          <w:rFonts w:cs="Arial"/>
          <w:szCs w:val="20"/>
        </w:rPr>
        <w:t>3</w:t>
      </w:r>
      <w:r w:rsidR="008D0222" w:rsidRPr="00526A2B">
        <w:rPr>
          <w:rFonts w:cs="Arial"/>
          <w:szCs w:val="20"/>
        </w:rPr>
        <w:t xml:space="preserve"> </w:t>
      </w:r>
      <w:r w:rsidRPr="00526A2B">
        <w:rPr>
          <w:rFonts w:cs="Arial"/>
          <w:szCs w:val="20"/>
        </w:rPr>
        <w:t xml:space="preserve">and </w:t>
      </w:r>
      <w:r w:rsidR="008D0222" w:rsidRPr="00526A2B">
        <w:rPr>
          <w:rFonts w:cs="Arial"/>
          <w:szCs w:val="20"/>
        </w:rPr>
        <w:t>20</w:t>
      </w:r>
      <w:r w:rsidR="008D0222">
        <w:rPr>
          <w:rFonts w:cs="Arial"/>
          <w:szCs w:val="20"/>
        </w:rPr>
        <w:t>2</w:t>
      </w:r>
      <w:r w:rsidR="001F1975">
        <w:rPr>
          <w:rFonts w:cs="Arial"/>
          <w:szCs w:val="20"/>
        </w:rPr>
        <w:t>4</w:t>
      </w:r>
      <w:r w:rsidR="008D0222">
        <w:rPr>
          <w:rFonts w:cs="Arial"/>
          <w:szCs w:val="20"/>
        </w:rPr>
        <w:t xml:space="preserve"> </w:t>
      </w:r>
      <w:r w:rsidRPr="00C056E7">
        <w:rPr>
          <w:rFonts w:cs="Arial"/>
          <w:szCs w:val="20"/>
        </w:rPr>
        <w:t>Budget Execution Act</w:t>
      </w:r>
      <w:r w:rsidRPr="00EE54EC">
        <w:rPr>
          <w:rFonts w:cs="Arial"/>
          <w:szCs w:val="20"/>
        </w:rPr>
        <w:t xml:space="preserve">) and considering the change of the cash position and prefinancing executed in </w:t>
      </w:r>
      <w:r w:rsidR="00CF1B00" w:rsidRPr="00EE54EC">
        <w:rPr>
          <w:rFonts w:cs="Arial"/>
          <w:szCs w:val="20"/>
        </w:rPr>
        <w:t>20</w:t>
      </w:r>
      <w:r w:rsidR="00CF1B00">
        <w:rPr>
          <w:rFonts w:cs="Arial"/>
          <w:szCs w:val="20"/>
        </w:rPr>
        <w:t>2</w:t>
      </w:r>
      <w:r w:rsidR="001F1975">
        <w:rPr>
          <w:rFonts w:cs="Arial"/>
          <w:szCs w:val="20"/>
        </w:rPr>
        <w:t>2</w:t>
      </w:r>
      <w:r w:rsidRPr="00EE54EC">
        <w:rPr>
          <w:rFonts w:cs="Arial"/>
          <w:szCs w:val="20"/>
        </w:rPr>
        <w:t>, the</w:t>
      </w:r>
      <w:r>
        <w:rPr>
          <w:rFonts w:cs="Arial"/>
          <w:szCs w:val="20"/>
        </w:rPr>
        <w:t xml:space="preserve"> </w:t>
      </w:r>
      <w:r w:rsidRPr="00EE54EC">
        <w:rPr>
          <w:rFonts w:cs="Arial"/>
          <w:szCs w:val="20"/>
        </w:rPr>
        <w:t xml:space="preserve">central government may </w:t>
      </w:r>
      <w:r w:rsidR="00DF539C" w:rsidRPr="00EE54EC">
        <w:rPr>
          <w:rFonts w:cs="Arial"/>
          <w:szCs w:val="20"/>
        </w:rPr>
        <w:t xml:space="preserve">in </w:t>
      </w:r>
      <w:r w:rsidR="00CF1B00" w:rsidRPr="00EE54EC">
        <w:rPr>
          <w:rFonts w:cs="Arial"/>
          <w:szCs w:val="20"/>
        </w:rPr>
        <w:t>20</w:t>
      </w:r>
      <w:r w:rsidR="00CF1B00">
        <w:rPr>
          <w:rFonts w:cs="Arial"/>
          <w:szCs w:val="20"/>
        </w:rPr>
        <w:t>2</w:t>
      </w:r>
      <w:r w:rsidR="001F1975">
        <w:rPr>
          <w:rFonts w:cs="Arial"/>
          <w:szCs w:val="20"/>
        </w:rPr>
        <w:t>3</w:t>
      </w:r>
      <w:r w:rsidR="00CF1B00"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00CF1B00" w:rsidRPr="00EE54EC">
        <w:rPr>
          <w:rFonts w:cs="Arial"/>
          <w:szCs w:val="20"/>
        </w:rPr>
        <w:t>20</w:t>
      </w:r>
      <w:r w:rsidR="00CF1B00">
        <w:rPr>
          <w:rFonts w:cs="Arial"/>
          <w:szCs w:val="20"/>
        </w:rPr>
        <w:t>2</w:t>
      </w:r>
      <w:r w:rsidR="001F1975">
        <w:rPr>
          <w:rFonts w:cs="Arial"/>
          <w:szCs w:val="20"/>
        </w:rPr>
        <w:t>3</w:t>
      </w:r>
      <w:r w:rsidR="00CF1B00">
        <w:rPr>
          <w:rFonts w:cs="Arial"/>
          <w:szCs w:val="20"/>
        </w:rPr>
        <w:t xml:space="preserve">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27191CC3" w14:textId="77777777" w:rsidR="0058467E" w:rsidRPr="00EE54EC" w:rsidRDefault="0058467E" w:rsidP="00BF2DD5">
      <w:pPr>
        <w:jc w:val="both"/>
        <w:rPr>
          <w:rFonts w:cs="Arial"/>
          <w:szCs w:val="20"/>
        </w:rPr>
      </w:pPr>
    </w:p>
    <w:p w14:paraId="30CEA8C2" w14:textId="40EF19A0" w:rsidR="00BF2DD5" w:rsidRDefault="00BF2DD5" w:rsidP="00471BB1">
      <w:pPr>
        <w:spacing w:line="240" w:lineRule="auto"/>
        <w:rPr>
          <w:rFonts w:cs="Arial"/>
          <w:b/>
          <w:szCs w:val="20"/>
        </w:rPr>
      </w:pPr>
      <w:r w:rsidRPr="00C056E7">
        <w:rPr>
          <w:rFonts w:cs="Arial"/>
          <w:b/>
          <w:szCs w:val="20"/>
        </w:rPr>
        <w:t xml:space="preserve">Financing </w:t>
      </w:r>
      <w:r w:rsidR="0023304A">
        <w:rPr>
          <w:rFonts w:cs="Arial"/>
          <w:b/>
          <w:szCs w:val="20"/>
        </w:rPr>
        <w:t xml:space="preserve">in the year </w:t>
      </w:r>
      <w:r w:rsidR="00CF1B00">
        <w:rPr>
          <w:rFonts w:cs="Arial"/>
          <w:b/>
          <w:szCs w:val="20"/>
        </w:rPr>
        <w:t>202</w:t>
      </w:r>
      <w:r w:rsidR="0058467E">
        <w:rPr>
          <w:rFonts w:cs="Arial"/>
          <w:b/>
          <w:szCs w:val="20"/>
        </w:rPr>
        <w:t>3</w:t>
      </w:r>
      <w:r w:rsidR="00CF1B00">
        <w:rPr>
          <w:rFonts w:cs="Arial"/>
          <w:b/>
          <w:szCs w:val="20"/>
        </w:rPr>
        <w:t xml:space="preserve"> </w:t>
      </w:r>
      <w:r w:rsidR="0023304A">
        <w:rPr>
          <w:rFonts w:cs="Arial"/>
          <w:b/>
          <w:szCs w:val="20"/>
        </w:rPr>
        <w:t xml:space="preserve">for execution </w:t>
      </w:r>
      <w:r w:rsidRPr="009C1585">
        <w:rPr>
          <w:rFonts w:cs="Arial"/>
          <w:b/>
          <w:szCs w:val="20"/>
        </w:rPr>
        <w:t xml:space="preserve">of the </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2FB6E60B"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w:t>
      </w:r>
      <w:r w:rsidR="00CF1B00" w:rsidRPr="009C1DF7">
        <w:rPr>
          <w:rFonts w:cs="Arial"/>
          <w:szCs w:val="20"/>
        </w:rPr>
        <w:t>20</w:t>
      </w:r>
      <w:r w:rsidR="00CF1B00">
        <w:rPr>
          <w:rFonts w:cs="Arial"/>
          <w:szCs w:val="20"/>
        </w:rPr>
        <w:t>2</w:t>
      </w:r>
      <w:r w:rsidR="0058467E">
        <w:rPr>
          <w:rFonts w:cs="Arial"/>
          <w:szCs w:val="20"/>
        </w:rPr>
        <w:t>3</w:t>
      </w:r>
    </w:p>
    <w:p w14:paraId="6E3E1DC0" w14:textId="77777777" w:rsidR="00BF2DD5" w:rsidRDefault="00BF2DD5" w:rsidP="00BF2DD5">
      <w:pPr>
        <w:jc w:val="right"/>
        <w:rPr>
          <w:rFonts w:cs="Arial"/>
          <w:szCs w:val="20"/>
        </w:rPr>
      </w:pPr>
    </w:p>
    <w:tbl>
      <w:tblPr>
        <w:tblW w:w="8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97"/>
        <w:gridCol w:w="2672"/>
      </w:tblGrid>
      <w:tr w:rsidR="00F9090E" w:rsidRPr="00EA1B6A" w14:paraId="28A4750F" w14:textId="77777777" w:rsidTr="00AB5E04">
        <w:trPr>
          <w:trHeight w:val="267"/>
        </w:trPr>
        <w:tc>
          <w:tcPr>
            <w:tcW w:w="599"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72"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AB5E04">
        <w:trPr>
          <w:trHeight w:val="267"/>
        </w:trPr>
        <w:tc>
          <w:tcPr>
            <w:tcW w:w="599"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72" w:type="dxa"/>
            <w:vAlign w:val="center"/>
          </w:tcPr>
          <w:p w14:paraId="0FC941A2" w14:textId="298BF26D" w:rsidR="00F9090E" w:rsidRPr="0058467E" w:rsidRDefault="0058467E" w:rsidP="008810AD">
            <w:pPr>
              <w:spacing w:line="260" w:lineRule="atLeast"/>
              <w:jc w:val="right"/>
              <w:rPr>
                <w:bCs/>
                <w:sz w:val="18"/>
              </w:rPr>
            </w:pPr>
            <w:r w:rsidRPr="00471BB1">
              <w:rPr>
                <w:bCs/>
                <w:sz w:val="18"/>
              </w:rPr>
              <w:t>2</w:t>
            </w:r>
            <w:r>
              <w:rPr>
                <w:bCs/>
                <w:sz w:val="18"/>
              </w:rPr>
              <w:t>,</w:t>
            </w:r>
            <w:r w:rsidRPr="00471BB1">
              <w:rPr>
                <w:bCs/>
                <w:sz w:val="18"/>
              </w:rPr>
              <w:t>938</w:t>
            </w:r>
            <w:r>
              <w:rPr>
                <w:bCs/>
                <w:sz w:val="18"/>
              </w:rPr>
              <w:t>,</w:t>
            </w:r>
            <w:r w:rsidRPr="00471BB1">
              <w:rPr>
                <w:bCs/>
                <w:sz w:val="18"/>
              </w:rPr>
              <w:t>050</w:t>
            </w:r>
            <w:r>
              <w:rPr>
                <w:bCs/>
                <w:sz w:val="18"/>
              </w:rPr>
              <w:t>,</w:t>
            </w:r>
            <w:r w:rsidRPr="00471BB1">
              <w:rPr>
                <w:bCs/>
                <w:sz w:val="18"/>
              </w:rPr>
              <w:t>940</w:t>
            </w:r>
            <w:r>
              <w:rPr>
                <w:bCs/>
                <w:sz w:val="18"/>
              </w:rPr>
              <w:t>.</w:t>
            </w:r>
            <w:r w:rsidRPr="00471BB1">
              <w:rPr>
                <w:bCs/>
                <w:sz w:val="18"/>
              </w:rPr>
              <w:t>00</w:t>
            </w:r>
            <w:r w:rsidR="00346BE9">
              <w:rPr>
                <w:bCs/>
                <w:sz w:val="18"/>
              </w:rPr>
              <w:t xml:space="preserve"> </w:t>
            </w:r>
            <w:r w:rsidR="00F9090E" w:rsidRPr="0058467E">
              <w:rPr>
                <w:bCs/>
                <w:sz w:val="18"/>
              </w:rPr>
              <w:t xml:space="preserve">€ </w:t>
            </w:r>
          </w:p>
        </w:tc>
      </w:tr>
      <w:tr w:rsidR="00F9090E" w:rsidRPr="00EA1B6A" w14:paraId="4A2A3E49" w14:textId="77777777" w:rsidTr="00AB5E04">
        <w:trPr>
          <w:trHeight w:val="521"/>
        </w:trPr>
        <w:tc>
          <w:tcPr>
            <w:tcW w:w="599"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72" w:type="dxa"/>
            <w:vAlign w:val="center"/>
          </w:tcPr>
          <w:p w14:paraId="3EE3F491" w14:textId="5F9990E5" w:rsidR="00F9090E" w:rsidRPr="008810AD" w:rsidRDefault="00FF3C67" w:rsidP="00F9090E">
            <w:pPr>
              <w:spacing w:line="260" w:lineRule="atLeast"/>
              <w:jc w:val="right"/>
              <w:rPr>
                <w:sz w:val="18"/>
              </w:rPr>
            </w:pPr>
            <w:r w:rsidRPr="00FF3C67">
              <w:rPr>
                <w:bCs/>
                <w:sz w:val="18"/>
                <w:lang w:val="sl-SI"/>
              </w:rPr>
              <w:t>736</w:t>
            </w:r>
            <w:r>
              <w:rPr>
                <w:bCs/>
                <w:sz w:val="18"/>
                <w:lang w:val="sl-SI"/>
              </w:rPr>
              <w:t>,</w:t>
            </w:r>
            <w:r w:rsidRPr="00FF3C67">
              <w:rPr>
                <w:bCs/>
                <w:sz w:val="18"/>
                <w:lang w:val="sl-SI"/>
              </w:rPr>
              <w:t>139</w:t>
            </w:r>
            <w:r>
              <w:rPr>
                <w:bCs/>
                <w:sz w:val="18"/>
                <w:lang w:val="sl-SI"/>
              </w:rPr>
              <w:t>,</w:t>
            </w:r>
            <w:r w:rsidRPr="00FF3C67">
              <w:rPr>
                <w:bCs/>
                <w:sz w:val="18"/>
                <w:lang w:val="sl-SI"/>
              </w:rPr>
              <w:t>778</w:t>
            </w:r>
            <w:r>
              <w:rPr>
                <w:bCs/>
                <w:sz w:val="18"/>
                <w:lang w:val="sl-SI"/>
              </w:rPr>
              <w:t>.</w:t>
            </w:r>
            <w:r w:rsidRPr="00FF3C67">
              <w:rPr>
                <w:bCs/>
                <w:sz w:val="18"/>
                <w:lang w:val="sl-SI"/>
              </w:rPr>
              <w:t xml:space="preserve">00 </w:t>
            </w:r>
            <w:r w:rsidR="00CF1B00">
              <w:rPr>
                <w:bCs/>
                <w:sz w:val="18"/>
              </w:rPr>
              <w:t>€</w:t>
            </w:r>
          </w:p>
        </w:tc>
      </w:tr>
      <w:tr w:rsidR="00F9090E" w:rsidRPr="00EA1B6A" w14:paraId="3C6D5701" w14:textId="77777777" w:rsidTr="00AB5E04">
        <w:trPr>
          <w:trHeight w:val="534"/>
        </w:trPr>
        <w:tc>
          <w:tcPr>
            <w:tcW w:w="599"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5A6C13F7"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00CF1B00" w:rsidRPr="00FE2914">
              <w:rPr>
                <w:sz w:val="18"/>
              </w:rPr>
              <w:t>20</w:t>
            </w:r>
            <w:r w:rsidR="00CF1B00">
              <w:rPr>
                <w:sz w:val="18"/>
              </w:rPr>
              <w:t>2</w:t>
            </w:r>
            <w:r w:rsidR="004A7101">
              <w:rPr>
                <w:sz w:val="18"/>
              </w:rPr>
              <w:t>3</w:t>
            </w:r>
            <w:r w:rsidR="00CF1B00" w:rsidRPr="00FE2914">
              <w:rPr>
                <w:sz w:val="18"/>
              </w:rPr>
              <w:t xml:space="preserve"> </w:t>
            </w:r>
            <w:r w:rsidRPr="00FE2914">
              <w:rPr>
                <w:sz w:val="18"/>
              </w:rPr>
              <w:t>(C.)</w:t>
            </w:r>
            <w:r w:rsidR="00EA23CC">
              <w:rPr>
                <w:rStyle w:val="Sprotnaopomba-sklic"/>
                <w:sz w:val="18"/>
              </w:rPr>
              <w:footnoteReference w:id="2"/>
            </w:r>
          </w:p>
        </w:tc>
        <w:tc>
          <w:tcPr>
            <w:tcW w:w="2672" w:type="dxa"/>
            <w:vAlign w:val="center"/>
          </w:tcPr>
          <w:p w14:paraId="5A6A55E0" w14:textId="126A3650" w:rsidR="00F9090E" w:rsidRPr="00471BB1" w:rsidRDefault="00FF3C67" w:rsidP="00F9090E">
            <w:pPr>
              <w:spacing w:line="260" w:lineRule="atLeast"/>
              <w:jc w:val="right"/>
              <w:rPr>
                <w:bCs/>
                <w:sz w:val="18"/>
                <w:lang w:val="sl-SI"/>
              </w:rPr>
            </w:pPr>
            <w:r w:rsidRPr="00471BB1">
              <w:rPr>
                <w:bCs/>
                <w:sz w:val="18"/>
                <w:lang w:val="sl-SI"/>
              </w:rPr>
              <w:t>1</w:t>
            </w:r>
            <w:r>
              <w:rPr>
                <w:bCs/>
                <w:sz w:val="18"/>
                <w:lang w:val="sl-SI"/>
              </w:rPr>
              <w:t>,</w:t>
            </w:r>
            <w:r w:rsidRPr="00471BB1">
              <w:rPr>
                <w:bCs/>
                <w:sz w:val="18"/>
                <w:lang w:val="sl-SI"/>
              </w:rPr>
              <w:t>491</w:t>
            </w:r>
            <w:r>
              <w:rPr>
                <w:bCs/>
                <w:sz w:val="18"/>
                <w:lang w:val="sl-SI"/>
              </w:rPr>
              <w:t>,</w:t>
            </w:r>
            <w:r w:rsidRPr="00471BB1">
              <w:rPr>
                <w:bCs/>
                <w:sz w:val="18"/>
                <w:lang w:val="sl-SI"/>
              </w:rPr>
              <w:t>639</w:t>
            </w:r>
            <w:r>
              <w:rPr>
                <w:bCs/>
                <w:sz w:val="18"/>
                <w:lang w:val="sl-SI"/>
              </w:rPr>
              <w:t>,</w:t>
            </w:r>
            <w:r w:rsidRPr="00471BB1">
              <w:rPr>
                <w:bCs/>
                <w:sz w:val="18"/>
                <w:lang w:val="sl-SI"/>
              </w:rPr>
              <w:t>085</w:t>
            </w:r>
            <w:r>
              <w:rPr>
                <w:bCs/>
                <w:sz w:val="18"/>
                <w:lang w:val="sl-SI"/>
              </w:rPr>
              <w:t>.</w:t>
            </w:r>
            <w:r w:rsidRPr="00471BB1">
              <w:rPr>
                <w:bCs/>
                <w:sz w:val="18"/>
                <w:lang w:val="sl-SI"/>
              </w:rPr>
              <w:t xml:space="preserve">00 </w:t>
            </w:r>
            <w:r w:rsidR="00CF1B00" w:rsidRPr="00471BB1">
              <w:rPr>
                <w:bCs/>
                <w:sz w:val="18"/>
                <w:lang w:val="sl-SI"/>
              </w:rPr>
              <w:t>€</w:t>
            </w:r>
          </w:p>
        </w:tc>
      </w:tr>
      <w:tr w:rsidR="00F9090E" w:rsidRPr="00EA1B6A" w14:paraId="7412CDBC" w14:textId="77777777" w:rsidTr="00AB5E04">
        <w:trPr>
          <w:trHeight w:val="489"/>
        </w:trPr>
        <w:tc>
          <w:tcPr>
            <w:tcW w:w="599"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72" w:type="dxa"/>
            <w:vAlign w:val="center"/>
          </w:tcPr>
          <w:p w14:paraId="281CCDE0" w14:textId="0FB24B2B" w:rsidR="00F9090E" w:rsidRPr="00471BB1" w:rsidRDefault="004A7101" w:rsidP="00D2408B">
            <w:pPr>
              <w:spacing w:line="260" w:lineRule="atLeast"/>
              <w:jc w:val="right"/>
              <w:rPr>
                <w:bCs/>
                <w:sz w:val="18"/>
                <w:lang w:val="sl-SI"/>
              </w:rPr>
            </w:pPr>
            <w:r w:rsidRPr="00471BB1">
              <w:rPr>
                <w:bCs/>
                <w:sz w:val="18"/>
                <w:lang w:val="sl-SI"/>
              </w:rPr>
              <w:t xml:space="preserve">-1,000,000,000.00 </w:t>
            </w:r>
            <w:r w:rsidRPr="00D40767">
              <w:rPr>
                <w:bCs/>
                <w:sz w:val="18"/>
                <w:lang w:val="sl-SI"/>
              </w:rPr>
              <w:t>€</w:t>
            </w:r>
            <w:r w:rsidRPr="00471BB1">
              <w:rPr>
                <w:bCs/>
                <w:sz w:val="18"/>
                <w:lang w:val="sl-SI"/>
              </w:rPr>
              <w:t xml:space="preserve"> </w:t>
            </w:r>
          </w:p>
        </w:tc>
      </w:tr>
      <w:tr w:rsidR="00F9090E" w:rsidRPr="00EA1B6A" w14:paraId="600331AE" w14:textId="77777777" w:rsidTr="00AB5E04">
        <w:trPr>
          <w:trHeight w:val="254"/>
        </w:trPr>
        <w:tc>
          <w:tcPr>
            <w:tcW w:w="599"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72" w:type="dxa"/>
            <w:vAlign w:val="center"/>
          </w:tcPr>
          <w:p w14:paraId="2CC36B96" w14:textId="6786D027" w:rsidR="00F9090E" w:rsidRPr="00D2408B" w:rsidRDefault="004A7101" w:rsidP="00D2408B">
            <w:pPr>
              <w:spacing w:line="260" w:lineRule="atLeast"/>
              <w:jc w:val="right"/>
              <w:rPr>
                <w:b/>
                <w:sz w:val="18"/>
              </w:rPr>
            </w:pPr>
            <w:r w:rsidRPr="004A7101">
              <w:rPr>
                <w:b/>
                <w:bCs/>
                <w:sz w:val="18"/>
                <w:lang w:val="sl-SI"/>
              </w:rPr>
              <w:t>4</w:t>
            </w:r>
            <w:r>
              <w:rPr>
                <w:b/>
                <w:bCs/>
                <w:sz w:val="18"/>
                <w:lang w:val="sl-SI"/>
              </w:rPr>
              <w:t>,</w:t>
            </w:r>
            <w:r w:rsidRPr="004A7101">
              <w:rPr>
                <w:b/>
                <w:bCs/>
                <w:sz w:val="18"/>
                <w:lang w:val="sl-SI"/>
              </w:rPr>
              <w:t>165</w:t>
            </w:r>
            <w:r>
              <w:rPr>
                <w:b/>
                <w:bCs/>
                <w:sz w:val="18"/>
                <w:lang w:val="sl-SI"/>
              </w:rPr>
              <w:t>,</w:t>
            </w:r>
            <w:r w:rsidRPr="004A7101">
              <w:rPr>
                <w:b/>
                <w:bCs/>
                <w:sz w:val="18"/>
                <w:lang w:val="sl-SI"/>
              </w:rPr>
              <w:t>829</w:t>
            </w:r>
            <w:r>
              <w:rPr>
                <w:b/>
                <w:bCs/>
                <w:sz w:val="18"/>
                <w:lang w:val="sl-SI"/>
              </w:rPr>
              <w:t>,</w:t>
            </w:r>
            <w:r w:rsidRPr="004A7101">
              <w:rPr>
                <w:b/>
                <w:bCs/>
                <w:sz w:val="18"/>
                <w:lang w:val="sl-SI"/>
              </w:rPr>
              <w:t>803</w:t>
            </w:r>
            <w:r>
              <w:rPr>
                <w:b/>
                <w:bCs/>
                <w:sz w:val="18"/>
                <w:lang w:val="sl-SI"/>
              </w:rPr>
              <w:t>.</w:t>
            </w:r>
            <w:r w:rsidRPr="004A7101">
              <w:rPr>
                <w:b/>
                <w:bCs/>
                <w:sz w:val="18"/>
                <w:lang w:val="sl-SI"/>
              </w:rPr>
              <w:t xml:space="preserve">00 </w:t>
            </w:r>
            <w:r w:rsidR="00CF1B00">
              <w:rPr>
                <w:b/>
                <w:bCs/>
                <w:sz w:val="18"/>
              </w:rPr>
              <w:t>€</w:t>
            </w:r>
            <w:r w:rsidR="00CF1B00" w:rsidRPr="00CF1B00" w:rsidDel="00CF1B00">
              <w:rPr>
                <w:b/>
                <w:bCs/>
                <w:sz w:val="18"/>
              </w:rPr>
              <w:t xml:space="preserve"> </w:t>
            </w:r>
          </w:p>
        </w:tc>
      </w:tr>
      <w:tr w:rsidR="00CF1B00" w:rsidRPr="00EA1B6A" w14:paraId="77405EE6" w14:textId="77777777" w:rsidTr="00AB5E04">
        <w:trPr>
          <w:trHeight w:val="267"/>
        </w:trPr>
        <w:tc>
          <w:tcPr>
            <w:tcW w:w="599" w:type="dxa"/>
          </w:tcPr>
          <w:p w14:paraId="5A99EFD0" w14:textId="77777777" w:rsidR="00CF1B00" w:rsidRPr="00562256" w:rsidRDefault="00CF1B00" w:rsidP="0046087E">
            <w:pPr>
              <w:spacing w:line="260" w:lineRule="atLeast"/>
              <w:jc w:val="center"/>
              <w:rPr>
                <w:rFonts w:cs="Arial"/>
                <w:b/>
                <w:bCs/>
                <w:sz w:val="18"/>
                <w:szCs w:val="18"/>
                <w:lang w:val="sl-SI"/>
              </w:rPr>
            </w:pPr>
          </w:p>
        </w:tc>
        <w:tc>
          <w:tcPr>
            <w:tcW w:w="5197" w:type="dxa"/>
            <w:shd w:val="clear" w:color="auto" w:fill="FFFFFF"/>
            <w:vAlign w:val="center"/>
          </w:tcPr>
          <w:p w14:paraId="5E91F672" w14:textId="77777777" w:rsidR="00CF1B00" w:rsidRPr="00FE2914" w:rsidRDefault="00CF1B00" w:rsidP="0046087E">
            <w:pPr>
              <w:spacing w:line="260" w:lineRule="atLeast"/>
              <w:rPr>
                <w:sz w:val="18"/>
              </w:rPr>
            </w:pPr>
          </w:p>
        </w:tc>
        <w:tc>
          <w:tcPr>
            <w:tcW w:w="2672" w:type="dxa"/>
            <w:shd w:val="clear" w:color="auto" w:fill="FFFFFF"/>
            <w:vAlign w:val="center"/>
          </w:tcPr>
          <w:p w14:paraId="20A8653B" w14:textId="77777777" w:rsidR="00CF1B00" w:rsidRPr="00D2408B" w:rsidRDefault="00CF1B00" w:rsidP="0046087E">
            <w:pPr>
              <w:spacing w:line="260" w:lineRule="atLeast"/>
              <w:jc w:val="right"/>
              <w:rPr>
                <w:sz w:val="18"/>
              </w:rPr>
            </w:pPr>
          </w:p>
        </w:tc>
      </w:tr>
      <w:tr w:rsidR="00BF2DD5" w:rsidRPr="00EA1B6A" w14:paraId="47E8C7D8" w14:textId="77777777" w:rsidTr="00AB5E04">
        <w:trPr>
          <w:trHeight w:val="534"/>
        </w:trPr>
        <w:tc>
          <w:tcPr>
            <w:tcW w:w="599"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tcPr>
          <w:p w14:paraId="109B8205" w14:textId="39EC5E1B" w:rsidR="00BF2DD5" w:rsidRPr="00FE2914" w:rsidRDefault="00BF2DD5" w:rsidP="00F9090E">
            <w:pPr>
              <w:spacing w:line="260" w:lineRule="atLeast"/>
              <w:rPr>
                <w:b/>
                <w:sz w:val="18"/>
              </w:rPr>
            </w:pPr>
            <w:r w:rsidRPr="00FE2914">
              <w:rPr>
                <w:b/>
                <w:sz w:val="18"/>
              </w:rPr>
              <w:t xml:space="preserve">Prefinancing executed in </w:t>
            </w:r>
            <w:r w:rsidR="00CF1B00" w:rsidRPr="00FE2914">
              <w:rPr>
                <w:b/>
                <w:sz w:val="18"/>
              </w:rPr>
              <w:t>20</w:t>
            </w:r>
            <w:r w:rsidR="00CF1B00">
              <w:rPr>
                <w:b/>
                <w:sz w:val="18"/>
              </w:rPr>
              <w:t>2</w:t>
            </w:r>
            <w:r w:rsidR="003C1B04">
              <w:rPr>
                <w:b/>
                <w:sz w:val="18"/>
              </w:rPr>
              <w:t>2</w:t>
            </w:r>
            <w:r w:rsidR="00CF1B00">
              <w:rPr>
                <w:b/>
                <w:sz w:val="18"/>
              </w:rPr>
              <w:t xml:space="preserve"> </w:t>
            </w:r>
            <w:r w:rsidR="009A6259">
              <w:rPr>
                <w:b/>
                <w:sz w:val="18"/>
              </w:rPr>
              <w:t>and capital assets sales proceeds</w:t>
            </w:r>
            <w:r w:rsidRPr="00FE2914">
              <w:rPr>
                <w:b/>
                <w:sz w:val="18"/>
              </w:rPr>
              <w:t xml:space="preserve"> </w:t>
            </w:r>
          </w:p>
        </w:tc>
        <w:tc>
          <w:tcPr>
            <w:tcW w:w="2672" w:type="dxa"/>
            <w:shd w:val="clear" w:color="auto" w:fill="FFFFFF"/>
            <w:vAlign w:val="center"/>
          </w:tcPr>
          <w:p w14:paraId="38D7BFE0" w14:textId="3BE307E7" w:rsidR="00BF2DD5" w:rsidRPr="009923A7" w:rsidRDefault="00BF2DD5" w:rsidP="00F9090E">
            <w:pPr>
              <w:spacing w:line="260" w:lineRule="atLeast"/>
              <w:jc w:val="right"/>
              <w:rPr>
                <w:sz w:val="18"/>
              </w:rPr>
            </w:pPr>
          </w:p>
        </w:tc>
      </w:tr>
      <w:tr w:rsidR="003C1B04" w:rsidRPr="00EA1B6A" w14:paraId="4C62E591" w14:textId="77777777" w:rsidTr="00AB5E04">
        <w:trPr>
          <w:trHeight w:val="534"/>
        </w:trPr>
        <w:tc>
          <w:tcPr>
            <w:tcW w:w="599" w:type="dxa"/>
          </w:tcPr>
          <w:p w14:paraId="6B68ECA6" w14:textId="77777777" w:rsidR="003C1B04" w:rsidRPr="00562256" w:rsidRDefault="003C1B04" w:rsidP="00F9090E">
            <w:pPr>
              <w:spacing w:line="260" w:lineRule="atLeast"/>
              <w:jc w:val="center"/>
              <w:rPr>
                <w:rFonts w:cs="Arial"/>
                <w:b/>
                <w:bCs/>
                <w:sz w:val="18"/>
                <w:szCs w:val="18"/>
                <w:lang w:val="sl-SI"/>
              </w:rPr>
            </w:pPr>
          </w:p>
        </w:tc>
        <w:tc>
          <w:tcPr>
            <w:tcW w:w="5197" w:type="dxa"/>
            <w:shd w:val="clear" w:color="auto" w:fill="FFFFFF"/>
          </w:tcPr>
          <w:p w14:paraId="334B79D1" w14:textId="23F989A9" w:rsidR="003C1B04" w:rsidRPr="00471BB1" w:rsidRDefault="003C1B04" w:rsidP="00471BB1">
            <w:pPr>
              <w:pStyle w:val="Odstavekseznama"/>
              <w:numPr>
                <w:ilvl w:val="0"/>
                <w:numId w:val="18"/>
              </w:numPr>
              <w:spacing w:line="260" w:lineRule="atLeast"/>
              <w:rPr>
                <w:bCs/>
                <w:sz w:val="18"/>
              </w:rPr>
            </w:pPr>
            <w:r w:rsidRPr="00471BB1">
              <w:rPr>
                <w:bCs/>
                <w:sz w:val="18"/>
              </w:rPr>
              <w:t>Prefinancing executed in 2022</w:t>
            </w:r>
          </w:p>
        </w:tc>
        <w:tc>
          <w:tcPr>
            <w:tcW w:w="2672" w:type="dxa"/>
            <w:shd w:val="clear" w:color="auto" w:fill="FFFFFF"/>
            <w:vAlign w:val="center"/>
          </w:tcPr>
          <w:p w14:paraId="718D14C6" w14:textId="77832550" w:rsidR="003C1B04" w:rsidDel="003C1B04" w:rsidRDefault="003C1B04" w:rsidP="00471BB1">
            <w:pPr>
              <w:spacing w:line="260" w:lineRule="atLeast"/>
              <w:jc w:val="center"/>
              <w:rPr>
                <w:sz w:val="18"/>
              </w:rPr>
            </w:pPr>
            <w:r>
              <w:rPr>
                <w:sz w:val="18"/>
              </w:rPr>
              <w:t>/</w:t>
            </w:r>
          </w:p>
        </w:tc>
      </w:tr>
      <w:tr w:rsidR="003C1B04" w:rsidRPr="00EA1B6A" w14:paraId="2A5D1B99" w14:textId="77777777" w:rsidTr="00AB5E04">
        <w:trPr>
          <w:trHeight w:val="534"/>
        </w:trPr>
        <w:tc>
          <w:tcPr>
            <w:tcW w:w="599" w:type="dxa"/>
          </w:tcPr>
          <w:p w14:paraId="258D3886" w14:textId="77777777" w:rsidR="003C1B04" w:rsidRPr="00562256" w:rsidRDefault="003C1B04" w:rsidP="00F9090E">
            <w:pPr>
              <w:spacing w:line="260" w:lineRule="atLeast"/>
              <w:jc w:val="center"/>
              <w:rPr>
                <w:rFonts w:cs="Arial"/>
                <w:b/>
                <w:bCs/>
                <w:sz w:val="18"/>
                <w:szCs w:val="18"/>
                <w:lang w:val="sl-SI"/>
              </w:rPr>
            </w:pPr>
          </w:p>
        </w:tc>
        <w:tc>
          <w:tcPr>
            <w:tcW w:w="5197" w:type="dxa"/>
            <w:shd w:val="clear" w:color="auto" w:fill="FFFFFF"/>
          </w:tcPr>
          <w:p w14:paraId="35BE41BA" w14:textId="087E8E4C" w:rsidR="003C1B04" w:rsidRPr="00471BB1" w:rsidRDefault="003C1B04" w:rsidP="00471BB1">
            <w:pPr>
              <w:pStyle w:val="Odstavekseznama"/>
              <w:numPr>
                <w:ilvl w:val="0"/>
                <w:numId w:val="18"/>
              </w:numPr>
              <w:spacing w:line="260" w:lineRule="atLeast"/>
              <w:rPr>
                <w:bCs/>
                <w:sz w:val="18"/>
              </w:rPr>
            </w:pPr>
            <w:r w:rsidRPr="00471BB1">
              <w:rPr>
                <w:bCs/>
                <w:sz w:val="18"/>
              </w:rPr>
              <w:t xml:space="preserve">Capital assets sales proceeds </w:t>
            </w:r>
          </w:p>
        </w:tc>
        <w:tc>
          <w:tcPr>
            <w:tcW w:w="2672" w:type="dxa"/>
            <w:shd w:val="clear" w:color="auto" w:fill="FFFFFF"/>
            <w:vAlign w:val="center"/>
          </w:tcPr>
          <w:p w14:paraId="5EEC4D44" w14:textId="24F18EDA" w:rsidR="003C1B04" w:rsidDel="003C1B04" w:rsidRDefault="003C1B04" w:rsidP="00F9090E">
            <w:pPr>
              <w:spacing w:line="260" w:lineRule="atLeast"/>
              <w:jc w:val="right"/>
              <w:rPr>
                <w:sz w:val="18"/>
              </w:rPr>
            </w:pPr>
            <w:r w:rsidRPr="003C1B04">
              <w:rPr>
                <w:sz w:val="18"/>
                <w:lang w:val="sl-SI"/>
              </w:rPr>
              <w:t>20</w:t>
            </w:r>
            <w:r>
              <w:rPr>
                <w:sz w:val="18"/>
                <w:lang w:val="sl-SI"/>
              </w:rPr>
              <w:t>,</w:t>
            </w:r>
            <w:r w:rsidRPr="003C1B04">
              <w:rPr>
                <w:sz w:val="18"/>
                <w:lang w:val="sl-SI"/>
              </w:rPr>
              <w:t>061</w:t>
            </w:r>
            <w:r>
              <w:rPr>
                <w:sz w:val="18"/>
                <w:lang w:val="sl-SI"/>
              </w:rPr>
              <w:t>.</w:t>
            </w:r>
            <w:r w:rsidRPr="003C1B04">
              <w:rPr>
                <w:sz w:val="18"/>
                <w:lang w:val="sl-SI"/>
              </w:rPr>
              <w:t>05</w:t>
            </w:r>
            <w:r>
              <w:rPr>
                <w:sz w:val="18"/>
                <w:lang w:val="sl-SI"/>
              </w:rPr>
              <w:t xml:space="preserve"> </w:t>
            </w:r>
            <w:r w:rsidRPr="003C1B04">
              <w:rPr>
                <w:bCs/>
                <w:sz w:val="18"/>
                <w:lang w:val="sl-SI"/>
              </w:rPr>
              <w:t>€</w:t>
            </w:r>
          </w:p>
        </w:tc>
      </w:tr>
      <w:tr w:rsidR="00F9090E" w:rsidRPr="00EA1B6A" w14:paraId="5755484F" w14:textId="77777777" w:rsidTr="00AB5E04">
        <w:trPr>
          <w:trHeight w:val="267"/>
        </w:trPr>
        <w:tc>
          <w:tcPr>
            <w:tcW w:w="599"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590A64F7" w:rsidR="00F9090E" w:rsidRPr="00FE2914" w:rsidRDefault="00F9090E" w:rsidP="00F9090E">
            <w:pPr>
              <w:spacing w:line="260" w:lineRule="atLeast"/>
              <w:rPr>
                <w:sz w:val="18"/>
              </w:rPr>
            </w:pPr>
          </w:p>
        </w:tc>
        <w:tc>
          <w:tcPr>
            <w:tcW w:w="2672" w:type="dxa"/>
            <w:shd w:val="clear" w:color="auto" w:fill="FFFFFF"/>
            <w:vAlign w:val="center"/>
          </w:tcPr>
          <w:p w14:paraId="11D29971" w14:textId="3AFBA2D7" w:rsidR="00F9090E" w:rsidRPr="00D2408B" w:rsidRDefault="00F9090E" w:rsidP="00D2408B">
            <w:pPr>
              <w:spacing w:line="260" w:lineRule="atLeast"/>
              <w:jc w:val="right"/>
              <w:rPr>
                <w:sz w:val="18"/>
              </w:rPr>
            </w:pPr>
          </w:p>
        </w:tc>
      </w:tr>
      <w:tr w:rsidR="00F9090E" w:rsidRPr="00EA1B6A" w14:paraId="4F6F3FC1" w14:textId="77777777" w:rsidTr="00AB5E04">
        <w:trPr>
          <w:trHeight w:val="534"/>
        </w:trPr>
        <w:tc>
          <w:tcPr>
            <w:tcW w:w="599"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0FB2F772"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w:t>
            </w:r>
            <w:r w:rsidR="00CF1B00" w:rsidRPr="009923A7">
              <w:rPr>
                <w:b/>
                <w:sz w:val="18"/>
              </w:rPr>
              <w:t>202</w:t>
            </w:r>
            <w:r w:rsidR="003C1B04">
              <w:rPr>
                <w:b/>
                <w:sz w:val="18"/>
              </w:rPr>
              <w:t>3</w:t>
            </w:r>
            <w:r w:rsidR="00CF1B00" w:rsidRPr="009923A7">
              <w:rPr>
                <w:b/>
                <w:sz w:val="18"/>
              </w:rPr>
              <w:t xml:space="preserve"> </w:t>
            </w:r>
            <w:r w:rsidRPr="009923A7">
              <w:rPr>
                <w:b/>
                <w:sz w:val="18"/>
              </w:rPr>
              <w:t>(I.-II.)</w:t>
            </w:r>
          </w:p>
        </w:tc>
        <w:tc>
          <w:tcPr>
            <w:tcW w:w="2672" w:type="dxa"/>
            <w:shd w:val="clear" w:color="auto" w:fill="FFFFFF"/>
            <w:vAlign w:val="center"/>
          </w:tcPr>
          <w:p w14:paraId="1DC2A637" w14:textId="4226E7EB" w:rsidR="00F9090E" w:rsidRPr="009923A7" w:rsidRDefault="003C1B04" w:rsidP="00F9090E">
            <w:pPr>
              <w:spacing w:line="260" w:lineRule="atLeast"/>
              <w:jc w:val="right"/>
              <w:rPr>
                <w:b/>
                <w:sz w:val="18"/>
              </w:rPr>
            </w:pPr>
            <w:r w:rsidRPr="003C1B04">
              <w:rPr>
                <w:b/>
                <w:bCs/>
                <w:sz w:val="18"/>
                <w:lang w:val="sl-SI"/>
              </w:rPr>
              <w:t>4</w:t>
            </w:r>
            <w:r>
              <w:rPr>
                <w:b/>
                <w:bCs/>
                <w:sz w:val="18"/>
                <w:lang w:val="sl-SI"/>
              </w:rPr>
              <w:t>,</w:t>
            </w:r>
            <w:r w:rsidRPr="003C1B04">
              <w:rPr>
                <w:b/>
                <w:bCs/>
                <w:sz w:val="18"/>
                <w:lang w:val="sl-SI"/>
              </w:rPr>
              <w:t>165</w:t>
            </w:r>
            <w:r>
              <w:rPr>
                <w:b/>
                <w:bCs/>
                <w:sz w:val="18"/>
                <w:lang w:val="sl-SI"/>
              </w:rPr>
              <w:t>,</w:t>
            </w:r>
            <w:r w:rsidRPr="003C1B04">
              <w:rPr>
                <w:b/>
                <w:bCs/>
                <w:sz w:val="18"/>
                <w:lang w:val="sl-SI"/>
              </w:rPr>
              <w:t>809</w:t>
            </w:r>
            <w:r>
              <w:rPr>
                <w:b/>
                <w:bCs/>
                <w:sz w:val="18"/>
                <w:lang w:val="sl-SI"/>
              </w:rPr>
              <w:t>,</w:t>
            </w:r>
            <w:r w:rsidRPr="003C1B04">
              <w:rPr>
                <w:b/>
                <w:bCs/>
                <w:sz w:val="18"/>
                <w:lang w:val="sl-SI"/>
              </w:rPr>
              <w:t>741</w:t>
            </w:r>
            <w:r>
              <w:rPr>
                <w:b/>
                <w:bCs/>
                <w:sz w:val="18"/>
                <w:lang w:val="sl-SI"/>
              </w:rPr>
              <w:t>.</w:t>
            </w:r>
            <w:r w:rsidRPr="003C1B04">
              <w:rPr>
                <w:b/>
                <w:bCs/>
                <w:sz w:val="18"/>
                <w:lang w:val="sl-SI"/>
              </w:rPr>
              <w:t>95</w:t>
            </w:r>
            <w:r>
              <w:rPr>
                <w:b/>
                <w:bCs/>
                <w:sz w:val="18"/>
                <w:lang w:val="sl-SI"/>
              </w:rPr>
              <w:t xml:space="preserve"> </w:t>
            </w:r>
            <w:r w:rsidR="00CF1B00">
              <w:rPr>
                <w:b/>
                <w:bCs/>
                <w:sz w:val="18"/>
              </w:rPr>
              <w:t>€</w:t>
            </w:r>
            <w:r w:rsidR="00CF1B00" w:rsidRPr="00CF1B00" w:rsidDel="00CF1B00">
              <w:rPr>
                <w:b/>
                <w:bCs/>
                <w:sz w:val="18"/>
              </w:rPr>
              <w:t xml:space="preserve"> </w:t>
            </w:r>
          </w:p>
        </w:tc>
      </w:tr>
    </w:tbl>
    <w:p w14:paraId="78556D90" w14:textId="77777777" w:rsidR="00BF2DD5" w:rsidRPr="00702431" w:rsidRDefault="00BF2DD5" w:rsidP="00BF2DD5">
      <w:pPr>
        <w:jc w:val="both"/>
        <w:rPr>
          <w:rFonts w:cs="Arial"/>
          <w:szCs w:val="20"/>
        </w:rPr>
      </w:pPr>
    </w:p>
    <w:p w14:paraId="187A0FD7" w14:textId="1E054DDD"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004F7C06" w:rsidRPr="004F7C06">
        <w:rPr>
          <w:rFonts w:cs="Arial"/>
          <w:szCs w:val="20"/>
        </w:rPr>
        <w:t>Amendments to the Budget of the Republic of Slovenia for 202</w:t>
      </w:r>
      <w:r w:rsidR="00346BE9">
        <w:rPr>
          <w:rFonts w:cs="Arial"/>
          <w:szCs w:val="20"/>
        </w:rPr>
        <w:t>3</w:t>
      </w:r>
      <w:r w:rsidR="004F7C06">
        <w:rPr>
          <w:rFonts w:cs="Arial"/>
          <w:szCs w:val="20"/>
        </w:rPr>
        <w:t xml:space="preserve"> </w:t>
      </w:r>
      <w:r w:rsidR="004F7C06" w:rsidRPr="00EE54EC">
        <w:rPr>
          <w:rFonts w:cs="Arial"/>
          <w:szCs w:val="20"/>
        </w:rPr>
        <w:t xml:space="preserve">(Official Gazette RS No. </w:t>
      </w:r>
      <w:r w:rsidR="00346BE9">
        <w:rPr>
          <w:rFonts w:cs="Arial"/>
          <w:szCs w:val="20"/>
        </w:rPr>
        <w:t>65/23</w:t>
      </w:r>
      <w:r w:rsidR="004F7C06">
        <w:rPr>
          <w:rFonts w:cs="Arial"/>
          <w:szCs w:val="20"/>
        </w:rPr>
        <w:t xml:space="preserve">). </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63B7BCF0"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sidR="004F7C06" w:rsidRPr="004F7C06">
        <w:rPr>
          <w:rFonts w:cs="Arial"/>
          <w:szCs w:val="20"/>
        </w:rPr>
        <w:t>Amendments to the Budget of the Republic of Slovenia for 202</w:t>
      </w:r>
      <w:r w:rsidR="00346BE9">
        <w:rPr>
          <w:rFonts w:cs="Arial"/>
          <w:szCs w:val="20"/>
        </w:rPr>
        <w:t>3</w:t>
      </w:r>
      <w:r>
        <w:rPr>
          <w:rFonts w:cs="Arial"/>
          <w:szCs w:val="20"/>
        </w:rPr>
        <w:t xml:space="preserve">,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346BE9" w:rsidRPr="00346BE9">
        <w:rPr>
          <w:rFonts w:cs="Arial"/>
          <w:bCs/>
          <w:szCs w:val="20"/>
        </w:rPr>
        <w:t xml:space="preserve">2,938,050,940.00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346BE9" w:rsidRPr="00346BE9">
        <w:rPr>
          <w:rFonts w:cs="Arial"/>
          <w:bCs/>
          <w:szCs w:val="20"/>
          <w:lang w:val="sl-SI"/>
        </w:rPr>
        <w:t>736,139,778.00</w:t>
      </w:r>
      <w:r w:rsidR="004F7C06" w:rsidRPr="004F7C06">
        <w:rPr>
          <w:rFonts w:cs="Arial"/>
          <w:szCs w:val="20"/>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w:t>
      </w:r>
      <w:r w:rsidR="004F7C06">
        <w:rPr>
          <w:rFonts w:cs="Arial"/>
          <w:szCs w:val="20"/>
        </w:rPr>
        <w:t>202</w:t>
      </w:r>
      <w:r w:rsidR="00346BE9">
        <w:rPr>
          <w:rFonts w:cs="Arial"/>
          <w:szCs w:val="20"/>
        </w:rPr>
        <w:t>3</w:t>
      </w:r>
      <w:r w:rsidR="004F7C06">
        <w:rPr>
          <w:rFonts w:cs="Arial"/>
          <w:szCs w:val="20"/>
        </w:rPr>
        <w:t xml:space="preserve"> </w:t>
      </w:r>
      <w:r>
        <w:rPr>
          <w:rFonts w:cs="Arial"/>
          <w:szCs w:val="20"/>
        </w:rPr>
        <w:t xml:space="preserve">in the amount </w:t>
      </w:r>
      <w:r w:rsidR="00FD1959">
        <w:rPr>
          <w:rFonts w:cs="Arial"/>
          <w:szCs w:val="20"/>
        </w:rPr>
        <w:t xml:space="preserve">of </w:t>
      </w:r>
      <w:r w:rsidR="00F31504">
        <w:rPr>
          <w:rFonts w:cs="Arial"/>
          <w:szCs w:val="20"/>
        </w:rPr>
        <w:t>€</w:t>
      </w:r>
      <w:r w:rsidR="00346BE9" w:rsidRPr="00346BE9">
        <w:rPr>
          <w:rFonts w:cs="Arial"/>
          <w:bCs/>
          <w:szCs w:val="20"/>
          <w:lang w:val="sl-SI"/>
        </w:rPr>
        <w:t xml:space="preserve">1,491,639,085.00 </w:t>
      </w:r>
      <w:r w:rsidR="00FD1959">
        <w:rPr>
          <w:rFonts w:cs="Arial"/>
          <w:szCs w:val="20"/>
        </w:rPr>
        <w:t>and the c</w:t>
      </w:r>
      <w:r w:rsidR="00FD1959" w:rsidRPr="00FD1959">
        <w:rPr>
          <w:rFonts w:cs="Arial"/>
          <w:szCs w:val="20"/>
        </w:rPr>
        <w:t>hange</w:t>
      </w:r>
      <w:r w:rsidR="001A5BBC">
        <w:rPr>
          <w:rFonts w:cs="Arial"/>
          <w:szCs w:val="20"/>
        </w:rPr>
        <w:t xml:space="preserve"> </w:t>
      </w:r>
      <w:r w:rsidR="0046087E">
        <w:rPr>
          <w:rFonts w:cs="Arial"/>
          <w:szCs w:val="20"/>
        </w:rPr>
        <w:t>in</w:t>
      </w:r>
      <w:r w:rsidR="00FD1959" w:rsidRPr="00FD1959">
        <w:rPr>
          <w:rFonts w:cs="Arial"/>
          <w:szCs w:val="20"/>
        </w:rPr>
        <w:t xml:space="preserve"> the cash position</w:t>
      </w:r>
      <w:r w:rsidR="00FD1959">
        <w:rPr>
          <w:rFonts w:cs="Arial"/>
          <w:szCs w:val="20"/>
        </w:rPr>
        <w:t xml:space="preserve"> in C</w:t>
      </w:r>
      <w:r w:rsidR="005B0193" w:rsidRPr="005B0193">
        <w:rPr>
          <w:rFonts w:cs="Arial"/>
          <w:szCs w:val="20"/>
        </w:rPr>
        <w:t xml:space="preserve"> </w:t>
      </w:r>
      <w:r w:rsidR="005B0193">
        <w:rPr>
          <w:rFonts w:cs="Arial"/>
          <w:szCs w:val="20"/>
        </w:rPr>
        <w:t>financing account</w:t>
      </w:r>
      <w:r w:rsidR="00346BE9">
        <w:rPr>
          <w:rFonts w:cs="Arial"/>
          <w:szCs w:val="20"/>
        </w:rPr>
        <w:t xml:space="preserve"> in the amount of </w:t>
      </w:r>
      <w:r w:rsidR="00346BE9" w:rsidRPr="00346BE9">
        <w:rPr>
          <w:rFonts w:cs="Arial"/>
          <w:szCs w:val="20"/>
        </w:rPr>
        <w:t>€1,000,000,000.00</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 xml:space="preserve">central government budget in </w:t>
      </w:r>
      <w:r w:rsidR="005B0193" w:rsidRPr="009C2774">
        <w:rPr>
          <w:rFonts w:cs="Arial"/>
          <w:szCs w:val="20"/>
        </w:rPr>
        <w:t>202</w:t>
      </w:r>
      <w:r w:rsidR="00346BE9">
        <w:rPr>
          <w:rFonts w:cs="Arial"/>
          <w:szCs w:val="20"/>
        </w:rPr>
        <w:t>3</w:t>
      </w:r>
      <w:r w:rsidR="005B0193" w:rsidRPr="009C2774">
        <w:rPr>
          <w:rFonts w:cs="Arial"/>
          <w:szCs w:val="20"/>
        </w:rPr>
        <w:t xml:space="preserve"> </w:t>
      </w:r>
      <w:r w:rsidR="009C2774">
        <w:rPr>
          <w:rFonts w:cs="Arial"/>
          <w:szCs w:val="20"/>
        </w:rPr>
        <w:t xml:space="preserve">amounts to </w:t>
      </w:r>
      <w:r w:rsidR="00F31504">
        <w:rPr>
          <w:rFonts w:cs="Arial"/>
          <w:szCs w:val="20"/>
        </w:rPr>
        <w:t>€</w:t>
      </w:r>
      <w:r w:rsidR="00346BE9" w:rsidRPr="00471BB1">
        <w:rPr>
          <w:rFonts w:cs="Arial"/>
          <w:szCs w:val="20"/>
          <w:lang w:val="sl-SI"/>
        </w:rPr>
        <w:t>4,165,829,803.00</w:t>
      </w:r>
      <w:r>
        <w:rPr>
          <w:rFonts w:cs="Arial"/>
          <w:szCs w:val="20"/>
        </w:rPr>
        <w:t>.</w:t>
      </w:r>
      <w:r w:rsidR="00FD1959">
        <w:rPr>
          <w:rFonts w:cs="Arial"/>
          <w:szCs w:val="20"/>
        </w:rPr>
        <w:t xml:space="preserve"> </w:t>
      </w:r>
      <w:r w:rsidR="00346BE9">
        <w:rPr>
          <w:rFonts w:cs="Arial"/>
          <w:szCs w:val="20"/>
        </w:rPr>
        <w:t>Takin</w:t>
      </w:r>
      <w:r w:rsidR="00B51CDB">
        <w:rPr>
          <w:rFonts w:cs="Arial"/>
          <w:szCs w:val="20"/>
        </w:rPr>
        <w:t>g</w:t>
      </w:r>
      <w:r w:rsidR="00346BE9">
        <w:rPr>
          <w:rFonts w:cs="Arial"/>
          <w:szCs w:val="20"/>
        </w:rPr>
        <w:t xml:space="preserve"> in</w:t>
      </w:r>
      <w:r w:rsidR="00B51CDB">
        <w:rPr>
          <w:rFonts w:cs="Arial"/>
          <w:szCs w:val="20"/>
        </w:rPr>
        <w:t>to</w:t>
      </w:r>
      <w:r w:rsidR="00346BE9">
        <w:rPr>
          <w:rFonts w:cs="Arial"/>
          <w:szCs w:val="20"/>
        </w:rPr>
        <w:t xml:space="preserve"> account the </w:t>
      </w:r>
      <w:r w:rsidR="00FD1959">
        <w:rPr>
          <w:rFonts w:cs="Arial"/>
          <w:szCs w:val="20"/>
        </w:rPr>
        <w:t xml:space="preserve">prefinancing </w:t>
      </w:r>
      <w:r w:rsidR="009C2774">
        <w:rPr>
          <w:rFonts w:cs="Arial"/>
          <w:szCs w:val="20"/>
        </w:rPr>
        <w:t>and capita</w:t>
      </w:r>
      <w:r w:rsidR="008576A5">
        <w:rPr>
          <w:rFonts w:cs="Arial"/>
          <w:szCs w:val="20"/>
        </w:rPr>
        <w:t>l asset sale</w:t>
      </w:r>
      <w:r w:rsidR="00375FB0">
        <w:rPr>
          <w:rFonts w:cs="Arial"/>
          <w:szCs w:val="20"/>
        </w:rPr>
        <w:t>s</w:t>
      </w:r>
      <w:r w:rsidR="008576A5">
        <w:rPr>
          <w:rFonts w:cs="Arial"/>
          <w:szCs w:val="20"/>
        </w:rPr>
        <w:t xml:space="preserve"> </w:t>
      </w:r>
      <w:r w:rsidR="00B91331">
        <w:rPr>
          <w:rFonts w:cs="Arial"/>
          <w:szCs w:val="20"/>
        </w:rPr>
        <w:t>executed in 202</w:t>
      </w:r>
      <w:r w:rsidR="00346BE9">
        <w:rPr>
          <w:rFonts w:cs="Arial"/>
          <w:szCs w:val="20"/>
        </w:rPr>
        <w:t>2</w:t>
      </w:r>
      <w:r w:rsidR="0046087E">
        <w:rPr>
          <w:rFonts w:cs="Arial"/>
          <w:szCs w:val="20"/>
        </w:rPr>
        <w:t>,</w:t>
      </w:r>
      <w:r w:rsidR="00B91331">
        <w:rPr>
          <w:rFonts w:cs="Arial"/>
          <w:szCs w:val="20"/>
        </w:rPr>
        <w:t xml:space="preserve"> </w:t>
      </w:r>
      <w:r w:rsidR="00FD1959">
        <w:rPr>
          <w:rFonts w:cs="Arial"/>
          <w:szCs w:val="20"/>
        </w:rPr>
        <w:t xml:space="preserve">the funding needs for </w:t>
      </w:r>
      <w:r w:rsidR="00FD1959" w:rsidRPr="00C8385D">
        <w:rPr>
          <w:rFonts w:cs="Arial"/>
          <w:szCs w:val="20"/>
        </w:rPr>
        <w:t xml:space="preserve">financing the execution of the </w:t>
      </w:r>
      <w:r w:rsidR="00B91331" w:rsidRPr="00C8385D">
        <w:rPr>
          <w:rFonts w:cs="Arial"/>
          <w:szCs w:val="20"/>
        </w:rPr>
        <w:t>20</w:t>
      </w:r>
      <w:r w:rsidR="00B91331">
        <w:rPr>
          <w:rFonts w:cs="Arial"/>
          <w:szCs w:val="20"/>
        </w:rPr>
        <w:t>2</w:t>
      </w:r>
      <w:r w:rsidR="00346BE9">
        <w:rPr>
          <w:rFonts w:cs="Arial"/>
          <w:szCs w:val="20"/>
        </w:rPr>
        <w:t>3</w:t>
      </w:r>
      <w:r w:rsidR="00B91331" w:rsidRPr="00C8385D">
        <w:rPr>
          <w:rFonts w:cs="Arial"/>
          <w:szCs w:val="20"/>
        </w:rPr>
        <w:t xml:space="preserve"> </w:t>
      </w:r>
      <w:r w:rsidR="00FD1959" w:rsidRPr="00C8385D">
        <w:rPr>
          <w:rFonts w:cs="Arial"/>
          <w:szCs w:val="20"/>
        </w:rPr>
        <w:t>central government budget</w:t>
      </w:r>
      <w:r w:rsidR="00FD1959">
        <w:rPr>
          <w:rFonts w:cs="Arial"/>
          <w:szCs w:val="20"/>
        </w:rPr>
        <w:t xml:space="preserve"> amount to </w:t>
      </w:r>
      <w:r w:rsidR="00B91331">
        <w:rPr>
          <w:rFonts w:cs="Arial"/>
          <w:szCs w:val="20"/>
        </w:rPr>
        <w:t>€</w:t>
      </w:r>
      <w:r w:rsidR="00346BE9" w:rsidRPr="00471BB1">
        <w:rPr>
          <w:rFonts w:cs="Arial"/>
          <w:szCs w:val="20"/>
          <w:lang w:val="sl-SI"/>
        </w:rPr>
        <w:t>4,165,809,741.95</w:t>
      </w:r>
      <w:r w:rsidR="00FD1959">
        <w:rPr>
          <w:rFonts w:cs="Arial"/>
          <w:bCs/>
        </w:rPr>
        <w:t xml:space="preserve">. </w:t>
      </w:r>
    </w:p>
    <w:p w14:paraId="73DCF23B" w14:textId="77777777" w:rsidR="00A12A77" w:rsidRDefault="00A12A77" w:rsidP="009F4CF6">
      <w:pPr>
        <w:jc w:val="center"/>
        <w:rPr>
          <w:rFonts w:cs="Arial"/>
          <w:szCs w:val="20"/>
        </w:rPr>
      </w:pPr>
    </w:p>
    <w:p w14:paraId="7E45B425" w14:textId="0B7B0385"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B91331" w:rsidRPr="009C1DF7">
        <w:rPr>
          <w:rFonts w:cs="Arial"/>
          <w:szCs w:val="20"/>
        </w:rPr>
        <w:t>20</w:t>
      </w:r>
      <w:r w:rsidR="00B91331">
        <w:rPr>
          <w:rFonts w:cs="Arial"/>
          <w:szCs w:val="20"/>
        </w:rPr>
        <w:t>2</w:t>
      </w:r>
      <w:r w:rsidR="00375FB0">
        <w:rPr>
          <w:rFonts w:cs="Arial"/>
          <w:szCs w:val="20"/>
        </w:rPr>
        <w:t>3</w:t>
      </w:r>
      <w:r w:rsidR="00B91331"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B91331" w:rsidRPr="00EE54EC">
        <w:rPr>
          <w:rFonts w:cs="Arial"/>
          <w:szCs w:val="20"/>
        </w:rPr>
        <w:t>20</w:t>
      </w:r>
      <w:r w:rsidR="00B91331">
        <w:rPr>
          <w:rFonts w:cs="Arial"/>
          <w:szCs w:val="20"/>
        </w:rPr>
        <w:t>2</w:t>
      </w:r>
      <w:r w:rsidR="00375FB0">
        <w:rPr>
          <w:rFonts w:cs="Arial"/>
          <w:szCs w:val="20"/>
        </w:rPr>
        <w:t>3</w:t>
      </w:r>
      <w:r w:rsidR="00B91331">
        <w:rPr>
          <w:rFonts w:cs="Arial"/>
          <w:szCs w:val="20"/>
        </w:rPr>
        <w:t xml:space="preserve"> </w:t>
      </w:r>
      <w:r w:rsidRPr="009C1585">
        <w:rPr>
          <w:rFonts w:cs="Arial"/>
          <w:szCs w:val="20"/>
        </w:rPr>
        <w:t>for th</w:t>
      </w:r>
      <w:r w:rsidRPr="00702431">
        <w:rPr>
          <w:rFonts w:cs="Arial"/>
          <w:szCs w:val="20"/>
        </w:rPr>
        <w:t xml:space="preserve">is purpose is the sum of </w:t>
      </w:r>
      <w:r w:rsidR="00B91331" w:rsidRPr="00702431">
        <w:rPr>
          <w:rFonts w:cs="Arial"/>
          <w:szCs w:val="20"/>
        </w:rPr>
        <w:t>20</w:t>
      </w:r>
      <w:r w:rsidR="00B91331">
        <w:rPr>
          <w:rFonts w:cs="Arial"/>
          <w:szCs w:val="20"/>
        </w:rPr>
        <w:t>2</w:t>
      </w:r>
      <w:r w:rsidR="00375FB0">
        <w:rPr>
          <w:rFonts w:cs="Arial"/>
          <w:szCs w:val="20"/>
        </w:rPr>
        <w:t>4</w:t>
      </w:r>
      <w:r w:rsidR="00B91331" w:rsidRPr="00702431">
        <w:rPr>
          <w:rFonts w:cs="Arial"/>
          <w:szCs w:val="20"/>
        </w:rPr>
        <w:t xml:space="preserve"> </w:t>
      </w:r>
      <w:r w:rsidRPr="00702431">
        <w:rPr>
          <w:rFonts w:cs="Arial"/>
          <w:szCs w:val="20"/>
        </w:rPr>
        <w:t xml:space="preserve">and </w:t>
      </w:r>
      <w:r w:rsidR="00B91331" w:rsidRPr="00702431">
        <w:rPr>
          <w:rFonts w:cs="Arial"/>
          <w:szCs w:val="20"/>
        </w:rPr>
        <w:t>20</w:t>
      </w:r>
      <w:r w:rsidR="00B91331">
        <w:rPr>
          <w:rFonts w:cs="Arial"/>
          <w:szCs w:val="20"/>
        </w:rPr>
        <w:t>2</w:t>
      </w:r>
      <w:r w:rsidR="00375FB0">
        <w:rPr>
          <w:rFonts w:cs="Arial"/>
          <w:szCs w:val="20"/>
        </w:rPr>
        <w:t>5</w:t>
      </w:r>
      <w:r w:rsidR="00B91331"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B91331" w:rsidRPr="00C056E7">
        <w:rPr>
          <w:rFonts w:cs="Arial"/>
          <w:szCs w:val="20"/>
        </w:rPr>
        <w:t>20</w:t>
      </w:r>
      <w:r w:rsidR="00B91331">
        <w:rPr>
          <w:rFonts w:cs="Arial"/>
          <w:szCs w:val="20"/>
        </w:rPr>
        <w:t>2</w:t>
      </w:r>
      <w:r w:rsidR="00375FB0">
        <w:rPr>
          <w:rFonts w:cs="Arial"/>
          <w:szCs w:val="20"/>
        </w:rPr>
        <w:t>3</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0CD89029" w14:textId="77777777" w:rsidR="00AB5E04" w:rsidRDefault="00AB5E04" w:rsidP="00AC7A2B">
      <w:pPr>
        <w:jc w:val="both"/>
        <w:rPr>
          <w:rFonts w:cs="Arial"/>
          <w:szCs w:val="20"/>
        </w:rPr>
      </w:pPr>
    </w:p>
    <w:p w14:paraId="2C0851B1" w14:textId="18F868C8" w:rsidR="000B4032" w:rsidRDefault="00312EEE" w:rsidP="00AC7A2B">
      <w:pPr>
        <w:jc w:val="both"/>
        <w:rPr>
          <w:rFonts w:cs="Arial"/>
          <w:szCs w:val="20"/>
        </w:rPr>
      </w:pPr>
      <w:r>
        <w:rPr>
          <w:rFonts w:cs="Arial"/>
          <w:szCs w:val="20"/>
        </w:rPr>
        <w:lastRenderedPageBreak/>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0942B559" w:rsidR="006E6817" w:rsidRDefault="006E6817" w:rsidP="00B331CB">
      <w:pPr>
        <w:jc w:val="both"/>
        <w:rPr>
          <w:rFonts w:cs="Arial"/>
          <w:szCs w:val="20"/>
        </w:rPr>
      </w:pPr>
      <w:r w:rsidRPr="00702431">
        <w:rPr>
          <w:rFonts w:cs="Arial"/>
          <w:szCs w:val="20"/>
        </w:rPr>
        <w:t xml:space="preserve">The planned choice of short-term instruments that may be used in the execution of </w:t>
      </w:r>
      <w:r w:rsidR="00C73290" w:rsidRPr="00702431">
        <w:rPr>
          <w:rFonts w:cs="Arial"/>
          <w:szCs w:val="20"/>
        </w:rPr>
        <w:t>20</w:t>
      </w:r>
      <w:r w:rsidR="00C73290">
        <w:rPr>
          <w:rFonts w:cs="Arial"/>
          <w:szCs w:val="20"/>
        </w:rPr>
        <w:t>2</w:t>
      </w:r>
      <w:r w:rsidR="00FC4A90">
        <w:rPr>
          <w:rFonts w:cs="Arial"/>
          <w:szCs w:val="20"/>
        </w:rPr>
        <w:t>3</w:t>
      </w:r>
      <w:r w:rsidR="00C73290" w:rsidRPr="00702431">
        <w:rPr>
          <w:rFonts w:cs="Arial"/>
          <w:szCs w:val="20"/>
        </w:rPr>
        <w:t xml:space="preserve">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13E4FF8E" w14:textId="77777777" w:rsidR="00FC4A90" w:rsidRPr="00702431" w:rsidRDefault="00FC4A90" w:rsidP="00B331CB">
      <w:pPr>
        <w:jc w:val="both"/>
        <w:rPr>
          <w:rFonts w:cs="Arial"/>
          <w:szCs w:val="20"/>
        </w:rPr>
      </w:pP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3"/>
      </w:r>
      <w:r w:rsidR="006E6817" w:rsidRPr="009C1DF7">
        <w:rPr>
          <w:rFonts w:cs="Arial"/>
          <w:szCs w:val="20"/>
        </w:rPr>
        <w:t>.</w:t>
      </w:r>
    </w:p>
    <w:p w14:paraId="64614CD2" w14:textId="77777777" w:rsidR="006E6817" w:rsidRPr="00EE54EC" w:rsidRDefault="006E6817" w:rsidP="00B331CB">
      <w:pPr>
        <w:jc w:val="both"/>
        <w:rPr>
          <w:rFonts w:cs="Arial"/>
          <w:szCs w:val="20"/>
        </w:rPr>
      </w:pPr>
    </w:p>
    <w:p w14:paraId="03CD07E8" w14:textId="5F33DB5E" w:rsidR="006E6817" w:rsidRPr="00C056E7"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C73290" w:rsidRPr="00FE2914">
        <w:t>20</w:t>
      </w:r>
      <w:r w:rsidR="00C73290">
        <w:t>2</w:t>
      </w:r>
      <w:r w:rsidR="00F01F52">
        <w:t>3</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6BB50D2B" w14:textId="77777777" w:rsidR="006E6817" w:rsidRPr="009C1585" w:rsidRDefault="006E6817" w:rsidP="00B331CB">
      <w:pPr>
        <w:jc w:val="both"/>
        <w:rPr>
          <w:rFonts w:cs="Arial"/>
          <w:szCs w:val="20"/>
        </w:rPr>
      </w:pPr>
    </w:p>
    <w:p w14:paraId="23C188AE" w14:textId="77777777" w:rsidR="00AB5E04" w:rsidRDefault="00AB5E04">
      <w:pPr>
        <w:spacing w:line="240" w:lineRule="auto"/>
        <w:rPr>
          <w:rFonts w:cs="Arial"/>
          <w:b/>
          <w:szCs w:val="20"/>
        </w:rPr>
      </w:pPr>
      <w:r>
        <w:rPr>
          <w:rFonts w:cs="Arial"/>
          <w:b/>
          <w:szCs w:val="20"/>
        </w:rPr>
        <w:br w:type="page"/>
      </w:r>
    </w:p>
    <w:p w14:paraId="1BC72C2D" w14:textId="6B1F1DA7" w:rsidR="006E6817" w:rsidRPr="00702431" w:rsidRDefault="006E6817" w:rsidP="00B331CB">
      <w:pPr>
        <w:jc w:val="both"/>
        <w:rPr>
          <w:rFonts w:cs="Arial"/>
          <w:b/>
          <w:szCs w:val="20"/>
        </w:rPr>
      </w:pPr>
      <w:r w:rsidRPr="00702431">
        <w:rPr>
          <w:rFonts w:cs="Arial"/>
          <w:b/>
          <w:szCs w:val="20"/>
        </w:rPr>
        <w:lastRenderedPageBreak/>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63737C4A" w:rsidR="006E6817" w:rsidRPr="00702431" w:rsidRDefault="006E6817" w:rsidP="00471BB1">
      <w:pPr>
        <w:ind w:left="2835" w:hanging="2835"/>
        <w:jc w:val="both"/>
        <w:rPr>
          <w:rFonts w:cs="Arial"/>
          <w:szCs w:val="20"/>
        </w:rPr>
      </w:pPr>
      <w:r w:rsidRPr="00702431">
        <w:rPr>
          <w:rFonts w:cs="Arial"/>
          <w:szCs w:val="20"/>
        </w:rPr>
        <w:t>Issue venue:</w:t>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4"/>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5"/>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4E0E8CBA"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C73290">
        <w:rPr>
          <w:rFonts w:cs="Arial"/>
          <w:szCs w:val="20"/>
        </w:rPr>
        <w:t>2022</w:t>
      </w:r>
      <w:r w:rsidR="006D7D0D">
        <w:rPr>
          <w:rFonts w:cs="Arial"/>
          <w:szCs w:val="20"/>
        </w:rPr>
        <w:t>, t</w:t>
      </w:r>
      <w:r w:rsidRPr="009C1585">
        <w:rPr>
          <w:rFonts w:cs="Arial"/>
          <w:szCs w:val="20"/>
        </w:rPr>
        <w:t>he auction calendar will be determined by the Ministry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6"/>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lastRenderedPageBreak/>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1BEB19AC"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w:t>
      </w:r>
      <w:r w:rsidR="00612546">
        <w:rPr>
          <w:rFonts w:cs="Arial"/>
          <w:szCs w:val="20"/>
        </w:rPr>
        <w:t xml:space="preserve">or another person authorised by the Minister </w:t>
      </w:r>
      <w:r w:rsidRPr="000E3C10">
        <w:rPr>
          <w:rFonts w:cs="Arial"/>
          <w:szCs w:val="20"/>
        </w:rPr>
        <w:t xml:space="preserve">is empowered to make decisions on concluding the central government </w:t>
      </w:r>
      <w:r w:rsidR="00E4313B">
        <w:rPr>
          <w:rFonts w:cs="Arial"/>
          <w:szCs w:val="20"/>
        </w:rPr>
        <w:t xml:space="preserve">budget </w:t>
      </w:r>
      <w:r w:rsidRPr="000E3C10">
        <w:rPr>
          <w:rFonts w:cs="Arial"/>
          <w:szCs w:val="20"/>
        </w:rPr>
        <w:t>debt management deals in line with</w:t>
      </w:r>
      <w:r w:rsidR="0046087E">
        <w:rPr>
          <w:rFonts w:cs="Arial"/>
          <w:szCs w:val="20"/>
        </w:rPr>
        <w:t xml:space="preserve"> an</w:t>
      </w:r>
      <w:r w:rsidRPr="000E3C10">
        <w:rPr>
          <w:rFonts w:cs="Arial"/>
          <w:szCs w:val="20"/>
        </w:rPr>
        <w:t xml:space="preserve"> annual Financing Program as adopted by the government. </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and thus locking-in for a longer period  the</w:t>
      </w:r>
      <w:r w:rsidR="00B45C6C">
        <w:rPr>
          <w:rFonts w:cs="Arial"/>
          <w:szCs w:val="20"/>
        </w:rPr>
        <w:t xml:space="preserve"> </w:t>
      </w:r>
      <w:r w:rsidR="006E6817" w:rsidRPr="006A66AF">
        <w:rPr>
          <w:rFonts w:cs="Arial"/>
          <w:szCs w:val="20"/>
        </w:rPr>
        <w:t xml:space="preserve"> current market interest rates, which are highly </w:t>
      </w:r>
      <w:r w:rsidR="006E6817" w:rsidRPr="006A66AF">
        <w:rPr>
          <w:rFonts w:cs="Arial"/>
          <w:szCs w:val="20"/>
        </w:rPr>
        <w:lastRenderedPageBreak/>
        <w:t xml:space="preserve">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25449CC0" w:rsidR="008100AC" w:rsidRDefault="006E6817" w:rsidP="008100AC">
      <w:pPr>
        <w:jc w:val="both"/>
        <w:rPr>
          <w:rFonts w:cs="Arial"/>
          <w:szCs w:val="20"/>
        </w:rPr>
      </w:pPr>
      <w:r w:rsidRPr="00702431">
        <w:rPr>
          <w:rFonts w:cs="Arial"/>
          <w:szCs w:val="20"/>
        </w:rPr>
        <w:t xml:space="preserve">In </w:t>
      </w:r>
      <w:r w:rsidR="007C5A2B" w:rsidRPr="00702431">
        <w:rPr>
          <w:rFonts w:cs="Arial"/>
          <w:szCs w:val="20"/>
        </w:rPr>
        <w:t>20</w:t>
      </w:r>
      <w:r w:rsidR="007C5A2B">
        <w:rPr>
          <w:rFonts w:cs="Arial"/>
          <w:szCs w:val="20"/>
        </w:rPr>
        <w:t>2</w:t>
      </w:r>
      <w:r w:rsidR="00BD6AC6">
        <w:rPr>
          <w:rFonts w:cs="Arial"/>
          <w:szCs w:val="20"/>
        </w:rPr>
        <w:t>3</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543E2D3E" w:rsidR="006E6817" w:rsidRPr="00702431" w:rsidRDefault="006E6817" w:rsidP="00B331CB">
      <w:pPr>
        <w:tabs>
          <w:tab w:val="num" w:pos="720"/>
        </w:tabs>
        <w:jc w:val="both"/>
        <w:rPr>
          <w:rFonts w:cs="Arial"/>
          <w:b/>
          <w:bCs/>
          <w:szCs w:val="20"/>
        </w:rPr>
      </w:pPr>
      <w:r w:rsidRPr="00702431">
        <w:rPr>
          <w:rFonts w:cs="Arial"/>
          <w:b/>
          <w:bCs/>
          <w:szCs w:val="20"/>
        </w:rPr>
        <w:t>3.1.2</w:t>
      </w:r>
      <w:r w:rsidR="00BD6AC6">
        <w:rPr>
          <w:rFonts w:cs="Arial"/>
          <w:b/>
          <w:bCs/>
          <w:szCs w:val="20"/>
        </w:rPr>
        <w:tab/>
      </w:r>
      <w:r w:rsidRPr="00702431">
        <w:rPr>
          <w:rFonts w:cs="Arial"/>
          <w:b/>
          <w:bCs/>
          <w:szCs w:val="20"/>
        </w:rPr>
        <w:t xml:space="preserve">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w:t>
      </w:r>
      <w:r w:rsidRPr="000E3C10">
        <w:rPr>
          <w:rFonts w:cs="Arial"/>
          <w:szCs w:val="20"/>
        </w:rPr>
        <w:lastRenderedPageBreak/>
        <w:t xml:space="preserve">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705A85E7"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7C5A2B">
        <w:rPr>
          <w:rFonts w:cs="Arial"/>
          <w:szCs w:val="20"/>
        </w:rPr>
        <w:t>202</w:t>
      </w:r>
      <w:r w:rsidR="00BD6AC6">
        <w:rPr>
          <w:rFonts w:cs="Arial"/>
          <w:szCs w:val="20"/>
        </w:rPr>
        <w:t>3</w:t>
      </w:r>
      <w:r w:rsidR="007C5A2B">
        <w:rPr>
          <w:rFonts w:cs="Arial"/>
          <w:szCs w:val="20"/>
        </w:rPr>
        <w:t xml:space="preserve"> </w:t>
      </w:r>
      <w:r w:rsidR="00CE50FB">
        <w:rPr>
          <w:rFonts w:cs="Arial"/>
          <w:szCs w:val="20"/>
        </w:rPr>
        <w:t xml:space="preserve">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sectPr w:rsidR="006E6817" w:rsidRPr="000E3C10" w:rsidSect="0002238A">
      <w:headerReference w:type="default"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F31A" w14:textId="77777777" w:rsidR="00A063CD" w:rsidRDefault="00A063CD">
      <w:r>
        <w:separator/>
      </w:r>
    </w:p>
  </w:endnote>
  <w:endnote w:type="continuationSeparator" w:id="0">
    <w:p w14:paraId="45DAA691" w14:textId="77777777" w:rsidR="00A063CD" w:rsidRDefault="00A063CD">
      <w:r>
        <w:continuationSeparator/>
      </w:r>
    </w:p>
  </w:endnote>
  <w:endnote w:type="continuationNotice" w:id="1">
    <w:p w14:paraId="356D2FF3" w14:textId="77777777" w:rsidR="00A063CD" w:rsidRDefault="00A063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Default="0046087E">
    <w:pPr>
      <w:pStyle w:val="Noga"/>
      <w:jc w:val="center"/>
    </w:pPr>
    <w:r>
      <w:fldChar w:fldCharType="begin"/>
    </w:r>
    <w:r>
      <w:instrText>PAGE   \* MERGEFORMAT</w:instrText>
    </w:r>
    <w:r>
      <w:fldChar w:fldCharType="separate"/>
    </w:r>
    <w:r w:rsidRPr="0066492B">
      <w:rPr>
        <w:lang w:val="sl-SI"/>
      </w:rPr>
      <w:t>3</w:t>
    </w:r>
    <w: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Content>
      <w:p w14:paraId="461AC8F1" w14:textId="482D7D49" w:rsidR="0046087E" w:rsidRDefault="0046087E">
        <w:pPr>
          <w:pStyle w:val="Noga"/>
          <w:jc w:val="center"/>
        </w:pPr>
        <w:r>
          <w:fldChar w:fldCharType="begin"/>
        </w:r>
        <w:r>
          <w:instrText>PAGE   \* MERGEFORMAT</w:instrText>
        </w:r>
        <w:r>
          <w:fldChar w:fldCharType="separate"/>
        </w:r>
        <w:r>
          <w:rPr>
            <w:lang w:val="sl-SI"/>
          </w:rPr>
          <w:t>2</w:t>
        </w:r>
        <w: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5926" w14:textId="77777777" w:rsidR="00A063CD" w:rsidRDefault="00A063CD">
      <w:r>
        <w:separator/>
      </w:r>
    </w:p>
  </w:footnote>
  <w:footnote w:type="continuationSeparator" w:id="0">
    <w:p w14:paraId="3D42229E" w14:textId="77777777" w:rsidR="00A063CD" w:rsidRDefault="00A063CD">
      <w:r>
        <w:continuationSeparator/>
      </w:r>
    </w:p>
  </w:footnote>
  <w:footnote w:type="continuationNotice" w:id="1">
    <w:p w14:paraId="2D0CD71A" w14:textId="77777777" w:rsidR="00A063CD" w:rsidRDefault="00A063CD">
      <w:pPr>
        <w:spacing w:line="240" w:lineRule="auto"/>
      </w:pPr>
    </w:p>
  </w:footnote>
  <w:footnote w:id="2">
    <w:p w14:paraId="676B6BC8" w14:textId="54447491" w:rsidR="00EA23CC" w:rsidRPr="00EA23CC" w:rsidRDefault="00EA23CC" w:rsidP="00EA23CC">
      <w:pPr>
        <w:pStyle w:val="Sprotnaopomba-besedilo"/>
      </w:pPr>
      <w:r>
        <w:rPr>
          <w:rStyle w:val="Sprotnaopomba-sklic"/>
        </w:rPr>
        <w:footnoteRef/>
      </w:r>
      <w:r w:rsidRPr="00471BB1">
        <w:rPr>
          <w:lang w:val="sl-SI"/>
        </w:rPr>
        <w:t xml:space="preserve"> </w:t>
      </w:r>
      <w:r>
        <w:rPr>
          <w:lang w:val="sl-SI"/>
        </w:rPr>
        <w:t>The c</w:t>
      </w:r>
      <w:r w:rsidRPr="00471BB1">
        <w:rPr>
          <w:lang w:val="sl-SI"/>
        </w:rPr>
        <w:t>entral government budget debt principal repayments</w:t>
      </w:r>
      <w:r>
        <w:rPr>
          <w:lang w:val="sl-SI"/>
        </w:rPr>
        <w:t xml:space="preserve"> in the amount as reflected in </w:t>
      </w:r>
      <w:r w:rsidRPr="00EA23CC">
        <w:rPr>
          <w:lang w:val="sl-SI"/>
        </w:rPr>
        <w:t>the Amendments to the Budget of the Republic of Slovenia for 2023</w:t>
      </w:r>
      <w:r>
        <w:t>.</w:t>
      </w:r>
    </w:p>
  </w:footnote>
  <w:footnote w:id="3">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4">
    <w:p w14:paraId="30297788" w14:textId="77777777"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programme</w:t>
      </w:r>
    </w:p>
  </w:footnote>
  <w:footnote w:id="5">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6">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712A74"/>
    <w:multiLevelType w:val="hybridMultilevel"/>
    <w:tmpl w:val="A4CE16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14074410">
    <w:abstractNumId w:val="14"/>
  </w:num>
  <w:num w:numId="2" w16cid:durableId="631594688">
    <w:abstractNumId w:val="8"/>
  </w:num>
  <w:num w:numId="3" w16cid:durableId="1294826260">
    <w:abstractNumId w:val="9"/>
  </w:num>
  <w:num w:numId="4" w16cid:durableId="1054163619">
    <w:abstractNumId w:val="2"/>
  </w:num>
  <w:num w:numId="5" w16cid:durableId="211893056">
    <w:abstractNumId w:val="5"/>
  </w:num>
  <w:num w:numId="6" w16cid:durableId="1098939803">
    <w:abstractNumId w:val="0"/>
  </w:num>
  <w:num w:numId="7" w16cid:durableId="161942892">
    <w:abstractNumId w:val="3"/>
  </w:num>
  <w:num w:numId="8" w16cid:durableId="1391270630">
    <w:abstractNumId w:val="16"/>
  </w:num>
  <w:num w:numId="9" w16cid:durableId="372997334">
    <w:abstractNumId w:val="6"/>
  </w:num>
  <w:num w:numId="10" w16cid:durableId="1553035609">
    <w:abstractNumId w:val="11"/>
  </w:num>
  <w:num w:numId="11" w16cid:durableId="1782529919">
    <w:abstractNumId w:val="10"/>
  </w:num>
  <w:num w:numId="12" w16cid:durableId="1031763978">
    <w:abstractNumId w:val="1"/>
  </w:num>
  <w:num w:numId="13" w16cid:durableId="951863904">
    <w:abstractNumId w:val="12"/>
  </w:num>
  <w:num w:numId="14" w16cid:durableId="1054935805">
    <w:abstractNumId w:val="15"/>
  </w:num>
  <w:num w:numId="15" w16cid:durableId="1349865116">
    <w:abstractNumId w:val="3"/>
    <w:lvlOverride w:ilvl="0">
      <w:startOverride w:val="2"/>
    </w:lvlOverride>
    <w:lvlOverride w:ilvl="1">
      <w:startOverride w:val="2"/>
    </w:lvlOverride>
  </w:num>
  <w:num w:numId="16" w16cid:durableId="843324978">
    <w:abstractNumId w:val="4"/>
  </w:num>
  <w:num w:numId="17" w16cid:durableId="1100374331">
    <w:abstractNumId w:val="13"/>
  </w:num>
  <w:num w:numId="18" w16cid:durableId="1705784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7E5D"/>
    <w:rsid w:val="00043AF2"/>
    <w:rsid w:val="00045AB0"/>
    <w:rsid w:val="00050201"/>
    <w:rsid w:val="00056690"/>
    <w:rsid w:val="00061D3D"/>
    <w:rsid w:val="00061E5A"/>
    <w:rsid w:val="00062679"/>
    <w:rsid w:val="00070D63"/>
    <w:rsid w:val="0007567C"/>
    <w:rsid w:val="000A64C0"/>
    <w:rsid w:val="000A7238"/>
    <w:rsid w:val="000B4032"/>
    <w:rsid w:val="000B54D0"/>
    <w:rsid w:val="000B744C"/>
    <w:rsid w:val="000C1177"/>
    <w:rsid w:val="000C62EC"/>
    <w:rsid w:val="000E0A4A"/>
    <w:rsid w:val="000E3C10"/>
    <w:rsid w:val="000E4C18"/>
    <w:rsid w:val="000E5FDA"/>
    <w:rsid w:val="000E60EE"/>
    <w:rsid w:val="000F19EF"/>
    <w:rsid w:val="000F3C3F"/>
    <w:rsid w:val="00101C77"/>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1975"/>
    <w:rsid w:val="001F29FF"/>
    <w:rsid w:val="001F2F8F"/>
    <w:rsid w:val="00202A77"/>
    <w:rsid w:val="002057A8"/>
    <w:rsid w:val="00207227"/>
    <w:rsid w:val="00221FAE"/>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1B0C"/>
    <w:rsid w:val="002969A0"/>
    <w:rsid w:val="00296AEA"/>
    <w:rsid w:val="002A096F"/>
    <w:rsid w:val="002A2B69"/>
    <w:rsid w:val="002A731B"/>
    <w:rsid w:val="002B0F94"/>
    <w:rsid w:val="002C55E4"/>
    <w:rsid w:val="002C721C"/>
    <w:rsid w:val="002D13F3"/>
    <w:rsid w:val="002D37FC"/>
    <w:rsid w:val="002D79AC"/>
    <w:rsid w:val="002E0E98"/>
    <w:rsid w:val="002E26CE"/>
    <w:rsid w:val="002E39D0"/>
    <w:rsid w:val="002E3A95"/>
    <w:rsid w:val="002E571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46BE9"/>
    <w:rsid w:val="003471A6"/>
    <w:rsid w:val="00354141"/>
    <w:rsid w:val="003559A8"/>
    <w:rsid w:val="003636BF"/>
    <w:rsid w:val="00371A6F"/>
    <w:rsid w:val="00375245"/>
    <w:rsid w:val="00375FB0"/>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F60"/>
    <w:rsid w:val="003B2611"/>
    <w:rsid w:val="003B328E"/>
    <w:rsid w:val="003B519C"/>
    <w:rsid w:val="003C1B04"/>
    <w:rsid w:val="003C4BCF"/>
    <w:rsid w:val="003C4CAA"/>
    <w:rsid w:val="003D5A09"/>
    <w:rsid w:val="003D710F"/>
    <w:rsid w:val="003E1C74"/>
    <w:rsid w:val="003E5ADE"/>
    <w:rsid w:val="003E5B25"/>
    <w:rsid w:val="003E7596"/>
    <w:rsid w:val="003F0852"/>
    <w:rsid w:val="003F186E"/>
    <w:rsid w:val="003F5AA0"/>
    <w:rsid w:val="004009A1"/>
    <w:rsid w:val="00404780"/>
    <w:rsid w:val="00411ADA"/>
    <w:rsid w:val="0041333E"/>
    <w:rsid w:val="00414BE1"/>
    <w:rsid w:val="004203F0"/>
    <w:rsid w:val="00420D20"/>
    <w:rsid w:val="004222B0"/>
    <w:rsid w:val="00430B85"/>
    <w:rsid w:val="004353D6"/>
    <w:rsid w:val="00436CE1"/>
    <w:rsid w:val="00440F98"/>
    <w:rsid w:val="00444FA7"/>
    <w:rsid w:val="00445634"/>
    <w:rsid w:val="00451998"/>
    <w:rsid w:val="0046087E"/>
    <w:rsid w:val="0046090D"/>
    <w:rsid w:val="00463856"/>
    <w:rsid w:val="00470F9D"/>
    <w:rsid w:val="00471BB1"/>
    <w:rsid w:val="00471D54"/>
    <w:rsid w:val="0047244C"/>
    <w:rsid w:val="004779E5"/>
    <w:rsid w:val="00477B25"/>
    <w:rsid w:val="00477E1A"/>
    <w:rsid w:val="004805C9"/>
    <w:rsid w:val="0048649D"/>
    <w:rsid w:val="004864C5"/>
    <w:rsid w:val="004A7101"/>
    <w:rsid w:val="004A7F95"/>
    <w:rsid w:val="004B0DDF"/>
    <w:rsid w:val="004C4ACB"/>
    <w:rsid w:val="004C7428"/>
    <w:rsid w:val="004D0E59"/>
    <w:rsid w:val="004D648C"/>
    <w:rsid w:val="004E7FE7"/>
    <w:rsid w:val="004F1AF0"/>
    <w:rsid w:val="004F7C06"/>
    <w:rsid w:val="005040E7"/>
    <w:rsid w:val="00504311"/>
    <w:rsid w:val="005054E1"/>
    <w:rsid w:val="00507FA8"/>
    <w:rsid w:val="00514031"/>
    <w:rsid w:val="005151CB"/>
    <w:rsid w:val="0051631B"/>
    <w:rsid w:val="00521955"/>
    <w:rsid w:val="00523925"/>
    <w:rsid w:val="00523984"/>
    <w:rsid w:val="00526246"/>
    <w:rsid w:val="00526A2B"/>
    <w:rsid w:val="00526B6F"/>
    <w:rsid w:val="0053097C"/>
    <w:rsid w:val="00531B3C"/>
    <w:rsid w:val="00536125"/>
    <w:rsid w:val="00545C20"/>
    <w:rsid w:val="005560C2"/>
    <w:rsid w:val="00557BE9"/>
    <w:rsid w:val="00562256"/>
    <w:rsid w:val="00563AFB"/>
    <w:rsid w:val="00567106"/>
    <w:rsid w:val="005823AE"/>
    <w:rsid w:val="0058467E"/>
    <w:rsid w:val="00586D9A"/>
    <w:rsid w:val="005917F1"/>
    <w:rsid w:val="00592677"/>
    <w:rsid w:val="00593D84"/>
    <w:rsid w:val="0059618F"/>
    <w:rsid w:val="00597387"/>
    <w:rsid w:val="005A119E"/>
    <w:rsid w:val="005B0193"/>
    <w:rsid w:val="005B3E0F"/>
    <w:rsid w:val="005B74F7"/>
    <w:rsid w:val="005D40A7"/>
    <w:rsid w:val="005D4FA8"/>
    <w:rsid w:val="005D6616"/>
    <w:rsid w:val="005D6A9A"/>
    <w:rsid w:val="005D70BD"/>
    <w:rsid w:val="005D74D0"/>
    <w:rsid w:val="005E06F5"/>
    <w:rsid w:val="005E1D3C"/>
    <w:rsid w:val="005E392E"/>
    <w:rsid w:val="005E3BF2"/>
    <w:rsid w:val="005E6597"/>
    <w:rsid w:val="005E7843"/>
    <w:rsid w:val="005F36AE"/>
    <w:rsid w:val="005F6D56"/>
    <w:rsid w:val="006006A0"/>
    <w:rsid w:val="00600EA7"/>
    <w:rsid w:val="00605C50"/>
    <w:rsid w:val="00612546"/>
    <w:rsid w:val="00612DCA"/>
    <w:rsid w:val="006140BD"/>
    <w:rsid w:val="00615590"/>
    <w:rsid w:val="00627E75"/>
    <w:rsid w:val="00632253"/>
    <w:rsid w:val="0064011E"/>
    <w:rsid w:val="00642714"/>
    <w:rsid w:val="00642DDD"/>
    <w:rsid w:val="006445F6"/>
    <w:rsid w:val="006449ED"/>
    <w:rsid w:val="006455CE"/>
    <w:rsid w:val="00651C9E"/>
    <w:rsid w:val="00651FA1"/>
    <w:rsid w:val="00654699"/>
    <w:rsid w:val="00656C5B"/>
    <w:rsid w:val="006604B7"/>
    <w:rsid w:val="00660E9D"/>
    <w:rsid w:val="0066492B"/>
    <w:rsid w:val="006722B3"/>
    <w:rsid w:val="006731CD"/>
    <w:rsid w:val="00677E25"/>
    <w:rsid w:val="00677EE8"/>
    <w:rsid w:val="00680D63"/>
    <w:rsid w:val="00684740"/>
    <w:rsid w:val="00684CF0"/>
    <w:rsid w:val="0069038B"/>
    <w:rsid w:val="00693639"/>
    <w:rsid w:val="006A0107"/>
    <w:rsid w:val="006A0AC5"/>
    <w:rsid w:val="006A2C02"/>
    <w:rsid w:val="006A2CB0"/>
    <w:rsid w:val="006A66AF"/>
    <w:rsid w:val="006B1C15"/>
    <w:rsid w:val="006B2871"/>
    <w:rsid w:val="006B453A"/>
    <w:rsid w:val="006C7914"/>
    <w:rsid w:val="006D1C84"/>
    <w:rsid w:val="006D6A25"/>
    <w:rsid w:val="006D7D0D"/>
    <w:rsid w:val="006E12C8"/>
    <w:rsid w:val="006E6817"/>
    <w:rsid w:val="006F0B29"/>
    <w:rsid w:val="006F2C92"/>
    <w:rsid w:val="00701954"/>
    <w:rsid w:val="007019FA"/>
    <w:rsid w:val="00702431"/>
    <w:rsid w:val="00704F39"/>
    <w:rsid w:val="00717B24"/>
    <w:rsid w:val="00717CD6"/>
    <w:rsid w:val="0072405B"/>
    <w:rsid w:val="00732517"/>
    <w:rsid w:val="00733017"/>
    <w:rsid w:val="007334A9"/>
    <w:rsid w:val="00741DFD"/>
    <w:rsid w:val="007456B0"/>
    <w:rsid w:val="0075798E"/>
    <w:rsid w:val="0076027C"/>
    <w:rsid w:val="00767696"/>
    <w:rsid w:val="00774BDB"/>
    <w:rsid w:val="00777E3E"/>
    <w:rsid w:val="00783310"/>
    <w:rsid w:val="00787BC3"/>
    <w:rsid w:val="00791C87"/>
    <w:rsid w:val="00797FAC"/>
    <w:rsid w:val="007A4A6D"/>
    <w:rsid w:val="007B508F"/>
    <w:rsid w:val="007B7E98"/>
    <w:rsid w:val="007C1CA3"/>
    <w:rsid w:val="007C5A2B"/>
    <w:rsid w:val="007C5FF0"/>
    <w:rsid w:val="007C6B1A"/>
    <w:rsid w:val="007D0C4B"/>
    <w:rsid w:val="007D0EFB"/>
    <w:rsid w:val="007D1B9D"/>
    <w:rsid w:val="007D1BCF"/>
    <w:rsid w:val="007D75CF"/>
    <w:rsid w:val="007E03AF"/>
    <w:rsid w:val="007E1856"/>
    <w:rsid w:val="007E24D4"/>
    <w:rsid w:val="007E6DC5"/>
    <w:rsid w:val="007F3B45"/>
    <w:rsid w:val="007F3B56"/>
    <w:rsid w:val="007F647F"/>
    <w:rsid w:val="007F672E"/>
    <w:rsid w:val="00800C01"/>
    <w:rsid w:val="008013C0"/>
    <w:rsid w:val="008100AC"/>
    <w:rsid w:val="008173FC"/>
    <w:rsid w:val="00822876"/>
    <w:rsid w:val="00825C45"/>
    <w:rsid w:val="00827E28"/>
    <w:rsid w:val="00835FF3"/>
    <w:rsid w:val="00836A1A"/>
    <w:rsid w:val="00837090"/>
    <w:rsid w:val="00841DD9"/>
    <w:rsid w:val="008433BE"/>
    <w:rsid w:val="00855C40"/>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1AC5"/>
    <w:rsid w:val="008C248F"/>
    <w:rsid w:val="008C5738"/>
    <w:rsid w:val="008C5855"/>
    <w:rsid w:val="008C6113"/>
    <w:rsid w:val="008C6207"/>
    <w:rsid w:val="008D0222"/>
    <w:rsid w:val="008D04F0"/>
    <w:rsid w:val="008D0CCA"/>
    <w:rsid w:val="008E22D8"/>
    <w:rsid w:val="008E43EB"/>
    <w:rsid w:val="008E456D"/>
    <w:rsid w:val="008E512A"/>
    <w:rsid w:val="008E742E"/>
    <w:rsid w:val="008E75A1"/>
    <w:rsid w:val="008F28DE"/>
    <w:rsid w:val="008F3500"/>
    <w:rsid w:val="008F4C75"/>
    <w:rsid w:val="008F7A82"/>
    <w:rsid w:val="0090242E"/>
    <w:rsid w:val="00910CD7"/>
    <w:rsid w:val="00912D37"/>
    <w:rsid w:val="0092492B"/>
    <w:rsid w:val="00924E3C"/>
    <w:rsid w:val="00926C2F"/>
    <w:rsid w:val="009274A6"/>
    <w:rsid w:val="00927829"/>
    <w:rsid w:val="0093421D"/>
    <w:rsid w:val="00934CB5"/>
    <w:rsid w:val="009418B6"/>
    <w:rsid w:val="00944E19"/>
    <w:rsid w:val="009477C0"/>
    <w:rsid w:val="00950404"/>
    <w:rsid w:val="00955884"/>
    <w:rsid w:val="009612BB"/>
    <w:rsid w:val="00963A2A"/>
    <w:rsid w:val="00964955"/>
    <w:rsid w:val="00965D31"/>
    <w:rsid w:val="00965ECA"/>
    <w:rsid w:val="009674F3"/>
    <w:rsid w:val="009721EC"/>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1585"/>
    <w:rsid w:val="009C17C7"/>
    <w:rsid w:val="009C1DF7"/>
    <w:rsid w:val="009C2774"/>
    <w:rsid w:val="009D0906"/>
    <w:rsid w:val="009D3A85"/>
    <w:rsid w:val="009E1589"/>
    <w:rsid w:val="009F0F36"/>
    <w:rsid w:val="009F11B9"/>
    <w:rsid w:val="009F3F67"/>
    <w:rsid w:val="009F4CF6"/>
    <w:rsid w:val="00A03DDD"/>
    <w:rsid w:val="00A063CD"/>
    <w:rsid w:val="00A069B8"/>
    <w:rsid w:val="00A07E76"/>
    <w:rsid w:val="00A125C5"/>
    <w:rsid w:val="00A12A77"/>
    <w:rsid w:val="00A15E28"/>
    <w:rsid w:val="00A20C29"/>
    <w:rsid w:val="00A2451C"/>
    <w:rsid w:val="00A42F16"/>
    <w:rsid w:val="00A43B39"/>
    <w:rsid w:val="00A53DAF"/>
    <w:rsid w:val="00A55978"/>
    <w:rsid w:val="00A576A2"/>
    <w:rsid w:val="00A603EF"/>
    <w:rsid w:val="00A62093"/>
    <w:rsid w:val="00A631E6"/>
    <w:rsid w:val="00A6560C"/>
    <w:rsid w:val="00A65EE7"/>
    <w:rsid w:val="00A70133"/>
    <w:rsid w:val="00A70F15"/>
    <w:rsid w:val="00A84AEE"/>
    <w:rsid w:val="00A859D0"/>
    <w:rsid w:val="00A97F63"/>
    <w:rsid w:val="00AA1CC7"/>
    <w:rsid w:val="00AB36C4"/>
    <w:rsid w:val="00AB4206"/>
    <w:rsid w:val="00AB5E04"/>
    <w:rsid w:val="00AC5CB6"/>
    <w:rsid w:val="00AC7A2B"/>
    <w:rsid w:val="00AD5599"/>
    <w:rsid w:val="00AD59AA"/>
    <w:rsid w:val="00AE0E03"/>
    <w:rsid w:val="00AE51A4"/>
    <w:rsid w:val="00AF71E9"/>
    <w:rsid w:val="00B01BAC"/>
    <w:rsid w:val="00B131A0"/>
    <w:rsid w:val="00B15718"/>
    <w:rsid w:val="00B17141"/>
    <w:rsid w:val="00B17BCA"/>
    <w:rsid w:val="00B2318A"/>
    <w:rsid w:val="00B31575"/>
    <w:rsid w:val="00B331CB"/>
    <w:rsid w:val="00B33437"/>
    <w:rsid w:val="00B34C82"/>
    <w:rsid w:val="00B35CFB"/>
    <w:rsid w:val="00B36FFE"/>
    <w:rsid w:val="00B407F1"/>
    <w:rsid w:val="00B40B20"/>
    <w:rsid w:val="00B416A3"/>
    <w:rsid w:val="00B45699"/>
    <w:rsid w:val="00B45C6C"/>
    <w:rsid w:val="00B46BEE"/>
    <w:rsid w:val="00B47836"/>
    <w:rsid w:val="00B51CDB"/>
    <w:rsid w:val="00B54286"/>
    <w:rsid w:val="00B573F0"/>
    <w:rsid w:val="00B607A2"/>
    <w:rsid w:val="00B60C28"/>
    <w:rsid w:val="00B7006D"/>
    <w:rsid w:val="00B803B3"/>
    <w:rsid w:val="00B8157B"/>
    <w:rsid w:val="00B81C1C"/>
    <w:rsid w:val="00B84E62"/>
    <w:rsid w:val="00B8547D"/>
    <w:rsid w:val="00B87444"/>
    <w:rsid w:val="00B91331"/>
    <w:rsid w:val="00B944DB"/>
    <w:rsid w:val="00BA2693"/>
    <w:rsid w:val="00BA3BEF"/>
    <w:rsid w:val="00BC6EF1"/>
    <w:rsid w:val="00BD6AC6"/>
    <w:rsid w:val="00BE486B"/>
    <w:rsid w:val="00BF1735"/>
    <w:rsid w:val="00BF2DD5"/>
    <w:rsid w:val="00BF4AAD"/>
    <w:rsid w:val="00BF51DD"/>
    <w:rsid w:val="00C043D5"/>
    <w:rsid w:val="00C056E7"/>
    <w:rsid w:val="00C120A4"/>
    <w:rsid w:val="00C22198"/>
    <w:rsid w:val="00C24414"/>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21C3"/>
    <w:rsid w:val="00CB45FA"/>
    <w:rsid w:val="00CC0377"/>
    <w:rsid w:val="00CC0931"/>
    <w:rsid w:val="00CC0F4D"/>
    <w:rsid w:val="00CC2661"/>
    <w:rsid w:val="00CE0D66"/>
    <w:rsid w:val="00CE21F0"/>
    <w:rsid w:val="00CE50FB"/>
    <w:rsid w:val="00CE7514"/>
    <w:rsid w:val="00CF1B00"/>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55FB4"/>
    <w:rsid w:val="00D61B6C"/>
    <w:rsid w:val="00D63376"/>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5F49"/>
    <w:rsid w:val="00E0640E"/>
    <w:rsid w:val="00E117D9"/>
    <w:rsid w:val="00E20D6E"/>
    <w:rsid w:val="00E236CD"/>
    <w:rsid w:val="00E23A96"/>
    <w:rsid w:val="00E23BE3"/>
    <w:rsid w:val="00E3547A"/>
    <w:rsid w:val="00E4006C"/>
    <w:rsid w:val="00E43131"/>
    <w:rsid w:val="00E4313B"/>
    <w:rsid w:val="00E522B8"/>
    <w:rsid w:val="00E53334"/>
    <w:rsid w:val="00E569BD"/>
    <w:rsid w:val="00E57E46"/>
    <w:rsid w:val="00E63756"/>
    <w:rsid w:val="00E65653"/>
    <w:rsid w:val="00E71483"/>
    <w:rsid w:val="00E81C28"/>
    <w:rsid w:val="00E83733"/>
    <w:rsid w:val="00E86B20"/>
    <w:rsid w:val="00E94B20"/>
    <w:rsid w:val="00E978D8"/>
    <w:rsid w:val="00EA19AE"/>
    <w:rsid w:val="00EA1B6A"/>
    <w:rsid w:val="00EA23CC"/>
    <w:rsid w:val="00EA600D"/>
    <w:rsid w:val="00EA6BB0"/>
    <w:rsid w:val="00EA7C7D"/>
    <w:rsid w:val="00EB0AD8"/>
    <w:rsid w:val="00EB3953"/>
    <w:rsid w:val="00EB54C8"/>
    <w:rsid w:val="00EC2AC9"/>
    <w:rsid w:val="00EC7195"/>
    <w:rsid w:val="00ED06AA"/>
    <w:rsid w:val="00ED5ED6"/>
    <w:rsid w:val="00EE141E"/>
    <w:rsid w:val="00EE2368"/>
    <w:rsid w:val="00EE30C3"/>
    <w:rsid w:val="00EE344F"/>
    <w:rsid w:val="00EE3821"/>
    <w:rsid w:val="00EE39E3"/>
    <w:rsid w:val="00EE404A"/>
    <w:rsid w:val="00EE54EC"/>
    <w:rsid w:val="00EE6E04"/>
    <w:rsid w:val="00EF3844"/>
    <w:rsid w:val="00F01529"/>
    <w:rsid w:val="00F01F52"/>
    <w:rsid w:val="00F024CC"/>
    <w:rsid w:val="00F02A9C"/>
    <w:rsid w:val="00F10AF0"/>
    <w:rsid w:val="00F141D3"/>
    <w:rsid w:val="00F14CBC"/>
    <w:rsid w:val="00F156AC"/>
    <w:rsid w:val="00F22123"/>
    <w:rsid w:val="00F230F6"/>
    <w:rsid w:val="00F240BB"/>
    <w:rsid w:val="00F25972"/>
    <w:rsid w:val="00F269BB"/>
    <w:rsid w:val="00F31504"/>
    <w:rsid w:val="00F32A34"/>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0A6F"/>
    <w:rsid w:val="00FA3FDD"/>
    <w:rsid w:val="00FA53F5"/>
    <w:rsid w:val="00FA5734"/>
    <w:rsid w:val="00FB11AF"/>
    <w:rsid w:val="00FB52E3"/>
    <w:rsid w:val="00FC4A90"/>
    <w:rsid w:val="00FD1718"/>
    <w:rsid w:val="00FD1959"/>
    <w:rsid w:val="00FD4EC7"/>
    <w:rsid w:val="00FE2914"/>
    <w:rsid w:val="00FE3597"/>
    <w:rsid w:val="00FF11FA"/>
    <w:rsid w:val="00FF3C67"/>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 w:type="paragraph" w:styleId="Konnaopomba-besedilo">
    <w:name w:val="endnote text"/>
    <w:basedOn w:val="Navaden"/>
    <w:link w:val="Konnaopomba-besediloZnak"/>
    <w:semiHidden/>
    <w:unhideWhenUsed/>
    <w:rsid w:val="00EA23CC"/>
    <w:pPr>
      <w:spacing w:line="240" w:lineRule="auto"/>
    </w:pPr>
    <w:rPr>
      <w:szCs w:val="20"/>
    </w:rPr>
  </w:style>
  <w:style w:type="character" w:customStyle="1" w:styleId="Konnaopomba-besediloZnak">
    <w:name w:val="Končna opomba - besedilo Znak"/>
    <w:basedOn w:val="Privzetapisavaodstavka"/>
    <w:link w:val="Konnaopomba-besedilo"/>
    <w:semiHidden/>
    <w:rsid w:val="00EA23CC"/>
    <w:rPr>
      <w:rFonts w:ascii="Arial" w:hAnsi="Arial"/>
      <w:noProof/>
      <w:lang w:val="en-GB" w:eastAsia="en-US"/>
    </w:rPr>
  </w:style>
  <w:style w:type="character" w:styleId="Konnaopomba-sklic">
    <w:name w:val="endnote reference"/>
    <w:basedOn w:val="Privzetapisavaodstavka"/>
    <w:semiHidden/>
    <w:unhideWhenUsed/>
    <w:rsid w:val="00EA2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3672</Words>
  <Characters>20931</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2023-07-14T09:39:00Z</dcterms:created>
  <dcterms:modified xsi:type="dcterms:W3CDTF">2023-07-14T09:39:00Z</dcterms:modified>
</cp:coreProperties>
</file>