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3D" w:rsidRPr="00D33454" w:rsidRDefault="00A7423D" w:rsidP="00D33454">
      <w:pPr>
        <w:autoSpaceDE w:val="0"/>
        <w:autoSpaceDN w:val="0"/>
        <w:adjustRightInd w:val="0"/>
        <w:spacing w:after="0"/>
        <w:jc w:val="left"/>
        <w:rPr>
          <w:rFonts w:cs="Arial"/>
          <w:b/>
          <w:bCs/>
          <w:sz w:val="30"/>
          <w:szCs w:val="30"/>
        </w:rPr>
      </w:pPr>
      <w:bookmarkStart w:id="0" w:name="_GoBack"/>
      <w:bookmarkEnd w:id="0"/>
      <w:r w:rsidRPr="00D33454">
        <w:rPr>
          <w:rFonts w:cs="Arial"/>
          <w:b/>
          <w:bCs/>
          <w:sz w:val="30"/>
          <w:szCs w:val="30"/>
        </w:rPr>
        <w:t>Državni proračun 2021</w:t>
      </w:r>
    </w:p>
    <w:p w:rsidR="00A7423D" w:rsidRPr="00D33454" w:rsidRDefault="00A7423D" w:rsidP="00D33454">
      <w:pPr>
        <w:autoSpaceDE w:val="0"/>
        <w:autoSpaceDN w:val="0"/>
        <w:adjustRightInd w:val="0"/>
        <w:spacing w:after="0"/>
        <w:jc w:val="left"/>
        <w:rPr>
          <w:rFonts w:cs="Arial"/>
          <w:b/>
          <w:bCs/>
          <w:sz w:val="26"/>
          <w:szCs w:val="26"/>
        </w:rPr>
      </w:pPr>
      <w:r w:rsidRPr="00D33454">
        <w:rPr>
          <w:rFonts w:cs="Arial"/>
          <w:b/>
          <w:bCs/>
          <w:sz w:val="26"/>
          <w:szCs w:val="26"/>
        </w:rPr>
        <w:t>Kako polnimo proračun in za kaj namenjamo vaš denar</w:t>
      </w:r>
    </w:p>
    <w:p w:rsidR="00A7423D" w:rsidRPr="00D33454" w:rsidRDefault="00A7423D" w:rsidP="00D33454">
      <w:pPr>
        <w:autoSpaceDE w:val="0"/>
        <w:autoSpaceDN w:val="0"/>
        <w:adjustRightInd w:val="0"/>
        <w:spacing w:after="0"/>
        <w:jc w:val="left"/>
        <w:rPr>
          <w:rFonts w:cs="Arial"/>
          <w:b/>
          <w:bCs/>
          <w:sz w:val="26"/>
          <w:szCs w:val="26"/>
        </w:rPr>
      </w:pPr>
    </w:p>
    <w:p w:rsidR="00A7423D" w:rsidRPr="00D33454" w:rsidRDefault="00A7423D" w:rsidP="00D33454">
      <w:pPr>
        <w:autoSpaceDE w:val="0"/>
        <w:autoSpaceDN w:val="0"/>
        <w:adjustRightInd w:val="0"/>
        <w:spacing w:after="0"/>
        <w:jc w:val="left"/>
        <w:rPr>
          <w:rFonts w:cs="Arial"/>
          <w:bCs/>
        </w:rPr>
      </w:pPr>
      <w:r w:rsidRPr="00D33454">
        <w:rPr>
          <w:rFonts w:cs="Arial"/>
          <w:bCs/>
        </w:rPr>
        <w:t>S skoraj 13,5 milijardami evrov je proračun za leto 2021 usmerjen predvsem v okrevanje in krepitev odpornosti gospodarstva ob hkratni skrbi za zdravje in blaginjo posameznika. Primanjkljaj znižujemo na 2,7 milijarde evrov.</w:t>
      </w:r>
    </w:p>
    <w:p w:rsidR="00A7423D" w:rsidRPr="00D33454" w:rsidRDefault="00A7423D" w:rsidP="00D33454">
      <w:pPr>
        <w:autoSpaceDE w:val="0"/>
        <w:autoSpaceDN w:val="0"/>
        <w:adjustRightInd w:val="0"/>
        <w:spacing w:after="0"/>
        <w:jc w:val="left"/>
        <w:rPr>
          <w:rFonts w:cs="Arial"/>
          <w:b/>
          <w:bCs/>
        </w:rPr>
      </w:pPr>
    </w:p>
    <w:p w:rsidR="00F85E9E" w:rsidRPr="00D33454" w:rsidRDefault="00A7423D" w:rsidP="00D33454">
      <w:pPr>
        <w:autoSpaceDE w:val="0"/>
        <w:autoSpaceDN w:val="0"/>
        <w:adjustRightInd w:val="0"/>
        <w:spacing w:after="0"/>
        <w:jc w:val="left"/>
        <w:rPr>
          <w:rFonts w:cs="Arial"/>
          <w:b/>
          <w:bCs/>
        </w:rPr>
      </w:pPr>
      <w:r w:rsidRPr="00D33454">
        <w:rPr>
          <w:rFonts w:cs="Arial"/>
          <w:b/>
          <w:bCs/>
        </w:rPr>
        <w:t>Za kaj denar porabimo - proračunski odhodki</w:t>
      </w:r>
      <w:r w:rsidR="00C90C95" w:rsidRPr="00D33454">
        <w:rPr>
          <w:rFonts w:cs="Arial"/>
          <w:b/>
          <w:bCs/>
        </w:rPr>
        <w:t xml:space="preserve"> </w:t>
      </w:r>
      <w:r w:rsidR="008305EA" w:rsidRPr="00D33454">
        <w:rPr>
          <w:rFonts w:cs="Arial"/>
          <w:b/>
          <w:bCs/>
        </w:rPr>
        <w:t>v milijonih evrov</w:t>
      </w:r>
    </w:p>
    <w:p w:rsidR="00F85E9E" w:rsidRPr="00D33454" w:rsidRDefault="00D33454" w:rsidP="00D33454">
      <w:pPr>
        <w:autoSpaceDE w:val="0"/>
        <w:autoSpaceDN w:val="0"/>
        <w:adjustRightInd w:val="0"/>
        <w:spacing w:after="0"/>
        <w:jc w:val="left"/>
        <w:rPr>
          <w:rFonts w:cs="Arial"/>
          <w:bCs/>
        </w:rPr>
      </w:pPr>
      <w:r w:rsidRPr="00D33454">
        <w:rPr>
          <w:rFonts w:cs="Arial"/>
        </w:rPr>
        <w:t>Znanost</w:t>
      </w:r>
      <w:r w:rsidRPr="00D33454">
        <w:rPr>
          <w:rFonts w:cs="Arial"/>
        </w:rPr>
        <w:tab/>
      </w:r>
      <w:r w:rsidR="00F85E9E" w:rsidRPr="00D33454">
        <w:rPr>
          <w:rFonts w:cs="Arial"/>
          <w:bCs/>
        </w:rPr>
        <w:t xml:space="preserve">493 </w:t>
      </w:r>
    </w:p>
    <w:p w:rsidR="008305EA" w:rsidRPr="00D33454" w:rsidRDefault="00D33454" w:rsidP="00D33454">
      <w:pPr>
        <w:autoSpaceDE w:val="0"/>
        <w:autoSpaceDN w:val="0"/>
        <w:adjustRightInd w:val="0"/>
        <w:spacing w:after="0"/>
        <w:jc w:val="left"/>
        <w:rPr>
          <w:rFonts w:cs="Arial"/>
          <w:bCs/>
        </w:rPr>
      </w:pPr>
      <w:r w:rsidRPr="00D33454">
        <w:rPr>
          <w:rFonts w:cs="Arial"/>
        </w:rPr>
        <w:t>Kmetijstvo</w:t>
      </w:r>
      <w:r w:rsidRPr="00D33454">
        <w:rPr>
          <w:rFonts w:cs="Arial"/>
        </w:rPr>
        <w:tab/>
      </w:r>
      <w:r w:rsidR="00F85E9E" w:rsidRPr="00D33454">
        <w:rPr>
          <w:rFonts w:cs="Arial"/>
          <w:bCs/>
        </w:rPr>
        <w:t xml:space="preserve">515 </w:t>
      </w:r>
    </w:p>
    <w:p w:rsidR="00F85E9E" w:rsidRPr="00D33454" w:rsidRDefault="00D33454" w:rsidP="00D33454">
      <w:pPr>
        <w:autoSpaceDE w:val="0"/>
        <w:autoSpaceDN w:val="0"/>
        <w:adjustRightInd w:val="0"/>
        <w:spacing w:after="0"/>
        <w:jc w:val="left"/>
        <w:rPr>
          <w:rFonts w:cs="Arial"/>
          <w:bCs/>
        </w:rPr>
      </w:pPr>
      <w:r w:rsidRPr="00D33454">
        <w:rPr>
          <w:rFonts w:cs="Arial"/>
        </w:rPr>
        <w:t>Trg dela</w:t>
      </w:r>
      <w:r w:rsidRPr="00D33454">
        <w:rPr>
          <w:rFonts w:cs="Arial"/>
        </w:rPr>
        <w:tab/>
      </w:r>
      <w:r w:rsidR="00F85E9E" w:rsidRPr="00D33454">
        <w:rPr>
          <w:rFonts w:cs="Arial"/>
          <w:bCs/>
        </w:rPr>
        <w:t xml:space="preserve">340 </w:t>
      </w:r>
    </w:p>
    <w:p w:rsidR="00F85E9E" w:rsidRPr="00D33454" w:rsidRDefault="00D33454" w:rsidP="00D33454">
      <w:pPr>
        <w:autoSpaceDE w:val="0"/>
        <w:autoSpaceDN w:val="0"/>
        <w:adjustRightInd w:val="0"/>
        <w:spacing w:after="0"/>
        <w:jc w:val="left"/>
        <w:rPr>
          <w:rFonts w:cs="Arial"/>
          <w:bCs/>
        </w:rPr>
      </w:pPr>
      <w:r w:rsidRPr="00D33454">
        <w:rPr>
          <w:rFonts w:cs="Arial"/>
        </w:rPr>
        <w:t>Izobraževanje in šport</w:t>
      </w:r>
      <w:r w:rsidRPr="00D33454">
        <w:rPr>
          <w:rFonts w:cs="Arial"/>
        </w:rPr>
        <w:tab/>
      </w:r>
      <w:r w:rsidR="00F85E9E" w:rsidRPr="00D33454">
        <w:rPr>
          <w:rFonts w:cs="Arial"/>
          <w:bCs/>
        </w:rPr>
        <w:t xml:space="preserve">2.043 </w:t>
      </w:r>
    </w:p>
    <w:p w:rsidR="00F85E9E" w:rsidRPr="00D33454" w:rsidRDefault="00D33454" w:rsidP="00D33454">
      <w:pPr>
        <w:autoSpaceDE w:val="0"/>
        <w:autoSpaceDN w:val="0"/>
        <w:adjustRightInd w:val="0"/>
        <w:spacing w:after="0"/>
        <w:jc w:val="left"/>
        <w:rPr>
          <w:rFonts w:cs="Arial"/>
          <w:bCs/>
        </w:rPr>
      </w:pPr>
      <w:r w:rsidRPr="00D33454">
        <w:rPr>
          <w:rFonts w:cs="Arial"/>
        </w:rPr>
        <w:t>Varnost</w:t>
      </w:r>
      <w:r w:rsidRPr="00D33454">
        <w:rPr>
          <w:rFonts w:cs="Arial"/>
        </w:rPr>
        <w:tab/>
      </w:r>
      <w:r w:rsidR="00F85E9E" w:rsidRPr="00D33454">
        <w:rPr>
          <w:rFonts w:cs="Arial"/>
          <w:bCs/>
        </w:rPr>
        <w:t xml:space="preserve">1.509 </w:t>
      </w:r>
    </w:p>
    <w:p w:rsidR="00F85E9E" w:rsidRPr="00D33454" w:rsidRDefault="00D33454" w:rsidP="00D33454">
      <w:pPr>
        <w:autoSpaceDE w:val="0"/>
        <w:autoSpaceDN w:val="0"/>
        <w:adjustRightInd w:val="0"/>
        <w:spacing w:after="0"/>
        <w:jc w:val="left"/>
        <w:rPr>
          <w:rFonts w:cs="Arial"/>
          <w:bCs/>
        </w:rPr>
      </w:pPr>
      <w:r w:rsidRPr="00D33454">
        <w:rPr>
          <w:rFonts w:cs="Arial"/>
        </w:rPr>
        <w:t>Promet</w:t>
      </w:r>
      <w:r w:rsidRPr="00D33454">
        <w:rPr>
          <w:rFonts w:cs="Arial"/>
        </w:rPr>
        <w:tab/>
      </w:r>
      <w:r w:rsidR="00F85E9E" w:rsidRPr="00D33454">
        <w:rPr>
          <w:rFonts w:cs="Arial"/>
          <w:bCs/>
        </w:rPr>
        <w:t xml:space="preserve">1.025 </w:t>
      </w:r>
    </w:p>
    <w:p w:rsidR="00F85E9E" w:rsidRPr="00D33454" w:rsidRDefault="00F85E9E" w:rsidP="00D33454">
      <w:pPr>
        <w:autoSpaceDE w:val="0"/>
        <w:autoSpaceDN w:val="0"/>
        <w:adjustRightInd w:val="0"/>
        <w:spacing w:after="0"/>
        <w:jc w:val="left"/>
        <w:rPr>
          <w:rFonts w:cs="Arial"/>
          <w:bCs/>
        </w:rPr>
      </w:pPr>
      <w:r w:rsidRPr="00D33454">
        <w:rPr>
          <w:rFonts w:cs="Arial"/>
        </w:rPr>
        <w:t>Podjetništvo in konkurenč</w:t>
      </w:r>
      <w:r w:rsidR="00D33454" w:rsidRPr="00D33454">
        <w:rPr>
          <w:rFonts w:cs="Arial"/>
        </w:rPr>
        <w:t>nost</w:t>
      </w:r>
      <w:r w:rsidR="00D33454" w:rsidRPr="00D33454">
        <w:rPr>
          <w:rFonts w:cs="Arial"/>
        </w:rPr>
        <w:tab/>
      </w:r>
      <w:r w:rsidRPr="00D33454">
        <w:rPr>
          <w:rFonts w:cs="Arial"/>
          <w:bCs/>
        </w:rPr>
        <w:t xml:space="preserve">282 </w:t>
      </w:r>
    </w:p>
    <w:p w:rsidR="00F85E9E" w:rsidRPr="00D33454" w:rsidRDefault="00F85E9E" w:rsidP="00D33454">
      <w:pPr>
        <w:autoSpaceDE w:val="0"/>
        <w:autoSpaceDN w:val="0"/>
        <w:adjustRightInd w:val="0"/>
        <w:spacing w:after="0"/>
        <w:jc w:val="left"/>
        <w:rPr>
          <w:rFonts w:cs="Arial"/>
          <w:bCs/>
        </w:rPr>
      </w:pPr>
      <w:r w:rsidRPr="00D33454">
        <w:rPr>
          <w:rFonts w:cs="Arial"/>
        </w:rPr>
        <w:t>Plač</w:t>
      </w:r>
      <w:r w:rsidR="00D33454" w:rsidRPr="00D33454">
        <w:rPr>
          <w:rFonts w:cs="Arial"/>
        </w:rPr>
        <w:t>ila v EU</w:t>
      </w:r>
      <w:r w:rsidR="00D33454" w:rsidRPr="00D33454">
        <w:rPr>
          <w:rFonts w:cs="Arial"/>
        </w:rPr>
        <w:tab/>
      </w:r>
      <w:r w:rsidRPr="00D33454">
        <w:rPr>
          <w:rFonts w:cs="Arial"/>
          <w:bCs/>
        </w:rPr>
        <w:t xml:space="preserve">565 </w:t>
      </w:r>
    </w:p>
    <w:p w:rsidR="00F85E9E" w:rsidRPr="00D33454" w:rsidRDefault="00D33454" w:rsidP="00D33454">
      <w:pPr>
        <w:autoSpaceDE w:val="0"/>
        <w:autoSpaceDN w:val="0"/>
        <w:adjustRightInd w:val="0"/>
        <w:spacing w:after="0"/>
        <w:jc w:val="left"/>
        <w:rPr>
          <w:rFonts w:cs="Arial"/>
          <w:bCs/>
        </w:rPr>
      </w:pPr>
      <w:r w:rsidRPr="00D33454">
        <w:rPr>
          <w:rFonts w:cs="Arial"/>
        </w:rPr>
        <w:t>Kultura</w:t>
      </w:r>
      <w:r w:rsidRPr="00D33454">
        <w:rPr>
          <w:rFonts w:cs="Arial"/>
        </w:rPr>
        <w:tab/>
      </w:r>
      <w:r w:rsidRPr="00D33454">
        <w:rPr>
          <w:rFonts w:cs="Arial"/>
        </w:rPr>
        <w:tab/>
      </w:r>
      <w:r w:rsidR="00F85E9E" w:rsidRPr="00D33454">
        <w:rPr>
          <w:rFonts w:cs="Arial"/>
          <w:bCs/>
        </w:rPr>
        <w:t>268</w:t>
      </w:r>
      <w:r w:rsidR="00307E45" w:rsidRPr="00D33454">
        <w:rPr>
          <w:rFonts w:cs="Arial"/>
          <w:bCs/>
        </w:rPr>
        <w:t xml:space="preserve"> </w:t>
      </w:r>
    </w:p>
    <w:p w:rsidR="00F85E9E" w:rsidRPr="00D33454" w:rsidRDefault="00F85E9E" w:rsidP="00D33454">
      <w:pPr>
        <w:autoSpaceDE w:val="0"/>
        <w:autoSpaceDN w:val="0"/>
        <w:adjustRightInd w:val="0"/>
        <w:spacing w:after="0"/>
        <w:jc w:val="left"/>
        <w:rPr>
          <w:rFonts w:cs="Arial"/>
          <w:bCs/>
        </w:rPr>
      </w:pPr>
      <w:r w:rsidRPr="00D33454">
        <w:rPr>
          <w:rFonts w:cs="Arial"/>
        </w:rPr>
        <w:t>Ekonomska in</w:t>
      </w:r>
      <w:r w:rsidR="00D33454" w:rsidRPr="00D33454">
        <w:rPr>
          <w:rFonts w:cs="Arial"/>
        </w:rPr>
        <w:t xml:space="preserve"> zunanja politika, javna uprava</w:t>
      </w:r>
      <w:r w:rsidR="00D33454" w:rsidRPr="00D33454">
        <w:rPr>
          <w:rFonts w:cs="Arial"/>
        </w:rPr>
        <w:tab/>
      </w:r>
      <w:r w:rsidRPr="00D33454">
        <w:rPr>
          <w:rFonts w:cs="Arial"/>
          <w:bCs/>
        </w:rPr>
        <w:t>815</w:t>
      </w:r>
      <w:r w:rsidR="00307E45" w:rsidRPr="00D33454">
        <w:rPr>
          <w:rFonts w:cs="Arial"/>
          <w:bCs/>
        </w:rPr>
        <w:t xml:space="preserve"> </w:t>
      </w:r>
    </w:p>
    <w:p w:rsidR="00F85E9E" w:rsidRPr="00D33454" w:rsidRDefault="00D33454" w:rsidP="00D33454">
      <w:pPr>
        <w:autoSpaceDE w:val="0"/>
        <w:autoSpaceDN w:val="0"/>
        <w:adjustRightInd w:val="0"/>
        <w:spacing w:after="0"/>
        <w:jc w:val="left"/>
        <w:rPr>
          <w:rFonts w:cs="Arial"/>
          <w:bCs/>
        </w:rPr>
      </w:pPr>
      <w:r w:rsidRPr="00D33454">
        <w:rPr>
          <w:rFonts w:cs="Arial"/>
        </w:rPr>
        <w:t>Okolje, prostor in energija</w:t>
      </w:r>
      <w:r w:rsidRPr="00D33454">
        <w:rPr>
          <w:rFonts w:cs="Arial"/>
        </w:rPr>
        <w:tab/>
      </w:r>
      <w:r w:rsidR="00F85E9E" w:rsidRPr="00D33454">
        <w:rPr>
          <w:rFonts w:cs="Arial"/>
          <w:bCs/>
        </w:rPr>
        <w:t>676</w:t>
      </w:r>
      <w:r w:rsidR="00307E45" w:rsidRPr="00D33454">
        <w:rPr>
          <w:rFonts w:cs="Arial"/>
          <w:bCs/>
        </w:rPr>
        <w:t xml:space="preserve"> </w:t>
      </w:r>
    </w:p>
    <w:p w:rsidR="00F85E9E" w:rsidRPr="00D33454" w:rsidRDefault="00D33454" w:rsidP="00D33454">
      <w:pPr>
        <w:autoSpaceDE w:val="0"/>
        <w:autoSpaceDN w:val="0"/>
        <w:adjustRightInd w:val="0"/>
        <w:spacing w:after="0"/>
        <w:jc w:val="left"/>
        <w:rPr>
          <w:rFonts w:cs="Arial"/>
          <w:bCs/>
        </w:rPr>
      </w:pPr>
      <w:r w:rsidRPr="00D33454">
        <w:rPr>
          <w:rFonts w:cs="Arial"/>
        </w:rPr>
        <w:t>Socialna varnost</w:t>
      </w:r>
      <w:r w:rsidRPr="00D33454">
        <w:rPr>
          <w:rFonts w:cs="Arial"/>
        </w:rPr>
        <w:tab/>
      </w:r>
      <w:r w:rsidR="00F85E9E" w:rsidRPr="00D33454">
        <w:rPr>
          <w:rFonts w:cs="Arial"/>
          <w:bCs/>
        </w:rPr>
        <w:t>1.481</w:t>
      </w:r>
      <w:r w:rsidR="00307E45" w:rsidRPr="00D33454">
        <w:rPr>
          <w:rFonts w:cs="Arial"/>
          <w:bCs/>
        </w:rPr>
        <w:t xml:space="preserve"> </w:t>
      </w:r>
    </w:p>
    <w:p w:rsidR="00F85E9E" w:rsidRPr="00D33454" w:rsidRDefault="00D33454" w:rsidP="00D33454">
      <w:pPr>
        <w:autoSpaceDE w:val="0"/>
        <w:autoSpaceDN w:val="0"/>
        <w:adjustRightInd w:val="0"/>
        <w:spacing w:after="0"/>
        <w:jc w:val="left"/>
        <w:rPr>
          <w:rFonts w:cs="Arial"/>
          <w:bCs/>
        </w:rPr>
      </w:pPr>
      <w:r w:rsidRPr="00D33454">
        <w:rPr>
          <w:rFonts w:cs="Arial"/>
        </w:rPr>
        <w:t>Pokojninsko varstvo</w:t>
      </w:r>
      <w:r w:rsidRPr="00D33454">
        <w:rPr>
          <w:rFonts w:cs="Arial"/>
        </w:rPr>
        <w:tab/>
      </w:r>
      <w:r w:rsidR="00F85E9E" w:rsidRPr="00D33454">
        <w:rPr>
          <w:rFonts w:cs="Arial"/>
          <w:bCs/>
        </w:rPr>
        <w:t>1.337</w:t>
      </w:r>
      <w:r w:rsidR="00307E45" w:rsidRPr="00D33454">
        <w:rPr>
          <w:rFonts w:cs="Arial"/>
          <w:bCs/>
        </w:rPr>
        <w:t xml:space="preserve"> </w:t>
      </w:r>
    </w:p>
    <w:p w:rsidR="00F85E9E" w:rsidRPr="00D33454" w:rsidRDefault="00D33454" w:rsidP="00D33454">
      <w:pPr>
        <w:autoSpaceDE w:val="0"/>
        <w:autoSpaceDN w:val="0"/>
        <w:adjustRightInd w:val="0"/>
        <w:spacing w:after="0"/>
        <w:jc w:val="left"/>
        <w:rPr>
          <w:rFonts w:cs="Arial"/>
          <w:bCs/>
        </w:rPr>
      </w:pPr>
      <w:r w:rsidRPr="00D33454">
        <w:rPr>
          <w:rFonts w:cs="Arial"/>
        </w:rPr>
        <w:t>Servisiranje javnega dolga</w:t>
      </w:r>
      <w:r w:rsidRPr="00D33454">
        <w:rPr>
          <w:rFonts w:cs="Arial"/>
        </w:rPr>
        <w:tab/>
      </w:r>
      <w:r w:rsidR="00F85E9E" w:rsidRPr="00D33454">
        <w:rPr>
          <w:rFonts w:cs="Arial"/>
          <w:bCs/>
        </w:rPr>
        <w:t>791</w:t>
      </w:r>
      <w:r w:rsidR="00307E45" w:rsidRPr="00D33454">
        <w:rPr>
          <w:rFonts w:cs="Arial"/>
          <w:bCs/>
        </w:rPr>
        <w:t xml:space="preserve"> </w:t>
      </w:r>
    </w:p>
    <w:p w:rsidR="00F85E9E" w:rsidRPr="00D33454" w:rsidRDefault="00D33454" w:rsidP="00D33454">
      <w:pPr>
        <w:autoSpaceDE w:val="0"/>
        <w:autoSpaceDN w:val="0"/>
        <w:adjustRightInd w:val="0"/>
        <w:spacing w:after="0"/>
        <w:jc w:val="left"/>
        <w:rPr>
          <w:rFonts w:cs="Arial"/>
          <w:bCs/>
        </w:rPr>
      </w:pPr>
      <w:r w:rsidRPr="00D33454">
        <w:rPr>
          <w:rFonts w:cs="Arial"/>
        </w:rPr>
        <w:t>Zdravje</w:t>
      </w:r>
      <w:r w:rsidRPr="00D33454">
        <w:rPr>
          <w:rFonts w:cs="Arial"/>
        </w:rPr>
        <w:tab/>
      </w:r>
      <w:r w:rsidR="00F85E9E" w:rsidRPr="00D33454">
        <w:rPr>
          <w:rFonts w:cs="Arial"/>
          <w:bCs/>
        </w:rPr>
        <w:t>455</w:t>
      </w:r>
      <w:r w:rsidR="00307E45" w:rsidRPr="00D33454">
        <w:rPr>
          <w:rFonts w:cs="Arial"/>
          <w:bCs/>
        </w:rPr>
        <w:t xml:space="preserve"> </w:t>
      </w:r>
    </w:p>
    <w:p w:rsidR="00F85E9E" w:rsidRPr="00D33454" w:rsidRDefault="00D33454" w:rsidP="00D33454">
      <w:pPr>
        <w:autoSpaceDE w:val="0"/>
        <w:autoSpaceDN w:val="0"/>
        <w:adjustRightInd w:val="0"/>
        <w:spacing w:after="0"/>
        <w:jc w:val="left"/>
        <w:rPr>
          <w:rFonts w:cs="Arial"/>
          <w:bCs/>
        </w:rPr>
      </w:pPr>
      <w:r w:rsidRPr="00D33454">
        <w:rPr>
          <w:rFonts w:cs="Arial"/>
        </w:rPr>
        <w:t>Intervencijski programi</w:t>
      </w:r>
      <w:r w:rsidRPr="00D33454">
        <w:rPr>
          <w:rFonts w:cs="Arial"/>
        </w:rPr>
        <w:tab/>
      </w:r>
      <w:r w:rsidR="00F85E9E" w:rsidRPr="00D33454">
        <w:rPr>
          <w:rFonts w:cs="Arial"/>
          <w:bCs/>
        </w:rPr>
        <w:t xml:space="preserve">874 </w:t>
      </w:r>
    </w:p>
    <w:p w:rsidR="00307E45" w:rsidRPr="00D33454" w:rsidRDefault="00307E45" w:rsidP="00D33454">
      <w:pPr>
        <w:autoSpaceDE w:val="0"/>
        <w:autoSpaceDN w:val="0"/>
        <w:adjustRightInd w:val="0"/>
        <w:spacing w:after="0"/>
        <w:jc w:val="left"/>
        <w:rPr>
          <w:rFonts w:cs="Arial"/>
          <w:bCs/>
        </w:rPr>
      </w:pPr>
    </w:p>
    <w:p w:rsidR="00307E45" w:rsidRPr="00D33454" w:rsidRDefault="00307E45" w:rsidP="00D33454">
      <w:pPr>
        <w:autoSpaceDE w:val="0"/>
        <w:autoSpaceDN w:val="0"/>
        <w:adjustRightInd w:val="0"/>
        <w:spacing w:after="0"/>
        <w:jc w:val="left"/>
        <w:rPr>
          <w:rFonts w:cs="Arial"/>
          <w:bCs/>
        </w:rPr>
      </w:pPr>
      <w:r w:rsidRPr="00D33454">
        <w:rPr>
          <w:rFonts w:cs="Arial"/>
          <w:bCs/>
        </w:rPr>
        <w:t>Odhodki s</w:t>
      </w:r>
      <w:r w:rsidR="00D33454" w:rsidRPr="00D33454">
        <w:rPr>
          <w:rFonts w:cs="Arial"/>
          <w:bCs/>
        </w:rPr>
        <w:t>kupaj znašajo</w:t>
      </w:r>
      <w:r w:rsidR="00D33454" w:rsidRPr="00D33454">
        <w:rPr>
          <w:rFonts w:cs="Arial"/>
          <w:bCs/>
        </w:rPr>
        <w:tab/>
      </w:r>
      <w:r w:rsidR="0005789D" w:rsidRPr="00D33454">
        <w:rPr>
          <w:rFonts w:cs="Arial"/>
          <w:bCs/>
        </w:rPr>
        <w:t>13.</w:t>
      </w:r>
      <w:r w:rsidRPr="00D33454">
        <w:rPr>
          <w:rFonts w:cs="Arial"/>
          <w:bCs/>
        </w:rPr>
        <w:t xml:space="preserve">469 </w:t>
      </w:r>
    </w:p>
    <w:p w:rsidR="00307E45" w:rsidRPr="00D33454" w:rsidRDefault="00307E45" w:rsidP="00D33454">
      <w:pPr>
        <w:autoSpaceDE w:val="0"/>
        <w:autoSpaceDN w:val="0"/>
        <w:adjustRightInd w:val="0"/>
        <w:spacing w:after="0"/>
        <w:jc w:val="left"/>
        <w:rPr>
          <w:rFonts w:cs="Arial"/>
          <w:b/>
          <w:bCs/>
        </w:rPr>
      </w:pPr>
    </w:p>
    <w:p w:rsidR="00307E45" w:rsidRPr="00D33454" w:rsidRDefault="0005789D" w:rsidP="00D33454">
      <w:pPr>
        <w:autoSpaceDE w:val="0"/>
        <w:autoSpaceDN w:val="0"/>
        <w:adjustRightInd w:val="0"/>
        <w:spacing w:after="0"/>
        <w:jc w:val="left"/>
        <w:rPr>
          <w:rFonts w:cs="Arial"/>
          <w:b/>
          <w:bCs/>
        </w:rPr>
      </w:pPr>
      <w:r w:rsidRPr="00D33454">
        <w:rPr>
          <w:rFonts w:cs="Arial"/>
          <w:b/>
          <w:bCs/>
        </w:rPr>
        <w:t>Socialna varnost in pokojninsko varstvo</w:t>
      </w:r>
    </w:p>
    <w:p w:rsidR="00307E45" w:rsidRPr="00D33454" w:rsidRDefault="00307E45" w:rsidP="00D33454">
      <w:pPr>
        <w:autoSpaceDE w:val="0"/>
        <w:autoSpaceDN w:val="0"/>
        <w:adjustRightInd w:val="0"/>
        <w:spacing w:after="0"/>
        <w:jc w:val="left"/>
        <w:rPr>
          <w:rFonts w:cs="Arial"/>
        </w:rPr>
      </w:pPr>
      <w:r w:rsidRPr="00D33454">
        <w:rPr>
          <w:rFonts w:cs="Arial"/>
        </w:rPr>
        <w:t>Področju socialne varnosti namenjamo 1.481 milijonov evrov. Največ za družinske prejemke in starševska</w:t>
      </w:r>
      <w:r w:rsidR="0005789D" w:rsidRPr="00D33454">
        <w:rPr>
          <w:rFonts w:cs="Arial"/>
        </w:rPr>
        <w:t xml:space="preserve"> </w:t>
      </w:r>
      <w:r w:rsidRPr="00D33454">
        <w:rPr>
          <w:rFonts w:cs="Arial"/>
        </w:rPr>
        <w:t>nadomestila (603 milijonov evrov), denarno socialno pomoč (291 milijonov</w:t>
      </w:r>
      <w:r w:rsidR="0005789D" w:rsidRPr="00D33454">
        <w:rPr>
          <w:rFonts w:cs="Arial"/>
        </w:rPr>
        <w:t xml:space="preserve"> </w:t>
      </w:r>
      <w:r w:rsidRPr="00D33454">
        <w:rPr>
          <w:rFonts w:cs="Arial"/>
        </w:rPr>
        <w:t xml:space="preserve">evrov), </w:t>
      </w:r>
      <w:r w:rsidR="0005789D" w:rsidRPr="00D33454">
        <w:rPr>
          <w:rFonts w:cs="Arial"/>
        </w:rPr>
        <w:t xml:space="preserve">varstveni dodatek (43 milijonov </w:t>
      </w:r>
      <w:r w:rsidRPr="00D33454">
        <w:rPr>
          <w:rFonts w:cs="Arial"/>
        </w:rPr>
        <w:t>evrov), varstvo vojnih invalidov, vojnih veteranov in žrtev vojnega nasilja (61 milijonov evrov), regresiranje</w:t>
      </w:r>
      <w:r w:rsidR="0005789D" w:rsidRPr="00D33454">
        <w:rPr>
          <w:rFonts w:cs="Arial"/>
        </w:rPr>
        <w:t xml:space="preserve"> </w:t>
      </w:r>
      <w:r w:rsidRPr="00D33454">
        <w:rPr>
          <w:rFonts w:cs="Arial"/>
        </w:rPr>
        <w:t>prevozov v šolo (46 milijonov evrov), prehrano učencev, dijakov in študentov (59 milijonov evrov) ter štipendije</w:t>
      </w:r>
      <w:r w:rsidR="0005789D" w:rsidRPr="00D33454">
        <w:rPr>
          <w:rFonts w:cs="Arial"/>
        </w:rPr>
        <w:t xml:space="preserve"> </w:t>
      </w:r>
      <w:r w:rsidRPr="00D33454">
        <w:rPr>
          <w:rFonts w:cs="Arial"/>
        </w:rPr>
        <w:t>(100 milijonov evrov). Za financiranje obveznosti pokojninske blagajne je namenjenih 1.337 milijonov evrov.</w:t>
      </w:r>
    </w:p>
    <w:p w:rsidR="00307E45" w:rsidRPr="00D33454" w:rsidRDefault="00307E45" w:rsidP="00D33454">
      <w:pPr>
        <w:autoSpaceDE w:val="0"/>
        <w:autoSpaceDN w:val="0"/>
        <w:adjustRightInd w:val="0"/>
        <w:spacing w:after="0"/>
        <w:jc w:val="left"/>
        <w:rPr>
          <w:rFonts w:cs="Arial"/>
        </w:rPr>
      </w:pPr>
    </w:p>
    <w:p w:rsidR="00307E45" w:rsidRPr="00D33454" w:rsidRDefault="0005789D" w:rsidP="00D33454">
      <w:pPr>
        <w:autoSpaceDE w:val="0"/>
        <w:autoSpaceDN w:val="0"/>
        <w:adjustRightInd w:val="0"/>
        <w:spacing w:after="0"/>
        <w:jc w:val="left"/>
        <w:rPr>
          <w:rFonts w:cs="Arial"/>
          <w:b/>
          <w:bCs/>
        </w:rPr>
      </w:pPr>
      <w:r w:rsidRPr="00D33454">
        <w:rPr>
          <w:rFonts w:cs="Arial"/>
          <w:b/>
          <w:bCs/>
        </w:rPr>
        <w:t>Varnost</w:t>
      </w:r>
    </w:p>
    <w:p w:rsidR="00307E45" w:rsidRPr="00D33454" w:rsidRDefault="00307E45" w:rsidP="00D33454">
      <w:pPr>
        <w:autoSpaceDE w:val="0"/>
        <w:autoSpaceDN w:val="0"/>
        <w:adjustRightInd w:val="0"/>
        <w:spacing w:after="0"/>
        <w:jc w:val="left"/>
        <w:rPr>
          <w:rFonts w:cs="Arial"/>
        </w:rPr>
      </w:pPr>
      <w:r w:rsidRPr="00D33454">
        <w:rPr>
          <w:rFonts w:cs="Arial"/>
        </w:rPr>
        <w:t>Za modernizacijo opreme vojske in policije, razvoj in de</w:t>
      </w:r>
      <w:r w:rsidR="0005789D" w:rsidRPr="00D33454">
        <w:rPr>
          <w:rFonts w:cs="Arial"/>
        </w:rPr>
        <w:t xml:space="preserve">lovanje obrambnih zmogljivosti, </w:t>
      </w:r>
      <w:r w:rsidRPr="00D33454">
        <w:rPr>
          <w:rFonts w:cs="Arial"/>
        </w:rPr>
        <w:t>sistem varstva pred</w:t>
      </w:r>
      <w:r w:rsidR="0005789D" w:rsidRPr="00D33454">
        <w:rPr>
          <w:rFonts w:cs="Arial"/>
        </w:rPr>
        <w:t xml:space="preserve"> </w:t>
      </w:r>
      <w:r w:rsidRPr="00D33454">
        <w:rPr>
          <w:rFonts w:cs="Arial"/>
        </w:rPr>
        <w:t>naravnimi in drugimi nesrečami, investicijsko vzdrževanje objektov, zagotovitev kibernetske varnosti in</w:t>
      </w:r>
      <w:r w:rsidR="0005789D" w:rsidRPr="00D33454">
        <w:rPr>
          <w:rFonts w:cs="Arial"/>
        </w:rPr>
        <w:t xml:space="preserve"> </w:t>
      </w:r>
      <w:r w:rsidRPr="00D33454">
        <w:rPr>
          <w:rFonts w:cs="Arial"/>
        </w:rPr>
        <w:t>izboljšavam na področju pravosodja bomo v letu 2021 namenili 1.509 milijonov evrov.</w:t>
      </w:r>
    </w:p>
    <w:p w:rsidR="00307E45" w:rsidRPr="00D33454" w:rsidRDefault="00307E45" w:rsidP="00D33454">
      <w:pPr>
        <w:autoSpaceDE w:val="0"/>
        <w:autoSpaceDN w:val="0"/>
        <w:adjustRightInd w:val="0"/>
        <w:spacing w:after="0"/>
        <w:jc w:val="left"/>
        <w:rPr>
          <w:rFonts w:cs="Arial"/>
        </w:rPr>
      </w:pPr>
    </w:p>
    <w:p w:rsidR="00307E45" w:rsidRPr="00D33454" w:rsidRDefault="0005789D" w:rsidP="00D33454">
      <w:pPr>
        <w:autoSpaceDE w:val="0"/>
        <w:autoSpaceDN w:val="0"/>
        <w:adjustRightInd w:val="0"/>
        <w:spacing w:after="0"/>
        <w:jc w:val="left"/>
        <w:rPr>
          <w:rFonts w:cs="Arial"/>
          <w:b/>
          <w:bCs/>
        </w:rPr>
      </w:pPr>
      <w:r w:rsidRPr="00D33454">
        <w:rPr>
          <w:rFonts w:cs="Arial"/>
          <w:b/>
          <w:bCs/>
        </w:rPr>
        <w:t>Zdravje</w:t>
      </w:r>
    </w:p>
    <w:p w:rsidR="00307E45" w:rsidRPr="00D33454" w:rsidRDefault="00307E45" w:rsidP="00D33454">
      <w:pPr>
        <w:autoSpaceDE w:val="0"/>
        <w:autoSpaceDN w:val="0"/>
        <w:adjustRightInd w:val="0"/>
        <w:spacing w:after="0"/>
        <w:jc w:val="left"/>
        <w:rPr>
          <w:rFonts w:cs="Arial"/>
        </w:rPr>
      </w:pPr>
      <w:r w:rsidRPr="00D33454">
        <w:rPr>
          <w:rFonts w:cs="Arial"/>
        </w:rPr>
        <w:t>Za obvladovanje razmer povezanih z epidemijo v zdravstvu ter dosego cilja boljšega zdravja, ohranitve dostopnosti</w:t>
      </w:r>
      <w:r w:rsidR="0005789D" w:rsidRPr="00D33454">
        <w:rPr>
          <w:rFonts w:cs="Arial"/>
        </w:rPr>
        <w:t xml:space="preserve"> </w:t>
      </w:r>
      <w:r w:rsidRPr="00D33454">
        <w:rPr>
          <w:rFonts w:cs="Arial"/>
        </w:rPr>
        <w:t>do zdravstvenih storitev ter manj neenakosti v zdravstvu bomo namenili 455 milijonov evrov. Iz državnega</w:t>
      </w:r>
      <w:r w:rsidR="0005789D" w:rsidRPr="00D33454">
        <w:rPr>
          <w:rFonts w:cs="Arial"/>
        </w:rPr>
        <w:t xml:space="preserve"> </w:t>
      </w:r>
      <w:r w:rsidRPr="00D33454">
        <w:rPr>
          <w:rFonts w:cs="Arial"/>
        </w:rPr>
        <w:t>proračuna tokrat namenjamo tudi sredstva za pokrivanje večjih stroškov izvajalcev zdravstvenih storitev, ki so</w:t>
      </w:r>
      <w:r w:rsidR="0005789D" w:rsidRPr="00D33454">
        <w:rPr>
          <w:rFonts w:cs="Arial"/>
        </w:rPr>
        <w:t xml:space="preserve"> </w:t>
      </w:r>
      <w:r w:rsidRPr="00D33454">
        <w:rPr>
          <w:rFonts w:cs="Arial"/>
        </w:rPr>
        <w:t>nastali zaradi epidemije. Sredstva namenjamo tudi ukrepom za skrajševanje čakalnih dob ter za investicijske</w:t>
      </w:r>
    </w:p>
    <w:p w:rsidR="00307E45" w:rsidRPr="00D33454" w:rsidRDefault="00307E45" w:rsidP="00D33454">
      <w:pPr>
        <w:autoSpaceDE w:val="0"/>
        <w:autoSpaceDN w:val="0"/>
        <w:adjustRightInd w:val="0"/>
        <w:spacing w:after="0"/>
        <w:jc w:val="left"/>
        <w:rPr>
          <w:rFonts w:cs="Arial"/>
        </w:rPr>
      </w:pPr>
      <w:r w:rsidRPr="00D33454">
        <w:rPr>
          <w:rFonts w:cs="Arial"/>
        </w:rPr>
        <w:t>projekte v zdravstveno infrastrukturo.</w:t>
      </w:r>
    </w:p>
    <w:p w:rsidR="00307E45" w:rsidRPr="00D33454" w:rsidRDefault="00307E45" w:rsidP="00D33454">
      <w:pPr>
        <w:autoSpaceDE w:val="0"/>
        <w:autoSpaceDN w:val="0"/>
        <w:adjustRightInd w:val="0"/>
        <w:spacing w:after="0"/>
        <w:jc w:val="left"/>
        <w:rPr>
          <w:rFonts w:cs="Arial"/>
        </w:rPr>
      </w:pPr>
    </w:p>
    <w:p w:rsidR="00307E45" w:rsidRPr="00D33454" w:rsidRDefault="0005789D" w:rsidP="00D33454">
      <w:pPr>
        <w:autoSpaceDE w:val="0"/>
        <w:autoSpaceDN w:val="0"/>
        <w:adjustRightInd w:val="0"/>
        <w:spacing w:after="0"/>
        <w:jc w:val="left"/>
        <w:rPr>
          <w:rFonts w:cs="Arial"/>
          <w:b/>
          <w:bCs/>
        </w:rPr>
      </w:pPr>
      <w:r w:rsidRPr="00D33454">
        <w:rPr>
          <w:rFonts w:cs="Arial"/>
          <w:b/>
          <w:bCs/>
        </w:rPr>
        <w:t>Kultura</w:t>
      </w:r>
    </w:p>
    <w:p w:rsidR="00307E45" w:rsidRPr="00D33454" w:rsidRDefault="00307E45" w:rsidP="00D33454">
      <w:pPr>
        <w:autoSpaceDE w:val="0"/>
        <w:autoSpaceDN w:val="0"/>
        <w:adjustRightInd w:val="0"/>
        <w:spacing w:after="0"/>
        <w:jc w:val="left"/>
        <w:rPr>
          <w:rFonts w:cs="Arial"/>
        </w:rPr>
      </w:pPr>
      <w:r w:rsidRPr="00D33454">
        <w:rPr>
          <w:rFonts w:cs="Arial"/>
        </w:rPr>
        <w:t>Proračun za kulturo v višini 268 milijonov evrov bo tematsko obeležil 30-letnico osamosvojitve Slovenije in</w:t>
      </w:r>
      <w:r w:rsidR="0005789D" w:rsidRPr="00D33454">
        <w:rPr>
          <w:rFonts w:cs="Arial"/>
        </w:rPr>
        <w:t xml:space="preserve"> </w:t>
      </w:r>
      <w:r w:rsidRPr="00D33454">
        <w:rPr>
          <w:rFonts w:cs="Arial"/>
        </w:rPr>
        <w:t>predsedovanje Slovenije EU, okrepil ustvarjalnost na vseh področjih kulturnega delovanja, zagotovil raznolikost in</w:t>
      </w:r>
      <w:r w:rsidR="0005789D" w:rsidRPr="00D33454">
        <w:rPr>
          <w:rFonts w:cs="Arial"/>
        </w:rPr>
        <w:t xml:space="preserve"> </w:t>
      </w:r>
      <w:r w:rsidRPr="00D33454">
        <w:rPr>
          <w:rFonts w:cs="Arial"/>
        </w:rPr>
        <w:t xml:space="preserve">dostopnost umetniške in medijske </w:t>
      </w:r>
      <w:r w:rsidRPr="00D33454">
        <w:rPr>
          <w:rFonts w:cs="Arial"/>
        </w:rPr>
        <w:lastRenderedPageBreak/>
        <w:t>krajine, spodbudil ohranjanje in varovanje kulturne dediščine kot temelja</w:t>
      </w:r>
      <w:r w:rsidR="0005789D" w:rsidRPr="00D33454">
        <w:rPr>
          <w:rFonts w:cs="Arial"/>
        </w:rPr>
        <w:t xml:space="preserve"> </w:t>
      </w:r>
      <w:r w:rsidRPr="00D33454">
        <w:rPr>
          <w:rFonts w:cs="Arial"/>
        </w:rPr>
        <w:t>narodnega spomina ter omogočil občuten dvig investicij v infrastrukturo na področju kulture.</w:t>
      </w:r>
    </w:p>
    <w:p w:rsidR="00307E45" w:rsidRPr="00D33454" w:rsidRDefault="00307E45" w:rsidP="00D33454">
      <w:pPr>
        <w:autoSpaceDE w:val="0"/>
        <w:autoSpaceDN w:val="0"/>
        <w:adjustRightInd w:val="0"/>
        <w:spacing w:after="0"/>
        <w:jc w:val="left"/>
        <w:rPr>
          <w:rFonts w:cs="Arial"/>
        </w:rPr>
      </w:pPr>
    </w:p>
    <w:p w:rsidR="00307E45" w:rsidRPr="00D33454" w:rsidRDefault="00307E45" w:rsidP="00D33454">
      <w:pPr>
        <w:autoSpaceDE w:val="0"/>
        <w:autoSpaceDN w:val="0"/>
        <w:adjustRightInd w:val="0"/>
        <w:spacing w:after="0"/>
        <w:jc w:val="left"/>
        <w:rPr>
          <w:rFonts w:cs="Arial"/>
        </w:rPr>
      </w:pPr>
      <w:r w:rsidRPr="00D33454">
        <w:rPr>
          <w:rFonts w:cs="Arial"/>
        </w:rPr>
        <w:t xml:space="preserve">Za </w:t>
      </w:r>
      <w:r w:rsidRPr="00D33454">
        <w:rPr>
          <w:rFonts w:cs="Arial"/>
          <w:b/>
        </w:rPr>
        <w:t>obvladovanje epidemije</w:t>
      </w:r>
      <w:r w:rsidRPr="00D33454">
        <w:rPr>
          <w:rFonts w:cs="Arial"/>
        </w:rPr>
        <w:t xml:space="preserve"> je v proračunski rezervi rezerviranih 500 milijonov evrov. Glavnina ukrepov bo namenjena ohranjanju delovnih mest in zagotavljanju delovanja gospodarstva. Pomemben del ukrepov pa bo namenjen varovanju zdravja ljudi ter krepitvi in odpornosti zdravstvenega sistema.</w:t>
      </w:r>
    </w:p>
    <w:p w:rsidR="008305EA" w:rsidRPr="00D33454" w:rsidRDefault="008305EA" w:rsidP="00D33454">
      <w:pPr>
        <w:autoSpaceDE w:val="0"/>
        <w:autoSpaceDN w:val="0"/>
        <w:adjustRightInd w:val="0"/>
        <w:spacing w:after="0"/>
        <w:jc w:val="left"/>
        <w:rPr>
          <w:rFonts w:cs="Arial"/>
          <w:b/>
        </w:rPr>
      </w:pPr>
    </w:p>
    <w:p w:rsidR="008305EA" w:rsidRPr="00D33454" w:rsidRDefault="008305EA" w:rsidP="00D33454">
      <w:pPr>
        <w:spacing w:after="0"/>
        <w:jc w:val="left"/>
        <w:rPr>
          <w:rFonts w:cs="Arial"/>
        </w:rPr>
      </w:pPr>
      <w:r w:rsidRPr="00D33454">
        <w:rPr>
          <w:rFonts w:cs="Arial"/>
        </w:rPr>
        <w:t>Okrevanje in odpornost sta bili ključni vodili pri pripravi proračuna za leto 2021. Za to bodo na voljo tudi dodatna evropska sredstva, ki bodo namenjena izboljšanju zdravstvene infrastrukture in infrastrukture za oskrbo starejših, trajnostnemu razvoju in zelenemu prehodu, ohranjanju in ustvarjanju delovnih mest, podpornemu okolju za podjetja, turizem in kulturo ter za področje digitalizacije. Skupaj bo za programe in projekte, ki se financirajo iz evropskih sredstev, namenjeno 1.619 milijonov evrov.</w:t>
      </w:r>
    </w:p>
    <w:p w:rsidR="008305EA" w:rsidRPr="00D33454" w:rsidRDefault="008305EA" w:rsidP="00D33454">
      <w:pPr>
        <w:spacing w:after="0"/>
        <w:jc w:val="left"/>
        <w:rPr>
          <w:rFonts w:cs="Arial"/>
        </w:rPr>
      </w:pPr>
    </w:p>
    <w:p w:rsidR="008305EA" w:rsidRPr="00D33454" w:rsidRDefault="008305EA" w:rsidP="00D33454">
      <w:pPr>
        <w:spacing w:after="0"/>
        <w:jc w:val="left"/>
        <w:rPr>
          <w:rFonts w:cs="Arial"/>
          <w:b/>
          <w:bCs/>
        </w:rPr>
      </w:pPr>
      <w:r w:rsidRPr="00D33454">
        <w:rPr>
          <w:rFonts w:cs="Arial"/>
          <w:b/>
          <w:bCs/>
        </w:rPr>
        <w:t>Investicije</w:t>
      </w:r>
    </w:p>
    <w:p w:rsidR="008305EA" w:rsidRPr="00D33454" w:rsidRDefault="008305EA" w:rsidP="00D33454">
      <w:pPr>
        <w:spacing w:after="0"/>
        <w:jc w:val="left"/>
        <w:rPr>
          <w:rFonts w:cs="Arial"/>
        </w:rPr>
      </w:pPr>
      <w:r w:rsidRPr="00D33454">
        <w:rPr>
          <w:rFonts w:cs="Arial"/>
        </w:rPr>
        <w:t xml:space="preserve">V proračunu je izrazita razvojna komponenta državnega proračuna, ki se kaže v veliki rasti investicij v letu 2021. Skupno bomo v letu 2021 za investicije in investicijske transferje namenili 1.980 milijonov evrov, kar je približno dva krat toliko kot v letu 2020. </w:t>
      </w:r>
    </w:p>
    <w:p w:rsidR="008305EA" w:rsidRPr="00D33454" w:rsidRDefault="008305EA" w:rsidP="00D33454">
      <w:pPr>
        <w:spacing w:after="0"/>
        <w:jc w:val="left"/>
        <w:rPr>
          <w:rFonts w:cs="Arial"/>
        </w:rPr>
      </w:pPr>
    </w:p>
    <w:p w:rsidR="008305EA" w:rsidRPr="00D33454" w:rsidRDefault="008305EA" w:rsidP="00D33454">
      <w:pPr>
        <w:spacing w:after="0"/>
        <w:jc w:val="left"/>
        <w:rPr>
          <w:rFonts w:cs="Arial"/>
          <w:b/>
          <w:bCs/>
        </w:rPr>
      </w:pPr>
      <w:r w:rsidRPr="00D33454">
        <w:rPr>
          <w:rFonts w:cs="Arial"/>
          <w:b/>
          <w:bCs/>
        </w:rPr>
        <w:t>Gibanje sredstev, namenjenih za investicije po letih v milijonih evrov</w:t>
      </w:r>
    </w:p>
    <w:p w:rsidR="008305EA" w:rsidRPr="00D33454" w:rsidRDefault="008305EA" w:rsidP="00D33454">
      <w:pPr>
        <w:spacing w:after="0"/>
        <w:jc w:val="left"/>
        <w:rPr>
          <w:rFonts w:cs="Arial"/>
        </w:rPr>
      </w:pPr>
      <w:r w:rsidRPr="00D33454">
        <w:rPr>
          <w:rFonts w:cs="Arial"/>
        </w:rPr>
        <w:t>2014</w:t>
      </w:r>
      <w:r w:rsidRPr="00D33454">
        <w:rPr>
          <w:rFonts w:cs="Arial"/>
        </w:rPr>
        <w:tab/>
        <w:t>1.164</w:t>
      </w:r>
    </w:p>
    <w:p w:rsidR="008305EA" w:rsidRPr="00D33454" w:rsidRDefault="008305EA" w:rsidP="00D33454">
      <w:pPr>
        <w:spacing w:after="0"/>
        <w:jc w:val="left"/>
        <w:rPr>
          <w:rFonts w:cs="Arial"/>
        </w:rPr>
      </w:pPr>
      <w:r w:rsidRPr="00D33454">
        <w:rPr>
          <w:rFonts w:cs="Arial"/>
        </w:rPr>
        <w:t>2015</w:t>
      </w:r>
      <w:r w:rsidRPr="00D33454">
        <w:rPr>
          <w:rFonts w:cs="Arial"/>
        </w:rPr>
        <w:tab/>
        <w:t>1.365</w:t>
      </w:r>
    </w:p>
    <w:p w:rsidR="008305EA" w:rsidRPr="00D33454" w:rsidRDefault="008305EA" w:rsidP="00D33454">
      <w:pPr>
        <w:spacing w:after="0"/>
        <w:jc w:val="left"/>
        <w:rPr>
          <w:rFonts w:cs="Arial"/>
        </w:rPr>
      </w:pPr>
      <w:r w:rsidRPr="00D33454">
        <w:rPr>
          <w:rFonts w:cs="Arial"/>
        </w:rPr>
        <w:t>2016</w:t>
      </w:r>
      <w:r w:rsidRPr="00D33454">
        <w:rPr>
          <w:rFonts w:cs="Arial"/>
        </w:rPr>
        <w:tab/>
        <w:t>528</w:t>
      </w:r>
    </w:p>
    <w:p w:rsidR="008305EA" w:rsidRPr="00D33454" w:rsidRDefault="008305EA" w:rsidP="00D33454">
      <w:pPr>
        <w:spacing w:after="0"/>
        <w:jc w:val="left"/>
        <w:rPr>
          <w:rFonts w:cs="Arial"/>
        </w:rPr>
      </w:pPr>
      <w:r w:rsidRPr="00D33454">
        <w:rPr>
          <w:rFonts w:cs="Arial"/>
        </w:rPr>
        <w:t>2017</w:t>
      </w:r>
      <w:r w:rsidRPr="00D33454">
        <w:rPr>
          <w:rFonts w:cs="Arial"/>
        </w:rPr>
        <w:tab/>
        <w:t>605</w:t>
      </w:r>
    </w:p>
    <w:p w:rsidR="008305EA" w:rsidRPr="00D33454" w:rsidRDefault="008305EA" w:rsidP="00D33454">
      <w:pPr>
        <w:spacing w:after="0"/>
        <w:jc w:val="left"/>
        <w:rPr>
          <w:rFonts w:cs="Arial"/>
        </w:rPr>
      </w:pPr>
      <w:r w:rsidRPr="00D33454">
        <w:rPr>
          <w:rFonts w:cs="Arial"/>
        </w:rPr>
        <w:t>2018</w:t>
      </w:r>
      <w:r w:rsidRPr="00D33454">
        <w:rPr>
          <w:rFonts w:cs="Arial"/>
        </w:rPr>
        <w:tab/>
        <w:t>822</w:t>
      </w:r>
    </w:p>
    <w:p w:rsidR="008305EA" w:rsidRPr="00D33454" w:rsidRDefault="008305EA" w:rsidP="00D33454">
      <w:pPr>
        <w:spacing w:after="0"/>
        <w:jc w:val="left"/>
        <w:rPr>
          <w:rFonts w:cs="Arial"/>
        </w:rPr>
      </w:pPr>
      <w:r w:rsidRPr="00D33454">
        <w:rPr>
          <w:rFonts w:cs="Arial"/>
        </w:rPr>
        <w:t>2019</w:t>
      </w:r>
      <w:r w:rsidRPr="00D33454">
        <w:rPr>
          <w:rFonts w:cs="Arial"/>
        </w:rPr>
        <w:tab/>
        <w:t>938</w:t>
      </w:r>
    </w:p>
    <w:p w:rsidR="008305EA" w:rsidRPr="00D33454" w:rsidRDefault="008305EA" w:rsidP="00D33454">
      <w:pPr>
        <w:spacing w:after="0"/>
        <w:jc w:val="left"/>
        <w:rPr>
          <w:rFonts w:cs="Arial"/>
        </w:rPr>
      </w:pPr>
      <w:r w:rsidRPr="00D33454">
        <w:rPr>
          <w:rFonts w:cs="Arial"/>
        </w:rPr>
        <w:t>2020</w:t>
      </w:r>
      <w:r w:rsidRPr="00D33454">
        <w:rPr>
          <w:rFonts w:cs="Arial"/>
        </w:rPr>
        <w:tab/>
        <w:t>973</w:t>
      </w:r>
    </w:p>
    <w:p w:rsidR="008305EA" w:rsidRPr="00D33454" w:rsidRDefault="008305EA" w:rsidP="00D33454">
      <w:pPr>
        <w:spacing w:after="0"/>
        <w:jc w:val="left"/>
        <w:rPr>
          <w:rFonts w:cs="Arial"/>
        </w:rPr>
      </w:pPr>
      <w:r w:rsidRPr="00D33454">
        <w:rPr>
          <w:rFonts w:cs="Arial"/>
        </w:rPr>
        <w:t>2021</w:t>
      </w:r>
      <w:r w:rsidRPr="00D33454">
        <w:rPr>
          <w:rFonts w:cs="Arial"/>
        </w:rPr>
        <w:tab/>
        <w:t>1.980</w:t>
      </w:r>
    </w:p>
    <w:p w:rsidR="008305EA" w:rsidRPr="00D33454" w:rsidRDefault="008305EA" w:rsidP="00D33454">
      <w:pPr>
        <w:spacing w:after="0"/>
        <w:jc w:val="left"/>
        <w:rPr>
          <w:rFonts w:cs="Arial"/>
        </w:rPr>
      </w:pPr>
      <w:r w:rsidRPr="00D33454">
        <w:rPr>
          <w:rFonts w:cs="Arial"/>
        </w:rPr>
        <w:t xml:space="preserve"> </w:t>
      </w:r>
    </w:p>
    <w:p w:rsidR="008305EA" w:rsidRPr="00D33454" w:rsidRDefault="008305EA" w:rsidP="00D33454">
      <w:pPr>
        <w:spacing w:after="0"/>
        <w:jc w:val="left"/>
        <w:rPr>
          <w:rFonts w:cs="Arial"/>
          <w:b/>
          <w:bCs/>
        </w:rPr>
      </w:pPr>
      <w:r w:rsidRPr="00D33454">
        <w:rPr>
          <w:rFonts w:cs="Arial"/>
          <w:b/>
          <w:bCs/>
        </w:rPr>
        <w:t>P</w:t>
      </w:r>
      <w:r w:rsidR="00D33454" w:rsidRPr="00D33454">
        <w:rPr>
          <w:rFonts w:cs="Arial"/>
          <w:b/>
          <w:bCs/>
        </w:rPr>
        <w:t>romet in prometna infrastruktura</w:t>
      </w:r>
    </w:p>
    <w:p w:rsidR="008305EA" w:rsidRPr="00D33454" w:rsidRDefault="008305EA" w:rsidP="00D33454">
      <w:pPr>
        <w:spacing w:after="0"/>
        <w:jc w:val="left"/>
        <w:rPr>
          <w:rFonts w:cs="Arial"/>
        </w:rPr>
      </w:pPr>
      <w:r w:rsidRPr="00D33454">
        <w:rPr>
          <w:rFonts w:cs="Arial"/>
        </w:rPr>
        <w:t>Za razvoj infrastrukture bomo skupaj namenili 1.025 milijonov evrov. Ključna bodo vlaganja v nadgradnjo in posodobitev železniške infrastrukture (437 milijonov evrov) ter vzdrževanje in izgradnjo cestnih povezav (317 milijonov evrov). Okrog 229 milijonov evrov pa je zagotovljeno za namen trajnostne mobilnosti, predvsem za integriran sistem javnega potniškega prometa.</w:t>
      </w:r>
    </w:p>
    <w:p w:rsidR="008305EA" w:rsidRPr="00D33454" w:rsidRDefault="008305EA" w:rsidP="00D33454">
      <w:pPr>
        <w:spacing w:after="0"/>
        <w:jc w:val="left"/>
        <w:rPr>
          <w:rFonts w:cs="Arial"/>
        </w:rPr>
      </w:pPr>
    </w:p>
    <w:p w:rsidR="008305EA" w:rsidRPr="00D33454" w:rsidRDefault="008305EA" w:rsidP="00D33454">
      <w:pPr>
        <w:spacing w:after="0"/>
        <w:jc w:val="left"/>
        <w:rPr>
          <w:rFonts w:cs="Arial"/>
          <w:b/>
          <w:bCs/>
        </w:rPr>
      </w:pPr>
      <w:r w:rsidRPr="00D33454">
        <w:rPr>
          <w:rFonts w:cs="Arial"/>
          <w:b/>
          <w:bCs/>
        </w:rPr>
        <w:t>O</w:t>
      </w:r>
      <w:r w:rsidR="00D33454" w:rsidRPr="00D33454">
        <w:rPr>
          <w:rFonts w:cs="Arial"/>
          <w:b/>
          <w:bCs/>
        </w:rPr>
        <w:t>kolje, prostor in energija</w:t>
      </w:r>
    </w:p>
    <w:p w:rsidR="008305EA" w:rsidRPr="00D33454" w:rsidRDefault="008305EA" w:rsidP="00D33454">
      <w:pPr>
        <w:spacing w:after="0"/>
        <w:jc w:val="left"/>
        <w:rPr>
          <w:rFonts w:cs="Arial"/>
        </w:rPr>
      </w:pPr>
      <w:r w:rsidRPr="00D33454">
        <w:rPr>
          <w:rFonts w:cs="Arial"/>
        </w:rPr>
        <w:t>Za varovanje okolja in okoljsko infrastrukturo načrtujemo 528 milijonov evrov. Večino sredstev namenjamo za prehod na zeleno gospodarstvo in prilagajanju podnebnim spremembam, upravljanju z vodami ter ohranjanju biotske raznovrstnosti. Za stanovanjsko dejavnost bo namenjenih 76 milijonov evrov ter 72 milijonov evrov za upravljanje z viri energije in energetsko učinkovitost.</w:t>
      </w:r>
    </w:p>
    <w:p w:rsidR="008305EA" w:rsidRPr="00D33454" w:rsidRDefault="008305EA" w:rsidP="00D33454">
      <w:pPr>
        <w:spacing w:after="0"/>
        <w:jc w:val="left"/>
        <w:rPr>
          <w:rFonts w:cs="Arial"/>
        </w:rPr>
      </w:pPr>
    </w:p>
    <w:p w:rsidR="008305EA" w:rsidRPr="00D33454" w:rsidRDefault="008305EA" w:rsidP="00D33454">
      <w:pPr>
        <w:spacing w:after="0"/>
        <w:jc w:val="left"/>
        <w:rPr>
          <w:rFonts w:cs="Arial"/>
          <w:b/>
          <w:bCs/>
        </w:rPr>
      </w:pPr>
      <w:r w:rsidRPr="00D33454">
        <w:rPr>
          <w:rFonts w:cs="Arial"/>
          <w:b/>
          <w:bCs/>
        </w:rPr>
        <w:t>Z</w:t>
      </w:r>
      <w:r w:rsidR="00D33454" w:rsidRPr="00D33454">
        <w:rPr>
          <w:rFonts w:cs="Arial"/>
          <w:b/>
          <w:bCs/>
        </w:rPr>
        <w:t>nanost in informacijska družba</w:t>
      </w:r>
    </w:p>
    <w:p w:rsidR="008305EA" w:rsidRPr="00D33454" w:rsidRDefault="008305EA" w:rsidP="00D33454">
      <w:pPr>
        <w:spacing w:after="0"/>
        <w:jc w:val="left"/>
        <w:rPr>
          <w:rFonts w:cs="Arial"/>
        </w:rPr>
      </w:pPr>
      <w:r w:rsidRPr="00D33454">
        <w:rPr>
          <w:rFonts w:cs="Arial"/>
        </w:rPr>
        <w:t>Iz državnega proračuna bomo za znanost namenili 493 milijonov evrov. Sredstva zajemajo vlaganja v raziskave in razvoj javnih raziskovalnih zavodov, znanstvene kadre in opremo, podporo tehnološko razvojnim podjetjem, spodbude v prenos znanj iz izobraževalnih ustanov v gospodarstvo ter digitalni transformaciji gospodarstva, družbe in države.</w:t>
      </w:r>
    </w:p>
    <w:p w:rsidR="008305EA" w:rsidRPr="00D33454" w:rsidRDefault="008305EA" w:rsidP="00D33454">
      <w:pPr>
        <w:spacing w:after="0"/>
        <w:jc w:val="left"/>
        <w:rPr>
          <w:rFonts w:cs="Arial"/>
        </w:rPr>
      </w:pPr>
    </w:p>
    <w:p w:rsidR="008305EA" w:rsidRPr="00D33454" w:rsidRDefault="008305EA" w:rsidP="00D33454">
      <w:pPr>
        <w:spacing w:after="0"/>
        <w:jc w:val="left"/>
        <w:rPr>
          <w:rFonts w:cs="Arial"/>
        </w:rPr>
      </w:pPr>
      <w:r w:rsidRPr="00D33454">
        <w:rPr>
          <w:rFonts w:cs="Arial"/>
        </w:rPr>
        <w:t>V državnem proračunu za leto 2021 načrtujemo 10.722 milijonov prihodkov in 13.469 milijonov odhodkov. Primanjkljaj v višini 2.747 milijonov se bo financiral z zadolževanjem. Skupno bomo za stroške obresti namenili 762 milijonov evrov.</w:t>
      </w:r>
    </w:p>
    <w:p w:rsidR="008305EA" w:rsidRPr="00D33454" w:rsidRDefault="008305EA" w:rsidP="00D33454">
      <w:pPr>
        <w:spacing w:after="0"/>
        <w:jc w:val="left"/>
        <w:rPr>
          <w:rFonts w:cs="Arial"/>
        </w:rPr>
      </w:pPr>
    </w:p>
    <w:p w:rsidR="008305EA" w:rsidRPr="00D33454" w:rsidRDefault="008305EA" w:rsidP="00D33454">
      <w:pPr>
        <w:spacing w:after="0"/>
        <w:jc w:val="left"/>
        <w:rPr>
          <w:rFonts w:cs="Arial"/>
          <w:b/>
          <w:bCs/>
        </w:rPr>
      </w:pPr>
      <w:r w:rsidRPr="00D33454">
        <w:rPr>
          <w:rFonts w:cs="Arial"/>
          <w:b/>
          <w:bCs/>
        </w:rPr>
        <w:t xml:space="preserve">Kako denar zberemo </w:t>
      </w:r>
      <w:r w:rsidR="00D33454" w:rsidRPr="00D33454">
        <w:rPr>
          <w:rFonts w:cs="Arial"/>
          <w:b/>
          <w:bCs/>
        </w:rPr>
        <w:t>–</w:t>
      </w:r>
      <w:r w:rsidRPr="00D33454">
        <w:rPr>
          <w:rFonts w:cs="Arial"/>
          <w:b/>
          <w:bCs/>
        </w:rPr>
        <w:t xml:space="preserve"> glavni</w:t>
      </w:r>
      <w:r w:rsidR="00D33454" w:rsidRPr="00D33454">
        <w:rPr>
          <w:rFonts w:cs="Arial"/>
          <w:b/>
          <w:bCs/>
        </w:rPr>
        <w:t xml:space="preserve"> </w:t>
      </w:r>
      <w:r w:rsidRPr="00D33454">
        <w:rPr>
          <w:rFonts w:cs="Arial"/>
          <w:b/>
          <w:bCs/>
        </w:rPr>
        <w:t>proračunski prihodki v milijonih evrov</w:t>
      </w:r>
    </w:p>
    <w:p w:rsidR="008305EA" w:rsidRPr="00D33454" w:rsidRDefault="00D33454" w:rsidP="00D33454">
      <w:pPr>
        <w:spacing w:after="0"/>
        <w:jc w:val="left"/>
        <w:rPr>
          <w:rFonts w:cs="Arial"/>
        </w:rPr>
      </w:pPr>
      <w:r w:rsidRPr="00D33454">
        <w:rPr>
          <w:rFonts w:cs="Arial"/>
        </w:rPr>
        <w:lastRenderedPageBreak/>
        <w:t>Davek na dodano vrednost</w:t>
      </w:r>
      <w:r w:rsidRPr="00D33454">
        <w:rPr>
          <w:rFonts w:cs="Arial"/>
        </w:rPr>
        <w:tab/>
      </w:r>
      <w:r w:rsidR="008305EA" w:rsidRPr="00D33454">
        <w:rPr>
          <w:rFonts w:cs="Arial"/>
        </w:rPr>
        <w:t>3.843</w:t>
      </w:r>
    </w:p>
    <w:p w:rsidR="008305EA" w:rsidRPr="00D33454" w:rsidRDefault="00D33454" w:rsidP="00D33454">
      <w:pPr>
        <w:spacing w:after="0"/>
        <w:jc w:val="left"/>
        <w:rPr>
          <w:rFonts w:cs="Arial"/>
        </w:rPr>
      </w:pPr>
      <w:r w:rsidRPr="00D33454">
        <w:rPr>
          <w:rFonts w:cs="Arial"/>
        </w:rPr>
        <w:t>Prejeta sredstva EU</w:t>
      </w:r>
      <w:r w:rsidRPr="00D33454">
        <w:rPr>
          <w:rFonts w:cs="Arial"/>
        </w:rPr>
        <w:tab/>
      </w:r>
      <w:r w:rsidR="008305EA" w:rsidRPr="00D33454">
        <w:rPr>
          <w:rFonts w:cs="Arial"/>
        </w:rPr>
        <w:t>1.631</w:t>
      </w:r>
    </w:p>
    <w:p w:rsidR="008305EA" w:rsidRPr="00D33454" w:rsidRDefault="008305EA" w:rsidP="00D33454">
      <w:pPr>
        <w:spacing w:after="0"/>
        <w:jc w:val="left"/>
        <w:rPr>
          <w:rFonts w:cs="Arial"/>
        </w:rPr>
      </w:pPr>
      <w:r w:rsidRPr="00D33454">
        <w:rPr>
          <w:rFonts w:cs="Arial"/>
        </w:rPr>
        <w:t>Trošarine</w:t>
      </w:r>
      <w:r w:rsidR="00D33454" w:rsidRPr="00D33454">
        <w:rPr>
          <w:rFonts w:cs="Arial"/>
        </w:rPr>
        <w:tab/>
      </w:r>
      <w:r w:rsidRPr="00D33454">
        <w:rPr>
          <w:rFonts w:cs="Arial"/>
        </w:rPr>
        <w:t>1.463</w:t>
      </w:r>
    </w:p>
    <w:p w:rsidR="008305EA" w:rsidRPr="00D33454" w:rsidRDefault="008305EA" w:rsidP="00D33454">
      <w:pPr>
        <w:spacing w:after="0"/>
        <w:jc w:val="left"/>
        <w:rPr>
          <w:rFonts w:cs="Arial"/>
        </w:rPr>
      </w:pPr>
      <w:r w:rsidRPr="00D33454">
        <w:rPr>
          <w:rFonts w:cs="Arial"/>
        </w:rPr>
        <w:t>Dohodnin</w:t>
      </w:r>
      <w:r w:rsidR="00D33454" w:rsidRPr="00D33454">
        <w:rPr>
          <w:rFonts w:cs="Arial"/>
        </w:rPr>
        <w:t>a</w:t>
      </w:r>
      <w:r w:rsidR="00D33454" w:rsidRPr="00D33454">
        <w:rPr>
          <w:rFonts w:cs="Arial"/>
        </w:rPr>
        <w:tab/>
      </w:r>
      <w:r w:rsidRPr="00D33454">
        <w:rPr>
          <w:rFonts w:cs="Arial"/>
        </w:rPr>
        <w:t>1.288</w:t>
      </w:r>
    </w:p>
    <w:p w:rsidR="008305EA" w:rsidRPr="00D33454" w:rsidRDefault="00D33454" w:rsidP="00D33454">
      <w:pPr>
        <w:spacing w:after="0"/>
        <w:jc w:val="left"/>
        <w:rPr>
          <w:rFonts w:cs="Arial"/>
        </w:rPr>
      </w:pPr>
      <w:r w:rsidRPr="00D33454">
        <w:rPr>
          <w:rFonts w:cs="Arial"/>
        </w:rPr>
        <w:t>Drugi prihodki</w:t>
      </w:r>
      <w:r w:rsidRPr="00D33454">
        <w:rPr>
          <w:rFonts w:cs="Arial"/>
        </w:rPr>
        <w:tab/>
      </w:r>
      <w:r w:rsidR="008305EA" w:rsidRPr="00D33454">
        <w:rPr>
          <w:rFonts w:cs="Arial"/>
        </w:rPr>
        <w:t>972</w:t>
      </w:r>
    </w:p>
    <w:p w:rsidR="008305EA" w:rsidRPr="00D33454" w:rsidRDefault="00D33454" w:rsidP="00D33454">
      <w:pPr>
        <w:spacing w:after="0"/>
        <w:jc w:val="left"/>
        <w:rPr>
          <w:rFonts w:cs="Arial"/>
        </w:rPr>
      </w:pPr>
      <w:r w:rsidRPr="00D33454">
        <w:rPr>
          <w:rFonts w:cs="Arial"/>
        </w:rPr>
        <w:t>Davek od dohodkov pravnih oseb</w:t>
      </w:r>
      <w:r w:rsidRPr="00D33454">
        <w:rPr>
          <w:rFonts w:cs="Arial"/>
        </w:rPr>
        <w:tab/>
      </w:r>
      <w:r w:rsidR="008305EA" w:rsidRPr="00D33454">
        <w:rPr>
          <w:rFonts w:cs="Arial"/>
        </w:rPr>
        <w:t>957</w:t>
      </w:r>
    </w:p>
    <w:p w:rsidR="008305EA" w:rsidRPr="00D33454" w:rsidRDefault="00D33454" w:rsidP="00D33454">
      <w:pPr>
        <w:spacing w:after="0"/>
        <w:jc w:val="left"/>
        <w:rPr>
          <w:rFonts w:cs="Arial"/>
        </w:rPr>
      </w:pPr>
      <w:r w:rsidRPr="00D33454">
        <w:rPr>
          <w:rFonts w:cs="Arial"/>
        </w:rPr>
        <w:t>Nedavčni prihodki</w:t>
      </w:r>
      <w:r w:rsidRPr="00D33454">
        <w:rPr>
          <w:rFonts w:cs="Arial"/>
        </w:rPr>
        <w:tab/>
      </w:r>
      <w:r w:rsidR="008305EA" w:rsidRPr="00D33454">
        <w:rPr>
          <w:rFonts w:cs="Arial"/>
        </w:rPr>
        <w:t>568</w:t>
      </w:r>
    </w:p>
    <w:p w:rsidR="008305EA" w:rsidRPr="00D33454" w:rsidRDefault="008305EA" w:rsidP="00D33454">
      <w:pPr>
        <w:spacing w:after="0"/>
        <w:jc w:val="left"/>
        <w:rPr>
          <w:rFonts w:cs="Arial"/>
        </w:rPr>
      </w:pPr>
    </w:p>
    <w:p w:rsidR="00D33454" w:rsidRPr="00D33454" w:rsidRDefault="00D33454" w:rsidP="00D33454">
      <w:pPr>
        <w:spacing w:after="0"/>
        <w:jc w:val="left"/>
        <w:rPr>
          <w:rFonts w:cs="Arial"/>
        </w:rPr>
      </w:pPr>
      <w:r w:rsidRPr="00D33454">
        <w:rPr>
          <w:rFonts w:cs="Arial"/>
          <w:bCs/>
        </w:rPr>
        <w:t>Prihodki skupaj znašajo</w:t>
      </w:r>
      <w:r w:rsidRPr="00D33454">
        <w:rPr>
          <w:rFonts w:cs="Arial"/>
          <w:bCs/>
        </w:rPr>
        <w:tab/>
        <w:t>10.722</w:t>
      </w:r>
      <w:r w:rsidRPr="00D33454">
        <w:rPr>
          <w:rFonts w:cs="Arial"/>
          <w:bCs/>
        </w:rPr>
        <w:tab/>
      </w:r>
    </w:p>
    <w:p w:rsidR="00D33454" w:rsidRPr="00D33454" w:rsidRDefault="00D33454" w:rsidP="00D33454">
      <w:pPr>
        <w:spacing w:after="0"/>
        <w:jc w:val="left"/>
        <w:rPr>
          <w:rFonts w:cs="Arial"/>
        </w:rPr>
      </w:pPr>
    </w:p>
    <w:p w:rsidR="008305EA" w:rsidRPr="00D33454" w:rsidRDefault="008305EA" w:rsidP="00D33454">
      <w:pPr>
        <w:spacing w:after="0"/>
        <w:jc w:val="left"/>
        <w:rPr>
          <w:rFonts w:cs="Arial"/>
        </w:rPr>
      </w:pPr>
      <w:r w:rsidRPr="00D33454">
        <w:rPr>
          <w:rFonts w:cs="Arial"/>
        </w:rPr>
        <w:t xml:space="preserve">Podrobnejše informacije glede porabe proračunskih sredstev lahko spremljate v interaktivnem grafičnem prikazu ključnih podatkov državnega proračuna na spletni strani </w:t>
      </w:r>
      <w:hyperlink r:id="rId5" w:tooltip="Interaktivna spletna stran s podrobnimi podatki o državnem proračunu" w:history="1">
        <w:r w:rsidRPr="00D33454">
          <w:rPr>
            <w:rStyle w:val="Hyperlink"/>
            <w:rFonts w:cs="Arial"/>
            <w:color w:val="auto"/>
          </w:rPr>
          <w:t>https://proracun.gov.si</w:t>
        </w:r>
      </w:hyperlink>
      <w:r w:rsidRPr="00D33454">
        <w:rPr>
          <w:rFonts w:cs="Arial"/>
        </w:rPr>
        <w:t xml:space="preserve">. Objava proračuna in kontakti: </w:t>
      </w:r>
      <w:hyperlink r:id="rId6" w:tooltip="Spletna stran o sprejetem proračunu" w:history="1">
        <w:r w:rsidRPr="00D33454">
          <w:rPr>
            <w:rStyle w:val="Hyperlink"/>
            <w:rFonts w:cs="Arial"/>
            <w:color w:val="auto"/>
          </w:rPr>
          <w:t>https://www.gov.si/teme/sprejeti-proracun/</w:t>
        </w:r>
      </w:hyperlink>
      <w:r w:rsidRPr="00D33454">
        <w:rPr>
          <w:rFonts w:cs="Arial"/>
        </w:rPr>
        <w:t xml:space="preserve">. </w:t>
      </w:r>
    </w:p>
    <w:p w:rsidR="008305EA" w:rsidRPr="00D33454" w:rsidRDefault="008305EA" w:rsidP="00D33454">
      <w:pPr>
        <w:spacing w:after="0"/>
        <w:jc w:val="left"/>
        <w:rPr>
          <w:rFonts w:cs="Arial"/>
        </w:rPr>
      </w:pPr>
    </w:p>
    <w:p w:rsidR="008305EA" w:rsidRPr="00D33454" w:rsidRDefault="008305EA" w:rsidP="00D33454">
      <w:pPr>
        <w:spacing w:after="0"/>
        <w:jc w:val="left"/>
        <w:rPr>
          <w:rFonts w:cs="Arial"/>
          <w:b/>
          <w:bCs/>
        </w:rPr>
      </w:pPr>
      <w:r w:rsidRPr="00D33454">
        <w:rPr>
          <w:rFonts w:cs="Arial"/>
          <w:b/>
          <w:bCs/>
        </w:rPr>
        <w:t>S</w:t>
      </w:r>
      <w:r w:rsidR="00D33454" w:rsidRPr="00D33454">
        <w:rPr>
          <w:rFonts w:cs="Arial"/>
          <w:b/>
          <w:bCs/>
        </w:rPr>
        <w:t>plošna priporočila</w:t>
      </w:r>
    </w:p>
    <w:p w:rsidR="008305EA" w:rsidRPr="00D33454" w:rsidRDefault="008305EA" w:rsidP="00D33454">
      <w:pPr>
        <w:spacing w:after="0"/>
        <w:jc w:val="left"/>
        <w:rPr>
          <w:rFonts w:cs="Arial"/>
        </w:rPr>
      </w:pPr>
      <w:r w:rsidRPr="00D33454">
        <w:rPr>
          <w:rFonts w:cs="Arial"/>
        </w:rPr>
        <w:t>Razkužite si roke</w:t>
      </w:r>
    </w:p>
    <w:p w:rsidR="008305EA" w:rsidRPr="00D33454" w:rsidRDefault="008305EA" w:rsidP="00D33454">
      <w:pPr>
        <w:spacing w:after="0"/>
        <w:jc w:val="left"/>
        <w:rPr>
          <w:rFonts w:cs="Arial"/>
        </w:rPr>
      </w:pPr>
      <w:r w:rsidRPr="00D33454">
        <w:rPr>
          <w:rFonts w:cs="Arial"/>
        </w:rPr>
        <w:t>Uporabite masko</w:t>
      </w:r>
    </w:p>
    <w:p w:rsidR="008305EA" w:rsidRPr="00D33454" w:rsidRDefault="008305EA" w:rsidP="00D33454">
      <w:pPr>
        <w:spacing w:after="0"/>
        <w:jc w:val="left"/>
        <w:rPr>
          <w:rFonts w:cs="Arial"/>
        </w:rPr>
      </w:pPr>
      <w:r w:rsidRPr="00D33454">
        <w:rPr>
          <w:rFonts w:cs="Arial"/>
        </w:rPr>
        <w:t>Vzdržujte varnostno razdaljo</w:t>
      </w:r>
    </w:p>
    <w:p w:rsidR="008305EA" w:rsidRPr="008305EA" w:rsidRDefault="008305EA" w:rsidP="00307E45">
      <w:pPr>
        <w:autoSpaceDE w:val="0"/>
        <w:autoSpaceDN w:val="0"/>
        <w:adjustRightInd w:val="0"/>
        <w:spacing w:after="0"/>
        <w:jc w:val="left"/>
        <w:rPr>
          <w:rFonts w:cs="Arial"/>
          <w:b/>
          <w:color w:val="1A1A1A"/>
        </w:rPr>
      </w:pPr>
    </w:p>
    <w:sectPr w:rsidR="008305EA" w:rsidRPr="00830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3D"/>
    <w:rsid w:val="0005789D"/>
    <w:rsid w:val="00307E45"/>
    <w:rsid w:val="004C1694"/>
    <w:rsid w:val="007611C5"/>
    <w:rsid w:val="00782D26"/>
    <w:rsid w:val="008305EA"/>
    <w:rsid w:val="0087255A"/>
    <w:rsid w:val="00A7423D"/>
    <w:rsid w:val="00C136B3"/>
    <w:rsid w:val="00C90C95"/>
    <w:rsid w:val="00D33454"/>
    <w:rsid w:val="00D34130"/>
    <w:rsid w:val="00E11983"/>
    <w:rsid w:val="00F85E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94"/>
    <w:pPr>
      <w:spacing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94"/>
    <w:pPr>
      <w:spacing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si/teme/sprejeti-proracun/" TargetMode="External"/><Relationship Id="rId5" Type="http://schemas.openxmlformats.org/officeDocument/2006/relationships/hyperlink" Target="https://proracun.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Franja Zagorc</dc:creator>
  <cp:lastModifiedBy>VD</cp:lastModifiedBy>
  <cp:revision>2</cp:revision>
  <dcterms:created xsi:type="dcterms:W3CDTF">2020-12-02T06:39:00Z</dcterms:created>
  <dcterms:modified xsi:type="dcterms:W3CDTF">2020-12-02T06:39:00Z</dcterms:modified>
</cp:coreProperties>
</file>