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DF" w:rsidRPr="00F85BDF" w:rsidRDefault="00F85BDF" w:rsidP="00F33145">
      <w:pPr>
        <w:spacing w:after="0" w:line="240" w:lineRule="atLeast"/>
        <w:jc w:val="left"/>
        <w:rPr>
          <w:rFonts w:cs="Arial"/>
          <w:b/>
          <w:sz w:val="20"/>
          <w:szCs w:val="20"/>
        </w:rPr>
      </w:pPr>
      <w:r w:rsidRPr="00F85BDF">
        <w:rPr>
          <w:rFonts w:cs="Arial"/>
          <w:b/>
          <w:sz w:val="20"/>
          <w:szCs w:val="20"/>
        </w:rPr>
        <w:t>Državni proračun</w:t>
      </w:r>
      <w:r w:rsidR="009A0319">
        <w:rPr>
          <w:rFonts w:cs="Arial"/>
          <w:b/>
          <w:sz w:val="20"/>
          <w:szCs w:val="20"/>
        </w:rPr>
        <w:t xml:space="preserve"> </w:t>
      </w:r>
      <w:r w:rsidRPr="00F85BDF">
        <w:rPr>
          <w:rFonts w:cs="Arial"/>
          <w:b/>
          <w:sz w:val="20"/>
          <w:szCs w:val="20"/>
        </w:rPr>
        <w:t>2020</w:t>
      </w:r>
    </w:p>
    <w:p w:rsidR="00F85BDF" w:rsidRPr="00F85BDF" w:rsidRDefault="00F85BDF" w:rsidP="00F33145">
      <w:pPr>
        <w:spacing w:after="0" w:line="240" w:lineRule="atLeast"/>
        <w:jc w:val="left"/>
        <w:rPr>
          <w:rFonts w:cs="Arial"/>
          <w:sz w:val="20"/>
          <w:szCs w:val="20"/>
        </w:rPr>
      </w:pPr>
      <w:r w:rsidRPr="00F85BDF">
        <w:rPr>
          <w:rFonts w:cs="Arial"/>
          <w:sz w:val="20"/>
          <w:szCs w:val="20"/>
        </w:rPr>
        <w:t>Kako polnimo proračun in za kaj namenjamo vaš denar</w:t>
      </w:r>
    </w:p>
    <w:p w:rsidR="00F85BDF" w:rsidRDefault="00F85BDF" w:rsidP="00F33145">
      <w:pPr>
        <w:spacing w:after="0" w:line="240" w:lineRule="atLeast"/>
        <w:jc w:val="left"/>
        <w:rPr>
          <w:rFonts w:cs="Arial"/>
          <w:sz w:val="20"/>
          <w:szCs w:val="20"/>
        </w:rPr>
      </w:pPr>
    </w:p>
    <w:p w:rsidR="00BE3195" w:rsidRPr="00F85BDF" w:rsidRDefault="00F85BDF" w:rsidP="00F33145">
      <w:pPr>
        <w:spacing w:after="0" w:line="240" w:lineRule="atLeast"/>
        <w:jc w:val="left"/>
        <w:rPr>
          <w:rFonts w:cs="Arial"/>
          <w:sz w:val="20"/>
          <w:szCs w:val="20"/>
        </w:rPr>
      </w:pPr>
      <w:r w:rsidRPr="00F85BDF">
        <w:rPr>
          <w:rFonts w:cs="Arial"/>
          <w:sz w:val="20"/>
          <w:szCs w:val="20"/>
        </w:rPr>
        <w:t>Z več kot 10 milijardami evrov zasledujemo prioritete na področju razvoja, socialne države in varnosti, hkrati pa skrbimo za dolgoročno vzdržnost javnih financ.</w:t>
      </w:r>
    </w:p>
    <w:p w:rsidR="00F85BDF" w:rsidRPr="00F85BDF" w:rsidRDefault="00F85BDF" w:rsidP="00F33145">
      <w:pPr>
        <w:spacing w:after="0" w:line="240" w:lineRule="atLeast"/>
        <w:jc w:val="left"/>
        <w:rPr>
          <w:rFonts w:cs="Arial"/>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Prihodki, odhodki in presežek</w:t>
      </w:r>
    </w:p>
    <w:p w:rsidR="00F33145" w:rsidRDefault="00F85BDF" w:rsidP="00F33145">
      <w:pPr>
        <w:spacing w:after="0" w:line="240" w:lineRule="atLeast"/>
        <w:jc w:val="left"/>
        <w:rPr>
          <w:rFonts w:cs="Arial"/>
          <w:i/>
          <w:sz w:val="20"/>
          <w:szCs w:val="20"/>
        </w:rPr>
      </w:pPr>
      <w:r w:rsidRPr="00F85BDF">
        <w:rPr>
          <w:rFonts w:cs="Arial"/>
          <w:i/>
          <w:sz w:val="20"/>
          <w:szCs w:val="20"/>
        </w:rPr>
        <w:t>v milijonih evrov</w:t>
      </w:r>
    </w:p>
    <w:p w:rsidR="00F33145" w:rsidRDefault="00F85BDF" w:rsidP="00F33145">
      <w:pPr>
        <w:spacing w:after="0" w:line="240" w:lineRule="atLeast"/>
        <w:jc w:val="left"/>
        <w:rPr>
          <w:rFonts w:cs="Arial"/>
          <w:b/>
          <w:sz w:val="20"/>
          <w:szCs w:val="20"/>
        </w:rPr>
      </w:pPr>
      <w:r w:rsidRPr="00F85BDF">
        <w:rPr>
          <w:rFonts w:cs="Arial"/>
          <w:sz w:val="20"/>
          <w:szCs w:val="20"/>
        </w:rPr>
        <w:t xml:space="preserve">Prihodki: </w:t>
      </w:r>
      <w:r w:rsidRPr="00F85BDF">
        <w:rPr>
          <w:rFonts w:cs="Arial"/>
          <w:b/>
          <w:sz w:val="20"/>
          <w:szCs w:val="20"/>
        </w:rPr>
        <w:t>10.773</w:t>
      </w:r>
    </w:p>
    <w:p w:rsidR="00F33145" w:rsidRDefault="00F85BDF" w:rsidP="00F33145">
      <w:pPr>
        <w:spacing w:after="0" w:line="240" w:lineRule="atLeast"/>
        <w:jc w:val="left"/>
        <w:rPr>
          <w:rFonts w:cs="Arial"/>
          <w:b/>
          <w:sz w:val="20"/>
          <w:szCs w:val="20"/>
        </w:rPr>
      </w:pPr>
      <w:r w:rsidRPr="00F85BDF">
        <w:rPr>
          <w:rFonts w:cs="Arial"/>
          <w:sz w:val="20"/>
          <w:szCs w:val="20"/>
        </w:rPr>
        <w:t xml:space="preserve">Odhodki: </w:t>
      </w:r>
      <w:r w:rsidRPr="00F85BDF">
        <w:rPr>
          <w:rFonts w:cs="Arial"/>
          <w:b/>
          <w:sz w:val="20"/>
          <w:szCs w:val="20"/>
        </w:rPr>
        <w:t>10.358</w:t>
      </w:r>
    </w:p>
    <w:p w:rsidR="00F85BDF" w:rsidRPr="009A0319" w:rsidRDefault="009A0319" w:rsidP="00F33145">
      <w:pPr>
        <w:spacing w:after="0" w:line="240" w:lineRule="atLeast"/>
        <w:jc w:val="left"/>
        <w:rPr>
          <w:rFonts w:cs="Arial"/>
          <w:sz w:val="20"/>
          <w:szCs w:val="20"/>
        </w:rPr>
      </w:pPr>
      <w:r w:rsidRPr="009A0319">
        <w:rPr>
          <w:rFonts w:cs="Arial"/>
          <w:sz w:val="20"/>
          <w:szCs w:val="20"/>
        </w:rPr>
        <w:t xml:space="preserve">Proračunski presežek: </w:t>
      </w:r>
      <w:r w:rsidRPr="009A0319">
        <w:rPr>
          <w:rFonts w:cs="Arial"/>
          <w:b/>
          <w:sz w:val="20"/>
          <w:szCs w:val="20"/>
        </w:rPr>
        <w:t>415 milijonov; 0,8 % BDP</w:t>
      </w:r>
    </w:p>
    <w:p w:rsidR="009A0319" w:rsidRPr="00F85BDF" w:rsidRDefault="009A0319" w:rsidP="00F33145">
      <w:pPr>
        <w:spacing w:after="0" w:line="240" w:lineRule="atLeast"/>
        <w:jc w:val="left"/>
        <w:rPr>
          <w:rFonts w:cs="Arial"/>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Znanost</w:t>
      </w:r>
    </w:p>
    <w:p w:rsidR="00F85BDF" w:rsidRPr="00F85BDF" w:rsidRDefault="00F85BDF" w:rsidP="00F33145">
      <w:pPr>
        <w:spacing w:after="0" w:line="240" w:lineRule="atLeast"/>
        <w:jc w:val="left"/>
        <w:rPr>
          <w:rFonts w:cs="Arial"/>
          <w:sz w:val="20"/>
          <w:szCs w:val="20"/>
        </w:rPr>
      </w:pPr>
      <w:r w:rsidRPr="00F85BDF">
        <w:rPr>
          <w:rFonts w:cs="Arial"/>
          <w:sz w:val="20"/>
          <w:szCs w:val="20"/>
        </w:rPr>
        <w:t>Za znanost namenjamo 393 milijonov evrov, kar je bistveno več kot pretekla leta. Denar usmerjamo predvsem v javne raziskovalne zavode, v usposabljanje in razvoj znanstvenih kadrov ter v raziskovalno opremo.</w:t>
      </w:r>
    </w:p>
    <w:p w:rsidR="00F85BDF" w:rsidRPr="00F85BDF" w:rsidRDefault="00F85BDF" w:rsidP="00F33145">
      <w:pPr>
        <w:spacing w:after="0" w:line="240" w:lineRule="atLeast"/>
        <w:jc w:val="left"/>
        <w:rPr>
          <w:rFonts w:cs="Arial"/>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Podjetništvo</w:t>
      </w:r>
    </w:p>
    <w:p w:rsidR="00F85BDF" w:rsidRPr="00F85BDF" w:rsidRDefault="00F85BDF" w:rsidP="00F33145">
      <w:pPr>
        <w:spacing w:after="0" w:line="240" w:lineRule="atLeast"/>
        <w:jc w:val="left"/>
        <w:rPr>
          <w:rFonts w:cs="Arial"/>
          <w:sz w:val="20"/>
          <w:szCs w:val="20"/>
        </w:rPr>
      </w:pPr>
      <w:r w:rsidRPr="00F85BDF">
        <w:rPr>
          <w:rFonts w:cs="Arial"/>
          <w:sz w:val="20"/>
          <w:szCs w:val="20"/>
        </w:rPr>
        <w:t>Spodbujanju konkurenčnosti in podjetništva, vstopanju podjetij na tuje trge, pospeševanju tehnološkega razvoja, spodbujanju investicij in razvoju turizma namenjamo 193 milijonov evrov. S tem želimo povečati dodano vrednost ter izboljšati učinkovitost podjetij.</w:t>
      </w:r>
    </w:p>
    <w:p w:rsidR="00F85BDF" w:rsidRPr="00F85BDF" w:rsidRDefault="00F85BDF" w:rsidP="00F33145">
      <w:pPr>
        <w:spacing w:after="0" w:line="240" w:lineRule="atLeast"/>
        <w:jc w:val="left"/>
        <w:rPr>
          <w:rFonts w:cs="Arial"/>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Socialna varnost</w:t>
      </w:r>
    </w:p>
    <w:p w:rsidR="00F85BDF" w:rsidRPr="00F85BDF" w:rsidRDefault="00F85BDF" w:rsidP="00F33145">
      <w:pPr>
        <w:spacing w:after="0" w:line="240" w:lineRule="atLeast"/>
        <w:jc w:val="left"/>
        <w:rPr>
          <w:rFonts w:cs="Arial"/>
          <w:sz w:val="20"/>
          <w:szCs w:val="20"/>
        </w:rPr>
      </w:pPr>
      <w:r w:rsidRPr="00F85BDF">
        <w:rPr>
          <w:rFonts w:cs="Arial"/>
          <w:sz w:val="20"/>
          <w:szCs w:val="20"/>
        </w:rPr>
        <w:t>Za socialno varnost namenjamo 1,2 milijarde evrov. Sredstva  namenjamo za otroške dodatke, starševska nadomestila, denarno socialno pomoč,  nadomestila nezaposlenim, štipendije, subvencioniranje študentske prehrane in  drugo.</w:t>
      </w:r>
    </w:p>
    <w:p w:rsidR="00F85BDF" w:rsidRPr="00F85BDF" w:rsidRDefault="00F85BDF" w:rsidP="00F33145">
      <w:pPr>
        <w:spacing w:after="0" w:line="240" w:lineRule="atLeast"/>
        <w:jc w:val="left"/>
        <w:rPr>
          <w:rFonts w:cs="Arial"/>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Zdravje</w:t>
      </w:r>
    </w:p>
    <w:p w:rsidR="00F85BDF" w:rsidRPr="00F85BDF" w:rsidRDefault="00F85BDF" w:rsidP="00F33145">
      <w:pPr>
        <w:spacing w:after="0" w:line="240" w:lineRule="atLeast"/>
        <w:jc w:val="left"/>
        <w:rPr>
          <w:rFonts w:cs="Arial"/>
          <w:b/>
          <w:sz w:val="20"/>
          <w:szCs w:val="20"/>
        </w:rPr>
      </w:pPr>
      <w:r w:rsidRPr="00F85BDF">
        <w:rPr>
          <w:rFonts w:cs="Arial"/>
          <w:sz w:val="20"/>
          <w:szCs w:val="20"/>
        </w:rPr>
        <w:t>V razvoj kakovostnega in dostopnega zdravstva, preventivo in izboljšanje zdravstvene oskrbe ter uspešnejše delovanje sistema zdravstvenega varstva iz državnega proračuna usmerjamo 198 milijonov evrov. Dodatno pa zdravstvena blagajna za ta namen načrtuje 3,3 milijarde evrov.</w:t>
      </w:r>
    </w:p>
    <w:p w:rsidR="00F85BDF" w:rsidRPr="00F85BDF" w:rsidRDefault="00F85BDF" w:rsidP="00F33145">
      <w:pPr>
        <w:spacing w:after="0" w:line="240" w:lineRule="atLeast"/>
        <w:jc w:val="left"/>
        <w:rPr>
          <w:rFonts w:cs="Arial"/>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Kako denar zberemo – glavni proračunski prihodki</w:t>
      </w:r>
    </w:p>
    <w:p w:rsidR="00F33145" w:rsidRDefault="00F85BDF" w:rsidP="00F33145">
      <w:pPr>
        <w:spacing w:after="0" w:line="240" w:lineRule="atLeast"/>
        <w:jc w:val="left"/>
        <w:rPr>
          <w:rFonts w:cs="Arial"/>
          <w:i/>
          <w:sz w:val="20"/>
          <w:szCs w:val="20"/>
        </w:rPr>
      </w:pPr>
      <w:r w:rsidRPr="00F85BDF">
        <w:rPr>
          <w:rFonts w:cs="Arial"/>
          <w:i/>
          <w:sz w:val="20"/>
          <w:szCs w:val="20"/>
        </w:rPr>
        <w:t>v milijonih evrov</w:t>
      </w:r>
    </w:p>
    <w:p w:rsidR="00F85BDF" w:rsidRPr="00F85BDF" w:rsidRDefault="00F85BDF" w:rsidP="00F33145">
      <w:pPr>
        <w:spacing w:after="0" w:line="240" w:lineRule="atLeast"/>
        <w:jc w:val="left"/>
        <w:rPr>
          <w:rFonts w:cs="Arial"/>
          <w:b/>
          <w:sz w:val="20"/>
          <w:szCs w:val="20"/>
        </w:rPr>
      </w:pPr>
      <w:r w:rsidRPr="00F85BDF">
        <w:rPr>
          <w:rFonts w:cs="Arial"/>
          <w:sz w:val="20"/>
          <w:szCs w:val="20"/>
        </w:rPr>
        <w:t>Davek na dodano vrednost</w:t>
      </w:r>
      <w:r w:rsidR="00F33145">
        <w:rPr>
          <w:rFonts w:cs="Arial"/>
          <w:sz w:val="20"/>
          <w:szCs w:val="20"/>
        </w:rPr>
        <w:t xml:space="preserve"> </w:t>
      </w:r>
      <w:r w:rsidRPr="00F85BDF">
        <w:rPr>
          <w:rFonts w:cs="Arial"/>
          <w:b/>
          <w:sz w:val="20"/>
          <w:szCs w:val="20"/>
        </w:rPr>
        <w:t>4.189</w:t>
      </w:r>
    </w:p>
    <w:p w:rsidR="00F85BDF" w:rsidRPr="00F85BDF" w:rsidRDefault="00F85BDF" w:rsidP="00F33145">
      <w:pPr>
        <w:spacing w:after="0" w:line="240" w:lineRule="atLeast"/>
        <w:jc w:val="left"/>
        <w:rPr>
          <w:rFonts w:cs="Arial"/>
          <w:b/>
          <w:sz w:val="20"/>
          <w:szCs w:val="20"/>
        </w:rPr>
      </w:pPr>
      <w:r w:rsidRPr="00F85BDF">
        <w:rPr>
          <w:rFonts w:cs="Arial"/>
          <w:sz w:val="20"/>
          <w:szCs w:val="20"/>
        </w:rPr>
        <w:t>Trošarine</w:t>
      </w:r>
      <w:r w:rsidR="00F33145">
        <w:rPr>
          <w:rFonts w:cs="Arial"/>
          <w:sz w:val="20"/>
          <w:szCs w:val="20"/>
        </w:rPr>
        <w:t xml:space="preserve"> </w:t>
      </w:r>
      <w:r w:rsidRPr="00F85BDF">
        <w:rPr>
          <w:rFonts w:cs="Arial"/>
          <w:b/>
          <w:sz w:val="20"/>
          <w:szCs w:val="20"/>
        </w:rPr>
        <w:t>1.530</w:t>
      </w:r>
    </w:p>
    <w:p w:rsidR="00F33145" w:rsidRDefault="00F85BDF" w:rsidP="00F33145">
      <w:pPr>
        <w:spacing w:after="0" w:line="240" w:lineRule="atLeast"/>
        <w:jc w:val="left"/>
        <w:rPr>
          <w:rFonts w:cs="Arial"/>
          <w:b/>
          <w:sz w:val="20"/>
          <w:szCs w:val="20"/>
        </w:rPr>
      </w:pPr>
      <w:r w:rsidRPr="00F85BDF">
        <w:rPr>
          <w:rFonts w:cs="Arial"/>
          <w:sz w:val="20"/>
          <w:szCs w:val="20"/>
        </w:rPr>
        <w:t>Dohodnina</w:t>
      </w:r>
      <w:r w:rsidR="00F33145">
        <w:rPr>
          <w:rFonts w:cs="Arial"/>
          <w:sz w:val="20"/>
          <w:szCs w:val="20"/>
        </w:rPr>
        <w:t xml:space="preserve"> </w:t>
      </w:r>
      <w:r w:rsidRPr="00F85BDF">
        <w:rPr>
          <w:rFonts w:cs="Arial"/>
          <w:b/>
          <w:sz w:val="20"/>
          <w:szCs w:val="20"/>
        </w:rPr>
        <w:t>1.360</w:t>
      </w:r>
    </w:p>
    <w:p w:rsidR="00F85BDF" w:rsidRPr="00F85BDF" w:rsidRDefault="00F85BDF" w:rsidP="00F33145">
      <w:pPr>
        <w:spacing w:after="0" w:line="240" w:lineRule="atLeast"/>
        <w:jc w:val="left"/>
        <w:rPr>
          <w:rFonts w:cs="Arial"/>
          <w:sz w:val="20"/>
          <w:szCs w:val="20"/>
        </w:rPr>
      </w:pPr>
      <w:r w:rsidRPr="00F85BDF">
        <w:rPr>
          <w:rFonts w:cs="Arial"/>
          <w:sz w:val="20"/>
          <w:szCs w:val="20"/>
        </w:rPr>
        <w:t>Davek od dohodkov pravnih oseb</w:t>
      </w:r>
      <w:r w:rsidR="00F33145">
        <w:rPr>
          <w:rFonts w:cs="Arial"/>
          <w:sz w:val="20"/>
          <w:szCs w:val="20"/>
        </w:rPr>
        <w:t xml:space="preserve"> </w:t>
      </w:r>
      <w:r w:rsidRPr="00F85BDF">
        <w:rPr>
          <w:rFonts w:cs="Arial"/>
          <w:b/>
          <w:sz w:val="20"/>
          <w:szCs w:val="20"/>
        </w:rPr>
        <w:t>1.111</w:t>
      </w:r>
    </w:p>
    <w:p w:rsidR="00F85BDF" w:rsidRPr="00F85BDF" w:rsidRDefault="00F85BDF" w:rsidP="00F33145">
      <w:pPr>
        <w:spacing w:after="0" w:line="240" w:lineRule="atLeast"/>
        <w:jc w:val="left"/>
        <w:rPr>
          <w:rFonts w:cs="Arial"/>
          <w:b/>
          <w:sz w:val="20"/>
          <w:szCs w:val="20"/>
        </w:rPr>
      </w:pPr>
      <w:r w:rsidRPr="00F85BDF">
        <w:rPr>
          <w:rFonts w:cs="Arial"/>
          <w:sz w:val="20"/>
          <w:szCs w:val="20"/>
        </w:rPr>
        <w:t>Prejeta sredstva iz Evropske unije</w:t>
      </w:r>
      <w:r w:rsidRPr="00F85BDF">
        <w:rPr>
          <w:rFonts w:cs="Arial"/>
          <w:b/>
          <w:sz w:val="20"/>
          <w:szCs w:val="20"/>
        </w:rPr>
        <w:t xml:space="preserve"> 1.071</w:t>
      </w:r>
    </w:p>
    <w:p w:rsidR="00F85BDF" w:rsidRPr="00F85BDF" w:rsidRDefault="00F85BDF" w:rsidP="00F33145">
      <w:pPr>
        <w:spacing w:after="0" w:line="240" w:lineRule="atLeast"/>
        <w:jc w:val="left"/>
        <w:rPr>
          <w:rFonts w:cs="Arial"/>
          <w:b/>
          <w:sz w:val="20"/>
          <w:szCs w:val="20"/>
        </w:rPr>
      </w:pPr>
      <w:r w:rsidRPr="00F85BDF">
        <w:rPr>
          <w:rFonts w:cs="Arial"/>
          <w:sz w:val="20"/>
          <w:szCs w:val="20"/>
        </w:rPr>
        <w:t>Drugi davki in prihodki</w:t>
      </w:r>
      <w:r w:rsidR="00F33145">
        <w:rPr>
          <w:rFonts w:cs="Arial"/>
          <w:sz w:val="20"/>
          <w:szCs w:val="20"/>
        </w:rPr>
        <w:t xml:space="preserve"> </w:t>
      </w:r>
      <w:r w:rsidRPr="00F85BDF">
        <w:rPr>
          <w:rFonts w:cs="Arial"/>
          <w:b/>
          <w:sz w:val="20"/>
          <w:szCs w:val="20"/>
        </w:rPr>
        <w:t>980</w:t>
      </w:r>
    </w:p>
    <w:p w:rsidR="00F85BDF" w:rsidRPr="00F85BDF" w:rsidRDefault="00F85BDF" w:rsidP="00F33145">
      <w:pPr>
        <w:spacing w:after="0" w:line="240" w:lineRule="atLeast"/>
        <w:jc w:val="left"/>
        <w:rPr>
          <w:rFonts w:cs="Arial"/>
          <w:b/>
          <w:sz w:val="20"/>
          <w:szCs w:val="20"/>
        </w:rPr>
      </w:pPr>
      <w:r w:rsidRPr="00F85BDF">
        <w:rPr>
          <w:rFonts w:cs="Arial"/>
          <w:sz w:val="20"/>
          <w:szCs w:val="20"/>
        </w:rPr>
        <w:t>Nedavčni prihodki (dividende, takse, globe)</w:t>
      </w:r>
      <w:r w:rsidR="00F33145">
        <w:rPr>
          <w:rFonts w:cs="Arial"/>
          <w:sz w:val="20"/>
          <w:szCs w:val="20"/>
        </w:rPr>
        <w:t xml:space="preserve"> </w:t>
      </w:r>
      <w:r w:rsidRPr="00F85BDF">
        <w:rPr>
          <w:rFonts w:cs="Arial"/>
          <w:b/>
          <w:sz w:val="20"/>
          <w:szCs w:val="20"/>
        </w:rPr>
        <w:t>532</w:t>
      </w:r>
    </w:p>
    <w:p w:rsidR="00F85BDF" w:rsidRDefault="009A0319" w:rsidP="00F33145">
      <w:pPr>
        <w:spacing w:after="0" w:line="240" w:lineRule="atLeast"/>
        <w:jc w:val="left"/>
        <w:rPr>
          <w:rFonts w:cs="Arial"/>
          <w:b/>
          <w:sz w:val="20"/>
          <w:szCs w:val="20"/>
        </w:rPr>
      </w:pPr>
      <w:r w:rsidRPr="00F85BDF">
        <w:rPr>
          <w:rFonts w:cs="Arial"/>
          <w:sz w:val="20"/>
          <w:szCs w:val="20"/>
        </w:rPr>
        <w:t xml:space="preserve">Skupaj </w:t>
      </w:r>
      <w:r w:rsidRPr="00F85BDF">
        <w:rPr>
          <w:rFonts w:cs="Arial"/>
          <w:b/>
          <w:sz w:val="20"/>
          <w:szCs w:val="20"/>
        </w:rPr>
        <w:t>10.773</w:t>
      </w:r>
    </w:p>
    <w:p w:rsidR="009A0319" w:rsidRPr="00F85BDF" w:rsidRDefault="009A0319" w:rsidP="00F33145">
      <w:pPr>
        <w:spacing w:after="0" w:line="240" w:lineRule="atLeast"/>
        <w:jc w:val="left"/>
        <w:rPr>
          <w:rFonts w:cs="Arial"/>
          <w:b/>
          <w:sz w:val="20"/>
          <w:szCs w:val="20"/>
        </w:rPr>
      </w:pPr>
    </w:p>
    <w:p w:rsidR="00F85BDF" w:rsidRPr="00F85BDF" w:rsidRDefault="00F85BDF" w:rsidP="00F33145">
      <w:pPr>
        <w:spacing w:after="0" w:line="240" w:lineRule="atLeast"/>
        <w:jc w:val="left"/>
        <w:rPr>
          <w:rFonts w:cs="Arial"/>
          <w:b/>
          <w:bCs/>
          <w:sz w:val="20"/>
          <w:szCs w:val="20"/>
        </w:rPr>
      </w:pPr>
      <w:r w:rsidRPr="00F85BDF">
        <w:rPr>
          <w:rFonts w:cs="Arial"/>
          <w:b/>
          <w:bCs/>
          <w:sz w:val="20"/>
          <w:szCs w:val="20"/>
        </w:rPr>
        <w:t xml:space="preserve">Davčna razbremenitev dela </w:t>
      </w:r>
    </w:p>
    <w:p w:rsidR="00F85BDF" w:rsidRPr="00F85BDF" w:rsidRDefault="00F85BDF" w:rsidP="00F33145">
      <w:pPr>
        <w:spacing w:after="0" w:line="240" w:lineRule="atLeast"/>
        <w:jc w:val="left"/>
        <w:rPr>
          <w:rFonts w:cs="Arial"/>
          <w:b/>
          <w:sz w:val="20"/>
          <w:szCs w:val="20"/>
        </w:rPr>
      </w:pPr>
      <w:r w:rsidRPr="00F85BDF">
        <w:rPr>
          <w:rFonts w:cs="Arial"/>
          <w:bCs/>
          <w:sz w:val="20"/>
          <w:szCs w:val="20"/>
        </w:rPr>
        <w:t xml:space="preserve">Delo se mora splačati, zato smo znižali davčno obremenitev dela. Po razbremenitvi regresa do višine povprečne plače v letu 2019 se država za višje neto plače vseh zaposlenih v letu 2020 odpoveduje dodatnemu delu prihodkov iz dohodnine, ki bo deloma nadomeščen z obremenitvijo kapitala, deloma pa z večjo učinkovitostjo pobiranja javnih dajatev. </w:t>
      </w:r>
    </w:p>
    <w:p w:rsidR="00F85BDF" w:rsidRPr="00F85BDF" w:rsidRDefault="00F85BDF" w:rsidP="00F33145">
      <w:pPr>
        <w:spacing w:after="0" w:line="240" w:lineRule="atLeast"/>
        <w:jc w:val="left"/>
        <w:rPr>
          <w:rFonts w:cs="Arial"/>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Za kaj denar porabimo – proračunski odhodki</w:t>
      </w:r>
    </w:p>
    <w:p w:rsidR="00F33145" w:rsidRDefault="00F85BDF" w:rsidP="00F33145">
      <w:pPr>
        <w:spacing w:after="0" w:line="240" w:lineRule="atLeast"/>
        <w:jc w:val="left"/>
        <w:rPr>
          <w:rFonts w:cs="Arial"/>
          <w:i/>
          <w:sz w:val="20"/>
          <w:szCs w:val="20"/>
        </w:rPr>
      </w:pPr>
      <w:r w:rsidRPr="00F85BDF">
        <w:rPr>
          <w:rFonts w:cs="Arial"/>
          <w:i/>
          <w:sz w:val="20"/>
          <w:szCs w:val="20"/>
        </w:rPr>
        <w:t>v milijonih evrov</w:t>
      </w:r>
    </w:p>
    <w:p w:rsidR="00F85BDF" w:rsidRPr="00F85BDF" w:rsidRDefault="00F85BDF" w:rsidP="00F33145">
      <w:pPr>
        <w:spacing w:after="0" w:line="240" w:lineRule="atLeast"/>
        <w:jc w:val="left"/>
        <w:rPr>
          <w:rFonts w:cs="Arial"/>
          <w:b/>
          <w:sz w:val="20"/>
          <w:szCs w:val="20"/>
        </w:rPr>
      </w:pPr>
      <w:r w:rsidRPr="00F85BDF">
        <w:rPr>
          <w:rFonts w:cs="Arial"/>
          <w:sz w:val="20"/>
          <w:szCs w:val="20"/>
        </w:rPr>
        <w:t>Ekonomska in zunanja politika, javna uprava</w:t>
      </w:r>
      <w:r w:rsidR="00F33145">
        <w:rPr>
          <w:rFonts w:cs="Arial"/>
          <w:sz w:val="20"/>
          <w:szCs w:val="20"/>
        </w:rPr>
        <w:t xml:space="preserve"> </w:t>
      </w:r>
      <w:r w:rsidR="000C3BBD">
        <w:rPr>
          <w:rFonts w:cs="Arial"/>
          <w:b/>
          <w:sz w:val="20"/>
          <w:szCs w:val="20"/>
        </w:rPr>
        <w:t>719</w:t>
      </w:r>
    </w:p>
    <w:p w:rsidR="00F85BDF" w:rsidRPr="00F85BDF" w:rsidRDefault="00F85BDF" w:rsidP="00F33145">
      <w:pPr>
        <w:spacing w:after="0" w:line="240" w:lineRule="atLeast"/>
        <w:jc w:val="left"/>
        <w:rPr>
          <w:rFonts w:cs="Arial"/>
          <w:b/>
          <w:sz w:val="20"/>
          <w:szCs w:val="20"/>
        </w:rPr>
      </w:pPr>
      <w:r w:rsidRPr="00F85BDF">
        <w:rPr>
          <w:rFonts w:cs="Arial"/>
          <w:sz w:val="20"/>
          <w:szCs w:val="20"/>
        </w:rPr>
        <w:t>Okolje in prostor, energija</w:t>
      </w:r>
      <w:r w:rsidR="00F33145">
        <w:rPr>
          <w:rFonts w:cs="Arial"/>
          <w:sz w:val="20"/>
          <w:szCs w:val="20"/>
        </w:rPr>
        <w:t xml:space="preserve"> </w:t>
      </w:r>
      <w:r w:rsidRPr="00F85BDF">
        <w:rPr>
          <w:rFonts w:cs="Arial"/>
          <w:b/>
          <w:sz w:val="20"/>
          <w:szCs w:val="20"/>
        </w:rPr>
        <w:t>398</w:t>
      </w:r>
    </w:p>
    <w:p w:rsidR="00F85BDF" w:rsidRPr="00F85BDF" w:rsidRDefault="00F85BDF" w:rsidP="00F33145">
      <w:pPr>
        <w:spacing w:after="0" w:line="240" w:lineRule="atLeast"/>
        <w:jc w:val="left"/>
        <w:rPr>
          <w:rFonts w:cs="Arial"/>
          <w:b/>
          <w:sz w:val="20"/>
          <w:szCs w:val="20"/>
        </w:rPr>
      </w:pPr>
      <w:r w:rsidRPr="00F85BDF">
        <w:rPr>
          <w:rFonts w:cs="Arial"/>
          <w:sz w:val="20"/>
          <w:szCs w:val="20"/>
        </w:rPr>
        <w:t>Socialna varnost</w:t>
      </w:r>
      <w:r w:rsidR="00F33145">
        <w:rPr>
          <w:rFonts w:cs="Arial"/>
          <w:sz w:val="20"/>
          <w:szCs w:val="20"/>
        </w:rPr>
        <w:t xml:space="preserve"> </w:t>
      </w:r>
      <w:r w:rsidRPr="00F85BDF">
        <w:rPr>
          <w:rFonts w:cs="Arial"/>
          <w:b/>
          <w:sz w:val="20"/>
          <w:szCs w:val="20"/>
        </w:rPr>
        <w:t>1.21</w:t>
      </w:r>
      <w:r w:rsidR="000C3BBD">
        <w:rPr>
          <w:rFonts w:cs="Arial"/>
          <w:b/>
          <w:sz w:val="20"/>
          <w:szCs w:val="20"/>
        </w:rPr>
        <w:t>5</w:t>
      </w:r>
    </w:p>
    <w:p w:rsidR="00F85BDF" w:rsidRPr="00F85BDF" w:rsidRDefault="00F85BDF" w:rsidP="00F33145">
      <w:pPr>
        <w:spacing w:after="0" w:line="240" w:lineRule="atLeast"/>
        <w:jc w:val="left"/>
        <w:rPr>
          <w:rFonts w:cs="Arial"/>
          <w:b/>
          <w:sz w:val="20"/>
          <w:szCs w:val="20"/>
        </w:rPr>
      </w:pPr>
      <w:r w:rsidRPr="00F85BDF">
        <w:rPr>
          <w:rFonts w:cs="Arial"/>
          <w:sz w:val="20"/>
          <w:szCs w:val="20"/>
        </w:rPr>
        <w:t>Pokojninsko varstvo</w:t>
      </w:r>
      <w:r w:rsidR="00F33145">
        <w:rPr>
          <w:rFonts w:cs="Arial"/>
          <w:sz w:val="20"/>
          <w:szCs w:val="20"/>
        </w:rPr>
        <w:t xml:space="preserve"> </w:t>
      </w:r>
      <w:r w:rsidRPr="00F85BDF">
        <w:rPr>
          <w:rFonts w:cs="Arial"/>
          <w:b/>
          <w:sz w:val="20"/>
          <w:szCs w:val="20"/>
        </w:rPr>
        <w:t>940</w:t>
      </w:r>
    </w:p>
    <w:p w:rsidR="00F85BDF" w:rsidRPr="00F85BDF" w:rsidRDefault="00F85BDF" w:rsidP="00F33145">
      <w:pPr>
        <w:spacing w:after="0" w:line="240" w:lineRule="atLeast"/>
        <w:jc w:val="left"/>
        <w:rPr>
          <w:rFonts w:cs="Arial"/>
          <w:b/>
          <w:sz w:val="20"/>
          <w:szCs w:val="20"/>
        </w:rPr>
      </w:pPr>
      <w:r w:rsidRPr="00F85BDF">
        <w:rPr>
          <w:rFonts w:cs="Arial"/>
          <w:sz w:val="20"/>
          <w:szCs w:val="20"/>
        </w:rPr>
        <w:t>Zdravje</w:t>
      </w:r>
      <w:r w:rsidR="00F33145">
        <w:rPr>
          <w:rFonts w:cs="Arial"/>
          <w:b/>
          <w:sz w:val="20"/>
          <w:szCs w:val="20"/>
        </w:rPr>
        <w:t xml:space="preserve"> </w:t>
      </w:r>
      <w:r w:rsidRPr="00F85BDF">
        <w:rPr>
          <w:rFonts w:cs="Arial"/>
          <w:b/>
          <w:sz w:val="20"/>
          <w:szCs w:val="20"/>
        </w:rPr>
        <w:t>198</w:t>
      </w:r>
    </w:p>
    <w:p w:rsidR="00F85BDF" w:rsidRPr="00F85BDF" w:rsidRDefault="00F85BDF" w:rsidP="00F33145">
      <w:pPr>
        <w:spacing w:after="0" w:line="240" w:lineRule="atLeast"/>
        <w:jc w:val="left"/>
        <w:rPr>
          <w:rFonts w:cs="Arial"/>
          <w:b/>
          <w:sz w:val="20"/>
          <w:szCs w:val="20"/>
        </w:rPr>
      </w:pPr>
      <w:r w:rsidRPr="00F85BDF">
        <w:rPr>
          <w:rFonts w:cs="Arial"/>
          <w:sz w:val="20"/>
          <w:szCs w:val="20"/>
        </w:rPr>
        <w:t>Obresti in stroški zadolževanja</w:t>
      </w:r>
      <w:r w:rsidRPr="00F85BDF">
        <w:rPr>
          <w:rFonts w:cs="Arial"/>
          <w:sz w:val="20"/>
          <w:szCs w:val="20"/>
        </w:rPr>
        <w:tab/>
      </w:r>
      <w:r w:rsidR="000C3BBD">
        <w:rPr>
          <w:rFonts w:cs="Arial"/>
          <w:b/>
          <w:sz w:val="20"/>
          <w:szCs w:val="20"/>
        </w:rPr>
        <w:t>771</w:t>
      </w:r>
    </w:p>
    <w:p w:rsidR="00F33145" w:rsidRDefault="00F85BDF" w:rsidP="00F33145">
      <w:pPr>
        <w:spacing w:after="0" w:line="240" w:lineRule="atLeast"/>
        <w:jc w:val="left"/>
        <w:rPr>
          <w:rFonts w:cs="Arial"/>
          <w:b/>
          <w:sz w:val="20"/>
          <w:szCs w:val="20"/>
        </w:rPr>
      </w:pPr>
      <w:r w:rsidRPr="00F85BDF">
        <w:rPr>
          <w:rFonts w:cs="Arial"/>
          <w:sz w:val="20"/>
          <w:szCs w:val="20"/>
        </w:rPr>
        <w:t xml:space="preserve">Intervencijski programi  </w:t>
      </w:r>
      <w:r w:rsidRPr="00F85BDF">
        <w:rPr>
          <w:rFonts w:cs="Arial"/>
          <w:sz w:val="20"/>
          <w:szCs w:val="20"/>
        </w:rPr>
        <w:tab/>
      </w:r>
      <w:r w:rsidRPr="00F85BDF">
        <w:rPr>
          <w:rFonts w:cs="Arial"/>
          <w:b/>
          <w:sz w:val="20"/>
          <w:szCs w:val="20"/>
        </w:rPr>
        <w:t>44</w:t>
      </w:r>
    </w:p>
    <w:p w:rsidR="00F85BDF" w:rsidRPr="00F85BDF" w:rsidRDefault="00F85BDF" w:rsidP="00F33145">
      <w:pPr>
        <w:spacing w:after="0" w:line="240" w:lineRule="atLeast"/>
        <w:jc w:val="left"/>
        <w:rPr>
          <w:rFonts w:cs="Arial"/>
          <w:b/>
          <w:sz w:val="20"/>
          <w:szCs w:val="20"/>
        </w:rPr>
      </w:pPr>
      <w:r w:rsidRPr="00F85BDF">
        <w:rPr>
          <w:rFonts w:cs="Arial"/>
          <w:sz w:val="20"/>
          <w:szCs w:val="20"/>
        </w:rPr>
        <w:lastRenderedPageBreak/>
        <w:t>Plačila v Evropsko unijo</w:t>
      </w:r>
      <w:r w:rsidR="00F33145">
        <w:rPr>
          <w:rFonts w:cs="Arial"/>
          <w:sz w:val="20"/>
          <w:szCs w:val="20"/>
        </w:rPr>
        <w:t xml:space="preserve"> </w:t>
      </w:r>
      <w:r w:rsidRPr="00F85BDF">
        <w:rPr>
          <w:rFonts w:cs="Arial"/>
          <w:b/>
          <w:sz w:val="20"/>
          <w:szCs w:val="20"/>
        </w:rPr>
        <w:t>501</w:t>
      </w:r>
    </w:p>
    <w:p w:rsidR="00F85BDF" w:rsidRPr="00F85BDF" w:rsidRDefault="00F85BDF" w:rsidP="00F33145">
      <w:pPr>
        <w:spacing w:after="0" w:line="240" w:lineRule="atLeast"/>
        <w:jc w:val="left"/>
        <w:rPr>
          <w:rFonts w:cs="Arial"/>
          <w:b/>
          <w:sz w:val="20"/>
          <w:szCs w:val="20"/>
        </w:rPr>
      </w:pPr>
      <w:r w:rsidRPr="00F85BDF">
        <w:rPr>
          <w:rFonts w:cs="Arial"/>
          <w:sz w:val="20"/>
          <w:szCs w:val="20"/>
        </w:rPr>
        <w:t xml:space="preserve">Promet </w:t>
      </w:r>
      <w:r w:rsidRPr="00F85BDF">
        <w:rPr>
          <w:rFonts w:cs="Arial"/>
          <w:sz w:val="20"/>
          <w:szCs w:val="20"/>
        </w:rPr>
        <w:tab/>
      </w:r>
      <w:r w:rsidRPr="00F85BDF">
        <w:rPr>
          <w:rFonts w:cs="Arial"/>
          <w:b/>
          <w:sz w:val="20"/>
          <w:szCs w:val="20"/>
        </w:rPr>
        <w:t>827</w:t>
      </w:r>
    </w:p>
    <w:p w:rsidR="00F85BDF" w:rsidRPr="00F85BDF" w:rsidRDefault="00F85BDF" w:rsidP="00F33145">
      <w:pPr>
        <w:spacing w:after="0" w:line="240" w:lineRule="atLeast"/>
        <w:jc w:val="left"/>
        <w:rPr>
          <w:rFonts w:cs="Arial"/>
          <w:b/>
          <w:sz w:val="20"/>
          <w:szCs w:val="20"/>
        </w:rPr>
      </w:pPr>
      <w:r w:rsidRPr="00F85BDF">
        <w:rPr>
          <w:rFonts w:cs="Arial"/>
          <w:sz w:val="20"/>
          <w:szCs w:val="20"/>
        </w:rPr>
        <w:t>Podjetništvo in konkurenčnost</w:t>
      </w:r>
      <w:r w:rsidR="00F33145">
        <w:rPr>
          <w:rFonts w:cs="Arial"/>
          <w:sz w:val="20"/>
          <w:szCs w:val="20"/>
        </w:rPr>
        <w:t xml:space="preserve"> </w:t>
      </w:r>
      <w:r w:rsidRPr="00F85BDF">
        <w:rPr>
          <w:rFonts w:cs="Arial"/>
          <w:b/>
          <w:sz w:val="20"/>
          <w:szCs w:val="20"/>
        </w:rPr>
        <w:t>193</w:t>
      </w:r>
    </w:p>
    <w:p w:rsidR="00F85BDF" w:rsidRPr="00F85BDF" w:rsidRDefault="00F85BDF" w:rsidP="00F33145">
      <w:pPr>
        <w:spacing w:after="0" w:line="240" w:lineRule="atLeast"/>
        <w:jc w:val="left"/>
        <w:rPr>
          <w:rFonts w:cs="Arial"/>
          <w:b/>
          <w:sz w:val="20"/>
          <w:szCs w:val="20"/>
        </w:rPr>
      </w:pPr>
      <w:r w:rsidRPr="00F85BDF">
        <w:rPr>
          <w:rFonts w:cs="Arial"/>
          <w:sz w:val="20"/>
          <w:szCs w:val="20"/>
        </w:rPr>
        <w:t>Varnost</w:t>
      </w:r>
      <w:r w:rsidR="00F33145">
        <w:rPr>
          <w:rFonts w:cs="Arial"/>
          <w:sz w:val="20"/>
          <w:szCs w:val="20"/>
        </w:rPr>
        <w:t xml:space="preserve"> </w:t>
      </w:r>
      <w:r w:rsidRPr="00F85BDF">
        <w:rPr>
          <w:rFonts w:cs="Arial"/>
          <w:b/>
          <w:sz w:val="20"/>
          <w:szCs w:val="20"/>
        </w:rPr>
        <w:t>1.300</w:t>
      </w:r>
    </w:p>
    <w:p w:rsidR="00F85BDF" w:rsidRPr="00F85BDF" w:rsidRDefault="00F85BDF" w:rsidP="00F33145">
      <w:pPr>
        <w:spacing w:after="0" w:line="240" w:lineRule="atLeast"/>
        <w:jc w:val="left"/>
        <w:rPr>
          <w:rFonts w:cs="Arial"/>
          <w:b/>
          <w:sz w:val="20"/>
          <w:szCs w:val="20"/>
        </w:rPr>
      </w:pPr>
      <w:r w:rsidRPr="00F85BDF">
        <w:rPr>
          <w:rFonts w:cs="Arial"/>
          <w:sz w:val="20"/>
          <w:szCs w:val="20"/>
        </w:rPr>
        <w:t>Izobraževanje, šport</w:t>
      </w:r>
      <w:r w:rsidR="00F33145">
        <w:rPr>
          <w:rFonts w:cs="Arial"/>
          <w:sz w:val="20"/>
          <w:szCs w:val="20"/>
        </w:rPr>
        <w:t xml:space="preserve"> </w:t>
      </w:r>
      <w:r w:rsidR="000C3BBD">
        <w:rPr>
          <w:rFonts w:cs="Arial"/>
          <w:b/>
          <w:sz w:val="20"/>
          <w:szCs w:val="20"/>
        </w:rPr>
        <w:t>1.864</w:t>
      </w:r>
    </w:p>
    <w:p w:rsidR="00F85BDF" w:rsidRPr="00F85BDF" w:rsidRDefault="00F85BDF" w:rsidP="00F33145">
      <w:pPr>
        <w:spacing w:after="0" w:line="240" w:lineRule="atLeast"/>
        <w:jc w:val="left"/>
        <w:rPr>
          <w:rFonts w:cs="Arial"/>
          <w:b/>
          <w:sz w:val="20"/>
          <w:szCs w:val="20"/>
        </w:rPr>
      </w:pPr>
      <w:r w:rsidRPr="00F85BDF">
        <w:rPr>
          <w:rFonts w:cs="Arial"/>
          <w:sz w:val="20"/>
          <w:szCs w:val="20"/>
        </w:rPr>
        <w:t>Kultura</w:t>
      </w:r>
      <w:r w:rsidR="000C3BBD">
        <w:rPr>
          <w:rFonts w:cs="Arial"/>
          <w:b/>
          <w:sz w:val="20"/>
          <w:szCs w:val="20"/>
        </w:rPr>
        <w:t xml:space="preserve"> 224</w:t>
      </w:r>
    </w:p>
    <w:p w:rsidR="00F85BDF" w:rsidRPr="00F85BDF" w:rsidRDefault="00F85BDF" w:rsidP="00F33145">
      <w:pPr>
        <w:spacing w:after="0" w:line="240" w:lineRule="atLeast"/>
        <w:jc w:val="left"/>
        <w:rPr>
          <w:rFonts w:cs="Arial"/>
          <w:b/>
          <w:sz w:val="20"/>
          <w:szCs w:val="20"/>
        </w:rPr>
      </w:pPr>
      <w:r w:rsidRPr="00F85BDF">
        <w:rPr>
          <w:rFonts w:cs="Arial"/>
          <w:sz w:val="20"/>
          <w:szCs w:val="20"/>
        </w:rPr>
        <w:t>Trg dela</w:t>
      </w:r>
      <w:r w:rsidR="00F33145">
        <w:rPr>
          <w:rFonts w:cs="Arial"/>
          <w:sz w:val="20"/>
          <w:szCs w:val="20"/>
        </w:rPr>
        <w:t xml:space="preserve"> </w:t>
      </w:r>
      <w:r w:rsidRPr="00F85BDF">
        <w:rPr>
          <w:rFonts w:cs="Arial"/>
          <w:b/>
          <w:sz w:val="20"/>
          <w:szCs w:val="20"/>
        </w:rPr>
        <w:t>304</w:t>
      </w:r>
    </w:p>
    <w:p w:rsidR="00F85BDF" w:rsidRPr="00F85BDF" w:rsidRDefault="00F85BDF" w:rsidP="00F33145">
      <w:pPr>
        <w:spacing w:after="0" w:line="240" w:lineRule="atLeast"/>
        <w:jc w:val="left"/>
        <w:rPr>
          <w:rFonts w:cs="Arial"/>
          <w:b/>
          <w:sz w:val="20"/>
          <w:szCs w:val="20"/>
        </w:rPr>
      </w:pPr>
      <w:r w:rsidRPr="00F85BDF">
        <w:rPr>
          <w:rFonts w:cs="Arial"/>
          <w:sz w:val="20"/>
          <w:szCs w:val="20"/>
        </w:rPr>
        <w:t>Kmetijstvo</w:t>
      </w:r>
      <w:r w:rsidR="00F33145">
        <w:rPr>
          <w:rFonts w:cs="Arial"/>
          <w:sz w:val="20"/>
          <w:szCs w:val="20"/>
        </w:rPr>
        <w:t xml:space="preserve"> </w:t>
      </w:r>
      <w:r w:rsidRPr="00F85BDF">
        <w:rPr>
          <w:rFonts w:cs="Arial"/>
          <w:b/>
          <w:sz w:val="20"/>
          <w:szCs w:val="20"/>
        </w:rPr>
        <w:t>467</w:t>
      </w:r>
    </w:p>
    <w:p w:rsidR="00F85BDF" w:rsidRPr="00F85BDF" w:rsidRDefault="00F85BDF" w:rsidP="00F33145">
      <w:pPr>
        <w:spacing w:after="0" w:line="240" w:lineRule="atLeast"/>
        <w:jc w:val="left"/>
        <w:rPr>
          <w:rFonts w:cs="Arial"/>
          <w:b/>
          <w:sz w:val="20"/>
          <w:szCs w:val="20"/>
        </w:rPr>
      </w:pPr>
      <w:r w:rsidRPr="00F85BDF">
        <w:rPr>
          <w:rFonts w:cs="Arial"/>
          <w:sz w:val="20"/>
          <w:szCs w:val="20"/>
        </w:rPr>
        <w:t>Znanost</w:t>
      </w:r>
      <w:r w:rsidR="00F33145">
        <w:rPr>
          <w:rFonts w:cs="Arial"/>
          <w:sz w:val="20"/>
          <w:szCs w:val="20"/>
        </w:rPr>
        <w:t xml:space="preserve"> </w:t>
      </w:r>
      <w:r w:rsidRPr="00F85BDF">
        <w:rPr>
          <w:rFonts w:cs="Arial"/>
          <w:b/>
          <w:sz w:val="20"/>
          <w:szCs w:val="20"/>
        </w:rPr>
        <w:t>393</w:t>
      </w:r>
    </w:p>
    <w:p w:rsidR="00F85BDF" w:rsidRDefault="009A0319" w:rsidP="00F33145">
      <w:pPr>
        <w:spacing w:after="0" w:line="240" w:lineRule="atLeast"/>
        <w:jc w:val="left"/>
        <w:rPr>
          <w:rFonts w:cs="Arial"/>
          <w:b/>
          <w:sz w:val="20"/>
          <w:szCs w:val="20"/>
        </w:rPr>
      </w:pPr>
      <w:r w:rsidRPr="00F85BDF">
        <w:rPr>
          <w:rFonts w:cs="Arial"/>
          <w:sz w:val="20"/>
          <w:szCs w:val="20"/>
        </w:rPr>
        <w:t xml:space="preserve">Skupaj </w:t>
      </w:r>
      <w:r w:rsidRPr="00F85BDF">
        <w:rPr>
          <w:rFonts w:cs="Arial"/>
          <w:b/>
          <w:sz w:val="20"/>
          <w:szCs w:val="20"/>
        </w:rPr>
        <w:t>10.358</w:t>
      </w:r>
    </w:p>
    <w:p w:rsidR="009A0319" w:rsidRPr="00F85BDF" w:rsidRDefault="009A0319" w:rsidP="00F33145">
      <w:pPr>
        <w:spacing w:after="0" w:line="240" w:lineRule="atLeast"/>
        <w:jc w:val="left"/>
        <w:rPr>
          <w:rFonts w:cs="Arial"/>
          <w:b/>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Izobraževanje in šport</w:t>
      </w:r>
    </w:p>
    <w:p w:rsidR="00F85BDF" w:rsidRPr="00F85BDF" w:rsidRDefault="00F85BDF" w:rsidP="00F33145">
      <w:pPr>
        <w:spacing w:after="0" w:line="240" w:lineRule="atLeast"/>
        <w:jc w:val="left"/>
        <w:rPr>
          <w:rFonts w:cs="Arial"/>
          <w:sz w:val="20"/>
          <w:szCs w:val="20"/>
        </w:rPr>
      </w:pPr>
      <w:r w:rsidRPr="00F85BDF">
        <w:rPr>
          <w:rFonts w:cs="Arial"/>
          <w:sz w:val="20"/>
          <w:szCs w:val="20"/>
        </w:rPr>
        <w:t xml:space="preserve">Za izobraževanje in šport namenjamo 1,9 milijarde evrov, kar je skoraj 18 % vseh proračunskih odhodkov. S tem zagotavljamo  dostopno in kakovostno vzgojo in izobraževanje. Približno polovico sredstev namenjamo za osnovnošolsko izobraževanje, petino pa za srednje in poklicno ter visokošolsko izobraževanje. Naš cilj je kakovost študijskih programov, mobilnost v evropskem in širšem okolju ter zaposljivost. </w:t>
      </w:r>
    </w:p>
    <w:p w:rsidR="00F85BDF" w:rsidRPr="00F85BDF" w:rsidRDefault="00F85BDF" w:rsidP="00F33145">
      <w:pPr>
        <w:spacing w:after="0" w:line="240" w:lineRule="atLeast"/>
        <w:jc w:val="left"/>
        <w:rPr>
          <w:rFonts w:cs="Arial"/>
          <w:b/>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Varnost</w:t>
      </w:r>
    </w:p>
    <w:p w:rsidR="00F85BDF" w:rsidRPr="00F85BDF" w:rsidRDefault="00F85BDF" w:rsidP="00F33145">
      <w:pPr>
        <w:spacing w:after="0" w:line="240" w:lineRule="atLeast"/>
        <w:jc w:val="left"/>
        <w:rPr>
          <w:rFonts w:cs="Arial"/>
          <w:sz w:val="20"/>
          <w:szCs w:val="20"/>
        </w:rPr>
      </w:pPr>
      <w:r w:rsidRPr="00F85BDF">
        <w:rPr>
          <w:rFonts w:cs="Arial"/>
          <w:sz w:val="20"/>
          <w:szCs w:val="20"/>
        </w:rPr>
        <w:t>V letu 2020 za zagotavljanje notranje varnosti, nakup opreme za policijsko in kriminalistično dejavnost, ukrepe migracijske politike, modernizacijo Slovenske vojske in varovanje pred naravnimi in drugimi nesrečami namenjamo 983 milijonov evrov, za delovanje sodišč in tožilstev, izvrševanje kazenskih sankcij ter povečanje učinkovitosti pravosodja pa še dodatnih 317 milijonov evrov.</w:t>
      </w:r>
    </w:p>
    <w:p w:rsidR="00F85BDF" w:rsidRPr="00F85BDF" w:rsidRDefault="00F85BDF" w:rsidP="00F33145">
      <w:pPr>
        <w:spacing w:after="0" w:line="240" w:lineRule="atLeast"/>
        <w:jc w:val="left"/>
        <w:rPr>
          <w:rFonts w:cs="Arial"/>
          <w:b/>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Okolje in prostor</w:t>
      </w:r>
    </w:p>
    <w:p w:rsidR="00F85BDF" w:rsidRPr="00F85BDF" w:rsidRDefault="00F85BDF" w:rsidP="00F33145">
      <w:pPr>
        <w:spacing w:after="0" w:line="240" w:lineRule="atLeast"/>
        <w:jc w:val="left"/>
        <w:rPr>
          <w:rFonts w:cs="Arial"/>
          <w:sz w:val="20"/>
          <w:szCs w:val="20"/>
        </w:rPr>
      </w:pPr>
      <w:r w:rsidRPr="00F85BDF">
        <w:rPr>
          <w:rFonts w:cs="Arial"/>
          <w:sz w:val="20"/>
          <w:szCs w:val="20"/>
        </w:rPr>
        <w:t>Za okolje in okoljsko infrastrukturo načrtujemo 273 milijonov evrov. Namenjeni bodo predvsem zagotavljanju protipoplavne varnosti, upravljanju s čistilnimi napravami, prilagajanju podnebnim spremembam ter ohranjanju biotske raznovrstnosti. Prostorskemu načrtovanju in stanovanjski politiki namenjamo 80 milijonov evrov. Poleg tega je v dveh izvenproračunskih skladih na voljo še dodatnih 180 milijonov evrov.</w:t>
      </w:r>
    </w:p>
    <w:p w:rsidR="00F85BDF" w:rsidRPr="00F85BDF" w:rsidRDefault="00F85BDF" w:rsidP="00F33145">
      <w:pPr>
        <w:spacing w:after="0" w:line="240" w:lineRule="atLeast"/>
        <w:jc w:val="left"/>
        <w:rPr>
          <w:rFonts w:cs="Arial"/>
          <w:b/>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 xml:space="preserve">Pokojnine </w:t>
      </w:r>
    </w:p>
    <w:p w:rsidR="00F85BDF" w:rsidRPr="00F85BDF" w:rsidRDefault="00F85BDF" w:rsidP="00F33145">
      <w:pPr>
        <w:spacing w:after="0" w:line="240" w:lineRule="atLeast"/>
        <w:jc w:val="left"/>
        <w:rPr>
          <w:rFonts w:cs="Arial"/>
          <w:sz w:val="20"/>
          <w:szCs w:val="20"/>
        </w:rPr>
      </w:pPr>
      <w:r w:rsidRPr="00F85BDF">
        <w:rPr>
          <w:rFonts w:cs="Arial"/>
          <w:sz w:val="20"/>
          <w:szCs w:val="20"/>
        </w:rPr>
        <w:t>Za pokojnine več kot 600.000 upokojencev letno namenjamo približno 5 milijard evrov, pri čemer prispeva državni proračun nekaj manj kot milijardo evrov. Za leto 2020 je predvideno usklajevanje pokojnin,  za izplačilo letnega dodatka pa je načrtovanih 145 milijonov evrov.</w:t>
      </w:r>
    </w:p>
    <w:p w:rsidR="00F85BDF" w:rsidRPr="00F85BDF" w:rsidRDefault="00F85BDF" w:rsidP="00F33145">
      <w:pPr>
        <w:spacing w:after="0" w:line="240" w:lineRule="atLeast"/>
        <w:jc w:val="left"/>
        <w:rPr>
          <w:rFonts w:cs="Arial"/>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Investicije</w:t>
      </w:r>
    </w:p>
    <w:p w:rsidR="00F85BDF" w:rsidRPr="00F85BDF" w:rsidRDefault="00F85BDF" w:rsidP="00F33145">
      <w:pPr>
        <w:spacing w:after="0" w:line="240" w:lineRule="atLeast"/>
        <w:jc w:val="left"/>
        <w:rPr>
          <w:rFonts w:cs="Arial"/>
          <w:sz w:val="20"/>
          <w:szCs w:val="20"/>
        </w:rPr>
      </w:pPr>
      <w:r w:rsidRPr="00F85BDF">
        <w:rPr>
          <w:rFonts w:cs="Arial"/>
          <w:sz w:val="20"/>
          <w:szCs w:val="20"/>
        </w:rPr>
        <w:t>Za investicije načrtujemo</w:t>
      </w:r>
      <w:r w:rsidRPr="00F85BDF">
        <w:rPr>
          <w:rFonts w:cs="Arial"/>
          <w:b/>
          <w:sz w:val="20"/>
          <w:szCs w:val="20"/>
        </w:rPr>
        <w:t xml:space="preserve"> </w:t>
      </w:r>
      <w:r w:rsidRPr="00F85BDF">
        <w:rPr>
          <w:rFonts w:cs="Arial"/>
          <w:sz w:val="20"/>
          <w:szCs w:val="20"/>
        </w:rPr>
        <w:t>nekaj več kot 1,1 milijarde evrov, kar predstavlja 11 % državnega proračuna. Več kot polovico teh sredstev namenjamo financiranju železniškega in cestnega prometa ter njune infrastrukture. V to je vključeno tudi sofinanciranje občinskih projektov. Državne investicije se financirajo tudi iz izvenproračunskih skladov in so usmerjene v upravljanje z vodami, okoljsko in podnebno politiko ter investicije v zdravstvu.</w:t>
      </w:r>
    </w:p>
    <w:p w:rsidR="00F85BDF" w:rsidRPr="00F85BDF" w:rsidRDefault="00F85BDF" w:rsidP="00F33145">
      <w:pPr>
        <w:spacing w:after="0" w:line="240" w:lineRule="atLeast"/>
        <w:jc w:val="left"/>
        <w:rPr>
          <w:rFonts w:cs="Arial"/>
          <w:sz w:val="20"/>
          <w:szCs w:val="20"/>
        </w:rPr>
      </w:pPr>
    </w:p>
    <w:p w:rsidR="00F85BDF" w:rsidRPr="00F85BDF" w:rsidRDefault="00F85BDF" w:rsidP="00F33145">
      <w:pPr>
        <w:spacing w:after="0" w:line="240" w:lineRule="atLeast"/>
        <w:jc w:val="left"/>
        <w:rPr>
          <w:rFonts w:cs="Arial"/>
          <w:b/>
          <w:sz w:val="20"/>
          <w:szCs w:val="20"/>
        </w:rPr>
      </w:pPr>
      <w:r w:rsidRPr="00F85BDF">
        <w:rPr>
          <w:rFonts w:cs="Arial"/>
          <w:b/>
          <w:sz w:val="20"/>
          <w:szCs w:val="20"/>
        </w:rPr>
        <w:t>Še naprej znižujemo javni dolg in stroške obresti</w:t>
      </w:r>
    </w:p>
    <w:p w:rsidR="00F85BDF" w:rsidRPr="00F85BDF" w:rsidRDefault="00F85BDF" w:rsidP="00F33145">
      <w:pPr>
        <w:spacing w:after="0" w:line="240" w:lineRule="atLeast"/>
        <w:jc w:val="left"/>
        <w:rPr>
          <w:rFonts w:cs="Arial"/>
          <w:sz w:val="20"/>
          <w:szCs w:val="20"/>
        </w:rPr>
      </w:pPr>
      <w:r w:rsidRPr="00F85BDF">
        <w:rPr>
          <w:rFonts w:cs="Arial"/>
          <w:sz w:val="20"/>
          <w:szCs w:val="20"/>
        </w:rPr>
        <w:t>Za plačilo obresti leta 2020</w:t>
      </w:r>
      <w:r w:rsidR="000C3BBD">
        <w:rPr>
          <w:rFonts w:cs="Arial"/>
          <w:sz w:val="20"/>
          <w:szCs w:val="20"/>
        </w:rPr>
        <w:t xml:space="preserve"> namenjamo 751</w:t>
      </w:r>
      <w:r w:rsidRPr="00F85BDF">
        <w:rPr>
          <w:rFonts w:cs="Arial"/>
          <w:sz w:val="20"/>
          <w:szCs w:val="20"/>
        </w:rPr>
        <w:t xml:space="preserve"> milijonov evrov, ka</w:t>
      </w:r>
      <w:r w:rsidR="000C3BBD">
        <w:rPr>
          <w:rFonts w:cs="Arial"/>
          <w:sz w:val="20"/>
          <w:szCs w:val="20"/>
        </w:rPr>
        <w:t>r je najmanj po letu 2012 in 332</w:t>
      </w:r>
      <w:r w:rsidRPr="00F85BDF">
        <w:rPr>
          <w:rFonts w:cs="Arial"/>
          <w:sz w:val="20"/>
          <w:szCs w:val="20"/>
        </w:rPr>
        <w:t xml:space="preserve"> milijonov manj kot leta 2014, ko so bile obresti najvišje. </w:t>
      </w:r>
    </w:p>
    <w:p w:rsidR="00F85BDF" w:rsidRPr="00F85BDF" w:rsidRDefault="00F85BDF" w:rsidP="00F33145">
      <w:pPr>
        <w:spacing w:after="0" w:line="240" w:lineRule="atLeast"/>
        <w:jc w:val="left"/>
        <w:rPr>
          <w:rFonts w:cs="Arial"/>
          <w:sz w:val="20"/>
          <w:szCs w:val="20"/>
        </w:rPr>
      </w:pPr>
      <w:r w:rsidRPr="00F85BDF">
        <w:rPr>
          <w:rFonts w:cs="Arial"/>
          <w:sz w:val="20"/>
          <w:szCs w:val="20"/>
        </w:rPr>
        <w:t>Javni dolg bomo leta 2020 znižali na približno 62 % BDP, leta 2021 pa pod mejo 60  % BDP, ki jo kot najvišjo dopustno mejo zadolženosti določajo pravila Evropske unije.</w:t>
      </w:r>
    </w:p>
    <w:p w:rsidR="00F85BDF" w:rsidRPr="00F85BDF" w:rsidRDefault="00F85BDF" w:rsidP="00F33145">
      <w:pPr>
        <w:spacing w:after="0" w:line="240" w:lineRule="atLeast"/>
        <w:jc w:val="left"/>
        <w:rPr>
          <w:rFonts w:cs="Arial"/>
          <w:b/>
          <w:sz w:val="20"/>
          <w:szCs w:val="20"/>
        </w:rPr>
      </w:pPr>
    </w:p>
    <w:p w:rsidR="009A0319" w:rsidRDefault="009A0319" w:rsidP="00F33145">
      <w:pPr>
        <w:spacing w:line="240" w:lineRule="atLeast"/>
        <w:jc w:val="left"/>
        <w:rPr>
          <w:rFonts w:cs="Arial"/>
          <w:sz w:val="20"/>
          <w:szCs w:val="20"/>
        </w:rPr>
      </w:pPr>
      <w:r>
        <w:rPr>
          <w:rFonts w:cs="Arial"/>
          <w:b/>
          <w:bCs/>
          <w:sz w:val="20"/>
          <w:szCs w:val="20"/>
        </w:rPr>
        <w:t xml:space="preserve">Za vas pripravljamo novost </w:t>
      </w:r>
      <w:r>
        <w:rPr>
          <w:rFonts w:cs="Arial"/>
          <w:sz w:val="20"/>
          <w:szCs w:val="20"/>
        </w:rPr>
        <w:t xml:space="preserve">– V prihodnjem letu boste v interaktivnem grafičnem prikazu ključnih podatkov državnega proračuna lahko spremljali, kako zbiramo proračunska sredstva, za katere namene smo jih porabili, kakšni so projekti v vaši regiji ali občini. Veseli bomo vašega odziva glede informativnega letaka, ki je pred vami, po objavi pa tudi glede novega grafičnega prikaza podatkov državnega proračuna, ki ga boste našli na spletni strani </w:t>
      </w:r>
      <w:hyperlink r:id="rId5" w:history="1">
        <w:r>
          <w:rPr>
            <w:rStyle w:val="Hyperlink"/>
            <w:rFonts w:cs="Arial"/>
            <w:color w:val="auto"/>
            <w:sz w:val="20"/>
            <w:szCs w:val="20"/>
          </w:rPr>
          <w:t>https://www.gov.si/podrocja/finance-in-davki/drzavni-proracun/</w:t>
        </w:r>
      </w:hyperlink>
      <w:r>
        <w:rPr>
          <w:rFonts w:cs="Arial"/>
          <w:sz w:val="20"/>
          <w:szCs w:val="20"/>
        </w:rPr>
        <w:t xml:space="preserve">. Odziv lahko pošljete na </w:t>
      </w:r>
      <w:hyperlink r:id="rId6" w:history="1">
        <w:r>
          <w:rPr>
            <w:rStyle w:val="Hyperlink"/>
            <w:rFonts w:cs="Arial"/>
            <w:color w:val="auto"/>
            <w:sz w:val="20"/>
            <w:szCs w:val="20"/>
          </w:rPr>
          <w:t>mf.proracun@mf-rs.si</w:t>
        </w:r>
      </w:hyperlink>
      <w:r>
        <w:rPr>
          <w:rFonts w:cs="Arial"/>
          <w:sz w:val="20"/>
          <w:szCs w:val="20"/>
        </w:rPr>
        <w:t xml:space="preserve">. </w:t>
      </w:r>
    </w:p>
    <w:p w:rsidR="00F85BDF" w:rsidRPr="00F85BDF" w:rsidRDefault="00F85BDF" w:rsidP="00F33145">
      <w:pPr>
        <w:spacing w:after="0" w:line="240" w:lineRule="atLeast"/>
        <w:jc w:val="left"/>
        <w:rPr>
          <w:rFonts w:cs="Arial"/>
          <w:b/>
          <w:sz w:val="20"/>
          <w:szCs w:val="20"/>
        </w:rPr>
      </w:pPr>
      <w:r w:rsidRPr="00F85BDF">
        <w:rPr>
          <w:rFonts w:cs="Arial"/>
          <w:b/>
          <w:sz w:val="20"/>
          <w:szCs w:val="20"/>
        </w:rPr>
        <w:t>Objava proračuna in kontakti</w:t>
      </w:r>
    </w:p>
    <w:p w:rsidR="00F85BDF" w:rsidRPr="00F85BDF" w:rsidRDefault="00F33145" w:rsidP="00F33145">
      <w:pPr>
        <w:spacing w:after="0" w:line="240" w:lineRule="atLeast"/>
        <w:jc w:val="left"/>
        <w:rPr>
          <w:rFonts w:cs="Arial"/>
          <w:sz w:val="20"/>
          <w:szCs w:val="20"/>
        </w:rPr>
      </w:pPr>
      <w:hyperlink r:id="rId7" w:history="1">
        <w:r w:rsidR="00F85BDF" w:rsidRPr="00F85BDF">
          <w:rPr>
            <w:rStyle w:val="Hyperlink"/>
            <w:rFonts w:cs="Arial"/>
            <w:b/>
            <w:sz w:val="20"/>
            <w:szCs w:val="20"/>
          </w:rPr>
          <w:t>https://www.gov.si/teme/sprejeti-proracun/</w:t>
        </w:r>
      </w:hyperlink>
      <w:r w:rsidR="00F85BDF" w:rsidRPr="00F85BDF">
        <w:rPr>
          <w:rFonts w:cs="Arial"/>
          <w:b/>
          <w:sz w:val="20"/>
          <w:szCs w:val="20"/>
        </w:rPr>
        <w:t xml:space="preserve"> </w:t>
      </w:r>
      <w:bookmarkStart w:id="0" w:name="_GoBack"/>
      <w:bookmarkEnd w:id="0"/>
    </w:p>
    <w:sectPr w:rsidR="00F85BDF" w:rsidRPr="00F85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DF"/>
    <w:rsid w:val="000C3BBD"/>
    <w:rsid w:val="00527471"/>
    <w:rsid w:val="007F0D45"/>
    <w:rsid w:val="00920063"/>
    <w:rsid w:val="009A0319"/>
    <w:rsid w:val="00BE3195"/>
    <w:rsid w:val="00E93BB6"/>
    <w:rsid w:val="00F33145"/>
    <w:rsid w:val="00F85B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063"/>
    <w:pPr>
      <w:spacing w:line="240"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B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063"/>
    <w:pPr>
      <w:spacing w:line="240"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B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93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teme/sprejeti-proracu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f.proracun@mf-rs.si" TargetMode="External"/><Relationship Id="rId5" Type="http://schemas.openxmlformats.org/officeDocument/2006/relationships/hyperlink" Target="https://www.gov.si/podrocja/finance-in-davki/drzavni-proracu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MFRS</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2019-11-26T09:08:00Z</dcterms:created>
  <dcterms:modified xsi:type="dcterms:W3CDTF">2019-12-13T13:46:00Z</dcterms:modified>
</cp:coreProperties>
</file>