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C" w:rsidRPr="008B523E" w:rsidRDefault="001C328C" w:rsidP="001C328C">
      <w:pPr>
        <w:pStyle w:val="AODocTxt"/>
        <w:rPr>
          <w:b/>
          <w:bCs/>
        </w:rPr>
      </w:pPr>
      <w:bookmarkStart w:id="0" w:name="_GoBack"/>
      <w:bookmarkEnd w:id="0"/>
      <w:r w:rsidRPr="008B523E">
        <w:rPr>
          <w:b/>
          <w:bCs/>
        </w:rPr>
        <w:t xml:space="preserve">NOT FOR DISTRIBUTION IN OR INTO OR TO ANY PERSON LOCATED OR RESIDENT IN </w:t>
      </w:r>
      <w:r>
        <w:rPr>
          <w:b/>
          <w:bCs/>
        </w:rPr>
        <w:t>ANY JURISDICTION WHERE SUCH DISTRIBUTION WOULD BE UNLAWFUL</w:t>
      </w:r>
      <w:r w:rsidRPr="008B523E">
        <w:rPr>
          <w:b/>
          <w:bCs/>
        </w:rPr>
        <w:t>.</w:t>
      </w:r>
    </w:p>
    <w:p w:rsidR="001C328C" w:rsidRDefault="001C328C" w:rsidP="001C328C">
      <w:pPr>
        <w:pStyle w:val="AODocTxt"/>
      </w:pPr>
      <w:r>
        <w:t>13 October 2020</w:t>
      </w:r>
    </w:p>
    <w:p w:rsidR="001C328C" w:rsidRPr="0096468A" w:rsidRDefault="001C328C" w:rsidP="001C328C">
      <w:pPr>
        <w:pStyle w:val="AODocTxt"/>
      </w:pPr>
      <w:r>
        <w:t xml:space="preserve">THE REPUBLIC OF SLOVENIA </w:t>
      </w:r>
      <w:r w:rsidRPr="008B523E">
        <w:t xml:space="preserve">ANNOUNCES </w:t>
      </w:r>
      <w:r>
        <w:t xml:space="preserve">FINAL ACCEPTANCE AMOUNT, SERIES ACCEPTANCE AMOUNTS AND PRICING FOR THE PURPOSES OF ITS </w:t>
      </w:r>
      <w:r w:rsidRPr="008B523E">
        <w:t xml:space="preserve">TENDER OFFERS FOR </w:t>
      </w:r>
      <w:r>
        <w:t xml:space="preserve">EACH OF </w:t>
      </w:r>
      <w:r w:rsidRPr="008B523E">
        <w:t xml:space="preserve">ITS </w:t>
      </w:r>
      <w:r>
        <w:t xml:space="preserve">OUTSTANDING </w:t>
      </w:r>
      <w:r w:rsidRPr="004D1ECE">
        <w:t>€1,605,866,000 4.375</w:t>
      </w:r>
      <w:r>
        <w:t xml:space="preserve"> PER CENT. NOTES DUE 2021 </w:t>
      </w:r>
      <w:r w:rsidRPr="008B523E">
        <w:t xml:space="preserve">AND </w:t>
      </w:r>
      <w:r w:rsidRPr="004D1ECE">
        <w:t>€1,000,000,000 3.000</w:t>
      </w:r>
      <w:r>
        <w:t xml:space="preserve"> PER CENT. NOTES DUE 2021.</w:t>
      </w:r>
    </w:p>
    <w:p w:rsidR="001C328C" w:rsidRPr="008B523E" w:rsidRDefault="001C328C" w:rsidP="001C328C">
      <w:pPr>
        <w:pStyle w:val="AODocTxt"/>
      </w:pPr>
      <w:r>
        <w:t xml:space="preserve">Further to its announcement on 5 October 2020, The Republic of Slovenia </w:t>
      </w:r>
      <w:r w:rsidRPr="008B523E">
        <w:t>(</w:t>
      </w:r>
      <w:r>
        <w:t>the “</w:t>
      </w:r>
      <w:r>
        <w:rPr>
          <w:b/>
          <w:bCs/>
        </w:rPr>
        <w:t>Issuer</w:t>
      </w:r>
      <w:r>
        <w:t>” or the “</w:t>
      </w:r>
      <w:r>
        <w:rPr>
          <w:b/>
          <w:bCs/>
        </w:rPr>
        <w:t>Republic</w:t>
      </w:r>
      <w:r>
        <w:t>”</w:t>
      </w:r>
      <w:r w:rsidRPr="008B523E">
        <w:t>)</w:t>
      </w:r>
      <w:r>
        <w:t>,</w:t>
      </w:r>
      <w:r w:rsidRPr="008B523E">
        <w:t xml:space="preserve"> </w:t>
      </w:r>
      <w:r>
        <w:t xml:space="preserve">now </w:t>
      </w:r>
      <w:r w:rsidRPr="009D3CDB">
        <w:t xml:space="preserve">announces </w:t>
      </w:r>
      <w:r>
        <w:t xml:space="preserve">the final results and pricing for the purposes </w:t>
      </w:r>
      <w:r w:rsidRPr="009D3CDB">
        <w:t xml:space="preserve">of its invitation </w:t>
      </w:r>
      <w:r w:rsidRPr="008B523E">
        <w:t xml:space="preserve">to </w:t>
      </w:r>
      <w:r w:rsidRPr="00255B1D">
        <w:t xml:space="preserve">eligible </w:t>
      </w:r>
      <w:r w:rsidRPr="008B523E">
        <w:t>holders of its outstanding (i)</w:t>
      </w:r>
      <w:r>
        <w:t xml:space="preserve"> €1,605,866,000 4.375 per cent. Notes due 2021 (ISIN: SI0002103149) (the “</w:t>
      </w:r>
      <w:r>
        <w:rPr>
          <w:b/>
          <w:bCs/>
        </w:rPr>
        <w:t>January 2021 Notes</w:t>
      </w:r>
      <w:r>
        <w:t xml:space="preserve">”) </w:t>
      </w:r>
      <w:r w:rsidRPr="008B523E">
        <w:t>and</w:t>
      </w:r>
      <w:r>
        <w:t>/or</w:t>
      </w:r>
      <w:r w:rsidRPr="008B523E">
        <w:t xml:space="preserve"> </w:t>
      </w:r>
      <w:r>
        <w:t xml:space="preserve">(ii) </w:t>
      </w:r>
      <w:r w:rsidRPr="004D1ECE">
        <w:rPr>
          <w:lang w:val="en-US"/>
        </w:rPr>
        <w:t>€1,000,000,000 3.000 per cent. Notes due 2021 (ISIN: SI0002103388) (the “</w:t>
      </w:r>
      <w:r w:rsidRPr="004D1ECE">
        <w:rPr>
          <w:b/>
          <w:bCs/>
          <w:lang w:val="en-US"/>
        </w:rPr>
        <w:t>April 2021 Notes</w:t>
      </w:r>
      <w:r w:rsidRPr="004D1ECE">
        <w:rPr>
          <w:lang w:val="en-US"/>
        </w:rPr>
        <w:t>” and, together with the January 2021 Notes</w:t>
      </w:r>
      <w:r w:rsidRPr="008B523E">
        <w:t xml:space="preserve">, the </w:t>
      </w:r>
      <w:r>
        <w:t>“</w:t>
      </w:r>
      <w:r w:rsidRPr="0096468A">
        <w:rPr>
          <w:b/>
          <w:bCs/>
        </w:rPr>
        <w:t>Notes</w:t>
      </w:r>
      <w:r>
        <w:t>”</w:t>
      </w:r>
      <w:r w:rsidRPr="0096468A">
        <w:rPr>
          <w:b/>
          <w:bCs/>
        </w:rPr>
        <w:t>)</w:t>
      </w:r>
      <w:r w:rsidRPr="008B523E">
        <w:t xml:space="preserve"> to</w:t>
      </w:r>
      <w:r>
        <w:t xml:space="preserve"> </w:t>
      </w:r>
      <w:r w:rsidRPr="008B523E">
        <w:t xml:space="preserve">tender their Notes for purchase by the </w:t>
      </w:r>
      <w:r>
        <w:t xml:space="preserve">Issuer </w:t>
      </w:r>
      <w:r w:rsidRPr="008B523E">
        <w:t>for cash (each such invitation a</w:t>
      </w:r>
      <w:r>
        <w:t>n</w:t>
      </w:r>
      <w:r w:rsidRPr="008B523E">
        <w:t xml:space="preserve"> </w:t>
      </w:r>
      <w:r>
        <w:t>“</w:t>
      </w:r>
      <w:r w:rsidRPr="0096468A">
        <w:rPr>
          <w:b/>
          <w:bCs/>
        </w:rPr>
        <w:t>Offer</w:t>
      </w:r>
      <w:r>
        <w:t>”</w:t>
      </w:r>
      <w:r w:rsidRPr="008B523E">
        <w:t xml:space="preserve"> and, together, the </w:t>
      </w:r>
      <w:r>
        <w:t>“</w:t>
      </w:r>
      <w:r w:rsidRPr="0096468A">
        <w:rPr>
          <w:b/>
          <w:bCs/>
        </w:rPr>
        <w:t>Offers</w:t>
      </w:r>
      <w:r>
        <w:t>”</w:t>
      </w:r>
      <w:r w:rsidRPr="008B523E">
        <w:t>).</w:t>
      </w:r>
    </w:p>
    <w:p w:rsidR="001C328C" w:rsidRDefault="001C328C" w:rsidP="001C328C">
      <w:pPr>
        <w:pStyle w:val="AODocTxt"/>
      </w:pPr>
      <w:r w:rsidRPr="008B523E">
        <w:t xml:space="preserve">The Offers </w:t>
      </w:r>
      <w:r>
        <w:t xml:space="preserve">were </w:t>
      </w:r>
      <w:r w:rsidRPr="008B523E">
        <w:t xml:space="preserve">made on the terms and subject to the conditions set out in the </w:t>
      </w:r>
      <w:r>
        <w:t xml:space="preserve">Tender </w:t>
      </w:r>
      <w:r w:rsidRPr="008B523E">
        <w:t xml:space="preserve">Offer Memorandum </w:t>
      </w:r>
      <w:r w:rsidRPr="003879D8">
        <w:t xml:space="preserve">dated </w:t>
      </w:r>
      <w:r w:rsidRPr="004D1ECE">
        <w:t>5 October 2020</w:t>
      </w:r>
      <w:r w:rsidRPr="003879D8">
        <w:t xml:space="preserve"> (the </w:t>
      </w:r>
      <w:r>
        <w:t>“</w:t>
      </w:r>
      <w:r w:rsidRPr="003879D8">
        <w:rPr>
          <w:b/>
          <w:bCs/>
        </w:rPr>
        <w:t>Tender Offer Memorandum</w:t>
      </w:r>
      <w:r>
        <w:t>”</w:t>
      </w:r>
      <w:r w:rsidRPr="003879D8">
        <w:t>). Capitalised terms used in this announcement but not defined have the meanings given to them in the Tender Offer Memorandum.</w:t>
      </w:r>
    </w:p>
    <w:p w:rsidR="001C328C" w:rsidRPr="003879D8" w:rsidRDefault="001C328C" w:rsidP="001C328C">
      <w:pPr>
        <w:pStyle w:val="AODocTxt"/>
      </w:pPr>
      <w:r w:rsidRPr="001A78F7">
        <w:t xml:space="preserve">The </w:t>
      </w:r>
      <w:r>
        <w:t>Republic</w:t>
      </w:r>
      <w:r w:rsidRPr="001A78F7">
        <w:t xml:space="preserve"> intends to</w:t>
      </w:r>
      <w:r>
        <w:t xml:space="preserve"> (i) </w:t>
      </w:r>
      <w:r w:rsidRPr="00EE6F2E">
        <w:t xml:space="preserve">accept for purchase </w:t>
      </w:r>
      <w:r>
        <w:t>€</w:t>
      </w:r>
      <w:r w:rsidRPr="000E411E">
        <w:t>172,980,000</w:t>
      </w:r>
      <w:r w:rsidRPr="00AF23C1">
        <w:t xml:space="preserve"> </w:t>
      </w:r>
      <w:r w:rsidRPr="00EE6F2E">
        <w:t>in aggregate nominal amount of the Notes</w:t>
      </w:r>
      <w:r>
        <w:t xml:space="preserve"> (the “</w:t>
      </w:r>
      <w:r w:rsidRPr="00B30C1E">
        <w:rPr>
          <w:b/>
          <w:bCs/>
        </w:rPr>
        <w:t>Final Acceptance Amount</w:t>
      </w:r>
      <w:r>
        <w:t>”); and (ii) accept for purchase Notes validly tendered on a Non-Competitive basis only, pursuant to the Offers set out below.</w:t>
      </w:r>
    </w:p>
    <w:p w:rsidR="001C328C" w:rsidRPr="003879D8" w:rsidRDefault="001C328C" w:rsidP="001C328C">
      <w:pPr>
        <w:pStyle w:val="AODocTxt"/>
      </w:pPr>
      <w:r w:rsidRPr="003879D8">
        <w:t xml:space="preserve">In respect of the </w:t>
      </w:r>
      <w:r>
        <w:t>January 2021</w:t>
      </w:r>
      <w:r w:rsidRPr="003879D8">
        <w:t xml:space="preserve"> Notes Offer, the Issuer now </w:t>
      </w:r>
      <w:r w:rsidRPr="00CB4F70">
        <w:t xml:space="preserve">announces that it has determined that the </w:t>
      </w:r>
      <w:r w:rsidRPr="00223DCC">
        <w:t>January 2021</w:t>
      </w:r>
      <w:r w:rsidRPr="00CB4F70">
        <w:t xml:space="preserve"> Notes </w:t>
      </w:r>
      <w:r>
        <w:t>Purchase Yield</w:t>
      </w:r>
      <w:r w:rsidRPr="00CB4F70">
        <w:t xml:space="preserve"> will be the Maximum Purchase </w:t>
      </w:r>
      <w:r>
        <w:t>Yield</w:t>
      </w:r>
      <w:r w:rsidRPr="00CB4F70">
        <w:t xml:space="preserve"> for the </w:t>
      </w:r>
      <w:r w:rsidRPr="00223DCC">
        <w:t>January 2021</w:t>
      </w:r>
      <w:r w:rsidRPr="00CB4F70">
        <w:t xml:space="preserve"> Notes, being </w:t>
      </w:r>
      <w:r>
        <w:t>-0.500 per cent.</w:t>
      </w:r>
      <w:r w:rsidRPr="00CB4F70">
        <w:t xml:space="preserve">. The Series Acceptance Amount in relation to the </w:t>
      </w:r>
      <w:r w:rsidRPr="00223DCC">
        <w:t>January 2021</w:t>
      </w:r>
      <w:r w:rsidRPr="00CB4F70">
        <w:t xml:space="preserve"> Notes will, subject to satisfaction or waiver of the New Financing Condition, be </w:t>
      </w:r>
      <w:r>
        <w:t>€</w:t>
      </w:r>
      <w:r w:rsidRPr="000E411E">
        <w:t>98,130,000</w:t>
      </w:r>
      <w:r w:rsidRPr="00CB4F70">
        <w:t xml:space="preserve"> and the </w:t>
      </w:r>
      <w:r w:rsidRPr="00223DCC">
        <w:t>January 2021</w:t>
      </w:r>
      <w:r w:rsidRPr="00CB4F70">
        <w:t xml:space="preserve"> Notes Purchase Price will be </w:t>
      </w:r>
      <w:r w:rsidRPr="000E411E">
        <w:t>101.204</w:t>
      </w:r>
      <w:r w:rsidRPr="00CB4F70">
        <w:t xml:space="preserve"> per cent. of the nominal amount of the relevant </w:t>
      </w:r>
      <w:r w:rsidRPr="00223DCC">
        <w:t>January 2021</w:t>
      </w:r>
      <w:r w:rsidRPr="00CB4F70">
        <w:t xml:space="preserve"> Notes. In respect of the </w:t>
      </w:r>
      <w:r w:rsidRPr="00223DCC">
        <w:t>January 2021</w:t>
      </w:r>
      <w:r w:rsidRPr="00CB4F70">
        <w:t xml:space="preserve"> Notes Offer, the Issuer now announces that it has determined, subject to satisfaction or waiver of the New Financing Condition, that it will accept for purchase </w:t>
      </w:r>
      <w:r w:rsidRPr="003F1657">
        <w:t xml:space="preserve">all </w:t>
      </w:r>
      <w:r w:rsidRPr="00223DCC">
        <w:t>January 2021</w:t>
      </w:r>
      <w:r w:rsidRPr="003F1657">
        <w:t xml:space="preserve"> Notes tendered pursuant to valid Non-Competitive Tender Instructions with no </w:t>
      </w:r>
      <w:r w:rsidRPr="003F1657">
        <w:rPr>
          <w:i/>
          <w:iCs/>
        </w:rPr>
        <w:t xml:space="preserve">pro rata </w:t>
      </w:r>
      <w:r w:rsidRPr="003F1657">
        <w:t>scaling</w:t>
      </w:r>
      <w:r w:rsidRPr="00712F15">
        <w:t xml:space="preserve">. The Issuer will not accept for purchase any </w:t>
      </w:r>
      <w:r w:rsidRPr="00223DCC">
        <w:t>January 2021</w:t>
      </w:r>
      <w:r w:rsidRPr="00712F15">
        <w:t xml:space="preserve"> Notes tendered pursuant to valid Competitive Tender Instructions. The Issuer will also pay Accrued Interest in respect of the </w:t>
      </w:r>
      <w:r w:rsidRPr="00223DCC">
        <w:t>January 2021</w:t>
      </w:r>
      <w:r w:rsidRPr="00712F15">
        <w:t xml:space="preserve"> Notes accepted for purchase pursuant to the </w:t>
      </w:r>
      <w:r w:rsidRPr="00223DCC">
        <w:t>January 2021</w:t>
      </w:r>
      <w:r w:rsidRPr="00712F15">
        <w:t xml:space="preserve"> Notes Offer equal to approximately </w:t>
      </w:r>
      <w:r w:rsidRPr="008B6E5F">
        <w:t>3.299</w:t>
      </w:r>
      <w:r w:rsidRPr="00712F15">
        <w:t xml:space="preserve"> per cent. of the nominal amount of the relevant </w:t>
      </w:r>
      <w:r w:rsidRPr="00223DCC">
        <w:t>January 2021</w:t>
      </w:r>
      <w:r w:rsidRPr="00712F15">
        <w:t xml:space="preserve"> Notes.</w:t>
      </w:r>
    </w:p>
    <w:p w:rsidR="001C328C" w:rsidRDefault="001C328C" w:rsidP="001C328C">
      <w:pPr>
        <w:pStyle w:val="AODocTxt"/>
      </w:pPr>
      <w:r w:rsidRPr="003879D8">
        <w:t xml:space="preserve">In respect of the </w:t>
      </w:r>
      <w:r>
        <w:t>April 2021</w:t>
      </w:r>
      <w:r w:rsidRPr="003879D8">
        <w:t xml:space="preserve"> Notes Offer, the Issuer now announces that it has determined that the </w:t>
      </w:r>
      <w:r w:rsidRPr="00223DCC">
        <w:t>April 2021</w:t>
      </w:r>
      <w:r w:rsidRPr="003879D8">
        <w:t xml:space="preserve"> Notes </w:t>
      </w:r>
      <w:r>
        <w:t>Purchase Yield</w:t>
      </w:r>
      <w:r w:rsidRPr="003879D8">
        <w:t xml:space="preserve"> will be </w:t>
      </w:r>
      <w:r w:rsidRPr="00CB4F70">
        <w:t xml:space="preserve">the Maximum Purchase </w:t>
      </w:r>
      <w:r>
        <w:t>Yield</w:t>
      </w:r>
      <w:r w:rsidRPr="00CB4F70">
        <w:t xml:space="preserve"> for the </w:t>
      </w:r>
      <w:r w:rsidRPr="00223DCC">
        <w:t>April 2021</w:t>
      </w:r>
      <w:r w:rsidRPr="00CB4F70">
        <w:t xml:space="preserve"> Notes, being </w:t>
      </w:r>
      <w:r>
        <w:t>-0.500 per cent.. T</w:t>
      </w:r>
      <w:r w:rsidRPr="003879D8">
        <w:t xml:space="preserve">he Series Acceptance Amount in relation to the </w:t>
      </w:r>
      <w:r w:rsidRPr="00223DCC">
        <w:t>April 2021</w:t>
      </w:r>
      <w:r w:rsidRPr="003879D8">
        <w:t xml:space="preserve"> Notes will</w:t>
      </w:r>
      <w:r>
        <w:t>,</w:t>
      </w:r>
      <w:r w:rsidRPr="00CF6637">
        <w:t xml:space="preserve"> </w:t>
      </w:r>
      <w:r w:rsidRPr="003879D8">
        <w:t xml:space="preserve">subject to </w:t>
      </w:r>
      <w:r w:rsidRPr="00CB4F70">
        <w:t xml:space="preserve">satisfaction or waiver of the New Financing Condition, be </w:t>
      </w:r>
      <w:r>
        <w:t>€</w:t>
      </w:r>
      <w:r w:rsidRPr="000E411E">
        <w:t>74,850,000</w:t>
      </w:r>
      <w:r w:rsidRPr="00CB4F70">
        <w:t xml:space="preserve"> and the </w:t>
      </w:r>
      <w:r w:rsidRPr="00223DCC">
        <w:t>April 2021</w:t>
      </w:r>
      <w:r w:rsidRPr="00CB4F70">
        <w:t xml:space="preserve"> Notes Purchase Price will be </w:t>
      </w:r>
      <w:r w:rsidRPr="000E411E">
        <w:t>101.637</w:t>
      </w:r>
      <w:r w:rsidRPr="00CB4F70">
        <w:t xml:space="preserve"> per cent. of the nominal amount of the relevant </w:t>
      </w:r>
      <w:r w:rsidRPr="00223DCC">
        <w:t>April 2021</w:t>
      </w:r>
      <w:r w:rsidRPr="00CB4F70">
        <w:t xml:space="preserve"> Notes. In respect of the </w:t>
      </w:r>
      <w:r w:rsidRPr="00223DCC">
        <w:t>April 2021</w:t>
      </w:r>
      <w:r w:rsidRPr="00CB4F70">
        <w:t xml:space="preserve"> Notes Offer, the Issuer now announces that it has determined, subject to satisfaction or waiver of the New Financing Condition, that it will accept for purchase </w:t>
      </w:r>
      <w:r w:rsidRPr="003F1657">
        <w:t xml:space="preserve">all </w:t>
      </w:r>
      <w:r w:rsidRPr="00223DCC">
        <w:t>April 2021</w:t>
      </w:r>
      <w:r w:rsidRPr="003F1657">
        <w:t xml:space="preserve"> Notes tendered pursuant to valid Non-Competitive Tender Instructions with no </w:t>
      </w:r>
      <w:r w:rsidRPr="003F1657">
        <w:rPr>
          <w:i/>
          <w:iCs/>
        </w:rPr>
        <w:t xml:space="preserve">pro rata </w:t>
      </w:r>
      <w:r w:rsidRPr="003F1657">
        <w:t>scaling</w:t>
      </w:r>
      <w:r w:rsidRPr="00712F15">
        <w:t xml:space="preserve">. The Issuer will not accept for purchase </w:t>
      </w:r>
      <w:r>
        <w:t>any</w:t>
      </w:r>
      <w:r w:rsidRPr="00712F15">
        <w:t xml:space="preserve"> </w:t>
      </w:r>
      <w:r w:rsidRPr="00223DCC">
        <w:t>April 2021</w:t>
      </w:r>
      <w:r w:rsidRPr="00712F15">
        <w:t xml:space="preserve"> Notes tendered pursuant to valid Competitive Tender Instructions. The Issuer will also pay Accrued Interest in respect of the </w:t>
      </w:r>
      <w:r w:rsidRPr="00223DCC">
        <w:t>April 2021</w:t>
      </w:r>
      <w:r w:rsidRPr="00712F15">
        <w:t xml:space="preserve"> Notes accepted for purchase pursuant to the </w:t>
      </w:r>
      <w:r w:rsidRPr="00223DCC">
        <w:t>April 2021</w:t>
      </w:r>
      <w:r w:rsidRPr="00712F15">
        <w:t xml:space="preserve"> Notes Offer equal to approximately </w:t>
      </w:r>
      <w:r w:rsidRPr="008B6E5F">
        <w:t>1.603</w:t>
      </w:r>
      <w:r w:rsidRPr="00712F15">
        <w:t xml:space="preserve"> per cent. of the nominal amount of the relevant </w:t>
      </w:r>
      <w:r w:rsidRPr="00223DCC">
        <w:t>April 2021</w:t>
      </w:r>
      <w:r w:rsidRPr="00712F15">
        <w:t xml:space="preserve"> Notes.</w:t>
      </w:r>
    </w:p>
    <w:p w:rsidR="001C328C" w:rsidRDefault="001C328C" w:rsidP="001C328C">
      <w:pPr>
        <w:pStyle w:val="AODocTxt"/>
        <w:numPr>
          <w:ilvl w:val="0"/>
          <w:numId w:val="0"/>
        </w:numPr>
      </w:pPr>
    </w:p>
    <w:p w:rsidR="001C328C" w:rsidRPr="003879D8" w:rsidRDefault="001C328C" w:rsidP="001C328C">
      <w:pPr>
        <w:pStyle w:val="AODocTxt"/>
        <w:numPr>
          <w:ilvl w:val="0"/>
          <w:numId w:val="0"/>
        </w:numPr>
      </w:pPr>
    </w:p>
    <w:p w:rsidR="001C328C" w:rsidRPr="00A06ECB" w:rsidRDefault="001C328C" w:rsidP="001C328C">
      <w:pPr>
        <w:pStyle w:val="AODocTxt"/>
        <w:spacing w:after="240"/>
        <w:rPr>
          <w:i/>
          <w:iCs/>
        </w:rPr>
      </w:pPr>
      <w:r w:rsidRPr="00A06ECB">
        <w:rPr>
          <w:i/>
          <w:iCs/>
        </w:rPr>
        <w:t xml:space="preserve">A summary of the final pricing of the </w:t>
      </w:r>
      <w:r>
        <w:rPr>
          <w:i/>
          <w:iCs/>
        </w:rPr>
        <w:t>January</w:t>
      </w:r>
      <w:r w:rsidRPr="00223DCC">
        <w:rPr>
          <w:i/>
          <w:iCs/>
        </w:rPr>
        <w:t xml:space="preserve"> 2021</w:t>
      </w:r>
      <w:r w:rsidRPr="00A06ECB">
        <w:rPr>
          <w:i/>
          <w:iCs/>
        </w:rPr>
        <w:t xml:space="preserve"> Notes Offer appears below:</w:t>
      </w:r>
    </w:p>
    <w:tbl>
      <w:tblPr>
        <w:tblW w:w="3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476"/>
        <w:gridCol w:w="2156"/>
        <w:gridCol w:w="1473"/>
      </w:tblGrid>
      <w:tr w:rsidR="001C328C" w:rsidRPr="003879D8" w:rsidTr="00967949">
        <w:tc>
          <w:tcPr>
            <w:tcW w:w="1122" w:type="pct"/>
            <w:shd w:val="clear" w:color="auto" w:fill="auto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bookmarkStart w:id="1" w:name="_Hlk53470007"/>
            <w:r w:rsidRPr="00223DCC">
              <w:rPr>
                <w:rFonts w:eastAsia="Times New Roman"/>
                <w:b/>
                <w:bCs/>
              </w:rPr>
              <w:lastRenderedPageBreak/>
              <w:t>January 2021</w:t>
            </w:r>
            <w:r w:rsidRPr="003879D8">
              <w:rPr>
                <w:rFonts w:eastAsia="Times New Roman"/>
                <w:b/>
                <w:bCs/>
              </w:rPr>
              <w:t xml:space="preserve"> Notes Purchase Yield</w:t>
            </w:r>
          </w:p>
        </w:tc>
        <w:tc>
          <w:tcPr>
            <w:tcW w:w="1121" w:type="pct"/>
            <w:shd w:val="clear" w:color="auto" w:fill="auto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 w:rsidRPr="00223DCC">
              <w:rPr>
                <w:rFonts w:eastAsia="Times New Roman"/>
                <w:b/>
                <w:bCs/>
              </w:rPr>
              <w:t>January 2021</w:t>
            </w:r>
            <w:r w:rsidRPr="003879D8">
              <w:rPr>
                <w:rFonts w:eastAsia="Times New Roman"/>
                <w:b/>
                <w:bCs/>
              </w:rPr>
              <w:t xml:space="preserve"> Notes Purchase Price</w:t>
            </w:r>
          </w:p>
        </w:tc>
        <w:tc>
          <w:tcPr>
            <w:tcW w:w="1638" w:type="pct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Series Acceptance Amount</w:t>
            </w:r>
          </w:p>
        </w:tc>
        <w:tc>
          <w:tcPr>
            <w:tcW w:w="1119" w:type="pct"/>
          </w:tcPr>
          <w:p w:rsidR="001C328C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Accrued Interest </w:t>
            </w:r>
          </w:p>
        </w:tc>
      </w:tr>
      <w:tr w:rsidR="001C328C" w:rsidRPr="003879D8" w:rsidTr="00967949">
        <w:tc>
          <w:tcPr>
            <w:tcW w:w="1122" w:type="pct"/>
            <w:shd w:val="clear" w:color="auto" w:fill="auto"/>
          </w:tcPr>
          <w:p w:rsidR="001C328C" w:rsidRPr="003879D8" w:rsidRDefault="001C328C" w:rsidP="0068211A">
            <w:pPr>
              <w:pStyle w:val="AODocTxt"/>
              <w:numPr>
                <w:ilvl w:val="0"/>
                <w:numId w:val="0"/>
              </w:numPr>
            </w:pPr>
            <w:r w:rsidRPr="000E411E">
              <w:rPr>
                <w:rFonts w:eastAsia="Times New Roman"/>
              </w:rPr>
              <w:t>-0.50</w:t>
            </w:r>
            <w:r>
              <w:rPr>
                <w:rFonts w:eastAsia="Times New Roman"/>
              </w:rPr>
              <w:t>0</w:t>
            </w:r>
            <w:r>
              <w:rPr>
                <w:rFonts w:ascii="Expert Sans Regular" w:hAnsi="Expert Sans Regular"/>
              </w:rPr>
              <w:t xml:space="preserve"> </w:t>
            </w:r>
            <w:r w:rsidRPr="003879D8">
              <w:t>per cent.</w:t>
            </w:r>
            <w:r>
              <w:t xml:space="preserve"> </w:t>
            </w:r>
          </w:p>
        </w:tc>
        <w:tc>
          <w:tcPr>
            <w:tcW w:w="1121" w:type="pct"/>
            <w:shd w:val="clear" w:color="auto" w:fill="auto"/>
          </w:tcPr>
          <w:p w:rsidR="001C328C" w:rsidRPr="003879D8" w:rsidRDefault="001C328C" w:rsidP="00967949">
            <w:pPr>
              <w:pStyle w:val="AODocTxt"/>
              <w:numPr>
                <w:ilvl w:val="0"/>
                <w:numId w:val="0"/>
              </w:numPr>
            </w:pPr>
            <w:r w:rsidRPr="000E411E">
              <w:rPr>
                <w:rFonts w:eastAsia="Times New Roman"/>
              </w:rPr>
              <w:t>101.204</w:t>
            </w:r>
            <w:r>
              <w:rPr>
                <w:rFonts w:ascii="Expert Sans Regular" w:hAnsi="Expert Sans Regular"/>
              </w:rPr>
              <w:t xml:space="preserve"> </w:t>
            </w:r>
            <w:r w:rsidRPr="003879D8">
              <w:t>per cent.</w:t>
            </w:r>
          </w:p>
        </w:tc>
        <w:tc>
          <w:tcPr>
            <w:tcW w:w="1638" w:type="pct"/>
          </w:tcPr>
          <w:p w:rsidR="001C328C" w:rsidRPr="00B24BF8" w:rsidRDefault="001C328C" w:rsidP="00967949">
            <w:pPr>
              <w:pStyle w:val="AODocTxt"/>
              <w:rPr>
                <w:rFonts w:ascii="Expert Sans Regular" w:hAnsi="Expert Sans Regular"/>
              </w:rPr>
            </w:pPr>
            <w:r w:rsidRPr="003F202F">
              <w:t>€</w:t>
            </w:r>
            <w:r w:rsidRPr="000E411E">
              <w:t>98,130,000</w:t>
            </w:r>
          </w:p>
        </w:tc>
        <w:tc>
          <w:tcPr>
            <w:tcW w:w="1119" w:type="pct"/>
          </w:tcPr>
          <w:p w:rsidR="001C328C" w:rsidRDefault="001C328C" w:rsidP="00967949">
            <w:pPr>
              <w:pStyle w:val="AODocTxt"/>
            </w:pPr>
            <w:r w:rsidRPr="008B6E5F">
              <w:rPr>
                <w:rFonts w:eastAsia="Times New Roman"/>
              </w:rPr>
              <w:t>3.299</w:t>
            </w:r>
            <w:r>
              <w:t xml:space="preserve"> per cent.</w:t>
            </w:r>
          </w:p>
          <w:p w:rsidR="001C328C" w:rsidRPr="003879D8" w:rsidRDefault="001C328C" w:rsidP="00967949">
            <w:pPr>
              <w:pStyle w:val="AODocTxt"/>
            </w:pPr>
          </w:p>
        </w:tc>
      </w:tr>
    </w:tbl>
    <w:p w:rsidR="001C328C" w:rsidRPr="00A06ECB" w:rsidRDefault="001C328C" w:rsidP="001C328C">
      <w:pPr>
        <w:pStyle w:val="AODocTxt"/>
        <w:spacing w:after="240"/>
        <w:rPr>
          <w:i/>
          <w:iCs/>
        </w:rPr>
      </w:pPr>
      <w:r w:rsidRPr="00A06ECB">
        <w:rPr>
          <w:i/>
          <w:iCs/>
        </w:rPr>
        <w:t xml:space="preserve">A summary of the final pricing of the </w:t>
      </w:r>
      <w:r w:rsidRPr="00223DCC">
        <w:rPr>
          <w:i/>
          <w:iCs/>
        </w:rPr>
        <w:t>April 2021</w:t>
      </w:r>
      <w:r w:rsidRPr="00A06ECB">
        <w:rPr>
          <w:i/>
          <w:iCs/>
        </w:rPr>
        <w:t xml:space="preserve"> Notes Offer appears below:</w:t>
      </w:r>
    </w:p>
    <w:tbl>
      <w:tblPr>
        <w:tblW w:w="3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476"/>
        <w:gridCol w:w="2156"/>
        <w:gridCol w:w="1473"/>
      </w:tblGrid>
      <w:tr w:rsidR="001C328C" w:rsidRPr="003879D8" w:rsidTr="00967949">
        <w:tc>
          <w:tcPr>
            <w:tcW w:w="1122" w:type="pct"/>
            <w:shd w:val="clear" w:color="auto" w:fill="auto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 w:rsidRPr="00223DCC">
              <w:rPr>
                <w:rFonts w:eastAsia="Times New Roman"/>
                <w:b/>
                <w:bCs/>
              </w:rPr>
              <w:t>April 2021</w:t>
            </w:r>
            <w:r w:rsidRPr="003879D8">
              <w:rPr>
                <w:rFonts w:eastAsia="Times New Roman"/>
                <w:b/>
                <w:bCs/>
              </w:rPr>
              <w:t xml:space="preserve"> Notes Purchase Yield</w:t>
            </w:r>
          </w:p>
        </w:tc>
        <w:tc>
          <w:tcPr>
            <w:tcW w:w="1121" w:type="pct"/>
            <w:shd w:val="clear" w:color="auto" w:fill="auto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 w:rsidRPr="00223DCC">
              <w:rPr>
                <w:rFonts w:eastAsia="Times New Roman"/>
                <w:b/>
                <w:bCs/>
              </w:rPr>
              <w:t>April 2021</w:t>
            </w:r>
            <w:r w:rsidRPr="003879D8">
              <w:rPr>
                <w:rFonts w:eastAsia="Times New Roman"/>
                <w:b/>
                <w:bCs/>
              </w:rPr>
              <w:t xml:space="preserve"> Notes Purchase Price</w:t>
            </w:r>
          </w:p>
        </w:tc>
        <w:tc>
          <w:tcPr>
            <w:tcW w:w="1638" w:type="pct"/>
          </w:tcPr>
          <w:p w:rsidR="001C328C" w:rsidRPr="003879D8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Series Acceptance Amount</w:t>
            </w:r>
          </w:p>
        </w:tc>
        <w:tc>
          <w:tcPr>
            <w:tcW w:w="1119" w:type="pct"/>
          </w:tcPr>
          <w:p w:rsidR="001C328C" w:rsidRDefault="001C328C" w:rsidP="00967949">
            <w:pPr>
              <w:pStyle w:val="AODocTxt"/>
              <w:spacing w:before="0"/>
              <w:jc w:val="lef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Accrued Interest </w:t>
            </w:r>
          </w:p>
        </w:tc>
      </w:tr>
      <w:tr w:rsidR="001C328C" w:rsidRPr="003879D8" w:rsidTr="00967949">
        <w:trPr>
          <w:trHeight w:val="1023"/>
        </w:trPr>
        <w:tc>
          <w:tcPr>
            <w:tcW w:w="1122" w:type="pct"/>
            <w:shd w:val="clear" w:color="auto" w:fill="auto"/>
          </w:tcPr>
          <w:p w:rsidR="001C328C" w:rsidRPr="00BB543C" w:rsidRDefault="001C328C" w:rsidP="00967949">
            <w:pPr>
              <w:pStyle w:val="AODocTxt"/>
            </w:pPr>
            <w:r w:rsidRPr="000E411E">
              <w:rPr>
                <w:rFonts w:eastAsia="Times New Roman"/>
              </w:rPr>
              <w:t>-0.50</w:t>
            </w:r>
            <w:r>
              <w:rPr>
                <w:rFonts w:eastAsia="Times New Roman"/>
              </w:rPr>
              <w:t xml:space="preserve">0 </w:t>
            </w:r>
            <w:r w:rsidRPr="00BB543C">
              <w:t>per cent.</w:t>
            </w:r>
            <w:r>
              <w:t xml:space="preserve"> </w:t>
            </w:r>
          </w:p>
        </w:tc>
        <w:tc>
          <w:tcPr>
            <w:tcW w:w="1121" w:type="pct"/>
            <w:shd w:val="clear" w:color="auto" w:fill="auto"/>
          </w:tcPr>
          <w:p w:rsidR="001C328C" w:rsidRPr="00BB543C" w:rsidRDefault="001C328C" w:rsidP="00967949">
            <w:pPr>
              <w:pStyle w:val="AODocTxt"/>
              <w:numPr>
                <w:ilvl w:val="0"/>
                <w:numId w:val="0"/>
              </w:numPr>
            </w:pPr>
            <w:r w:rsidRPr="000E411E">
              <w:rPr>
                <w:rFonts w:eastAsia="Times New Roman"/>
              </w:rPr>
              <w:t>101.637</w:t>
            </w:r>
            <w:r>
              <w:rPr>
                <w:rFonts w:eastAsia="Times New Roman"/>
              </w:rPr>
              <w:t xml:space="preserve"> </w:t>
            </w:r>
            <w:r w:rsidRPr="00BB543C">
              <w:t>per cent.</w:t>
            </w:r>
          </w:p>
        </w:tc>
        <w:tc>
          <w:tcPr>
            <w:tcW w:w="1638" w:type="pct"/>
          </w:tcPr>
          <w:p w:rsidR="001C328C" w:rsidRPr="00BC2D9C" w:rsidRDefault="001C328C" w:rsidP="00967949">
            <w:pPr>
              <w:pStyle w:val="AODocTxt"/>
              <w:rPr>
                <w:rFonts w:ascii="Expert Sans Regular" w:hAnsi="Expert Sans Regular"/>
              </w:rPr>
            </w:pPr>
            <w:r w:rsidRPr="003F202F">
              <w:t>€</w:t>
            </w:r>
            <w:r w:rsidRPr="000E411E">
              <w:t>74,850,000</w:t>
            </w:r>
          </w:p>
        </w:tc>
        <w:tc>
          <w:tcPr>
            <w:tcW w:w="1119" w:type="pct"/>
          </w:tcPr>
          <w:p w:rsidR="001C328C" w:rsidRPr="003879D8" w:rsidRDefault="001C328C" w:rsidP="00967949">
            <w:pPr>
              <w:pStyle w:val="AODocTxt"/>
              <w:numPr>
                <w:ilvl w:val="0"/>
                <w:numId w:val="0"/>
              </w:numPr>
            </w:pPr>
            <w:r w:rsidRPr="008B6E5F">
              <w:rPr>
                <w:rFonts w:eastAsia="Times New Roman"/>
              </w:rPr>
              <w:t>1.603</w:t>
            </w:r>
            <w:r>
              <w:rPr>
                <w:rFonts w:eastAsia="Times New Roman"/>
              </w:rPr>
              <w:t xml:space="preserve"> </w:t>
            </w:r>
            <w:r>
              <w:t>per cent.</w:t>
            </w:r>
          </w:p>
        </w:tc>
      </w:tr>
    </w:tbl>
    <w:bookmarkEnd w:id="1"/>
    <w:p w:rsidR="001C328C" w:rsidRDefault="001C328C" w:rsidP="001C328C">
      <w:pPr>
        <w:pStyle w:val="AODocTxt"/>
        <w:numPr>
          <w:ilvl w:val="0"/>
          <w:numId w:val="0"/>
        </w:numPr>
      </w:pPr>
      <w:r w:rsidRPr="0018084C">
        <w:t xml:space="preserve">The expected Settlement Date for the Offers is </w:t>
      </w:r>
      <w:r>
        <w:t>20 October 2020</w:t>
      </w:r>
      <w:r w:rsidRPr="0018084C">
        <w:t>.</w:t>
      </w:r>
    </w:p>
    <w:p w:rsidR="001C328C" w:rsidRDefault="001C328C" w:rsidP="001C328C">
      <w:pPr>
        <w:pStyle w:val="AODocTxt"/>
      </w:pPr>
      <w:r w:rsidRPr="00CB4F70">
        <w:t xml:space="preserve">Barclays Bank PLC, BNP Paribas, </w:t>
      </w:r>
      <w:r w:rsidRPr="00434E4D">
        <w:t>Commerzbank Aktiengesellschaft</w:t>
      </w:r>
      <w:r w:rsidRPr="00CB4F70">
        <w:t>, Goldman Sachs International Bank</w:t>
      </w:r>
      <w:r>
        <w:t>,</w:t>
      </w:r>
      <w:r w:rsidRPr="00CB4F70">
        <w:t xml:space="preserve"> </w:t>
      </w:r>
      <w:r>
        <w:t>J.P. Morgan Securities plc</w:t>
      </w:r>
      <w:r w:rsidRPr="00CB4F70" w:rsidDel="00CB4F70">
        <w:t xml:space="preserve"> </w:t>
      </w:r>
      <w:r>
        <w:t xml:space="preserve">and UniCredit Banka Slovenija d.d. </w:t>
      </w:r>
      <w:r w:rsidRPr="00B25A88">
        <w:t>are acting as Dealer Managers.</w:t>
      </w:r>
    </w:p>
    <w:tbl>
      <w:tblPr>
        <w:tblpPr w:leftFromText="180" w:rightFromText="180" w:vertAnchor="text" w:horzAnchor="margin" w:tblpY="20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C328C" w:rsidRPr="00F548C7" w:rsidTr="00967949">
        <w:tc>
          <w:tcPr>
            <w:tcW w:w="9243" w:type="dxa"/>
            <w:gridSpan w:val="2"/>
            <w:shd w:val="clear" w:color="auto" w:fill="auto"/>
          </w:tcPr>
          <w:p w:rsidR="001C328C" w:rsidRPr="00F548C7" w:rsidRDefault="001C328C" w:rsidP="00967949">
            <w:pPr>
              <w:pStyle w:val="DocText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</w:pPr>
            <w:r w:rsidRPr="00F548C7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Dealer Managers</w:t>
            </w:r>
            <w:r w:rsidRPr="00F548C7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br/>
            </w:r>
          </w:p>
        </w:tc>
      </w:tr>
      <w:tr w:rsidR="001C328C" w:rsidRPr="00F548C7" w:rsidTr="00967949">
        <w:tc>
          <w:tcPr>
            <w:tcW w:w="4621" w:type="dxa"/>
            <w:shd w:val="clear" w:color="auto" w:fill="auto"/>
          </w:tcPr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Barclays Bank PLC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 The North Colonnade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Canary Wharf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London E14 4BB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United Kingdom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Telephone: +44 20 3134 8515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Attention: Liability Management Group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Email: eu.lm@barclays.com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1C328C" w:rsidRPr="00F548C7" w:rsidRDefault="001C328C" w:rsidP="00967949">
            <w:pPr>
              <w:pStyle w:val="DocText"/>
              <w:jc w:val="center"/>
              <w:rPr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BNP Paribas</w:t>
            </w:r>
          </w:p>
          <w:p w:rsidR="001C328C" w:rsidRDefault="001C328C" w:rsidP="00967949">
            <w:pPr>
              <w:keepNext/>
              <w:jc w:val="center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16, boulevard des Italiens</w:t>
            </w:r>
          </w:p>
          <w:p w:rsidR="001C328C" w:rsidRDefault="001C328C" w:rsidP="00967949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75009 Paris</w:t>
            </w:r>
          </w:p>
          <w:p w:rsidR="001C328C" w:rsidRDefault="001C328C" w:rsidP="00967949">
            <w:pPr>
              <w:keepNext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France</w:t>
            </w:r>
          </w:p>
          <w:p w:rsidR="001C328C" w:rsidRDefault="001C328C" w:rsidP="00967949">
            <w:pPr>
              <w:pStyle w:val="Doc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+33 1 55 77 78 94</w:t>
            </w:r>
            <w:r>
              <w:rPr>
                <w:sz w:val="18"/>
                <w:szCs w:val="18"/>
              </w:rPr>
              <w:br/>
              <w:t>Attention: Liability Management Group</w:t>
            </w:r>
            <w:r>
              <w:rPr>
                <w:sz w:val="18"/>
                <w:szCs w:val="18"/>
              </w:rPr>
              <w:br/>
              <w:t>Email: liability.management@bnpparibas.com</w:t>
            </w:r>
          </w:p>
          <w:p w:rsidR="001C328C" w:rsidRPr="00F548C7" w:rsidRDefault="001C328C" w:rsidP="00967949">
            <w:pPr>
              <w:pStyle w:val="DocText"/>
              <w:jc w:val="center"/>
              <w:rPr>
                <w:sz w:val="18"/>
                <w:szCs w:val="18"/>
              </w:rPr>
            </w:pPr>
          </w:p>
        </w:tc>
      </w:tr>
      <w:tr w:rsidR="001C328C" w:rsidRPr="00F548C7" w:rsidTr="00967949">
        <w:tc>
          <w:tcPr>
            <w:tcW w:w="4621" w:type="dxa"/>
            <w:shd w:val="clear" w:color="auto" w:fill="auto"/>
          </w:tcPr>
          <w:p w:rsidR="001C328C" w:rsidRPr="00831C68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  <w:lang w:val="de-DE"/>
              </w:rPr>
            </w:pPr>
            <w:r w:rsidRPr="00831C68">
              <w:rPr>
                <w:b/>
                <w:bCs/>
                <w:sz w:val="18"/>
                <w:szCs w:val="18"/>
                <w:lang w:val="de-DE"/>
              </w:rPr>
              <w:t>Commerzbank Aktiengesellschaft</w:t>
            </w:r>
            <w:r w:rsidRPr="00831C68">
              <w:rPr>
                <w:sz w:val="18"/>
                <w:szCs w:val="18"/>
                <w:lang w:val="de-DE"/>
              </w:rPr>
              <w:t xml:space="preserve"> </w:t>
            </w:r>
            <w:r w:rsidRPr="00831C68">
              <w:rPr>
                <w:sz w:val="18"/>
                <w:szCs w:val="18"/>
                <w:lang w:val="de-DE"/>
              </w:rPr>
              <w:br/>
              <w:t xml:space="preserve"> Kaiserstraße 16 (Kaiserplatz)</w:t>
            </w:r>
            <w:r w:rsidRPr="00831C68">
              <w:rPr>
                <w:sz w:val="18"/>
                <w:szCs w:val="18"/>
                <w:lang w:val="de-DE"/>
              </w:rPr>
              <w:br/>
              <w:t>60311 Frankfurt am Main</w:t>
            </w:r>
            <w:r w:rsidRPr="00831C68">
              <w:rPr>
                <w:sz w:val="18"/>
                <w:szCs w:val="18"/>
                <w:lang w:val="de-DE"/>
              </w:rPr>
              <w:br/>
              <w:t>Federal Republic of Germany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1C328C">
              <w:rPr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</w:rPr>
              <w:t>Telephone: +49 69 1365 9920</w:t>
            </w:r>
            <w:r>
              <w:rPr>
                <w:sz w:val="18"/>
                <w:szCs w:val="18"/>
              </w:rPr>
              <w:br/>
              <w:t>Attention: Liability Management Group</w:t>
            </w:r>
            <w:r>
              <w:rPr>
                <w:sz w:val="18"/>
                <w:szCs w:val="18"/>
              </w:rPr>
              <w:br/>
              <w:t xml:space="preserve">Email: Liability.Management@commerzbank.com 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</w:p>
          <w:p w:rsidR="001C328C" w:rsidRPr="00F548C7" w:rsidRDefault="001C328C" w:rsidP="00967949">
            <w:pPr>
              <w:pStyle w:val="DocTex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Goldman Sachs International Bank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Plumtree Court</w:t>
            </w:r>
            <w:r>
              <w:rPr>
                <w:sz w:val="18"/>
                <w:szCs w:val="18"/>
              </w:rPr>
              <w:br/>
              <w:t xml:space="preserve">25 Shoe Lane </w:t>
            </w:r>
            <w:r>
              <w:rPr>
                <w:sz w:val="18"/>
                <w:szCs w:val="18"/>
              </w:rPr>
              <w:br/>
              <w:t>London EC4A 4AU</w:t>
            </w:r>
            <w:r>
              <w:rPr>
                <w:sz w:val="18"/>
                <w:szCs w:val="18"/>
              </w:rPr>
              <w:br/>
              <w:t>United Kingdom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+44 20 7552 6157</w:t>
            </w: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liabilitymanagement.eu@gs.com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C328C" w:rsidRDefault="001C328C" w:rsidP="001C328C">
            <w:pPr>
              <w:pStyle w:val="AODocTxt"/>
              <w:keepNext/>
              <w:numPr>
                <w:ilvl w:val="0"/>
                <w:numId w:val="3"/>
              </w:numPr>
              <w:spacing w:before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C328C" w:rsidRPr="00F548C7" w:rsidRDefault="001C328C" w:rsidP="00967949">
            <w:pPr>
              <w:pStyle w:val="DocText"/>
              <w:jc w:val="center"/>
              <w:rPr>
                <w:sz w:val="18"/>
                <w:szCs w:val="18"/>
              </w:rPr>
            </w:pPr>
          </w:p>
        </w:tc>
      </w:tr>
      <w:tr w:rsidR="001C328C" w:rsidRPr="00F548C7" w:rsidTr="00967949">
        <w:tc>
          <w:tcPr>
            <w:tcW w:w="4621" w:type="dxa"/>
            <w:shd w:val="clear" w:color="auto" w:fill="auto"/>
          </w:tcPr>
          <w:p w:rsidR="001C328C" w:rsidRDefault="001C328C" w:rsidP="00967949">
            <w:pPr>
              <w:pStyle w:val="DocTex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J.P. Morgan Securities plc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25 Bank Street</w:t>
            </w:r>
            <w:r>
              <w:rPr>
                <w:sz w:val="18"/>
                <w:szCs w:val="18"/>
              </w:rPr>
              <w:br/>
              <w:t>Canary Wharf</w:t>
            </w:r>
            <w:r>
              <w:rPr>
                <w:sz w:val="18"/>
                <w:szCs w:val="18"/>
              </w:rPr>
              <w:br/>
              <w:t>London E14 5JP</w:t>
            </w:r>
          </w:p>
          <w:p w:rsidR="001C328C" w:rsidRDefault="001C328C" w:rsidP="00967949">
            <w:pPr>
              <w:pStyle w:val="DocText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United Kingdom</w:t>
            </w:r>
          </w:p>
          <w:p w:rsidR="001C328C" w:rsidRDefault="001C328C" w:rsidP="00967949">
            <w:pPr>
              <w:pStyle w:val="DocText"/>
              <w:spacing w:before="0"/>
              <w:jc w:val="center"/>
              <w:rPr>
                <w:sz w:val="18"/>
                <w:szCs w:val="18"/>
              </w:rPr>
            </w:pP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+44 20 7134 2468</w:t>
            </w:r>
            <w:r>
              <w:rPr>
                <w:sz w:val="18"/>
                <w:szCs w:val="18"/>
              </w:rPr>
              <w:br/>
              <w:t>Attention: Liability Management</w:t>
            </w:r>
            <w:r>
              <w:rPr>
                <w:sz w:val="18"/>
                <w:szCs w:val="18"/>
              </w:rPr>
              <w:br/>
              <w:t>Email: em_europe_lm@jpmorgan.com</w:t>
            </w:r>
          </w:p>
          <w:p w:rsidR="001C328C" w:rsidRDefault="001C328C" w:rsidP="00967949">
            <w:pPr>
              <w:pStyle w:val="AODocTxt"/>
              <w:keepNext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C328C" w:rsidRPr="00906DDD" w:rsidDel="00434E4D" w:rsidRDefault="001C328C" w:rsidP="00967949">
            <w:pPr>
              <w:pStyle w:val="DocText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:rsidR="001C328C" w:rsidRPr="00831C68" w:rsidRDefault="001C328C" w:rsidP="00967949">
            <w:pPr>
              <w:pStyle w:val="DocText"/>
              <w:jc w:val="center"/>
              <w:rPr>
                <w:bCs/>
                <w:sz w:val="18"/>
                <w:szCs w:val="18"/>
                <w:lang w:val="it-IT"/>
              </w:rPr>
            </w:pPr>
            <w:r w:rsidRPr="00831C68">
              <w:rPr>
                <w:b/>
                <w:sz w:val="18"/>
                <w:szCs w:val="18"/>
                <w:lang w:val="it-IT"/>
              </w:rPr>
              <w:lastRenderedPageBreak/>
              <w:t>UniCredit Banka Slovenija d.d.</w:t>
            </w:r>
            <w:r w:rsidRPr="00831C68">
              <w:rPr>
                <w:b/>
                <w:sz w:val="18"/>
                <w:szCs w:val="18"/>
                <w:lang w:val="it-IT"/>
              </w:rPr>
              <w:br/>
            </w:r>
            <w:r w:rsidRPr="00831C68">
              <w:rPr>
                <w:bCs/>
                <w:sz w:val="18"/>
                <w:szCs w:val="18"/>
                <w:lang w:val="it-IT"/>
              </w:rPr>
              <w:t>Šmartinska cesta 140</w:t>
            </w:r>
            <w:r w:rsidRPr="00831C68">
              <w:rPr>
                <w:b/>
                <w:sz w:val="18"/>
                <w:szCs w:val="18"/>
                <w:lang w:val="it-IT"/>
              </w:rPr>
              <w:br/>
            </w:r>
            <w:r w:rsidRPr="00831C68">
              <w:rPr>
                <w:bCs/>
                <w:sz w:val="18"/>
                <w:szCs w:val="18"/>
                <w:lang w:val="it-IT"/>
              </w:rPr>
              <w:t>1000 Ljubljana</w:t>
            </w:r>
            <w:r w:rsidRPr="00831C68">
              <w:rPr>
                <w:bCs/>
                <w:sz w:val="18"/>
                <w:szCs w:val="18"/>
                <w:lang w:val="it-IT"/>
              </w:rPr>
              <w:br/>
              <w:t>Slovenia</w:t>
            </w:r>
          </w:p>
          <w:p w:rsidR="001C328C" w:rsidRDefault="001C328C" w:rsidP="00967949">
            <w:pPr>
              <w:pStyle w:val="DocTex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Telephone: +49 89 378 15150</w:t>
            </w:r>
            <w:r>
              <w:rPr>
                <w:bCs/>
                <w:sz w:val="18"/>
                <w:szCs w:val="18"/>
              </w:rPr>
              <w:br/>
              <w:t>Attention: Liability Management</w:t>
            </w:r>
          </w:p>
          <w:p w:rsidR="001C328C" w:rsidRPr="00F548C7" w:rsidRDefault="001C328C" w:rsidP="00967949">
            <w:pPr>
              <w:pStyle w:val="DocText"/>
              <w:jc w:val="center"/>
              <w:rPr>
                <w:b/>
              </w:rPr>
            </w:pPr>
            <w:r>
              <w:rPr>
                <w:bCs/>
                <w:sz w:val="18"/>
                <w:szCs w:val="18"/>
              </w:rPr>
              <w:t>Email: liability.management@unicredit.de</w:t>
            </w:r>
          </w:p>
        </w:tc>
      </w:tr>
    </w:tbl>
    <w:p w:rsidR="001C328C" w:rsidRDefault="001C328C" w:rsidP="001C328C">
      <w:pPr>
        <w:pStyle w:val="AODocTxt"/>
        <w:numPr>
          <w:ilvl w:val="0"/>
          <w:numId w:val="0"/>
        </w:numPr>
        <w:spacing w:before="0" w:line="240" w:lineRule="auto"/>
      </w:pPr>
    </w:p>
    <w:p w:rsidR="001C328C" w:rsidRPr="00B25A88" w:rsidRDefault="001C328C" w:rsidP="001C328C">
      <w:pPr>
        <w:pStyle w:val="AODocTxt"/>
        <w:numPr>
          <w:ilvl w:val="0"/>
          <w:numId w:val="0"/>
        </w:numPr>
        <w:spacing w:before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226"/>
      </w:tblGrid>
      <w:tr w:rsidR="001C328C" w:rsidRPr="00D27F18" w:rsidTr="00967949">
        <w:tc>
          <w:tcPr>
            <w:tcW w:w="9855" w:type="dxa"/>
            <w:gridSpan w:val="3"/>
            <w:shd w:val="clear" w:color="auto" w:fill="auto"/>
          </w:tcPr>
          <w:p w:rsidR="001C328C" w:rsidRPr="00434E4D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KDD</w:t>
            </w:r>
          </w:p>
        </w:tc>
      </w:tr>
      <w:tr w:rsidR="001C328C" w:rsidRPr="00D27F18" w:rsidTr="00967949">
        <w:tc>
          <w:tcPr>
            <w:tcW w:w="9855" w:type="dxa"/>
            <w:gridSpan w:val="3"/>
            <w:shd w:val="clear" w:color="auto" w:fill="auto"/>
          </w:tcPr>
          <w:p w:rsidR="001C328C" w:rsidRDefault="001C328C" w:rsidP="00967949">
            <w:pPr>
              <w:pStyle w:val="DocText"/>
              <w:jc w:val="center"/>
              <w:rPr>
                <w:b/>
                <w:bCs/>
                <w:sz w:val="18"/>
                <w:szCs w:val="18"/>
                <w:lang w:val="sl-SI"/>
              </w:rPr>
            </w:pPr>
            <w:r>
              <w:rPr>
                <w:b/>
                <w:bCs/>
                <w:sz w:val="18"/>
                <w:szCs w:val="18"/>
                <w:lang w:val="sl-SI"/>
              </w:rPr>
              <w:t xml:space="preserve">KDD - Centralna klirinško depotna družba, d.o.o. </w:t>
            </w:r>
          </w:p>
          <w:p w:rsidR="001C328C" w:rsidRDefault="001C328C" w:rsidP="00967949">
            <w:pPr>
              <w:pStyle w:val="DocText"/>
              <w:jc w:val="center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Tivolska 48</w:t>
            </w:r>
            <w:r>
              <w:rPr>
                <w:sz w:val="18"/>
                <w:szCs w:val="18"/>
                <w:lang w:val="sl-SI"/>
              </w:rPr>
              <w:br/>
              <w:t>1542 Ljubljana</w:t>
            </w:r>
            <w:r>
              <w:rPr>
                <w:sz w:val="18"/>
                <w:szCs w:val="18"/>
                <w:lang w:val="sl-SI"/>
              </w:rPr>
              <w:br/>
              <w:t>Slovenia</w:t>
            </w:r>
          </w:p>
          <w:p w:rsidR="001C328C" w:rsidRPr="00D27F18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sl-SI"/>
              </w:rPr>
              <w:t>Telephone: +386 1 307 35 61</w:t>
            </w:r>
            <w:r>
              <w:rPr>
                <w:sz w:val="18"/>
                <w:szCs w:val="18"/>
                <w:lang w:val="sl-SI"/>
              </w:rPr>
              <w:br/>
              <w:t xml:space="preserve">Email: </w:t>
            </w:r>
            <w:r w:rsidRPr="00434E4D">
              <w:rPr>
                <w:sz w:val="18"/>
                <w:szCs w:val="18"/>
                <w:lang w:val="sl-SI"/>
              </w:rPr>
              <w:t>korporacijske@kdd.si</w:t>
            </w:r>
            <w:r>
              <w:t xml:space="preserve"> /</w:t>
            </w:r>
            <w:r>
              <w:rPr>
                <w:sz w:val="18"/>
                <w:szCs w:val="18"/>
                <w:lang w:val="sl-SI"/>
              </w:rPr>
              <w:t xml:space="preserve"> </w:t>
            </w:r>
            <w:r w:rsidRPr="00434E4D">
              <w:rPr>
                <w:sz w:val="18"/>
                <w:szCs w:val="18"/>
                <w:lang w:val="sl-SI"/>
              </w:rPr>
              <w:t>poravnava@kdd.si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sl-SI"/>
              </w:rPr>
              <w:t>Attention: Iztok Kovač</w:t>
            </w:r>
          </w:p>
        </w:tc>
      </w:tr>
      <w:tr w:rsidR="001C328C" w:rsidRPr="00D27F18" w:rsidTr="00967949">
        <w:tc>
          <w:tcPr>
            <w:tcW w:w="3227" w:type="dxa"/>
            <w:shd w:val="clear" w:color="auto" w:fill="auto"/>
          </w:tcPr>
          <w:p w:rsidR="001C328C" w:rsidRPr="00D27F18" w:rsidRDefault="001C328C" w:rsidP="00967949">
            <w:pPr>
              <w:pStyle w:val="AODocTxt"/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1C328C" w:rsidRPr="00D27F18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1C328C" w:rsidRPr="00D27F18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:rsidR="001C328C" w:rsidRPr="00385F3B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1C328C" w:rsidRPr="00D27F18" w:rsidRDefault="001C328C" w:rsidP="00967949">
            <w:pPr>
              <w:pStyle w:val="AODocTxt"/>
              <w:spacing w:before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:rsidR="001C328C" w:rsidRPr="009D3CDB" w:rsidRDefault="001C328C" w:rsidP="001C328C">
      <w:pPr>
        <w:pStyle w:val="AODocTxt"/>
        <w:spacing w:line="240" w:lineRule="auto"/>
        <w:rPr>
          <w:sz w:val="16"/>
          <w:szCs w:val="16"/>
        </w:rPr>
      </w:pPr>
      <w:r w:rsidRPr="009D3CDB">
        <w:rPr>
          <w:b/>
          <w:bCs/>
          <w:sz w:val="16"/>
          <w:szCs w:val="16"/>
        </w:rPr>
        <w:t>DISCLAIMER</w:t>
      </w:r>
      <w:r w:rsidRPr="009D3CDB">
        <w:rPr>
          <w:sz w:val="16"/>
          <w:szCs w:val="16"/>
        </w:rPr>
        <w:t xml:space="preserve"> This announcement must be read in conjunction with the </w:t>
      </w:r>
      <w:r>
        <w:rPr>
          <w:sz w:val="16"/>
          <w:szCs w:val="16"/>
        </w:rPr>
        <w:t xml:space="preserve">Tender </w:t>
      </w:r>
      <w:r w:rsidRPr="009D3CDB">
        <w:rPr>
          <w:sz w:val="16"/>
          <w:szCs w:val="16"/>
        </w:rPr>
        <w:t xml:space="preserve">Offer Memorandum. No offer or invitation to acquire or sell any securities is being made pursuant to this announcement. The distribution of this announcement and the </w:t>
      </w:r>
      <w:r>
        <w:rPr>
          <w:sz w:val="16"/>
          <w:szCs w:val="16"/>
        </w:rPr>
        <w:t xml:space="preserve">Tender </w:t>
      </w:r>
      <w:r w:rsidRPr="009D3CDB">
        <w:rPr>
          <w:sz w:val="16"/>
          <w:szCs w:val="16"/>
        </w:rPr>
        <w:t>Offer Memorandum in certain jurisdictions may be restricted by law. Persons into whose possession this announcement or the</w:t>
      </w:r>
      <w:r>
        <w:rPr>
          <w:sz w:val="16"/>
          <w:szCs w:val="16"/>
        </w:rPr>
        <w:t xml:space="preserve"> Tender</w:t>
      </w:r>
      <w:r w:rsidRPr="009D3CDB">
        <w:rPr>
          <w:sz w:val="16"/>
          <w:szCs w:val="16"/>
        </w:rPr>
        <w:t xml:space="preserve"> Offer Memorandum comes are required by the</w:t>
      </w:r>
      <w:r>
        <w:rPr>
          <w:sz w:val="16"/>
          <w:szCs w:val="16"/>
        </w:rPr>
        <w:t xml:space="preserve"> Issuer and</w:t>
      </w:r>
      <w:r w:rsidRPr="009D3CDB">
        <w:rPr>
          <w:sz w:val="16"/>
          <w:szCs w:val="16"/>
        </w:rPr>
        <w:t xml:space="preserve"> the Dealer Managers to inform themselves about, and to observe, any such restrictions.</w:t>
      </w:r>
    </w:p>
    <w:p w:rsidR="0047266C" w:rsidRPr="001C328C" w:rsidRDefault="0047266C">
      <w:pPr>
        <w:rPr>
          <w:lang w:val="en-GB"/>
        </w:rPr>
      </w:pPr>
    </w:p>
    <w:sectPr w:rsidR="0047266C" w:rsidRPr="001C328C" w:rsidSect="00ED546C">
      <w:headerReference w:type="default" r:id="rId7"/>
      <w:footerReference w:type="default" r:id="rId8"/>
      <w:pgSz w:w="11907" w:h="16839"/>
      <w:pgMar w:top="1588" w:right="1134" w:bottom="1021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2D" w:rsidRDefault="00266D2D">
      <w:r>
        <w:separator/>
      </w:r>
    </w:p>
  </w:endnote>
  <w:endnote w:type="continuationSeparator" w:id="0">
    <w:p w:rsidR="00266D2D" w:rsidRDefault="002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Expert Sans Regula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213"/>
      <w:gridCol w:w="3214"/>
      <w:gridCol w:w="3212"/>
    </w:tblGrid>
    <w:tr w:rsidR="00ED546C">
      <w:tc>
        <w:tcPr>
          <w:tcW w:w="5000" w:type="pct"/>
          <w:gridSpan w:val="3"/>
          <w:tcMar>
            <w:top w:w="170" w:type="dxa"/>
          </w:tcMar>
        </w:tcPr>
        <w:bookmarkStart w:id="3" w:name="bmkFooterPrimaryDoc"/>
        <w:p w:rsidR="00ED546C" w:rsidRDefault="0068211A">
          <w:pPr>
            <w:pStyle w:val="AONormal8LBol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"cpFooterText"  </w:instrText>
          </w:r>
          <w:r>
            <w:rPr>
              <w:noProof/>
            </w:rPr>
            <w:fldChar w:fldCharType="end"/>
          </w:r>
        </w:p>
      </w:tc>
    </w:tr>
    <w:tr w:rsidR="00ED546C">
      <w:tc>
        <w:tcPr>
          <w:tcW w:w="1667" w:type="pct"/>
        </w:tcPr>
        <w:p w:rsidR="00ED546C" w:rsidRDefault="00266D2D">
          <w:pPr>
            <w:pStyle w:val="AONormal8L"/>
            <w:rPr>
              <w:noProof/>
            </w:rPr>
          </w:pPr>
        </w:p>
      </w:tc>
      <w:tc>
        <w:tcPr>
          <w:tcW w:w="1667" w:type="pct"/>
        </w:tcPr>
        <w:p w:rsidR="00ED546C" w:rsidRDefault="0068211A">
          <w:pPr>
            <w:pStyle w:val="AONormal8C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6F3E6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1666" w:type="pct"/>
        </w:tcPr>
        <w:p w:rsidR="00ED546C" w:rsidRDefault="00266D2D">
          <w:pPr>
            <w:pStyle w:val="AONormal8R"/>
            <w:rPr>
              <w:noProof/>
            </w:rPr>
          </w:pPr>
        </w:p>
      </w:tc>
    </w:tr>
    <w:bookmarkEnd w:id="3"/>
  </w:tbl>
  <w:p w:rsidR="00ED546C" w:rsidRPr="001B64A4" w:rsidRDefault="00266D2D" w:rsidP="00ED546C">
    <w:pPr>
      <w:pStyle w:val="AONormal8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2D" w:rsidRDefault="00266D2D">
      <w:r>
        <w:separator/>
      </w:r>
    </w:p>
  </w:footnote>
  <w:footnote w:type="continuationSeparator" w:id="0">
    <w:p w:rsidR="00266D2D" w:rsidRDefault="0026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9639"/>
    </w:tblGrid>
    <w:tr w:rsidR="00ED546C" w:rsidRPr="00A16ABB">
      <w:tc>
        <w:tcPr>
          <w:tcW w:w="5000" w:type="pct"/>
        </w:tcPr>
        <w:bookmarkStart w:id="2" w:name="bmkHeaderPrimaryDoc"/>
        <w:p w:rsidR="00ED546C" w:rsidRPr="00A16ABB" w:rsidRDefault="0068211A">
          <w:pPr>
            <w:pStyle w:val="AONormal8LBold"/>
            <w:rPr>
              <w:rFonts w:ascii="Times New Roman" w:hAnsi="Times New Roman"/>
              <w:bCs/>
              <w:sz w:val="22"/>
              <w:szCs w:val="22"/>
              <w:lang w:val="en-US"/>
            </w:rPr>
          </w:pPr>
          <w:r w:rsidRPr="00A16ABB">
            <w:rPr>
              <w:rFonts w:ascii="Times New Roman" w:hAnsi="Times New Roman"/>
              <w:bCs/>
              <w:sz w:val="22"/>
              <w:szCs w:val="22"/>
              <w:lang w:val="en-US"/>
            </w:rPr>
            <w:fldChar w:fldCharType="begin"/>
          </w:r>
          <w:r w:rsidRPr="00A16ABB">
            <w:rPr>
              <w:rFonts w:ascii="Times New Roman" w:hAnsi="Times New Roman"/>
              <w:bCs/>
              <w:sz w:val="22"/>
              <w:szCs w:val="22"/>
              <w:lang w:val="en-US"/>
            </w:rPr>
            <w:instrText xml:space="preserve"> DOCPROPERTY "cpHeaderText"  </w:instrText>
          </w:r>
          <w:r w:rsidRPr="00A16ABB">
            <w:rPr>
              <w:rFonts w:ascii="Times New Roman" w:hAnsi="Times New Roman"/>
              <w:bCs/>
              <w:sz w:val="22"/>
              <w:szCs w:val="22"/>
              <w:lang w:val="en-US"/>
            </w:rPr>
            <w:fldChar w:fldCharType="end"/>
          </w:r>
        </w:p>
      </w:tc>
    </w:tr>
    <w:bookmarkEnd w:id="2"/>
  </w:tbl>
  <w:p w:rsidR="00ED546C" w:rsidRPr="001B64A4" w:rsidRDefault="00266D2D" w:rsidP="00ED546C">
    <w:pPr>
      <w:pStyle w:val="AONormal8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8C"/>
    <w:rsid w:val="001C328C"/>
    <w:rsid w:val="00266D2D"/>
    <w:rsid w:val="0047266C"/>
    <w:rsid w:val="0068211A"/>
    <w:rsid w:val="006F3E6D"/>
    <w:rsid w:val="00BF4D7B"/>
    <w:rsid w:val="00C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48EB-BA4B-4BC9-B897-CD19D365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4D7B"/>
    <w:pPr>
      <w:keepNext/>
      <w:keepLines/>
      <w:suppressAutoHyphens/>
      <w:spacing w:before="480"/>
      <w:ind w:left="720" w:hanging="360"/>
      <w:outlineLvl w:val="0"/>
    </w:pPr>
    <w:rPr>
      <w:rFonts w:eastAsiaTheme="majorEastAsia" w:cstheme="majorBidi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customStyle="1" w:styleId="AODocTxt">
    <w:name w:val="AODocTxt"/>
    <w:basedOn w:val="Normal"/>
    <w:link w:val="AODocTxtChar"/>
    <w:rsid w:val="001C328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rsid w:val="001C328C"/>
    <w:pPr>
      <w:numPr>
        <w:ilvl w:val="1"/>
      </w:numPr>
      <w:tabs>
        <w:tab w:val="num" w:pos="360"/>
      </w:tabs>
    </w:pPr>
  </w:style>
  <w:style w:type="paragraph" w:customStyle="1" w:styleId="AODocTxtL2">
    <w:name w:val="AODocTxtL2"/>
    <w:basedOn w:val="AODocTxt"/>
    <w:rsid w:val="001C328C"/>
    <w:pPr>
      <w:numPr>
        <w:ilvl w:val="2"/>
      </w:numPr>
      <w:tabs>
        <w:tab w:val="num" w:pos="360"/>
      </w:tabs>
    </w:pPr>
  </w:style>
  <w:style w:type="paragraph" w:customStyle="1" w:styleId="AODocTxtL3">
    <w:name w:val="AODocTxtL3"/>
    <w:basedOn w:val="AODocTxt"/>
    <w:rsid w:val="001C328C"/>
    <w:pPr>
      <w:numPr>
        <w:ilvl w:val="3"/>
      </w:numPr>
      <w:tabs>
        <w:tab w:val="num" w:pos="360"/>
      </w:tabs>
    </w:pPr>
  </w:style>
  <w:style w:type="paragraph" w:customStyle="1" w:styleId="AODocTxtL4">
    <w:name w:val="AODocTxtL4"/>
    <w:basedOn w:val="AODocTxt"/>
    <w:rsid w:val="001C328C"/>
    <w:pPr>
      <w:numPr>
        <w:ilvl w:val="4"/>
      </w:numPr>
      <w:tabs>
        <w:tab w:val="num" w:pos="360"/>
      </w:tabs>
    </w:pPr>
  </w:style>
  <w:style w:type="paragraph" w:customStyle="1" w:styleId="AODocTxtL5">
    <w:name w:val="AODocTxtL5"/>
    <w:basedOn w:val="AODocTxt"/>
    <w:rsid w:val="001C328C"/>
    <w:pPr>
      <w:numPr>
        <w:ilvl w:val="5"/>
      </w:numPr>
      <w:tabs>
        <w:tab w:val="num" w:pos="360"/>
      </w:tabs>
    </w:pPr>
  </w:style>
  <w:style w:type="paragraph" w:customStyle="1" w:styleId="AODocTxtL6">
    <w:name w:val="AODocTxtL6"/>
    <w:basedOn w:val="AODocTxt"/>
    <w:rsid w:val="001C328C"/>
    <w:pPr>
      <w:numPr>
        <w:ilvl w:val="6"/>
      </w:numPr>
      <w:tabs>
        <w:tab w:val="num" w:pos="360"/>
      </w:tabs>
    </w:pPr>
  </w:style>
  <w:style w:type="paragraph" w:customStyle="1" w:styleId="AODocTxtL7">
    <w:name w:val="AODocTxtL7"/>
    <w:basedOn w:val="AODocTxt"/>
    <w:rsid w:val="001C328C"/>
    <w:pPr>
      <w:numPr>
        <w:ilvl w:val="7"/>
      </w:numPr>
      <w:tabs>
        <w:tab w:val="num" w:pos="360"/>
      </w:tabs>
    </w:pPr>
  </w:style>
  <w:style w:type="paragraph" w:customStyle="1" w:styleId="AODocTxtL8">
    <w:name w:val="AODocTxtL8"/>
    <w:basedOn w:val="AODocTxt"/>
    <w:rsid w:val="001C328C"/>
    <w:pPr>
      <w:numPr>
        <w:ilvl w:val="8"/>
      </w:numPr>
      <w:tabs>
        <w:tab w:val="num" w:pos="360"/>
      </w:tabs>
    </w:pPr>
  </w:style>
  <w:style w:type="paragraph" w:customStyle="1" w:styleId="AONormal8L">
    <w:name w:val="AONormal8L"/>
    <w:basedOn w:val="Normal"/>
    <w:rsid w:val="001C328C"/>
    <w:pPr>
      <w:spacing w:line="220" w:lineRule="atLeast"/>
    </w:pPr>
    <w:rPr>
      <w:rFonts w:ascii="Arial" w:eastAsia="MS PGothic" w:hAnsi="Arial"/>
      <w:sz w:val="16"/>
      <w:szCs w:val="16"/>
      <w:lang w:val="en-GB"/>
    </w:rPr>
  </w:style>
  <w:style w:type="paragraph" w:customStyle="1" w:styleId="AONormal8C">
    <w:name w:val="AONormal8C"/>
    <w:basedOn w:val="AONormal8L"/>
    <w:rsid w:val="001C328C"/>
    <w:pPr>
      <w:jc w:val="center"/>
    </w:pPr>
  </w:style>
  <w:style w:type="paragraph" w:customStyle="1" w:styleId="AONormal8LBold">
    <w:name w:val="AONormal8LBold"/>
    <w:basedOn w:val="AONormal8L"/>
    <w:rsid w:val="001C328C"/>
    <w:rPr>
      <w:b/>
    </w:rPr>
  </w:style>
  <w:style w:type="paragraph" w:customStyle="1" w:styleId="AONormal8R">
    <w:name w:val="AONormal8R"/>
    <w:basedOn w:val="AONormal8L"/>
    <w:rsid w:val="001C328C"/>
    <w:pPr>
      <w:jc w:val="right"/>
    </w:pPr>
  </w:style>
  <w:style w:type="character" w:customStyle="1" w:styleId="AODocTxtChar">
    <w:name w:val="AODocTxt Char"/>
    <w:link w:val="AODocTxt"/>
    <w:rsid w:val="001C328C"/>
    <w:rPr>
      <w:rFonts w:ascii="Times New Roman" w:eastAsia="SimSun" w:hAnsi="Times New Roman" w:cs="Times New Roman"/>
      <w:lang w:val="en-GB" w:eastAsia="en-US"/>
    </w:rPr>
  </w:style>
  <w:style w:type="paragraph" w:customStyle="1" w:styleId="DocText">
    <w:name w:val="DocText"/>
    <w:basedOn w:val="Normal"/>
    <w:rsid w:val="001C328C"/>
    <w:pPr>
      <w:spacing w:before="120"/>
      <w:jc w:val="both"/>
    </w:pPr>
    <w:rPr>
      <w:rFonts w:eastAsia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Tjaša Baraga-Naraločnik</cp:lastModifiedBy>
  <cp:revision>2</cp:revision>
  <dcterms:created xsi:type="dcterms:W3CDTF">2020-10-13T11:11:00Z</dcterms:created>
  <dcterms:modified xsi:type="dcterms:W3CDTF">2020-10-13T11:11:00Z</dcterms:modified>
</cp:coreProperties>
</file>