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2A4" w:rsidRDefault="00DC12A4" w:rsidP="00DC12A4">
      <w:pPr>
        <w:pStyle w:val="AODocTxt"/>
        <w:numPr>
          <w:ilvl w:val="0"/>
          <w:numId w:val="2"/>
        </w:numPr>
      </w:pPr>
      <w:bookmarkStart w:id="0" w:name="_GoBack"/>
      <w:bookmarkEnd w:id="0"/>
      <w:r>
        <w:rPr>
          <w:b/>
          <w:bCs/>
        </w:rPr>
        <w:t>TO OBVESTILO NI NAMENJENO RAZPOŠILJANJU V JURISDIKCIJE, KJER BI BILO TAKŠNO RAZDELJEVANJE NEZAKONITO, ALI OSEBAM, KI SE NAHAJAJO V TAKŠNI JURISDIKCIJI ALI SO NJENI REZIDENTI.</w:t>
      </w:r>
    </w:p>
    <w:p w:rsidR="00DC12A4" w:rsidRDefault="00DC12A4" w:rsidP="00DC12A4">
      <w:pPr>
        <w:pStyle w:val="AODocTxt"/>
        <w:numPr>
          <w:ilvl w:val="0"/>
          <w:numId w:val="2"/>
        </w:numPr>
      </w:pPr>
      <w:r>
        <w:t>13. oktober 2020</w:t>
      </w:r>
    </w:p>
    <w:p w:rsidR="00DC12A4" w:rsidRDefault="00DC12A4" w:rsidP="00DC12A4">
      <w:pPr>
        <w:pStyle w:val="AODocTxt"/>
        <w:numPr>
          <w:ilvl w:val="0"/>
          <w:numId w:val="2"/>
        </w:numPr>
      </w:pPr>
      <w:r>
        <w:t>REPUBLIKA SLOVENIJA OBJAVLJA KONČNI SPREJETI ZNESEK, SPREJETA ZNESKA SERIJ IN DOSEŽENI CENI ZA SVOJI PONUDBI ZA ODKUP OBVEZNIC V NOMINALNI VREDNOSTI 1.605.866.000 EUR Z OBRESTNO MERO 4,375 % IN ZAPADLOSTJO LETA 2021 TER OBVEZNIC V NOMINALNI VREDNOSTI 1.000.000.000 EUR Z OBRESTNO MERO 3,000 % IN ZAPADLOSTJO LETA 2021.</w:t>
      </w:r>
    </w:p>
    <w:p w:rsidR="00DC12A4" w:rsidRDefault="00DC12A4" w:rsidP="00DC12A4">
      <w:pPr>
        <w:pStyle w:val="AODocTxt"/>
        <w:numPr>
          <w:ilvl w:val="0"/>
          <w:numId w:val="2"/>
        </w:numPr>
      </w:pPr>
      <w:r>
        <w:t>V zvezi z obvestilom z dne 5. oktobra 2020 Republika Slovenija (»</w:t>
      </w:r>
      <w:r>
        <w:rPr>
          <w:b/>
        </w:rPr>
        <w:t>Izdajatelj</w:t>
      </w:r>
      <w:r>
        <w:t>« ali »</w:t>
      </w:r>
      <w:r>
        <w:rPr>
          <w:b/>
        </w:rPr>
        <w:t>Republika</w:t>
      </w:r>
      <w:r>
        <w:t>«) objavlja končne rezultate in oblikovanje cen v zvezi s povabilom upravičenim imetnikom (i) obveznic v nominalni vrednosti 1.605.866.000 EUR z obrestno mero 4,375 % in zapadlostjo leta 2021 (ISIN: SI0002103149) (»</w:t>
      </w:r>
      <w:r>
        <w:rPr>
          <w:b/>
        </w:rPr>
        <w:t>Obveznice januar 2021</w:t>
      </w:r>
      <w:r>
        <w:t>«) in/ali (ii) obveznic v nominalni vrednosti 1.000.000.000 EUR z obrestno mero 3,000 % in zapadlostjo leta 2021 (ISIN: SI0002103388) (»</w:t>
      </w:r>
      <w:r>
        <w:rPr>
          <w:b/>
          <w:bCs/>
        </w:rPr>
        <w:t>Obveznice april 2021</w:t>
      </w:r>
      <w:r>
        <w:t>«, skupaj z Obveznicami januar 2021 imenovane »</w:t>
      </w:r>
      <w:r>
        <w:rPr>
          <w:b/>
        </w:rPr>
        <w:t>Obveznice</w:t>
      </w:r>
      <w:r>
        <w:t>«), naj svoje Obveznice ponudijo v odkup Izdajatelju za denar (vsako takšno povabilo v nadaljevanju »</w:t>
      </w:r>
      <w:r>
        <w:rPr>
          <w:b/>
        </w:rPr>
        <w:t>Ponudba</w:t>
      </w:r>
      <w:r>
        <w:t>«, skupaj »</w:t>
      </w:r>
      <w:r>
        <w:rPr>
          <w:b/>
        </w:rPr>
        <w:t>Ponudbi</w:t>
      </w:r>
      <w:r>
        <w:t>«).</w:t>
      </w:r>
    </w:p>
    <w:p w:rsidR="00DC12A4" w:rsidRDefault="00DC12A4" w:rsidP="00DC12A4">
      <w:pPr>
        <w:pStyle w:val="AODocTxt"/>
        <w:numPr>
          <w:ilvl w:val="0"/>
          <w:numId w:val="2"/>
        </w:numPr>
        <w:rPr>
          <w:b/>
          <w:shd w:val="clear" w:color="auto" w:fill="FFFF00"/>
        </w:rPr>
      </w:pPr>
      <w:r>
        <w:t>Ponudbi sta bili podani v skladu z določili in pod pogoji, določenimi v Ponudbenem memorandumu z dne 5. 10. 2020 (»</w:t>
      </w:r>
      <w:r>
        <w:rPr>
          <w:b/>
        </w:rPr>
        <w:t>Ponudbeni memorandum</w:t>
      </w:r>
      <w:r>
        <w:t>«). Izrazi, ki so v tem obvestilu pisani z veliko začetnico, a niso opredeljeni, imajo pomen, kot je opredeljen v Ponudbenem memorandumu.</w:t>
      </w:r>
    </w:p>
    <w:p w:rsidR="00DC12A4" w:rsidRDefault="00DC12A4" w:rsidP="00DC12A4">
      <w:pPr>
        <w:pStyle w:val="AODocTxt"/>
        <w:numPr>
          <w:ilvl w:val="0"/>
          <w:numId w:val="2"/>
        </w:numPr>
      </w:pPr>
      <w:r>
        <w:t>Republika namerava (i) odkupiti Obveznice v skupnem nominalnem znesku 172.980.000 EUR (»</w:t>
      </w:r>
      <w:r>
        <w:rPr>
          <w:b/>
          <w:bCs/>
        </w:rPr>
        <w:t>Končni sprejeti znesek</w:t>
      </w:r>
      <w:r>
        <w:t>«) in (ii) odkupiti Obveznice, ki so bile v skladu s Ponudbama veljavno ponujene na nekonkurenčen način, kot je določeno spodaj.</w:t>
      </w:r>
    </w:p>
    <w:p w:rsidR="00DC12A4" w:rsidRDefault="00DC12A4" w:rsidP="00DC12A4">
      <w:pPr>
        <w:pStyle w:val="AODocTxt"/>
        <w:numPr>
          <w:ilvl w:val="0"/>
          <w:numId w:val="2"/>
        </w:numPr>
      </w:pPr>
      <w:r>
        <w:t>V zvezi s Ponudbo za Obveznice januar 2021 Izdajatelj sporoča, da je za Donos ob odkupu Obveznic januar 2021 določil Najvišji donos ob odkupu Obveznic januar 2021, ki znaša –0,500 %. Če bo Pogoj novega financiranja izpolnjen ali se bo Izdajatelj odrekel njegovemu uveljavljanju, bo Sprejeti znesek serije za Obveznice januar 2021 znašal 98.130.000 EUR, Kupnina za Obveznice januar 2021 pa bo znašala 101,204 % nominalnega zneska Obveznic januar 2021. V zvezi s Ponudbo za Obveznice januar 2021 Izdajatelj sporoča, da bo, če bo Pogoj novega financiranja izpolnjen ali se bo Izdajatelj odrekel njegovemu uveljavljanju, odkupil vse Obveznice januar 2021, ki so bile veljavno ponujene v skladu z Nekonkurenčnim ponudbenim navodilom, brez proporcionalne porazdelitve. Izdajatelj ne bo odkupil nobenih Obveznic januar 2021, ki so bile ponujene v skladu s Konkurenčnim ponudbenim navodilom. Izdajatelj bo plačal tudi Natečene obresti v zvezi z Obveznicami januar 2021, ki jih odkupi v skladu s Ponudbo za Obveznice januar 2021, in sicer v višini približno 3,299 % nominalnega zneska Obveznic januar 2021.</w:t>
      </w:r>
    </w:p>
    <w:p w:rsidR="00DC12A4" w:rsidRPr="00654A9F" w:rsidRDefault="00DC12A4" w:rsidP="00DC12A4">
      <w:pPr>
        <w:pStyle w:val="AODocTxt"/>
        <w:numPr>
          <w:ilvl w:val="0"/>
          <w:numId w:val="2"/>
        </w:numPr>
        <w:rPr>
          <w:i/>
          <w:iCs/>
        </w:rPr>
      </w:pPr>
      <w:r>
        <w:t>V zvezi s Ponudbo za Obveznice april 2021 Izdajatelj sporoča, da je za Donos ob odkupu Obveznic april 2021 določil Najvišji donos ob odkupu Obveznic april 2021, ki znaša –0,500 %. Če bo Pogoj novega financiranja izpolnjen ali se bo Izdajatelj odrekel njegovemu uveljavljanju, bo Sprejeti znesek serije za Obveznice april 2021 znašal 74.850.000 EUR, Kupnina za Obveznice april 2021 pa bo znašala 101,637 % nominalnega zneska Obveznic april 2021. V zvezi s Ponudbo za Obveznice april 2021 Izdajatelj sporoča, da bo, če bo Pogoj novega financiranja izpolnjen ali se bo Izdajatelj odrekel njegovemu uveljavljanju, odkupil vse Obveznice april 2021, ki so bile veljavno ponujene v skladu z Nekonkurenčnim ponudbenim navodilom, brez proporcionalne porazdelitve. Izdajatelj ne bo odkupil nobenih Obveznic april 2021, ki so bile ponujene v skladu s Konkurenčnim ponudbenim navodilom. Izdajatelj bo plačal tudi Natečene obresti v zvezi z Obveznicami april 2021, ki jih odkupi v skladu s Ponudbo za Obveznice april 2021, in sicer v višini približno 1,603 % nominalnega zneska Obveznic april 2021.</w:t>
      </w:r>
    </w:p>
    <w:p w:rsidR="00DC12A4" w:rsidRDefault="00DC12A4" w:rsidP="00DC12A4">
      <w:pPr>
        <w:pStyle w:val="AODocTxt"/>
        <w:numPr>
          <w:ilvl w:val="0"/>
          <w:numId w:val="2"/>
        </w:numPr>
        <w:rPr>
          <w:i/>
          <w:iCs/>
        </w:rPr>
        <w:sectPr w:rsidR="00DC12A4">
          <w:pgSz w:w="11906" w:h="16838"/>
          <w:pgMar w:top="1588" w:right="1134" w:bottom="1021" w:left="1134" w:header="851" w:footer="454" w:gutter="0"/>
          <w:cols w:space="708"/>
          <w:titlePg/>
          <w:docGrid w:linePitch="360" w:charSpace="-6145"/>
        </w:sectPr>
      </w:pPr>
    </w:p>
    <w:p w:rsidR="00DC12A4" w:rsidRDefault="00DC12A4" w:rsidP="00DC12A4">
      <w:pPr>
        <w:pStyle w:val="AODocTxt"/>
        <w:numPr>
          <w:ilvl w:val="0"/>
          <w:numId w:val="2"/>
        </w:numPr>
        <w:spacing w:after="240"/>
        <w:rPr>
          <w:b/>
          <w:bCs/>
        </w:rPr>
      </w:pPr>
      <w:r>
        <w:rPr>
          <w:i/>
          <w:iCs/>
        </w:rPr>
        <w:lastRenderedPageBreak/>
        <w:t>Povzetek končnega oblikovanja cen Ponudbe za Obveznice januar 2021:</w:t>
      </w:r>
    </w:p>
    <w:tbl>
      <w:tblPr>
        <w:tblW w:w="0" w:type="auto"/>
        <w:tblInd w:w="-5" w:type="dxa"/>
        <w:tblLayout w:type="fixed"/>
        <w:tblLook w:val="0000" w:firstRow="0" w:lastRow="0" w:firstColumn="0" w:lastColumn="0" w:noHBand="0" w:noVBand="0"/>
      </w:tblPr>
      <w:tblGrid>
        <w:gridCol w:w="1469"/>
        <w:gridCol w:w="1468"/>
        <w:gridCol w:w="2147"/>
        <w:gridCol w:w="1468"/>
      </w:tblGrid>
      <w:tr w:rsidR="00DC12A4" w:rsidTr="00967949">
        <w:tc>
          <w:tcPr>
            <w:tcW w:w="1469" w:type="dxa"/>
            <w:tcBorders>
              <w:top w:val="single" w:sz="4" w:space="0" w:color="000000"/>
              <w:left w:val="single" w:sz="4" w:space="0" w:color="000000"/>
              <w:bottom w:val="single" w:sz="4" w:space="0" w:color="000000"/>
              <w:right w:val="single" w:sz="4" w:space="0" w:color="000000"/>
            </w:tcBorders>
            <w:shd w:val="clear" w:color="auto" w:fill="FFFFFF"/>
          </w:tcPr>
          <w:p w:rsidR="00DC12A4" w:rsidRDefault="00DC12A4" w:rsidP="00DC12A4">
            <w:pPr>
              <w:pStyle w:val="AODocTxt"/>
              <w:numPr>
                <w:ilvl w:val="0"/>
                <w:numId w:val="2"/>
              </w:numPr>
              <w:spacing w:before="0"/>
              <w:jc w:val="left"/>
              <w:rPr>
                <w:b/>
                <w:bCs/>
              </w:rPr>
            </w:pPr>
            <w:r>
              <w:rPr>
                <w:b/>
                <w:bCs/>
              </w:rPr>
              <w:t>Donos ob odkupu Obveznic januar 2021</w:t>
            </w:r>
          </w:p>
        </w:tc>
        <w:tc>
          <w:tcPr>
            <w:tcW w:w="1468" w:type="dxa"/>
            <w:tcBorders>
              <w:top w:val="single" w:sz="4" w:space="0" w:color="000000"/>
              <w:left w:val="single" w:sz="4" w:space="0" w:color="000000"/>
              <w:bottom w:val="single" w:sz="4" w:space="0" w:color="000000"/>
              <w:right w:val="single" w:sz="4" w:space="0" w:color="000000"/>
            </w:tcBorders>
            <w:shd w:val="clear" w:color="auto" w:fill="FFFFFF"/>
          </w:tcPr>
          <w:p w:rsidR="00DC12A4" w:rsidRDefault="00DC12A4" w:rsidP="00DC12A4">
            <w:pPr>
              <w:pStyle w:val="AODocTxt"/>
              <w:numPr>
                <w:ilvl w:val="0"/>
                <w:numId w:val="2"/>
              </w:numPr>
              <w:spacing w:before="0"/>
              <w:jc w:val="left"/>
              <w:rPr>
                <w:b/>
                <w:bCs/>
              </w:rPr>
            </w:pPr>
            <w:r>
              <w:rPr>
                <w:b/>
                <w:bCs/>
              </w:rPr>
              <w:t>Kupnina za Obveznice januar 2021</w:t>
            </w:r>
          </w:p>
        </w:tc>
        <w:tc>
          <w:tcPr>
            <w:tcW w:w="2147" w:type="dxa"/>
            <w:tcBorders>
              <w:top w:val="single" w:sz="4" w:space="0" w:color="000000"/>
              <w:left w:val="single" w:sz="4" w:space="0" w:color="000000"/>
              <w:bottom w:val="single" w:sz="4" w:space="0" w:color="000000"/>
              <w:right w:val="single" w:sz="4" w:space="0" w:color="000000"/>
            </w:tcBorders>
            <w:shd w:val="clear" w:color="auto" w:fill="FFFFFF"/>
          </w:tcPr>
          <w:p w:rsidR="00DC12A4" w:rsidRDefault="00DC12A4" w:rsidP="00DC12A4">
            <w:pPr>
              <w:pStyle w:val="AODocTxt"/>
              <w:numPr>
                <w:ilvl w:val="0"/>
                <w:numId w:val="2"/>
              </w:numPr>
              <w:spacing w:before="0"/>
              <w:jc w:val="left"/>
              <w:rPr>
                <w:b/>
                <w:bCs/>
              </w:rPr>
            </w:pPr>
            <w:r>
              <w:rPr>
                <w:b/>
                <w:bCs/>
              </w:rPr>
              <w:t>Sprejeti znesek serije</w:t>
            </w:r>
          </w:p>
        </w:tc>
        <w:tc>
          <w:tcPr>
            <w:tcW w:w="1468" w:type="dxa"/>
            <w:tcBorders>
              <w:top w:val="single" w:sz="4" w:space="0" w:color="000000"/>
              <w:left w:val="single" w:sz="4" w:space="0" w:color="000000"/>
              <w:bottom w:val="single" w:sz="4" w:space="0" w:color="000000"/>
              <w:right w:val="single" w:sz="4" w:space="0" w:color="000000"/>
            </w:tcBorders>
            <w:shd w:val="clear" w:color="auto" w:fill="FFFFFF"/>
          </w:tcPr>
          <w:p w:rsidR="00DC12A4" w:rsidRDefault="00DC12A4" w:rsidP="00DC12A4">
            <w:pPr>
              <w:pStyle w:val="AODocTxt"/>
              <w:numPr>
                <w:ilvl w:val="0"/>
                <w:numId w:val="2"/>
              </w:numPr>
              <w:spacing w:before="0"/>
              <w:jc w:val="left"/>
            </w:pPr>
            <w:r>
              <w:rPr>
                <w:b/>
                <w:bCs/>
              </w:rPr>
              <w:t xml:space="preserve">Natečene obresti </w:t>
            </w:r>
          </w:p>
        </w:tc>
      </w:tr>
      <w:tr w:rsidR="00DC12A4" w:rsidTr="00967949">
        <w:tc>
          <w:tcPr>
            <w:tcW w:w="1469" w:type="dxa"/>
            <w:tcBorders>
              <w:top w:val="single" w:sz="4" w:space="0" w:color="000000"/>
              <w:left w:val="single" w:sz="4" w:space="0" w:color="000000"/>
              <w:bottom w:val="single" w:sz="4" w:space="0" w:color="000000"/>
              <w:right w:val="single" w:sz="4" w:space="0" w:color="000000"/>
            </w:tcBorders>
            <w:shd w:val="clear" w:color="auto" w:fill="FFFFFF"/>
          </w:tcPr>
          <w:p w:rsidR="00DC12A4" w:rsidRDefault="00DC12A4" w:rsidP="00DC12A4">
            <w:pPr>
              <w:pStyle w:val="AODocTxt"/>
              <w:numPr>
                <w:ilvl w:val="0"/>
                <w:numId w:val="3"/>
              </w:numPr>
            </w:pPr>
            <w:r>
              <w:t xml:space="preserve">–0,500 % </w:t>
            </w:r>
          </w:p>
        </w:tc>
        <w:tc>
          <w:tcPr>
            <w:tcW w:w="1468" w:type="dxa"/>
            <w:tcBorders>
              <w:top w:val="single" w:sz="4" w:space="0" w:color="000000"/>
              <w:left w:val="single" w:sz="4" w:space="0" w:color="000000"/>
              <w:bottom w:val="single" w:sz="4" w:space="0" w:color="000000"/>
              <w:right w:val="single" w:sz="4" w:space="0" w:color="000000"/>
            </w:tcBorders>
            <w:shd w:val="clear" w:color="auto" w:fill="FFFFFF"/>
          </w:tcPr>
          <w:p w:rsidR="00DC12A4" w:rsidRDefault="00DC12A4" w:rsidP="00DC12A4">
            <w:pPr>
              <w:pStyle w:val="AODocTxt"/>
              <w:numPr>
                <w:ilvl w:val="0"/>
                <w:numId w:val="3"/>
              </w:numPr>
            </w:pPr>
            <w:r>
              <w:t>101,204 %</w:t>
            </w:r>
          </w:p>
        </w:tc>
        <w:tc>
          <w:tcPr>
            <w:tcW w:w="2147" w:type="dxa"/>
            <w:tcBorders>
              <w:top w:val="single" w:sz="4" w:space="0" w:color="000000"/>
              <w:left w:val="single" w:sz="4" w:space="0" w:color="000000"/>
              <w:bottom w:val="single" w:sz="4" w:space="0" w:color="000000"/>
              <w:right w:val="single" w:sz="4" w:space="0" w:color="000000"/>
            </w:tcBorders>
            <w:shd w:val="clear" w:color="auto" w:fill="FFFFFF"/>
          </w:tcPr>
          <w:p w:rsidR="00DC12A4" w:rsidRDefault="00DC12A4" w:rsidP="00DC12A4">
            <w:pPr>
              <w:pStyle w:val="AODocTxt"/>
              <w:numPr>
                <w:ilvl w:val="0"/>
                <w:numId w:val="2"/>
              </w:numPr>
            </w:pPr>
            <w:r>
              <w:t>98.130.000 EUR</w:t>
            </w:r>
          </w:p>
        </w:tc>
        <w:tc>
          <w:tcPr>
            <w:tcW w:w="1468" w:type="dxa"/>
            <w:tcBorders>
              <w:top w:val="single" w:sz="4" w:space="0" w:color="000000"/>
              <w:left w:val="single" w:sz="4" w:space="0" w:color="000000"/>
              <w:bottom w:val="single" w:sz="4" w:space="0" w:color="000000"/>
              <w:right w:val="single" w:sz="4" w:space="0" w:color="000000"/>
            </w:tcBorders>
            <w:shd w:val="clear" w:color="auto" w:fill="FFFFFF"/>
          </w:tcPr>
          <w:p w:rsidR="00DC12A4" w:rsidRDefault="00DC12A4" w:rsidP="00DC12A4">
            <w:pPr>
              <w:pStyle w:val="AODocTxt"/>
              <w:numPr>
                <w:ilvl w:val="0"/>
                <w:numId w:val="2"/>
              </w:numPr>
            </w:pPr>
            <w:r>
              <w:t>3,299 %</w:t>
            </w:r>
          </w:p>
          <w:p w:rsidR="00DC12A4" w:rsidRDefault="00DC12A4" w:rsidP="00DC12A4">
            <w:pPr>
              <w:pStyle w:val="AODocTxt"/>
              <w:numPr>
                <w:ilvl w:val="0"/>
                <w:numId w:val="2"/>
              </w:numPr>
            </w:pPr>
          </w:p>
        </w:tc>
      </w:tr>
    </w:tbl>
    <w:p w:rsidR="00DC12A4" w:rsidRDefault="00DC12A4" w:rsidP="00DC12A4">
      <w:pPr>
        <w:pStyle w:val="AODocTxt"/>
        <w:numPr>
          <w:ilvl w:val="0"/>
          <w:numId w:val="2"/>
        </w:numPr>
        <w:spacing w:after="240"/>
        <w:rPr>
          <w:b/>
          <w:bCs/>
        </w:rPr>
      </w:pPr>
      <w:r>
        <w:rPr>
          <w:i/>
          <w:iCs/>
        </w:rPr>
        <w:t>Povzetek končnega oblikovanja cen Ponudbe za Obveznice april 2021:</w:t>
      </w:r>
    </w:p>
    <w:tbl>
      <w:tblPr>
        <w:tblW w:w="0" w:type="auto"/>
        <w:tblInd w:w="-5" w:type="dxa"/>
        <w:tblLayout w:type="fixed"/>
        <w:tblLook w:val="0000" w:firstRow="0" w:lastRow="0" w:firstColumn="0" w:lastColumn="0" w:noHBand="0" w:noVBand="0"/>
      </w:tblPr>
      <w:tblGrid>
        <w:gridCol w:w="1469"/>
        <w:gridCol w:w="1468"/>
        <w:gridCol w:w="2147"/>
        <w:gridCol w:w="1468"/>
      </w:tblGrid>
      <w:tr w:rsidR="00DC12A4" w:rsidTr="00967949">
        <w:tc>
          <w:tcPr>
            <w:tcW w:w="1469" w:type="dxa"/>
            <w:tcBorders>
              <w:top w:val="single" w:sz="4" w:space="0" w:color="000000"/>
              <w:left w:val="single" w:sz="4" w:space="0" w:color="000000"/>
              <w:bottom w:val="single" w:sz="4" w:space="0" w:color="000000"/>
              <w:right w:val="single" w:sz="4" w:space="0" w:color="000000"/>
            </w:tcBorders>
            <w:shd w:val="clear" w:color="auto" w:fill="FFFFFF"/>
          </w:tcPr>
          <w:p w:rsidR="00DC12A4" w:rsidRDefault="00DC12A4" w:rsidP="00DC12A4">
            <w:pPr>
              <w:pStyle w:val="AODocTxt"/>
              <w:numPr>
                <w:ilvl w:val="0"/>
                <w:numId w:val="2"/>
              </w:numPr>
              <w:spacing w:before="0"/>
              <w:jc w:val="left"/>
              <w:rPr>
                <w:b/>
                <w:bCs/>
              </w:rPr>
            </w:pPr>
            <w:r>
              <w:rPr>
                <w:b/>
                <w:bCs/>
              </w:rPr>
              <w:t>Donos ob odkupu Obveznic april 2021</w:t>
            </w:r>
          </w:p>
        </w:tc>
        <w:tc>
          <w:tcPr>
            <w:tcW w:w="1468" w:type="dxa"/>
            <w:tcBorders>
              <w:top w:val="single" w:sz="4" w:space="0" w:color="000000"/>
              <w:left w:val="single" w:sz="4" w:space="0" w:color="000000"/>
              <w:bottom w:val="single" w:sz="4" w:space="0" w:color="000000"/>
              <w:right w:val="single" w:sz="4" w:space="0" w:color="000000"/>
            </w:tcBorders>
            <w:shd w:val="clear" w:color="auto" w:fill="FFFFFF"/>
          </w:tcPr>
          <w:p w:rsidR="00DC12A4" w:rsidRDefault="00DC12A4" w:rsidP="00DC12A4">
            <w:pPr>
              <w:pStyle w:val="AODocTxt"/>
              <w:numPr>
                <w:ilvl w:val="0"/>
                <w:numId w:val="2"/>
              </w:numPr>
              <w:spacing w:before="0"/>
              <w:jc w:val="left"/>
              <w:rPr>
                <w:b/>
                <w:bCs/>
              </w:rPr>
            </w:pPr>
            <w:r>
              <w:rPr>
                <w:b/>
                <w:bCs/>
              </w:rPr>
              <w:t>Kupnina za Obveznice april 2021</w:t>
            </w:r>
          </w:p>
        </w:tc>
        <w:tc>
          <w:tcPr>
            <w:tcW w:w="2147" w:type="dxa"/>
            <w:tcBorders>
              <w:top w:val="single" w:sz="4" w:space="0" w:color="000000"/>
              <w:left w:val="single" w:sz="4" w:space="0" w:color="000000"/>
              <w:bottom w:val="single" w:sz="4" w:space="0" w:color="000000"/>
              <w:right w:val="single" w:sz="4" w:space="0" w:color="000000"/>
            </w:tcBorders>
            <w:shd w:val="clear" w:color="auto" w:fill="FFFFFF"/>
          </w:tcPr>
          <w:p w:rsidR="00DC12A4" w:rsidRDefault="00DC12A4" w:rsidP="00DC12A4">
            <w:pPr>
              <w:pStyle w:val="AODocTxt"/>
              <w:numPr>
                <w:ilvl w:val="0"/>
                <w:numId w:val="2"/>
              </w:numPr>
              <w:spacing w:before="0"/>
              <w:jc w:val="left"/>
              <w:rPr>
                <w:b/>
                <w:bCs/>
              </w:rPr>
            </w:pPr>
            <w:r>
              <w:rPr>
                <w:b/>
                <w:bCs/>
              </w:rPr>
              <w:t>Sprejeti znesek serije</w:t>
            </w:r>
          </w:p>
        </w:tc>
        <w:tc>
          <w:tcPr>
            <w:tcW w:w="1468" w:type="dxa"/>
            <w:tcBorders>
              <w:top w:val="single" w:sz="4" w:space="0" w:color="000000"/>
              <w:left w:val="single" w:sz="4" w:space="0" w:color="000000"/>
              <w:bottom w:val="single" w:sz="4" w:space="0" w:color="000000"/>
              <w:right w:val="single" w:sz="4" w:space="0" w:color="000000"/>
            </w:tcBorders>
            <w:shd w:val="clear" w:color="auto" w:fill="FFFFFF"/>
          </w:tcPr>
          <w:p w:rsidR="00DC12A4" w:rsidRDefault="00DC12A4" w:rsidP="00DC12A4">
            <w:pPr>
              <w:pStyle w:val="AODocTxt"/>
              <w:numPr>
                <w:ilvl w:val="0"/>
                <w:numId w:val="2"/>
              </w:numPr>
              <w:spacing w:before="0"/>
              <w:jc w:val="left"/>
            </w:pPr>
            <w:r>
              <w:rPr>
                <w:b/>
                <w:bCs/>
              </w:rPr>
              <w:t xml:space="preserve">Natečene obresti </w:t>
            </w:r>
          </w:p>
        </w:tc>
      </w:tr>
      <w:tr w:rsidR="00DC12A4" w:rsidTr="00967949">
        <w:trPr>
          <w:trHeight w:val="1023"/>
        </w:trPr>
        <w:tc>
          <w:tcPr>
            <w:tcW w:w="1469" w:type="dxa"/>
            <w:tcBorders>
              <w:top w:val="single" w:sz="4" w:space="0" w:color="000000"/>
              <w:left w:val="single" w:sz="4" w:space="0" w:color="000000"/>
              <w:bottom w:val="single" w:sz="4" w:space="0" w:color="000000"/>
              <w:right w:val="single" w:sz="4" w:space="0" w:color="000000"/>
            </w:tcBorders>
            <w:shd w:val="clear" w:color="auto" w:fill="FFFFFF"/>
          </w:tcPr>
          <w:p w:rsidR="00DC12A4" w:rsidRDefault="00DC12A4" w:rsidP="00DC12A4">
            <w:pPr>
              <w:pStyle w:val="AODocTxt"/>
              <w:numPr>
                <w:ilvl w:val="0"/>
                <w:numId w:val="2"/>
              </w:numPr>
            </w:pPr>
            <w:r>
              <w:t xml:space="preserve">–0,500 % </w:t>
            </w:r>
          </w:p>
        </w:tc>
        <w:tc>
          <w:tcPr>
            <w:tcW w:w="1468" w:type="dxa"/>
            <w:tcBorders>
              <w:top w:val="single" w:sz="4" w:space="0" w:color="000000"/>
              <w:left w:val="single" w:sz="4" w:space="0" w:color="000000"/>
              <w:bottom w:val="single" w:sz="4" w:space="0" w:color="000000"/>
              <w:right w:val="single" w:sz="4" w:space="0" w:color="000000"/>
            </w:tcBorders>
            <w:shd w:val="clear" w:color="auto" w:fill="FFFFFF"/>
          </w:tcPr>
          <w:p w:rsidR="00DC12A4" w:rsidRDefault="00DC12A4" w:rsidP="00DC12A4">
            <w:pPr>
              <w:pStyle w:val="AODocTxt"/>
              <w:numPr>
                <w:ilvl w:val="0"/>
                <w:numId w:val="3"/>
              </w:numPr>
            </w:pPr>
            <w:r>
              <w:t>101,637 %</w:t>
            </w:r>
          </w:p>
        </w:tc>
        <w:tc>
          <w:tcPr>
            <w:tcW w:w="2147" w:type="dxa"/>
            <w:tcBorders>
              <w:top w:val="single" w:sz="4" w:space="0" w:color="000000"/>
              <w:left w:val="single" w:sz="4" w:space="0" w:color="000000"/>
              <w:bottom w:val="single" w:sz="4" w:space="0" w:color="000000"/>
              <w:right w:val="single" w:sz="4" w:space="0" w:color="000000"/>
            </w:tcBorders>
            <w:shd w:val="clear" w:color="auto" w:fill="FFFFFF"/>
          </w:tcPr>
          <w:p w:rsidR="00DC12A4" w:rsidRDefault="00DC12A4" w:rsidP="00DC12A4">
            <w:pPr>
              <w:pStyle w:val="AODocTxt"/>
              <w:numPr>
                <w:ilvl w:val="0"/>
                <w:numId w:val="2"/>
              </w:numPr>
            </w:pPr>
            <w:r>
              <w:t>74.850.000 EUR</w:t>
            </w:r>
          </w:p>
        </w:tc>
        <w:tc>
          <w:tcPr>
            <w:tcW w:w="1468" w:type="dxa"/>
            <w:tcBorders>
              <w:top w:val="single" w:sz="4" w:space="0" w:color="000000"/>
              <w:left w:val="single" w:sz="4" w:space="0" w:color="000000"/>
              <w:bottom w:val="single" w:sz="4" w:space="0" w:color="000000"/>
              <w:right w:val="single" w:sz="4" w:space="0" w:color="000000"/>
            </w:tcBorders>
            <w:shd w:val="clear" w:color="auto" w:fill="FFFFFF"/>
          </w:tcPr>
          <w:p w:rsidR="00DC12A4" w:rsidRDefault="00DC12A4" w:rsidP="00DC12A4">
            <w:pPr>
              <w:pStyle w:val="AODocTxt"/>
              <w:numPr>
                <w:ilvl w:val="0"/>
                <w:numId w:val="3"/>
              </w:numPr>
            </w:pPr>
            <w:r>
              <w:t>1,603 %</w:t>
            </w:r>
          </w:p>
        </w:tc>
      </w:tr>
    </w:tbl>
    <w:p w:rsidR="00DC12A4" w:rsidRDefault="00DC12A4" w:rsidP="00DC12A4">
      <w:pPr>
        <w:pStyle w:val="AODocTxt"/>
        <w:numPr>
          <w:ilvl w:val="0"/>
          <w:numId w:val="3"/>
        </w:numPr>
      </w:pPr>
      <w:r>
        <w:t>Predvideni Datum poravnave Ponudb je 20. oktober 2020.</w:t>
      </w:r>
    </w:p>
    <w:p w:rsidR="00337C82" w:rsidRDefault="00DC12A4" w:rsidP="00DC12A4">
      <w:pPr>
        <w:pStyle w:val="AODocTxt"/>
        <w:numPr>
          <w:ilvl w:val="0"/>
          <w:numId w:val="2"/>
        </w:numPr>
      </w:pPr>
      <w:r>
        <w:t>Organizatorji so Barclays Bank PLC, BNP Paribas, Commerzbank Aktiengesellschaft, Goldman Sachs International Bank, J.P. Morgan Securities plc in UniCredit Banka Slovenija d.d.</w:t>
      </w:r>
    </w:p>
    <w:p w:rsidR="00337C82" w:rsidRDefault="00337C82">
      <w:pPr>
        <w:suppressAutoHyphens w:val="0"/>
        <w:spacing w:after="200" w:line="276" w:lineRule="auto"/>
        <w:rPr>
          <w:rFonts w:eastAsia="SimSun"/>
          <w:sz w:val="22"/>
          <w:szCs w:val="22"/>
        </w:rPr>
      </w:pPr>
      <w:r>
        <w:br w:type="page"/>
      </w:r>
    </w:p>
    <w:p w:rsidR="00DC12A4" w:rsidRDefault="00DC12A4" w:rsidP="00DC12A4">
      <w:pPr>
        <w:pStyle w:val="AODocTxt"/>
        <w:numPr>
          <w:ilvl w:val="0"/>
          <w:numId w:val="2"/>
        </w:numPr>
      </w:pPr>
    </w:p>
    <w:tbl>
      <w:tblPr>
        <w:tblpPr w:leftFromText="180" w:rightFromText="180" w:vertAnchor="text" w:horzAnchor="margin" w:tblpY="206"/>
        <w:tblW w:w="0" w:type="auto"/>
        <w:tblBorders>
          <w:top w:val="nil"/>
          <w:left w:val="nil"/>
          <w:bottom w:val="nil"/>
          <w:right w:val="nil"/>
          <w:insideH w:val="nil"/>
          <w:insideV w:val="nil"/>
        </w:tblBorders>
        <w:tblLook w:val="04A0" w:firstRow="1" w:lastRow="0" w:firstColumn="1" w:lastColumn="0" w:noHBand="0" w:noVBand="1"/>
      </w:tblPr>
      <w:tblGrid>
        <w:gridCol w:w="4449"/>
        <w:gridCol w:w="4407"/>
      </w:tblGrid>
      <w:tr w:rsidR="00337C82" w:rsidRPr="00F548C7" w:rsidTr="00967949">
        <w:tc>
          <w:tcPr>
            <w:tcW w:w="9243" w:type="dxa"/>
            <w:gridSpan w:val="2"/>
            <w:shd w:val="clear" w:color="auto" w:fill="auto"/>
          </w:tcPr>
          <w:p w:rsidR="00337C82" w:rsidRPr="00F548C7" w:rsidRDefault="00337C82" w:rsidP="00967949">
            <w:pPr>
              <w:pStyle w:val="DocText"/>
              <w:jc w:val="center"/>
              <w:rPr>
                <w:rFonts w:eastAsia="Times New Roman"/>
                <w:b/>
                <w:bCs/>
                <w:i/>
                <w:iCs/>
                <w:sz w:val="18"/>
                <w:szCs w:val="18"/>
              </w:rPr>
            </w:pPr>
            <w:r>
              <w:rPr>
                <w:b/>
                <w:bCs/>
                <w:i/>
                <w:iCs/>
                <w:sz w:val="18"/>
                <w:szCs w:val="18"/>
              </w:rPr>
              <w:t>Organizatorji</w:t>
            </w:r>
            <w:r w:rsidRPr="00F548C7">
              <w:rPr>
                <w:rFonts w:eastAsia="Times New Roman"/>
                <w:b/>
                <w:bCs/>
                <w:i/>
                <w:iCs/>
                <w:sz w:val="18"/>
                <w:szCs w:val="18"/>
              </w:rPr>
              <w:br/>
            </w:r>
          </w:p>
        </w:tc>
      </w:tr>
      <w:tr w:rsidR="00337C82" w:rsidRPr="00F548C7" w:rsidTr="00967949">
        <w:tc>
          <w:tcPr>
            <w:tcW w:w="4621" w:type="dxa"/>
            <w:shd w:val="clear" w:color="auto" w:fill="auto"/>
          </w:tcPr>
          <w:p w:rsidR="00337C82" w:rsidRPr="00337C82" w:rsidRDefault="00337C82" w:rsidP="00337C82">
            <w:pPr>
              <w:pStyle w:val="Header"/>
              <w:keepNext/>
              <w:numPr>
                <w:ilvl w:val="0"/>
                <w:numId w:val="5"/>
              </w:numPr>
              <w:suppressAutoHyphens w:val="0"/>
              <w:jc w:val="center"/>
              <w:rPr>
                <w:b/>
                <w:bCs/>
                <w:sz w:val="18"/>
                <w:szCs w:val="18"/>
              </w:rPr>
            </w:pPr>
            <w:r w:rsidRPr="00337C82">
              <w:rPr>
                <w:b/>
                <w:bCs/>
                <w:sz w:val="18"/>
                <w:szCs w:val="18"/>
              </w:rPr>
              <w:t>Barclays Bank PLC</w:t>
            </w:r>
          </w:p>
          <w:p w:rsidR="00337C82" w:rsidRPr="00337C82" w:rsidRDefault="00337C82" w:rsidP="00337C82">
            <w:pPr>
              <w:pStyle w:val="Header"/>
              <w:keepNext/>
              <w:numPr>
                <w:ilvl w:val="0"/>
                <w:numId w:val="5"/>
              </w:numPr>
              <w:suppressAutoHyphens w:val="0"/>
              <w:jc w:val="center"/>
              <w:rPr>
                <w:sz w:val="18"/>
                <w:szCs w:val="18"/>
              </w:rPr>
            </w:pPr>
            <w:r w:rsidRPr="00337C82">
              <w:rPr>
                <w:sz w:val="18"/>
                <w:szCs w:val="18"/>
              </w:rPr>
              <w:t>5 The North Colonnade</w:t>
            </w:r>
          </w:p>
          <w:p w:rsidR="00337C82" w:rsidRPr="00337C82" w:rsidRDefault="00337C82" w:rsidP="00337C82">
            <w:pPr>
              <w:pStyle w:val="Header"/>
              <w:keepNext/>
              <w:numPr>
                <w:ilvl w:val="0"/>
                <w:numId w:val="5"/>
              </w:numPr>
              <w:suppressAutoHyphens w:val="0"/>
              <w:jc w:val="center"/>
              <w:rPr>
                <w:sz w:val="18"/>
                <w:szCs w:val="18"/>
              </w:rPr>
            </w:pPr>
            <w:r w:rsidRPr="00337C82">
              <w:rPr>
                <w:sz w:val="18"/>
                <w:szCs w:val="18"/>
              </w:rPr>
              <w:t>Canary Wharf</w:t>
            </w:r>
          </w:p>
          <w:p w:rsidR="00337C82" w:rsidRPr="00337C82" w:rsidRDefault="00337C82" w:rsidP="00337C82">
            <w:pPr>
              <w:pStyle w:val="Header"/>
              <w:keepNext/>
              <w:numPr>
                <w:ilvl w:val="0"/>
                <w:numId w:val="5"/>
              </w:numPr>
              <w:suppressAutoHyphens w:val="0"/>
              <w:jc w:val="center"/>
              <w:rPr>
                <w:sz w:val="18"/>
                <w:szCs w:val="18"/>
              </w:rPr>
            </w:pPr>
            <w:r w:rsidRPr="00337C82">
              <w:rPr>
                <w:sz w:val="18"/>
                <w:szCs w:val="18"/>
              </w:rPr>
              <w:t>London E14 4BB</w:t>
            </w:r>
          </w:p>
          <w:p w:rsidR="00337C82" w:rsidRDefault="00337C82" w:rsidP="00967949">
            <w:pPr>
              <w:pStyle w:val="AODocTxt"/>
              <w:keepNext/>
              <w:spacing w:before="0" w:line="240" w:lineRule="auto"/>
              <w:jc w:val="center"/>
              <w:rPr>
                <w:rFonts w:eastAsia="Times New Roman"/>
                <w:sz w:val="18"/>
                <w:szCs w:val="18"/>
              </w:rPr>
            </w:pPr>
            <w:r>
              <w:rPr>
                <w:sz w:val="18"/>
                <w:szCs w:val="18"/>
              </w:rPr>
              <w:t>Združeno kraljestvo</w:t>
            </w:r>
          </w:p>
          <w:p w:rsidR="00337C82" w:rsidRDefault="00337C82" w:rsidP="00967949">
            <w:pPr>
              <w:pStyle w:val="AODocTxt"/>
              <w:keepNext/>
              <w:spacing w:before="0" w:line="240" w:lineRule="auto"/>
              <w:jc w:val="center"/>
              <w:rPr>
                <w:rFonts w:eastAsia="Times New Roman"/>
                <w:sz w:val="18"/>
                <w:szCs w:val="18"/>
              </w:rPr>
            </w:pPr>
          </w:p>
          <w:p w:rsidR="00337C82" w:rsidRPr="00337C82" w:rsidRDefault="00337C82" w:rsidP="00337C82">
            <w:pPr>
              <w:pStyle w:val="Header"/>
              <w:keepNext/>
              <w:numPr>
                <w:ilvl w:val="0"/>
                <w:numId w:val="5"/>
              </w:numPr>
              <w:jc w:val="center"/>
              <w:rPr>
                <w:sz w:val="18"/>
                <w:szCs w:val="18"/>
              </w:rPr>
            </w:pPr>
            <w:r w:rsidRPr="00337C82">
              <w:rPr>
                <w:sz w:val="18"/>
                <w:szCs w:val="18"/>
              </w:rPr>
              <w:t>Telefon: +44 20 3134 8515</w:t>
            </w:r>
          </w:p>
          <w:p w:rsidR="00337C82" w:rsidRPr="00337C82" w:rsidRDefault="00337C82" w:rsidP="00337C82">
            <w:pPr>
              <w:pStyle w:val="Header"/>
              <w:keepNext/>
              <w:numPr>
                <w:ilvl w:val="0"/>
                <w:numId w:val="5"/>
              </w:numPr>
              <w:jc w:val="center"/>
              <w:rPr>
                <w:sz w:val="18"/>
                <w:szCs w:val="18"/>
              </w:rPr>
            </w:pPr>
            <w:r w:rsidRPr="00337C82">
              <w:rPr>
                <w:sz w:val="18"/>
                <w:szCs w:val="18"/>
              </w:rPr>
              <w:t>Liability Management Group</w:t>
            </w:r>
          </w:p>
          <w:p w:rsidR="00337C82" w:rsidRPr="00337C82" w:rsidRDefault="00337C82" w:rsidP="00337C82">
            <w:pPr>
              <w:pStyle w:val="Header"/>
              <w:keepNext/>
              <w:numPr>
                <w:ilvl w:val="0"/>
                <w:numId w:val="5"/>
              </w:numPr>
              <w:jc w:val="center"/>
              <w:rPr>
                <w:b/>
                <w:bCs/>
                <w:sz w:val="18"/>
                <w:szCs w:val="18"/>
              </w:rPr>
            </w:pPr>
            <w:r w:rsidRPr="00337C82">
              <w:rPr>
                <w:sz w:val="18"/>
                <w:szCs w:val="18"/>
              </w:rPr>
              <w:t>Elektronski naslov: eu.lm@barclays.com</w:t>
            </w:r>
          </w:p>
          <w:p w:rsidR="00337C82" w:rsidRDefault="00337C82" w:rsidP="00967949">
            <w:pPr>
              <w:pStyle w:val="AODocTxt"/>
              <w:keepNext/>
              <w:spacing w:before="0" w:line="240" w:lineRule="auto"/>
              <w:jc w:val="center"/>
              <w:rPr>
                <w:rFonts w:eastAsia="Times New Roman"/>
                <w:b/>
                <w:bCs/>
                <w:sz w:val="18"/>
                <w:szCs w:val="18"/>
              </w:rPr>
            </w:pPr>
          </w:p>
          <w:p w:rsidR="00337C82" w:rsidRPr="00F548C7" w:rsidRDefault="00337C82" w:rsidP="00967949">
            <w:pPr>
              <w:pStyle w:val="DocText"/>
              <w:jc w:val="center"/>
              <w:rPr>
                <w:sz w:val="18"/>
                <w:szCs w:val="18"/>
              </w:rPr>
            </w:pPr>
          </w:p>
        </w:tc>
        <w:tc>
          <w:tcPr>
            <w:tcW w:w="4622" w:type="dxa"/>
            <w:shd w:val="clear" w:color="auto" w:fill="auto"/>
          </w:tcPr>
          <w:p w:rsidR="00337C82" w:rsidRDefault="00337C82" w:rsidP="00967949">
            <w:pPr>
              <w:pStyle w:val="AODocTxt"/>
              <w:keepNext/>
              <w:spacing w:before="0" w:line="240" w:lineRule="auto"/>
              <w:jc w:val="center"/>
              <w:rPr>
                <w:sz w:val="18"/>
                <w:szCs w:val="18"/>
              </w:rPr>
            </w:pPr>
            <w:r>
              <w:rPr>
                <w:b/>
                <w:bCs/>
                <w:sz w:val="18"/>
                <w:szCs w:val="18"/>
              </w:rPr>
              <w:t>BNP Paribas</w:t>
            </w:r>
          </w:p>
          <w:p w:rsidR="00337C82" w:rsidRDefault="00337C82" w:rsidP="00967949">
            <w:pPr>
              <w:keepNext/>
              <w:jc w:val="center"/>
              <w:rPr>
                <w:sz w:val="18"/>
                <w:szCs w:val="18"/>
              </w:rPr>
            </w:pPr>
            <w:r>
              <w:t xml:space="preserve"> </w:t>
            </w:r>
            <w:r>
              <w:rPr>
                <w:sz w:val="18"/>
                <w:szCs w:val="18"/>
              </w:rPr>
              <w:t>16, boulevard des Italiens</w:t>
            </w:r>
          </w:p>
          <w:p w:rsidR="00337C82" w:rsidRDefault="00337C82" w:rsidP="00967949">
            <w:pPr>
              <w:keepNext/>
              <w:jc w:val="center"/>
              <w:rPr>
                <w:sz w:val="18"/>
                <w:szCs w:val="18"/>
              </w:rPr>
            </w:pPr>
            <w:r>
              <w:rPr>
                <w:sz w:val="18"/>
                <w:szCs w:val="18"/>
              </w:rPr>
              <w:t>75009 Paris</w:t>
            </w:r>
          </w:p>
          <w:p w:rsidR="00337C82" w:rsidRDefault="00337C82" w:rsidP="00337C82">
            <w:pPr>
              <w:keepNext/>
              <w:jc w:val="center"/>
              <w:rPr>
                <w:sz w:val="18"/>
                <w:szCs w:val="18"/>
              </w:rPr>
            </w:pPr>
            <w:r>
              <w:rPr>
                <w:sz w:val="18"/>
                <w:szCs w:val="18"/>
              </w:rPr>
              <w:t>Francija</w:t>
            </w:r>
          </w:p>
          <w:p w:rsidR="00337C82" w:rsidRDefault="00337C82" w:rsidP="00337C82">
            <w:pPr>
              <w:pStyle w:val="DocText"/>
              <w:jc w:val="center"/>
              <w:rPr>
                <w:sz w:val="18"/>
                <w:szCs w:val="18"/>
              </w:rPr>
            </w:pPr>
            <w:r>
              <w:rPr>
                <w:sz w:val="18"/>
                <w:szCs w:val="18"/>
              </w:rPr>
              <w:t>Telefon: +33 1 55 77 78 94</w:t>
            </w:r>
            <w:r>
              <w:rPr>
                <w:sz w:val="18"/>
                <w:szCs w:val="18"/>
              </w:rPr>
              <w:br/>
              <w:t>Liability Management Group</w:t>
            </w:r>
          </w:p>
          <w:p w:rsidR="00337C82" w:rsidRPr="00F548C7" w:rsidRDefault="00337C82" w:rsidP="00337C82">
            <w:pPr>
              <w:pStyle w:val="DocText"/>
              <w:jc w:val="center"/>
              <w:rPr>
                <w:sz w:val="18"/>
                <w:szCs w:val="18"/>
              </w:rPr>
            </w:pPr>
            <w:r>
              <w:rPr>
                <w:sz w:val="18"/>
                <w:szCs w:val="18"/>
              </w:rPr>
              <w:t>Elektronski naslov: liability.management@bnpparibas.com</w:t>
            </w:r>
          </w:p>
        </w:tc>
      </w:tr>
      <w:tr w:rsidR="00337C82" w:rsidRPr="00F548C7" w:rsidTr="00967949">
        <w:tc>
          <w:tcPr>
            <w:tcW w:w="4621" w:type="dxa"/>
            <w:shd w:val="clear" w:color="auto" w:fill="auto"/>
          </w:tcPr>
          <w:p w:rsidR="00337C82" w:rsidRPr="00831C68" w:rsidRDefault="00337C82" w:rsidP="00967949">
            <w:pPr>
              <w:pStyle w:val="AODocTxt"/>
              <w:keepNext/>
              <w:spacing w:before="0" w:line="240" w:lineRule="auto"/>
              <w:jc w:val="center"/>
              <w:rPr>
                <w:sz w:val="18"/>
                <w:szCs w:val="18"/>
                <w:lang w:val="de-DE"/>
              </w:rPr>
            </w:pPr>
            <w:r w:rsidRPr="00831C68">
              <w:rPr>
                <w:b/>
                <w:bCs/>
                <w:sz w:val="18"/>
                <w:szCs w:val="18"/>
                <w:lang w:val="de-DE"/>
              </w:rPr>
              <w:t>Commerzbank Aktiengesellschaft</w:t>
            </w:r>
            <w:r w:rsidRPr="00831C68">
              <w:rPr>
                <w:sz w:val="18"/>
                <w:szCs w:val="18"/>
                <w:lang w:val="de-DE"/>
              </w:rPr>
              <w:t xml:space="preserve"> </w:t>
            </w:r>
            <w:r w:rsidRPr="00831C68">
              <w:rPr>
                <w:sz w:val="18"/>
                <w:szCs w:val="18"/>
                <w:lang w:val="de-DE"/>
              </w:rPr>
              <w:br/>
              <w:t xml:space="preserve"> Kaiserstraße 16 (Kaiserplatz)</w:t>
            </w:r>
            <w:r w:rsidRPr="00831C68">
              <w:rPr>
                <w:sz w:val="18"/>
                <w:szCs w:val="18"/>
                <w:lang w:val="de-DE"/>
              </w:rPr>
              <w:br/>
              <w:t>60311 Frankfurt am Main</w:t>
            </w:r>
            <w:r w:rsidRPr="00831C68">
              <w:rPr>
                <w:sz w:val="18"/>
                <w:szCs w:val="18"/>
                <w:lang w:val="de-DE"/>
              </w:rPr>
              <w:br/>
            </w:r>
            <w:r>
              <w:rPr>
                <w:sz w:val="18"/>
                <w:szCs w:val="18"/>
              </w:rPr>
              <w:t xml:space="preserve"> Zvezna republika Nemčija</w:t>
            </w:r>
          </w:p>
          <w:p w:rsidR="00337C82" w:rsidRDefault="00337C82" w:rsidP="00967949">
            <w:pPr>
              <w:pStyle w:val="AODocTxt"/>
              <w:keepNext/>
              <w:spacing w:before="0" w:line="240" w:lineRule="auto"/>
              <w:jc w:val="center"/>
              <w:rPr>
                <w:sz w:val="18"/>
                <w:szCs w:val="18"/>
              </w:rPr>
            </w:pPr>
            <w:r w:rsidRPr="00337C82">
              <w:rPr>
                <w:sz w:val="18"/>
                <w:szCs w:val="18"/>
                <w:lang w:val="de-DE"/>
              </w:rPr>
              <w:br/>
            </w:r>
            <w:r>
              <w:rPr>
                <w:sz w:val="18"/>
                <w:szCs w:val="18"/>
              </w:rPr>
              <w:t xml:space="preserve"> Telefon: +49 69 1365 9920</w:t>
            </w:r>
            <w:r>
              <w:rPr>
                <w:sz w:val="18"/>
                <w:szCs w:val="18"/>
              </w:rPr>
              <w:br/>
              <w:t>Liability Management Group</w:t>
            </w:r>
            <w:r>
              <w:rPr>
                <w:sz w:val="18"/>
                <w:szCs w:val="18"/>
              </w:rPr>
              <w:br/>
              <w:t>Elektronski naslov: Liability.Management@commerzbank.com</w:t>
            </w:r>
          </w:p>
          <w:p w:rsidR="00337C82" w:rsidRDefault="00337C82" w:rsidP="00967949">
            <w:pPr>
              <w:pStyle w:val="AODocTxt"/>
              <w:keepNext/>
              <w:spacing w:before="0" w:line="240" w:lineRule="auto"/>
              <w:jc w:val="center"/>
              <w:rPr>
                <w:sz w:val="18"/>
                <w:szCs w:val="18"/>
              </w:rPr>
            </w:pPr>
          </w:p>
          <w:p w:rsidR="00337C82" w:rsidRPr="00F548C7" w:rsidRDefault="00337C82" w:rsidP="00967949">
            <w:pPr>
              <w:pStyle w:val="DocText"/>
              <w:jc w:val="center"/>
              <w:rPr>
                <w:b/>
                <w:sz w:val="18"/>
                <w:szCs w:val="18"/>
              </w:rPr>
            </w:pPr>
          </w:p>
        </w:tc>
        <w:tc>
          <w:tcPr>
            <w:tcW w:w="4622" w:type="dxa"/>
            <w:shd w:val="clear" w:color="auto" w:fill="auto"/>
          </w:tcPr>
          <w:p w:rsidR="00337C82" w:rsidRDefault="00337C82" w:rsidP="00967949">
            <w:pPr>
              <w:pStyle w:val="AODocTxt"/>
              <w:keepNext/>
              <w:spacing w:before="0" w:line="240" w:lineRule="auto"/>
              <w:jc w:val="center"/>
              <w:rPr>
                <w:sz w:val="18"/>
                <w:szCs w:val="18"/>
              </w:rPr>
            </w:pPr>
            <w:r>
              <w:rPr>
                <w:b/>
                <w:bCs/>
                <w:sz w:val="18"/>
                <w:szCs w:val="18"/>
              </w:rPr>
              <w:t>Goldman Sachs International Bank</w:t>
            </w:r>
            <w:r>
              <w:rPr>
                <w:b/>
                <w:bCs/>
                <w:sz w:val="18"/>
                <w:szCs w:val="18"/>
              </w:rPr>
              <w:br/>
            </w:r>
            <w:r>
              <w:rPr>
                <w:sz w:val="18"/>
                <w:szCs w:val="18"/>
              </w:rPr>
              <w:t>Plumtree Court</w:t>
            </w:r>
            <w:r>
              <w:rPr>
                <w:sz w:val="18"/>
                <w:szCs w:val="18"/>
              </w:rPr>
              <w:br/>
              <w:t xml:space="preserve">25 Shoe Lane </w:t>
            </w:r>
            <w:r>
              <w:rPr>
                <w:sz w:val="18"/>
                <w:szCs w:val="18"/>
              </w:rPr>
              <w:br/>
              <w:t>London EC4A 4AU</w:t>
            </w:r>
            <w:r>
              <w:rPr>
                <w:sz w:val="18"/>
                <w:szCs w:val="18"/>
              </w:rPr>
              <w:br/>
              <w:t xml:space="preserve"> Združeno kraljestvo</w:t>
            </w:r>
          </w:p>
          <w:p w:rsidR="00337C82" w:rsidRDefault="00337C82" w:rsidP="00967949">
            <w:pPr>
              <w:pStyle w:val="AODocTxt"/>
              <w:keepNext/>
              <w:spacing w:before="0" w:line="240" w:lineRule="auto"/>
              <w:jc w:val="center"/>
              <w:rPr>
                <w:sz w:val="18"/>
                <w:szCs w:val="18"/>
              </w:rPr>
            </w:pPr>
          </w:p>
          <w:p w:rsidR="00337C82" w:rsidRDefault="00337C82" w:rsidP="00337C82">
            <w:pPr>
              <w:pStyle w:val="AODocTxt"/>
              <w:keepNext/>
              <w:numPr>
                <w:ilvl w:val="0"/>
                <w:numId w:val="3"/>
              </w:numPr>
              <w:spacing w:before="0" w:line="240" w:lineRule="auto"/>
              <w:jc w:val="center"/>
              <w:rPr>
                <w:sz w:val="18"/>
                <w:szCs w:val="18"/>
              </w:rPr>
            </w:pPr>
            <w:r>
              <w:rPr>
                <w:sz w:val="18"/>
                <w:szCs w:val="18"/>
              </w:rPr>
              <w:t>Telefon: +44 20 7552 6157</w:t>
            </w:r>
          </w:p>
          <w:p w:rsidR="00337C82" w:rsidRPr="00337C82" w:rsidRDefault="00337C82" w:rsidP="00337C82">
            <w:pPr>
              <w:pStyle w:val="AODocTxt"/>
              <w:keepNext/>
              <w:numPr>
                <w:ilvl w:val="0"/>
                <w:numId w:val="3"/>
              </w:numPr>
              <w:spacing w:before="0" w:line="240" w:lineRule="auto"/>
              <w:jc w:val="center"/>
              <w:rPr>
                <w:b/>
                <w:bCs/>
                <w:sz w:val="18"/>
                <w:szCs w:val="18"/>
              </w:rPr>
            </w:pPr>
            <w:r>
              <w:rPr>
                <w:sz w:val="18"/>
                <w:szCs w:val="18"/>
              </w:rPr>
              <w:t>Elektronski naslov: liabilitymanagement.eu@gs.com</w:t>
            </w:r>
          </w:p>
          <w:p w:rsidR="00337C82" w:rsidRDefault="00337C82" w:rsidP="00337C82">
            <w:pPr>
              <w:pStyle w:val="AODocTxt"/>
              <w:keepNext/>
              <w:numPr>
                <w:ilvl w:val="0"/>
                <w:numId w:val="5"/>
              </w:numPr>
              <w:suppressAutoHyphens w:val="0"/>
              <w:spacing w:before="0" w:line="240" w:lineRule="auto"/>
              <w:jc w:val="center"/>
              <w:rPr>
                <w:b/>
                <w:bCs/>
                <w:sz w:val="18"/>
                <w:szCs w:val="18"/>
              </w:rPr>
            </w:pPr>
          </w:p>
          <w:p w:rsidR="00337C82" w:rsidRPr="00F548C7" w:rsidRDefault="00337C82" w:rsidP="00967949">
            <w:pPr>
              <w:pStyle w:val="DocText"/>
              <w:jc w:val="center"/>
              <w:rPr>
                <w:sz w:val="18"/>
                <w:szCs w:val="18"/>
              </w:rPr>
            </w:pPr>
          </w:p>
        </w:tc>
      </w:tr>
      <w:tr w:rsidR="00337C82" w:rsidRPr="00F548C7" w:rsidTr="00967949">
        <w:tc>
          <w:tcPr>
            <w:tcW w:w="4621" w:type="dxa"/>
            <w:shd w:val="clear" w:color="auto" w:fill="auto"/>
          </w:tcPr>
          <w:p w:rsidR="00337C82" w:rsidRDefault="00337C82" w:rsidP="00967949">
            <w:pPr>
              <w:pStyle w:val="DocText"/>
              <w:jc w:val="center"/>
              <w:rPr>
                <w:sz w:val="18"/>
                <w:szCs w:val="18"/>
              </w:rPr>
            </w:pPr>
            <w:r>
              <w:rPr>
                <w:b/>
                <w:sz w:val="18"/>
                <w:szCs w:val="18"/>
              </w:rPr>
              <w:t>J.P. Morgan Securities plc</w:t>
            </w:r>
            <w:r>
              <w:rPr>
                <w:b/>
                <w:sz w:val="18"/>
                <w:szCs w:val="18"/>
              </w:rPr>
              <w:br/>
            </w:r>
            <w:r>
              <w:rPr>
                <w:sz w:val="18"/>
                <w:szCs w:val="18"/>
              </w:rPr>
              <w:t>25 Bank Street</w:t>
            </w:r>
            <w:r>
              <w:rPr>
                <w:sz w:val="18"/>
                <w:szCs w:val="18"/>
              </w:rPr>
              <w:br/>
              <w:t>Canary Wharf</w:t>
            </w:r>
            <w:r>
              <w:rPr>
                <w:sz w:val="18"/>
                <w:szCs w:val="18"/>
              </w:rPr>
              <w:br/>
              <w:t>London E14 5JP</w:t>
            </w:r>
          </w:p>
          <w:p w:rsidR="00337C82" w:rsidRDefault="00337C82" w:rsidP="00337C82">
            <w:pPr>
              <w:pStyle w:val="DocText"/>
              <w:spacing w:before="0"/>
              <w:jc w:val="center"/>
              <w:rPr>
                <w:sz w:val="18"/>
                <w:szCs w:val="18"/>
              </w:rPr>
            </w:pPr>
            <w:r>
              <w:rPr>
                <w:sz w:val="18"/>
                <w:szCs w:val="18"/>
              </w:rPr>
              <w:t>Združeno kraljestvo</w:t>
            </w:r>
          </w:p>
          <w:p w:rsidR="00337C82" w:rsidRDefault="00337C82" w:rsidP="00967949">
            <w:pPr>
              <w:pStyle w:val="DocText"/>
              <w:spacing w:before="0"/>
              <w:jc w:val="center"/>
              <w:rPr>
                <w:sz w:val="18"/>
                <w:szCs w:val="18"/>
              </w:rPr>
            </w:pPr>
          </w:p>
          <w:p w:rsidR="00337C82" w:rsidRDefault="00337C82" w:rsidP="00337C82">
            <w:pPr>
              <w:pStyle w:val="AODocTxt"/>
              <w:keepNext/>
              <w:numPr>
                <w:ilvl w:val="0"/>
                <w:numId w:val="3"/>
              </w:numPr>
              <w:spacing w:before="0" w:line="240" w:lineRule="auto"/>
              <w:jc w:val="center"/>
              <w:rPr>
                <w:b/>
                <w:bCs/>
                <w:sz w:val="18"/>
                <w:szCs w:val="18"/>
              </w:rPr>
            </w:pPr>
            <w:r>
              <w:rPr>
                <w:sz w:val="18"/>
                <w:szCs w:val="18"/>
              </w:rPr>
              <w:t>Telefon: +44 20 7134 2468</w:t>
            </w:r>
            <w:r>
              <w:rPr>
                <w:sz w:val="18"/>
                <w:szCs w:val="18"/>
              </w:rPr>
              <w:br/>
              <w:t>Liability Management</w:t>
            </w:r>
            <w:r>
              <w:rPr>
                <w:sz w:val="18"/>
                <w:szCs w:val="18"/>
              </w:rPr>
              <w:br/>
              <w:t>Elektronski naslov: em_europe_lm@jpmorgan.com</w:t>
            </w:r>
          </w:p>
          <w:p w:rsidR="00337C82" w:rsidRDefault="00337C82" w:rsidP="00967949">
            <w:pPr>
              <w:pStyle w:val="AODocTxt"/>
              <w:keepNext/>
              <w:spacing w:before="0" w:line="240" w:lineRule="auto"/>
              <w:jc w:val="center"/>
              <w:rPr>
                <w:b/>
                <w:bCs/>
                <w:sz w:val="18"/>
                <w:szCs w:val="18"/>
              </w:rPr>
            </w:pPr>
          </w:p>
          <w:p w:rsidR="00337C82" w:rsidRPr="00906DDD" w:rsidDel="00434E4D" w:rsidRDefault="00337C82" w:rsidP="00967949">
            <w:pPr>
              <w:pStyle w:val="DocText"/>
              <w:spacing w:before="0"/>
              <w:jc w:val="center"/>
              <w:rPr>
                <w:sz w:val="18"/>
                <w:szCs w:val="18"/>
              </w:rPr>
            </w:pPr>
          </w:p>
        </w:tc>
        <w:tc>
          <w:tcPr>
            <w:tcW w:w="4622" w:type="dxa"/>
            <w:shd w:val="clear" w:color="auto" w:fill="auto"/>
          </w:tcPr>
          <w:p w:rsidR="00337C82" w:rsidRPr="00831C68" w:rsidRDefault="00337C82" w:rsidP="00967949">
            <w:pPr>
              <w:pStyle w:val="DocText"/>
              <w:jc w:val="center"/>
              <w:rPr>
                <w:bCs/>
                <w:sz w:val="18"/>
                <w:szCs w:val="18"/>
                <w:lang w:val="it-IT"/>
              </w:rPr>
            </w:pPr>
            <w:r w:rsidRPr="00831C68">
              <w:rPr>
                <w:b/>
                <w:sz w:val="18"/>
                <w:szCs w:val="18"/>
                <w:lang w:val="it-IT"/>
              </w:rPr>
              <w:t>UniCredit Banka Slovenija d.d.</w:t>
            </w:r>
            <w:r w:rsidRPr="00831C68">
              <w:rPr>
                <w:b/>
                <w:sz w:val="18"/>
                <w:szCs w:val="18"/>
                <w:lang w:val="it-IT"/>
              </w:rPr>
              <w:br/>
            </w:r>
            <w:r w:rsidRPr="00831C68">
              <w:rPr>
                <w:bCs/>
                <w:sz w:val="18"/>
                <w:szCs w:val="18"/>
                <w:lang w:val="it-IT"/>
              </w:rPr>
              <w:t>Šmartinska cesta 140</w:t>
            </w:r>
            <w:r w:rsidRPr="00831C68">
              <w:rPr>
                <w:b/>
                <w:sz w:val="18"/>
                <w:szCs w:val="18"/>
                <w:lang w:val="it-IT"/>
              </w:rPr>
              <w:br/>
            </w:r>
            <w:r w:rsidRPr="00831C68">
              <w:rPr>
                <w:bCs/>
                <w:sz w:val="18"/>
                <w:szCs w:val="18"/>
                <w:lang w:val="it-IT"/>
              </w:rPr>
              <w:t>1000 Ljubljana</w:t>
            </w:r>
            <w:r w:rsidRPr="00831C68">
              <w:rPr>
                <w:bCs/>
                <w:sz w:val="18"/>
                <w:szCs w:val="18"/>
                <w:lang w:val="it-IT"/>
              </w:rPr>
              <w:br/>
            </w:r>
            <w:r>
              <w:rPr>
                <w:bCs/>
                <w:sz w:val="18"/>
                <w:szCs w:val="18"/>
              </w:rPr>
              <w:t xml:space="preserve"> Slovenija</w:t>
            </w:r>
          </w:p>
          <w:p w:rsidR="00337C82" w:rsidRDefault="00337C82" w:rsidP="00337C82">
            <w:pPr>
              <w:pStyle w:val="DocText"/>
              <w:jc w:val="center"/>
              <w:rPr>
                <w:bCs/>
                <w:sz w:val="18"/>
                <w:szCs w:val="18"/>
              </w:rPr>
            </w:pPr>
            <w:r>
              <w:rPr>
                <w:bCs/>
                <w:sz w:val="18"/>
                <w:szCs w:val="18"/>
              </w:rPr>
              <w:t>Telefon: +49 89 378 15150</w:t>
            </w:r>
            <w:r>
              <w:rPr>
                <w:bCs/>
                <w:sz w:val="18"/>
                <w:szCs w:val="18"/>
              </w:rPr>
              <w:br/>
              <w:t>Liability Management</w:t>
            </w:r>
          </w:p>
          <w:p w:rsidR="00337C82" w:rsidRPr="00F548C7" w:rsidRDefault="00337C82" w:rsidP="00337C82">
            <w:pPr>
              <w:pStyle w:val="DocText"/>
              <w:jc w:val="center"/>
              <w:rPr>
                <w:b/>
              </w:rPr>
            </w:pPr>
            <w:r>
              <w:rPr>
                <w:bCs/>
                <w:sz w:val="18"/>
                <w:szCs w:val="18"/>
              </w:rPr>
              <w:t>Elektronski naslov: liability.management@unicredit.de</w:t>
            </w:r>
          </w:p>
        </w:tc>
      </w:tr>
    </w:tbl>
    <w:p w:rsidR="00337C82" w:rsidRDefault="00337C82" w:rsidP="00DC12A4">
      <w:pPr>
        <w:pStyle w:val="AODocTxt"/>
        <w:numPr>
          <w:ilvl w:val="0"/>
          <w:numId w:val="2"/>
        </w:numPr>
      </w:pPr>
    </w:p>
    <w:p w:rsidR="00DC12A4" w:rsidRDefault="00DC12A4" w:rsidP="00337C82">
      <w:pPr>
        <w:pStyle w:val="AODocTxt"/>
        <w:spacing w:before="0" w:line="240" w:lineRule="auto"/>
      </w:pPr>
    </w:p>
    <w:tbl>
      <w:tblPr>
        <w:tblW w:w="0" w:type="auto"/>
        <w:tblLayout w:type="fixed"/>
        <w:tblLook w:val="0000" w:firstRow="0" w:lastRow="0" w:firstColumn="0" w:lastColumn="0" w:noHBand="0" w:noVBand="0"/>
      </w:tblPr>
      <w:tblGrid>
        <w:gridCol w:w="3225"/>
        <w:gridCol w:w="3402"/>
        <w:gridCol w:w="3228"/>
      </w:tblGrid>
      <w:tr w:rsidR="00DC12A4" w:rsidTr="00967949">
        <w:tc>
          <w:tcPr>
            <w:tcW w:w="9855" w:type="dxa"/>
            <w:gridSpan w:val="3"/>
            <w:shd w:val="clear" w:color="auto" w:fill="FFFFFF"/>
          </w:tcPr>
          <w:p w:rsidR="00DC12A4" w:rsidRDefault="00DC12A4" w:rsidP="00DC12A4">
            <w:pPr>
              <w:pStyle w:val="AODocTxt"/>
              <w:numPr>
                <w:ilvl w:val="0"/>
                <w:numId w:val="2"/>
              </w:numPr>
              <w:spacing w:before="0" w:line="240" w:lineRule="auto"/>
              <w:jc w:val="center"/>
            </w:pPr>
            <w:r>
              <w:rPr>
                <w:b/>
                <w:bCs/>
                <w:i/>
                <w:iCs/>
                <w:sz w:val="18"/>
                <w:szCs w:val="18"/>
              </w:rPr>
              <w:t>KDD</w:t>
            </w:r>
          </w:p>
        </w:tc>
      </w:tr>
      <w:tr w:rsidR="00DC12A4" w:rsidTr="00967949">
        <w:tc>
          <w:tcPr>
            <w:tcW w:w="9855" w:type="dxa"/>
            <w:gridSpan w:val="3"/>
            <w:shd w:val="clear" w:color="auto" w:fill="FFFFFF"/>
          </w:tcPr>
          <w:p w:rsidR="00DC12A4" w:rsidRDefault="00DC12A4" w:rsidP="00967949">
            <w:pPr>
              <w:pStyle w:val="DocText"/>
              <w:jc w:val="center"/>
              <w:rPr>
                <w:sz w:val="18"/>
                <w:szCs w:val="18"/>
              </w:rPr>
            </w:pPr>
            <w:r>
              <w:rPr>
                <w:b/>
                <w:bCs/>
                <w:sz w:val="18"/>
                <w:szCs w:val="18"/>
              </w:rPr>
              <w:t xml:space="preserve">KDD - Centralna klirinško depotna družba, d.o.o. </w:t>
            </w:r>
          </w:p>
          <w:p w:rsidR="00DC12A4" w:rsidRDefault="00DC12A4" w:rsidP="00967949">
            <w:pPr>
              <w:pStyle w:val="DocText"/>
              <w:jc w:val="center"/>
              <w:rPr>
                <w:sz w:val="18"/>
                <w:szCs w:val="18"/>
              </w:rPr>
            </w:pPr>
            <w:r>
              <w:rPr>
                <w:sz w:val="18"/>
                <w:szCs w:val="18"/>
              </w:rPr>
              <w:t>Tivolska 48</w:t>
            </w:r>
            <w:r>
              <w:rPr>
                <w:sz w:val="18"/>
                <w:szCs w:val="18"/>
              </w:rPr>
              <w:br/>
              <w:t>1542 Ljubljana</w:t>
            </w:r>
            <w:r>
              <w:rPr>
                <w:sz w:val="18"/>
                <w:szCs w:val="18"/>
              </w:rPr>
              <w:br/>
              <w:t>Slovenija</w:t>
            </w:r>
          </w:p>
          <w:p w:rsidR="00DC12A4" w:rsidRDefault="00DC12A4" w:rsidP="00DC12A4">
            <w:pPr>
              <w:pStyle w:val="AODocTxt"/>
              <w:numPr>
                <w:ilvl w:val="0"/>
                <w:numId w:val="2"/>
              </w:numPr>
              <w:spacing w:before="0" w:line="240" w:lineRule="auto"/>
              <w:jc w:val="center"/>
            </w:pPr>
            <w:r>
              <w:rPr>
                <w:sz w:val="18"/>
                <w:szCs w:val="18"/>
              </w:rPr>
              <w:t>Telefon: +386 1 307 35 61</w:t>
            </w:r>
            <w:r>
              <w:rPr>
                <w:sz w:val="18"/>
                <w:szCs w:val="18"/>
              </w:rPr>
              <w:br/>
              <w:t>Elektronski naslov: korporacijske@kdd.si</w:t>
            </w:r>
            <w:r>
              <w:t xml:space="preserve"> /</w:t>
            </w:r>
            <w:r>
              <w:rPr>
                <w:sz w:val="18"/>
                <w:szCs w:val="18"/>
              </w:rPr>
              <w:t xml:space="preserve"> poravnava@kdd.si</w:t>
            </w:r>
            <w:r>
              <w:rPr>
                <w:sz w:val="18"/>
                <w:szCs w:val="18"/>
              </w:rPr>
              <w:br/>
              <w:t>Iztok Kovač</w:t>
            </w:r>
          </w:p>
        </w:tc>
      </w:tr>
      <w:tr w:rsidR="00DC12A4" w:rsidTr="00967949">
        <w:tc>
          <w:tcPr>
            <w:tcW w:w="3225" w:type="dxa"/>
            <w:shd w:val="clear" w:color="auto" w:fill="FFFFFF"/>
          </w:tcPr>
          <w:p w:rsidR="00DC12A4" w:rsidRDefault="00DC12A4" w:rsidP="00DC12A4">
            <w:pPr>
              <w:pStyle w:val="AODocTxt"/>
              <w:numPr>
                <w:ilvl w:val="0"/>
                <w:numId w:val="2"/>
              </w:numPr>
              <w:spacing w:line="240" w:lineRule="auto"/>
              <w:jc w:val="center"/>
              <w:rPr>
                <w:rFonts w:eastAsia="Times New Roman"/>
                <w:sz w:val="18"/>
                <w:szCs w:val="18"/>
              </w:rPr>
            </w:pPr>
          </w:p>
        </w:tc>
        <w:tc>
          <w:tcPr>
            <w:tcW w:w="3402" w:type="dxa"/>
            <w:shd w:val="clear" w:color="auto" w:fill="FFFFFF"/>
          </w:tcPr>
          <w:p w:rsidR="00DC12A4" w:rsidRDefault="00DC12A4" w:rsidP="00DC12A4">
            <w:pPr>
              <w:pStyle w:val="AODocTxt"/>
              <w:numPr>
                <w:ilvl w:val="0"/>
                <w:numId w:val="2"/>
              </w:numPr>
              <w:spacing w:before="0" w:line="240" w:lineRule="auto"/>
              <w:jc w:val="center"/>
              <w:rPr>
                <w:rFonts w:eastAsia="Times New Roman"/>
                <w:sz w:val="18"/>
                <w:szCs w:val="18"/>
              </w:rPr>
            </w:pPr>
          </w:p>
          <w:p w:rsidR="00DC12A4" w:rsidRDefault="00DC12A4" w:rsidP="00DC12A4">
            <w:pPr>
              <w:pStyle w:val="AODocTxt"/>
              <w:numPr>
                <w:ilvl w:val="0"/>
                <w:numId w:val="2"/>
              </w:numPr>
              <w:spacing w:before="0" w:line="240" w:lineRule="auto"/>
              <w:jc w:val="center"/>
              <w:rPr>
                <w:rFonts w:eastAsia="Times New Roman"/>
                <w:sz w:val="18"/>
                <w:szCs w:val="18"/>
              </w:rPr>
            </w:pPr>
          </w:p>
        </w:tc>
        <w:tc>
          <w:tcPr>
            <w:tcW w:w="3228" w:type="dxa"/>
            <w:shd w:val="clear" w:color="auto" w:fill="FFFFFF"/>
          </w:tcPr>
          <w:p w:rsidR="00DC12A4" w:rsidRDefault="00DC12A4" w:rsidP="00DC12A4">
            <w:pPr>
              <w:pStyle w:val="AODocTxt"/>
              <w:numPr>
                <w:ilvl w:val="0"/>
                <w:numId w:val="2"/>
              </w:numPr>
              <w:spacing w:before="0" w:line="240" w:lineRule="auto"/>
              <w:jc w:val="center"/>
              <w:rPr>
                <w:rFonts w:eastAsia="Times New Roman"/>
                <w:b/>
                <w:bCs/>
                <w:sz w:val="18"/>
                <w:szCs w:val="18"/>
              </w:rPr>
            </w:pPr>
          </w:p>
          <w:p w:rsidR="00DC12A4" w:rsidRDefault="00DC12A4" w:rsidP="00DC12A4">
            <w:pPr>
              <w:pStyle w:val="AODocTxt"/>
              <w:numPr>
                <w:ilvl w:val="0"/>
                <w:numId w:val="2"/>
              </w:numPr>
              <w:spacing w:before="0" w:line="240" w:lineRule="auto"/>
              <w:jc w:val="center"/>
              <w:rPr>
                <w:rFonts w:eastAsia="Times New Roman"/>
                <w:b/>
                <w:bCs/>
                <w:sz w:val="18"/>
                <w:szCs w:val="18"/>
              </w:rPr>
            </w:pPr>
          </w:p>
        </w:tc>
      </w:tr>
    </w:tbl>
    <w:p w:rsidR="00DC12A4" w:rsidRDefault="00DC12A4" w:rsidP="00DC12A4">
      <w:pPr>
        <w:pStyle w:val="AODocTxt"/>
        <w:numPr>
          <w:ilvl w:val="0"/>
          <w:numId w:val="2"/>
        </w:numPr>
        <w:spacing w:line="240" w:lineRule="auto"/>
      </w:pPr>
      <w:r>
        <w:rPr>
          <w:b/>
          <w:sz w:val="16"/>
          <w:szCs w:val="16"/>
        </w:rPr>
        <w:t>OMEJITEV ODGOVORNOSTI:</w:t>
      </w:r>
      <w:r>
        <w:rPr>
          <w:sz w:val="16"/>
          <w:szCs w:val="16"/>
        </w:rPr>
        <w:t xml:space="preserve"> To obvestilo je treba brati skupaj s Ponudbenim memorandumom. To obvestilo ne predstavlja kakršne koli ponudbe ali vabila za pridobitev ali prodajo vrednostnih papirjev. Razdeljevanje tega obvestila in Ponudbenega memoranduma je lahko v določenih jurisdikcijah po zakonu prepovedano. Izdajatelj in Organizatorji zahtevajo, da se osebe, ki prejmejo to obvestilo ali Ponudbeni memorandum, seznanijo s takšnimi omejitvami in jih upoštevajo.</w:t>
      </w:r>
    </w:p>
    <w:p w:rsidR="0047266C" w:rsidRDefault="0047266C"/>
    <w:sectPr w:rsidR="0047266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8A4" w:rsidRDefault="00B118A4">
      <w:r>
        <w:separator/>
      </w:r>
    </w:p>
  </w:endnote>
  <w:endnote w:type="continuationSeparator" w:id="0">
    <w:p w:rsidR="00B118A4" w:rsidRDefault="00B11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D54" w:rsidRDefault="00B118A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D54" w:rsidRDefault="00B118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D54" w:rsidRDefault="00B118A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8A4" w:rsidRDefault="00B118A4">
      <w:r>
        <w:separator/>
      </w:r>
    </w:p>
  </w:footnote>
  <w:footnote w:type="continuationSeparator" w:id="0">
    <w:p w:rsidR="00B118A4" w:rsidRDefault="00B11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D54" w:rsidRDefault="00B118A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D54" w:rsidRDefault="00B118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D54" w:rsidRDefault="00B118A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72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2160" w:firstLine="0"/>
      </w:pPr>
    </w:lvl>
    <w:lvl w:ilvl="4">
      <w:start w:val="1"/>
      <w:numFmt w:val="none"/>
      <w:suff w:val="nothing"/>
      <w:lvlText w:val=""/>
      <w:lvlJc w:val="left"/>
      <w:pPr>
        <w:tabs>
          <w:tab w:val="num" w:pos="0"/>
        </w:tabs>
        <w:ind w:left="2880" w:firstLine="0"/>
      </w:pPr>
    </w:lvl>
    <w:lvl w:ilvl="5">
      <w:start w:val="1"/>
      <w:numFmt w:val="none"/>
      <w:suff w:val="nothing"/>
      <w:lvlText w:val=""/>
      <w:lvlJc w:val="left"/>
      <w:pPr>
        <w:tabs>
          <w:tab w:val="num" w:pos="0"/>
        </w:tabs>
        <w:ind w:left="3600" w:firstLine="0"/>
      </w:pPr>
    </w:lvl>
    <w:lvl w:ilvl="6">
      <w:start w:val="1"/>
      <w:numFmt w:val="none"/>
      <w:suff w:val="nothing"/>
      <w:lvlText w:val=""/>
      <w:lvlJc w:val="left"/>
      <w:pPr>
        <w:tabs>
          <w:tab w:val="num" w:pos="0"/>
        </w:tabs>
        <w:ind w:left="4320" w:firstLine="0"/>
      </w:pPr>
    </w:lvl>
    <w:lvl w:ilvl="7">
      <w:start w:val="1"/>
      <w:numFmt w:val="none"/>
      <w:suff w:val="nothing"/>
      <w:lvlText w:val=""/>
      <w:lvlJc w:val="left"/>
      <w:pPr>
        <w:tabs>
          <w:tab w:val="num" w:pos="0"/>
        </w:tabs>
        <w:ind w:left="5040" w:firstLine="0"/>
      </w:pPr>
    </w:lvl>
    <w:lvl w:ilvl="8">
      <w:start w:val="1"/>
      <w:numFmt w:val="none"/>
      <w:suff w:val="nothing"/>
      <w:lvlText w:val=""/>
      <w:lvlJc w:val="left"/>
      <w:pPr>
        <w:tabs>
          <w:tab w:val="num" w:pos="0"/>
        </w:tabs>
        <w:ind w:left="5760" w:firstLine="0"/>
      </w:pPr>
    </w:lvl>
  </w:abstractNum>
  <w:abstractNum w:abstractNumId="1" w15:restartNumberingAfterBreak="0">
    <w:nsid w:val="00000002"/>
    <w:multiLevelType w:val="multilevel"/>
    <w:tmpl w:val="00000002"/>
    <w:name w:val="WWNum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72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2160" w:firstLine="0"/>
      </w:pPr>
    </w:lvl>
    <w:lvl w:ilvl="4">
      <w:start w:val="1"/>
      <w:numFmt w:val="none"/>
      <w:suff w:val="nothing"/>
      <w:lvlText w:val=""/>
      <w:lvlJc w:val="left"/>
      <w:pPr>
        <w:tabs>
          <w:tab w:val="num" w:pos="0"/>
        </w:tabs>
        <w:ind w:left="2880" w:firstLine="0"/>
      </w:pPr>
    </w:lvl>
    <w:lvl w:ilvl="5">
      <w:start w:val="1"/>
      <w:numFmt w:val="none"/>
      <w:suff w:val="nothing"/>
      <w:lvlText w:val=""/>
      <w:lvlJc w:val="left"/>
      <w:pPr>
        <w:tabs>
          <w:tab w:val="num" w:pos="0"/>
        </w:tabs>
        <w:ind w:left="3600" w:firstLine="0"/>
      </w:pPr>
    </w:lvl>
    <w:lvl w:ilvl="6">
      <w:start w:val="1"/>
      <w:numFmt w:val="none"/>
      <w:suff w:val="nothing"/>
      <w:lvlText w:val=""/>
      <w:lvlJc w:val="left"/>
      <w:pPr>
        <w:tabs>
          <w:tab w:val="num" w:pos="0"/>
        </w:tabs>
        <w:ind w:left="4320" w:firstLine="0"/>
      </w:pPr>
    </w:lvl>
    <w:lvl w:ilvl="7">
      <w:start w:val="1"/>
      <w:numFmt w:val="none"/>
      <w:suff w:val="nothing"/>
      <w:lvlText w:val=""/>
      <w:lvlJc w:val="left"/>
      <w:pPr>
        <w:tabs>
          <w:tab w:val="num" w:pos="0"/>
        </w:tabs>
        <w:ind w:left="5040" w:firstLine="0"/>
      </w:pPr>
    </w:lvl>
    <w:lvl w:ilvl="8">
      <w:start w:val="1"/>
      <w:numFmt w:val="none"/>
      <w:suff w:val="nothing"/>
      <w:lvlText w:val=""/>
      <w:lvlJc w:val="left"/>
      <w:pPr>
        <w:tabs>
          <w:tab w:val="num" w:pos="0"/>
        </w:tabs>
        <w:ind w:left="5760" w:firstLine="0"/>
      </w:pPr>
    </w:lvl>
  </w:abstractNum>
  <w:abstractNum w:abstractNumId="2"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3" w15:restartNumberingAfterBreak="0">
    <w:nsid w:val="7E5E38B3"/>
    <w:multiLevelType w:val="hybridMultilevel"/>
    <w:tmpl w:val="D646FDFE"/>
    <w:lvl w:ilvl="0" w:tplc="89E4814E">
      <w:start w:val="1"/>
      <w:numFmt w:val="upp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2A4"/>
    <w:rsid w:val="000077F9"/>
    <w:rsid w:val="00337C82"/>
    <w:rsid w:val="0047266C"/>
    <w:rsid w:val="006F5543"/>
    <w:rsid w:val="00B118A4"/>
    <w:rsid w:val="00BF4D7B"/>
    <w:rsid w:val="00C760B5"/>
    <w:rsid w:val="00DC12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3A7406-ACC7-4C83-8CE5-188B59601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2A4"/>
    <w:pPr>
      <w:suppressAutoHyphens/>
      <w:spacing w:after="0" w:line="240" w:lineRule="auto"/>
    </w:pPr>
    <w:rPr>
      <w:rFonts w:ascii="Times New Roman" w:eastAsia="Times New Roman" w:hAnsi="Times New Roman" w:cs="Times New Roman"/>
      <w:color w:val="00000A"/>
      <w:kern w:val="1"/>
      <w:sz w:val="24"/>
      <w:szCs w:val="24"/>
      <w:lang w:eastAsia="en-US"/>
    </w:rPr>
  </w:style>
  <w:style w:type="paragraph" w:styleId="Heading1">
    <w:name w:val="heading 1"/>
    <w:basedOn w:val="Normal"/>
    <w:next w:val="Normal"/>
    <w:link w:val="Heading1Char"/>
    <w:autoRedefine/>
    <w:uiPriority w:val="9"/>
    <w:qFormat/>
    <w:rsid w:val="00BF4D7B"/>
    <w:pPr>
      <w:keepNext/>
      <w:keepLines/>
      <w:spacing w:before="480"/>
      <w:ind w:left="720" w:hanging="360"/>
      <w:outlineLvl w:val="0"/>
    </w:pPr>
    <w:rPr>
      <w:rFonts w:eastAsiaTheme="majorEastAsia" w:cstheme="majorBidi"/>
      <w:b/>
      <w:b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D7B"/>
    <w:rPr>
      <w:rFonts w:ascii="Times New Roman" w:eastAsiaTheme="majorEastAsia" w:hAnsi="Times New Roman" w:cstheme="majorBidi"/>
      <w:b/>
      <w:bCs/>
      <w:sz w:val="28"/>
      <w:szCs w:val="28"/>
      <w:lang w:eastAsia="ar-SA"/>
    </w:rPr>
  </w:style>
  <w:style w:type="paragraph" w:styleId="Header">
    <w:name w:val="header"/>
    <w:basedOn w:val="Normal"/>
    <w:link w:val="HeaderChar"/>
    <w:rsid w:val="00DC12A4"/>
    <w:pPr>
      <w:tabs>
        <w:tab w:val="center" w:pos="4153"/>
        <w:tab w:val="right" w:pos="8306"/>
      </w:tabs>
    </w:pPr>
  </w:style>
  <w:style w:type="character" w:customStyle="1" w:styleId="HeaderChar">
    <w:name w:val="Header Char"/>
    <w:basedOn w:val="DefaultParagraphFont"/>
    <w:link w:val="Header"/>
    <w:rsid w:val="00DC12A4"/>
    <w:rPr>
      <w:rFonts w:ascii="Times New Roman" w:eastAsia="Times New Roman" w:hAnsi="Times New Roman" w:cs="Times New Roman"/>
      <w:color w:val="00000A"/>
      <w:kern w:val="1"/>
      <w:sz w:val="24"/>
      <w:szCs w:val="24"/>
      <w:lang w:eastAsia="en-US"/>
    </w:rPr>
  </w:style>
  <w:style w:type="paragraph" w:styleId="Footer">
    <w:name w:val="footer"/>
    <w:basedOn w:val="Normal"/>
    <w:link w:val="FooterChar"/>
    <w:rsid w:val="00DC12A4"/>
    <w:pPr>
      <w:tabs>
        <w:tab w:val="center" w:pos="4153"/>
        <w:tab w:val="right" w:pos="8306"/>
      </w:tabs>
    </w:pPr>
  </w:style>
  <w:style w:type="character" w:customStyle="1" w:styleId="FooterChar">
    <w:name w:val="Footer Char"/>
    <w:basedOn w:val="DefaultParagraphFont"/>
    <w:link w:val="Footer"/>
    <w:rsid w:val="00DC12A4"/>
    <w:rPr>
      <w:rFonts w:ascii="Times New Roman" w:eastAsia="Times New Roman" w:hAnsi="Times New Roman" w:cs="Times New Roman"/>
      <w:color w:val="00000A"/>
      <w:kern w:val="1"/>
      <w:sz w:val="24"/>
      <w:szCs w:val="24"/>
      <w:lang w:eastAsia="en-US"/>
    </w:rPr>
  </w:style>
  <w:style w:type="paragraph" w:customStyle="1" w:styleId="AODocTxt">
    <w:name w:val="AODocTxt"/>
    <w:basedOn w:val="Normal"/>
    <w:link w:val="AODocTxtChar"/>
    <w:rsid w:val="00DC12A4"/>
    <w:pPr>
      <w:spacing w:before="240" w:line="260" w:lineRule="atLeast"/>
      <w:jc w:val="both"/>
    </w:pPr>
    <w:rPr>
      <w:rFonts w:eastAsia="SimSun"/>
      <w:sz w:val="22"/>
      <w:szCs w:val="22"/>
    </w:rPr>
  </w:style>
  <w:style w:type="paragraph" w:customStyle="1" w:styleId="DocText">
    <w:name w:val="DocText"/>
    <w:basedOn w:val="Normal"/>
    <w:rsid w:val="00DC12A4"/>
    <w:pPr>
      <w:spacing w:before="120"/>
      <w:jc w:val="both"/>
    </w:pPr>
    <w:rPr>
      <w:rFonts w:eastAsia="Calibri"/>
      <w:sz w:val="20"/>
      <w:szCs w:val="20"/>
    </w:rPr>
  </w:style>
  <w:style w:type="paragraph" w:customStyle="1" w:styleId="FrameContents">
    <w:name w:val="Frame Contents"/>
    <w:basedOn w:val="Normal"/>
    <w:rsid w:val="00DC12A4"/>
  </w:style>
  <w:style w:type="paragraph" w:customStyle="1" w:styleId="AODocTxtL1">
    <w:name w:val="AODocTxtL1"/>
    <w:basedOn w:val="AODocTxt"/>
    <w:rsid w:val="00337C82"/>
    <w:pPr>
      <w:tabs>
        <w:tab w:val="num" w:pos="360"/>
      </w:tabs>
      <w:suppressAutoHyphens w:val="0"/>
      <w:ind w:left="720"/>
    </w:pPr>
    <w:rPr>
      <w:color w:val="auto"/>
      <w:kern w:val="0"/>
      <w:lang w:val="en-GB"/>
    </w:rPr>
  </w:style>
  <w:style w:type="paragraph" w:customStyle="1" w:styleId="AODocTxtL2">
    <w:name w:val="AODocTxtL2"/>
    <w:basedOn w:val="AODocTxt"/>
    <w:rsid w:val="00337C82"/>
    <w:pPr>
      <w:tabs>
        <w:tab w:val="num" w:pos="360"/>
      </w:tabs>
      <w:suppressAutoHyphens w:val="0"/>
      <w:ind w:left="1440"/>
    </w:pPr>
    <w:rPr>
      <w:color w:val="auto"/>
      <w:kern w:val="0"/>
      <w:lang w:val="en-GB"/>
    </w:rPr>
  </w:style>
  <w:style w:type="paragraph" w:customStyle="1" w:styleId="AODocTxtL3">
    <w:name w:val="AODocTxtL3"/>
    <w:basedOn w:val="AODocTxt"/>
    <w:rsid w:val="00337C82"/>
    <w:pPr>
      <w:tabs>
        <w:tab w:val="num" w:pos="360"/>
      </w:tabs>
      <w:suppressAutoHyphens w:val="0"/>
      <w:ind w:left="2160"/>
    </w:pPr>
    <w:rPr>
      <w:color w:val="auto"/>
      <w:kern w:val="0"/>
      <w:lang w:val="en-GB"/>
    </w:rPr>
  </w:style>
  <w:style w:type="paragraph" w:customStyle="1" w:styleId="AODocTxtL4">
    <w:name w:val="AODocTxtL4"/>
    <w:basedOn w:val="AODocTxt"/>
    <w:rsid w:val="00337C82"/>
    <w:pPr>
      <w:tabs>
        <w:tab w:val="num" w:pos="360"/>
      </w:tabs>
      <w:suppressAutoHyphens w:val="0"/>
      <w:ind w:left="2880"/>
    </w:pPr>
    <w:rPr>
      <w:color w:val="auto"/>
      <w:kern w:val="0"/>
      <w:lang w:val="en-GB"/>
    </w:rPr>
  </w:style>
  <w:style w:type="paragraph" w:customStyle="1" w:styleId="AODocTxtL5">
    <w:name w:val="AODocTxtL5"/>
    <w:basedOn w:val="AODocTxt"/>
    <w:rsid w:val="00337C82"/>
    <w:pPr>
      <w:tabs>
        <w:tab w:val="num" w:pos="360"/>
      </w:tabs>
      <w:suppressAutoHyphens w:val="0"/>
      <w:ind w:left="3600"/>
    </w:pPr>
    <w:rPr>
      <w:color w:val="auto"/>
      <w:kern w:val="0"/>
      <w:lang w:val="en-GB"/>
    </w:rPr>
  </w:style>
  <w:style w:type="paragraph" w:customStyle="1" w:styleId="AODocTxtL6">
    <w:name w:val="AODocTxtL6"/>
    <w:basedOn w:val="AODocTxt"/>
    <w:rsid w:val="00337C82"/>
    <w:pPr>
      <w:tabs>
        <w:tab w:val="num" w:pos="360"/>
      </w:tabs>
      <w:suppressAutoHyphens w:val="0"/>
      <w:ind w:left="4320"/>
    </w:pPr>
    <w:rPr>
      <w:color w:val="auto"/>
      <w:kern w:val="0"/>
      <w:lang w:val="en-GB"/>
    </w:rPr>
  </w:style>
  <w:style w:type="paragraph" w:customStyle="1" w:styleId="AODocTxtL7">
    <w:name w:val="AODocTxtL7"/>
    <w:basedOn w:val="AODocTxt"/>
    <w:rsid w:val="00337C82"/>
    <w:pPr>
      <w:tabs>
        <w:tab w:val="num" w:pos="360"/>
      </w:tabs>
      <w:suppressAutoHyphens w:val="0"/>
      <w:ind w:left="5040"/>
    </w:pPr>
    <w:rPr>
      <w:color w:val="auto"/>
      <w:kern w:val="0"/>
      <w:lang w:val="en-GB"/>
    </w:rPr>
  </w:style>
  <w:style w:type="paragraph" w:customStyle="1" w:styleId="AODocTxtL8">
    <w:name w:val="AODocTxtL8"/>
    <w:basedOn w:val="AODocTxt"/>
    <w:rsid w:val="00337C82"/>
    <w:pPr>
      <w:tabs>
        <w:tab w:val="num" w:pos="360"/>
      </w:tabs>
      <w:suppressAutoHyphens w:val="0"/>
      <w:ind w:left="5760"/>
    </w:pPr>
    <w:rPr>
      <w:color w:val="auto"/>
      <w:kern w:val="0"/>
      <w:lang w:val="en-GB"/>
    </w:rPr>
  </w:style>
  <w:style w:type="character" w:customStyle="1" w:styleId="AODocTxtChar">
    <w:name w:val="AODocTxt Char"/>
    <w:link w:val="AODocTxt"/>
    <w:rsid w:val="00337C82"/>
    <w:rPr>
      <w:rFonts w:ascii="Times New Roman" w:eastAsia="SimSun" w:hAnsi="Times New Roman" w:cs="Times New Roman"/>
      <w:color w:val="00000A"/>
      <w:ker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MFRS</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Tjaša Baraga-Naraločnik</cp:lastModifiedBy>
  <cp:revision>2</cp:revision>
  <dcterms:created xsi:type="dcterms:W3CDTF">2020-10-13T11:10:00Z</dcterms:created>
  <dcterms:modified xsi:type="dcterms:W3CDTF">2020-10-13T11:10:00Z</dcterms:modified>
</cp:coreProperties>
</file>