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280" w:rsidRPr="00FF67A9" w:rsidRDefault="00B53197" w:rsidP="00FF67A9">
      <w:pPr>
        <w:spacing w:after="0" w:line="276" w:lineRule="auto"/>
        <w:jc w:val="left"/>
        <w:rPr>
          <w:rFonts w:cs="Arial"/>
          <w:b/>
          <w:bCs/>
          <w:sz w:val="28"/>
          <w:szCs w:val="28"/>
        </w:rPr>
      </w:pPr>
      <w:r w:rsidRPr="00FF67A9">
        <w:rPr>
          <w:b/>
          <w:bCs/>
          <w:sz w:val="28"/>
          <w:szCs w:val="28"/>
        </w:rPr>
        <w:t>Javne finance v luči Covid-19</w:t>
      </w:r>
    </w:p>
    <w:p w:rsidR="00B53197" w:rsidRPr="00FF67A9" w:rsidRDefault="00B53197" w:rsidP="00FF67A9">
      <w:pPr>
        <w:spacing w:after="0" w:line="276" w:lineRule="auto"/>
        <w:jc w:val="left"/>
        <w:rPr>
          <w:rFonts w:cs="Arial"/>
          <w:sz w:val="24"/>
          <w:szCs w:val="24"/>
        </w:rPr>
      </w:pPr>
    </w:p>
    <w:p w:rsidR="00B53197" w:rsidRDefault="00B53197" w:rsidP="00FF67A9">
      <w:pPr>
        <w:spacing w:after="0" w:line="276" w:lineRule="auto"/>
        <w:jc w:val="left"/>
        <w:rPr>
          <w:rFonts w:cs="Arial"/>
          <w:sz w:val="24"/>
          <w:szCs w:val="24"/>
        </w:rPr>
      </w:pPr>
      <w:r w:rsidRPr="00FF67A9">
        <w:rPr>
          <w:rFonts w:cs="Arial"/>
          <w:sz w:val="24"/>
          <w:szCs w:val="24"/>
        </w:rPr>
        <w:t>Za boj proti epidemiji Covid-19 smo namenili 5.3 % slovenskega BDP, kar nas postavlja v sam evropski in svetovni vrh.</w:t>
      </w:r>
    </w:p>
    <w:p w:rsidR="00FF67A9" w:rsidRPr="00FF67A9" w:rsidRDefault="00FF67A9" w:rsidP="00FF67A9">
      <w:pPr>
        <w:spacing w:after="0" w:line="276" w:lineRule="auto"/>
        <w:jc w:val="left"/>
        <w:rPr>
          <w:rFonts w:cs="Arial"/>
          <w:sz w:val="24"/>
          <w:szCs w:val="24"/>
        </w:rPr>
      </w:pPr>
    </w:p>
    <w:p w:rsidR="008D2250" w:rsidRDefault="00B53197" w:rsidP="00FF67A9">
      <w:pPr>
        <w:spacing w:after="0" w:line="276" w:lineRule="auto"/>
        <w:jc w:val="left"/>
        <w:rPr>
          <w:rFonts w:cs="Arial"/>
          <w:sz w:val="24"/>
          <w:szCs w:val="24"/>
        </w:rPr>
      </w:pPr>
      <w:r w:rsidRPr="00FF67A9">
        <w:rPr>
          <w:rFonts w:cs="Arial"/>
          <w:sz w:val="24"/>
          <w:szCs w:val="24"/>
        </w:rPr>
        <w:t>P</w:t>
      </w:r>
      <w:r w:rsidR="008D2250">
        <w:rPr>
          <w:rFonts w:cs="Arial"/>
          <w:sz w:val="24"/>
          <w:szCs w:val="24"/>
        </w:rPr>
        <w:t>rimerjava p</w:t>
      </w:r>
      <w:r w:rsidRPr="00FF67A9">
        <w:rPr>
          <w:rFonts w:cs="Arial"/>
          <w:sz w:val="24"/>
          <w:szCs w:val="24"/>
        </w:rPr>
        <w:t>roračunski</w:t>
      </w:r>
      <w:r w:rsidR="008D2250">
        <w:rPr>
          <w:rFonts w:cs="Arial"/>
          <w:sz w:val="24"/>
          <w:szCs w:val="24"/>
        </w:rPr>
        <w:t>h</w:t>
      </w:r>
      <w:r w:rsidRPr="00FF67A9">
        <w:rPr>
          <w:rFonts w:cs="Arial"/>
          <w:sz w:val="24"/>
          <w:szCs w:val="24"/>
        </w:rPr>
        <w:t xml:space="preserve"> ukrep</w:t>
      </w:r>
      <w:r w:rsidR="008D2250">
        <w:rPr>
          <w:rFonts w:cs="Arial"/>
          <w:sz w:val="24"/>
          <w:szCs w:val="24"/>
        </w:rPr>
        <w:t>ov</w:t>
      </w:r>
      <w:r w:rsidRPr="00FF67A9">
        <w:rPr>
          <w:rFonts w:cs="Arial"/>
          <w:sz w:val="24"/>
          <w:szCs w:val="24"/>
        </w:rPr>
        <w:t>, povezani</w:t>
      </w:r>
      <w:r w:rsidR="008D2250">
        <w:rPr>
          <w:rFonts w:cs="Arial"/>
          <w:sz w:val="24"/>
          <w:szCs w:val="24"/>
        </w:rPr>
        <w:t>h</w:t>
      </w:r>
      <w:r w:rsidRPr="00FF67A9">
        <w:rPr>
          <w:rFonts w:cs="Arial"/>
          <w:sz w:val="24"/>
          <w:szCs w:val="24"/>
        </w:rPr>
        <w:t xml:space="preserve"> s pandemijo</w:t>
      </w:r>
      <w:r w:rsidR="008D2250">
        <w:rPr>
          <w:rFonts w:cs="Arial"/>
          <w:sz w:val="24"/>
          <w:szCs w:val="24"/>
        </w:rPr>
        <w:t>, po državah</w:t>
      </w:r>
      <w:r w:rsidR="007C3393">
        <w:rPr>
          <w:rFonts w:cs="Arial"/>
          <w:sz w:val="24"/>
          <w:szCs w:val="24"/>
        </w:rPr>
        <w:t xml:space="preserve"> (v % BDP)</w:t>
      </w:r>
      <w:r w:rsidR="008D2250">
        <w:rPr>
          <w:rFonts w:cs="Arial"/>
          <w:sz w:val="24"/>
          <w:szCs w:val="24"/>
        </w:rPr>
        <w:t>:</w:t>
      </w:r>
    </w:p>
    <w:p w:rsidR="008B3ACC" w:rsidRDefault="008B3ACC" w:rsidP="00FF67A9">
      <w:pPr>
        <w:spacing w:after="0" w:line="276" w:lineRule="auto"/>
        <w:jc w:val="left"/>
        <w:rPr>
          <w:rFonts w:cs="Arial"/>
          <w:sz w:val="24"/>
          <w:szCs w:val="24"/>
        </w:rPr>
      </w:pPr>
    </w:p>
    <w:tbl>
      <w:tblPr>
        <w:tblStyle w:val="Tabelamrea"/>
        <w:tblW w:w="0" w:type="auto"/>
        <w:tblLook w:val="04A0" w:firstRow="1" w:lastRow="0" w:firstColumn="1" w:lastColumn="0" w:noHBand="0" w:noVBand="1"/>
      </w:tblPr>
      <w:tblGrid>
        <w:gridCol w:w="2122"/>
        <w:gridCol w:w="2126"/>
      </w:tblGrid>
      <w:tr w:rsidR="008B3ACC" w:rsidTr="00FA7A47">
        <w:tc>
          <w:tcPr>
            <w:tcW w:w="2122" w:type="dxa"/>
          </w:tcPr>
          <w:p w:rsidR="008B3ACC" w:rsidRDefault="008B3ACC" w:rsidP="00FF67A9">
            <w:pPr>
              <w:spacing w:line="276" w:lineRule="auto"/>
              <w:jc w:val="left"/>
              <w:rPr>
                <w:rFonts w:cs="Arial"/>
                <w:sz w:val="24"/>
                <w:szCs w:val="24"/>
              </w:rPr>
            </w:pPr>
            <w:r>
              <w:rPr>
                <w:rFonts w:cs="Arial"/>
                <w:sz w:val="24"/>
                <w:szCs w:val="24"/>
              </w:rPr>
              <w:t>Država</w:t>
            </w:r>
          </w:p>
        </w:tc>
        <w:tc>
          <w:tcPr>
            <w:tcW w:w="2126" w:type="dxa"/>
          </w:tcPr>
          <w:p w:rsidR="008B3ACC" w:rsidRDefault="008B3ACC" w:rsidP="00FF67A9">
            <w:pPr>
              <w:spacing w:line="276" w:lineRule="auto"/>
              <w:jc w:val="left"/>
              <w:rPr>
                <w:rFonts w:cs="Arial"/>
                <w:sz w:val="24"/>
                <w:szCs w:val="24"/>
              </w:rPr>
            </w:pPr>
            <w:r>
              <w:rPr>
                <w:rFonts w:cs="Arial"/>
                <w:sz w:val="24"/>
                <w:szCs w:val="24"/>
              </w:rPr>
              <w:t xml:space="preserve">% </w:t>
            </w:r>
            <w:r w:rsidR="00942261">
              <w:rPr>
                <w:rFonts w:cs="Arial"/>
                <w:sz w:val="24"/>
                <w:szCs w:val="24"/>
              </w:rPr>
              <w:t xml:space="preserve">BDP </w:t>
            </w:r>
            <w:r>
              <w:rPr>
                <w:rFonts w:cs="Arial"/>
                <w:sz w:val="24"/>
                <w:szCs w:val="24"/>
              </w:rPr>
              <w:t>v letu 2020</w:t>
            </w:r>
          </w:p>
        </w:tc>
      </w:tr>
      <w:tr w:rsidR="008B3ACC" w:rsidTr="00FA7A47">
        <w:tc>
          <w:tcPr>
            <w:tcW w:w="2122" w:type="dxa"/>
          </w:tcPr>
          <w:p w:rsidR="008B3ACC" w:rsidRDefault="008B3ACC" w:rsidP="00FF67A9">
            <w:pPr>
              <w:spacing w:line="276" w:lineRule="auto"/>
              <w:jc w:val="left"/>
              <w:rPr>
                <w:rFonts w:cs="Arial"/>
                <w:sz w:val="24"/>
                <w:szCs w:val="24"/>
              </w:rPr>
            </w:pPr>
            <w:r w:rsidRPr="00FF67A9">
              <w:rPr>
                <w:rFonts w:cs="Arial"/>
                <w:sz w:val="24"/>
                <w:szCs w:val="24"/>
              </w:rPr>
              <w:t>Slovenija</w:t>
            </w:r>
          </w:p>
        </w:tc>
        <w:tc>
          <w:tcPr>
            <w:tcW w:w="2126" w:type="dxa"/>
          </w:tcPr>
          <w:p w:rsidR="008B3ACC" w:rsidRDefault="008B3ACC" w:rsidP="00FF67A9">
            <w:pPr>
              <w:spacing w:line="276" w:lineRule="auto"/>
              <w:jc w:val="left"/>
              <w:rPr>
                <w:rFonts w:cs="Arial"/>
                <w:sz w:val="24"/>
                <w:szCs w:val="24"/>
              </w:rPr>
            </w:pPr>
            <w:r w:rsidRPr="00FF67A9">
              <w:rPr>
                <w:rFonts w:cs="Arial"/>
                <w:sz w:val="24"/>
                <w:szCs w:val="24"/>
              </w:rPr>
              <w:t>5.3</w:t>
            </w:r>
          </w:p>
        </w:tc>
      </w:tr>
      <w:tr w:rsidR="008B3ACC" w:rsidTr="00FA7A47">
        <w:tc>
          <w:tcPr>
            <w:tcW w:w="2122" w:type="dxa"/>
          </w:tcPr>
          <w:p w:rsidR="008B3ACC" w:rsidRDefault="008B3ACC" w:rsidP="00FF67A9">
            <w:pPr>
              <w:spacing w:line="276" w:lineRule="auto"/>
              <w:jc w:val="left"/>
              <w:rPr>
                <w:rFonts w:cs="Arial"/>
                <w:sz w:val="24"/>
                <w:szCs w:val="24"/>
              </w:rPr>
            </w:pPr>
            <w:r w:rsidRPr="00FF67A9">
              <w:rPr>
                <w:rFonts w:cs="Arial"/>
                <w:sz w:val="24"/>
                <w:szCs w:val="24"/>
              </w:rPr>
              <w:t>Nemčija</w:t>
            </w:r>
          </w:p>
        </w:tc>
        <w:tc>
          <w:tcPr>
            <w:tcW w:w="2126" w:type="dxa"/>
          </w:tcPr>
          <w:p w:rsidR="008B3ACC" w:rsidRDefault="008B3ACC" w:rsidP="00FF67A9">
            <w:pPr>
              <w:spacing w:line="276" w:lineRule="auto"/>
              <w:jc w:val="left"/>
              <w:rPr>
                <w:rFonts w:cs="Arial"/>
                <w:sz w:val="24"/>
                <w:szCs w:val="24"/>
              </w:rPr>
            </w:pPr>
            <w:r w:rsidRPr="00FF67A9">
              <w:rPr>
                <w:rFonts w:cs="Arial"/>
                <w:sz w:val="24"/>
                <w:szCs w:val="24"/>
              </w:rPr>
              <w:t>4.7</w:t>
            </w:r>
          </w:p>
        </w:tc>
      </w:tr>
      <w:tr w:rsidR="008B3ACC" w:rsidTr="00FA7A47">
        <w:tc>
          <w:tcPr>
            <w:tcW w:w="2122" w:type="dxa"/>
          </w:tcPr>
          <w:p w:rsidR="008B3ACC" w:rsidRDefault="008B3ACC" w:rsidP="00FF67A9">
            <w:pPr>
              <w:spacing w:line="276" w:lineRule="auto"/>
              <w:jc w:val="left"/>
              <w:rPr>
                <w:rFonts w:cs="Arial"/>
                <w:sz w:val="24"/>
                <w:szCs w:val="24"/>
              </w:rPr>
            </w:pPr>
            <w:r w:rsidRPr="00FF67A9">
              <w:rPr>
                <w:rFonts w:cs="Arial"/>
                <w:sz w:val="24"/>
                <w:szCs w:val="24"/>
              </w:rPr>
              <w:t>Irska</w:t>
            </w:r>
          </w:p>
        </w:tc>
        <w:tc>
          <w:tcPr>
            <w:tcW w:w="2126" w:type="dxa"/>
          </w:tcPr>
          <w:p w:rsidR="008B3ACC" w:rsidRDefault="008B3ACC" w:rsidP="00FF67A9">
            <w:pPr>
              <w:spacing w:line="276" w:lineRule="auto"/>
              <w:jc w:val="left"/>
              <w:rPr>
                <w:rFonts w:cs="Arial"/>
                <w:sz w:val="24"/>
                <w:szCs w:val="24"/>
              </w:rPr>
            </w:pPr>
            <w:r w:rsidRPr="00FF67A9">
              <w:rPr>
                <w:rFonts w:cs="Arial"/>
                <w:sz w:val="24"/>
                <w:szCs w:val="24"/>
              </w:rPr>
              <w:t>5.2</w:t>
            </w:r>
          </w:p>
        </w:tc>
      </w:tr>
      <w:tr w:rsidR="008B3ACC" w:rsidTr="00FA7A47">
        <w:tc>
          <w:tcPr>
            <w:tcW w:w="2122" w:type="dxa"/>
          </w:tcPr>
          <w:p w:rsidR="008B3ACC" w:rsidRDefault="008B3ACC" w:rsidP="00FF67A9">
            <w:pPr>
              <w:spacing w:line="276" w:lineRule="auto"/>
              <w:jc w:val="left"/>
              <w:rPr>
                <w:rFonts w:cs="Arial"/>
                <w:sz w:val="24"/>
                <w:szCs w:val="24"/>
              </w:rPr>
            </w:pPr>
            <w:r w:rsidRPr="00FF67A9">
              <w:rPr>
                <w:rFonts w:cs="Arial"/>
                <w:sz w:val="24"/>
                <w:szCs w:val="24"/>
              </w:rPr>
              <w:t>Grčija</w:t>
            </w:r>
          </w:p>
        </w:tc>
        <w:tc>
          <w:tcPr>
            <w:tcW w:w="2126" w:type="dxa"/>
          </w:tcPr>
          <w:p w:rsidR="008B3ACC" w:rsidRDefault="008B3ACC" w:rsidP="00FF67A9">
            <w:pPr>
              <w:spacing w:line="276" w:lineRule="auto"/>
              <w:jc w:val="left"/>
              <w:rPr>
                <w:rFonts w:cs="Arial"/>
                <w:sz w:val="24"/>
                <w:szCs w:val="24"/>
              </w:rPr>
            </w:pPr>
            <w:r w:rsidRPr="00FF67A9">
              <w:rPr>
                <w:rFonts w:cs="Arial"/>
                <w:sz w:val="24"/>
                <w:szCs w:val="24"/>
              </w:rPr>
              <w:t>4.2</w:t>
            </w:r>
          </w:p>
        </w:tc>
      </w:tr>
      <w:tr w:rsidR="008B3ACC" w:rsidTr="00FA7A47">
        <w:tc>
          <w:tcPr>
            <w:tcW w:w="2122" w:type="dxa"/>
          </w:tcPr>
          <w:p w:rsidR="008B3ACC" w:rsidRDefault="008B3ACC" w:rsidP="00FF67A9">
            <w:pPr>
              <w:spacing w:line="276" w:lineRule="auto"/>
              <w:jc w:val="left"/>
              <w:rPr>
                <w:rFonts w:cs="Arial"/>
                <w:sz w:val="24"/>
                <w:szCs w:val="24"/>
              </w:rPr>
            </w:pPr>
            <w:r w:rsidRPr="00FF67A9">
              <w:rPr>
                <w:rFonts w:cs="Arial"/>
                <w:sz w:val="24"/>
                <w:szCs w:val="24"/>
              </w:rPr>
              <w:t>Španija</w:t>
            </w:r>
          </w:p>
        </w:tc>
        <w:tc>
          <w:tcPr>
            <w:tcW w:w="2126" w:type="dxa"/>
          </w:tcPr>
          <w:p w:rsidR="008B3ACC" w:rsidRDefault="008B3ACC" w:rsidP="00FF67A9">
            <w:pPr>
              <w:spacing w:line="276" w:lineRule="auto"/>
              <w:jc w:val="left"/>
              <w:rPr>
                <w:rFonts w:cs="Arial"/>
                <w:sz w:val="24"/>
                <w:szCs w:val="24"/>
              </w:rPr>
            </w:pPr>
            <w:r w:rsidRPr="00FF67A9">
              <w:rPr>
                <w:rFonts w:cs="Arial"/>
                <w:sz w:val="24"/>
                <w:szCs w:val="24"/>
              </w:rPr>
              <w:t>1.3</w:t>
            </w:r>
          </w:p>
        </w:tc>
      </w:tr>
      <w:tr w:rsidR="008B3ACC" w:rsidTr="00FA7A47">
        <w:tc>
          <w:tcPr>
            <w:tcW w:w="2122" w:type="dxa"/>
          </w:tcPr>
          <w:p w:rsidR="008B3ACC" w:rsidRDefault="008B3ACC" w:rsidP="00FF67A9">
            <w:pPr>
              <w:spacing w:line="276" w:lineRule="auto"/>
              <w:jc w:val="left"/>
              <w:rPr>
                <w:rFonts w:cs="Arial"/>
                <w:sz w:val="24"/>
                <w:szCs w:val="24"/>
              </w:rPr>
            </w:pPr>
            <w:r w:rsidRPr="00FF67A9">
              <w:rPr>
                <w:rFonts w:cs="Arial"/>
                <w:sz w:val="24"/>
                <w:szCs w:val="24"/>
              </w:rPr>
              <w:t>Francija</w:t>
            </w:r>
          </w:p>
        </w:tc>
        <w:tc>
          <w:tcPr>
            <w:tcW w:w="2126" w:type="dxa"/>
          </w:tcPr>
          <w:p w:rsidR="008B3ACC" w:rsidRDefault="008B3ACC" w:rsidP="00FF67A9">
            <w:pPr>
              <w:spacing w:line="276" w:lineRule="auto"/>
              <w:jc w:val="left"/>
              <w:rPr>
                <w:rFonts w:cs="Arial"/>
                <w:sz w:val="24"/>
                <w:szCs w:val="24"/>
              </w:rPr>
            </w:pPr>
            <w:r w:rsidRPr="00FF67A9">
              <w:rPr>
                <w:rFonts w:cs="Arial"/>
                <w:sz w:val="24"/>
                <w:szCs w:val="24"/>
              </w:rPr>
              <w:t>2.9</w:t>
            </w:r>
          </w:p>
        </w:tc>
      </w:tr>
      <w:tr w:rsidR="008B3ACC" w:rsidTr="00FA7A47">
        <w:tc>
          <w:tcPr>
            <w:tcW w:w="2122" w:type="dxa"/>
          </w:tcPr>
          <w:p w:rsidR="008B3ACC" w:rsidRDefault="008B3ACC" w:rsidP="00FF67A9">
            <w:pPr>
              <w:spacing w:line="276" w:lineRule="auto"/>
              <w:jc w:val="left"/>
              <w:rPr>
                <w:rFonts w:cs="Arial"/>
                <w:sz w:val="24"/>
                <w:szCs w:val="24"/>
              </w:rPr>
            </w:pPr>
            <w:r w:rsidRPr="00FF67A9">
              <w:rPr>
                <w:rFonts w:cs="Arial"/>
                <w:sz w:val="24"/>
                <w:szCs w:val="24"/>
              </w:rPr>
              <w:t>Italija</w:t>
            </w:r>
          </w:p>
        </w:tc>
        <w:tc>
          <w:tcPr>
            <w:tcW w:w="2126" w:type="dxa"/>
          </w:tcPr>
          <w:p w:rsidR="008B3ACC" w:rsidRDefault="008B3ACC" w:rsidP="00FF67A9">
            <w:pPr>
              <w:spacing w:line="276" w:lineRule="auto"/>
              <w:jc w:val="left"/>
              <w:rPr>
                <w:rFonts w:cs="Arial"/>
                <w:sz w:val="24"/>
                <w:szCs w:val="24"/>
              </w:rPr>
            </w:pPr>
            <w:r w:rsidRPr="00FF67A9">
              <w:rPr>
                <w:rFonts w:cs="Arial"/>
                <w:sz w:val="24"/>
                <w:szCs w:val="24"/>
              </w:rPr>
              <w:t>5.5</w:t>
            </w:r>
          </w:p>
        </w:tc>
      </w:tr>
      <w:tr w:rsidR="008B3ACC" w:rsidTr="00FA7A47">
        <w:tc>
          <w:tcPr>
            <w:tcW w:w="2122" w:type="dxa"/>
          </w:tcPr>
          <w:p w:rsidR="008B3ACC" w:rsidRDefault="008B3ACC" w:rsidP="00FF67A9">
            <w:pPr>
              <w:spacing w:line="276" w:lineRule="auto"/>
              <w:jc w:val="left"/>
              <w:rPr>
                <w:rFonts w:cs="Arial"/>
                <w:sz w:val="24"/>
                <w:szCs w:val="24"/>
              </w:rPr>
            </w:pPr>
            <w:r w:rsidRPr="00FF67A9">
              <w:rPr>
                <w:rFonts w:cs="Arial"/>
                <w:sz w:val="24"/>
                <w:szCs w:val="24"/>
              </w:rPr>
              <w:t>Luksemburg</w:t>
            </w:r>
          </w:p>
        </w:tc>
        <w:tc>
          <w:tcPr>
            <w:tcW w:w="2126" w:type="dxa"/>
          </w:tcPr>
          <w:p w:rsidR="008B3ACC" w:rsidRDefault="008B3ACC" w:rsidP="00FF67A9">
            <w:pPr>
              <w:spacing w:line="276" w:lineRule="auto"/>
              <w:jc w:val="left"/>
              <w:rPr>
                <w:rFonts w:cs="Arial"/>
                <w:sz w:val="24"/>
                <w:szCs w:val="24"/>
              </w:rPr>
            </w:pPr>
            <w:r w:rsidRPr="00FF67A9">
              <w:rPr>
                <w:rFonts w:cs="Arial"/>
                <w:sz w:val="24"/>
                <w:szCs w:val="24"/>
              </w:rPr>
              <w:t>3.1</w:t>
            </w:r>
          </w:p>
        </w:tc>
      </w:tr>
      <w:tr w:rsidR="008B3ACC" w:rsidTr="00FA7A47">
        <w:tc>
          <w:tcPr>
            <w:tcW w:w="2122" w:type="dxa"/>
          </w:tcPr>
          <w:p w:rsidR="008B3ACC" w:rsidRDefault="008B3ACC" w:rsidP="00FF67A9">
            <w:pPr>
              <w:spacing w:line="276" w:lineRule="auto"/>
              <w:jc w:val="left"/>
              <w:rPr>
                <w:rFonts w:cs="Arial"/>
                <w:sz w:val="24"/>
                <w:szCs w:val="24"/>
              </w:rPr>
            </w:pPr>
            <w:r w:rsidRPr="00FF67A9">
              <w:rPr>
                <w:rFonts w:cs="Arial"/>
                <w:sz w:val="24"/>
                <w:szCs w:val="24"/>
              </w:rPr>
              <w:t>Portugalska</w:t>
            </w:r>
          </w:p>
        </w:tc>
        <w:tc>
          <w:tcPr>
            <w:tcW w:w="2126" w:type="dxa"/>
          </w:tcPr>
          <w:p w:rsidR="008B3ACC" w:rsidRDefault="008B3ACC" w:rsidP="00FF67A9">
            <w:pPr>
              <w:spacing w:line="276" w:lineRule="auto"/>
              <w:jc w:val="left"/>
              <w:rPr>
                <w:rFonts w:cs="Arial"/>
                <w:sz w:val="24"/>
                <w:szCs w:val="24"/>
              </w:rPr>
            </w:pPr>
            <w:r w:rsidRPr="00FF67A9">
              <w:rPr>
                <w:rFonts w:cs="Arial"/>
                <w:sz w:val="24"/>
                <w:szCs w:val="24"/>
              </w:rPr>
              <w:t>2.8</w:t>
            </w:r>
          </w:p>
        </w:tc>
      </w:tr>
      <w:tr w:rsidR="008B3ACC" w:rsidTr="00FA7A47">
        <w:tc>
          <w:tcPr>
            <w:tcW w:w="2122" w:type="dxa"/>
          </w:tcPr>
          <w:p w:rsidR="008B3ACC" w:rsidRDefault="008B3ACC" w:rsidP="00FF67A9">
            <w:pPr>
              <w:spacing w:line="276" w:lineRule="auto"/>
              <w:jc w:val="left"/>
              <w:rPr>
                <w:rFonts w:cs="Arial"/>
                <w:sz w:val="24"/>
                <w:szCs w:val="24"/>
              </w:rPr>
            </w:pPr>
            <w:r w:rsidRPr="00FF67A9">
              <w:rPr>
                <w:rFonts w:cs="Arial"/>
                <w:sz w:val="24"/>
                <w:szCs w:val="24"/>
              </w:rPr>
              <w:t>Finska</w:t>
            </w:r>
          </w:p>
        </w:tc>
        <w:tc>
          <w:tcPr>
            <w:tcW w:w="2126" w:type="dxa"/>
          </w:tcPr>
          <w:p w:rsidR="008B3ACC" w:rsidRDefault="008B3ACC" w:rsidP="00FF67A9">
            <w:pPr>
              <w:spacing w:line="276" w:lineRule="auto"/>
              <w:jc w:val="left"/>
              <w:rPr>
                <w:rFonts w:cs="Arial"/>
                <w:sz w:val="24"/>
                <w:szCs w:val="24"/>
              </w:rPr>
            </w:pPr>
            <w:r w:rsidRPr="00FF67A9">
              <w:rPr>
                <w:rFonts w:cs="Arial"/>
                <w:sz w:val="24"/>
                <w:szCs w:val="24"/>
              </w:rPr>
              <w:t>2.6</w:t>
            </w:r>
          </w:p>
        </w:tc>
      </w:tr>
    </w:tbl>
    <w:p w:rsidR="00B53197" w:rsidRPr="00FF67A9" w:rsidRDefault="00B53197" w:rsidP="00FF67A9">
      <w:pPr>
        <w:spacing w:after="0" w:line="276" w:lineRule="auto"/>
        <w:jc w:val="left"/>
        <w:rPr>
          <w:rFonts w:cs="Arial"/>
          <w:sz w:val="24"/>
          <w:szCs w:val="24"/>
        </w:rPr>
      </w:pPr>
      <w:r w:rsidRPr="00FF67A9">
        <w:rPr>
          <w:rFonts w:cs="Arial"/>
          <w:sz w:val="24"/>
          <w:szCs w:val="24"/>
        </w:rPr>
        <w:t>Vir: Ocene Evropske komisije, kot izhajajo iz ocen Osnutkov proračunskih načrtov 2021</w:t>
      </w:r>
    </w:p>
    <w:p w:rsidR="00B53197" w:rsidRPr="00FF67A9" w:rsidRDefault="00B53197" w:rsidP="00FF67A9">
      <w:pPr>
        <w:spacing w:after="0" w:line="276" w:lineRule="auto"/>
        <w:jc w:val="left"/>
        <w:rPr>
          <w:rFonts w:cs="Arial"/>
          <w:sz w:val="24"/>
          <w:szCs w:val="24"/>
        </w:rPr>
      </w:pPr>
    </w:p>
    <w:p w:rsidR="00B53197" w:rsidRDefault="00EE18DE" w:rsidP="00FF67A9">
      <w:pPr>
        <w:spacing w:after="0" w:line="276" w:lineRule="auto"/>
        <w:jc w:val="left"/>
        <w:rPr>
          <w:rFonts w:cs="Arial"/>
          <w:b/>
          <w:sz w:val="24"/>
          <w:szCs w:val="24"/>
        </w:rPr>
      </w:pPr>
      <w:r>
        <w:rPr>
          <w:rFonts w:cs="Arial"/>
          <w:b/>
          <w:sz w:val="24"/>
          <w:szCs w:val="24"/>
        </w:rPr>
        <w:t>Odziv</w:t>
      </w:r>
      <w:r w:rsidR="00B53197" w:rsidRPr="00FF67A9">
        <w:rPr>
          <w:rFonts w:cs="Arial"/>
          <w:b/>
          <w:sz w:val="24"/>
          <w:szCs w:val="24"/>
        </w:rPr>
        <w:t xml:space="preserve"> na zdravstveno krizo</w:t>
      </w:r>
    </w:p>
    <w:p w:rsidR="00FF67A9" w:rsidRPr="00FF67A9" w:rsidRDefault="00FF67A9" w:rsidP="00FF67A9">
      <w:pPr>
        <w:spacing w:after="0" w:line="276" w:lineRule="auto"/>
        <w:jc w:val="left"/>
        <w:rPr>
          <w:rFonts w:cs="Arial"/>
          <w:b/>
          <w:sz w:val="24"/>
          <w:szCs w:val="24"/>
        </w:rPr>
      </w:pPr>
    </w:p>
    <w:p w:rsidR="00B53197" w:rsidRPr="00FF67A9" w:rsidRDefault="00356872" w:rsidP="00FF67A9">
      <w:pPr>
        <w:spacing w:after="0" w:line="276" w:lineRule="auto"/>
        <w:jc w:val="left"/>
        <w:rPr>
          <w:rFonts w:cs="Arial"/>
          <w:sz w:val="24"/>
          <w:szCs w:val="24"/>
        </w:rPr>
      </w:pPr>
      <w:r>
        <w:rPr>
          <w:rFonts w:cs="Arial"/>
          <w:sz w:val="24"/>
          <w:szCs w:val="24"/>
        </w:rPr>
        <w:t>U</w:t>
      </w:r>
      <w:r w:rsidR="00B53197" w:rsidRPr="00FF67A9">
        <w:rPr>
          <w:rFonts w:cs="Arial"/>
          <w:sz w:val="24"/>
          <w:szCs w:val="24"/>
        </w:rPr>
        <w:t>krepi na gospodarskem področju:</w:t>
      </w:r>
    </w:p>
    <w:p w:rsidR="00B53197" w:rsidRPr="00FF67A9" w:rsidRDefault="00B53197" w:rsidP="00FF67A9">
      <w:pPr>
        <w:pStyle w:val="Odstavekseznama"/>
        <w:numPr>
          <w:ilvl w:val="0"/>
          <w:numId w:val="2"/>
        </w:numPr>
        <w:spacing w:after="0" w:line="276" w:lineRule="auto"/>
        <w:jc w:val="left"/>
        <w:rPr>
          <w:rFonts w:cs="Arial"/>
          <w:sz w:val="24"/>
          <w:szCs w:val="24"/>
        </w:rPr>
      </w:pPr>
      <w:r w:rsidRPr="00FF67A9">
        <w:rPr>
          <w:rFonts w:cs="Arial"/>
          <w:sz w:val="24"/>
          <w:szCs w:val="24"/>
        </w:rPr>
        <w:t>odlog plačila obveznosti kreditojemalcev</w:t>
      </w:r>
    </w:p>
    <w:p w:rsidR="00B53197" w:rsidRPr="00FF67A9" w:rsidRDefault="00B53197" w:rsidP="00FF67A9">
      <w:pPr>
        <w:pStyle w:val="Odstavekseznama"/>
        <w:numPr>
          <w:ilvl w:val="0"/>
          <w:numId w:val="2"/>
        </w:numPr>
        <w:spacing w:after="0" w:line="276" w:lineRule="auto"/>
        <w:jc w:val="left"/>
        <w:rPr>
          <w:rFonts w:cs="Arial"/>
          <w:sz w:val="24"/>
          <w:szCs w:val="24"/>
        </w:rPr>
      </w:pPr>
      <w:r w:rsidRPr="00FF67A9">
        <w:rPr>
          <w:rFonts w:cs="Arial"/>
          <w:sz w:val="24"/>
          <w:szCs w:val="24"/>
        </w:rPr>
        <w:t>ukrep čakanja na delo</w:t>
      </w:r>
    </w:p>
    <w:p w:rsidR="00B53197" w:rsidRPr="00FF67A9" w:rsidRDefault="00B53197" w:rsidP="00FF67A9">
      <w:pPr>
        <w:pStyle w:val="Odstavekseznama"/>
        <w:numPr>
          <w:ilvl w:val="0"/>
          <w:numId w:val="2"/>
        </w:numPr>
        <w:spacing w:after="0" w:line="276" w:lineRule="auto"/>
        <w:jc w:val="left"/>
        <w:rPr>
          <w:rFonts w:cs="Arial"/>
          <w:sz w:val="24"/>
          <w:szCs w:val="24"/>
        </w:rPr>
      </w:pPr>
      <w:r w:rsidRPr="00FF67A9">
        <w:rPr>
          <w:rFonts w:cs="Arial"/>
          <w:sz w:val="24"/>
          <w:szCs w:val="24"/>
        </w:rPr>
        <w:t>kritje fiksnih stroškov podjetjem</w:t>
      </w:r>
    </w:p>
    <w:p w:rsidR="00B53197" w:rsidRPr="00FF67A9" w:rsidRDefault="00B53197" w:rsidP="00FF67A9">
      <w:pPr>
        <w:pStyle w:val="Odstavekseznama"/>
        <w:numPr>
          <w:ilvl w:val="0"/>
          <w:numId w:val="2"/>
        </w:numPr>
        <w:spacing w:after="0" w:line="276" w:lineRule="auto"/>
        <w:jc w:val="left"/>
        <w:rPr>
          <w:rFonts w:cs="Arial"/>
          <w:sz w:val="24"/>
          <w:szCs w:val="24"/>
        </w:rPr>
      </w:pPr>
      <w:r w:rsidRPr="00FF67A9">
        <w:rPr>
          <w:rFonts w:cs="Arial"/>
          <w:sz w:val="24"/>
          <w:szCs w:val="24"/>
        </w:rPr>
        <w:t>krediti s poroštvom države</w:t>
      </w:r>
    </w:p>
    <w:p w:rsidR="00B53197" w:rsidRDefault="00B53197" w:rsidP="00FF67A9">
      <w:pPr>
        <w:pStyle w:val="Odstavekseznama"/>
        <w:numPr>
          <w:ilvl w:val="0"/>
          <w:numId w:val="2"/>
        </w:numPr>
        <w:spacing w:after="0" w:line="276" w:lineRule="auto"/>
        <w:jc w:val="left"/>
        <w:rPr>
          <w:rFonts w:cs="Arial"/>
          <w:sz w:val="24"/>
          <w:szCs w:val="24"/>
        </w:rPr>
      </w:pPr>
      <w:r w:rsidRPr="00FF67A9">
        <w:rPr>
          <w:rFonts w:cs="Arial"/>
          <w:sz w:val="24"/>
          <w:szCs w:val="24"/>
        </w:rPr>
        <w:t>sredstva za garancije za bančne kredite</w:t>
      </w:r>
    </w:p>
    <w:p w:rsidR="00FF67A9" w:rsidRPr="00FF67A9" w:rsidRDefault="00FF67A9" w:rsidP="00FF67A9">
      <w:pPr>
        <w:pStyle w:val="Odstavekseznama"/>
        <w:spacing w:after="0" w:line="276" w:lineRule="auto"/>
        <w:jc w:val="left"/>
        <w:rPr>
          <w:rFonts w:cs="Arial"/>
          <w:sz w:val="24"/>
          <w:szCs w:val="24"/>
        </w:rPr>
      </w:pPr>
    </w:p>
    <w:p w:rsidR="00B53197" w:rsidRPr="00FF67A9" w:rsidRDefault="00356872" w:rsidP="00FF67A9">
      <w:pPr>
        <w:spacing w:after="0" w:line="276" w:lineRule="auto"/>
        <w:jc w:val="left"/>
        <w:rPr>
          <w:rFonts w:cs="Arial"/>
          <w:sz w:val="24"/>
          <w:szCs w:val="24"/>
        </w:rPr>
      </w:pPr>
      <w:r>
        <w:rPr>
          <w:rFonts w:cs="Arial"/>
          <w:sz w:val="24"/>
          <w:szCs w:val="24"/>
        </w:rPr>
        <w:t>U</w:t>
      </w:r>
      <w:r w:rsidR="00B53197" w:rsidRPr="00FF67A9">
        <w:rPr>
          <w:rFonts w:cs="Arial"/>
          <w:sz w:val="24"/>
          <w:szCs w:val="24"/>
        </w:rPr>
        <w:t>krepi na področju socialne varnosti:</w:t>
      </w:r>
    </w:p>
    <w:p w:rsidR="00B53197" w:rsidRPr="00FF67A9" w:rsidRDefault="00B53197" w:rsidP="00FF67A9">
      <w:pPr>
        <w:pStyle w:val="Odstavekseznama"/>
        <w:numPr>
          <w:ilvl w:val="0"/>
          <w:numId w:val="2"/>
        </w:numPr>
        <w:spacing w:after="0" w:line="276" w:lineRule="auto"/>
        <w:jc w:val="left"/>
        <w:rPr>
          <w:rFonts w:cs="Arial"/>
          <w:sz w:val="24"/>
          <w:szCs w:val="24"/>
        </w:rPr>
      </w:pPr>
      <w:r w:rsidRPr="00FF67A9">
        <w:rPr>
          <w:rFonts w:cs="Arial"/>
          <w:sz w:val="24"/>
          <w:szCs w:val="24"/>
        </w:rPr>
        <w:t>do 300 evrov solidarnostni dodatek za upokojence</w:t>
      </w:r>
    </w:p>
    <w:p w:rsidR="00B53197" w:rsidRPr="00FF67A9" w:rsidRDefault="00B53197" w:rsidP="00FF67A9">
      <w:pPr>
        <w:pStyle w:val="Odstavekseznama"/>
        <w:numPr>
          <w:ilvl w:val="0"/>
          <w:numId w:val="2"/>
        </w:numPr>
        <w:spacing w:after="0" w:line="276" w:lineRule="auto"/>
        <w:jc w:val="left"/>
        <w:rPr>
          <w:rFonts w:cs="Arial"/>
          <w:sz w:val="24"/>
          <w:szCs w:val="24"/>
        </w:rPr>
      </w:pPr>
      <w:r w:rsidRPr="00FF67A9">
        <w:rPr>
          <w:rFonts w:cs="Arial"/>
          <w:sz w:val="24"/>
          <w:szCs w:val="24"/>
        </w:rPr>
        <w:t>150 evrov solidarnostni dodatek za študente</w:t>
      </w:r>
    </w:p>
    <w:p w:rsidR="00B53197" w:rsidRPr="00FF67A9" w:rsidRDefault="00B53197" w:rsidP="00FF67A9">
      <w:pPr>
        <w:pStyle w:val="Odstavekseznama"/>
        <w:numPr>
          <w:ilvl w:val="0"/>
          <w:numId w:val="2"/>
        </w:numPr>
        <w:spacing w:after="0" w:line="276" w:lineRule="auto"/>
        <w:jc w:val="left"/>
        <w:rPr>
          <w:rFonts w:cs="Arial"/>
          <w:sz w:val="24"/>
          <w:szCs w:val="24"/>
        </w:rPr>
      </w:pPr>
      <w:r w:rsidRPr="00FF67A9">
        <w:rPr>
          <w:rFonts w:cs="Arial"/>
          <w:sz w:val="24"/>
          <w:szCs w:val="24"/>
        </w:rPr>
        <w:t>50 evrov solidarnostni dodatek za otroke</w:t>
      </w:r>
    </w:p>
    <w:p w:rsidR="00B53197" w:rsidRPr="00FF67A9" w:rsidRDefault="00B53197" w:rsidP="00FF67A9">
      <w:pPr>
        <w:pStyle w:val="Odstavekseznama"/>
        <w:numPr>
          <w:ilvl w:val="0"/>
          <w:numId w:val="2"/>
        </w:numPr>
        <w:spacing w:after="0" w:line="276" w:lineRule="auto"/>
        <w:jc w:val="left"/>
        <w:rPr>
          <w:rFonts w:cs="Arial"/>
          <w:sz w:val="24"/>
          <w:szCs w:val="24"/>
        </w:rPr>
      </w:pPr>
      <w:r w:rsidRPr="00FF67A9">
        <w:rPr>
          <w:rFonts w:cs="Arial"/>
          <w:sz w:val="24"/>
          <w:szCs w:val="24"/>
        </w:rPr>
        <w:t>500 evrov izredna pomoč ob rojstvu otroka</w:t>
      </w:r>
    </w:p>
    <w:p w:rsidR="00B53197" w:rsidRPr="00FF67A9" w:rsidRDefault="00B53197" w:rsidP="00FF67A9">
      <w:pPr>
        <w:pStyle w:val="Odstavekseznama"/>
        <w:numPr>
          <w:ilvl w:val="0"/>
          <w:numId w:val="2"/>
        </w:numPr>
        <w:spacing w:after="0" w:line="276" w:lineRule="auto"/>
        <w:jc w:val="left"/>
        <w:rPr>
          <w:rFonts w:cs="Arial"/>
          <w:sz w:val="24"/>
          <w:szCs w:val="24"/>
        </w:rPr>
      </w:pPr>
      <w:r w:rsidRPr="00FF67A9">
        <w:rPr>
          <w:rFonts w:cs="Arial"/>
          <w:sz w:val="24"/>
          <w:szCs w:val="24"/>
        </w:rPr>
        <w:t>100 ali 200 evrov dodatek za velike družine s tremi ali štirimi otroki</w:t>
      </w:r>
    </w:p>
    <w:p w:rsidR="00B53197" w:rsidRPr="00FF67A9" w:rsidRDefault="00B53197" w:rsidP="00FF67A9">
      <w:pPr>
        <w:pStyle w:val="Odstavekseznama"/>
        <w:numPr>
          <w:ilvl w:val="0"/>
          <w:numId w:val="2"/>
        </w:numPr>
        <w:spacing w:after="0" w:line="276" w:lineRule="auto"/>
        <w:jc w:val="left"/>
        <w:rPr>
          <w:rFonts w:cs="Arial"/>
          <w:sz w:val="24"/>
          <w:szCs w:val="24"/>
        </w:rPr>
      </w:pPr>
      <w:r w:rsidRPr="00FF67A9">
        <w:rPr>
          <w:rFonts w:cs="Arial"/>
          <w:sz w:val="24"/>
          <w:szCs w:val="24"/>
        </w:rPr>
        <w:t>financiranje toplega obroka za učence in dijake do 3. dohodninskega razreda</w:t>
      </w:r>
    </w:p>
    <w:p w:rsidR="00B53197" w:rsidRPr="00FF67A9" w:rsidRDefault="00B53197" w:rsidP="00FF67A9">
      <w:pPr>
        <w:pStyle w:val="Odstavekseznama"/>
        <w:numPr>
          <w:ilvl w:val="0"/>
          <w:numId w:val="2"/>
        </w:numPr>
        <w:spacing w:after="0" w:line="276" w:lineRule="auto"/>
        <w:jc w:val="left"/>
        <w:rPr>
          <w:rFonts w:cs="Arial"/>
          <w:sz w:val="24"/>
          <w:szCs w:val="24"/>
        </w:rPr>
      </w:pPr>
      <w:r w:rsidRPr="00FF67A9">
        <w:rPr>
          <w:rFonts w:cs="Arial"/>
          <w:sz w:val="24"/>
          <w:szCs w:val="24"/>
        </w:rPr>
        <w:t>oprostitev plačila storitev študentskih domov (med epidemijo)</w:t>
      </w:r>
    </w:p>
    <w:p w:rsidR="00B53197" w:rsidRPr="00FF67A9" w:rsidRDefault="00B53197" w:rsidP="00FF67A9">
      <w:pPr>
        <w:pStyle w:val="Odstavekseznama"/>
        <w:numPr>
          <w:ilvl w:val="0"/>
          <w:numId w:val="2"/>
        </w:numPr>
        <w:spacing w:after="0" w:line="276" w:lineRule="auto"/>
        <w:jc w:val="left"/>
        <w:rPr>
          <w:rFonts w:cs="Arial"/>
          <w:sz w:val="24"/>
          <w:szCs w:val="24"/>
        </w:rPr>
      </w:pPr>
      <w:r w:rsidRPr="00FF67A9">
        <w:rPr>
          <w:rFonts w:cs="Arial"/>
          <w:sz w:val="24"/>
          <w:szCs w:val="24"/>
        </w:rPr>
        <w:t>oprostitev plačila vrtcev (če otrok med epidemijo ne obiskuje vrtca)</w:t>
      </w:r>
    </w:p>
    <w:p w:rsidR="00B53197" w:rsidRPr="00FF67A9" w:rsidRDefault="00B53197" w:rsidP="00FF67A9">
      <w:pPr>
        <w:pStyle w:val="Odstavekseznama"/>
        <w:numPr>
          <w:ilvl w:val="0"/>
          <w:numId w:val="2"/>
        </w:numPr>
        <w:spacing w:after="0" w:line="276" w:lineRule="auto"/>
        <w:jc w:val="left"/>
        <w:rPr>
          <w:rFonts w:cs="Arial"/>
          <w:sz w:val="24"/>
          <w:szCs w:val="24"/>
        </w:rPr>
      </w:pPr>
      <w:r w:rsidRPr="00FF67A9">
        <w:rPr>
          <w:rFonts w:cs="Arial"/>
          <w:sz w:val="24"/>
          <w:szCs w:val="24"/>
        </w:rPr>
        <w:t>200 evrov za zaposlene, ki imajo plačo do višine dveh minimalnih plač</w:t>
      </w:r>
    </w:p>
    <w:p w:rsidR="00B53197" w:rsidRPr="00FF67A9" w:rsidRDefault="00B53197" w:rsidP="00FF67A9">
      <w:pPr>
        <w:spacing w:after="0" w:line="276" w:lineRule="auto"/>
        <w:jc w:val="left"/>
        <w:rPr>
          <w:rFonts w:cs="Arial"/>
          <w:sz w:val="24"/>
          <w:szCs w:val="24"/>
        </w:rPr>
      </w:pPr>
    </w:p>
    <w:p w:rsidR="00B53197" w:rsidRDefault="00B53197" w:rsidP="00FF67A9">
      <w:pPr>
        <w:spacing w:after="0" w:line="276" w:lineRule="auto"/>
        <w:jc w:val="left"/>
        <w:rPr>
          <w:rFonts w:cs="Arial"/>
          <w:sz w:val="24"/>
          <w:szCs w:val="24"/>
        </w:rPr>
      </w:pPr>
      <w:r w:rsidRPr="00FF67A9">
        <w:rPr>
          <w:rFonts w:cs="Arial"/>
          <w:sz w:val="24"/>
          <w:szCs w:val="24"/>
        </w:rPr>
        <w:lastRenderedPageBreak/>
        <w:t>Doslej smo pomagali več kot 300.000 upokojencem, skoraj 54.000 študentom in nekaj manj kot 30.000 družinam s tremi ali več otroki ter 51.500 samozaposlenim v prvem valu in 33.700 samozaposlenim v drugem valu epidemije. Nadomestilo za čakanje na delo je bilo že izplačano za dobrih 200.000 oseb, nadomestilo za skrajšan delovni čas pa za 33.000 oseb.</w:t>
      </w:r>
    </w:p>
    <w:p w:rsidR="00342D39" w:rsidRPr="00FF67A9" w:rsidRDefault="00342D39" w:rsidP="00FF67A9">
      <w:pPr>
        <w:spacing w:after="0" w:line="276" w:lineRule="auto"/>
        <w:jc w:val="left"/>
        <w:rPr>
          <w:rFonts w:cs="Arial"/>
          <w:sz w:val="24"/>
          <w:szCs w:val="24"/>
        </w:rPr>
      </w:pPr>
    </w:p>
    <w:p w:rsidR="00B53197" w:rsidRDefault="00B53197" w:rsidP="00FF67A9">
      <w:pPr>
        <w:spacing w:after="0" w:line="276" w:lineRule="auto"/>
        <w:jc w:val="left"/>
        <w:rPr>
          <w:rFonts w:cs="Arial"/>
          <w:b/>
          <w:sz w:val="24"/>
          <w:szCs w:val="24"/>
        </w:rPr>
      </w:pPr>
      <w:r w:rsidRPr="00FF67A9">
        <w:rPr>
          <w:rFonts w:cs="Arial"/>
          <w:b/>
          <w:sz w:val="24"/>
          <w:szCs w:val="24"/>
        </w:rPr>
        <w:t>Ohranili smo stabilen finančni sistem</w:t>
      </w:r>
    </w:p>
    <w:p w:rsidR="00342D39" w:rsidRPr="00FF67A9" w:rsidRDefault="00342D39" w:rsidP="00FF67A9">
      <w:pPr>
        <w:spacing w:after="0" w:line="276" w:lineRule="auto"/>
        <w:jc w:val="left"/>
        <w:rPr>
          <w:rFonts w:cs="Arial"/>
          <w:b/>
          <w:sz w:val="24"/>
          <w:szCs w:val="24"/>
        </w:rPr>
      </w:pPr>
    </w:p>
    <w:p w:rsidR="00B53197" w:rsidRDefault="00B53197" w:rsidP="00FF67A9">
      <w:pPr>
        <w:spacing w:after="0" w:line="276" w:lineRule="auto"/>
        <w:jc w:val="left"/>
        <w:rPr>
          <w:rFonts w:cs="Arial"/>
          <w:sz w:val="24"/>
          <w:szCs w:val="24"/>
        </w:rPr>
      </w:pPr>
      <w:r w:rsidRPr="00FF67A9">
        <w:rPr>
          <w:rFonts w:cs="Arial"/>
          <w:sz w:val="24"/>
          <w:szCs w:val="24"/>
        </w:rPr>
        <w:t>Slovenija je učinkovita pri izvajanju ukrepov, kar potrjujejo tudi napovedi o rasti BDP za leti 2021 in 2022. Zaradi učinkovitosti bo t</w:t>
      </w:r>
      <w:r w:rsidR="0095364A">
        <w:rPr>
          <w:rFonts w:cs="Arial"/>
          <w:sz w:val="24"/>
          <w:szCs w:val="24"/>
        </w:rPr>
        <w:t>ako</w:t>
      </w:r>
      <w:r w:rsidRPr="00FF67A9">
        <w:rPr>
          <w:rFonts w:cs="Arial"/>
          <w:sz w:val="24"/>
          <w:szCs w:val="24"/>
        </w:rPr>
        <w:t xml:space="preserve"> i</w:t>
      </w:r>
      <w:r w:rsidR="0095364A">
        <w:rPr>
          <w:rFonts w:cs="Arial"/>
          <w:sz w:val="24"/>
          <w:szCs w:val="24"/>
        </w:rPr>
        <w:t>menovani</w:t>
      </w:r>
      <w:r w:rsidRPr="00FF67A9">
        <w:rPr>
          <w:rFonts w:cs="Arial"/>
          <w:sz w:val="24"/>
          <w:szCs w:val="24"/>
        </w:rPr>
        <w:t xml:space="preserve"> odboj po krizi hitrejši, kar pomeni, da bo Slovenija imela v primerjavi z drugimi državami članicami Evropske unije (EU) hitrejšo in višjo gospodarsko rast. Predkrizno raven gospodarske aktivnosti načrtujemo pred drugo polovico leta 2022.</w:t>
      </w:r>
    </w:p>
    <w:p w:rsidR="00342D39" w:rsidRPr="00FF67A9" w:rsidRDefault="00342D39" w:rsidP="00FF67A9">
      <w:pPr>
        <w:spacing w:after="0" w:line="276" w:lineRule="auto"/>
        <w:jc w:val="left"/>
        <w:rPr>
          <w:rFonts w:cs="Arial"/>
          <w:sz w:val="24"/>
          <w:szCs w:val="24"/>
        </w:rPr>
      </w:pPr>
    </w:p>
    <w:p w:rsidR="00B53197" w:rsidRDefault="00B53197" w:rsidP="00FF67A9">
      <w:pPr>
        <w:spacing w:after="0" w:line="276" w:lineRule="auto"/>
        <w:jc w:val="left"/>
        <w:rPr>
          <w:rFonts w:cs="Arial"/>
          <w:sz w:val="24"/>
          <w:szCs w:val="24"/>
        </w:rPr>
      </w:pPr>
      <w:r w:rsidRPr="00FF67A9">
        <w:rPr>
          <w:rFonts w:cs="Arial"/>
          <w:sz w:val="24"/>
          <w:szCs w:val="24"/>
        </w:rPr>
        <w:t xml:space="preserve">Ocene bonitetnih agencij nas uvrščajo med najbolj zanesljive države za investitorje. </w:t>
      </w:r>
    </w:p>
    <w:p w:rsidR="00342D39" w:rsidRPr="00FF67A9" w:rsidRDefault="00342D39" w:rsidP="00FF67A9">
      <w:pPr>
        <w:spacing w:after="0" w:line="276" w:lineRule="auto"/>
        <w:jc w:val="left"/>
        <w:rPr>
          <w:rFonts w:cs="Arial"/>
          <w:sz w:val="24"/>
          <w:szCs w:val="24"/>
        </w:rPr>
      </w:pPr>
    </w:p>
    <w:p w:rsidR="00B53197" w:rsidRDefault="00B53197" w:rsidP="00FF67A9">
      <w:pPr>
        <w:spacing w:after="0" w:line="276" w:lineRule="auto"/>
        <w:jc w:val="left"/>
        <w:rPr>
          <w:rFonts w:eastAsia="Times New Roman" w:cs="Arial"/>
          <w:b/>
          <w:bCs/>
          <w:sz w:val="24"/>
          <w:szCs w:val="24"/>
          <w:lang w:eastAsia="sl-SI"/>
        </w:rPr>
      </w:pPr>
      <w:r w:rsidRPr="00FF67A9">
        <w:rPr>
          <w:rFonts w:eastAsia="Times New Roman" w:cs="Arial"/>
          <w:b/>
          <w:bCs/>
          <w:sz w:val="24"/>
          <w:szCs w:val="24"/>
          <w:lang w:eastAsia="sl-SI"/>
        </w:rPr>
        <w:t>Primerjava gospodarske rasti po različnih napovedi</w:t>
      </w:r>
      <w:r w:rsidR="00942261">
        <w:rPr>
          <w:rFonts w:eastAsia="Times New Roman" w:cs="Arial"/>
          <w:b/>
          <w:bCs/>
          <w:sz w:val="24"/>
          <w:szCs w:val="24"/>
          <w:lang w:eastAsia="sl-SI"/>
        </w:rPr>
        <w:t>h</w:t>
      </w:r>
      <w:r w:rsidRPr="00FF67A9">
        <w:rPr>
          <w:rFonts w:eastAsia="Times New Roman" w:cs="Arial"/>
          <w:b/>
          <w:bCs/>
          <w:sz w:val="24"/>
          <w:szCs w:val="24"/>
          <w:lang w:eastAsia="sl-SI"/>
        </w:rPr>
        <w:t xml:space="preserve"> za Slovenijo</w:t>
      </w:r>
    </w:p>
    <w:p w:rsidR="00342D39" w:rsidRPr="00FF67A9" w:rsidRDefault="00342D39" w:rsidP="00FF67A9">
      <w:pPr>
        <w:spacing w:after="0" w:line="276" w:lineRule="auto"/>
        <w:jc w:val="left"/>
        <w:rPr>
          <w:rFonts w:eastAsia="Times New Roman" w:cs="Arial"/>
          <w:sz w:val="24"/>
          <w:szCs w:val="24"/>
          <w:lang w:eastAsia="sl-SI"/>
        </w:rPr>
      </w:pPr>
    </w:p>
    <w:tbl>
      <w:tblPr>
        <w:tblStyle w:val="Tabelamrea"/>
        <w:tblW w:w="0" w:type="auto"/>
        <w:tblLook w:val="04A0" w:firstRow="1" w:lastRow="0" w:firstColumn="1" w:lastColumn="0" w:noHBand="0" w:noVBand="1"/>
      </w:tblPr>
      <w:tblGrid>
        <w:gridCol w:w="2263"/>
        <w:gridCol w:w="2977"/>
      </w:tblGrid>
      <w:tr w:rsidR="00B25FA7" w:rsidRPr="00FF67A9" w:rsidTr="007534FD">
        <w:tc>
          <w:tcPr>
            <w:tcW w:w="2263" w:type="dxa"/>
          </w:tcPr>
          <w:p w:rsidR="00B25FA7" w:rsidRPr="00FF67A9" w:rsidRDefault="00B25FA7" w:rsidP="00FF67A9">
            <w:pPr>
              <w:spacing w:line="276" w:lineRule="auto"/>
              <w:jc w:val="left"/>
              <w:rPr>
                <w:rFonts w:cs="Arial"/>
                <w:sz w:val="24"/>
                <w:szCs w:val="24"/>
              </w:rPr>
            </w:pPr>
            <w:r w:rsidRPr="00FF67A9">
              <w:rPr>
                <w:rFonts w:cs="Arial"/>
                <w:sz w:val="24"/>
                <w:szCs w:val="24"/>
              </w:rPr>
              <w:t>Leto gospodarske rasti Slovenije</w:t>
            </w:r>
          </w:p>
        </w:tc>
        <w:tc>
          <w:tcPr>
            <w:tcW w:w="2977" w:type="dxa"/>
          </w:tcPr>
          <w:p w:rsidR="00B25FA7" w:rsidRPr="00FF67A9" w:rsidRDefault="00B25FA7" w:rsidP="00FF67A9">
            <w:pPr>
              <w:spacing w:line="276" w:lineRule="auto"/>
              <w:jc w:val="left"/>
              <w:rPr>
                <w:rFonts w:cs="Arial"/>
                <w:sz w:val="24"/>
                <w:szCs w:val="24"/>
              </w:rPr>
            </w:pPr>
            <w:r w:rsidRPr="00FF67A9">
              <w:rPr>
                <w:rFonts w:cs="Arial"/>
                <w:sz w:val="24"/>
                <w:szCs w:val="24"/>
              </w:rPr>
              <w:t xml:space="preserve">Napoved Evropske banke za obnovo iz razvoj iz septembra 2020 </w:t>
            </w:r>
          </w:p>
        </w:tc>
      </w:tr>
      <w:tr w:rsidR="00B25FA7" w:rsidRPr="00FF67A9" w:rsidTr="007534FD">
        <w:tc>
          <w:tcPr>
            <w:tcW w:w="2263" w:type="dxa"/>
          </w:tcPr>
          <w:p w:rsidR="00B25FA7" w:rsidRPr="00FF67A9" w:rsidRDefault="00B25FA7" w:rsidP="00FF67A9">
            <w:pPr>
              <w:spacing w:line="276" w:lineRule="auto"/>
              <w:jc w:val="left"/>
              <w:rPr>
                <w:rFonts w:cs="Arial"/>
                <w:sz w:val="24"/>
                <w:szCs w:val="24"/>
              </w:rPr>
            </w:pPr>
            <w:r w:rsidRPr="00FF67A9">
              <w:rPr>
                <w:rFonts w:cs="Arial"/>
                <w:sz w:val="24"/>
                <w:szCs w:val="24"/>
              </w:rPr>
              <w:t>2020</w:t>
            </w:r>
          </w:p>
        </w:tc>
        <w:tc>
          <w:tcPr>
            <w:tcW w:w="2977" w:type="dxa"/>
          </w:tcPr>
          <w:p w:rsidR="00B25FA7" w:rsidRPr="00FF67A9" w:rsidRDefault="00B25FA7" w:rsidP="00FF67A9">
            <w:pPr>
              <w:spacing w:line="276" w:lineRule="auto"/>
              <w:jc w:val="left"/>
              <w:rPr>
                <w:rFonts w:cs="Arial"/>
                <w:sz w:val="24"/>
                <w:szCs w:val="24"/>
              </w:rPr>
            </w:pPr>
            <w:r w:rsidRPr="00FF67A9">
              <w:rPr>
                <w:rFonts w:eastAsia="Times New Roman" w:cs="Arial"/>
                <w:sz w:val="24"/>
                <w:szCs w:val="24"/>
                <w:lang w:val="en-GB" w:eastAsia="sl-SI"/>
              </w:rPr>
              <w:t xml:space="preserve">-7.5 </w:t>
            </w:r>
          </w:p>
        </w:tc>
      </w:tr>
      <w:tr w:rsidR="00B25FA7" w:rsidRPr="00FF67A9" w:rsidTr="007534FD">
        <w:tc>
          <w:tcPr>
            <w:tcW w:w="2263" w:type="dxa"/>
          </w:tcPr>
          <w:p w:rsidR="00B25FA7" w:rsidRPr="00FF67A9" w:rsidRDefault="00B25FA7" w:rsidP="00FF67A9">
            <w:pPr>
              <w:spacing w:line="276" w:lineRule="auto"/>
              <w:jc w:val="left"/>
              <w:rPr>
                <w:rFonts w:cs="Arial"/>
                <w:sz w:val="24"/>
                <w:szCs w:val="24"/>
              </w:rPr>
            </w:pPr>
            <w:r w:rsidRPr="00FF67A9">
              <w:rPr>
                <w:rFonts w:cs="Arial"/>
                <w:sz w:val="24"/>
                <w:szCs w:val="24"/>
              </w:rPr>
              <w:t>2021</w:t>
            </w:r>
          </w:p>
        </w:tc>
        <w:tc>
          <w:tcPr>
            <w:tcW w:w="2977" w:type="dxa"/>
          </w:tcPr>
          <w:p w:rsidR="00B25FA7" w:rsidRPr="00FF67A9" w:rsidRDefault="00B25FA7" w:rsidP="00FF67A9">
            <w:pPr>
              <w:spacing w:line="276" w:lineRule="auto"/>
              <w:jc w:val="left"/>
              <w:rPr>
                <w:rFonts w:cs="Arial"/>
                <w:sz w:val="24"/>
                <w:szCs w:val="24"/>
              </w:rPr>
            </w:pPr>
            <w:r w:rsidRPr="00FF67A9">
              <w:rPr>
                <w:rFonts w:eastAsia="Times New Roman" w:cs="Arial"/>
                <w:sz w:val="24"/>
                <w:szCs w:val="24"/>
                <w:lang w:eastAsia="sl-SI"/>
              </w:rPr>
              <w:t>3.5</w:t>
            </w:r>
          </w:p>
        </w:tc>
      </w:tr>
    </w:tbl>
    <w:p w:rsidR="00B53197" w:rsidRPr="00FF67A9" w:rsidRDefault="00B53197" w:rsidP="00FF67A9">
      <w:pPr>
        <w:spacing w:after="0" w:line="276" w:lineRule="auto"/>
        <w:jc w:val="left"/>
        <w:rPr>
          <w:rFonts w:cs="Arial"/>
          <w:sz w:val="24"/>
          <w:szCs w:val="24"/>
        </w:rPr>
      </w:pPr>
    </w:p>
    <w:tbl>
      <w:tblPr>
        <w:tblStyle w:val="Tabelamrea"/>
        <w:tblW w:w="0" w:type="auto"/>
        <w:tblLook w:val="04A0" w:firstRow="1" w:lastRow="0" w:firstColumn="1" w:lastColumn="0" w:noHBand="0" w:noVBand="1"/>
      </w:tblPr>
      <w:tblGrid>
        <w:gridCol w:w="2265"/>
        <w:gridCol w:w="2975"/>
      </w:tblGrid>
      <w:tr w:rsidR="00B25FA7" w:rsidRPr="00FF67A9" w:rsidTr="007534FD">
        <w:tc>
          <w:tcPr>
            <w:tcW w:w="2265" w:type="dxa"/>
          </w:tcPr>
          <w:p w:rsidR="00B25FA7" w:rsidRPr="00FF67A9" w:rsidRDefault="00B25FA7" w:rsidP="00FF67A9">
            <w:pPr>
              <w:spacing w:line="276" w:lineRule="auto"/>
              <w:jc w:val="left"/>
              <w:rPr>
                <w:rFonts w:cs="Arial"/>
                <w:sz w:val="24"/>
                <w:szCs w:val="24"/>
              </w:rPr>
            </w:pPr>
            <w:r w:rsidRPr="00FF67A9">
              <w:rPr>
                <w:rFonts w:cs="Arial"/>
                <w:sz w:val="24"/>
                <w:szCs w:val="24"/>
              </w:rPr>
              <w:t>Leto gospodarske rasti Slovenije</w:t>
            </w:r>
          </w:p>
        </w:tc>
        <w:tc>
          <w:tcPr>
            <w:tcW w:w="2975" w:type="dxa"/>
          </w:tcPr>
          <w:p w:rsidR="00B25FA7" w:rsidRPr="00FF67A9" w:rsidRDefault="00B25FA7" w:rsidP="00FF67A9">
            <w:pPr>
              <w:spacing w:line="276" w:lineRule="auto"/>
              <w:jc w:val="left"/>
              <w:rPr>
                <w:rFonts w:cs="Arial"/>
                <w:sz w:val="24"/>
                <w:szCs w:val="24"/>
              </w:rPr>
            </w:pPr>
            <w:r w:rsidRPr="00FF67A9">
              <w:rPr>
                <w:rFonts w:cs="Arial"/>
                <w:sz w:val="24"/>
                <w:szCs w:val="24"/>
              </w:rPr>
              <w:t>Napoved Banke Slovenije iz decembra 2020</w:t>
            </w:r>
          </w:p>
        </w:tc>
      </w:tr>
      <w:tr w:rsidR="00B25FA7" w:rsidRPr="00FF67A9" w:rsidTr="007534FD">
        <w:tc>
          <w:tcPr>
            <w:tcW w:w="2265" w:type="dxa"/>
          </w:tcPr>
          <w:p w:rsidR="00B25FA7" w:rsidRPr="00FF67A9" w:rsidRDefault="00B25FA7" w:rsidP="00FF67A9">
            <w:pPr>
              <w:spacing w:line="276" w:lineRule="auto"/>
              <w:jc w:val="left"/>
              <w:rPr>
                <w:rFonts w:cs="Arial"/>
                <w:sz w:val="24"/>
                <w:szCs w:val="24"/>
              </w:rPr>
            </w:pPr>
            <w:r w:rsidRPr="00FF67A9">
              <w:rPr>
                <w:rFonts w:cs="Arial"/>
                <w:sz w:val="24"/>
                <w:szCs w:val="24"/>
              </w:rPr>
              <w:t>2020</w:t>
            </w:r>
          </w:p>
        </w:tc>
        <w:tc>
          <w:tcPr>
            <w:tcW w:w="2975" w:type="dxa"/>
          </w:tcPr>
          <w:p w:rsidR="00B25FA7" w:rsidRPr="00FF67A9" w:rsidRDefault="00B25FA7" w:rsidP="00FF67A9">
            <w:pPr>
              <w:spacing w:line="276" w:lineRule="auto"/>
              <w:jc w:val="left"/>
              <w:rPr>
                <w:rFonts w:cs="Arial"/>
                <w:sz w:val="24"/>
                <w:szCs w:val="24"/>
              </w:rPr>
            </w:pPr>
            <w:r w:rsidRPr="00FF67A9">
              <w:rPr>
                <w:rFonts w:eastAsia="Times New Roman" w:cs="Arial"/>
                <w:sz w:val="24"/>
                <w:szCs w:val="24"/>
                <w:lang w:eastAsia="sl-SI"/>
              </w:rPr>
              <w:t>-7.6</w:t>
            </w:r>
          </w:p>
        </w:tc>
      </w:tr>
      <w:tr w:rsidR="00B25FA7" w:rsidRPr="00FF67A9" w:rsidTr="007534FD">
        <w:tc>
          <w:tcPr>
            <w:tcW w:w="2265" w:type="dxa"/>
          </w:tcPr>
          <w:p w:rsidR="00B25FA7" w:rsidRPr="00FF67A9" w:rsidRDefault="00B25FA7" w:rsidP="00FF67A9">
            <w:pPr>
              <w:spacing w:line="276" w:lineRule="auto"/>
              <w:jc w:val="left"/>
              <w:rPr>
                <w:rFonts w:cs="Arial"/>
                <w:sz w:val="24"/>
                <w:szCs w:val="24"/>
              </w:rPr>
            </w:pPr>
            <w:r w:rsidRPr="00FF67A9">
              <w:rPr>
                <w:rFonts w:cs="Arial"/>
                <w:sz w:val="24"/>
                <w:szCs w:val="24"/>
              </w:rPr>
              <w:t>2021</w:t>
            </w:r>
          </w:p>
        </w:tc>
        <w:tc>
          <w:tcPr>
            <w:tcW w:w="2975" w:type="dxa"/>
          </w:tcPr>
          <w:p w:rsidR="00B25FA7" w:rsidRPr="00FF67A9" w:rsidRDefault="00B25FA7" w:rsidP="00FF67A9">
            <w:pPr>
              <w:spacing w:line="276" w:lineRule="auto"/>
              <w:jc w:val="left"/>
              <w:rPr>
                <w:rFonts w:cs="Arial"/>
                <w:sz w:val="24"/>
                <w:szCs w:val="24"/>
              </w:rPr>
            </w:pPr>
            <w:r w:rsidRPr="00FF67A9">
              <w:rPr>
                <w:rFonts w:eastAsia="Times New Roman" w:cs="Arial"/>
                <w:sz w:val="24"/>
                <w:szCs w:val="24"/>
                <w:lang w:eastAsia="sl-SI"/>
              </w:rPr>
              <w:t>3.1</w:t>
            </w:r>
          </w:p>
        </w:tc>
      </w:tr>
      <w:tr w:rsidR="00B25FA7" w:rsidRPr="00FF67A9" w:rsidTr="007534FD">
        <w:tc>
          <w:tcPr>
            <w:tcW w:w="2265" w:type="dxa"/>
          </w:tcPr>
          <w:p w:rsidR="00B25FA7" w:rsidRPr="00FF67A9" w:rsidRDefault="00B25FA7" w:rsidP="00FF67A9">
            <w:pPr>
              <w:spacing w:line="276" w:lineRule="auto"/>
              <w:jc w:val="left"/>
              <w:rPr>
                <w:rFonts w:cs="Arial"/>
                <w:sz w:val="24"/>
                <w:szCs w:val="24"/>
              </w:rPr>
            </w:pPr>
            <w:r w:rsidRPr="00FF67A9">
              <w:rPr>
                <w:rFonts w:cs="Arial"/>
                <w:sz w:val="24"/>
                <w:szCs w:val="24"/>
              </w:rPr>
              <w:t>2022</w:t>
            </w:r>
          </w:p>
        </w:tc>
        <w:tc>
          <w:tcPr>
            <w:tcW w:w="2975" w:type="dxa"/>
          </w:tcPr>
          <w:p w:rsidR="00B25FA7" w:rsidRPr="00FF67A9" w:rsidRDefault="00B25FA7" w:rsidP="00FF67A9">
            <w:pPr>
              <w:spacing w:line="276" w:lineRule="auto"/>
              <w:jc w:val="left"/>
              <w:rPr>
                <w:rFonts w:cs="Arial"/>
                <w:sz w:val="24"/>
                <w:szCs w:val="24"/>
              </w:rPr>
            </w:pPr>
            <w:r w:rsidRPr="00FF67A9">
              <w:rPr>
                <w:rFonts w:eastAsia="Times New Roman" w:cs="Arial"/>
                <w:sz w:val="24"/>
                <w:szCs w:val="24"/>
                <w:lang w:eastAsia="sl-SI"/>
              </w:rPr>
              <w:t>4.5</w:t>
            </w:r>
          </w:p>
        </w:tc>
      </w:tr>
    </w:tbl>
    <w:p w:rsidR="00B25FA7" w:rsidRPr="00FF67A9" w:rsidRDefault="00B25FA7" w:rsidP="00FF67A9">
      <w:pPr>
        <w:spacing w:after="0" w:line="276" w:lineRule="auto"/>
        <w:jc w:val="left"/>
        <w:rPr>
          <w:rFonts w:cs="Arial"/>
          <w:sz w:val="24"/>
          <w:szCs w:val="24"/>
        </w:rPr>
      </w:pPr>
    </w:p>
    <w:tbl>
      <w:tblPr>
        <w:tblStyle w:val="Tabelamrea"/>
        <w:tblW w:w="0" w:type="auto"/>
        <w:tblLook w:val="04A0" w:firstRow="1" w:lastRow="0" w:firstColumn="1" w:lastColumn="0" w:noHBand="0" w:noVBand="1"/>
      </w:tblPr>
      <w:tblGrid>
        <w:gridCol w:w="2263"/>
        <w:gridCol w:w="2977"/>
      </w:tblGrid>
      <w:tr w:rsidR="00B25FA7" w:rsidRPr="00FF67A9" w:rsidTr="007534FD">
        <w:tc>
          <w:tcPr>
            <w:tcW w:w="2263" w:type="dxa"/>
          </w:tcPr>
          <w:p w:rsidR="00B25FA7" w:rsidRPr="00FF67A9" w:rsidRDefault="00B25FA7" w:rsidP="00FF67A9">
            <w:pPr>
              <w:spacing w:line="276" w:lineRule="auto"/>
              <w:jc w:val="left"/>
              <w:rPr>
                <w:rFonts w:cs="Arial"/>
                <w:sz w:val="24"/>
                <w:szCs w:val="24"/>
              </w:rPr>
            </w:pPr>
            <w:r w:rsidRPr="00FF67A9">
              <w:rPr>
                <w:rFonts w:cs="Arial"/>
                <w:sz w:val="24"/>
                <w:szCs w:val="24"/>
              </w:rPr>
              <w:t>Leto gospodarske rasti Slovenije</w:t>
            </w:r>
          </w:p>
        </w:tc>
        <w:tc>
          <w:tcPr>
            <w:tcW w:w="2977" w:type="dxa"/>
          </w:tcPr>
          <w:p w:rsidR="00B25FA7" w:rsidRPr="00FF67A9" w:rsidRDefault="00B25FA7" w:rsidP="00FF67A9">
            <w:pPr>
              <w:spacing w:line="276" w:lineRule="auto"/>
              <w:jc w:val="left"/>
              <w:rPr>
                <w:rFonts w:cs="Arial"/>
                <w:sz w:val="24"/>
                <w:szCs w:val="24"/>
              </w:rPr>
            </w:pPr>
            <w:r w:rsidRPr="00FF67A9">
              <w:rPr>
                <w:rFonts w:cs="Arial"/>
                <w:sz w:val="24"/>
                <w:szCs w:val="24"/>
              </w:rPr>
              <w:t>Napoved Urada za makroekonomske analize in razvoj iz decembra 2020</w:t>
            </w:r>
          </w:p>
        </w:tc>
      </w:tr>
      <w:tr w:rsidR="00B25FA7" w:rsidRPr="00FF67A9" w:rsidTr="007534FD">
        <w:tc>
          <w:tcPr>
            <w:tcW w:w="2263" w:type="dxa"/>
          </w:tcPr>
          <w:p w:rsidR="00B25FA7" w:rsidRPr="00FF67A9" w:rsidRDefault="00B25FA7" w:rsidP="00FF67A9">
            <w:pPr>
              <w:spacing w:line="276" w:lineRule="auto"/>
              <w:jc w:val="left"/>
              <w:rPr>
                <w:rFonts w:cs="Arial"/>
                <w:sz w:val="24"/>
                <w:szCs w:val="24"/>
              </w:rPr>
            </w:pPr>
            <w:r w:rsidRPr="00FF67A9">
              <w:rPr>
                <w:rFonts w:cs="Arial"/>
                <w:sz w:val="24"/>
                <w:szCs w:val="24"/>
              </w:rPr>
              <w:t>2020</w:t>
            </w:r>
          </w:p>
        </w:tc>
        <w:tc>
          <w:tcPr>
            <w:tcW w:w="2977" w:type="dxa"/>
          </w:tcPr>
          <w:p w:rsidR="00B25FA7" w:rsidRPr="00FF67A9" w:rsidRDefault="007534FD" w:rsidP="00FF67A9">
            <w:pPr>
              <w:tabs>
                <w:tab w:val="left" w:pos="1005"/>
              </w:tabs>
              <w:spacing w:line="276" w:lineRule="auto"/>
              <w:jc w:val="left"/>
              <w:rPr>
                <w:rFonts w:cs="Arial"/>
                <w:sz w:val="24"/>
                <w:szCs w:val="24"/>
              </w:rPr>
            </w:pPr>
            <w:r w:rsidRPr="00FF67A9">
              <w:rPr>
                <w:rFonts w:eastAsia="Times New Roman" w:cs="Arial"/>
                <w:sz w:val="24"/>
                <w:szCs w:val="24"/>
                <w:lang w:eastAsia="sl-SI"/>
              </w:rPr>
              <w:t>-6.6</w:t>
            </w:r>
          </w:p>
        </w:tc>
      </w:tr>
      <w:tr w:rsidR="00B25FA7" w:rsidRPr="00FF67A9" w:rsidTr="007534FD">
        <w:tc>
          <w:tcPr>
            <w:tcW w:w="2263" w:type="dxa"/>
          </w:tcPr>
          <w:p w:rsidR="00B25FA7" w:rsidRPr="00FF67A9" w:rsidRDefault="00B25FA7" w:rsidP="00FF67A9">
            <w:pPr>
              <w:spacing w:line="276" w:lineRule="auto"/>
              <w:jc w:val="left"/>
              <w:rPr>
                <w:rFonts w:cs="Arial"/>
                <w:sz w:val="24"/>
                <w:szCs w:val="24"/>
              </w:rPr>
            </w:pPr>
            <w:r w:rsidRPr="00FF67A9">
              <w:rPr>
                <w:rFonts w:cs="Arial"/>
                <w:sz w:val="24"/>
                <w:szCs w:val="24"/>
              </w:rPr>
              <w:t>2021</w:t>
            </w:r>
          </w:p>
        </w:tc>
        <w:tc>
          <w:tcPr>
            <w:tcW w:w="2977" w:type="dxa"/>
          </w:tcPr>
          <w:p w:rsidR="00B25FA7" w:rsidRPr="00FF67A9" w:rsidRDefault="007534FD" w:rsidP="00FF67A9">
            <w:pPr>
              <w:spacing w:line="276" w:lineRule="auto"/>
              <w:jc w:val="left"/>
              <w:rPr>
                <w:rFonts w:cs="Arial"/>
                <w:sz w:val="24"/>
                <w:szCs w:val="24"/>
              </w:rPr>
            </w:pPr>
            <w:r w:rsidRPr="00FF67A9">
              <w:rPr>
                <w:rFonts w:eastAsia="Times New Roman" w:cs="Arial"/>
                <w:sz w:val="24"/>
                <w:szCs w:val="24"/>
                <w:lang w:eastAsia="sl-SI"/>
              </w:rPr>
              <w:t>4.3</w:t>
            </w:r>
          </w:p>
        </w:tc>
      </w:tr>
      <w:tr w:rsidR="00B25FA7" w:rsidRPr="00FF67A9" w:rsidTr="007534FD">
        <w:tc>
          <w:tcPr>
            <w:tcW w:w="2263" w:type="dxa"/>
          </w:tcPr>
          <w:p w:rsidR="00B25FA7" w:rsidRPr="00FF67A9" w:rsidRDefault="00B25FA7" w:rsidP="00FF67A9">
            <w:pPr>
              <w:spacing w:line="276" w:lineRule="auto"/>
              <w:jc w:val="left"/>
              <w:rPr>
                <w:rFonts w:cs="Arial"/>
                <w:sz w:val="24"/>
                <w:szCs w:val="24"/>
              </w:rPr>
            </w:pPr>
            <w:r w:rsidRPr="00FF67A9">
              <w:rPr>
                <w:rFonts w:cs="Arial"/>
                <w:sz w:val="24"/>
                <w:szCs w:val="24"/>
              </w:rPr>
              <w:t>2022</w:t>
            </w:r>
          </w:p>
        </w:tc>
        <w:tc>
          <w:tcPr>
            <w:tcW w:w="2977" w:type="dxa"/>
          </w:tcPr>
          <w:p w:rsidR="00B25FA7" w:rsidRPr="00FF67A9" w:rsidRDefault="007534FD" w:rsidP="00FF67A9">
            <w:pPr>
              <w:spacing w:line="276" w:lineRule="auto"/>
              <w:jc w:val="left"/>
              <w:rPr>
                <w:rFonts w:cs="Arial"/>
                <w:sz w:val="24"/>
                <w:szCs w:val="24"/>
              </w:rPr>
            </w:pPr>
            <w:r w:rsidRPr="00FF67A9">
              <w:rPr>
                <w:rFonts w:eastAsia="Times New Roman" w:cs="Arial"/>
                <w:sz w:val="24"/>
                <w:szCs w:val="24"/>
                <w:lang w:eastAsia="sl-SI"/>
              </w:rPr>
              <w:t>4.4</w:t>
            </w:r>
          </w:p>
        </w:tc>
      </w:tr>
    </w:tbl>
    <w:p w:rsidR="00B25FA7" w:rsidRPr="00FF67A9" w:rsidRDefault="00B25FA7" w:rsidP="00FF67A9">
      <w:pPr>
        <w:spacing w:after="0" w:line="276" w:lineRule="auto"/>
        <w:jc w:val="left"/>
        <w:rPr>
          <w:rFonts w:cs="Arial"/>
          <w:sz w:val="24"/>
          <w:szCs w:val="24"/>
        </w:rPr>
      </w:pPr>
    </w:p>
    <w:tbl>
      <w:tblPr>
        <w:tblStyle w:val="Tabelamrea"/>
        <w:tblW w:w="0" w:type="auto"/>
        <w:tblLook w:val="04A0" w:firstRow="1" w:lastRow="0" w:firstColumn="1" w:lastColumn="0" w:noHBand="0" w:noVBand="1"/>
      </w:tblPr>
      <w:tblGrid>
        <w:gridCol w:w="2263"/>
        <w:gridCol w:w="2977"/>
      </w:tblGrid>
      <w:tr w:rsidR="007534FD" w:rsidRPr="00FF67A9" w:rsidTr="007534FD">
        <w:tc>
          <w:tcPr>
            <w:tcW w:w="2263" w:type="dxa"/>
          </w:tcPr>
          <w:p w:rsidR="007534FD" w:rsidRPr="00FF67A9" w:rsidRDefault="007534FD" w:rsidP="00FF67A9">
            <w:pPr>
              <w:spacing w:line="276" w:lineRule="auto"/>
              <w:jc w:val="left"/>
              <w:rPr>
                <w:rFonts w:cs="Arial"/>
                <w:sz w:val="24"/>
                <w:szCs w:val="24"/>
              </w:rPr>
            </w:pPr>
            <w:r w:rsidRPr="00FF67A9">
              <w:rPr>
                <w:rFonts w:cs="Arial"/>
                <w:sz w:val="24"/>
                <w:szCs w:val="24"/>
              </w:rPr>
              <w:t>Leto gospodarske rasti Slovenije</w:t>
            </w:r>
          </w:p>
        </w:tc>
        <w:tc>
          <w:tcPr>
            <w:tcW w:w="2977" w:type="dxa"/>
          </w:tcPr>
          <w:p w:rsidR="007534FD" w:rsidRPr="00FF67A9" w:rsidRDefault="007534FD" w:rsidP="00FF67A9">
            <w:pPr>
              <w:spacing w:line="276" w:lineRule="auto"/>
              <w:jc w:val="left"/>
              <w:rPr>
                <w:rFonts w:cs="Arial"/>
                <w:sz w:val="24"/>
                <w:szCs w:val="24"/>
              </w:rPr>
            </w:pPr>
            <w:r w:rsidRPr="00FF67A9">
              <w:rPr>
                <w:rFonts w:cs="Arial"/>
                <w:sz w:val="24"/>
                <w:szCs w:val="24"/>
              </w:rPr>
              <w:t>Napoved Mednarodnega denarnega sklada iz oktobra 2020</w:t>
            </w:r>
          </w:p>
        </w:tc>
      </w:tr>
      <w:tr w:rsidR="007534FD" w:rsidRPr="00FF67A9" w:rsidTr="007534FD">
        <w:tc>
          <w:tcPr>
            <w:tcW w:w="2263" w:type="dxa"/>
          </w:tcPr>
          <w:p w:rsidR="007534FD" w:rsidRPr="00FF67A9" w:rsidRDefault="007534FD" w:rsidP="00FF67A9">
            <w:pPr>
              <w:spacing w:line="276" w:lineRule="auto"/>
              <w:jc w:val="left"/>
              <w:rPr>
                <w:rFonts w:cs="Arial"/>
                <w:sz w:val="24"/>
                <w:szCs w:val="24"/>
              </w:rPr>
            </w:pPr>
            <w:r w:rsidRPr="00FF67A9">
              <w:rPr>
                <w:rFonts w:cs="Arial"/>
                <w:sz w:val="24"/>
                <w:szCs w:val="24"/>
              </w:rPr>
              <w:t>2020</w:t>
            </w:r>
          </w:p>
        </w:tc>
        <w:tc>
          <w:tcPr>
            <w:tcW w:w="2977" w:type="dxa"/>
          </w:tcPr>
          <w:p w:rsidR="007534FD" w:rsidRPr="00FF67A9" w:rsidRDefault="007534FD" w:rsidP="00FF67A9">
            <w:pPr>
              <w:spacing w:line="276" w:lineRule="auto"/>
              <w:jc w:val="left"/>
              <w:rPr>
                <w:rFonts w:cs="Arial"/>
                <w:sz w:val="24"/>
                <w:szCs w:val="24"/>
              </w:rPr>
            </w:pPr>
            <w:r w:rsidRPr="00FF67A9">
              <w:rPr>
                <w:rFonts w:eastAsia="Times New Roman" w:cs="Arial"/>
                <w:sz w:val="24"/>
                <w:szCs w:val="24"/>
                <w:lang w:eastAsia="sl-SI"/>
              </w:rPr>
              <w:t>-6.7</w:t>
            </w:r>
          </w:p>
        </w:tc>
      </w:tr>
      <w:tr w:rsidR="007534FD" w:rsidRPr="00FF67A9" w:rsidTr="007534FD">
        <w:tc>
          <w:tcPr>
            <w:tcW w:w="2263" w:type="dxa"/>
          </w:tcPr>
          <w:p w:rsidR="007534FD" w:rsidRPr="00FF67A9" w:rsidRDefault="007534FD" w:rsidP="00FF67A9">
            <w:pPr>
              <w:spacing w:line="276" w:lineRule="auto"/>
              <w:jc w:val="left"/>
              <w:rPr>
                <w:rFonts w:cs="Arial"/>
                <w:sz w:val="24"/>
                <w:szCs w:val="24"/>
              </w:rPr>
            </w:pPr>
            <w:r w:rsidRPr="00FF67A9">
              <w:rPr>
                <w:rFonts w:cs="Arial"/>
                <w:sz w:val="24"/>
                <w:szCs w:val="24"/>
              </w:rPr>
              <w:t>2021</w:t>
            </w:r>
          </w:p>
        </w:tc>
        <w:tc>
          <w:tcPr>
            <w:tcW w:w="2977" w:type="dxa"/>
          </w:tcPr>
          <w:p w:rsidR="007534FD" w:rsidRPr="00FF67A9" w:rsidRDefault="007534FD" w:rsidP="00FF67A9">
            <w:pPr>
              <w:spacing w:line="276" w:lineRule="auto"/>
              <w:jc w:val="left"/>
              <w:rPr>
                <w:rFonts w:cs="Arial"/>
                <w:sz w:val="24"/>
                <w:szCs w:val="24"/>
              </w:rPr>
            </w:pPr>
            <w:r w:rsidRPr="00FF67A9">
              <w:rPr>
                <w:rFonts w:eastAsia="Times New Roman" w:cs="Arial"/>
                <w:sz w:val="24"/>
                <w:szCs w:val="24"/>
                <w:lang w:eastAsia="sl-SI"/>
              </w:rPr>
              <w:t>5.2</w:t>
            </w:r>
          </w:p>
        </w:tc>
      </w:tr>
      <w:tr w:rsidR="007534FD" w:rsidRPr="00FF67A9" w:rsidTr="007534FD">
        <w:tc>
          <w:tcPr>
            <w:tcW w:w="2263" w:type="dxa"/>
          </w:tcPr>
          <w:p w:rsidR="007534FD" w:rsidRPr="00FF67A9" w:rsidRDefault="007534FD" w:rsidP="00FF67A9">
            <w:pPr>
              <w:spacing w:line="276" w:lineRule="auto"/>
              <w:jc w:val="left"/>
              <w:rPr>
                <w:rFonts w:cs="Arial"/>
                <w:sz w:val="24"/>
                <w:szCs w:val="24"/>
              </w:rPr>
            </w:pPr>
            <w:r w:rsidRPr="00FF67A9">
              <w:rPr>
                <w:rFonts w:cs="Arial"/>
                <w:sz w:val="24"/>
                <w:szCs w:val="24"/>
              </w:rPr>
              <w:lastRenderedPageBreak/>
              <w:t>2022</w:t>
            </w:r>
          </w:p>
        </w:tc>
        <w:tc>
          <w:tcPr>
            <w:tcW w:w="2977" w:type="dxa"/>
          </w:tcPr>
          <w:p w:rsidR="007534FD" w:rsidRPr="00FF67A9" w:rsidRDefault="007534FD" w:rsidP="00FF67A9">
            <w:pPr>
              <w:spacing w:line="276" w:lineRule="auto"/>
              <w:jc w:val="left"/>
              <w:rPr>
                <w:rFonts w:cs="Arial"/>
                <w:sz w:val="24"/>
                <w:szCs w:val="24"/>
              </w:rPr>
            </w:pPr>
            <w:r w:rsidRPr="00FF67A9">
              <w:rPr>
                <w:rFonts w:eastAsia="Times New Roman" w:cs="Arial"/>
                <w:sz w:val="24"/>
                <w:szCs w:val="24"/>
                <w:lang w:eastAsia="sl-SI"/>
              </w:rPr>
              <w:t>3.4</w:t>
            </w:r>
          </w:p>
        </w:tc>
      </w:tr>
    </w:tbl>
    <w:p w:rsidR="007534FD" w:rsidRPr="00FF67A9" w:rsidRDefault="007534FD" w:rsidP="00FF67A9">
      <w:pPr>
        <w:spacing w:after="0" w:line="276" w:lineRule="auto"/>
        <w:jc w:val="left"/>
        <w:rPr>
          <w:rFonts w:cs="Arial"/>
          <w:sz w:val="24"/>
          <w:szCs w:val="24"/>
        </w:rPr>
      </w:pPr>
    </w:p>
    <w:tbl>
      <w:tblPr>
        <w:tblStyle w:val="Tabelamrea"/>
        <w:tblW w:w="0" w:type="auto"/>
        <w:tblLook w:val="04A0" w:firstRow="1" w:lastRow="0" w:firstColumn="1" w:lastColumn="0" w:noHBand="0" w:noVBand="1"/>
      </w:tblPr>
      <w:tblGrid>
        <w:gridCol w:w="2263"/>
        <w:gridCol w:w="2977"/>
      </w:tblGrid>
      <w:tr w:rsidR="007534FD" w:rsidRPr="00FF67A9" w:rsidTr="007534FD">
        <w:tc>
          <w:tcPr>
            <w:tcW w:w="2263" w:type="dxa"/>
          </w:tcPr>
          <w:p w:rsidR="007534FD" w:rsidRPr="00FF67A9" w:rsidRDefault="007534FD" w:rsidP="00FF67A9">
            <w:pPr>
              <w:spacing w:line="276" w:lineRule="auto"/>
              <w:jc w:val="left"/>
              <w:rPr>
                <w:rFonts w:cs="Arial"/>
                <w:sz w:val="24"/>
                <w:szCs w:val="24"/>
              </w:rPr>
            </w:pPr>
            <w:r w:rsidRPr="00FF67A9">
              <w:rPr>
                <w:rFonts w:cs="Arial"/>
                <w:sz w:val="24"/>
                <w:szCs w:val="24"/>
              </w:rPr>
              <w:t>Leto gospodarske rasti Slovenije</w:t>
            </w:r>
          </w:p>
        </w:tc>
        <w:tc>
          <w:tcPr>
            <w:tcW w:w="2977" w:type="dxa"/>
          </w:tcPr>
          <w:p w:rsidR="007534FD" w:rsidRPr="00FF67A9" w:rsidRDefault="007534FD" w:rsidP="00FF67A9">
            <w:pPr>
              <w:spacing w:line="276" w:lineRule="auto"/>
              <w:jc w:val="left"/>
              <w:rPr>
                <w:rFonts w:cs="Arial"/>
                <w:sz w:val="24"/>
                <w:szCs w:val="24"/>
              </w:rPr>
            </w:pPr>
            <w:r w:rsidRPr="00FF67A9">
              <w:rPr>
                <w:rFonts w:cs="Arial"/>
                <w:sz w:val="24"/>
                <w:szCs w:val="24"/>
              </w:rPr>
              <w:t>Napoved Evropske komisije iz novembra 2020</w:t>
            </w:r>
          </w:p>
        </w:tc>
      </w:tr>
      <w:tr w:rsidR="007534FD" w:rsidRPr="00FF67A9" w:rsidTr="007534FD">
        <w:tc>
          <w:tcPr>
            <w:tcW w:w="2263" w:type="dxa"/>
          </w:tcPr>
          <w:p w:rsidR="007534FD" w:rsidRPr="00FF67A9" w:rsidRDefault="007534FD" w:rsidP="00FF67A9">
            <w:pPr>
              <w:spacing w:line="276" w:lineRule="auto"/>
              <w:jc w:val="left"/>
              <w:rPr>
                <w:rFonts w:cs="Arial"/>
                <w:sz w:val="24"/>
                <w:szCs w:val="24"/>
              </w:rPr>
            </w:pPr>
            <w:r w:rsidRPr="00FF67A9">
              <w:rPr>
                <w:rFonts w:cs="Arial"/>
                <w:sz w:val="24"/>
                <w:szCs w:val="24"/>
              </w:rPr>
              <w:t>2020</w:t>
            </w:r>
          </w:p>
        </w:tc>
        <w:tc>
          <w:tcPr>
            <w:tcW w:w="2977" w:type="dxa"/>
          </w:tcPr>
          <w:p w:rsidR="007534FD" w:rsidRPr="00FF67A9" w:rsidRDefault="007534FD" w:rsidP="00FF67A9">
            <w:pPr>
              <w:spacing w:line="276" w:lineRule="auto"/>
              <w:jc w:val="left"/>
              <w:rPr>
                <w:rFonts w:cs="Arial"/>
                <w:sz w:val="24"/>
                <w:szCs w:val="24"/>
              </w:rPr>
            </w:pPr>
            <w:r w:rsidRPr="00FF67A9">
              <w:rPr>
                <w:rFonts w:eastAsia="Times New Roman" w:cs="Arial"/>
                <w:sz w:val="24"/>
                <w:szCs w:val="24"/>
                <w:lang w:eastAsia="sl-SI"/>
              </w:rPr>
              <w:t>-7.1</w:t>
            </w:r>
          </w:p>
        </w:tc>
      </w:tr>
      <w:tr w:rsidR="007534FD" w:rsidRPr="00FF67A9" w:rsidTr="007534FD">
        <w:tc>
          <w:tcPr>
            <w:tcW w:w="2263" w:type="dxa"/>
          </w:tcPr>
          <w:p w:rsidR="007534FD" w:rsidRPr="00FF67A9" w:rsidRDefault="007534FD" w:rsidP="00FF67A9">
            <w:pPr>
              <w:spacing w:line="276" w:lineRule="auto"/>
              <w:jc w:val="left"/>
              <w:rPr>
                <w:rFonts w:cs="Arial"/>
                <w:sz w:val="24"/>
                <w:szCs w:val="24"/>
              </w:rPr>
            </w:pPr>
            <w:r w:rsidRPr="00FF67A9">
              <w:rPr>
                <w:rFonts w:cs="Arial"/>
                <w:sz w:val="24"/>
                <w:szCs w:val="24"/>
              </w:rPr>
              <w:t>2021</w:t>
            </w:r>
          </w:p>
        </w:tc>
        <w:tc>
          <w:tcPr>
            <w:tcW w:w="2977" w:type="dxa"/>
          </w:tcPr>
          <w:p w:rsidR="007534FD" w:rsidRPr="00FF67A9" w:rsidRDefault="007534FD" w:rsidP="00FF67A9">
            <w:pPr>
              <w:spacing w:line="276" w:lineRule="auto"/>
              <w:jc w:val="left"/>
              <w:rPr>
                <w:rFonts w:cs="Arial"/>
                <w:sz w:val="24"/>
                <w:szCs w:val="24"/>
              </w:rPr>
            </w:pPr>
            <w:r w:rsidRPr="00FF67A9">
              <w:rPr>
                <w:rFonts w:eastAsia="Times New Roman" w:cs="Arial"/>
                <w:sz w:val="24"/>
                <w:szCs w:val="24"/>
                <w:lang w:eastAsia="sl-SI"/>
              </w:rPr>
              <w:t>5.1</w:t>
            </w:r>
          </w:p>
        </w:tc>
      </w:tr>
      <w:tr w:rsidR="007534FD" w:rsidRPr="00FF67A9" w:rsidTr="007534FD">
        <w:tc>
          <w:tcPr>
            <w:tcW w:w="2263" w:type="dxa"/>
          </w:tcPr>
          <w:p w:rsidR="007534FD" w:rsidRPr="00FF67A9" w:rsidRDefault="007534FD" w:rsidP="00FF67A9">
            <w:pPr>
              <w:spacing w:line="276" w:lineRule="auto"/>
              <w:jc w:val="left"/>
              <w:rPr>
                <w:rFonts w:cs="Arial"/>
                <w:sz w:val="24"/>
                <w:szCs w:val="24"/>
              </w:rPr>
            </w:pPr>
            <w:r w:rsidRPr="00FF67A9">
              <w:rPr>
                <w:rFonts w:cs="Arial"/>
                <w:sz w:val="24"/>
                <w:szCs w:val="24"/>
              </w:rPr>
              <w:t>2022</w:t>
            </w:r>
          </w:p>
        </w:tc>
        <w:tc>
          <w:tcPr>
            <w:tcW w:w="2977" w:type="dxa"/>
          </w:tcPr>
          <w:p w:rsidR="007534FD" w:rsidRPr="00FF67A9" w:rsidRDefault="007534FD" w:rsidP="00FF67A9">
            <w:pPr>
              <w:spacing w:line="276" w:lineRule="auto"/>
              <w:jc w:val="left"/>
              <w:rPr>
                <w:rFonts w:cs="Arial"/>
                <w:sz w:val="24"/>
                <w:szCs w:val="24"/>
              </w:rPr>
            </w:pPr>
            <w:r w:rsidRPr="00FF67A9">
              <w:rPr>
                <w:rFonts w:eastAsia="Times New Roman" w:cs="Arial"/>
                <w:sz w:val="24"/>
                <w:szCs w:val="24"/>
                <w:lang w:eastAsia="sl-SI"/>
              </w:rPr>
              <w:t>3.8</w:t>
            </w:r>
          </w:p>
        </w:tc>
      </w:tr>
    </w:tbl>
    <w:p w:rsidR="007534FD" w:rsidRPr="00FF67A9" w:rsidRDefault="007534FD" w:rsidP="00FF67A9">
      <w:pPr>
        <w:spacing w:after="0" w:line="276" w:lineRule="auto"/>
        <w:jc w:val="left"/>
        <w:rPr>
          <w:rFonts w:cs="Arial"/>
          <w:sz w:val="24"/>
          <w:szCs w:val="24"/>
        </w:rPr>
      </w:pPr>
    </w:p>
    <w:tbl>
      <w:tblPr>
        <w:tblStyle w:val="Tabelamrea"/>
        <w:tblW w:w="0" w:type="auto"/>
        <w:tblLook w:val="04A0" w:firstRow="1" w:lastRow="0" w:firstColumn="1" w:lastColumn="0" w:noHBand="0" w:noVBand="1"/>
      </w:tblPr>
      <w:tblGrid>
        <w:gridCol w:w="2263"/>
        <w:gridCol w:w="2977"/>
      </w:tblGrid>
      <w:tr w:rsidR="007534FD" w:rsidRPr="00FF67A9" w:rsidTr="007534FD">
        <w:tc>
          <w:tcPr>
            <w:tcW w:w="2263" w:type="dxa"/>
          </w:tcPr>
          <w:p w:rsidR="007534FD" w:rsidRPr="00FF67A9" w:rsidRDefault="007534FD" w:rsidP="00FF67A9">
            <w:pPr>
              <w:spacing w:line="276" w:lineRule="auto"/>
              <w:jc w:val="left"/>
              <w:rPr>
                <w:rFonts w:cs="Arial"/>
                <w:sz w:val="24"/>
                <w:szCs w:val="24"/>
              </w:rPr>
            </w:pPr>
            <w:r w:rsidRPr="00FF67A9">
              <w:rPr>
                <w:rFonts w:cs="Arial"/>
                <w:sz w:val="24"/>
                <w:szCs w:val="24"/>
              </w:rPr>
              <w:t>Leto gospodarske rasti Slovenije</w:t>
            </w:r>
          </w:p>
        </w:tc>
        <w:tc>
          <w:tcPr>
            <w:tcW w:w="2977" w:type="dxa"/>
          </w:tcPr>
          <w:p w:rsidR="007534FD" w:rsidRPr="00FF67A9" w:rsidRDefault="007534FD" w:rsidP="00FF67A9">
            <w:pPr>
              <w:spacing w:line="276" w:lineRule="auto"/>
              <w:jc w:val="left"/>
              <w:rPr>
                <w:rFonts w:cs="Arial"/>
                <w:sz w:val="24"/>
                <w:szCs w:val="24"/>
              </w:rPr>
            </w:pPr>
            <w:r w:rsidRPr="00FF67A9">
              <w:rPr>
                <w:rFonts w:cs="Arial"/>
                <w:sz w:val="24"/>
                <w:szCs w:val="24"/>
              </w:rPr>
              <w:t xml:space="preserve">Napoved Organizacije za gospodarsko sodelovanje in razvoj iz novembra 2020 </w:t>
            </w:r>
          </w:p>
        </w:tc>
      </w:tr>
      <w:tr w:rsidR="007534FD" w:rsidRPr="00FF67A9" w:rsidTr="007534FD">
        <w:tc>
          <w:tcPr>
            <w:tcW w:w="2263" w:type="dxa"/>
          </w:tcPr>
          <w:p w:rsidR="007534FD" w:rsidRPr="00FF67A9" w:rsidRDefault="007534FD" w:rsidP="00FF67A9">
            <w:pPr>
              <w:spacing w:line="276" w:lineRule="auto"/>
              <w:jc w:val="left"/>
              <w:rPr>
                <w:rFonts w:cs="Arial"/>
                <w:sz w:val="24"/>
                <w:szCs w:val="24"/>
              </w:rPr>
            </w:pPr>
            <w:r w:rsidRPr="00FF67A9">
              <w:rPr>
                <w:rFonts w:cs="Arial"/>
                <w:sz w:val="24"/>
                <w:szCs w:val="24"/>
              </w:rPr>
              <w:t>2020</w:t>
            </w:r>
          </w:p>
        </w:tc>
        <w:tc>
          <w:tcPr>
            <w:tcW w:w="2977" w:type="dxa"/>
          </w:tcPr>
          <w:p w:rsidR="007534FD" w:rsidRPr="00FF67A9" w:rsidRDefault="007534FD" w:rsidP="00FF67A9">
            <w:pPr>
              <w:spacing w:line="276" w:lineRule="auto"/>
              <w:jc w:val="left"/>
              <w:rPr>
                <w:rFonts w:cs="Arial"/>
                <w:sz w:val="24"/>
                <w:szCs w:val="24"/>
              </w:rPr>
            </w:pPr>
            <w:r w:rsidRPr="00FF67A9">
              <w:rPr>
                <w:rFonts w:eastAsia="Times New Roman" w:cs="Arial"/>
                <w:sz w:val="24"/>
                <w:szCs w:val="24"/>
                <w:lang w:eastAsia="sl-SI"/>
              </w:rPr>
              <w:t>-7.5</w:t>
            </w:r>
          </w:p>
        </w:tc>
      </w:tr>
      <w:tr w:rsidR="007534FD" w:rsidRPr="00FF67A9" w:rsidTr="007534FD">
        <w:tc>
          <w:tcPr>
            <w:tcW w:w="2263" w:type="dxa"/>
          </w:tcPr>
          <w:p w:rsidR="007534FD" w:rsidRPr="00FF67A9" w:rsidRDefault="007534FD" w:rsidP="00FF67A9">
            <w:pPr>
              <w:spacing w:line="276" w:lineRule="auto"/>
              <w:jc w:val="left"/>
              <w:rPr>
                <w:rFonts w:cs="Arial"/>
                <w:sz w:val="24"/>
                <w:szCs w:val="24"/>
              </w:rPr>
            </w:pPr>
            <w:r w:rsidRPr="00FF67A9">
              <w:rPr>
                <w:rFonts w:cs="Arial"/>
                <w:sz w:val="24"/>
                <w:szCs w:val="24"/>
              </w:rPr>
              <w:t>2021</w:t>
            </w:r>
          </w:p>
        </w:tc>
        <w:tc>
          <w:tcPr>
            <w:tcW w:w="2977" w:type="dxa"/>
          </w:tcPr>
          <w:p w:rsidR="007534FD" w:rsidRPr="00FF67A9" w:rsidRDefault="007534FD" w:rsidP="00FF67A9">
            <w:pPr>
              <w:spacing w:line="276" w:lineRule="auto"/>
              <w:jc w:val="left"/>
              <w:rPr>
                <w:rFonts w:cs="Arial"/>
                <w:sz w:val="24"/>
                <w:szCs w:val="24"/>
              </w:rPr>
            </w:pPr>
            <w:r w:rsidRPr="00FF67A9">
              <w:rPr>
                <w:rFonts w:eastAsia="Times New Roman" w:cs="Arial"/>
                <w:sz w:val="24"/>
                <w:szCs w:val="24"/>
                <w:lang w:eastAsia="sl-SI"/>
              </w:rPr>
              <w:t>3.4</w:t>
            </w:r>
          </w:p>
        </w:tc>
      </w:tr>
      <w:tr w:rsidR="007534FD" w:rsidRPr="00FF67A9" w:rsidTr="007534FD">
        <w:tc>
          <w:tcPr>
            <w:tcW w:w="2263" w:type="dxa"/>
          </w:tcPr>
          <w:p w:rsidR="007534FD" w:rsidRPr="00FF67A9" w:rsidRDefault="007534FD" w:rsidP="00FF67A9">
            <w:pPr>
              <w:spacing w:line="276" w:lineRule="auto"/>
              <w:jc w:val="left"/>
              <w:rPr>
                <w:rFonts w:cs="Arial"/>
                <w:sz w:val="24"/>
                <w:szCs w:val="24"/>
              </w:rPr>
            </w:pPr>
            <w:r w:rsidRPr="00FF67A9">
              <w:rPr>
                <w:rFonts w:cs="Arial"/>
                <w:sz w:val="24"/>
                <w:szCs w:val="24"/>
              </w:rPr>
              <w:t>2022</w:t>
            </w:r>
          </w:p>
        </w:tc>
        <w:tc>
          <w:tcPr>
            <w:tcW w:w="2977" w:type="dxa"/>
          </w:tcPr>
          <w:p w:rsidR="007534FD" w:rsidRPr="00FF67A9" w:rsidRDefault="007534FD" w:rsidP="00FF67A9">
            <w:pPr>
              <w:spacing w:line="276" w:lineRule="auto"/>
              <w:jc w:val="left"/>
              <w:rPr>
                <w:rFonts w:cs="Arial"/>
                <w:sz w:val="24"/>
                <w:szCs w:val="24"/>
              </w:rPr>
            </w:pPr>
            <w:r w:rsidRPr="00FF67A9">
              <w:rPr>
                <w:rFonts w:eastAsia="Times New Roman" w:cs="Arial"/>
                <w:sz w:val="24"/>
                <w:szCs w:val="24"/>
                <w:lang w:eastAsia="sl-SI"/>
              </w:rPr>
              <w:t>3.5</w:t>
            </w:r>
          </w:p>
        </w:tc>
      </w:tr>
    </w:tbl>
    <w:p w:rsidR="007534FD" w:rsidRPr="00FF67A9" w:rsidRDefault="007534FD" w:rsidP="00FF67A9">
      <w:pPr>
        <w:spacing w:after="0" w:line="276" w:lineRule="auto"/>
        <w:jc w:val="left"/>
        <w:rPr>
          <w:rFonts w:cs="Arial"/>
          <w:sz w:val="24"/>
          <w:szCs w:val="24"/>
        </w:rPr>
      </w:pPr>
    </w:p>
    <w:p w:rsidR="007534FD" w:rsidRDefault="007534FD" w:rsidP="00FF67A9">
      <w:pPr>
        <w:spacing w:after="0" w:line="276" w:lineRule="auto"/>
        <w:jc w:val="left"/>
        <w:rPr>
          <w:rFonts w:eastAsia="Times New Roman" w:cs="Arial"/>
          <w:b/>
          <w:bCs/>
          <w:sz w:val="24"/>
          <w:szCs w:val="24"/>
          <w:lang w:eastAsia="sl-SI"/>
        </w:rPr>
      </w:pPr>
      <w:r w:rsidRPr="00FF67A9">
        <w:rPr>
          <w:rFonts w:eastAsia="Times New Roman" w:cs="Arial"/>
          <w:b/>
          <w:bCs/>
          <w:sz w:val="24"/>
          <w:szCs w:val="24"/>
          <w:lang w:eastAsia="sl-SI"/>
        </w:rPr>
        <w:t>Primerjava gospodarske rasti po različnih napovedi</w:t>
      </w:r>
      <w:r w:rsidR="00942261">
        <w:rPr>
          <w:rFonts w:eastAsia="Times New Roman" w:cs="Arial"/>
          <w:b/>
          <w:bCs/>
          <w:sz w:val="24"/>
          <w:szCs w:val="24"/>
          <w:lang w:eastAsia="sl-SI"/>
        </w:rPr>
        <w:t>h</w:t>
      </w:r>
      <w:r w:rsidRPr="00FF67A9">
        <w:rPr>
          <w:rFonts w:eastAsia="Times New Roman" w:cs="Arial"/>
          <w:b/>
          <w:bCs/>
          <w:sz w:val="24"/>
          <w:szCs w:val="24"/>
          <w:lang w:eastAsia="sl-SI"/>
        </w:rPr>
        <w:t xml:space="preserve"> za EU</w:t>
      </w:r>
    </w:p>
    <w:p w:rsidR="00FF67A9" w:rsidRPr="00FF67A9" w:rsidRDefault="00FF67A9" w:rsidP="00FF67A9">
      <w:pPr>
        <w:spacing w:after="0" w:line="276" w:lineRule="auto"/>
        <w:jc w:val="left"/>
        <w:rPr>
          <w:rFonts w:eastAsia="Times New Roman" w:cs="Arial"/>
          <w:b/>
          <w:bCs/>
          <w:sz w:val="24"/>
          <w:szCs w:val="24"/>
          <w:lang w:eastAsia="sl-SI"/>
        </w:rPr>
      </w:pPr>
    </w:p>
    <w:tbl>
      <w:tblPr>
        <w:tblStyle w:val="Tabelamrea"/>
        <w:tblW w:w="0" w:type="auto"/>
        <w:tblLook w:val="04A0" w:firstRow="1" w:lastRow="0" w:firstColumn="1" w:lastColumn="0" w:noHBand="0" w:noVBand="1"/>
      </w:tblPr>
      <w:tblGrid>
        <w:gridCol w:w="2263"/>
        <w:gridCol w:w="2977"/>
      </w:tblGrid>
      <w:tr w:rsidR="007534FD" w:rsidRPr="00FF67A9" w:rsidTr="007534FD">
        <w:tc>
          <w:tcPr>
            <w:tcW w:w="2263" w:type="dxa"/>
          </w:tcPr>
          <w:p w:rsidR="007534FD" w:rsidRPr="00FF67A9" w:rsidRDefault="007534FD" w:rsidP="00FF67A9">
            <w:pPr>
              <w:spacing w:line="276" w:lineRule="auto"/>
              <w:jc w:val="left"/>
              <w:rPr>
                <w:rFonts w:eastAsia="Times New Roman" w:cs="Arial"/>
                <w:b/>
                <w:bCs/>
                <w:sz w:val="24"/>
                <w:szCs w:val="24"/>
                <w:lang w:eastAsia="sl-SI"/>
              </w:rPr>
            </w:pPr>
            <w:r w:rsidRPr="00FF67A9">
              <w:rPr>
                <w:rFonts w:cs="Arial"/>
                <w:sz w:val="24"/>
                <w:szCs w:val="24"/>
              </w:rPr>
              <w:t>Leto gospodarske rasti EU</w:t>
            </w:r>
          </w:p>
        </w:tc>
        <w:tc>
          <w:tcPr>
            <w:tcW w:w="2977" w:type="dxa"/>
          </w:tcPr>
          <w:p w:rsidR="007534FD" w:rsidRPr="00FF67A9" w:rsidRDefault="007534FD" w:rsidP="00FF67A9">
            <w:pPr>
              <w:spacing w:line="276" w:lineRule="auto"/>
              <w:jc w:val="left"/>
              <w:rPr>
                <w:rFonts w:eastAsia="Times New Roman" w:cs="Arial"/>
                <w:sz w:val="24"/>
                <w:szCs w:val="24"/>
                <w:lang w:eastAsia="sl-SI"/>
              </w:rPr>
            </w:pPr>
            <w:r w:rsidRPr="00FF67A9">
              <w:rPr>
                <w:rFonts w:eastAsia="Times New Roman" w:cs="Arial"/>
                <w:sz w:val="24"/>
                <w:szCs w:val="24"/>
                <w:lang w:eastAsia="sl-SI"/>
              </w:rPr>
              <w:t>Napoved Evropske komisije iz novembra 2020</w:t>
            </w:r>
          </w:p>
        </w:tc>
      </w:tr>
      <w:tr w:rsidR="007534FD" w:rsidRPr="00FF67A9" w:rsidTr="007534FD">
        <w:tc>
          <w:tcPr>
            <w:tcW w:w="2263" w:type="dxa"/>
          </w:tcPr>
          <w:p w:rsidR="007534FD" w:rsidRPr="00FF67A9" w:rsidRDefault="007534FD" w:rsidP="00FF67A9">
            <w:pPr>
              <w:spacing w:line="276" w:lineRule="auto"/>
              <w:jc w:val="left"/>
              <w:rPr>
                <w:rFonts w:eastAsia="Times New Roman" w:cs="Arial"/>
                <w:sz w:val="24"/>
                <w:szCs w:val="24"/>
                <w:lang w:eastAsia="sl-SI"/>
              </w:rPr>
            </w:pPr>
            <w:r w:rsidRPr="00FF67A9">
              <w:rPr>
                <w:rFonts w:eastAsia="Times New Roman" w:cs="Arial"/>
                <w:sz w:val="24"/>
                <w:szCs w:val="24"/>
                <w:lang w:eastAsia="sl-SI"/>
              </w:rPr>
              <w:t>2020</w:t>
            </w:r>
          </w:p>
        </w:tc>
        <w:tc>
          <w:tcPr>
            <w:tcW w:w="2977" w:type="dxa"/>
          </w:tcPr>
          <w:p w:rsidR="007534FD" w:rsidRPr="00FF67A9" w:rsidRDefault="007534FD" w:rsidP="00FF67A9">
            <w:pPr>
              <w:spacing w:line="276" w:lineRule="auto"/>
              <w:jc w:val="left"/>
              <w:rPr>
                <w:rFonts w:eastAsia="Times New Roman" w:cs="Arial"/>
                <w:b/>
                <w:bCs/>
                <w:sz w:val="24"/>
                <w:szCs w:val="24"/>
                <w:lang w:eastAsia="sl-SI"/>
              </w:rPr>
            </w:pPr>
            <w:r w:rsidRPr="00FF67A9">
              <w:rPr>
                <w:rFonts w:eastAsia="Times New Roman" w:cs="Arial"/>
                <w:sz w:val="24"/>
                <w:szCs w:val="24"/>
                <w:lang w:eastAsia="sl-SI"/>
              </w:rPr>
              <w:t>-7.4</w:t>
            </w:r>
          </w:p>
        </w:tc>
      </w:tr>
      <w:tr w:rsidR="007534FD" w:rsidRPr="00FF67A9" w:rsidTr="007534FD">
        <w:tc>
          <w:tcPr>
            <w:tcW w:w="2263" w:type="dxa"/>
          </w:tcPr>
          <w:p w:rsidR="007534FD" w:rsidRPr="00FF67A9" w:rsidRDefault="007534FD" w:rsidP="00FF67A9">
            <w:pPr>
              <w:spacing w:line="276" w:lineRule="auto"/>
              <w:jc w:val="left"/>
              <w:rPr>
                <w:rFonts w:eastAsia="Times New Roman" w:cs="Arial"/>
                <w:sz w:val="24"/>
                <w:szCs w:val="24"/>
                <w:lang w:eastAsia="sl-SI"/>
              </w:rPr>
            </w:pPr>
            <w:r w:rsidRPr="00FF67A9">
              <w:rPr>
                <w:rFonts w:eastAsia="Times New Roman" w:cs="Arial"/>
                <w:sz w:val="24"/>
                <w:szCs w:val="24"/>
                <w:lang w:eastAsia="sl-SI"/>
              </w:rPr>
              <w:t>2021</w:t>
            </w:r>
          </w:p>
        </w:tc>
        <w:tc>
          <w:tcPr>
            <w:tcW w:w="2977" w:type="dxa"/>
          </w:tcPr>
          <w:p w:rsidR="007534FD" w:rsidRPr="00FF67A9" w:rsidRDefault="007534FD" w:rsidP="00FF67A9">
            <w:pPr>
              <w:spacing w:line="276" w:lineRule="auto"/>
              <w:jc w:val="left"/>
              <w:rPr>
                <w:rFonts w:eastAsia="Times New Roman" w:cs="Arial"/>
                <w:b/>
                <w:bCs/>
                <w:sz w:val="24"/>
                <w:szCs w:val="24"/>
                <w:lang w:eastAsia="sl-SI"/>
              </w:rPr>
            </w:pPr>
            <w:r w:rsidRPr="00FF67A9">
              <w:rPr>
                <w:rFonts w:eastAsia="Times New Roman" w:cs="Arial"/>
                <w:sz w:val="24"/>
                <w:szCs w:val="24"/>
                <w:lang w:eastAsia="sl-SI"/>
              </w:rPr>
              <w:t>4.1</w:t>
            </w:r>
          </w:p>
        </w:tc>
      </w:tr>
      <w:tr w:rsidR="007534FD" w:rsidRPr="00FF67A9" w:rsidTr="007534FD">
        <w:tc>
          <w:tcPr>
            <w:tcW w:w="2263" w:type="dxa"/>
          </w:tcPr>
          <w:p w:rsidR="007534FD" w:rsidRPr="00FF67A9" w:rsidRDefault="007534FD" w:rsidP="00FF67A9">
            <w:pPr>
              <w:spacing w:line="276" w:lineRule="auto"/>
              <w:jc w:val="left"/>
              <w:rPr>
                <w:rFonts w:eastAsia="Times New Roman" w:cs="Arial"/>
                <w:sz w:val="24"/>
                <w:szCs w:val="24"/>
                <w:lang w:eastAsia="sl-SI"/>
              </w:rPr>
            </w:pPr>
            <w:r w:rsidRPr="00FF67A9">
              <w:rPr>
                <w:rFonts w:eastAsia="Times New Roman" w:cs="Arial"/>
                <w:sz w:val="24"/>
                <w:szCs w:val="24"/>
                <w:lang w:eastAsia="sl-SI"/>
              </w:rPr>
              <w:t>2022</w:t>
            </w:r>
          </w:p>
        </w:tc>
        <w:tc>
          <w:tcPr>
            <w:tcW w:w="2977" w:type="dxa"/>
          </w:tcPr>
          <w:p w:rsidR="007534FD" w:rsidRPr="00FF67A9" w:rsidRDefault="007534FD" w:rsidP="00FF67A9">
            <w:pPr>
              <w:spacing w:line="276" w:lineRule="auto"/>
              <w:jc w:val="left"/>
              <w:rPr>
                <w:rFonts w:eastAsia="Times New Roman" w:cs="Arial"/>
                <w:b/>
                <w:bCs/>
                <w:sz w:val="24"/>
                <w:szCs w:val="24"/>
                <w:lang w:eastAsia="sl-SI"/>
              </w:rPr>
            </w:pPr>
            <w:r w:rsidRPr="00FF67A9">
              <w:rPr>
                <w:rFonts w:eastAsia="Times New Roman" w:cs="Arial"/>
                <w:sz w:val="24"/>
                <w:szCs w:val="24"/>
                <w:lang w:eastAsia="sl-SI"/>
              </w:rPr>
              <w:t>3.0</w:t>
            </w:r>
          </w:p>
        </w:tc>
      </w:tr>
    </w:tbl>
    <w:p w:rsidR="007534FD" w:rsidRPr="00FF67A9" w:rsidRDefault="007534FD" w:rsidP="00FF67A9">
      <w:pPr>
        <w:spacing w:after="0" w:line="276" w:lineRule="auto"/>
        <w:jc w:val="left"/>
        <w:rPr>
          <w:rFonts w:eastAsia="Times New Roman" w:cs="Arial"/>
          <w:b/>
          <w:bCs/>
          <w:sz w:val="24"/>
          <w:szCs w:val="24"/>
          <w:lang w:eastAsia="sl-SI"/>
        </w:rPr>
      </w:pPr>
    </w:p>
    <w:tbl>
      <w:tblPr>
        <w:tblStyle w:val="Tabelamrea"/>
        <w:tblW w:w="0" w:type="auto"/>
        <w:tblLook w:val="04A0" w:firstRow="1" w:lastRow="0" w:firstColumn="1" w:lastColumn="0" w:noHBand="0" w:noVBand="1"/>
      </w:tblPr>
      <w:tblGrid>
        <w:gridCol w:w="2263"/>
        <w:gridCol w:w="2977"/>
      </w:tblGrid>
      <w:tr w:rsidR="007534FD" w:rsidRPr="00FF67A9" w:rsidTr="007534FD">
        <w:tc>
          <w:tcPr>
            <w:tcW w:w="2263" w:type="dxa"/>
          </w:tcPr>
          <w:p w:rsidR="007534FD" w:rsidRPr="00FF67A9" w:rsidRDefault="007534FD" w:rsidP="00FF67A9">
            <w:pPr>
              <w:spacing w:line="276" w:lineRule="auto"/>
              <w:jc w:val="left"/>
              <w:rPr>
                <w:rFonts w:eastAsia="Times New Roman" w:cs="Arial"/>
                <w:b/>
                <w:bCs/>
                <w:sz w:val="24"/>
                <w:szCs w:val="24"/>
                <w:lang w:eastAsia="sl-SI"/>
              </w:rPr>
            </w:pPr>
            <w:r w:rsidRPr="00FF67A9">
              <w:rPr>
                <w:rFonts w:cs="Arial"/>
                <w:sz w:val="24"/>
                <w:szCs w:val="24"/>
              </w:rPr>
              <w:t>Leto gospodarske rasti EU</w:t>
            </w:r>
          </w:p>
        </w:tc>
        <w:tc>
          <w:tcPr>
            <w:tcW w:w="2977" w:type="dxa"/>
          </w:tcPr>
          <w:p w:rsidR="007534FD" w:rsidRPr="00FF67A9" w:rsidRDefault="007534FD" w:rsidP="00FF67A9">
            <w:pPr>
              <w:spacing w:line="276" w:lineRule="auto"/>
              <w:jc w:val="left"/>
              <w:rPr>
                <w:rFonts w:eastAsia="Times New Roman" w:cs="Arial"/>
                <w:b/>
                <w:bCs/>
                <w:sz w:val="24"/>
                <w:szCs w:val="24"/>
                <w:lang w:eastAsia="sl-SI"/>
              </w:rPr>
            </w:pPr>
            <w:r w:rsidRPr="00FF67A9">
              <w:rPr>
                <w:rFonts w:cs="Arial"/>
                <w:sz w:val="24"/>
                <w:szCs w:val="24"/>
              </w:rPr>
              <w:t>Napoved Mednarodnega denarnega sklada iz oktobra 2020</w:t>
            </w:r>
          </w:p>
        </w:tc>
      </w:tr>
      <w:tr w:rsidR="007534FD" w:rsidRPr="00FF67A9" w:rsidTr="007534FD">
        <w:tc>
          <w:tcPr>
            <w:tcW w:w="2263" w:type="dxa"/>
          </w:tcPr>
          <w:p w:rsidR="007534FD" w:rsidRPr="00FF67A9" w:rsidRDefault="007534FD" w:rsidP="00FF67A9">
            <w:pPr>
              <w:spacing w:line="276" w:lineRule="auto"/>
              <w:jc w:val="left"/>
              <w:rPr>
                <w:rFonts w:eastAsia="Times New Roman" w:cs="Arial"/>
                <w:sz w:val="24"/>
                <w:szCs w:val="24"/>
                <w:lang w:eastAsia="sl-SI"/>
              </w:rPr>
            </w:pPr>
            <w:r w:rsidRPr="00FF67A9">
              <w:rPr>
                <w:rFonts w:eastAsia="Times New Roman" w:cs="Arial"/>
                <w:sz w:val="24"/>
                <w:szCs w:val="24"/>
                <w:lang w:eastAsia="sl-SI"/>
              </w:rPr>
              <w:t>2020</w:t>
            </w:r>
          </w:p>
        </w:tc>
        <w:tc>
          <w:tcPr>
            <w:tcW w:w="2977" w:type="dxa"/>
          </w:tcPr>
          <w:p w:rsidR="007534FD" w:rsidRPr="00FF67A9" w:rsidRDefault="007534FD" w:rsidP="00FF67A9">
            <w:pPr>
              <w:spacing w:line="276" w:lineRule="auto"/>
              <w:jc w:val="left"/>
              <w:rPr>
                <w:rFonts w:eastAsia="Times New Roman" w:cs="Arial"/>
                <w:b/>
                <w:bCs/>
                <w:sz w:val="24"/>
                <w:szCs w:val="24"/>
                <w:lang w:eastAsia="sl-SI"/>
              </w:rPr>
            </w:pPr>
            <w:r w:rsidRPr="00FF67A9">
              <w:rPr>
                <w:rFonts w:eastAsia="Times New Roman" w:cs="Arial"/>
                <w:color w:val="000000"/>
                <w:sz w:val="24"/>
                <w:szCs w:val="24"/>
                <w:lang w:eastAsia="sl-SI"/>
              </w:rPr>
              <w:t>-7.6</w:t>
            </w:r>
          </w:p>
        </w:tc>
      </w:tr>
      <w:tr w:rsidR="007534FD" w:rsidRPr="00FF67A9" w:rsidTr="007534FD">
        <w:tc>
          <w:tcPr>
            <w:tcW w:w="2263" w:type="dxa"/>
          </w:tcPr>
          <w:p w:rsidR="007534FD" w:rsidRPr="00FF67A9" w:rsidRDefault="007534FD" w:rsidP="00FF67A9">
            <w:pPr>
              <w:spacing w:line="276" w:lineRule="auto"/>
              <w:jc w:val="left"/>
              <w:rPr>
                <w:rFonts w:eastAsia="Times New Roman" w:cs="Arial"/>
                <w:sz w:val="24"/>
                <w:szCs w:val="24"/>
                <w:lang w:eastAsia="sl-SI"/>
              </w:rPr>
            </w:pPr>
            <w:r w:rsidRPr="00FF67A9">
              <w:rPr>
                <w:rFonts w:eastAsia="Times New Roman" w:cs="Arial"/>
                <w:sz w:val="24"/>
                <w:szCs w:val="24"/>
                <w:lang w:eastAsia="sl-SI"/>
              </w:rPr>
              <w:t>2021</w:t>
            </w:r>
          </w:p>
        </w:tc>
        <w:tc>
          <w:tcPr>
            <w:tcW w:w="2977" w:type="dxa"/>
          </w:tcPr>
          <w:p w:rsidR="007534FD" w:rsidRPr="00FF67A9" w:rsidRDefault="007534FD" w:rsidP="00FF67A9">
            <w:pPr>
              <w:spacing w:line="276" w:lineRule="auto"/>
              <w:jc w:val="left"/>
              <w:rPr>
                <w:rFonts w:eastAsia="Times New Roman" w:cs="Arial"/>
                <w:b/>
                <w:bCs/>
                <w:sz w:val="24"/>
                <w:szCs w:val="24"/>
                <w:lang w:eastAsia="sl-SI"/>
              </w:rPr>
            </w:pPr>
            <w:r w:rsidRPr="00FF67A9">
              <w:rPr>
                <w:rFonts w:eastAsia="Times New Roman" w:cs="Arial"/>
                <w:color w:val="000000"/>
                <w:sz w:val="24"/>
                <w:szCs w:val="24"/>
                <w:lang w:eastAsia="sl-SI"/>
              </w:rPr>
              <w:t>5.0</w:t>
            </w:r>
          </w:p>
        </w:tc>
      </w:tr>
      <w:tr w:rsidR="007534FD" w:rsidRPr="00FF67A9" w:rsidTr="007534FD">
        <w:tc>
          <w:tcPr>
            <w:tcW w:w="2263" w:type="dxa"/>
          </w:tcPr>
          <w:p w:rsidR="007534FD" w:rsidRPr="00FF67A9" w:rsidRDefault="007534FD" w:rsidP="00FF67A9">
            <w:pPr>
              <w:spacing w:line="276" w:lineRule="auto"/>
              <w:jc w:val="left"/>
              <w:rPr>
                <w:rFonts w:eastAsia="Times New Roman" w:cs="Arial"/>
                <w:sz w:val="24"/>
                <w:szCs w:val="24"/>
                <w:lang w:eastAsia="sl-SI"/>
              </w:rPr>
            </w:pPr>
            <w:r w:rsidRPr="00FF67A9">
              <w:rPr>
                <w:rFonts w:eastAsia="Times New Roman" w:cs="Arial"/>
                <w:sz w:val="24"/>
                <w:szCs w:val="24"/>
                <w:lang w:eastAsia="sl-SI"/>
              </w:rPr>
              <w:t>2022</w:t>
            </w:r>
          </w:p>
        </w:tc>
        <w:tc>
          <w:tcPr>
            <w:tcW w:w="2977" w:type="dxa"/>
          </w:tcPr>
          <w:p w:rsidR="007534FD" w:rsidRPr="00FF67A9" w:rsidRDefault="007534FD" w:rsidP="00FF67A9">
            <w:pPr>
              <w:spacing w:line="276" w:lineRule="auto"/>
              <w:jc w:val="left"/>
              <w:rPr>
                <w:rFonts w:eastAsia="Times New Roman" w:cs="Arial"/>
                <w:b/>
                <w:bCs/>
                <w:sz w:val="24"/>
                <w:szCs w:val="24"/>
                <w:lang w:eastAsia="sl-SI"/>
              </w:rPr>
            </w:pPr>
            <w:r w:rsidRPr="00FF67A9">
              <w:rPr>
                <w:rFonts w:eastAsia="Times New Roman" w:cs="Arial"/>
                <w:color w:val="000000"/>
                <w:sz w:val="24"/>
                <w:szCs w:val="24"/>
                <w:lang w:eastAsia="sl-SI"/>
              </w:rPr>
              <w:t>3.3</w:t>
            </w:r>
          </w:p>
        </w:tc>
      </w:tr>
    </w:tbl>
    <w:p w:rsidR="007534FD" w:rsidRPr="00FF67A9" w:rsidRDefault="007534FD" w:rsidP="00FF67A9">
      <w:pPr>
        <w:spacing w:after="0" w:line="276" w:lineRule="auto"/>
        <w:jc w:val="left"/>
        <w:rPr>
          <w:rFonts w:eastAsia="Times New Roman" w:cs="Arial"/>
          <w:b/>
          <w:bCs/>
          <w:sz w:val="24"/>
          <w:szCs w:val="24"/>
          <w:lang w:eastAsia="sl-SI"/>
        </w:rPr>
      </w:pPr>
    </w:p>
    <w:p w:rsidR="007534FD" w:rsidRDefault="007534FD" w:rsidP="00FF67A9">
      <w:pPr>
        <w:spacing w:after="0" w:line="276" w:lineRule="auto"/>
        <w:jc w:val="left"/>
        <w:rPr>
          <w:rFonts w:eastAsia="Times New Roman" w:cs="Arial"/>
          <w:b/>
          <w:bCs/>
          <w:sz w:val="24"/>
          <w:szCs w:val="24"/>
          <w:lang w:eastAsia="sl-SI"/>
        </w:rPr>
      </w:pPr>
      <w:r w:rsidRPr="00FF67A9">
        <w:rPr>
          <w:rFonts w:eastAsia="Times New Roman" w:cs="Arial"/>
          <w:b/>
          <w:bCs/>
          <w:sz w:val="24"/>
          <w:szCs w:val="24"/>
          <w:lang w:eastAsia="sl-SI"/>
        </w:rPr>
        <w:t>Primerjava gospodarske rasti po različnih napovedi</w:t>
      </w:r>
      <w:r w:rsidR="00942261">
        <w:rPr>
          <w:rFonts w:eastAsia="Times New Roman" w:cs="Arial"/>
          <w:b/>
          <w:bCs/>
          <w:sz w:val="24"/>
          <w:szCs w:val="24"/>
          <w:lang w:eastAsia="sl-SI"/>
        </w:rPr>
        <w:t>h</w:t>
      </w:r>
      <w:r w:rsidRPr="00FF67A9">
        <w:rPr>
          <w:rFonts w:eastAsia="Times New Roman" w:cs="Arial"/>
          <w:b/>
          <w:bCs/>
          <w:sz w:val="24"/>
          <w:szCs w:val="24"/>
          <w:lang w:eastAsia="sl-SI"/>
        </w:rPr>
        <w:t xml:space="preserve"> za območje evra</w:t>
      </w:r>
    </w:p>
    <w:p w:rsidR="00FF67A9" w:rsidRPr="00FF67A9" w:rsidRDefault="00FF67A9" w:rsidP="00FF67A9">
      <w:pPr>
        <w:spacing w:after="0" w:line="276" w:lineRule="auto"/>
        <w:jc w:val="left"/>
        <w:rPr>
          <w:rFonts w:eastAsia="Times New Roman" w:cs="Arial"/>
          <w:b/>
          <w:bCs/>
          <w:sz w:val="24"/>
          <w:szCs w:val="24"/>
          <w:lang w:eastAsia="sl-SI"/>
        </w:rPr>
      </w:pPr>
    </w:p>
    <w:tbl>
      <w:tblPr>
        <w:tblStyle w:val="Tabelamrea"/>
        <w:tblW w:w="0" w:type="auto"/>
        <w:tblLook w:val="04A0" w:firstRow="1" w:lastRow="0" w:firstColumn="1" w:lastColumn="0" w:noHBand="0" w:noVBand="1"/>
      </w:tblPr>
      <w:tblGrid>
        <w:gridCol w:w="2263"/>
        <w:gridCol w:w="2977"/>
      </w:tblGrid>
      <w:tr w:rsidR="007534FD" w:rsidRPr="00FF67A9" w:rsidTr="00FC0D7F">
        <w:tc>
          <w:tcPr>
            <w:tcW w:w="2263" w:type="dxa"/>
          </w:tcPr>
          <w:p w:rsidR="007534FD" w:rsidRPr="00FF67A9" w:rsidRDefault="00FC0D7F" w:rsidP="00FF67A9">
            <w:pPr>
              <w:spacing w:line="276" w:lineRule="auto"/>
              <w:jc w:val="left"/>
              <w:rPr>
                <w:rFonts w:cs="Arial"/>
                <w:sz w:val="24"/>
                <w:szCs w:val="24"/>
              </w:rPr>
            </w:pPr>
            <w:r w:rsidRPr="00FF67A9">
              <w:rPr>
                <w:rFonts w:cs="Arial"/>
                <w:sz w:val="24"/>
                <w:szCs w:val="24"/>
              </w:rPr>
              <w:t>Leto gospodarske rasti območja evra</w:t>
            </w:r>
          </w:p>
        </w:tc>
        <w:tc>
          <w:tcPr>
            <w:tcW w:w="2977" w:type="dxa"/>
          </w:tcPr>
          <w:p w:rsidR="007534FD" w:rsidRPr="00FF67A9" w:rsidRDefault="00FC0D7F" w:rsidP="00FF67A9">
            <w:pPr>
              <w:spacing w:line="276" w:lineRule="auto"/>
              <w:jc w:val="left"/>
              <w:rPr>
                <w:rFonts w:cs="Arial"/>
                <w:sz w:val="24"/>
                <w:szCs w:val="24"/>
              </w:rPr>
            </w:pPr>
            <w:r w:rsidRPr="00FF67A9">
              <w:rPr>
                <w:rFonts w:cs="Arial"/>
                <w:sz w:val="24"/>
                <w:szCs w:val="24"/>
              </w:rPr>
              <w:t>Napoved Organizacije za gospodarsko sodelovanje in razvoj iz novembra 2020</w:t>
            </w:r>
          </w:p>
        </w:tc>
      </w:tr>
      <w:tr w:rsidR="007534FD" w:rsidRPr="00FF67A9" w:rsidTr="00FC0D7F">
        <w:tc>
          <w:tcPr>
            <w:tcW w:w="2263" w:type="dxa"/>
          </w:tcPr>
          <w:p w:rsidR="007534FD" w:rsidRPr="00FF67A9" w:rsidRDefault="00FC0D7F" w:rsidP="00FF67A9">
            <w:pPr>
              <w:spacing w:line="276" w:lineRule="auto"/>
              <w:jc w:val="left"/>
              <w:rPr>
                <w:rFonts w:cs="Arial"/>
                <w:sz w:val="24"/>
                <w:szCs w:val="24"/>
              </w:rPr>
            </w:pPr>
            <w:r w:rsidRPr="00FF67A9">
              <w:rPr>
                <w:rFonts w:cs="Arial"/>
                <w:sz w:val="24"/>
                <w:szCs w:val="24"/>
              </w:rPr>
              <w:t>2020</w:t>
            </w:r>
          </w:p>
        </w:tc>
        <w:tc>
          <w:tcPr>
            <w:tcW w:w="2977" w:type="dxa"/>
          </w:tcPr>
          <w:p w:rsidR="007534FD" w:rsidRPr="00FF67A9" w:rsidRDefault="00FC0D7F" w:rsidP="00FF67A9">
            <w:pPr>
              <w:spacing w:line="276" w:lineRule="auto"/>
              <w:jc w:val="left"/>
              <w:rPr>
                <w:rFonts w:cs="Arial"/>
                <w:sz w:val="24"/>
                <w:szCs w:val="24"/>
              </w:rPr>
            </w:pPr>
            <w:r w:rsidRPr="00FF67A9">
              <w:rPr>
                <w:rFonts w:eastAsia="Times New Roman" w:cs="Arial"/>
                <w:sz w:val="24"/>
                <w:szCs w:val="24"/>
                <w:lang w:eastAsia="sl-SI"/>
              </w:rPr>
              <w:t>-7.5</w:t>
            </w:r>
          </w:p>
        </w:tc>
      </w:tr>
      <w:tr w:rsidR="007534FD" w:rsidRPr="00FF67A9" w:rsidTr="00FC0D7F">
        <w:tc>
          <w:tcPr>
            <w:tcW w:w="2263" w:type="dxa"/>
          </w:tcPr>
          <w:p w:rsidR="007534FD" w:rsidRPr="00FF67A9" w:rsidRDefault="00FC0D7F" w:rsidP="00FF67A9">
            <w:pPr>
              <w:spacing w:line="276" w:lineRule="auto"/>
              <w:jc w:val="left"/>
              <w:rPr>
                <w:rFonts w:cs="Arial"/>
                <w:sz w:val="24"/>
                <w:szCs w:val="24"/>
              </w:rPr>
            </w:pPr>
            <w:r w:rsidRPr="00FF67A9">
              <w:rPr>
                <w:rFonts w:eastAsia="Times New Roman" w:cs="Arial"/>
                <w:sz w:val="24"/>
                <w:szCs w:val="24"/>
                <w:lang w:eastAsia="sl-SI"/>
              </w:rPr>
              <w:t>2021</w:t>
            </w:r>
          </w:p>
        </w:tc>
        <w:tc>
          <w:tcPr>
            <w:tcW w:w="2977" w:type="dxa"/>
          </w:tcPr>
          <w:p w:rsidR="007534FD" w:rsidRPr="00FF67A9" w:rsidRDefault="00FC0D7F" w:rsidP="00FF67A9">
            <w:pPr>
              <w:spacing w:line="276" w:lineRule="auto"/>
              <w:jc w:val="left"/>
              <w:rPr>
                <w:rFonts w:cs="Arial"/>
                <w:sz w:val="24"/>
                <w:szCs w:val="24"/>
              </w:rPr>
            </w:pPr>
            <w:r w:rsidRPr="00FF67A9">
              <w:rPr>
                <w:rFonts w:eastAsia="Times New Roman" w:cs="Arial"/>
                <w:sz w:val="24"/>
                <w:szCs w:val="24"/>
                <w:lang w:eastAsia="sl-SI"/>
              </w:rPr>
              <w:t>3.6</w:t>
            </w:r>
          </w:p>
        </w:tc>
      </w:tr>
      <w:tr w:rsidR="007534FD" w:rsidRPr="00FF67A9" w:rsidTr="00FC0D7F">
        <w:tc>
          <w:tcPr>
            <w:tcW w:w="2263" w:type="dxa"/>
          </w:tcPr>
          <w:p w:rsidR="007534FD" w:rsidRPr="00FF67A9" w:rsidRDefault="00FC0D7F" w:rsidP="00FF67A9">
            <w:pPr>
              <w:spacing w:line="276" w:lineRule="auto"/>
              <w:jc w:val="left"/>
              <w:rPr>
                <w:rFonts w:cs="Arial"/>
                <w:sz w:val="24"/>
                <w:szCs w:val="24"/>
              </w:rPr>
            </w:pPr>
            <w:r w:rsidRPr="00FF67A9">
              <w:rPr>
                <w:rFonts w:eastAsia="Times New Roman" w:cs="Arial"/>
                <w:sz w:val="24"/>
                <w:szCs w:val="24"/>
                <w:lang w:eastAsia="sl-SI"/>
              </w:rPr>
              <w:t>2022</w:t>
            </w:r>
          </w:p>
        </w:tc>
        <w:tc>
          <w:tcPr>
            <w:tcW w:w="2977" w:type="dxa"/>
          </w:tcPr>
          <w:p w:rsidR="007534FD" w:rsidRPr="00FF67A9" w:rsidRDefault="00FC0D7F" w:rsidP="00FF67A9">
            <w:pPr>
              <w:spacing w:line="276" w:lineRule="auto"/>
              <w:jc w:val="left"/>
              <w:rPr>
                <w:rFonts w:cs="Arial"/>
                <w:sz w:val="24"/>
                <w:szCs w:val="24"/>
              </w:rPr>
            </w:pPr>
            <w:r w:rsidRPr="00FF67A9">
              <w:rPr>
                <w:rFonts w:eastAsia="Times New Roman" w:cs="Arial"/>
                <w:sz w:val="24"/>
                <w:szCs w:val="24"/>
                <w:lang w:eastAsia="sl-SI"/>
              </w:rPr>
              <w:t>3.3</w:t>
            </w:r>
          </w:p>
        </w:tc>
      </w:tr>
    </w:tbl>
    <w:p w:rsidR="007534FD" w:rsidRPr="00FF67A9" w:rsidRDefault="007534FD" w:rsidP="00FF67A9">
      <w:pPr>
        <w:spacing w:after="0" w:line="276" w:lineRule="auto"/>
        <w:jc w:val="left"/>
        <w:rPr>
          <w:rFonts w:cs="Arial"/>
          <w:sz w:val="24"/>
          <w:szCs w:val="24"/>
        </w:rPr>
      </w:pPr>
    </w:p>
    <w:tbl>
      <w:tblPr>
        <w:tblStyle w:val="Tabelamrea"/>
        <w:tblW w:w="0" w:type="auto"/>
        <w:tblLook w:val="04A0" w:firstRow="1" w:lastRow="0" w:firstColumn="1" w:lastColumn="0" w:noHBand="0" w:noVBand="1"/>
      </w:tblPr>
      <w:tblGrid>
        <w:gridCol w:w="2263"/>
        <w:gridCol w:w="2977"/>
      </w:tblGrid>
      <w:tr w:rsidR="007534FD" w:rsidRPr="00FF67A9" w:rsidTr="00FC0D7F">
        <w:tc>
          <w:tcPr>
            <w:tcW w:w="2263" w:type="dxa"/>
          </w:tcPr>
          <w:p w:rsidR="007534FD" w:rsidRPr="00FF67A9" w:rsidRDefault="00FC0D7F" w:rsidP="00FF67A9">
            <w:pPr>
              <w:spacing w:line="276" w:lineRule="auto"/>
              <w:jc w:val="left"/>
              <w:rPr>
                <w:rFonts w:cs="Arial"/>
                <w:sz w:val="24"/>
                <w:szCs w:val="24"/>
              </w:rPr>
            </w:pPr>
            <w:r w:rsidRPr="00FF67A9">
              <w:rPr>
                <w:rFonts w:cs="Arial"/>
                <w:sz w:val="24"/>
                <w:szCs w:val="24"/>
              </w:rPr>
              <w:lastRenderedPageBreak/>
              <w:t>Leto gospodarske rasti območja evra</w:t>
            </w:r>
          </w:p>
        </w:tc>
        <w:tc>
          <w:tcPr>
            <w:tcW w:w="2977" w:type="dxa"/>
          </w:tcPr>
          <w:p w:rsidR="007534FD" w:rsidRPr="00FF67A9" w:rsidRDefault="00FC0D7F" w:rsidP="00FF67A9">
            <w:pPr>
              <w:spacing w:line="276" w:lineRule="auto"/>
              <w:jc w:val="left"/>
              <w:rPr>
                <w:rFonts w:cs="Arial"/>
                <w:sz w:val="24"/>
                <w:szCs w:val="24"/>
              </w:rPr>
            </w:pPr>
            <w:r w:rsidRPr="00FF67A9">
              <w:rPr>
                <w:rFonts w:cs="Arial"/>
                <w:sz w:val="24"/>
                <w:szCs w:val="24"/>
              </w:rPr>
              <w:t>Napoved Evropske centralne banke iz decembra 2020</w:t>
            </w:r>
          </w:p>
        </w:tc>
      </w:tr>
      <w:tr w:rsidR="007534FD" w:rsidRPr="00FF67A9" w:rsidTr="00FC0D7F">
        <w:tc>
          <w:tcPr>
            <w:tcW w:w="2263" w:type="dxa"/>
          </w:tcPr>
          <w:p w:rsidR="007534FD" w:rsidRPr="00FF67A9" w:rsidRDefault="00FC0D7F" w:rsidP="00FF67A9">
            <w:pPr>
              <w:spacing w:line="276" w:lineRule="auto"/>
              <w:jc w:val="left"/>
              <w:rPr>
                <w:rFonts w:cs="Arial"/>
                <w:sz w:val="24"/>
                <w:szCs w:val="24"/>
              </w:rPr>
            </w:pPr>
            <w:r w:rsidRPr="00FF67A9">
              <w:rPr>
                <w:rFonts w:cs="Arial"/>
                <w:sz w:val="24"/>
                <w:szCs w:val="24"/>
              </w:rPr>
              <w:t>2020</w:t>
            </w:r>
          </w:p>
        </w:tc>
        <w:tc>
          <w:tcPr>
            <w:tcW w:w="2977" w:type="dxa"/>
          </w:tcPr>
          <w:p w:rsidR="007534FD" w:rsidRPr="00FF67A9" w:rsidRDefault="00FC0D7F" w:rsidP="00FF67A9">
            <w:pPr>
              <w:spacing w:line="276" w:lineRule="auto"/>
              <w:jc w:val="left"/>
              <w:rPr>
                <w:rFonts w:cs="Arial"/>
                <w:sz w:val="24"/>
                <w:szCs w:val="24"/>
              </w:rPr>
            </w:pPr>
            <w:r w:rsidRPr="00FF67A9">
              <w:rPr>
                <w:rFonts w:eastAsia="Times New Roman" w:cs="Arial"/>
                <w:sz w:val="24"/>
                <w:szCs w:val="24"/>
                <w:lang w:eastAsia="sl-SI"/>
              </w:rPr>
              <w:t>-7.3</w:t>
            </w:r>
          </w:p>
        </w:tc>
      </w:tr>
      <w:tr w:rsidR="007534FD" w:rsidRPr="00FF67A9" w:rsidTr="00FC0D7F">
        <w:tc>
          <w:tcPr>
            <w:tcW w:w="2263" w:type="dxa"/>
          </w:tcPr>
          <w:p w:rsidR="007534FD" w:rsidRPr="00FF67A9" w:rsidRDefault="00FC0D7F" w:rsidP="00FF67A9">
            <w:pPr>
              <w:spacing w:line="276" w:lineRule="auto"/>
              <w:jc w:val="left"/>
              <w:rPr>
                <w:rFonts w:cs="Arial"/>
                <w:sz w:val="24"/>
                <w:szCs w:val="24"/>
              </w:rPr>
            </w:pPr>
            <w:r w:rsidRPr="00FF67A9">
              <w:rPr>
                <w:rFonts w:eastAsia="Times New Roman" w:cs="Arial"/>
                <w:sz w:val="24"/>
                <w:szCs w:val="24"/>
                <w:lang w:eastAsia="sl-SI"/>
              </w:rPr>
              <w:t>2021</w:t>
            </w:r>
          </w:p>
        </w:tc>
        <w:tc>
          <w:tcPr>
            <w:tcW w:w="2977" w:type="dxa"/>
          </w:tcPr>
          <w:p w:rsidR="007534FD" w:rsidRPr="00FF67A9" w:rsidRDefault="00FC0D7F" w:rsidP="00FF67A9">
            <w:pPr>
              <w:spacing w:line="276" w:lineRule="auto"/>
              <w:jc w:val="left"/>
              <w:rPr>
                <w:rFonts w:cs="Arial"/>
                <w:sz w:val="24"/>
                <w:szCs w:val="24"/>
              </w:rPr>
            </w:pPr>
            <w:r w:rsidRPr="00FF67A9">
              <w:rPr>
                <w:rFonts w:eastAsia="Times New Roman" w:cs="Arial"/>
                <w:sz w:val="24"/>
                <w:szCs w:val="24"/>
                <w:lang w:eastAsia="sl-SI"/>
              </w:rPr>
              <w:t>3.9</w:t>
            </w:r>
          </w:p>
        </w:tc>
      </w:tr>
      <w:tr w:rsidR="007534FD" w:rsidRPr="00FF67A9" w:rsidTr="00FC0D7F">
        <w:tc>
          <w:tcPr>
            <w:tcW w:w="2263" w:type="dxa"/>
          </w:tcPr>
          <w:p w:rsidR="007534FD" w:rsidRPr="00FF67A9" w:rsidRDefault="00FC0D7F" w:rsidP="00FF67A9">
            <w:pPr>
              <w:spacing w:line="276" w:lineRule="auto"/>
              <w:jc w:val="left"/>
              <w:rPr>
                <w:rFonts w:cs="Arial"/>
                <w:sz w:val="24"/>
                <w:szCs w:val="24"/>
              </w:rPr>
            </w:pPr>
            <w:r w:rsidRPr="00FF67A9">
              <w:rPr>
                <w:rFonts w:eastAsia="Times New Roman" w:cs="Arial"/>
                <w:sz w:val="24"/>
                <w:szCs w:val="24"/>
                <w:lang w:eastAsia="sl-SI"/>
              </w:rPr>
              <w:t>2022</w:t>
            </w:r>
          </w:p>
        </w:tc>
        <w:tc>
          <w:tcPr>
            <w:tcW w:w="2977" w:type="dxa"/>
          </w:tcPr>
          <w:p w:rsidR="007534FD" w:rsidRPr="00FF67A9" w:rsidRDefault="00FC0D7F" w:rsidP="00FF67A9">
            <w:pPr>
              <w:spacing w:line="276" w:lineRule="auto"/>
              <w:jc w:val="left"/>
              <w:rPr>
                <w:rFonts w:cs="Arial"/>
                <w:sz w:val="24"/>
                <w:szCs w:val="24"/>
              </w:rPr>
            </w:pPr>
            <w:r w:rsidRPr="00FF67A9">
              <w:rPr>
                <w:rFonts w:eastAsia="Times New Roman" w:cs="Arial"/>
                <w:sz w:val="24"/>
                <w:szCs w:val="24"/>
                <w:lang w:eastAsia="sl-SI"/>
              </w:rPr>
              <w:t>4.2</w:t>
            </w:r>
          </w:p>
        </w:tc>
      </w:tr>
    </w:tbl>
    <w:p w:rsidR="007534FD" w:rsidRPr="00FF67A9" w:rsidRDefault="007534FD" w:rsidP="00FF67A9">
      <w:pPr>
        <w:spacing w:after="0" w:line="276" w:lineRule="auto"/>
        <w:jc w:val="left"/>
        <w:rPr>
          <w:rFonts w:cs="Arial"/>
          <w:sz w:val="24"/>
          <w:szCs w:val="24"/>
        </w:rPr>
      </w:pPr>
    </w:p>
    <w:tbl>
      <w:tblPr>
        <w:tblStyle w:val="Tabelamrea"/>
        <w:tblW w:w="0" w:type="auto"/>
        <w:tblLook w:val="04A0" w:firstRow="1" w:lastRow="0" w:firstColumn="1" w:lastColumn="0" w:noHBand="0" w:noVBand="1"/>
      </w:tblPr>
      <w:tblGrid>
        <w:gridCol w:w="2263"/>
        <w:gridCol w:w="2977"/>
      </w:tblGrid>
      <w:tr w:rsidR="007534FD" w:rsidRPr="00FF67A9" w:rsidTr="00FC0D7F">
        <w:tc>
          <w:tcPr>
            <w:tcW w:w="2263" w:type="dxa"/>
          </w:tcPr>
          <w:p w:rsidR="007534FD" w:rsidRPr="00FF67A9" w:rsidRDefault="00FC0D7F" w:rsidP="00FF67A9">
            <w:pPr>
              <w:spacing w:line="276" w:lineRule="auto"/>
              <w:jc w:val="left"/>
              <w:rPr>
                <w:rFonts w:cs="Arial"/>
                <w:sz w:val="24"/>
                <w:szCs w:val="24"/>
              </w:rPr>
            </w:pPr>
            <w:r w:rsidRPr="00FF67A9">
              <w:rPr>
                <w:rFonts w:cs="Arial"/>
                <w:sz w:val="24"/>
                <w:szCs w:val="24"/>
              </w:rPr>
              <w:t>Leto gospodarske rasti območja evra</w:t>
            </w:r>
          </w:p>
        </w:tc>
        <w:tc>
          <w:tcPr>
            <w:tcW w:w="2977" w:type="dxa"/>
          </w:tcPr>
          <w:p w:rsidR="007534FD" w:rsidRPr="00FF67A9" w:rsidRDefault="00FC0D7F" w:rsidP="00FF67A9">
            <w:pPr>
              <w:spacing w:line="276" w:lineRule="auto"/>
              <w:jc w:val="left"/>
              <w:rPr>
                <w:rFonts w:cs="Arial"/>
                <w:sz w:val="24"/>
                <w:szCs w:val="24"/>
              </w:rPr>
            </w:pPr>
            <w:r w:rsidRPr="00FF67A9">
              <w:rPr>
                <w:rFonts w:eastAsia="Times New Roman" w:cs="Arial"/>
                <w:sz w:val="24"/>
                <w:szCs w:val="24"/>
                <w:lang w:eastAsia="sl-SI"/>
              </w:rPr>
              <w:t>Napoved Evropske komisije iz novembra 2020</w:t>
            </w:r>
          </w:p>
        </w:tc>
      </w:tr>
      <w:tr w:rsidR="007534FD" w:rsidRPr="00FF67A9" w:rsidTr="00FC0D7F">
        <w:tc>
          <w:tcPr>
            <w:tcW w:w="2263" w:type="dxa"/>
          </w:tcPr>
          <w:p w:rsidR="007534FD" w:rsidRPr="00FF67A9" w:rsidRDefault="00FC0D7F" w:rsidP="00FF67A9">
            <w:pPr>
              <w:spacing w:line="276" w:lineRule="auto"/>
              <w:jc w:val="left"/>
              <w:rPr>
                <w:rFonts w:cs="Arial"/>
                <w:sz w:val="24"/>
                <w:szCs w:val="24"/>
              </w:rPr>
            </w:pPr>
            <w:r w:rsidRPr="00FF67A9">
              <w:rPr>
                <w:rFonts w:cs="Arial"/>
                <w:sz w:val="24"/>
                <w:szCs w:val="24"/>
              </w:rPr>
              <w:t>2020</w:t>
            </w:r>
          </w:p>
        </w:tc>
        <w:tc>
          <w:tcPr>
            <w:tcW w:w="2977" w:type="dxa"/>
          </w:tcPr>
          <w:p w:rsidR="007534FD" w:rsidRPr="00FF67A9" w:rsidRDefault="00FC0D7F" w:rsidP="00FF67A9">
            <w:pPr>
              <w:spacing w:line="276" w:lineRule="auto"/>
              <w:jc w:val="left"/>
              <w:rPr>
                <w:rFonts w:cs="Arial"/>
                <w:sz w:val="24"/>
                <w:szCs w:val="24"/>
              </w:rPr>
            </w:pPr>
            <w:r w:rsidRPr="00FF67A9">
              <w:rPr>
                <w:rFonts w:eastAsia="Times New Roman" w:cs="Arial"/>
                <w:sz w:val="24"/>
                <w:szCs w:val="24"/>
                <w:lang w:eastAsia="sl-SI"/>
              </w:rPr>
              <w:t>-7.8</w:t>
            </w:r>
          </w:p>
        </w:tc>
      </w:tr>
      <w:tr w:rsidR="007534FD" w:rsidRPr="00FF67A9" w:rsidTr="00FC0D7F">
        <w:tc>
          <w:tcPr>
            <w:tcW w:w="2263" w:type="dxa"/>
          </w:tcPr>
          <w:p w:rsidR="007534FD" w:rsidRPr="00FF67A9" w:rsidRDefault="00FC0D7F" w:rsidP="00FF67A9">
            <w:pPr>
              <w:spacing w:line="276" w:lineRule="auto"/>
              <w:jc w:val="left"/>
              <w:rPr>
                <w:rFonts w:cs="Arial"/>
                <w:sz w:val="24"/>
                <w:szCs w:val="24"/>
              </w:rPr>
            </w:pPr>
            <w:r w:rsidRPr="00FF67A9">
              <w:rPr>
                <w:rFonts w:eastAsia="Times New Roman" w:cs="Arial"/>
                <w:sz w:val="24"/>
                <w:szCs w:val="24"/>
                <w:lang w:eastAsia="sl-SI"/>
              </w:rPr>
              <w:t>2021</w:t>
            </w:r>
          </w:p>
        </w:tc>
        <w:tc>
          <w:tcPr>
            <w:tcW w:w="2977" w:type="dxa"/>
          </w:tcPr>
          <w:p w:rsidR="007534FD" w:rsidRPr="00FF67A9" w:rsidRDefault="00FC0D7F" w:rsidP="00FF67A9">
            <w:pPr>
              <w:spacing w:line="276" w:lineRule="auto"/>
              <w:jc w:val="left"/>
              <w:rPr>
                <w:rFonts w:cs="Arial"/>
                <w:sz w:val="24"/>
                <w:szCs w:val="24"/>
              </w:rPr>
            </w:pPr>
            <w:r w:rsidRPr="00FF67A9">
              <w:rPr>
                <w:rFonts w:eastAsia="Times New Roman" w:cs="Arial"/>
                <w:sz w:val="24"/>
                <w:szCs w:val="24"/>
                <w:lang w:eastAsia="sl-SI"/>
              </w:rPr>
              <w:t>4.2</w:t>
            </w:r>
          </w:p>
        </w:tc>
      </w:tr>
      <w:tr w:rsidR="007534FD" w:rsidRPr="00FF67A9" w:rsidTr="00FC0D7F">
        <w:tc>
          <w:tcPr>
            <w:tcW w:w="2263" w:type="dxa"/>
          </w:tcPr>
          <w:p w:rsidR="007534FD" w:rsidRPr="00FF67A9" w:rsidRDefault="00FC0D7F" w:rsidP="00FF67A9">
            <w:pPr>
              <w:spacing w:line="276" w:lineRule="auto"/>
              <w:jc w:val="left"/>
              <w:rPr>
                <w:rFonts w:cs="Arial"/>
                <w:sz w:val="24"/>
                <w:szCs w:val="24"/>
              </w:rPr>
            </w:pPr>
            <w:r w:rsidRPr="00FF67A9">
              <w:rPr>
                <w:rFonts w:eastAsia="Times New Roman" w:cs="Arial"/>
                <w:sz w:val="24"/>
                <w:szCs w:val="24"/>
                <w:lang w:eastAsia="sl-SI"/>
              </w:rPr>
              <w:t>2022</w:t>
            </w:r>
          </w:p>
        </w:tc>
        <w:tc>
          <w:tcPr>
            <w:tcW w:w="2977" w:type="dxa"/>
          </w:tcPr>
          <w:p w:rsidR="007534FD" w:rsidRPr="00FF67A9" w:rsidRDefault="00FC0D7F" w:rsidP="00FF67A9">
            <w:pPr>
              <w:spacing w:line="276" w:lineRule="auto"/>
              <w:jc w:val="left"/>
              <w:rPr>
                <w:rFonts w:cs="Arial"/>
                <w:sz w:val="24"/>
                <w:szCs w:val="24"/>
              </w:rPr>
            </w:pPr>
            <w:r w:rsidRPr="00FF67A9">
              <w:rPr>
                <w:rFonts w:eastAsia="Times New Roman" w:cs="Arial"/>
                <w:sz w:val="24"/>
                <w:szCs w:val="24"/>
                <w:lang w:eastAsia="sl-SI"/>
              </w:rPr>
              <w:t>3.0</w:t>
            </w:r>
          </w:p>
        </w:tc>
      </w:tr>
    </w:tbl>
    <w:p w:rsidR="007534FD" w:rsidRPr="00FF67A9" w:rsidRDefault="007534FD" w:rsidP="00FF67A9">
      <w:pPr>
        <w:spacing w:after="0" w:line="276" w:lineRule="auto"/>
        <w:jc w:val="left"/>
        <w:rPr>
          <w:rFonts w:cs="Arial"/>
          <w:sz w:val="24"/>
          <w:szCs w:val="24"/>
        </w:rPr>
      </w:pPr>
    </w:p>
    <w:tbl>
      <w:tblPr>
        <w:tblStyle w:val="Tabelamrea"/>
        <w:tblW w:w="0" w:type="auto"/>
        <w:tblLook w:val="04A0" w:firstRow="1" w:lastRow="0" w:firstColumn="1" w:lastColumn="0" w:noHBand="0" w:noVBand="1"/>
      </w:tblPr>
      <w:tblGrid>
        <w:gridCol w:w="2263"/>
        <w:gridCol w:w="2977"/>
      </w:tblGrid>
      <w:tr w:rsidR="007534FD" w:rsidRPr="00FF67A9" w:rsidTr="00FC0D7F">
        <w:tc>
          <w:tcPr>
            <w:tcW w:w="2263" w:type="dxa"/>
          </w:tcPr>
          <w:p w:rsidR="007534FD" w:rsidRPr="00FF67A9" w:rsidRDefault="00FC0D7F" w:rsidP="00FF67A9">
            <w:pPr>
              <w:spacing w:line="276" w:lineRule="auto"/>
              <w:jc w:val="left"/>
              <w:rPr>
                <w:rFonts w:cs="Arial"/>
                <w:sz w:val="24"/>
                <w:szCs w:val="24"/>
              </w:rPr>
            </w:pPr>
            <w:r w:rsidRPr="00FF67A9">
              <w:rPr>
                <w:rFonts w:cs="Arial"/>
                <w:sz w:val="24"/>
                <w:szCs w:val="24"/>
              </w:rPr>
              <w:t>Leto gospodarske rasti območja evra</w:t>
            </w:r>
          </w:p>
        </w:tc>
        <w:tc>
          <w:tcPr>
            <w:tcW w:w="2977" w:type="dxa"/>
          </w:tcPr>
          <w:p w:rsidR="007534FD" w:rsidRPr="00FF67A9" w:rsidRDefault="00FC0D7F" w:rsidP="00FF67A9">
            <w:pPr>
              <w:spacing w:line="276" w:lineRule="auto"/>
              <w:jc w:val="left"/>
              <w:rPr>
                <w:rFonts w:cs="Arial"/>
                <w:sz w:val="24"/>
                <w:szCs w:val="24"/>
              </w:rPr>
            </w:pPr>
            <w:r w:rsidRPr="00FF67A9">
              <w:rPr>
                <w:rFonts w:cs="Arial"/>
                <w:sz w:val="24"/>
                <w:szCs w:val="24"/>
              </w:rPr>
              <w:t>Napoved Mednarodnega denarnega sklada iz oktobra 2020</w:t>
            </w:r>
          </w:p>
        </w:tc>
      </w:tr>
      <w:tr w:rsidR="007534FD" w:rsidRPr="00FF67A9" w:rsidTr="00FC0D7F">
        <w:tc>
          <w:tcPr>
            <w:tcW w:w="2263" w:type="dxa"/>
          </w:tcPr>
          <w:p w:rsidR="007534FD" w:rsidRPr="00FF67A9" w:rsidRDefault="00FC0D7F" w:rsidP="00FF67A9">
            <w:pPr>
              <w:spacing w:line="276" w:lineRule="auto"/>
              <w:jc w:val="left"/>
              <w:rPr>
                <w:rFonts w:cs="Arial"/>
                <w:sz w:val="24"/>
                <w:szCs w:val="24"/>
              </w:rPr>
            </w:pPr>
            <w:r w:rsidRPr="00FF67A9">
              <w:rPr>
                <w:rFonts w:cs="Arial"/>
                <w:sz w:val="24"/>
                <w:szCs w:val="24"/>
              </w:rPr>
              <w:t>2020</w:t>
            </w:r>
          </w:p>
        </w:tc>
        <w:tc>
          <w:tcPr>
            <w:tcW w:w="2977" w:type="dxa"/>
          </w:tcPr>
          <w:p w:rsidR="007534FD" w:rsidRPr="00FF67A9" w:rsidRDefault="00FC0D7F" w:rsidP="00FF67A9">
            <w:pPr>
              <w:spacing w:line="276" w:lineRule="auto"/>
              <w:jc w:val="left"/>
              <w:rPr>
                <w:rFonts w:cs="Arial"/>
                <w:sz w:val="24"/>
                <w:szCs w:val="24"/>
              </w:rPr>
            </w:pPr>
            <w:r w:rsidRPr="00FF67A9">
              <w:rPr>
                <w:rFonts w:eastAsia="Times New Roman" w:cs="Arial"/>
                <w:color w:val="000000"/>
                <w:sz w:val="24"/>
                <w:szCs w:val="24"/>
                <w:lang w:eastAsia="sl-SI"/>
              </w:rPr>
              <w:t>-8.3</w:t>
            </w:r>
          </w:p>
        </w:tc>
      </w:tr>
      <w:tr w:rsidR="007534FD" w:rsidRPr="00FF67A9" w:rsidTr="00FC0D7F">
        <w:tc>
          <w:tcPr>
            <w:tcW w:w="2263" w:type="dxa"/>
          </w:tcPr>
          <w:p w:rsidR="007534FD" w:rsidRPr="00FF67A9" w:rsidRDefault="00FC0D7F" w:rsidP="00FF67A9">
            <w:pPr>
              <w:spacing w:line="276" w:lineRule="auto"/>
              <w:jc w:val="left"/>
              <w:rPr>
                <w:rFonts w:cs="Arial"/>
                <w:sz w:val="24"/>
                <w:szCs w:val="24"/>
              </w:rPr>
            </w:pPr>
            <w:r w:rsidRPr="00FF67A9">
              <w:rPr>
                <w:rFonts w:eastAsia="Times New Roman" w:cs="Arial"/>
                <w:sz w:val="24"/>
                <w:szCs w:val="24"/>
                <w:lang w:eastAsia="sl-SI"/>
              </w:rPr>
              <w:t>2021</w:t>
            </w:r>
          </w:p>
        </w:tc>
        <w:tc>
          <w:tcPr>
            <w:tcW w:w="2977" w:type="dxa"/>
          </w:tcPr>
          <w:p w:rsidR="007534FD" w:rsidRPr="00FF67A9" w:rsidRDefault="00FC0D7F" w:rsidP="00FF67A9">
            <w:pPr>
              <w:spacing w:line="276" w:lineRule="auto"/>
              <w:jc w:val="left"/>
              <w:rPr>
                <w:rFonts w:cs="Arial"/>
                <w:sz w:val="24"/>
                <w:szCs w:val="24"/>
              </w:rPr>
            </w:pPr>
            <w:r w:rsidRPr="00FF67A9">
              <w:rPr>
                <w:rFonts w:eastAsia="Times New Roman" w:cs="Arial"/>
                <w:color w:val="000000"/>
                <w:sz w:val="24"/>
                <w:szCs w:val="24"/>
                <w:lang w:eastAsia="sl-SI"/>
              </w:rPr>
              <w:t>5.2</w:t>
            </w:r>
          </w:p>
        </w:tc>
      </w:tr>
      <w:tr w:rsidR="007534FD" w:rsidRPr="00FF67A9" w:rsidTr="00FC0D7F">
        <w:tc>
          <w:tcPr>
            <w:tcW w:w="2263" w:type="dxa"/>
          </w:tcPr>
          <w:p w:rsidR="007534FD" w:rsidRPr="00FF67A9" w:rsidRDefault="00FC0D7F" w:rsidP="00FF67A9">
            <w:pPr>
              <w:spacing w:line="276" w:lineRule="auto"/>
              <w:jc w:val="left"/>
              <w:rPr>
                <w:rFonts w:cs="Arial"/>
                <w:sz w:val="24"/>
                <w:szCs w:val="24"/>
              </w:rPr>
            </w:pPr>
            <w:r w:rsidRPr="00FF67A9">
              <w:rPr>
                <w:rFonts w:eastAsia="Times New Roman" w:cs="Arial"/>
                <w:sz w:val="24"/>
                <w:szCs w:val="24"/>
                <w:lang w:eastAsia="sl-SI"/>
              </w:rPr>
              <w:t>2022</w:t>
            </w:r>
          </w:p>
        </w:tc>
        <w:tc>
          <w:tcPr>
            <w:tcW w:w="2977" w:type="dxa"/>
          </w:tcPr>
          <w:p w:rsidR="007534FD" w:rsidRPr="00FF67A9" w:rsidRDefault="00FC0D7F" w:rsidP="00FF67A9">
            <w:pPr>
              <w:spacing w:line="276" w:lineRule="auto"/>
              <w:jc w:val="left"/>
              <w:rPr>
                <w:rFonts w:cs="Arial"/>
                <w:sz w:val="24"/>
                <w:szCs w:val="24"/>
              </w:rPr>
            </w:pPr>
            <w:r w:rsidRPr="00FF67A9">
              <w:rPr>
                <w:rFonts w:eastAsia="Times New Roman" w:cs="Arial"/>
                <w:color w:val="000000"/>
                <w:sz w:val="24"/>
                <w:szCs w:val="24"/>
                <w:lang w:eastAsia="sl-SI"/>
              </w:rPr>
              <w:t>3.1</w:t>
            </w:r>
          </w:p>
        </w:tc>
      </w:tr>
    </w:tbl>
    <w:p w:rsidR="007534FD" w:rsidRPr="00FF67A9" w:rsidRDefault="007534FD" w:rsidP="00FF67A9">
      <w:pPr>
        <w:spacing w:after="0" w:line="276" w:lineRule="auto"/>
        <w:jc w:val="left"/>
        <w:rPr>
          <w:rFonts w:cs="Arial"/>
          <w:sz w:val="24"/>
          <w:szCs w:val="24"/>
        </w:rPr>
      </w:pPr>
    </w:p>
    <w:p w:rsidR="00FC0D7F" w:rsidRDefault="00FC0D7F" w:rsidP="00FF67A9">
      <w:pPr>
        <w:spacing w:after="0" w:line="276" w:lineRule="auto"/>
        <w:jc w:val="left"/>
        <w:rPr>
          <w:rFonts w:eastAsia="Times New Roman" w:cs="Arial"/>
          <w:sz w:val="24"/>
          <w:szCs w:val="24"/>
          <w:lang w:eastAsia="sl-SI"/>
        </w:rPr>
      </w:pPr>
      <w:r w:rsidRPr="00FF67A9">
        <w:rPr>
          <w:rFonts w:eastAsia="Times New Roman" w:cs="Arial"/>
          <w:b/>
          <w:sz w:val="24"/>
          <w:szCs w:val="24"/>
          <w:lang w:eastAsia="sl-SI"/>
        </w:rPr>
        <w:t>Preprečili smo enormno brezposelnost</w:t>
      </w:r>
      <w:r w:rsidRPr="00FF67A9">
        <w:rPr>
          <w:rFonts w:eastAsia="Times New Roman" w:cs="Arial"/>
          <w:sz w:val="24"/>
          <w:szCs w:val="24"/>
          <w:lang w:eastAsia="sl-SI"/>
        </w:rPr>
        <w:t xml:space="preserve"> </w:t>
      </w:r>
    </w:p>
    <w:p w:rsidR="00FF67A9" w:rsidRPr="00FF67A9" w:rsidRDefault="00FF67A9" w:rsidP="00FF67A9">
      <w:pPr>
        <w:spacing w:after="0" w:line="276" w:lineRule="auto"/>
        <w:jc w:val="left"/>
        <w:rPr>
          <w:rFonts w:eastAsia="Times New Roman" w:cs="Arial"/>
          <w:sz w:val="24"/>
          <w:szCs w:val="24"/>
          <w:lang w:eastAsia="sl-SI"/>
        </w:rPr>
      </w:pPr>
    </w:p>
    <w:p w:rsidR="00FC0D7F" w:rsidRDefault="00FC0D7F" w:rsidP="00FF67A9">
      <w:pPr>
        <w:spacing w:after="0" w:line="276" w:lineRule="auto"/>
        <w:jc w:val="left"/>
        <w:rPr>
          <w:rFonts w:eastAsia="Times New Roman" w:cs="Arial"/>
          <w:b/>
          <w:sz w:val="24"/>
          <w:szCs w:val="24"/>
          <w:lang w:eastAsia="sl-SI"/>
        </w:rPr>
      </w:pPr>
      <w:r w:rsidRPr="00FF67A9">
        <w:rPr>
          <w:rFonts w:eastAsia="Times New Roman" w:cs="Arial"/>
          <w:sz w:val="24"/>
          <w:szCs w:val="24"/>
          <w:lang w:eastAsia="sl-SI"/>
        </w:rPr>
        <w:t>Zaradi ukrepov se ohranja nizka stopnja brezposelnosti, precej pod povprečjem EU in območja evra</w:t>
      </w:r>
      <w:r w:rsidRPr="00FF67A9">
        <w:rPr>
          <w:rFonts w:eastAsia="Times New Roman" w:cs="Arial"/>
          <w:b/>
          <w:sz w:val="24"/>
          <w:szCs w:val="24"/>
          <w:lang w:eastAsia="sl-SI"/>
        </w:rPr>
        <w:t>.  </w:t>
      </w:r>
    </w:p>
    <w:p w:rsidR="00FF67A9" w:rsidRPr="00FF67A9" w:rsidRDefault="00FF67A9" w:rsidP="00FF67A9">
      <w:pPr>
        <w:spacing w:after="0" w:line="276" w:lineRule="auto"/>
        <w:jc w:val="left"/>
        <w:rPr>
          <w:rFonts w:eastAsia="Times New Roman" w:cs="Arial"/>
          <w:b/>
          <w:sz w:val="24"/>
          <w:szCs w:val="24"/>
          <w:lang w:eastAsia="sl-SI"/>
        </w:rPr>
      </w:pPr>
    </w:p>
    <w:tbl>
      <w:tblPr>
        <w:tblStyle w:val="Tabelamrea"/>
        <w:tblW w:w="0" w:type="auto"/>
        <w:tblLook w:val="04A0" w:firstRow="1" w:lastRow="0" w:firstColumn="1" w:lastColumn="0" w:noHBand="0" w:noVBand="1"/>
      </w:tblPr>
      <w:tblGrid>
        <w:gridCol w:w="2265"/>
        <w:gridCol w:w="1841"/>
        <w:gridCol w:w="2268"/>
        <w:gridCol w:w="1418"/>
      </w:tblGrid>
      <w:tr w:rsidR="00FC0D7F" w:rsidRPr="00FF67A9" w:rsidTr="00640C40">
        <w:tc>
          <w:tcPr>
            <w:tcW w:w="2265" w:type="dxa"/>
          </w:tcPr>
          <w:p w:rsidR="00FC0D7F" w:rsidRPr="00FF67A9" w:rsidRDefault="00FC0D7F" w:rsidP="00FF67A9">
            <w:pPr>
              <w:spacing w:line="276" w:lineRule="auto"/>
              <w:jc w:val="left"/>
              <w:rPr>
                <w:rFonts w:cs="Arial"/>
                <w:sz w:val="24"/>
                <w:szCs w:val="24"/>
              </w:rPr>
            </w:pPr>
            <w:r w:rsidRPr="00FF67A9">
              <w:rPr>
                <w:rFonts w:cs="Arial"/>
                <w:sz w:val="24"/>
                <w:szCs w:val="24"/>
              </w:rPr>
              <w:t>Leto stopnje brezposelnosti</w:t>
            </w:r>
          </w:p>
        </w:tc>
        <w:tc>
          <w:tcPr>
            <w:tcW w:w="1841" w:type="dxa"/>
          </w:tcPr>
          <w:p w:rsidR="00FC0D7F" w:rsidRPr="00FF67A9" w:rsidRDefault="00FC0D7F" w:rsidP="00FF67A9">
            <w:pPr>
              <w:spacing w:line="276" w:lineRule="auto"/>
              <w:jc w:val="left"/>
              <w:rPr>
                <w:rFonts w:cs="Arial"/>
                <w:sz w:val="24"/>
                <w:szCs w:val="24"/>
              </w:rPr>
            </w:pPr>
            <w:r w:rsidRPr="00FF67A9">
              <w:rPr>
                <w:rFonts w:cs="Arial"/>
                <w:sz w:val="24"/>
                <w:szCs w:val="24"/>
              </w:rPr>
              <w:t>Slovenija</w:t>
            </w:r>
            <w:r w:rsidR="00640C40">
              <w:rPr>
                <w:rFonts w:cs="Arial"/>
                <w:sz w:val="24"/>
                <w:szCs w:val="24"/>
              </w:rPr>
              <w:t xml:space="preserve"> v %</w:t>
            </w:r>
          </w:p>
        </w:tc>
        <w:tc>
          <w:tcPr>
            <w:tcW w:w="2268" w:type="dxa"/>
          </w:tcPr>
          <w:p w:rsidR="00FC0D7F" w:rsidRPr="00FF67A9" w:rsidRDefault="00FC0D7F" w:rsidP="00FF67A9">
            <w:pPr>
              <w:spacing w:line="276" w:lineRule="auto"/>
              <w:jc w:val="left"/>
              <w:rPr>
                <w:rFonts w:cs="Arial"/>
                <w:sz w:val="24"/>
                <w:szCs w:val="24"/>
              </w:rPr>
            </w:pPr>
            <w:r w:rsidRPr="00FF67A9">
              <w:rPr>
                <w:rFonts w:cs="Arial"/>
                <w:sz w:val="24"/>
                <w:szCs w:val="24"/>
              </w:rPr>
              <w:t>Območje evra</w:t>
            </w:r>
            <w:r w:rsidR="00640C40">
              <w:rPr>
                <w:rFonts w:cs="Arial"/>
                <w:sz w:val="24"/>
                <w:szCs w:val="24"/>
              </w:rPr>
              <w:t xml:space="preserve"> v %</w:t>
            </w:r>
          </w:p>
        </w:tc>
        <w:tc>
          <w:tcPr>
            <w:tcW w:w="1418" w:type="dxa"/>
          </w:tcPr>
          <w:p w:rsidR="00FC0D7F" w:rsidRPr="00FF67A9" w:rsidRDefault="00FC0D7F" w:rsidP="00FF67A9">
            <w:pPr>
              <w:spacing w:line="276" w:lineRule="auto"/>
              <w:jc w:val="left"/>
              <w:rPr>
                <w:rFonts w:cs="Arial"/>
                <w:sz w:val="24"/>
                <w:szCs w:val="24"/>
              </w:rPr>
            </w:pPr>
            <w:r w:rsidRPr="00FF67A9">
              <w:rPr>
                <w:rFonts w:cs="Arial"/>
                <w:sz w:val="24"/>
                <w:szCs w:val="24"/>
              </w:rPr>
              <w:t>EU</w:t>
            </w:r>
            <w:r w:rsidR="00640C40">
              <w:rPr>
                <w:rFonts w:cs="Arial"/>
                <w:sz w:val="24"/>
                <w:szCs w:val="24"/>
              </w:rPr>
              <w:t xml:space="preserve"> v %</w:t>
            </w:r>
          </w:p>
        </w:tc>
      </w:tr>
      <w:tr w:rsidR="00FC0D7F" w:rsidRPr="00FF67A9" w:rsidTr="00640C40">
        <w:tc>
          <w:tcPr>
            <w:tcW w:w="2265" w:type="dxa"/>
          </w:tcPr>
          <w:p w:rsidR="00FC0D7F" w:rsidRPr="00FF67A9" w:rsidRDefault="00FC0D7F" w:rsidP="00FF67A9">
            <w:pPr>
              <w:spacing w:line="276" w:lineRule="auto"/>
              <w:jc w:val="left"/>
              <w:rPr>
                <w:rFonts w:cs="Arial"/>
                <w:sz w:val="24"/>
                <w:szCs w:val="24"/>
              </w:rPr>
            </w:pPr>
            <w:r w:rsidRPr="00FF67A9">
              <w:rPr>
                <w:rFonts w:cs="Arial"/>
                <w:sz w:val="24"/>
                <w:szCs w:val="24"/>
              </w:rPr>
              <w:t>2020</w:t>
            </w:r>
          </w:p>
        </w:tc>
        <w:tc>
          <w:tcPr>
            <w:tcW w:w="1841" w:type="dxa"/>
          </w:tcPr>
          <w:p w:rsidR="00FC0D7F" w:rsidRPr="00FF67A9" w:rsidRDefault="00FC0D7F" w:rsidP="00FF67A9">
            <w:pPr>
              <w:spacing w:line="276" w:lineRule="auto"/>
              <w:jc w:val="left"/>
              <w:rPr>
                <w:rFonts w:cs="Arial"/>
                <w:sz w:val="24"/>
                <w:szCs w:val="24"/>
              </w:rPr>
            </w:pPr>
            <w:r w:rsidRPr="00FF67A9">
              <w:rPr>
                <w:rFonts w:cs="Arial"/>
                <w:sz w:val="24"/>
                <w:szCs w:val="24"/>
              </w:rPr>
              <w:t>5.0</w:t>
            </w:r>
          </w:p>
        </w:tc>
        <w:tc>
          <w:tcPr>
            <w:tcW w:w="2268" w:type="dxa"/>
          </w:tcPr>
          <w:p w:rsidR="00FC0D7F" w:rsidRPr="00FF67A9" w:rsidRDefault="00FC0D7F" w:rsidP="00FF67A9">
            <w:pPr>
              <w:spacing w:line="276" w:lineRule="auto"/>
              <w:jc w:val="left"/>
              <w:rPr>
                <w:rFonts w:cs="Arial"/>
                <w:sz w:val="24"/>
                <w:szCs w:val="24"/>
              </w:rPr>
            </w:pPr>
            <w:r w:rsidRPr="00FF67A9">
              <w:rPr>
                <w:rFonts w:cs="Arial"/>
                <w:sz w:val="24"/>
                <w:szCs w:val="24"/>
              </w:rPr>
              <w:t>8.3</w:t>
            </w:r>
          </w:p>
        </w:tc>
        <w:tc>
          <w:tcPr>
            <w:tcW w:w="1418" w:type="dxa"/>
          </w:tcPr>
          <w:p w:rsidR="00FC0D7F" w:rsidRPr="00FF67A9" w:rsidRDefault="00FC0D7F" w:rsidP="00FF67A9">
            <w:pPr>
              <w:spacing w:line="276" w:lineRule="auto"/>
              <w:jc w:val="left"/>
              <w:rPr>
                <w:rFonts w:cs="Arial"/>
                <w:sz w:val="24"/>
                <w:szCs w:val="24"/>
              </w:rPr>
            </w:pPr>
            <w:r w:rsidRPr="00FF67A9">
              <w:rPr>
                <w:rFonts w:cs="Arial"/>
                <w:sz w:val="24"/>
                <w:szCs w:val="24"/>
              </w:rPr>
              <w:t>7.7</w:t>
            </w:r>
          </w:p>
        </w:tc>
      </w:tr>
      <w:tr w:rsidR="00FC0D7F" w:rsidRPr="00FF67A9" w:rsidTr="00640C40">
        <w:tc>
          <w:tcPr>
            <w:tcW w:w="2265" w:type="dxa"/>
          </w:tcPr>
          <w:p w:rsidR="00FC0D7F" w:rsidRPr="00FF67A9" w:rsidRDefault="00FC0D7F" w:rsidP="00FF67A9">
            <w:pPr>
              <w:spacing w:line="276" w:lineRule="auto"/>
              <w:jc w:val="left"/>
              <w:rPr>
                <w:rFonts w:cs="Arial"/>
                <w:sz w:val="24"/>
                <w:szCs w:val="24"/>
              </w:rPr>
            </w:pPr>
            <w:r w:rsidRPr="00FF67A9">
              <w:rPr>
                <w:rFonts w:cs="Arial"/>
                <w:sz w:val="24"/>
                <w:szCs w:val="24"/>
              </w:rPr>
              <w:t>2021</w:t>
            </w:r>
          </w:p>
        </w:tc>
        <w:tc>
          <w:tcPr>
            <w:tcW w:w="1841" w:type="dxa"/>
          </w:tcPr>
          <w:p w:rsidR="00FC0D7F" w:rsidRPr="00FF67A9" w:rsidRDefault="00FC0D7F" w:rsidP="00FF67A9">
            <w:pPr>
              <w:spacing w:line="276" w:lineRule="auto"/>
              <w:jc w:val="left"/>
              <w:rPr>
                <w:rFonts w:cs="Arial"/>
                <w:sz w:val="24"/>
                <w:szCs w:val="24"/>
              </w:rPr>
            </w:pPr>
            <w:r w:rsidRPr="00FF67A9">
              <w:rPr>
                <w:rFonts w:cs="Arial"/>
                <w:sz w:val="24"/>
                <w:szCs w:val="24"/>
              </w:rPr>
              <w:t>4.8</w:t>
            </w:r>
          </w:p>
        </w:tc>
        <w:tc>
          <w:tcPr>
            <w:tcW w:w="2268" w:type="dxa"/>
          </w:tcPr>
          <w:p w:rsidR="00FC0D7F" w:rsidRPr="00FF67A9" w:rsidRDefault="00FC0D7F" w:rsidP="00FF67A9">
            <w:pPr>
              <w:spacing w:line="276" w:lineRule="auto"/>
              <w:jc w:val="left"/>
              <w:rPr>
                <w:rFonts w:cs="Arial"/>
                <w:sz w:val="24"/>
                <w:szCs w:val="24"/>
              </w:rPr>
            </w:pPr>
            <w:r w:rsidRPr="00FF67A9">
              <w:rPr>
                <w:rFonts w:cs="Arial"/>
                <w:sz w:val="24"/>
                <w:szCs w:val="24"/>
              </w:rPr>
              <w:t>9.4</w:t>
            </w:r>
          </w:p>
        </w:tc>
        <w:tc>
          <w:tcPr>
            <w:tcW w:w="1418" w:type="dxa"/>
          </w:tcPr>
          <w:p w:rsidR="00FC0D7F" w:rsidRPr="00FF67A9" w:rsidRDefault="00FC0D7F" w:rsidP="00FF67A9">
            <w:pPr>
              <w:spacing w:line="276" w:lineRule="auto"/>
              <w:jc w:val="left"/>
              <w:rPr>
                <w:rFonts w:cs="Arial"/>
                <w:sz w:val="24"/>
                <w:szCs w:val="24"/>
              </w:rPr>
            </w:pPr>
            <w:r w:rsidRPr="00FF67A9">
              <w:rPr>
                <w:rFonts w:cs="Arial"/>
                <w:sz w:val="24"/>
                <w:szCs w:val="24"/>
              </w:rPr>
              <w:t>8.6</w:t>
            </w:r>
          </w:p>
        </w:tc>
      </w:tr>
      <w:tr w:rsidR="00FC0D7F" w:rsidRPr="00942261" w:rsidTr="00640C40">
        <w:tc>
          <w:tcPr>
            <w:tcW w:w="2265" w:type="dxa"/>
          </w:tcPr>
          <w:p w:rsidR="00FC0D7F" w:rsidRPr="00942261" w:rsidRDefault="00FC0D7F" w:rsidP="00FF67A9">
            <w:pPr>
              <w:spacing w:line="276" w:lineRule="auto"/>
              <w:jc w:val="left"/>
              <w:rPr>
                <w:rFonts w:cs="Arial"/>
                <w:sz w:val="24"/>
                <w:szCs w:val="24"/>
              </w:rPr>
            </w:pPr>
            <w:r w:rsidRPr="00942261">
              <w:rPr>
                <w:rFonts w:cs="Arial"/>
                <w:sz w:val="24"/>
                <w:szCs w:val="24"/>
              </w:rPr>
              <w:t>2022</w:t>
            </w:r>
          </w:p>
        </w:tc>
        <w:tc>
          <w:tcPr>
            <w:tcW w:w="1841" w:type="dxa"/>
          </w:tcPr>
          <w:p w:rsidR="00FC0D7F" w:rsidRPr="00942261" w:rsidRDefault="00FC0D7F" w:rsidP="00FF67A9">
            <w:pPr>
              <w:spacing w:line="276" w:lineRule="auto"/>
              <w:jc w:val="left"/>
              <w:rPr>
                <w:rFonts w:cs="Arial"/>
                <w:sz w:val="24"/>
                <w:szCs w:val="24"/>
              </w:rPr>
            </w:pPr>
            <w:r w:rsidRPr="00942261">
              <w:rPr>
                <w:rFonts w:cs="Arial"/>
                <w:sz w:val="24"/>
                <w:szCs w:val="24"/>
              </w:rPr>
              <w:t>4.4</w:t>
            </w:r>
          </w:p>
        </w:tc>
        <w:tc>
          <w:tcPr>
            <w:tcW w:w="2268" w:type="dxa"/>
          </w:tcPr>
          <w:p w:rsidR="00FC0D7F" w:rsidRPr="00942261" w:rsidRDefault="00FC0D7F" w:rsidP="00FF67A9">
            <w:pPr>
              <w:spacing w:line="276" w:lineRule="auto"/>
              <w:jc w:val="left"/>
              <w:rPr>
                <w:rFonts w:cs="Arial"/>
                <w:sz w:val="24"/>
                <w:szCs w:val="24"/>
              </w:rPr>
            </w:pPr>
            <w:r w:rsidRPr="00942261">
              <w:rPr>
                <w:rFonts w:cs="Arial"/>
                <w:sz w:val="24"/>
                <w:szCs w:val="24"/>
              </w:rPr>
              <w:t>8.9</w:t>
            </w:r>
          </w:p>
        </w:tc>
        <w:tc>
          <w:tcPr>
            <w:tcW w:w="1418" w:type="dxa"/>
          </w:tcPr>
          <w:p w:rsidR="00FC0D7F" w:rsidRPr="00942261" w:rsidRDefault="00FC0D7F" w:rsidP="00FF67A9">
            <w:pPr>
              <w:spacing w:line="276" w:lineRule="auto"/>
              <w:jc w:val="left"/>
              <w:rPr>
                <w:rFonts w:cs="Arial"/>
                <w:sz w:val="24"/>
                <w:szCs w:val="24"/>
              </w:rPr>
            </w:pPr>
            <w:r w:rsidRPr="00942261">
              <w:rPr>
                <w:rFonts w:cs="Arial"/>
                <w:sz w:val="24"/>
                <w:szCs w:val="24"/>
              </w:rPr>
              <w:t>8.0</w:t>
            </w:r>
          </w:p>
        </w:tc>
      </w:tr>
    </w:tbl>
    <w:p w:rsidR="00FC0D7F" w:rsidRPr="00942261" w:rsidRDefault="00FC0D7F" w:rsidP="00FF67A9">
      <w:pPr>
        <w:spacing w:after="0" w:line="276" w:lineRule="auto"/>
        <w:jc w:val="left"/>
        <w:rPr>
          <w:rFonts w:cs="Arial"/>
          <w:sz w:val="24"/>
          <w:szCs w:val="24"/>
        </w:rPr>
      </w:pPr>
      <w:r w:rsidRPr="00942261">
        <w:rPr>
          <w:rFonts w:cs="Arial"/>
          <w:sz w:val="24"/>
          <w:szCs w:val="24"/>
        </w:rPr>
        <w:t>Vir: Ocene Evropske komisije</w:t>
      </w:r>
    </w:p>
    <w:p w:rsidR="00FF67A9" w:rsidRPr="00FF67A9" w:rsidRDefault="00FF67A9" w:rsidP="00FF67A9">
      <w:pPr>
        <w:spacing w:after="0" w:line="276" w:lineRule="auto"/>
        <w:jc w:val="left"/>
        <w:rPr>
          <w:rFonts w:cs="Arial"/>
          <w:sz w:val="24"/>
          <w:szCs w:val="24"/>
        </w:rPr>
      </w:pPr>
    </w:p>
    <w:p w:rsidR="00FC0D7F" w:rsidRDefault="00FC0D7F" w:rsidP="00FF67A9">
      <w:pPr>
        <w:spacing w:after="0" w:line="276" w:lineRule="auto"/>
        <w:jc w:val="left"/>
        <w:rPr>
          <w:rFonts w:cs="Arial"/>
          <w:sz w:val="24"/>
          <w:szCs w:val="24"/>
        </w:rPr>
      </w:pPr>
      <w:r w:rsidRPr="00FF67A9">
        <w:rPr>
          <w:rFonts w:cs="Arial"/>
          <w:b/>
          <w:sz w:val="24"/>
          <w:szCs w:val="24"/>
        </w:rPr>
        <w:t>Znižali bomo proračunski primanjkljaj</w:t>
      </w:r>
      <w:r w:rsidRPr="00FF67A9">
        <w:rPr>
          <w:rFonts w:cs="Arial"/>
          <w:sz w:val="24"/>
          <w:szCs w:val="24"/>
        </w:rPr>
        <w:t xml:space="preserve"> </w:t>
      </w:r>
    </w:p>
    <w:p w:rsidR="00FF67A9" w:rsidRPr="00FF67A9" w:rsidRDefault="00FF67A9" w:rsidP="00FF67A9">
      <w:pPr>
        <w:spacing w:after="0" w:line="276" w:lineRule="auto"/>
        <w:jc w:val="left"/>
        <w:rPr>
          <w:rFonts w:cs="Arial"/>
          <w:sz w:val="24"/>
          <w:szCs w:val="24"/>
        </w:rPr>
      </w:pPr>
    </w:p>
    <w:tbl>
      <w:tblPr>
        <w:tblStyle w:val="Tabelamrea"/>
        <w:tblW w:w="0" w:type="auto"/>
        <w:tblLook w:val="04A0" w:firstRow="1" w:lastRow="0" w:firstColumn="1" w:lastColumn="0" w:noHBand="0" w:noVBand="1"/>
      </w:tblPr>
      <w:tblGrid>
        <w:gridCol w:w="2265"/>
        <w:gridCol w:w="2265"/>
        <w:gridCol w:w="2266"/>
        <w:gridCol w:w="2266"/>
      </w:tblGrid>
      <w:tr w:rsidR="00FC0D7F" w:rsidRPr="00FF67A9" w:rsidTr="00FC0D7F">
        <w:tc>
          <w:tcPr>
            <w:tcW w:w="2265" w:type="dxa"/>
          </w:tcPr>
          <w:p w:rsidR="00FC0D7F" w:rsidRPr="00FF67A9" w:rsidRDefault="00FC0D7F" w:rsidP="00FF67A9">
            <w:pPr>
              <w:spacing w:line="276" w:lineRule="auto"/>
              <w:jc w:val="left"/>
              <w:rPr>
                <w:rFonts w:cs="Arial"/>
                <w:sz w:val="24"/>
                <w:szCs w:val="24"/>
              </w:rPr>
            </w:pPr>
            <w:r w:rsidRPr="00FF67A9">
              <w:rPr>
                <w:rFonts w:cs="Arial"/>
                <w:sz w:val="24"/>
                <w:szCs w:val="24"/>
              </w:rPr>
              <w:t xml:space="preserve">Proračunske kategorije </w:t>
            </w:r>
          </w:p>
        </w:tc>
        <w:tc>
          <w:tcPr>
            <w:tcW w:w="2265" w:type="dxa"/>
          </w:tcPr>
          <w:p w:rsidR="00FC0D7F" w:rsidRPr="00FF67A9" w:rsidRDefault="00FC0D7F" w:rsidP="00FF67A9">
            <w:pPr>
              <w:spacing w:line="276" w:lineRule="auto"/>
              <w:jc w:val="left"/>
              <w:rPr>
                <w:rFonts w:cs="Arial"/>
                <w:sz w:val="24"/>
                <w:szCs w:val="24"/>
              </w:rPr>
            </w:pPr>
            <w:r w:rsidRPr="00FF67A9">
              <w:rPr>
                <w:rFonts w:cs="Arial"/>
                <w:sz w:val="24"/>
                <w:szCs w:val="24"/>
              </w:rPr>
              <w:t>Leto 2020</w:t>
            </w:r>
            <w:r w:rsidR="001827DC">
              <w:rPr>
                <w:rFonts w:cs="Arial"/>
                <w:sz w:val="24"/>
                <w:szCs w:val="24"/>
              </w:rPr>
              <w:t xml:space="preserve"> </w:t>
            </w:r>
            <w:r w:rsidR="001827DC" w:rsidRPr="00FF67A9">
              <w:rPr>
                <w:rFonts w:cs="Arial"/>
                <w:sz w:val="24"/>
                <w:szCs w:val="24"/>
              </w:rPr>
              <w:t>v milijardah evrov</w:t>
            </w:r>
          </w:p>
        </w:tc>
        <w:tc>
          <w:tcPr>
            <w:tcW w:w="2266" w:type="dxa"/>
          </w:tcPr>
          <w:p w:rsidR="00FC0D7F" w:rsidRPr="00FF67A9" w:rsidRDefault="00FC0D7F" w:rsidP="00FF67A9">
            <w:pPr>
              <w:spacing w:line="276" w:lineRule="auto"/>
              <w:jc w:val="left"/>
              <w:rPr>
                <w:rFonts w:cs="Arial"/>
                <w:sz w:val="24"/>
                <w:szCs w:val="24"/>
              </w:rPr>
            </w:pPr>
            <w:r w:rsidRPr="00FF67A9">
              <w:rPr>
                <w:rFonts w:cs="Arial"/>
                <w:sz w:val="24"/>
                <w:szCs w:val="24"/>
              </w:rPr>
              <w:t>Leto 2021</w:t>
            </w:r>
            <w:r w:rsidR="001827DC">
              <w:rPr>
                <w:rFonts w:cs="Arial"/>
                <w:sz w:val="24"/>
                <w:szCs w:val="24"/>
              </w:rPr>
              <w:t xml:space="preserve"> </w:t>
            </w:r>
            <w:r w:rsidR="001827DC" w:rsidRPr="00FF67A9">
              <w:rPr>
                <w:rFonts w:cs="Arial"/>
                <w:sz w:val="24"/>
                <w:szCs w:val="24"/>
              </w:rPr>
              <w:t>v milijardah evrov</w:t>
            </w:r>
          </w:p>
        </w:tc>
        <w:tc>
          <w:tcPr>
            <w:tcW w:w="2266" w:type="dxa"/>
          </w:tcPr>
          <w:p w:rsidR="00FC0D7F" w:rsidRPr="00FF67A9" w:rsidRDefault="00FC0D7F" w:rsidP="00FF67A9">
            <w:pPr>
              <w:spacing w:line="276" w:lineRule="auto"/>
              <w:jc w:val="left"/>
              <w:rPr>
                <w:rFonts w:cs="Arial"/>
                <w:sz w:val="24"/>
                <w:szCs w:val="24"/>
              </w:rPr>
            </w:pPr>
            <w:r w:rsidRPr="00FF67A9">
              <w:rPr>
                <w:rFonts w:cs="Arial"/>
                <w:sz w:val="24"/>
                <w:szCs w:val="24"/>
              </w:rPr>
              <w:t>Leto 2022</w:t>
            </w:r>
            <w:r w:rsidR="001827DC">
              <w:rPr>
                <w:rFonts w:cs="Arial"/>
                <w:sz w:val="24"/>
                <w:szCs w:val="24"/>
              </w:rPr>
              <w:t xml:space="preserve"> </w:t>
            </w:r>
            <w:r w:rsidR="001827DC" w:rsidRPr="00FF67A9">
              <w:rPr>
                <w:rFonts w:cs="Arial"/>
                <w:sz w:val="24"/>
                <w:szCs w:val="24"/>
              </w:rPr>
              <w:t>v milijardah evrov</w:t>
            </w:r>
          </w:p>
        </w:tc>
      </w:tr>
      <w:tr w:rsidR="00FC0D7F" w:rsidRPr="00FF67A9" w:rsidTr="00FC0D7F">
        <w:tc>
          <w:tcPr>
            <w:tcW w:w="2265" w:type="dxa"/>
          </w:tcPr>
          <w:p w:rsidR="00FC0D7F" w:rsidRPr="00FF67A9" w:rsidRDefault="00FC0D7F" w:rsidP="00FF67A9">
            <w:pPr>
              <w:spacing w:line="276" w:lineRule="auto"/>
              <w:jc w:val="left"/>
              <w:rPr>
                <w:rFonts w:cs="Arial"/>
                <w:sz w:val="24"/>
                <w:szCs w:val="24"/>
              </w:rPr>
            </w:pPr>
            <w:r w:rsidRPr="00FF67A9">
              <w:rPr>
                <w:rFonts w:cs="Arial"/>
                <w:sz w:val="24"/>
                <w:szCs w:val="24"/>
              </w:rPr>
              <w:t xml:space="preserve">Odhodki </w:t>
            </w:r>
          </w:p>
        </w:tc>
        <w:tc>
          <w:tcPr>
            <w:tcW w:w="2265" w:type="dxa"/>
          </w:tcPr>
          <w:p w:rsidR="00FC0D7F" w:rsidRPr="00FF67A9" w:rsidRDefault="00FC0D7F" w:rsidP="00FF67A9">
            <w:pPr>
              <w:spacing w:line="276" w:lineRule="auto"/>
              <w:jc w:val="left"/>
              <w:rPr>
                <w:rFonts w:cs="Arial"/>
                <w:sz w:val="24"/>
                <w:szCs w:val="24"/>
              </w:rPr>
            </w:pPr>
            <w:r w:rsidRPr="00FF67A9">
              <w:rPr>
                <w:rFonts w:cs="Arial"/>
                <w:sz w:val="24"/>
                <w:szCs w:val="24"/>
              </w:rPr>
              <w:t>13.39</w:t>
            </w:r>
          </w:p>
        </w:tc>
        <w:tc>
          <w:tcPr>
            <w:tcW w:w="2266" w:type="dxa"/>
          </w:tcPr>
          <w:p w:rsidR="00FC0D7F" w:rsidRPr="00FF67A9" w:rsidRDefault="00FC0D7F" w:rsidP="00FF67A9">
            <w:pPr>
              <w:spacing w:line="276" w:lineRule="auto"/>
              <w:jc w:val="left"/>
              <w:rPr>
                <w:rFonts w:cs="Arial"/>
                <w:sz w:val="24"/>
                <w:szCs w:val="24"/>
              </w:rPr>
            </w:pPr>
            <w:r w:rsidRPr="00FF67A9">
              <w:rPr>
                <w:rFonts w:cs="Arial"/>
                <w:sz w:val="24"/>
                <w:szCs w:val="24"/>
              </w:rPr>
              <w:t>13.47</w:t>
            </w:r>
          </w:p>
        </w:tc>
        <w:tc>
          <w:tcPr>
            <w:tcW w:w="2266" w:type="dxa"/>
          </w:tcPr>
          <w:p w:rsidR="00FC0D7F" w:rsidRPr="00FF67A9" w:rsidRDefault="00FC0D7F" w:rsidP="00FF67A9">
            <w:pPr>
              <w:spacing w:line="276" w:lineRule="auto"/>
              <w:jc w:val="left"/>
              <w:rPr>
                <w:rFonts w:cs="Arial"/>
                <w:sz w:val="24"/>
                <w:szCs w:val="24"/>
              </w:rPr>
            </w:pPr>
            <w:r w:rsidRPr="00FF67A9">
              <w:rPr>
                <w:rFonts w:cs="Arial"/>
                <w:sz w:val="24"/>
                <w:szCs w:val="24"/>
              </w:rPr>
              <w:t>12.60</w:t>
            </w:r>
          </w:p>
        </w:tc>
      </w:tr>
      <w:tr w:rsidR="00FC0D7F" w:rsidRPr="00FF67A9" w:rsidTr="00FC0D7F">
        <w:tc>
          <w:tcPr>
            <w:tcW w:w="2265" w:type="dxa"/>
          </w:tcPr>
          <w:p w:rsidR="00FC0D7F" w:rsidRPr="00FF67A9" w:rsidRDefault="00FC0D7F" w:rsidP="00FF67A9">
            <w:pPr>
              <w:spacing w:line="276" w:lineRule="auto"/>
              <w:jc w:val="left"/>
              <w:rPr>
                <w:rFonts w:cs="Arial"/>
                <w:sz w:val="24"/>
                <w:szCs w:val="24"/>
              </w:rPr>
            </w:pPr>
            <w:r w:rsidRPr="00FF67A9">
              <w:rPr>
                <w:rFonts w:cs="Arial"/>
                <w:sz w:val="24"/>
                <w:szCs w:val="24"/>
              </w:rPr>
              <w:t xml:space="preserve">Prihodki </w:t>
            </w:r>
          </w:p>
        </w:tc>
        <w:tc>
          <w:tcPr>
            <w:tcW w:w="2265" w:type="dxa"/>
          </w:tcPr>
          <w:p w:rsidR="00FC0D7F" w:rsidRPr="00FF67A9" w:rsidRDefault="00FC0D7F" w:rsidP="00FF67A9">
            <w:pPr>
              <w:spacing w:line="276" w:lineRule="auto"/>
              <w:jc w:val="left"/>
              <w:rPr>
                <w:rFonts w:cs="Arial"/>
                <w:sz w:val="24"/>
                <w:szCs w:val="24"/>
              </w:rPr>
            </w:pPr>
            <w:r w:rsidRPr="00FF67A9">
              <w:rPr>
                <w:rFonts w:cs="Arial"/>
                <w:sz w:val="24"/>
                <w:szCs w:val="24"/>
              </w:rPr>
              <w:t>9.19</w:t>
            </w:r>
          </w:p>
        </w:tc>
        <w:tc>
          <w:tcPr>
            <w:tcW w:w="2266" w:type="dxa"/>
          </w:tcPr>
          <w:p w:rsidR="00FC0D7F" w:rsidRPr="00FF67A9" w:rsidRDefault="00FC0D7F" w:rsidP="00FF67A9">
            <w:pPr>
              <w:spacing w:line="276" w:lineRule="auto"/>
              <w:jc w:val="left"/>
              <w:rPr>
                <w:rFonts w:cs="Arial"/>
                <w:sz w:val="24"/>
                <w:szCs w:val="24"/>
              </w:rPr>
            </w:pPr>
            <w:r w:rsidRPr="00FF67A9">
              <w:rPr>
                <w:rFonts w:cs="Arial"/>
                <w:sz w:val="24"/>
                <w:szCs w:val="24"/>
              </w:rPr>
              <w:t>10.72</w:t>
            </w:r>
          </w:p>
        </w:tc>
        <w:tc>
          <w:tcPr>
            <w:tcW w:w="2266" w:type="dxa"/>
          </w:tcPr>
          <w:p w:rsidR="00FC0D7F" w:rsidRPr="00FF67A9" w:rsidRDefault="00FC0D7F" w:rsidP="00FF67A9">
            <w:pPr>
              <w:spacing w:line="276" w:lineRule="auto"/>
              <w:jc w:val="left"/>
              <w:rPr>
                <w:rFonts w:cs="Arial"/>
                <w:sz w:val="24"/>
                <w:szCs w:val="24"/>
              </w:rPr>
            </w:pPr>
            <w:r w:rsidRPr="00FF67A9">
              <w:rPr>
                <w:rFonts w:cs="Arial"/>
                <w:sz w:val="24"/>
                <w:szCs w:val="24"/>
              </w:rPr>
              <w:t>11.01</w:t>
            </w:r>
          </w:p>
        </w:tc>
      </w:tr>
      <w:tr w:rsidR="00FC0D7F" w:rsidRPr="00FF67A9" w:rsidTr="00FC0D7F">
        <w:tc>
          <w:tcPr>
            <w:tcW w:w="2265" w:type="dxa"/>
          </w:tcPr>
          <w:p w:rsidR="00FC0D7F" w:rsidRPr="00FF67A9" w:rsidRDefault="00FC0D7F" w:rsidP="00FF67A9">
            <w:pPr>
              <w:spacing w:line="276" w:lineRule="auto"/>
              <w:jc w:val="left"/>
              <w:rPr>
                <w:rFonts w:cs="Arial"/>
                <w:sz w:val="24"/>
                <w:szCs w:val="24"/>
              </w:rPr>
            </w:pPr>
            <w:r w:rsidRPr="00FF67A9">
              <w:rPr>
                <w:rFonts w:cs="Arial"/>
                <w:sz w:val="24"/>
                <w:szCs w:val="24"/>
              </w:rPr>
              <w:t>Primanjkljaj</w:t>
            </w:r>
          </w:p>
        </w:tc>
        <w:tc>
          <w:tcPr>
            <w:tcW w:w="2265" w:type="dxa"/>
          </w:tcPr>
          <w:p w:rsidR="00FC0D7F" w:rsidRPr="00FF67A9" w:rsidRDefault="00FC0D7F" w:rsidP="00FF67A9">
            <w:pPr>
              <w:spacing w:line="276" w:lineRule="auto"/>
              <w:jc w:val="left"/>
              <w:rPr>
                <w:rFonts w:cs="Arial"/>
                <w:sz w:val="24"/>
                <w:szCs w:val="24"/>
              </w:rPr>
            </w:pPr>
            <w:r w:rsidRPr="00FF67A9">
              <w:rPr>
                <w:rFonts w:cs="Arial"/>
                <w:sz w:val="24"/>
                <w:szCs w:val="24"/>
              </w:rPr>
              <w:t>4.20</w:t>
            </w:r>
          </w:p>
        </w:tc>
        <w:tc>
          <w:tcPr>
            <w:tcW w:w="2266" w:type="dxa"/>
          </w:tcPr>
          <w:p w:rsidR="00FC0D7F" w:rsidRPr="00FF67A9" w:rsidRDefault="00FC0D7F" w:rsidP="00FF67A9">
            <w:pPr>
              <w:spacing w:line="276" w:lineRule="auto"/>
              <w:jc w:val="left"/>
              <w:rPr>
                <w:rFonts w:cs="Arial"/>
                <w:sz w:val="24"/>
                <w:szCs w:val="24"/>
              </w:rPr>
            </w:pPr>
            <w:r w:rsidRPr="00FF67A9">
              <w:rPr>
                <w:rFonts w:cs="Arial"/>
                <w:sz w:val="24"/>
                <w:szCs w:val="24"/>
              </w:rPr>
              <w:t>2.75</w:t>
            </w:r>
          </w:p>
        </w:tc>
        <w:tc>
          <w:tcPr>
            <w:tcW w:w="2266" w:type="dxa"/>
          </w:tcPr>
          <w:p w:rsidR="00FC0D7F" w:rsidRPr="00FF67A9" w:rsidRDefault="00FC0D7F" w:rsidP="00FF67A9">
            <w:pPr>
              <w:spacing w:line="276" w:lineRule="auto"/>
              <w:jc w:val="left"/>
              <w:rPr>
                <w:rFonts w:cs="Arial"/>
                <w:sz w:val="24"/>
                <w:szCs w:val="24"/>
              </w:rPr>
            </w:pPr>
            <w:r w:rsidRPr="00FF67A9">
              <w:rPr>
                <w:rFonts w:cs="Arial"/>
                <w:sz w:val="24"/>
                <w:szCs w:val="24"/>
              </w:rPr>
              <w:t>1.59</w:t>
            </w:r>
          </w:p>
        </w:tc>
      </w:tr>
    </w:tbl>
    <w:p w:rsidR="00342D39" w:rsidRDefault="00342D39" w:rsidP="00FF67A9">
      <w:pPr>
        <w:spacing w:after="0" w:line="276" w:lineRule="auto"/>
        <w:jc w:val="left"/>
        <w:rPr>
          <w:rFonts w:cs="Arial"/>
          <w:sz w:val="24"/>
          <w:szCs w:val="24"/>
        </w:rPr>
      </w:pPr>
    </w:p>
    <w:p w:rsidR="001827DC" w:rsidRDefault="001827DC" w:rsidP="00FF67A9">
      <w:pPr>
        <w:spacing w:after="0" w:line="276" w:lineRule="auto"/>
        <w:jc w:val="left"/>
        <w:rPr>
          <w:rFonts w:cs="Arial"/>
          <w:sz w:val="24"/>
          <w:szCs w:val="24"/>
        </w:rPr>
      </w:pPr>
    </w:p>
    <w:p w:rsidR="001827DC" w:rsidRPr="00FF67A9" w:rsidRDefault="001827DC" w:rsidP="00FF67A9">
      <w:pPr>
        <w:spacing w:after="0" w:line="276" w:lineRule="auto"/>
        <w:jc w:val="left"/>
        <w:rPr>
          <w:rFonts w:cs="Arial"/>
          <w:sz w:val="24"/>
          <w:szCs w:val="24"/>
        </w:rPr>
      </w:pPr>
    </w:p>
    <w:p w:rsidR="000130C6" w:rsidRDefault="000130C6" w:rsidP="00FF67A9">
      <w:pPr>
        <w:spacing w:after="0" w:line="276" w:lineRule="auto"/>
        <w:jc w:val="left"/>
        <w:rPr>
          <w:rFonts w:cs="Arial"/>
          <w:b/>
          <w:iCs/>
          <w:sz w:val="24"/>
          <w:szCs w:val="24"/>
        </w:rPr>
      </w:pPr>
      <w:r w:rsidRPr="00FF67A9">
        <w:rPr>
          <w:rFonts w:cs="Arial"/>
          <w:b/>
          <w:iCs/>
          <w:sz w:val="24"/>
          <w:szCs w:val="24"/>
        </w:rPr>
        <w:lastRenderedPageBreak/>
        <w:t>Zmanjšali bomo javni dolg v % BDP</w:t>
      </w:r>
    </w:p>
    <w:p w:rsidR="00FF67A9" w:rsidRPr="00FF67A9" w:rsidRDefault="00FF67A9" w:rsidP="00FF67A9">
      <w:pPr>
        <w:spacing w:after="0" w:line="276" w:lineRule="auto"/>
        <w:jc w:val="left"/>
        <w:rPr>
          <w:rFonts w:cs="Arial"/>
          <w:b/>
          <w:sz w:val="24"/>
          <w:szCs w:val="24"/>
        </w:rPr>
      </w:pPr>
    </w:p>
    <w:tbl>
      <w:tblPr>
        <w:tblStyle w:val="Tabelamrea"/>
        <w:tblW w:w="0" w:type="auto"/>
        <w:tblLook w:val="04A0" w:firstRow="1" w:lastRow="0" w:firstColumn="1" w:lastColumn="0" w:noHBand="0" w:noVBand="1"/>
      </w:tblPr>
      <w:tblGrid>
        <w:gridCol w:w="4390"/>
        <w:gridCol w:w="1984"/>
      </w:tblGrid>
      <w:tr w:rsidR="000130C6" w:rsidRPr="00FF67A9" w:rsidTr="00986ABB">
        <w:tc>
          <w:tcPr>
            <w:tcW w:w="4390" w:type="dxa"/>
          </w:tcPr>
          <w:p w:rsidR="000130C6" w:rsidRPr="00FF67A9" w:rsidRDefault="000130C6" w:rsidP="00FF67A9">
            <w:pPr>
              <w:spacing w:line="276" w:lineRule="auto"/>
              <w:jc w:val="left"/>
              <w:rPr>
                <w:rFonts w:cs="Arial"/>
                <w:sz w:val="24"/>
                <w:szCs w:val="24"/>
              </w:rPr>
            </w:pPr>
            <w:r w:rsidRPr="00FF67A9">
              <w:rPr>
                <w:rFonts w:cs="Arial"/>
                <w:sz w:val="24"/>
                <w:szCs w:val="24"/>
              </w:rPr>
              <w:t>Dolg sektorja država v letu 2020</w:t>
            </w:r>
            <w:r w:rsidR="005B2B26">
              <w:rPr>
                <w:rFonts w:cs="Arial"/>
                <w:sz w:val="24"/>
                <w:szCs w:val="24"/>
              </w:rPr>
              <w:t xml:space="preserve"> </w:t>
            </w:r>
          </w:p>
        </w:tc>
        <w:tc>
          <w:tcPr>
            <w:tcW w:w="1984" w:type="dxa"/>
          </w:tcPr>
          <w:p w:rsidR="000130C6" w:rsidRPr="00FF67A9" w:rsidRDefault="000130C6" w:rsidP="00FF67A9">
            <w:pPr>
              <w:tabs>
                <w:tab w:val="left" w:pos="954"/>
              </w:tabs>
              <w:spacing w:line="276" w:lineRule="auto"/>
              <w:jc w:val="left"/>
              <w:rPr>
                <w:rFonts w:cs="Arial"/>
                <w:sz w:val="24"/>
                <w:szCs w:val="24"/>
              </w:rPr>
            </w:pPr>
            <w:r w:rsidRPr="00FF67A9">
              <w:rPr>
                <w:rFonts w:cs="Arial"/>
                <w:sz w:val="24"/>
                <w:szCs w:val="24"/>
              </w:rPr>
              <w:t>82.0</w:t>
            </w:r>
            <w:r w:rsidR="00986ABB">
              <w:rPr>
                <w:rFonts w:cs="Arial"/>
                <w:sz w:val="24"/>
                <w:szCs w:val="24"/>
              </w:rPr>
              <w:t xml:space="preserve"> % BDP</w:t>
            </w:r>
          </w:p>
        </w:tc>
      </w:tr>
      <w:tr w:rsidR="000130C6" w:rsidRPr="00FF67A9" w:rsidTr="00986ABB">
        <w:tc>
          <w:tcPr>
            <w:tcW w:w="4390" w:type="dxa"/>
          </w:tcPr>
          <w:p w:rsidR="000130C6" w:rsidRPr="00FF67A9" w:rsidRDefault="000130C6" w:rsidP="00FF67A9">
            <w:pPr>
              <w:spacing w:line="276" w:lineRule="auto"/>
              <w:jc w:val="left"/>
              <w:rPr>
                <w:rFonts w:cs="Arial"/>
                <w:sz w:val="24"/>
                <w:szCs w:val="24"/>
              </w:rPr>
            </w:pPr>
            <w:r w:rsidRPr="00FF67A9">
              <w:rPr>
                <w:rFonts w:cs="Arial"/>
                <w:sz w:val="24"/>
                <w:szCs w:val="24"/>
              </w:rPr>
              <w:t>Dolg sektorja država v letu 2021</w:t>
            </w:r>
            <w:r w:rsidR="005B2B26">
              <w:rPr>
                <w:rFonts w:cs="Arial"/>
                <w:sz w:val="24"/>
                <w:szCs w:val="24"/>
              </w:rPr>
              <w:t xml:space="preserve"> </w:t>
            </w:r>
          </w:p>
        </w:tc>
        <w:tc>
          <w:tcPr>
            <w:tcW w:w="1984" w:type="dxa"/>
          </w:tcPr>
          <w:p w:rsidR="000130C6" w:rsidRPr="00FF67A9" w:rsidRDefault="000130C6" w:rsidP="00FF67A9">
            <w:pPr>
              <w:tabs>
                <w:tab w:val="left" w:pos="1206"/>
              </w:tabs>
              <w:spacing w:line="276" w:lineRule="auto"/>
              <w:jc w:val="left"/>
              <w:rPr>
                <w:rFonts w:cs="Arial"/>
                <w:sz w:val="24"/>
                <w:szCs w:val="24"/>
              </w:rPr>
            </w:pPr>
            <w:r w:rsidRPr="00FF67A9">
              <w:rPr>
                <w:rFonts w:cs="Arial"/>
                <w:sz w:val="24"/>
                <w:szCs w:val="24"/>
              </w:rPr>
              <w:t>80.9</w:t>
            </w:r>
            <w:r w:rsidR="00986ABB">
              <w:rPr>
                <w:rFonts w:cs="Arial"/>
                <w:sz w:val="24"/>
                <w:szCs w:val="24"/>
              </w:rPr>
              <w:t xml:space="preserve"> % BDP</w:t>
            </w:r>
          </w:p>
        </w:tc>
      </w:tr>
      <w:tr w:rsidR="000130C6" w:rsidRPr="00FF67A9" w:rsidTr="00986ABB">
        <w:tc>
          <w:tcPr>
            <w:tcW w:w="4390" w:type="dxa"/>
          </w:tcPr>
          <w:p w:rsidR="000130C6" w:rsidRPr="00FF67A9" w:rsidRDefault="000130C6" w:rsidP="00FF67A9">
            <w:pPr>
              <w:spacing w:line="276" w:lineRule="auto"/>
              <w:jc w:val="left"/>
              <w:rPr>
                <w:rFonts w:cs="Arial"/>
                <w:sz w:val="24"/>
                <w:szCs w:val="24"/>
              </w:rPr>
            </w:pPr>
            <w:r w:rsidRPr="00FF67A9">
              <w:rPr>
                <w:rFonts w:cs="Arial"/>
                <w:sz w:val="24"/>
                <w:szCs w:val="24"/>
              </w:rPr>
              <w:t>Dolg sektorja država v letu 2022</w:t>
            </w:r>
            <w:r w:rsidR="005B2B26">
              <w:rPr>
                <w:rFonts w:cs="Arial"/>
                <w:sz w:val="24"/>
                <w:szCs w:val="24"/>
              </w:rPr>
              <w:t xml:space="preserve"> </w:t>
            </w:r>
          </w:p>
        </w:tc>
        <w:tc>
          <w:tcPr>
            <w:tcW w:w="1984" w:type="dxa"/>
          </w:tcPr>
          <w:p w:rsidR="000130C6" w:rsidRPr="00FF67A9" w:rsidRDefault="000130C6" w:rsidP="00FF67A9">
            <w:pPr>
              <w:spacing w:line="276" w:lineRule="auto"/>
              <w:jc w:val="left"/>
              <w:rPr>
                <w:rFonts w:cs="Arial"/>
                <w:sz w:val="24"/>
                <w:szCs w:val="24"/>
              </w:rPr>
            </w:pPr>
            <w:r w:rsidRPr="00FF67A9">
              <w:rPr>
                <w:rFonts w:cs="Arial"/>
                <w:sz w:val="24"/>
                <w:szCs w:val="24"/>
              </w:rPr>
              <w:t>79.3</w:t>
            </w:r>
            <w:r w:rsidR="00986ABB">
              <w:rPr>
                <w:rFonts w:cs="Arial"/>
                <w:sz w:val="24"/>
                <w:szCs w:val="24"/>
              </w:rPr>
              <w:t xml:space="preserve"> % BDP</w:t>
            </w:r>
          </w:p>
        </w:tc>
      </w:tr>
    </w:tbl>
    <w:p w:rsidR="000130C6" w:rsidRPr="00FF67A9" w:rsidRDefault="000130C6" w:rsidP="00FF67A9">
      <w:pPr>
        <w:spacing w:after="0" w:line="276" w:lineRule="auto"/>
        <w:jc w:val="left"/>
        <w:rPr>
          <w:rFonts w:cs="Arial"/>
          <w:sz w:val="24"/>
          <w:szCs w:val="24"/>
        </w:rPr>
      </w:pPr>
    </w:p>
    <w:p w:rsidR="000130C6" w:rsidRDefault="000130C6" w:rsidP="00FF67A9">
      <w:pPr>
        <w:spacing w:after="0" w:line="276" w:lineRule="auto"/>
        <w:jc w:val="left"/>
        <w:rPr>
          <w:rFonts w:cs="Arial"/>
          <w:b/>
          <w:sz w:val="24"/>
          <w:szCs w:val="24"/>
        </w:rPr>
      </w:pPr>
      <w:r w:rsidRPr="00FF67A9">
        <w:rPr>
          <w:rFonts w:cs="Arial"/>
          <w:b/>
          <w:sz w:val="24"/>
          <w:szCs w:val="24"/>
        </w:rPr>
        <w:t>Likvidnostni položaj bančnega sistema ostaja dober</w:t>
      </w:r>
    </w:p>
    <w:p w:rsidR="00FF67A9" w:rsidRPr="00FF67A9" w:rsidRDefault="00FF67A9" w:rsidP="00FF67A9">
      <w:pPr>
        <w:spacing w:after="0" w:line="276" w:lineRule="auto"/>
        <w:jc w:val="left"/>
        <w:rPr>
          <w:rFonts w:cs="Arial"/>
          <w:sz w:val="24"/>
          <w:szCs w:val="24"/>
        </w:rPr>
      </w:pPr>
    </w:p>
    <w:p w:rsidR="000130C6" w:rsidRDefault="000130C6" w:rsidP="00FF67A9">
      <w:pPr>
        <w:spacing w:after="0" w:line="276" w:lineRule="auto"/>
        <w:jc w:val="left"/>
        <w:rPr>
          <w:rFonts w:cs="Arial"/>
          <w:sz w:val="24"/>
          <w:szCs w:val="24"/>
        </w:rPr>
      </w:pPr>
      <w:r w:rsidRPr="00FF67A9">
        <w:rPr>
          <w:rFonts w:cs="Arial"/>
          <w:sz w:val="24"/>
          <w:szCs w:val="24"/>
        </w:rPr>
        <w:t>Krčenje gospodarske aktivnosti močno blažijo spodbujevalni ukrepi ekonomskih politik, ki imajo veliko vlogo tudi pri ohranjanju stabilnih razmer na trgu dela.</w:t>
      </w:r>
    </w:p>
    <w:p w:rsidR="00FF67A9" w:rsidRPr="00FF67A9" w:rsidRDefault="00FF67A9" w:rsidP="00FF67A9">
      <w:pPr>
        <w:spacing w:after="0" w:line="276" w:lineRule="auto"/>
        <w:jc w:val="left"/>
        <w:rPr>
          <w:rFonts w:cs="Arial"/>
          <w:color w:val="FFFFFF" w:themeColor="background1"/>
          <w:sz w:val="24"/>
          <w:szCs w:val="24"/>
          <w:shd w:val="clear" w:color="auto" w:fill="3399FF"/>
        </w:rPr>
      </w:pPr>
    </w:p>
    <w:p w:rsidR="000130C6" w:rsidRDefault="000130C6" w:rsidP="00FF67A9">
      <w:pPr>
        <w:spacing w:after="0" w:line="276" w:lineRule="auto"/>
        <w:jc w:val="left"/>
        <w:rPr>
          <w:rFonts w:cs="Arial"/>
          <w:sz w:val="24"/>
          <w:szCs w:val="24"/>
        </w:rPr>
      </w:pPr>
      <w:r w:rsidRPr="00FF67A9">
        <w:rPr>
          <w:rFonts w:cs="Arial"/>
          <w:sz w:val="24"/>
          <w:szCs w:val="24"/>
        </w:rPr>
        <w:t>Citat ministra za finance magistra Andreja Širclja: »Bančni sistem je stabilen in robusten ter podpora družbenemu in gospodarskemu razvoju. Banke so del rešitve za izhod iz krize.«</w:t>
      </w:r>
    </w:p>
    <w:p w:rsidR="00FF67A9" w:rsidRPr="00FF67A9" w:rsidRDefault="00FF67A9" w:rsidP="00FF67A9">
      <w:pPr>
        <w:spacing w:after="0" w:line="276" w:lineRule="auto"/>
        <w:jc w:val="left"/>
        <w:rPr>
          <w:rFonts w:cs="Arial"/>
          <w:sz w:val="24"/>
          <w:szCs w:val="24"/>
        </w:rPr>
      </w:pPr>
    </w:p>
    <w:p w:rsidR="000130C6" w:rsidRDefault="000130C6" w:rsidP="00FF67A9">
      <w:pPr>
        <w:spacing w:after="0" w:line="276" w:lineRule="auto"/>
        <w:jc w:val="left"/>
        <w:rPr>
          <w:rFonts w:cs="Arial"/>
          <w:b/>
          <w:sz w:val="24"/>
          <w:szCs w:val="24"/>
        </w:rPr>
      </w:pPr>
      <w:r w:rsidRPr="00FF67A9">
        <w:rPr>
          <w:rFonts w:cs="Arial"/>
          <w:b/>
          <w:sz w:val="24"/>
          <w:szCs w:val="24"/>
        </w:rPr>
        <w:t>Kaj o nas pravijo bonitetne agencije?</w:t>
      </w:r>
    </w:p>
    <w:p w:rsidR="00FF67A9" w:rsidRPr="00FF67A9" w:rsidRDefault="00FF67A9" w:rsidP="00FF67A9">
      <w:pPr>
        <w:spacing w:after="0" w:line="276" w:lineRule="auto"/>
        <w:jc w:val="left"/>
        <w:rPr>
          <w:rFonts w:cs="Arial"/>
          <w:b/>
          <w:sz w:val="24"/>
          <w:szCs w:val="24"/>
        </w:rPr>
      </w:pPr>
    </w:p>
    <w:p w:rsidR="000130C6" w:rsidRPr="00FF67A9" w:rsidRDefault="000130C6" w:rsidP="00FF67A9">
      <w:pPr>
        <w:pStyle w:val="Odstavekseznama"/>
        <w:numPr>
          <w:ilvl w:val="0"/>
          <w:numId w:val="3"/>
        </w:numPr>
        <w:spacing w:after="0" w:line="276" w:lineRule="auto"/>
        <w:jc w:val="left"/>
        <w:rPr>
          <w:rFonts w:cs="Arial"/>
          <w:sz w:val="24"/>
          <w:szCs w:val="24"/>
        </w:rPr>
      </w:pPr>
      <w:r w:rsidRPr="00FF67A9">
        <w:rPr>
          <w:rFonts w:cs="Arial"/>
          <w:sz w:val="24"/>
          <w:szCs w:val="24"/>
        </w:rPr>
        <w:t xml:space="preserve">Odziv vlade </w:t>
      </w:r>
      <w:r w:rsidR="001827DC">
        <w:rPr>
          <w:rFonts w:cs="Arial"/>
          <w:sz w:val="24"/>
          <w:szCs w:val="24"/>
        </w:rPr>
        <w:t xml:space="preserve">na </w:t>
      </w:r>
      <w:r w:rsidRPr="00FF67A9">
        <w:rPr>
          <w:rFonts w:cs="Arial"/>
          <w:sz w:val="24"/>
          <w:szCs w:val="24"/>
        </w:rPr>
        <w:t>Covid-19 je odločen in učinkovit.</w:t>
      </w:r>
    </w:p>
    <w:p w:rsidR="000130C6" w:rsidRPr="00FF67A9" w:rsidRDefault="000130C6" w:rsidP="00FF67A9">
      <w:pPr>
        <w:pStyle w:val="Odstavekseznama"/>
        <w:numPr>
          <w:ilvl w:val="0"/>
          <w:numId w:val="3"/>
        </w:numPr>
        <w:spacing w:after="0" w:line="276" w:lineRule="auto"/>
        <w:jc w:val="left"/>
        <w:rPr>
          <w:rFonts w:cs="Arial"/>
          <w:sz w:val="24"/>
          <w:szCs w:val="24"/>
        </w:rPr>
      </w:pPr>
      <w:r w:rsidRPr="00FF67A9">
        <w:rPr>
          <w:rFonts w:cs="Arial"/>
          <w:sz w:val="24"/>
          <w:szCs w:val="24"/>
        </w:rPr>
        <w:t xml:space="preserve">Slovenija v epidemiološko krizo vstopa z močno fiskalno in zunanjetrgovinsko pozicijo in kapitalsko močnim bančnim sistemom. </w:t>
      </w:r>
    </w:p>
    <w:p w:rsidR="000130C6" w:rsidRDefault="000130C6" w:rsidP="00FF67A9">
      <w:pPr>
        <w:pStyle w:val="Odstavekseznama"/>
        <w:numPr>
          <w:ilvl w:val="0"/>
          <w:numId w:val="3"/>
        </w:numPr>
        <w:spacing w:after="0" w:line="276" w:lineRule="auto"/>
        <w:jc w:val="left"/>
        <w:rPr>
          <w:rFonts w:cs="Arial"/>
          <w:sz w:val="24"/>
          <w:szCs w:val="24"/>
        </w:rPr>
      </w:pPr>
      <w:r w:rsidRPr="00FF67A9">
        <w:rPr>
          <w:rFonts w:cs="Arial"/>
          <w:sz w:val="24"/>
          <w:szCs w:val="24"/>
        </w:rPr>
        <w:t>Z aktivnim upravljanjem dolga v preteklih letih in z nizkimi stroški tekočega refinanciranja zapadlih glavnic se je znižalo breme javnega dolga za javne finance.</w:t>
      </w:r>
    </w:p>
    <w:p w:rsidR="00FF67A9" w:rsidRPr="00FF67A9" w:rsidRDefault="00FF67A9" w:rsidP="00FF67A9">
      <w:pPr>
        <w:pStyle w:val="Odstavekseznama"/>
        <w:spacing w:after="0" w:line="276" w:lineRule="auto"/>
        <w:jc w:val="left"/>
        <w:rPr>
          <w:rFonts w:cs="Arial"/>
          <w:sz w:val="24"/>
          <w:szCs w:val="24"/>
        </w:rPr>
      </w:pPr>
    </w:p>
    <w:p w:rsidR="000130C6" w:rsidRDefault="000130C6" w:rsidP="00FF67A9">
      <w:pPr>
        <w:spacing w:after="0" w:line="276" w:lineRule="auto"/>
        <w:jc w:val="left"/>
        <w:rPr>
          <w:rFonts w:cs="Arial"/>
          <w:sz w:val="24"/>
          <w:szCs w:val="24"/>
        </w:rPr>
      </w:pPr>
      <w:r w:rsidRPr="00FF67A9">
        <w:rPr>
          <w:rFonts w:cs="Arial"/>
          <w:sz w:val="24"/>
          <w:szCs w:val="24"/>
        </w:rPr>
        <w:t xml:space="preserve">Bonitetne ocene </w:t>
      </w:r>
      <w:r w:rsidR="00DF26EC">
        <w:rPr>
          <w:rFonts w:cs="Arial"/>
          <w:sz w:val="24"/>
          <w:szCs w:val="24"/>
        </w:rPr>
        <w:t>Slovenije</w:t>
      </w:r>
      <w:r w:rsidR="00DF26EC" w:rsidRPr="00FF67A9">
        <w:rPr>
          <w:rFonts w:cs="Arial"/>
          <w:sz w:val="24"/>
          <w:szCs w:val="24"/>
        </w:rPr>
        <w:t xml:space="preserve"> </w:t>
      </w:r>
      <w:r w:rsidRPr="00FF67A9">
        <w:rPr>
          <w:rFonts w:cs="Arial"/>
          <w:sz w:val="24"/>
          <w:szCs w:val="24"/>
        </w:rPr>
        <w:t>so se skozi čas spreminjale. Trenutno stanje bonitetnih ocen</w:t>
      </w:r>
      <w:r w:rsidR="00DF26EC">
        <w:rPr>
          <w:rFonts w:cs="Arial"/>
          <w:sz w:val="24"/>
          <w:szCs w:val="24"/>
        </w:rPr>
        <w:t xml:space="preserve"> </w:t>
      </w:r>
      <w:r w:rsidRPr="00FF67A9">
        <w:rPr>
          <w:rFonts w:cs="Arial"/>
          <w:sz w:val="24"/>
          <w:szCs w:val="24"/>
        </w:rPr>
        <w:t>je prikazano v sledeči tabeli.</w:t>
      </w:r>
    </w:p>
    <w:p w:rsidR="00FF67A9" w:rsidRPr="00FF67A9" w:rsidRDefault="00FF67A9" w:rsidP="00FF67A9">
      <w:pPr>
        <w:spacing w:after="0" w:line="276" w:lineRule="auto"/>
        <w:jc w:val="left"/>
        <w:rPr>
          <w:rFonts w:cs="Arial"/>
          <w:sz w:val="24"/>
          <w:szCs w:val="24"/>
        </w:rPr>
      </w:pPr>
    </w:p>
    <w:tbl>
      <w:tblPr>
        <w:tblStyle w:val="Tabelamrea"/>
        <w:tblW w:w="0" w:type="auto"/>
        <w:tblLook w:val="04A0" w:firstRow="1" w:lastRow="0" w:firstColumn="1" w:lastColumn="0" w:noHBand="0" w:noVBand="1"/>
      </w:tblPr>
      <w:tblGrid>
        <w:gridCol w:w="1555"/>
        <w:gridCol w:w="2551"/>
        <w:gridCol w:w="1843"/>
      </w:tblGrid>
      <w:tr w:rsidR="000130C6" w:rsidRPr="00FF67A9" w:rsidTr="00741547">
        <w:tc>
          <w:tcPr>
            <w:tcW w:w="1555" w:type="dxa"/>
          </w:tcPr>
          <w:p w:rsidR="000130C6" w:rsidRPr="00FF67A9" w:rsidRDefault="000130C6" w:rsidP="00FF67A9">
            <w:pPr>
              <w:spacing w:line="276" w:lineRule="auto"/>
              <w:jc w:val="left"/>
              <w:rPr>
                <w:rFonts w:cs="Arial"/>
                <w:sz w:val="24"/>
                <w:szCs w:val="24"/>
              </w:rPr>
            </w:pPr>
            <w:r w:rsidRPr="00FF67A9">
              <w:rPr>
                <w:rFonts w:cs="Arial"/>
                <w:sz w:val="24"/>
                <w:szCs w:val="24"/>
              </w:rPr>
              <w:t>Agencija</w:t>
            </w:r>
          </w:p>
        </w:tc>
        <w:tc>
          <w:tcPr>
            <w:tcW w:w="2551" w:type="dxa"/>
          </w:tcPr>
          <w:p w:rsidR="000130C6" w:rsidRPr="00FF67A9" w:rsidRDefault="000130C6" w:rsidP="00FF67A9">
            <w:pPr>
              <w:spacing w:line="276" w:lineRule="auto"/>
              <w:jc w:val="left"/>
              <w:rPr>
                <w:rFonts w:cs="Arial"/>
                <w:sz w:val="24"/>
                <w:szCs w:val="24"/>
              </w:rPr>
            </w:pPr>
            <w:r w:rsidRPr="00FF67A9">
              <w:rPr>
                <w:rFonts w:cs="Arial"/>
                <w:sz w:val="24"/>
                <w:szCs w:val="24"/>
              </w:rPr>
              <w:t>Bonitetna ocena</w:t>
            </w:r>
          </w:p>
        </w:tc>
        <w:tc>
          <w:tcPr>
            <w:tcW w:w="1843" w:type="dxa"/>
          </w:tcPr>
          <w:p w:rsidR="000130C6" w:rsidRPr="00FF67A9" w:rsidRDefault="000130C6" w:rsidP="00FF67A9">
            <w:pPr>
              <w:spacing w:line="276" w:lineRule="auto"/>
              <w:jc w:val="left"/>
              <w:rPr>
                <w:rFonts w:cs="Arial"/>
                <w:sz w:val="24"/>
                <w:szCs w:val="24"/>
              </w:rPr>
            </w:pPr>
            <w:r w:rsidRPr="00FF67A9">
              <w:rPr>
                <w:rFonts w:cs="Arial"/>
                <w:sz w:val="24"/>
                <w:szCs w:val="24"/>
              </w:rPr>
              <w:t>Obeti</w:t>
            </w:r>
          </w:p>
        </w:tc>
      </w:tr>
      <w:tr w:rsidR="000130C6" w:rsidRPr="00FF67A9" w:rsidTr="00741547">
        <w:tc>
          <w:tcPr>
            <w:tcW w:w="1555" w:type="dxa"/>
          </w:tcPr>
          <w:p w:rsidR="000130C6" w:rsidRPr="00FF67A9" w:rsidRDefault="000130C6" w:rsidP="00FF67A9">
            <w:pPr>
              <w:spacing w:line="276" w:lineRule="auto"/>
              <w:jc w:val="left"/>
              <w:rPr>
                <w:rFonts w:cs="Arial"/>
                <w:sz w:val="24"/>
                <w:szCs w:val="24"/>
              </w:rPr>
            </w:pPr>
            <w:r w:rsidRPr="00FF67A9">
              <w:rPr>
                <w:rFonts w:cs="Arial"/>
                <w:sz w:val="24"/>
                <w:szCs w:val="24"/>
              </w:rPr>
              <w:t>S&amp;P</w:t>
            </w:r>
          </w:p>
        </w:tc>
        <w:tc>
          <w:tcPr>
            <w:tcW w:w="2551" w:type="dxa"/>
          </w:tcPr>
          <w:p w:rsidR="000130C6" w:rsidRPr="00FF67A9" w:rsidRDefault="000130C6" w:rsidP="00FF67A9">
            <w:pPr>
              <w:spacing w:line="276" w:lineRule="auto"/>
              <w:jc w:val="left"/>
              <w:rPr>
                <w:rFonts w:cs="Arial"/>
                <w:sz w:val="24"/>
                <w:szCs w:val="24"/>
              </w:rPr>
            </w:pPr>
            <w:r w:rsidRPr="00FF67A9">
              <w:rPr>
                <w:rFonts w:cs="Arial"/>
                <w:sz w:val="24"/>
                <w:szCs w:val="24"/>
              </w:rPr>
              <w:t>AA-</w:t>
            </w:r>
          </w:p>
        </w:tc>
        <w:tc>
          <w:tcPr>
            <w:tcW w:w="1843" w:type="dxa"/>
          </w:tcPr>
          <w:p w:rsidR="000130C6" w:rsidRPr="00FF67A9" w:rsidRDefault="000130C6" w:rsidP="00FF67A9">
            <w:pPr>
              <w:spacing w:line="276" w:lineRule="auto"/>
              <w:jc w:val="left"/>
              <w:rPr>
                <w:rFonts w:cs="Arial"/>
                <w:sz w:val="24"/>
                <w:szCs w:val="24"/>
              </w:rPr>
            </w:pPr>
            <w:r w:rsidRPr="00FF67A9">
              <w:rPr>
                <w:rFonts w:cs="Arial"/>
                <w:sz w:val="24"/>
                <w:szCs w:val="24"/>
              </w:rPr>
              <w:t>stabilni</w:t>
            </w:r>
          </w:p>
        </w:tc>
      </w:tr>
      <w:tr w:rsidR="000130C6" w:rsidRPr="00FF67A9" w:rsidTr="00741547">
        <w:tc>
          <w:tcPr>
            <w:tcW w:w="1555" w:type="dxa"/>
          </w:tcPr>
          <w:p w:rsidR="000130C6" w:rsidRPr="00FF67A9" w:rsidRDefault="000130C6" w:rsidP="00FF67A9">
            <w:pPr>
              <w:spacing w:line="276" w:lineRule="auto"/>
              <w:jc w:val="left"/>
              <w:rPr>
                <w:rFonts w:cs="Arial"/>
                <w:sz w:val="24"/>
                <w:szCs w:val="24"/>
              </w:rPr>
            </w:pPr>
            <w:r w:rsidRPr="00FF67A9">
              <w:rPr>
                <w:rFonts w:cs="Arial"/>
                <w:sz w:val="24"/>
                <w:szCs w:val="24"/>
                <w:lang w:val="en-US"/>
              </w:rPr>
              <w:t>Fitch</w:t>
            </w:r>
          </w:p>
        </w:tc>
        <w:tc>
          <w:tcPr>
            <w:tcW w:w="2551" w:type="dxa"/>
          </w:tcPr>
          <w:p w:rsidR="000130C6" w:rsidRPr="00FF67A9" w:rsidRDefault="000130C6" w:rsidP="00FF67A9">
            <w:pPr>
              <w:spacing w:line="276" w:lineRule="auto"/>
              <w:jc w:val="left"/>
              <w:rPr>
                <w:rFonts w:cs="Arial"/>
                <w:sz w:val="24"/>
                <w:szCs w:val="24"/>
              </w:rPr>
            </w:pPr>
            <w:r w:rsidRPr="00FF67A9">
              <w:rPr>
                <w:rFonts w:cs="Arial"/>
                <w:sz w:val="24"/>
                <w:szCs w:val="24"/>
              </w:rPr>
              <w:t>A</w:t>
            </w:r>
          </w:p>
        </w:tc>
        <w:tc>
          <w:tcPr>
            <w:tcW w:w="1843" w:type="dxa"/>
          </w:tcPr>
          <w:p w:rsidR="000130C6" w:rsidRPr="00FF67A9" w:rsidRDefault="000130C6" w:rsidP="00FF67A9">
            <w:pPr>
              <w:spacing w:line="276" w:lineRule="auto"/>
              <w:jc w:val="left"/>
              <w:rPr>
                <w:rFonts w:cs="Arial"/>
                <w:sz w:val="24"/>
                <w:szCs w:val="24"/>
              </w:rPr>
            </w:pPr>
            <w:r w:rsidRPr="00FF67A9">
              <w:rPr>
                <w:rFonts w:cs="Arial"/>
                <w:sz w:val="24"/>
                <w:szCs w:val="24"/>
              </w:rPr>
              <w:t>stabilni</w:t>
            </w:r>
          </w:p>
        </w:tc>
      </w:tr>
      <w:tr w:rsidR="000130C6" w:rsidRPr="00FF67A9" w:rsidTr="00741547">
        <w:tc>
          <w:tcPr>
            <w:tcW w:w="1555" w:type="dxa"/>
          </w:tcPr>
          <w:p w:rsidR="000130C6" w:rsidRPr="00FF67A9" w:rsidRDefault="000130C6" w:rsidP="00FF67A9">
            <w:pPr>
              <w:spacing w:line="276" w:lineRule="auto"/>
              <w:jc w:val="left"/>
              <w:rPr>
                <w:rFonts w:cs="Arial"/>
                <w:sz w:val="24"/>
                <w:szCs w:val="24"/>
              </w:rPr>
            </w:pPr>
            <w:r w:rsidRPr="00FF67A9">
              <w:rPr>
                <w:rFonts w:cs="Arial"/>
                <w:sz w:val="24"/>
                <w:szCs w:val="24"/>
              </w:rPr>
              <w:t>Moody's</w:t>
            </w:r>
          </w:p>
        </w:tc>
        <w:tc>
          <w:tcPr>
            <w:tcW w:w="2551" w:type="dxa"/>
          </w:tcPr>
          <w:p w:rsidR="000130C6" w:rsidRPr="00FF67A9" w:rsidRDefault="000130C6" w:rsidP="00FF67A9">
            <w:pPr>
              <w:spacing w:line="276" w:lineRule="auto"/>
              <w:jc w:val="left"/>
              <w:rPr>
                <w:rFonts w:cs="Arial"/>
                <w:sz w:val="24"/>
                <w:szCs w:val="24"/>
              </w:rPr>
            </w:pPr>
            <w:r w:rsidRPr="00FF67A9">
              <w:rPr>
                <w:rFonts w:cs="Arial"/>
                <w:sz w:val="24"/>
                <w:szCs w:val="24"/>
              </w:rPr>
              <w:t>A3</w:t>
            </w:r>
          </w:p>
        </w:tc>
        <w:tc>
          <w:tcPr>
            <w:tcW w:w="1843" w:type="dxa"/>
          </w:tcPr>
          <w:p w:rsidR="000130C6" w:rsidRPr="00FF67A9" w:rsidRDefault="000130C6" w:rsidP="00FF67A9">
            <w:pPr>
              <w:spacing w:line="276" w:lineRule="auto"/>
              <w:jc w:val="left"/>
              <w:rPr>
                <w:rFonts w:cs="Arial"/>
                <w:sz w:val="24"/>
                <w:szCs w:val="24"/>
              </w:rPr>
            </w:pPr>
            <w:r w:rsidRPr="00FF67A9">
              <w:rPr>
                <w:rFonts w:cs="Arial"/>
                <w:sz w:val="24"/>
                <w:szCs w:val="24"/>
              </w:rPr>
              <w:t>stabilni</w:t>
            </w:r>
          </w:p>
        </w:tc>
      </w:tr>
      <w:tr w:rsidR="000130C6" w:rsidRPr="00FF67A9" w:rsidTr="00741547">
        <w:tc>
          <w:tcPr>
            <w:tcW w:w="1555" w:type="dxa"/>
          </w:tcPr>
          <w:p w:rsidR="000130C6" w:rsidRPr="00FF67A9" w:rsidRDefault="000130C6" w:rsidP="00FF67A9">
            <w:pPr>
              <w:spacing w:line="276" w:lineRule="auto"/>
              <w:jc w:val="left"/>
              <w:rPr>
                <w:rFonts w:cs="Arial"/>
                <w:sz w:val="24"/>
                <w:szCs w:val="24"/>
              </w:rPr>
            </w:pPr>
            <w:r w:rsidRPr="00FF67A9">
              <w:rPr>
                <w:rFonts w:cs="Arial"/>
                <w:sz w:val="24"/>
                <w:szCs w:val="24"/>
              </w:rPr>
              <w:t>DBRS</w:t>
            </w:r>
          </w:p>
        </w:tc>
        <w:tc>
          <w:tcPr>
            <w:tcW w:w="2551" w:type="dxa"/>
          </w:tcPr>
          <w:p w:rsidR="000130C6" w:rsidRPr="00FF67A9" w:rsidRDefault="000130C6" w:rsidP="00FF67A9">
            <w:pPr>
              <w:spacing w:line="276" w:lineRule="auto"/>
              <w:jc w:val="left"/>
              <w:rPr>
                <w:rFonts w:cs="Arial"/>
                <w:sz w:val="24"/>
                <w:szCs w:val="24"/>
              </w:rPr>
            </w:pPr>
            <w:r w:rsidRPr="00FF67A9">
              <w:rPr>
                <w:rFonts w:cs="Arial"/>
                <w:sz w:val="24"/>
                <w:szCs w:val="24"/>
              </w:rPr>
              <w:t>AH</w:t>
            </w:r>
          </w:p>
        </w:tc>
        <w:tc>
          <w:tcPr>
            <w:tcW w:w="1843" w:type="dxa"/>
          </w:tcPr>
          <w:p w:rsidR="000130C6" w:rsidRPr="00FF67A9" w:rsidRDefault="000130C6" w:rsidP="00FF67A9">
            <w:pPr>
              <w:spacing w:line="276" w:lineRule="auto"/>
              <w:jc w:val="left"/>
              <w:rPr>
                <w:rFonts w:cs="Arial"/>
                <w:sz w:val="24"/>
                <w:szCs w:val="24"/>
              </w:rPr>
            </w:pPr>
            <w:r w:rsidRPr="00FF67A9">
              <w:rPr>
                <w:rFonts w:cs="Arial"/>
                <w:sz w:val="24"/>
                <w:szCs w:val="24"/>
              </w:rPr>
              <w:t>stabilni</w:t>
            </w:r>
          </w:p>
        </w:tc>
      </w:tr>
    </w:tbl>
    <w:p w:rsidR="000130C6" w:rsidRPr="00FF67A9" w:rsidRDefault="000130C6" w:rsidP="00FF67A9">
      <w:pPr>
        <w:spacing w:after="0" w:line="276" w:lineRule="auto"/>
        <w:jc w:val="left"/>
        <w:rPr>
          <w:rFonts w:cs="Arial"/>
          <w:sz w:val="24"/>
          <w:szCs w:val="24"/>
        </w:rPr>
      </w:pPr>
    </w:p>
    <w:p w:rsidR="00AF7D3E" w:rsidRDefault="000130C6" w:rsidP="00FF67A9">
      <w:pPr>
        <w:spacing w:after="0" w:line="276" w:lineRule="auto"/>
        <w:jc w:val="left"/>
        <w:rPr>
          <w:rFonts w:cs="Arial"/>
          <w:b/>
          <w:sz w:val="24"/>
          <w:szCs w:val="24"/>
        </w:rPr>
      </w:pPr>
      <w:r w:rsidRPr="00FF67A9">
        <w:rPr>
          <w:rFonts w:cs="Arial"/>
          <w:b/>
          <w:sz w:val="24"/>
          <w:szCs w:val="24"/>
        </w:rPr>
        <w:t>Pripravili smo tudi</w:t>
      </w:r>
      <w:r w:rsidR="00AF7D3E">
        <w:rPr>
          <w:rFonts w:cs="Arial"/>
          <w:b/>
          <w:sz w:val="24"/>
          <w:szCs w:val="24"/>
        </w:rPr>
        <w:t>:</w:t>
      </w:r>
      <w:r w:rsidRPr="00FF67A9">
        <w:rPr>
          <w:rFonts w:cs="Arial"/>
          <w:b/>
          <w:sz w:val="24"/>
          <w:szCs w:val="24"/>
        </w:rPr>
        <w:t xml:space="preserve"> </w:t>
      </w:r>
    </w:p>
    <w:p w:rsidR="00AF7D3E" w:rsidRDefault="00AF7D3E" w:rsidP="00FF67A9">
      <w:pPr>
        <w:spacing w:after="0" w:line="276" w:lineRule="auto"/>
        <w:jc w:val="left"/>
        <w:rPr>
          <w:rFonts w:cs="Arial"/>
          <w:b/>
          <w:sz w:val="24"/>
          <w:szCs w:val="24"/>
        </w:rPr>
      </w:pPr>
    </w:p>
    <w:p w:rsidR="000130C6" w:rsidRDefault="00AF7D3E" w:rsidP="00FF67A9">
      <w:pPr>
        <w:spacing w:after="0" w:line="276" w:lineRule="auto"/>
        <w:jc w:val="left"/>
        <w:rPr>
          <w:rFonts w:cs="Arial"/>
          <w:b/>
          <w:sz w:val="24"/>
          <w:szCs w:val="24"/>
        </w:rPr>
      </w:pPr>
      <w:r>
        <w:rPr>
          <w:rFonts w:cs="Arial"/>
          <w:b/>
          <w:sz w:val="24"/>
          <w:szCs w:val="24"/>
        </w:rPr>
        <w:t>P</w:t>
      </w:r>
      <w:bookmarkStart w:id="0" w:name="_GoBack"/>
      <w:bookmarkEnd w:id="0"/>
      <w:r w:rsidR="000130C6" w:rsidRPr="00FF67A9">
        <w:rPr>
          <w:rFonts w:cs="Arial"/>
          <w:b/>
          <w:sz w:val="24"/>
          <w:szCs w:val="24"/>
        </w:rPr>
        <w:t>roračunske dokumente za leti 2021 in 2022</w:t>
      </w:r>
    </w:p>
    <w:p w:rsidR="00FF67A9" w:rsidRPr="00FF67A9" w:rsidRDefault="00FF67A9" w:rsidP="00FF67A9">
      <w:pPr>
        <w:spacing w:after="0" w:line="276" w:lineRule="auto"/>
        <w:jc w:val="left"/>
        <w:rPr>
          <w:rFonts w:cs="Arial"/>
          <w:b/>
          <w:sz w:val="24"/>
          <w:szCs w:val="24"/>
        </w:rPr>
      </w:pPr>
    </w:p>
    <w:p w:rsidR="000130C6" w:rsidRDefault="000130C6" w:rsidP="00FF67A9">
      <w:pPr>
        <w:spacing w:after="0" w:line="276" w:lineRule="auto"/>
        <w:jc w:val="left"/>
        <w:rPr>
          <w:rFonts w:cs="Arial"/>
          <w:sz w:val="24"/>
          <w:szCs w:val="24"/>
        </w:rPr>
      </w:pPr>
      <w:r w:rsidRPr="00FF67A9">
        <w:rPr>
          <w:rFonts w:cs="Arial"/>
          <w:sz w:val="24"/>
          <w:szCs w:val="24"/>
        </w:rPr>
        <w:t>V proračunu je izrazita razvojna komponenta državnega proračuna, ki se kaže v veliki rasti investicij v letu 2021. Skupno bomo v letu 2021 za investicije in investicijske transferje namenili 1.980 milijonov evrov, kar je približno dvakrat toliko kot v letu 2020.</w:t>
      </w:r>
    </w:p>
    <w:p w:rsidR="00AF141B" w:rsidRPr="00FF67A9" w:rsidRDefault="00AF141B" w:rsidP="00FF67A9">
      <w:pPr>
        <w:spacing w:after="0" w:line="276" w:lineRule="auto"/>
        <w:jc w:val="left"/>
        <w:rPr>
          <w:rFonts w:cs="Arial"/>
          <w:sz w:val="24"/>
          <w:szCs w:val="24"/>
        </w:rPr>
      </w:pPr>
    </w:p>
    <w:p w:rsidR="000130C6" w:rsidRDefault="000130C6" w:rsidP="00FF67A9">
      <w:pPr>
        <w:spacing w:after="0" w:line="276" w:lineRule="auto"/>
        <w:jc w:val="left"/>
        <w:rPr>
          <w:rFonts w:cs="Arial"/>
          <w:sz w:val="24"/>
          <w:szCs w:val="24"/>
        </w:rPr>
      </w:pPr>
      <w:r w:rsidRPr="00FF67A9">
        <w:rPr>
          <w:rFonts w:cs="Arial"/>
          <w:sz w:val="24"/>
          <w:szCs w:val="24"/>
        </w:rPr>
        <w:lastRenderedPageBreak/>
        <w:t>V primerjavi z realizacijo v letu 2019 spremembe proračuna za leto 2021 prinašajo povečanje sredstev na številnih področjih. Konkretno: 346 milijonov več za zdravje, 71 milijonov več za kmetijstvo, za gospodarstvo 198 milijonov več in za kulturo 65 milijonov več.</w:t>
      </w:r>
    </w:p>
    <w:p w:rsidR="00FF67A9" w:rsidRPr="00FF67A9" w:rsidRDefault="00FF67A9" w:rsidP="00FF67A9">
      <w:pPr>
        <w:spacing w:after="0" w:line="276" w:lineRule="auto"/>
        <w:jc w:val="left"/>
        <w:rPr>
          <w:rFonts w:cs="Arial"/>
          <w:sz w:val="24"/>
          <w:szCs w:val="24"/>
        </w:rPr>
      </w:pPr>
    </w:p>
    <w:p w:rsidR="000130C6" w:rsidRDefault="000130C6" w:rsidP="00FF67A9">
      <w:pPr>
        <w:spacing w:after="0" w:line="276" w:lineRule="auto"/>
        <w:jc w:val="left"/>
        <w:rPr>
          <w:rFonts w:cs="Arial"/>
          <w:sz w:val="24"/>
          <w:szCs w:val="24"/>
        </w:rPr>
      </w:pPr>
      <w:r w:rsidRPr="00FF67A9">
        <w:rPr>
          <w:rFonts w:cs="Arial"/>
          <w:b/>
          <w:sz w:val="24"/>
          <w:szCs w:val="24"/>
        </w:rPr>
        <w:t>Zakon o davku na motorna vozila</w:t>
      </w:r>
      <w:r w:rsidRPr="00FF67A9">
        <w:rPr>
          <w:rFonts w:cs="Arial"/>
          <w:sz w:val="24"/>
          <w:szCs w:val="24"/>
        </w:rPr>
        <w:t xml:space="preserve"> </w:t>
      </w:r>
    </w:p>
    <w:p w:rsidR="00FF67A9" w:rsidRPr="00FF67A9" w:rsidRDefault="00FF67A9" w:rsidP="00FF67A9">
      <w:pPr>
        <w:spacing w:after="0" w:line="276" w:lineRule="auto"/>
        <w:jc w:val="left"/>
        <w:rPr>
          <w:rFonts w:cs="Arial"/>
          <w:sz w:val="24"/>
          <w:szCs w:val="24"/>
        </w:rPr>
      </w:pPr>
    </w:p>
    <w:p w:rsidR="000130C6" w:rsidRPr="00FF67A9" w:rsidRDefault="000130C6" w:rsidP="00FF67A9">
      <w:pPr>
        <w:spacing w:after="0" w:line="276" w:lineRule="auto"/>
        <w:jc w:val="left"/>
        <w:rPr>
          <w:rFonts w:cs="Arial"/>
          <w:sz w:val="24"/>
          <w:szCs w:val="24"/>
        </w:rPr>
      </w:pPr>
      <w:r w:rsidRPr="00FF67A9">
        <w:rPr>
          <w:rFonts w:cs="Arial"/>
          <w:sz w:val="24"/>
          <w:szCs w:val="24"/>
        </w:rPr>
        <w:t>Obdavčitev bo odvisna od onesnaževanja okolja, odpravlja se dodatni (luksuzni) davek na motorna vozila, za električna vozila in druga vozila brez izpustov se davek ne bo plačeval. Povprečni davek za nova vozila po veljavnem zakonu znižujemo s 460 na 160 evrov.</w:t>
      </w:r>
    </w:p>
    <w:p w:rsidR="000130C6" w:rsidRPr="007534FD" w:rsidRDefault="000130C6" w:rsidP="00FF67A9">
      <w:pPr>
        <w:spacing w:after="0" w:line="276" w:lineRule="auto"/>
        <w:jc w:val="left"/>
      </w:pPr>
    </w:p>
    <w:sectPr w:rsidR="000130C6" w:rsidRPr="00753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30075"/>
    <w:multiLevelType w:val="hybridMultilevel"/>
    <w:tmpl w:val="646AA0A0"/>
    <w:lvl w:ilvl="0" w:tplc="EF2AB8A0">
      <w:numFmt w:val="bullet"/>
      <w:lvlText w:val="-"/>
      <w:lvlJc w:val="left"/>
      <w:pPr>
        <w:ind w:left="720" w:hanging="360"/>
      </w:pPr>
      <w:rPr>
        <w:rFonts w:ascii="Georgia" w:eastAsiaTheme="minorHAnsi"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EAF4563"/>
    <w:multiLevelType w:val="hybridMultilevel"/>
    <w:tmpl w:val="3578A8EA"/>
    <w:lvl w:ilvl="0" w:tplc="EF2AB8A0">
      <w:numFmt w:val="bullet"/>
      <w:lvlText w:val="-"/>
      <w:lvlJc w:val="left"/>
      <w:pPr>
        <w:ind w:left="720" w:hanging="360"/>
      </w:pPr>
      <w:rPr>
        <w:rFonts w:ascii="Georgia" w:eastAsiaTheme="minorHAnsi"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03317A9"/>
    <w:multiLevelType w:val="hybridMultilevel"/>
    <w:tmpl w:val="B1F0C9DA"/>
    <w:lvl w:ilvl="0" w:tplc="EF2AB8A0">
      <w:numFmt w:val="bullet"/>
      <w:lvlText w:val="-"/>
      <w:lvlJc w:val="left"/>
      <w:pPr>
        <w:ind w:left="720" w:hanging="360"/>
      </w:pPr>
      <w:rPr>
        <w:rFonts w:ascii="Georgia" w:eastAsiaTheme="minorHAnsi"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97"/>
    <w:rsid w:val="000130C6"/>
    <w:rsid w:val="00074280"/>
    <w:rsid w:val="001827DC"/>
    <w:rsid w:val="00342D39"/>
    <w:rsid w:val="00356872"/>
    <w:rsid w:val="005B2B26"/>
    <w:rsid w:val="00640C40"/>
    <w:rsid w:val="00741547"/>
    <w:rsid w:val="007534FD"/>
    <w:rsid w:val="007C3393"/>
    <w:rsid w:val="008B3ACC"/>
    <w:rsid w:val="008D2250"/>
    <w:rsid w:val="00942261"/>
    <w:rsid w:val="0095364A"/>
    <w:rsid w:val="00986ABB"/>
    <w:rsid w:val="009957F4"/>
    <w:rsid w:val="00AF141B"/>
    <w:rsid w:val="00AF7D3E"/>
    <w:rsid w:val="00B25FA7"/>
    <w:rsid w:val="00B53197"/>
    <w:rsid w:val="00DF26EC"/>
    <w:rsid w:val="00EE18DE"/>
    <w:rsid w:val="00FA7A47"/>
    <w:rsid w:val="00FC0D7F"/>
    <w:rsid w:val="00FF67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0532E"/>
  <w15:chartTrackingRefBased/>
  <w15:docId w15:val="{C63C77BD-1F36-492A-8B93-BC1ECAD7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53197"/>
    <w:pPr>
      <w:spacing w:line="240" w:lineRule="auto"/>
      <w:jc w:val="both"/>
    </w:pPr>
    <w:rPr>
      <w:rFonts w:ascii="Arial" w:hAnsi="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53197"/>
    <w:pPr>
      <w:ind w:left="720"/>
      <w:contextualSpacing/>
    </w:pPr>
  </w:style>
  <w:style w:type="table" w:styleId="Tabelamrea">
    <w:name w:val="Table Grid"/>
    <w:basedOn w:val="Navadnatabela"/>
    <w:uiPriority w:val="39"/>
    <w:rsid w:val="00B25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4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950</Words>
  <Characters>5415</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Franja Zagorc</dc:creator>
  <cp:keywords/>
  <dc:description/>
  <cp:lastModifiedBy>Franja Zagorc</cp:lastModifiedBy>
  <cp:revision>19</cp:revision>
  <dcterms:created xsi:type="dcterms:W3CDTF">2020-12-29T12:41:00Z</dcterms:created>
  <dcterms:modified xsi:type="dcterms:W3CDTF">2020-12-31T08:19:00Z</dcterms:modified>
</cp:coreProperties>
</file>