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56" w:rsidRPr="00F844EE" w:rsidRDefault="00F844EE">
      <w:pPr>
        <w:rPr>
          <w:b/>
        </w:rPr>
      </w:pPr>
      <w:r w:rsidRPr="00F844EE">
        <w:rPr>
          <w:b/>
        </w:rPr>
        <w:t>Dinamika dolga sektor</w:t>
      </w:r>
      <w:r w:rsidR="004662B7">
        <w:rPr>
          <w:b/>
        </w:rPr>
        <w:t>ja</w:t>
      </w:r>
      <w:r w:rsidRPr="00F844EE">
        <w:rPr>
          <w:b/>
        </w:rPr>
        <w:t xml:space="preserve"> država in obresti na dolg državnega proračuna</w:t>
      </w:r>
    </w:p>
    <w:p w:rsidR="0015658A" w:rsidRDefault="00F844EE">
      <w:r>
        <w:t>Spodnja tabela prikazuje gibanje dolga sektor</w:t>
      </w:r>
      <w:r w:rsidR="004662B7">
        <w:t>ja</w:t>
      </w:r>
      <w:r>
        <w:t xml:space="preserve"> država od leta 2018. Ocene dolga sektor</w:t>
      </w:r>
      <w:r w:rsidR="004662B7">
        <w:t>ja</w:t>
      </w:r>
      <w:r>
        <w:t xml:space="preserve"> država za </w:t>
      </w:r>
      <w:r w:rsidR="004662B7">
        <w:t xml:space="preserve">leti </w:t>
      </w:r>
      <w:r>
        <w:t xml:space="preserve">2020-2021 so pripravljene na osnovi sprejetih proračunov. Ocena </w:t>
      </w:r>
      <w:r w:rsidR="00E215B8">
        <w:t xml:space="preserve">za </w:t>
      </w:r>
      <w:r>
        <w:t xml:space="preserve">BDP je </w:t>
      </w:r>
      <w:r w:rsidR="00E215B8">
        <w:t>pridobljena</w:t>
      </w:r>
      <w:r>
        <w:t xml:space="preserve"> iz Umarjeve jesenske napovedi iz leta 2019. Spodnja ocena dolga sektor</w:t>
      </w:r>
      <w:r w:rsidR="004662B7">
        <w:t>ja</w:t>
      </w:r>
      <w:r>
        <w:t xml:space="preserve"> država za leto 2019 je ocena Ministrstva za finance.  Končno stanje dolga sektor</w:t>
      </w:r>
      <w:r w:rsidR="004662B7">
        <w:t>ja</w:t>
      </w:r>
      <w:r>
        <w:t xml:space="preserve"> država za leto 2019 bo SURS sporočil 31.</w:t>
      </w:r>
      <w:r w:rsidR="004662B7">
        <w:t xml:space="preserve"> </w:t>
      </w:r>
      <w:r>
        <w:t>3.</w:t>
      </w:r>
      <w:r w:rsidR="004662B7">
        <w:t xml:space="preserve"> </w:t>
      </w:r>
      <w:r w:rsidR="0015658A">
        <w:t>2020.</w:t>
      </w:r>
    </w:p>
    <w:p w:rsidR="0015658A" w:rsidRDefault="0015658A" w:rsidP="0015658A">
      <w:pPr>
        <w:spacing w:after="0" w:line="240" w:lineRule="auto"/>
      </w:pPr>
    </w:p>
    <w:p w:rsidR="00376983" w:rsidRDefault="00E215B8">
      <w:r w:rsidRPr="00E215B8">
        <w:rPr>
          <w:b/>
        </w:rPr>
        <w:t>Tabela 1:</w:t>
      </w:r>
      <w:r>
        <w:t xml:space="preserve"> Dolg sektor</w:t>
      </w:r>
      <w:r w:rsidR="004662B7">
        <w:t>ja</w:t>
      </w:r>
      <w:r>
        <w:t xml:space="preserve"> država v mi</w:t>
      </w:r>
      <w:r w:rsidR="004662B7">
        <w:t>lijonih evrov</w:t>
      </w:r>
      <w:r>
        <w:t xml:space="preserve"> in % BDP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215B8" w:rsidRPr="00E215B8" w:rsidTr="00E215B8">
        <w:tc>
          <w:tcPr>
            <w:tcW w:w="2303" w:type="dxa"/>
            <w:shd w:val="clear" w:color="auto" w:fill="1F497D" w:themeFill="text2"/>
          </w:tcPr>
          <w:p w:rsidR="00F844EE" w:rsidRPr="00E215B8" w:rsidRDefault="00F844EE" w:rsidP="00E215B8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E215B8">
              <w:rPr>
                <w:b/>
                <w:color w:val="FFFFFF" w:themeColor="background1"/>
                <w:sz w:val="20"/>
              </w:rPr>
              <w:t>Leto</w:t>
            </w:r>
          </w:p>
        </w:tc>
        <w:tc>
          <w:tcPr>
            <w:tcW w:w="2303" w:type="dxa"/>
            <w:shd w:val="clear" w:color="auto" w:fill="1F497D" w:themeFill="text2"/>
          </w:tcPr>
          <w:p w:rsidR="00E215B8" w:rsidRDefault="00F844EE" w:rsidP="00E215B8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E215B8">
              <w:rPr>
                <w:b/>
                <w:color w:val="FFFFFF" w:themeColor="background1"/>
                <w:sz w:val="20"/>
              </w:rPr>
              <w:t xml:space="preserve">Dolg sektor država </w:t>
            </w:r>
          </w:p>
          <w:p w:rsidR="00F844EE" w:rsidRPr="00E215B8" w:rsidRDefault="00F844EE" w:rsidP="00E215B8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E215B8">
              <w:rPr>
                <w:b/>
                <w:color w:val="FFFFFF" w:themeColor="background1"/>
                <w:sz w:val="20"/>
              </w:rPr>
              <w:t>(mio</w:t>
            </w:r>
            <w:r w:rsidR="00E215B8">
              <w:rPr>
                <w:b/>
                <w:color w:val="FFFFFF" w:themeColor="background1"/>
                <w:sz w:val="20"/>
              </w:rPr>
              <w:t>.</w:t>
            </w:r>
            <w:r w:rsidRPr="00E215B8">
              <w:rPr>
                <w:b/>
                <w:color w:val="FFFFFF" w:themeColor="background1"/>
                <w:sz w:val="20"/>
              </w:rPr>
              <w:t xml:space="preserve"> EUR)</w:t>
            </w:r>
          </w:p>
        </w:tc>
        <w:tc>
          <w:tcPr>
            <w:tcW w:w="2303" w:type="dxa"/>
            <w:shd w:val="clear" w:color="auto" w:fill="1F497D" w:themeFill="text2"/>
          </w:tcPr>
          <w:p w:rsidR="00F844EE" w:rsidRPr="00E215B8" w:rsidRDefault="00F844EE" w:rsidP="00E215B8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E215B8">
              <w:rPr>
                <w:b/>
                <w:color w:val="FFFFFF" w:themeColor="background1"/>
                <w:sz w:val="20"/>
              </w:rPr>
              <w:t>Dolg sektor država</w:t>
            </w:r>
          </w:p>
          <w:p w:rsidR="00F844EE" w:rsidRPr="00E215B8" w:rsidRDefault="00F844EE" w:rsidP="00E215B8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E215B8">
              <w:rPr>
                <w:b/>
                <w:color w:val="FFFFFF" w:themeColor="background1"/>
                <w:sz w:val="20"/>
              </w:rPr>
              <w:t>(% BDP)</w:t>
            </w:r>
          </w:p>
        </w:tc>
        <w:tc>
          <w:tcPr>
            <w:tcW w:w="2303" w:type="dxa"/>
            <w:shd w:val="clear" w:color="auto" w:fill="1F497D" w:themeFill="text2"/>
          </w:tcPr>
          <w:p w:rsidR="00F844EE" w:rsidRPr="00E215B8" w:rsidRDefault="00F844EE" w:rsidP="00E215B8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E215B8">
              <w:rPr>
                <w:b/>
                <w:color w:val="FFFFFF" w:themeColor="background1"/>
                <w:sz w:val="20"/>
              </w:rPr>
              <w:t>BDP</w:t>
            </w:r>
          </w:p>
          <w:p w:rsidR="00F844EE" w:rsidRPr="00E215B8" w:rsidRDefault="00F844EE" w:rsidP="00E215B8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E215B8">
              <w:rPr>
                <w:b/>
                <w:color w:val="FFFFFF" w:themeColor="background1"/>
                <w:sz w:val="20"/>
              </w:rPr>
              <w:t>(mio</w:t>
            </w:r>
            <w:r w:rsidR="00E215B8">
              <w:rPr>
                <w:b/>
                <w:color w:val="FFFFFF" w:themeColor="background1"/>
                <w:sz w:val="20"/>
              </w:rPr>
              <w:t>.</w:t>
            </w:r>
            <w:r w:rsidRPr="00E215B8">
              <w:rPr>
                <w:b/>
                <w:color w:val="FFFFFF" w:themeColor="background1"/>
                <w:sz w:val="20"/>
              </w:rPr>
              <w:t xml:space="preserve"> EUR)</w:t>
            </w:r>
          </w:p>
        </w:tc>
      </w:tr>
      <w:tr w:rsidR="00F844EE" w:rsidTr="00F844EE">
        <w:tc>
          <w:tcPr>
            <w:tcW w:w="2303" w:type="dxa"/>
          </w:tcPr>
          <w:p w:rsidR="00F844EE" w:rsidRDefault="00F844EE" w:rsidP="00376983">
            <w:pPr>
              <w:jc w:val="center"/>
            </w:pPr>
            <w:r>
              <w:t>2018</w:t>
            </w:r>
          </w:p>
        </w:tc>
        <w:tc>
          <w:tcPr>
            <w:tcW w:w="2303" w:type="dxa"/>
          </w:tcPr>
          <w:p w:rsidR="00F844EE" w:rsidRDefault="00F844EE" w:rsidP="00376983">
            <w:pPr>
              <w:jc w:val="center"/>
            </w:pPr>
            <w:r>
              <w:t>32.222,9</w:t>
            </w:r>
          </w:p>
        </w:tc>
        <w:tc>
          <w:tcPr>
            <w:tcW w:w="2303" w:type="dxa"/>
          </w:tcPr>
          <w:p w:rsidR="00F844EE" w:rsidRDefault="00376983" w:rsidP="00376983">
            <w:pPr>
              <w:jc w:val="center"/>
            </w:pPr>
            <w:r>
              <w:t>70,4</w:t>
            </w:r>
          </w:p>
        </w:tc>
        <w:tc>
          <w:tcPr>
            <w:tcW w:w="2303" w:type="dxa"/>
          </w:tcPr>
          <w:p w:rsidR="00F844EE" w:rsidRDefault="00376983" w:rsidP="00376983">
            <w:pPr>
              <w:jc w:val="center"/>
            </w:pPr>
            <w:r>
              <w:t>45.754,8</w:t>
            </w:r>
          </w:p>
        </w:tc>
      </w:tr>
      <w:tr w:rsidR="00F844EE" w:rsidTr="00F844EE">
        <w:tc>
          <w:tcPr>
            <w:tcW w:w="2303" w:type="dxa"/>
          </w:tcPr>
          <w:p w:rsidR="00F844EE" w:rsidRDefault="00F844EE" w:rsidP="00376983">
            <w:pPr>
              <w:jc w:val="center"/>
            </w:pPr>
            <w:r>
              <w:t>E2019</w:t>
            </w:r>
          </w:p>
        </w:tc>
        <w:tc>
          <w:tcPr>
            <w:tcW w:w="2303" w:type="dxa"/>
          </w:tcPr>
          <w:p w:rsidR="00F844EE" w:rsidRDefault="00F844EE" w:rsidP="00376983">
            <w:pPr>
              <w:jc w:val="center"/>
            </w:pPr>
            <w:r>
              <w:t>31.852,9</w:t>
            </w:r>
          </w:p>
        </w:tc>
        <w:tc>
          <w:tcPr>
            <w:tcW w:w="2303" w:type="dxa"/>
          </w:tcPr>
          <w:p w:rsidR="00F844EE" w:rsidRDefault="00376983" w:rsidP="00376983">
            <w:pPr>
              <w:jc w:val="center"/>
            </w:pPr>
            <w:r>
              <w:t>66,4</w:t>
            </w:r>
          </w:p>
        </w:tc>
        <w:tc>
          <w:tcPr>
            <w:tcW w:w="2303" w:type="dxa"/>
          </w:tcPr>
          <w:p w:rsidR="00F844EE" w:rsidRDefault="00376983" w:rsidP="00376983">
            <w:pPr>
              <w:jc w:val="center"/>
            </w:pPr>
            <w:r>
              <w:t>48.007,0</w:t>
            </w:r>
          </w:p>
        </w:tc>
      </w:tr>
      <w:tr w:rsidR="00F844EE" w:rsidTr="00F844EE">
        <w:tc>
          <w:tcPr>
            <w:tcW w:w="2303" w:type="dxa"/>
          </w:tcPr>
          <w:p w:rsidR="00F844EE" w:rsidRDefault="00F844EE" w:rsidP="00376983">
            <w:pPr>
              <w:jc w:val="center"/>
            </w:pPr>
            <w:r>
              <w:t>E2020</w:t>
            </w:r>
          </w:p>
        </w:tc>
        <w:tc>
          <w:tcPr>
            <w:tcW w:w="2303" w:type="dxa"/>
          </w:tcPr>
          <w:p w:rsidR="00F844EE" w:rsidRDefault="00F844EE" w:rsidP="00376983">
            <w:pPr>
              <w:jc w:val="center"/>
            </w:pPr>
            <w:r>
              <w:t>31.624,5</w:t>
            </w:r>
          </w:p>
        </w:tc>
        <w:tc>
          <w:tcPr>
            <w:tcW w:w="2303" w:type="dxa"/>
          </w:tcPr>
          <w:p w:rsidR="00F844EE" w:rsidRDefault="00376983" w:rsidP="00376983">
            <w:pPr>
              <w:jc w:val="center"/>
            </w:pPr>
            <w:r>
              <w:t>62,1</w:t>
            </w:r>
          </w:p>
        </w:tc>
        <w:tc>
          <w:tcPr>
            <w:tcW w:w="2303" w:type="dxa"/>
          </w:tcPr>
          <w:p w:rsidR="00F844EE" w:rsidRDefault="00376983" w:rsidP="00376983">
            <w:pPr>
              <w:jc w:val="center"/>
            </w:pPr>
            <w:r>
              <w:t>50.910,2</w:t>
            </w:r>
          </w:p>
        </w:tc>
      </w:tr>
      <w:tr w:rsidR="00F844EE" w:rsidTr="00F844EE">
        <w:tc>
          <w:tcPr>
            <w:tcW w:w="2303" w:type="dxa"/>
          </w:tcPr>
          <w:p w:rsidR="00F844EE" w:rsidRDefault="00F844EE" w:rsidP="00376983">
            <w:pPr>
              <w:jc w:val="center"/>
            </w:pPr>
            <w:r>
              <w:t>E2021</w:t>
            </w:r>
          </w:p>
        </w:tc>
        <w:tc>
          <w:tcPr>
            <w:tcW w:w="2303" w:type="dxa"/>
          </w:tcPr>
          <w:p w:rsidR="00F844EE" w:rsidRDefault="00376983" w:rsidP="00376983">
            <w:pPr>
              <w:jc w:val="center"/>
            </w:pPr>
            <w:r>
              <w:t>31.375,1</w:t>
            </w:r>
          </w:p>
        </w:tc>
        <w:tc>
          <w:tcPr>
            <w:tcW w:w="2303" w:type="dxa"/>
          </w:tcPr>
          <w:p w:rsidR="00F844EE" w:rsidRDefault="00376983" w:rsidP="00376983">
            <w:pPr>
              <w:jc w:val="center"/>
            </w:pPr>
            <w:r>
              <w:t>58,6</w:t>
            </w:r>
          </w:p>
        </w:tc>
        <w:tc>
          <w:tcPr>
            <w:tcW w:w="2303" w:type="dxa"/>
          </w:tcPr>
          <w:p w:rsidR="00F844EE" w:rsidRDefault="00376983" w:rsidP="00376983">
            <w:pPr>
              <w:jc w:val="center"/>
            </w:pPr>
            <w:r>
              <w:t>53.580,8</w:t>
            </w:r>
          </w:p>
        </w:tc>
      </w:tr>
    </w:tbl>
    <w:p w:rsidR="00F844EE" w:rsidRDefault="00376983">
      <w:pPr>
        <w:rPr>
          <w:sz w:val="18"/>
        </w:rPr>
      </w:pPr>
      <w:r w:rsidRPr="00376983">
        <w:rPr>
          <w:sz w:val="18"/>
        </w:rPr>
        <w:t>Vir: MF (ocene</w:t>
      </w:r>
      <w:r w:rsidR="005A5A4F">
        <w:rPr>
          <w:sz w:val="18"/>
        </w:rPr>
        <w:t xml:space="preserve"> višine</w:t>
      </w:r>
      <w:r w:rsidRPr="00376983">
        <w:rPr>
          <w:sz w:val="18"/>
        </w:rPr>
        <w:t xml:space="preserve"> dolga sektor</w:t>
      </w:r>
      <w:r w:rsidR="004662B7">
        <w:rPr>
          <w:sz w:val="18"/>
        </w:rPr>
        <w:t>ja</w:t>
      </w:r>
      <w:r w:rsidRPr="00376983">
        <w:rPr>
          <w:sz w:val="18"/>
        </w:rPr>
        <w:t xml:space="preserve"> država), UMAR (jesenska napoved 2019 za BDP, razen za leto 2018 in 2019 SURS), 4.</w:t>
      </w:r>
      <w:r w:rsidR="004662B7">
        <w:rPr>
          <w:sz w:val="18"/>
        </w:rPr>
        <w:t xml:space="preserve"> </w:t>
      </w:r>
      <w:r w:rsidRPr="00376983">
        <w:rPr>
          <w:sz w:val="18"/>
        </w:rPr>
        <w:t>3.</w:t>
      </w:r>
      <w:r w:rsidR="004662B7">
        <w:rPr>
          <w:sz w:val="18"/>
        </w:rPr>
        <w:t xml:space="preserve"> </w:t>
      </w:r>
      <w:r w:rsidRPr="00376983">
        <w:rPr>
          <w:sz w:val="18"/>
        </w:rPr>
        <w:t>2020</w:t>
      </w:r>
    </w:p>
    <w:p w:rsidR="0015658A" w:rsidRDefault="0015658A" w:rsidP="0015658A">
      <w:pPr>
        <w:spacing w:after="0"/>
        <w:rPr>
          <w:b/>
        </w:rPr>
      </w:pPr>
    </w:p>
    <w:p w:rsidR="00E215B8" w:rsidRPr="00E215B8" w:rsidRDefault="00E215B8">
      <w:pPr>
        <w:rPr>
          <w:b/>
        </w:rPr>
      </w:pPr>
      <w:r w:rsidRPr="00E215B8">
        <w:rPr>
          <w:b/>
        </w:rPr>
        <w:t xml:space="preserve">Slika 1: </w:t>
      </w:r>
      <w:r w:rsidRPr="00E215B8">
        <w:t>Dolg sektor</w:t>
      </w:r>
      <w:r w:rsidR="004662B7">
        <w:t>ja</w:t>
      </w:r>
      <w:r w:rsidRPr="00E215B8">
        <w:t xml:space="preserve"> država v mi</w:t>
      </w:r>
      <w:r w:rsidR="004662B7">
        <w:t>lijonih</w:t>
      </w:r>
      <w:r w:rsidRPr="00E215B8">
        <w:t xml:space="preserve"> </w:t>
      </w:r>
      <w:r w:rsidR="004662B7">
        <w:t>evrov</w:t>
      </w:r>
      <w:r w:rsidRPr="00E215B8">
        <w:t xml:space="preserve"> in % BDP</w:t>
      </w:r>
    </w:p>
    <w:p w:rsidR="00E215B8" w:rsidRPr="00376983" w:rsidRDefault="00E215B8">
      <w:pPr>
        <w:rPr>
          <w:sz w:val="18"/>
        </w:rPr>
      </w:pPr>
      <w:r>
        <w:rPr>
          <w:noProof/>
          <w:lang w:eastAsia="sl-SI"/>
        </w:rPr>
        <w:drawing>
          <wp:inline distT="0" distB="0" distL="0" distR="0" wp14:anchorId="596BCE77" wp14:editId="17DCA06C">
            <wp:extent cx="5760720" cy="287655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215B8" w:rsidRDefault="00E215B8" w:rsidP="00E215B8">
      <w:pPr>
        <w:rPr>
          <w:sz w:val="18"/>
        </w:rPr>
      </w:pPr>
      <w:r w:rsidRPr="00376983">
        <w:rPr>
          <w:sz w:val="18"/>
        </w:rPr>
        <w:t>Vir: MF (ocene dolga sektor</w:t>
      </w:r>
      <w:r w:rsidR="004662B7">
        <w:rPr>
          <w:sz w:val="18"/>
        </w:rPr>
        <w:t>ja</w:t>
      </w:r>
      <w:r w:rsidRPr="00376983">
        <w:rPr>
          <w:sz w:val="18"/>
        </w:rPr>
        <w:t xml:space="preserve"> država), SURS, UMAR (jesenska napoved 2019 za BDP, razen za leto 2018 in 2019 SURS), 4.</w:t>
      </w:r>
      <w:r w:rsidR="004662B7">
        <w:rPr>
          <w:sz w:val="18"/>
        </w:rPr>
        <w:t xml:space="preserve"> </w:t>
      </w:r>
      <w:r w:rsidRPr="00376983">
        <w:rPr>
          <w:sz w:val="18"/>
        </w:rPr>
        <w:t>3.</w:t>
      </w:r>
      <w:r w:rsidR="004662B7">
        <w:rPr>
          <w:sz w:val="18"/>
        </w:rPr>
        <w:t xml:space="preserve"> </w:t>
      </w:r>
      <w:r w:rsidRPr="00376983">
        <w:rPr>
          <w:sz w:val="18"/>
        </w:rPr>
        <w:t>2020</w:t>
      </w:r>
    </w:p>
    <w:p w:rsidR="002B438A" w:rsidRPr="0015658A" w:rsidRDefault="002B438A" w:rsidP="0015658A">
      <w:pPr>
        <w:pStyle w:val="ListParagraph"/>
        <w:numPr>
          <w:ilvl w:val="0"/>
          <w:numId w:val="1"/>
        </w:numPr>
        <w:rPr>
          <w:sz w:val="18"/>
        </w:rPr>
      </w:pPr>
      <w:r>
        <w:rPr>
          <w:sz w:val="18"/>
        </w:rPr>
        <w:t>Kratica RHS pomeni desni del grafa.</w:t>
      </w:r>
    </w:p>
    <w:p w:rsidR="00E215B8" w:rsidRDefault="00E215B8"/>
    <w:p w:rsidR="00E215B8" w:rsidRDefault="00E215B8"/>
    <w:p w:rsidR="0015658A" w:rsidRDefault="0015658A"/>
    <w:p w:rsidR="0015658A" w:rsidRDefault="0015658A"/>
    <w:p w:rsidR="00F844EE" w:rsidRDefault="00E215B8">
      <w:r>
        <w:lastRenderedPageBreak/>
        <w:t>Spodnja slika z vključeno</w:t>
      </w:r>
      <w:bookmarkStart w:id="0" w:name="_GoBack"/>
      <w:bookmarkEnd w:id="0"/>
      <w:r>
        <w:t xml:space="preserve"> tabelo prikazuje obresti na dolg državnega proračuna od leta 2018 naprej. Ocene obrestnih izdatkov za obdobje 2020-2021 so pripravljene na podlagi sprejetih proračunov za navedeno obdobje.  </w:t>
      </w:r>
    </w:p>
    <w:p w:rsidR="00E215B8" w:rsidRDefault="00E215B8">
      <w:r w:rsidRPr="00E215B8">
        <w:rPr>
          <w:b/>
        </w:rPr>
        <w:t>Slika 2:</w:t>
      </w:r>
      <w:r>
        <w:t xml:space="preserve"> Dinamika obrestnih izdatkov na dolg državnega proračuna za obdobje 2018-2021</w:t>
      </w:r>
    </w:p>
    <w:p w:rsidR="00F844EE" w:rsidRDefault="0002641D">
      <w:r>
        <w:rPr>
          <w:noProof/>
          <w:lang w:eastAsia="sl-SI"/>
        </w:rPr>
        <w:drawing>
          <wp:inline distT="0" distB="0" distL="0" distR="0" wp14:anchorId="4E2D91F2" wp14:editId="4544DA31">
            <wp:extent cx="5760720" cy="3580579"/>
            <wp:effectExtent l="0" t="0" r="0" b="127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215B8" w:rsidRDefault="00E215B8" w:rsidP="00E215B8">
      <w:pPr>
        <w:rPr>
          <w:sz w:val="18"/>
        </w:rPr>
      </w:pPr>
      <w:r w:rsidRPr="00376983">
        <w:rPr>
          <w:sz w:val="18"/>
        </w:rPr>
        <w:t>Vir: MF, 4.</w:t>
      </w:r>
      <w:r w:rsidR="005D5E84">
        <w:rPr>
          <w:sz w:val="18"/>
        </w:rPr>
        <w:t xml:space="preserve"> </w:t>
      </w:r>
      <w:r w:rsidRPr="00376983">
        <w:rPr>
          <w:sz w:val="18"/>
        </w:rPr>
        <w:t>3.</w:t>
      </w:r>
      <w:r w:rsidR="005D5E84">
        <w:rPr>
          <w:sz w:val="18"/>
        </w:rPr>
        <w:t xml:space="preserve"> </w:t>
      </w:r>
      <w:r w:rsidRPr="00376983">
        <w:rPr>
          <w:sz w:val="18"/>
        </w:rPr>
        <w:t>2020</w:t>
      </w:r>
    </w:p>
    <w:p w:rsidR="00F844EE" w:rsidRDefault="00F844EE"/>
    <w:p w:rsidR="00F844EE" w:rsidRDefault="00F844EE"/>
    <w:p w:rsidR="00F844EE" w:rsidRDefault="00F844EE"/>
    <w:p w:rsidR="00F844EE" w:rsidRDefault="00F844EE"/>
    <w:p w:rsidR="00F844EE" w:rsidRDefault="00F844EE"/>
    <w:sectPr w:rsidR="00F844EE" w:rsidSect="00E21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922B0"/>
    <w:multiLevelType w:val="hybridMultilevel"/>
    <w:tmpl w:val="B0506EA0"/>
    <w:lvl w:ilvl="0" w:tplc="DC44AC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4EE"/>
    <w:rsid w:val="0002641D"/>
    <w:rsid w:val="0015658A"/>
    <w:rsid w:val="002B438A"/>
    <w:rsid w:val="00376983"/>
    <w:rsid w:val="004662B7"/>
    <w:rsid w:val="0048606E"/>
    <w:rsid w:val="005A5A4F"/>
    <w:rsid w:val="005D5E84"/>
    <w:rsid w:val="00716C66"/>
    <w:rsid w:val="00D224DB"/>
    <w:rsid w:val="00E215B8"/>
    <w:rsid w:val="00E90356"/>
    <w:rsid w:val="00F16FED"/>
    <w:rsid w:val="00F8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4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1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5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6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C6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B43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4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1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5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6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C6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B4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MFRSWDNSEFS01\SUJDUSERS\ZAKLAD\1Odbor%20za%20tveganja\27.%20SEJA%20ODBORA%2012.6.2019\GRADIVO\Dolg%20sektor%20drzava%201995%20E201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MFRSWDNSEFS01\SUJDUSERS\ZAKLAD\1Odbor%20za%20tveganja\27.%20SEJA%20ODBORA%2012.6.2019\GRADIVO\Dolg%20sektor%20drzava%201995%20E20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688222261517179"/>
          <c:y val="0.12390881695343638"/>
          <c:w val="0.72786798281654685"/>
          <c:h val="0.699496590703939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'Dolg sektor drzava'!$C$36</c:f>
              <c:strCache>
                <c:ptCount val="1"/>
                <c:pt idx="0">
                  <c:v>Dolg Sektor država (mio EUR)</c:v>
                </c:pt>
              </c:strCache>
            </c:strRef>
          </c:tx>
          <c:spPr>
            <a:solidFill>
              <a:schemeClr val="tx2"/>
            </a:solidFill>
          </c:spPr>
          <c:invertIfNegative val="0"/>
          <c:cat>
            <c:strRef>
              <c:f>'Dolg sektor drzava'!$B$37:$B$40</c:f>
              <c:strCache>
                <c:ptCount val="4"/>
                <c:pt idx="0">
                  <c:v>2018</c:v>
                </c:pt>
                <c:pt idx="1">
                  <c:v>E2019</c:v>
                </c:pt>
                <c:pt idx="2">
                  <c:v>E2020</c:v>
                </c:pt>
                <c:pt idx="3">
                  <c:v>E2021</c:v>
                </c:pt>
              </c:strCache>
            </c:strRef>
          </c:cat>
          <c:val>
            <c:numRef>
              <c:f>'Dolg sektor drzava'!$C$37:$C$40</c:f>
              <c:numCache>
                <c:formatCode>_-* #,##0.0\ _€_-;\-* #,##0.0\ _€_-;_-* "-"??\ _€_-;_-@_-</c:formatCode>
                <c:ptCount val="4"/>
                <c:pt idx="0">
                  <c:v>32222.9</c:v>
                </c:pt>
                <c:pt idx="1">
                  <c:v>31852.91</c:v>
                </c:pt>
                <c:pt idx="2">
                  <c:v>31624.47</c:v>
                </c:pt>
                <c:pt idx="3">
                  <c:v>31375.05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103360"/>
        <c:axId val="67105152"/>
      </c:barChart>
      <c:lineChart>
        <c:grouping val="standard"/>
        <c:varyColors val="0"/>
        <c:ser>
          <c:idx val="1"/>
          <c:order val="1"/>
          <c:tx>
            <c:strRef>
              <c:f>'Dolg sektor drzava'!$D$36</c:f>
              <c:strCache>
                <c:ptCount val="1"/>
                <c:pt idx="0">
                  <c:v>Dolg Sektor država (% BDP) RHS</c:v>
                </c:pt>
              </c:strCache>
            </c:strRef>
          </c:tx>
          <c:spPr>
            <a:ln w="22225">
              <a:solidFill>
                <a:srgbClr val="C00000"/>
              </a:solidFill>
            </a:ln>
          </c:spPr>
          <c:marker>
            <c:symbol val="none"/>
          </c:marker>
          <c:cat>
            <c:strRef>
              <c:f>'Dolg sektor drzava'!$B$37:$B$40</c:f>
              <c:strCache>
                <c:ptCount val="4"/>
                <c:pt idx="0">
                  <c:v>2018</c:v>
                </c:pt>
                <c:pt idx="1">
                  <c:v>E2019</c:v>
                </c:pt>
                <c:pt idx="2">
                  <c:v>E2020</c:v>
                </c:pt>
                <c:pt idx="3">
                  <c:v>E2021</c:v>
                </c:pt>
              </c:strCache>
            </c:strRef>
          </c:cat>
          <c:val>
            <c:numRef>
              <c:f>'Dolg sektor drzava'!$D$37:$D$40</c:f>
              <c:numCache>
                <c:formatCode>_-* #,##0.0\ _€_-;\-* #,##0.0\ _€_-;_-* "-"?\ _€_-;_-@_-</c:formatCode>
                <c:ptCount val="4"/>
                <c:pt idx="0">
                  <c:v>70.425179434725976</c:v>
                </c:pt>
                <c:pt idx="1">
                  <c:v>66.350553044347706</c:v>
                </c:pt>
                <c:pt idx="2">
                  <c:v>62.118092548768189</c:v>
                </c:pt>
                <c:pt idx="3">
                  <c:v>58.556516513377922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8018560"/>
        <c:axId val="67107072"/>
      </c:lineChart>
      <c:catAx>
        <c:axId val="67103360"/>
        <c:scaling>
          <c:orientation val="minMax"/>
        </c:scaling>
        <c:delete val="0"/>
        <c:axPos val="b"/>
        <c:majorTickMark val="out"/>
        <c:minorTickMark val="none"/>
        <c:tickLblPos val="nextTo"/>
        <c:crossAx val="67105152"/>
        <c:crosses val="autoZero"/>
        <c:auto val="1"/>
        <c:lblAlgn val="ctr"/>
        <c:lblOffset val="100"/>
        <c:noMultiLvlLbl val="0"/>
      </c:catAx>
      <c:valAx>
        <c:axId val="67105152"/>
        <c:scaling>
          <c:orientation val="minMax"/>
        </c:scaling>
        <c:delete val="0"/>
        <c:axPos val="l"/>
        <c:majorGridlines>
          <c:spPr>
            <a:ln w="6350">
              <a:prstDash val="dash"/>
            </a:ln>
          </c:spPr>
        </c:majorGridlines>
        <c:title>
          <c:tx>
            <c:rich>
              <a:bodyPr rot="0" vert="horz"/>
              <a:lstStyle/>
              <a:p>
                <a:pPr>
                  <a:defRPr b="0"/>
                </a:pPr>
                <a:r>
                  <a:rPr lang="sl-SI" b="0"/>
                  <a:t>EUR</a:t>
                </a:r>
                <a:r>
                  <a:rPr lang="sl-SI" b="0" baseline="0"/>
                  <a:t> mio</a:t>
                </a:r>
                <a:endParaRPr lang="sl-SI" b="0"/>
              </a:p>
            </c:rich>
          </c:tx>
          <c:layout>
            <c:manualLayout>
              <c:xMode val="edge"/>
              <c:yMode val="edge"/>
              <c:x val="5.9445178335535004E-2"/>
              <c:y val="1.6855879126220309E-2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crossAx val="67103360"/>
        <c:crosses val="autoZero"/>
        <c:crossBetween val="between"/>
      </c:valAx>
      <c:valAx>
        <c:axId val="67107072"/>
        <c:scaling>
          <c:orientation val="minMax"/>
        </c:scaling>
        <c:delete val="0"/>
        <c:axPos val="r"/>
        <c:title>
          <c:tx>
            <c:rich>
              <a:bodyPr rot="0" vert="horz"/>
              <a:lstStyle/>
              <a:p>
                <a:pPr>
                  <a:defRPr b="0"/>
                </a:pPr>
                <a:r>
                  <a:rPr lang="sl-SI" b="0"/>
                  <a:t>%</a:t>
                </a:r>
                <a:r>
                  <a:rPr lang="sl-SI" b="0" baseline="0"/>
                  <a:t> BDP</a:t>
                </a:r>
                <a:endParaRPr lang="sl-SI" b="0"/>
              </a:p>
            </c:rich>
          </c:tx>
          <c:layout>
            <c:manualLayout>
              <c:xMode val="edge"/>
              <c:yMode val="edge"/>
              <c:x val="0.88833113166006161"/>
              <c:y val="1.6855879126220337E-2"/>
            </c:manualLayout>
          </c:layout>
          <c:overlay val="0"/>
        </c:title>
        <c:numFmt formatCode="_-* #,##0.0\ _€_-;\-* #,##0.0\ _€_-;_-* &quot;-&quot;?\ _€_-;_-@_-" sourceLinked="1"/>
        <c:majorTickMark val="out"/>
        <c:minorTickMark val="none"/>
        <c:tickLblPos val="nextTo"/>
        <c:crossAx val="68018560"/>
        <c:crosses val="max"/>
        <c:crossBetween val="between"/>
      </c:valAx>
      <c:catAx>
        <c:axId val="68018560"/>
        <c:scaling>
          <c:orientation val="minMax"/>
        </c:scaling>
        <c:delete val="1"/>
        <c:axPos val="b"/>
        <c:majorTickMark val="out"/>
        <c:minorTickMark val="none"/>
        <c:tickLblPos val="nextTo"/>
        <c:crossAx val="67107072"/>
        <c:crosses val="autoZero"/>
        <c:auto val="1"/>
        <c:lblAlgn val="ctr"/>
        <c:lblOffset val="100"/>
        <c:noMultiLvlLbl val="0"/>
      </c:catAx>
    </c:plotArea>
    <c:legend>
      <c:legendPos val="r"/>
      <c:layout>
        <c:manualLayout>
          <c:xMode val="edge"/>
          <c:yMode val="edge"/>
          <c:x val="9.109293141527719E-2"/>
          <c:y val="0.90050340929606021"/>
          <c:w val="0.8340501773473824"/>
          <c:h val="9.8464080878779017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821198105821531"/>
          <c:y val="8.3633811101307895E-2"/>
          <c:w val="0.71910957746576032"/>
          <c:h val="0.675463034440956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'Dolg sektor drzava'!$C$51</c:f>
              <c:strCache>
                <c:ptCount val="1"/>
                <c:pt idx="0">
                  <c:v>Obresti na dolg državnega proračuna</c:v>
                </c:pt>
              </c:strCache>
            </c:strRef>
          </c:tx>
          <c:spPr>
            <a:solidFill>
              <a:schemeClr val="tx2"/>
            </a:solidFill>
          </c:spPr>
          <c:invertIfNegative val="0"/>
          <c:cat>
            <c:strRef>
              <c:f>'Dolg sektor drzava'!$B$56:$B$59</c:f>
              <c:strCache>
                <c:ptCount val="4"/>
                <c:pt idx="0">
                  <c:v>2018</c:v>
                </c:pt>
                <c:pt idx="1">
                  <c:v>2019</c:v>
                </c:pt>
                <c:pt idx="2">
                  <c:v>E2020</c:v>
                </c:pt>
                <c:pt idx="3">
                  <c:v>E2021</c:v>
                </c:pt>
              </c:strCache>
            </c:strRef>
          </c:cat>
          <c:val>
            <c:numRef>
              <c:f>'Dolg sektor drzava'!$C$56:$C$59</c:f>
              <c:numCache>
                <c:formatCode>_-* #,##0.0\ _€_-;\-* #,##0.0\ _€_-;_-* "-"??\ _€_-;_-@_-</c:formatCode>
                <c:ptCount val="4"/>
                <c:pt idx="0">
                  <c:v>860.57305505999989</c:v>
                </c:pt>
                <c:pt idx="1">
                  <c:v>784.85987596000007</c:v>
                </c:pt>
                <c:pt idx="2">
                  <c:v>752.02733499999999</c:v>
                </c:pt>
                <c:pt idx="3">
                  <c:v>697.29700100000002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4514432"/>
        <c:axId val="74515968"/>
      </c:barChart>
      <c:catAx>
        <c:axId val="7451443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sl-SI"/>
          </a:p>
        </c:txPr>
        <c:crossAx val="74515968"/>
        <c:crosses val="autoZero"/>
        <c:auto val="1"/>
        <c:lblAlgn val="ctr"/>
        <c:lblOffset val="100"/>
        <c:noMultiLvlLbl val="0"/>
      </c:catAx>
      <c:valAx>
        <c:axId val="74515968"/>
        <c:scaling>
          <c:orientation val="minMax"/>
        </c:scaling>
        <c:delete val="0"/>
        <c:axPos val="l"/>
        <c:majorGridlines>
          <c:spPr>
            <a:ln>
              <a:prstDash val="dash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sl-SI" b="0"/>
                  <a:t>EUR</a:t>
                </a:r>
                <a:r>
                  <a:rPr lang="sl-SI" b="0" baseline="0"/>
                  <a:t> mio</a:t>
                </a:r>
                <a:endParaRPr lang="sl-SI" b="0"/>
              </a:p>
            </c:rich>
          </c:tx>
          <c:layout>
            <c:manualLayout>
              <c:xMode val="edge"/>
              <c:yMode val="edge"/>
              <c:x val="0.12126467108825589"/>
              <c:y val="6.0667376937290865E-2"/>
            </c:manualLayout>
          </c:layout>
          <c:overlay val="0"/>
        </c:title>
        <c:numFmt formatCode="_-* #,##0.0\ _€_-;\-* #,##0.0\ _€_-;_-* &quot;-&quot;??\ _€_-;_-@_-" sourceLinked="1"/>
        <c:majorTickMark val="out"/>
        <c:minorTickMark val="none"/>
        <c:tickLblPos val="nextTo"/>
        <c:crossAx val="74514432"/>
        <c:crosses val="autoZero"/>
        <c:crossBetween val="between"/>
        <c:majorUnit val="100"/>
      </c:valAx>
      <c:dTable>
        <c:showHorzBorder val="1"/>
        <c:showVertBorder val="1"/>
        <c:showOutline val="1"/>
        <c:showKeys val="0"/>
      </c:dTable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MFRS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KNEZ</dc:creator>
  <cp:lastModifiedBy>Administrator</cp:lastModifiedBy>
  <cp:revision>6</cp:revision>
  <cp:lastPrinted>2020-03-04T14:05:00Z</cp:lastPrinted>
  <dcterms:created xsi:type="dcterms:W3CDTF">2020-03-05T08:24:00Z</dcterms:created>
  <dcterms:modified xsi:type="dcterms:W3CDTF">2020-03-05T11:47:00Z</dcterms:modified>
</cp:coreProperties>
</file>