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0E" w:rsidRPr="00E8553D" w:rsidRDefault="00E8553D" w:rsidP="00E8553D">
      <w:pPr>
        <w:jc w:val="center"/>
        <w:rPr>
          <w:b/>
          <w:sz w:val="28"/>
          <w:szCs w:val="28"/>
        </w:rPr>
      </w:pPr>
      <w:r w:rsidRPr="00E8553D">
        <w:rPr>
          <w:b/>
          <w:sz w:val="28"/>
          <w:szCs w:val="28"/>
        </w:rPr>
        <w:t>Dosežki Ministrstva za finance v 15 mesecih in pol</w:t>
      </w:r>
    </w:p>
    <w:p w:rsidR="00E8553D" w:rsidRPr="00E8553D" w:rsidRDefault="00E8553D" w:rsidP="00E8553D">
      <w:pPr>
        <w:jc w:val="both"/>
        <w:rPr>
          <w:sz w:val="24"/>
          <w:szCs w:val="24"/>
        </w:rPr>
      </w:pPr>
      <w:r w:rsidRPr="00E8553D">
        <w:rPr>
          <w:sz w:val="24"/>
          <w:szCs w:val="24"/>
        </w:rPr>
        <w:t>Ministrstvo za finance je pripravilo 31 pomembnih zakonskih predlogov, en rebalans proračuna in dva proračuna, ki so bili sprejeti v Državnem zboru.</w:t>
      </w:r>
    </w:p>
    <w:p w:rsidR="00E8553D" w:rsidRPr="00E8553D" w:rsidRDefault="00E8553D" w:rsidP="00E8553D">
      <w:pPr>
        <w:jc w:val="both"/>
        <w:rPr>
          <w:sz w:val="24"/>
          <w:szCs w:val="24"/>
        </w:rPr>
      </w:pPr>
      <w:r w:rsidRPr="00E8553D">
        <w:rPr>
          <w:sz w:val="24"/>
          <w:szCs w:val="24"/>
        </w:rPr>
        <w:t>Pri tem so najpomembnejši:</w:t>
      </w:r>
    </w:p>
    <w:p w:rsidR="00E8553D" w:rsidRPr="00E8553D" w:rsidRDefault="00E8553D" w:rsidP="00E8553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8553D">
        <w:rPr>
          <w:sz w:val="24"/>
          <w:szCs w:val="24"/>
        </w:rPr>
        <w:t>Izbrisani bančni vlagatelji: Z zakonom izpolnjujemo sodbo ustavnega sodišča.</w:t>
      </w:r>
    </w:p>
    <w:p w:rsidR="00E8553D" w:rsidRPr="00E8553D" w:rsidRDefault="00E8553D" w:rsidP="003C09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8553D">
        <w:rPr>
          <w:sz w:val="24"/>
          <w:szCs w:val="24"/>
        </w:rPr>
        <w:t>Davčna</w:t>
      </w:r>
      <w:r w:rsidR="003C09D4">
        <w:rPr>
          <w:sz w:val="24"/>
          <w:szCs w:val="24"/>
        </w:rPr>
        <w:t xml:space="preserve"> reforma: Po 100 % razbremenitvi regresa in razbremenitvi stroškov dela nadaljujemo z bojem proti sivi ekonomiji, davčnim utajam in socialnim goljufijam.</w:t>
      </w:r>
      <w:bookmarkStart w:id="0" w:name="_GoBack"/>
      <w:bookmarkEnd w:id="0"/>
    </w:p>
    <w:p w:rsidR="00E8553D" w:rsidRPr="00E8553D" w:rsidRDefault="00E8553D" w:rsidP="00E8553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8553D">
        <w:rPr>
          <w:sz w:val="24"/>
          <w:szCs w:val="24"/>
        </w:rPr>
        <w:t>Proračuna za leti 2020 in 2021, ki sta skladna z domačim fiskalnim pravilom in izkazujeta presežek.</w:t>
      </w:r>
    </w:p>
    <w:p w:rsidR="00E8553D" w:rsidRPr="00E8553D" w:rsidRDefault="00E8553D" w:rsidP="00E8553D">
      <w:pPr>
        <w:jc w:val="both"/>
        <w:rPr>
          <w:sz w:val="24"/>
          <w:szCs w:val="24"/>
        </w:rPr>
      </w:pPr>
      <w:r w:rsidRPr="00E8553D">
        <w:rPr>
          <w:sz w:val="24"/>
          <w:szCs w:val="24"/>
        </w:rPr>
        <w:t>Zaključujemo tudi pripravo zakonov o poroštvu države pri najemanju stanovanjskih kreditov in demografskem skladu.</w:t>
      </w:r>
    </w:p>
    <w:sectPr w:rsidR="00E8553D" w:rsidRPr="00E8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832"/>
    <w:multiLevelType w:val="hybridMultilevel"/>
    <w:tmpl w:val="D714B54C"/>
    <w:lvl w:ilvl="0" w:tplc="F7AABB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270E9"/>
    <w:multiLevelType w:val="hybridMultilevel"/>
    <w:tmpl w:val="B7F0FE28"/>
    <w:lvl w:ilvl="0" w:tplc="761A3C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3D"/>
    <w:rsid w:val="003C09D4"/>
    <w:rsid w:val="00DE030E"/>
    <w:rsid w:val="00E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Company>MFRS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2019-12-17T09:21:00Z</dcterms:created>
  <dcterms:modified xsi:type="dcterms:W3CDTF">2019-12-17T14:39:00Z</dcterms:modified>
</cp:coreProperties>
</file>