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83D5" w14:textId="77777777" w:rsidR="00ED546C" w:rsidRPr="008B523E" w:rsidRDefault="00ED546C" w:rsidP="00ED546C">
      <w:pPr>
        <w:pStyle w:val="AODocTxt"/>
        <w:rPr>
          <w:b/>
          <w:bCs/>
        </w:rPr>
      </w:pPr>
      <w:r>
        <w:rPr>
          <w:b/>
          <w:bCs/>
        </w:rPr>
        <w:t>NI NAMENJENO RAZDELJEVANJU ALI POSREDOVANJU V KATERO KOLI JURISDIKCIJO ALI KATERI KOLI OSEBI, KI SE NAHAJA ALI JE REZIDENT KATERE KOLI JURISDIKCIJE, KJER BI BILO TAKŠNO RAZDELJEVANJE NEZAKONITO</w:t>
      </w:r>
    </w:p>
    <w:p w14:paraId="08AB6D9B" w14:textId="77777777" w:rsidR="005A1D60" w:rsidRDefault="00F42B15" w:rsidP="00CF6594">
      <w:pPr>
        <w:pStyle w:val="AODocTxt"/>
      </w:pPr>
      <w:r>
        <w:t xml:space="preserve">20. september 2022 </w:t>
      </w:r>
    </w:p>
    <w:p w14:paraId="33988403" w14:textId="77777777" w:rsidR="00037F07" w:rsidRPr="00037F07" w:rsidRDefault="00ED546C" w:rsidP="00037F07">
      <w:pPr>
        <w:pStyle w:val="AODocTxt"/>
      </w:pPr>
      <w:r>
        <w:t>REPUBLIKA SLOVENIJA OBJAVLJA KONČNI SPREJETI ZNESEK, SPREJETI ZNESEK SERIJE IN DOLOČENO KUPNINO ZA SVOJI PONUDBI ZA ODKUP OBSTOJEČIH OBVEZNIC V NOMINALNI VREDNOSTI 2.230.000.000 EUR Z OBRESTNO MERO 0,200 % IN ZAPADLOSTJO LETA 2023 (OD KATERIH JE TRENUTNO NEODPLAČANIH 1.517.666.000 EUR) TER OBVEZNIC V NOMINALNI VREDNOSTI 1.500.000.000 EUR Z OBRESTNO MERO 4,625 % IN ZAPADLOSTJO LETA 2024 (OD KATERIH JE TRENUTNO NEODPLAČANIH 1.496.905.000 EUR).</w:t>
      </w:r>
    </w:p>
    <w:p w14:paraId="7D0D4379" w14:textId="77777777" w:rsidR="00ED546C" w:rsidRPr="008B523E" w:rsidRDefault="00ED546C" w:rsidP="0032183E">
      <w:pPr>
        <w:pStyle w:val="AODocTxt"/>
        <w:numPr>
          <w:ilvl w:val="0"/>
          <w:numId w:val="0"/>
        </w:numPr>
      </w:pPr>
      <w:r>
        <w:t>V zvezi z obvestilom z dne 12. septembra 2022 in današnjim obvestilom Republika Slovenija (»</w:t>
      </w:r>
      <w:r>
        <w:rPr>
          <w:b/>
        </w:rPr>
        <w:t>Izdajatelj</w:t>
      </w:r>
      <w:r>
        <w:t>« ali »</w:t>
      </w:r>
      <w:r>
        <w:rPr>
          <w:b/>
        </w:rPr>
        <w:t>Republika</w:t>
      </w:r>
      <w:r>
        <w:t>«) zdaj objavlja končne rezultate in določitev kupnin v zvezi z vabilom upravičenim imetnikom obstoječih (i) obveznic v nominalni vrednosti 2.230.000.000 EUR z obrestno mero 0,200 % in zapadlostjo leta 2023 (ISIN: SI0002103974) (od katerih je trenutno neodplačanih 1.517.666.000 EUR (»</w:t>
      </w:r>
      <w:r>
        <w:rPr>
          <w:b/>
        </w:rPr>
        <w:t>Obveznice 2023</w:t>
      </w:r>
      <w:r>
        <w:t>«) in/ali (ii) obveznic v nominalni vrednosti 1.500.000.000 EUR z obrestno mero 4,625 % in zapadlostjo leta 2024 (ISIN: SI0002102984) (od katerih je trenutno neodplačanih 1.496.905.000 EUR (»</w:t>
      </w:r>
      <w:r>
        <w:rPr>
          <w:b/>
        </w:rPr>
        <w:t>Obveznice 2024</w:t>
      </w:r>
      <w:r>
        <w:t>«, skupaj z Obveznicami 2023 imenovane »</w:t>
      </w:r>
      <w:r>
        <w:rPr>
          <w:b/>
        </w:rPr>
        <w:t>Obveznice</w:t>
      </w:r>
      <w:r>
        <w:t>« in posebej »</w:t>
      </w:r>
      <w:r>
        <w:rPr>
          <w:b/>
        </w:rPr>
        <w:t>Serija</w:t>
      </w:r>
      <w:r>
        <w:t>«), naj svoje Obveznice ponudijo v denarni odkup Izdajatelju (vsako takšno vabilo imenovano »</w:t>
      </w:r>
      <w:r>
        <w:rPr>
          <w:b/>
        </w:rPr>
        <w:t>Ponudba</w:t>
      </w:r>
      <w:r>
        <w:t>« in skupaj »</w:t>
      </w:r>
      <w:r>
        <w:rPr>
          <w:b/>
        </w:rPr>
        <w:t>Ponudbi</w:t>
      </w:r>
      <w:r>
        <w:t>«).</w:t>
      </w:r>
    </w:p>
    <w:p w14:paraId="00E277BD" w14:textId="77777777" w:rsidR="00CB4F70" w:rsidRDefault="00ED546C" w:rsidP="00AF23C1">
      <w:pPr>
        <w:pStyle w:val="AODocTxt"/>
      </w:pPr>
      <w:r>
        <w:t>Ponudbi sta bili podani v skladu z določili in pod pogoji, določenimi v Ponudbenem memorandumu z dne 12. septembra 2022 (»</w:t>
      </w:r>
      <w:r>
        <w:rPr>
          <w:b/>
        </w:rPr>
        <w:t>Ponudbeni memorandum</w:t>
      </w:r>
      <w:r>
        <w:t>«). Izrazi, ki so v tem obvestilu pisani z veliko začetnico, a niso opredeljeni, imajo pomen, kot je določen v Ponudbenem memorandumu.</w:t>
      </w:r>
    </w:p>
    <w:p w14:paraId="3E761725" w14:textId="15B93166" w:rsidR="00CC44CD" w:rsidRDefault="00CC44CD" w:rsidP="00CC44CD">
      <w:pPr>
        <w:pStyle w:val="AODocTxt"/>
        <w:numPr>
          <w:ilvl w:val="0"/>
          <w:numId w:val="0"/>
        </w:numPr>
      </w:pPr>
      <w:r>
        <w:t xml:space="preserve">Republika namerava odkupiti Obveznice v skupnem nominalnem znesku </w:t>
      </w:r>
      <w:r w:rsidR="008F6903">
        <w:t>299.313.000 </w:t>
      </w:r>
      <w:r>
        <w:t>EUR</w:t>
      </w:r>
      <w:r w:rsidR="008F6903">
        <w:t>.</w:t>
      </w:r>
    </w:p>
    <w:p w14:paraId="5362B90D" w14:textId="7D4E1430" w:rsidR="00CC44CD" w:rsidRDefault="00CC44CD" w:rsidP="00CC44CD">
      <w:pPr>
        <w:pStyle w:val="AODocTxt"/>
      </w:pPr>
      <w:r>
        <w:t xml:space="preserve">V zvezi s Ponudbo za Obveznice 2023 Izdajatelj sporoča, da je za Donos ob odkupu Obveznic 2023 določil donos ob odkupu v višini </w:t>
      </w:r>
      <w:r w:rsidR="008F6903">
        <w:t>–0,08 </w:t>
      </w:r>
      <w:r>
        <w:t xml:space="preserve">%. Če bo </w:t>
      </w:r>
      <w:r w:rsidR="002B17B7">
        <w:t xml:space="preserve">najkasneje do Datuma poravnave </w:t>
      </w:r>
      <w:r>
        <w:t xml:space="preserve">Pogoj novega financiranja izpolnjen ali se bo Izdajatelj odrekel njegovemu uveljavljanju, bo Sprejeti znesek serije za Obveznice 2023 znašal </w:t>
      </w:r>
      <w:r w:rsidR="008F6903">
        <w:t>292.367.000 </w:t>
      </w:r>
      <w:r>
        <w:t xml:space="preserve">EUR, Kupnina za Obveznice 2023 pa bo znašala </w:t>
      </w:r>
      <w:r w:rsidR="008F6903">
        <w:t>100,142 </w:t>
      </w:r>
      <w:r>
        <w:t>% nominalnega zneska Obveznic 2023. V zvezi s Ponudbo za Obveznice 2023 Izdajatelj sporoča, da bo, če bo Pogoj novega financiranja izpolnjen ali se bo Izdajatelj odrekel njegovemu uveljavljanju, odkupil vse Obveznice 2023, ki so bile veljavno ponujene v skladu z Nekonkurenčnim ponudbenim navodilom</w:t>
      </w:r>
      <w:r w:rsidR="00601BF2">
        <w:t>,</w:t>
      </w:r>
      <w:r>
        <w:t xml:space="preserve"> </w:t>
      </w:r>
      <w:bookmarkStart w:id="0" w:name="_GoBack"/>
      <w:r>
        <w:t>brez</w:t>
      </w:r>
      <w:bookmarkEnd w:id="0"/>
      <w:r>
        <w:t xml:space="preserve"> proporcionalnega razvrščanja. Izdajatelj</w:t>
      </w:r>
      <w:r w:rsidR="008F6903">
        <w:t xml:space="preserve"> </w:t>
      </w:r>
      <w:r>
        <w:t xml:space="preserve">bo odkupil tudi Obveznice 2023, ki so bile ponujene v skladu z veljavnim Konkurenčnim ponudbenim navodilom, z donosom ob odkupu, ki je enak ali višji od Donosa ob odkupu Obveznic 2023 (ki znaša </w:t>
      </w:r>
      <w:r w:rsidR="008F6903">
        <w:t>–0,08 </w:t>
      </w:r>
      <w:r>
        <w:t>%)</w:t>
      </w:r>
      <w:r w:rsidR="008F6903">
        <w:t>,</w:t>
      </w:r>
      <w:r>
        <w:t xml:space="preserve"> brez proporcionalnega razvrščanja. Izdajatelj bo plačal tudi Natečene obresti v zvezi z Obveznicami 2023, ki jih odkupi v skladu s Ponudbo za Obveznice 2023, in sicer v višini približno </w:t>
      </w:r>
      <w:r w:rsidR="008F6903">
        <w:t>0,099 </w:t>
      </w:r>
      <w:r>
        <w:t>% nominalnega zneska Obveznic 2023.</w:t>
      </w:r>
    </w:p>
    <w:p w14:paraId="0D61F859" w14:textId="1D4300A7" w:rsidR="00496814" w:rsidRDefault="00496814" w:rsidP="00496814">
      <w:pPr>
        <w:pStyle w:val="AODocTxt"/>
      </w:pPr>
      <w:r>
        <w:t>V zvezi s Ponudbo za Obveznice 2024 Izdajatelj sporoča, da je za Razpon kliringa Obveznic 2024 določil Največji razpon ob odkupu Obveznic 2024, ki znaša –130 bazičnih točk. Če bo</w:t>
      </w:r>
      <w:r w:rsidR="002B17B7">
        <w:t xml:space="preserve"> najkasneje do Datuma poravnave</w:t>
      </w:r>
      <w:r>
        <w:t xml:space="preserve"> Pogoj novega financiranja izpolnjen ali se bo Izdajatelj odrekel njegovemu uveljavljanju, bo Sprejeti znesek serije za Obveznice 2024 znašal</w:t>
      </w:r>
      <w:r w:rsidR="008F6903">
        <w:t xml:space="preserve"> 6.946.000 </w:t>
      </w:r>
      <w:r>
        <w:t xml:space="preserve">EUR, Kupnina za Obveznice 2024 pa bo znašala </w:t>
      </w:r>
      <w:r w:rsidR="008F6903">
        <w:t>106,267 </w:t>
      </w:r>
      <w:r>
        <w:t>% nominalnega zneska Obveznic 2024. V zvezi s Ponudbo za Obveznice 2024 Izdajatelj sporoča, da bo, če bo Pogoj novega financiranja izpolnjen ali se bo Izdajatelj odrekel njegovemu uveljavljanju, odkupil vse Obveznice 2024, ki so bile veljavno ponujene v skladu z Nekonkurenčnim ponudbenim navodilom</w:t>
      </w:r>
      <w:r w:rsidR="008F6903">
        <w:t>,</w:t>
      </w:r>
      <w:r>
        <w:t xml:space="preserve"> brez proporcionalnega razvrščanja. Izdajatelj ne bo odkupil nobenih Obveznic 2024, ki so bile ponujene v skladu z veljavnim Konkurenčnim ponudbenim navodilom. Izdajatelj bo plačal tudi Natečene obresti v zvezi z Obveznicami 2024, ki jih odkupi v skladu s Ponudbo za Obveznice 2024, in sicer v višini približno </w:t>
      </w:r>
      <w:r w:rsidR="008F6903">
        <w:t>0,228 </w:t>
      </w:r>
      <w:r>
        <w:t>% nominalnega zneska Obveznic 2024.</w:t>
      </w:r>
    </w:p>
    <w:p w14:paraId="028132E5" w14:textId="77777777" w:rsidR="00416348" w:rsidRPr="00496814" w:rsidRDefault="00416348" w:rsidP="00416348">
      <w:pPr>
        <w:pStyle w:val="AODocTxt"/>
        <w:numPr>
          <w:ilvl w:val="0"/>
          <w:numId w:val="0"/>
        </w:numPr>
        <w:spacing w:after="240"/>
        <w:rPr>
          <w:i/>
          <w:iCs/>
        </w:rPr>
      </w:pPr>
      <w:r>
        <w:rPr>
          <w:i/>
          <w:iCs/>
        </w:rPr>
        <w:lastRenderedPageBreak/>
        <w:t>Povzetek končne določitve kupnine pri Ponudbi za Obveznice 2023:</w:t>
      </w:r>
    </w:p>
    <w:tbl>
      <w:tblPr>
        <w:tblW w:w="3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375"/>
        <w:gridCol w:w="2207"/>
        <w:gridCol w:w="1375"/>
      </w:tblGrid>
      <w:tr w:rsidR="006E68C4" w:rsidRPr="004A3C97" w14:paraId="46F2D8BE" w14:textId="77777777" w:rsidTr="006E68C4">
        <w:trPr>
          <w:trHeight w:val="594"/>
        </w:trPr>
        <w:tc>
          <w:tcPr>
            <w:tcW w:w="1085" w:type="pct"/>
            <w:shd w:val="clear" w:color="auto" w:fill="auto"/>
          </w:tcPr>
          <w:p w14:paraId="318A3663" w14:textId="77777777" w:rsidR="006E68C4" w:rsidRPr="004A3C97" w:rsidRDefault="006E68C4" w:rsidP="00E978D2">
            <w:pPr>
              <w:pStyle w:val="AODocTxt"/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Donos ob odkupu Obveznic 2023</w:t>
            </w:r>
          </w:p>
        </w:tc>
        <w:tc>
          <w:tcPr>
            <w:tcW w:w="1086" w:type="pct"/>
            <w:shd w:val="clear" w:color="auto" w:fill="auto"/>
          </w:tcPr>
          <w:p w14:paraId="1E553A7A" w14:textId="77777777" w:rsidR="006E68C4" w:rsidRPr="004A3C97" w:rsidRDefault="006E68C4" w:rsidP="00E978D2">
            <w:pPr>
              <w:pStyle w:val="AODocTxt"/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Kupnina za Obveznice 2023</w:t>
            </w:r>
          </w:p>
        </w:tc>
        <w:tc>
          <w:tcPr>
            <w:tcW w:w="1743" w:type="pct"/>
          </w:tcPr>
          <w:p w14:paraId="46B121E0" w14:textId="77777777" w:rsidR="006E68C4" w:rsidRPr="004A3C97" w:rsidRDefault="006E68C4" w:rsidP="00E978D2">
            <w:pPr>
              <w:pStyle w:val="AODocTxt"/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Sprejeti znesek serije</w:t>
            </w:r>
          </w:p>
        </w:tc>
        <w:tc>
          <w:tcPr>
            <w:tcW w:w="1086" w:type="pct"/>
          </w:tcPr>
          <w:p w14:paraId="146D7A20" w14:textId="77777777" w:rsidR="006E68C4" w:rsidRPr="004A3C97" w:rsidRDefault="006E68C4" w:rsidP="00E978D2">
            <w:pPr>
              <w:pStyle w:val="AODocTxt"/>
              <w:spacing w:before="0"/>
              <w:jc w:val="left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Natečene obresti </w:t>
            </w:r>
          </w:p>
        </w:tc>
      </w:tr>
      <w:tr w:rsidR="006E68C4" w:rsidRPr="004A3C97" w14:paraId="5E67B46C" w14:textId="77777777" w:rsidTr="006E68C4">
        <w:tc>
          <w:tcPr>
            <w:tcW w:w="1085" w:type="pct"/>
            <w:shd w:val="clear" w:color="auto" w:fill="auto"/>
          </w:tcPr>
          <w:p w14:paraId="6D71D6EC" w14:textId="003E23AC" w:rsidR="006E68C4" w:rsidRPr="004A3C97" w:rsidRDefault="008F6903" w:rsidP="00B83A34">
            <w:pPr>
              <w:pStyle w:val="AODocTxt"/>
              <w:jc w:val="center"/>
            </w:pPr>
            <w:r>
              <w:t>–0,08 </w:t>
            </w:r>
            <w:r w:rsidR="006E68C4">
              <w:t>%</w:t>
            </w:r>
          </w:p>
        </w:tc>
        <w:tc>
          <w:tcPr>
            <w:tcW w:w="1086" w:type="pct"/>
            <w:shd w:val="clear" w:color="auto" w:fill="auto"/>
          </w:tcPr>
          <w:p w14:paraId="434F1D23" w14:textId="125E0E20" w:rsidR="006E68C4" w:rsidRPr="004A3C97" w:rsidRDefault="008F6903" w:rsidP="00B83A34">
            <w:pPr>
              <w:pStyle w:val="AODocTxt"/>
              <w:jc w:val="center"/>
            </w:pPr>
            <w:r>
              <w:t>100,142 </w:t>
            </w:r>
            <w:r w:rsidR="006E68C4">
              <w:t>%</w:t>
            </w:r>
          </w:p>
        </w:tc>
        <w:tc>
          <w:tcPr>
            <w:tcW w:w="1743" w:type="pct"/>
          </w:tcPr>
          <w:p w14:paraId="4D1D95DD" w14:textId="31DBBC1F" w:rsidR="006E68C4" w:rsidRPr="004A3C97" w:rsidRDefault="008F6903" w:rsidP="00B83A34">
            <w:pPr>
              <w:pStyle w:val="AODocTxt"/>
              <w:jc w:val="center"/>
            </w:pPr>
            <w:r>
              <w:t>292.367.000 </w:t>
            </w:r>
            <w:r w:rsidR="006E68C4">
              <w:t>EUR</w:t>
            </w:r>
          </w:p>
        </w:tc>
        <w:tc>
          <w:tcPr>
            <w:tcW w:w="1086" w:type="pct"/>
          </w:tcPr>
          <w:p w14:paraId="030B2A70" w14:textId="73D5CDC7" w:rsidR="006E68C4" w:rsidRPr="004A3C97" w:rsidRDefault="008F6903" w:rsidP="00B83A34">
            <w:pPr>
              <w:pStyle w:val="AODocTxt"/>
              <w:jc w:val="center"/>
            </w:pPr>
            <w:r>
              <w:t>0,099 </w:t>
            </w:r>
            <w:r w:rsidR="006E68C4">
              <w:t>%</w:t>
            </w:r>
          </w:p>
        </w:tc>
      </w:tr>
    </w:tbl>
    <w:p w14:paraId="4B8173BE" w14:textId="77777777" w:rsidR="00ED546C" w:rsidRPr="00496814" w:rsidRDefault="00ED546C" w:rsidP="00F07F66">
      <w:pPr>
        <w:pStyle w:val="AODocTxt"/>
        <w:spacing w:after="240"/>
        <w:rPr>
          <w:i/>
          <w:iCs/>
        </w:rPr>
      </w:pPr>
      <w:r>
        <w:rPr>
          <w:i/>
          <w:iCs/>
        </w:rPr>
        <w:t>Povzetek končne določitve kupnine pri Ponudbi za Obveznice 2024: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502"/>
        <w:gridCol w:w="1476"/>
        <w:gridCol w:w="1835"/>
        <w:gridCol w:w="2207"/>
        <w:gridCol w:w="1531"/>
      </w:tblGrid>
      <w:tr w:rsidR="00131F7F" w:rsidRPr="00496814" w14:paraId="430C8A8A" w14:textId="77777777" w:rsidTr="00416348">
        <w:trPr>
          <w:jc w:val="center"/>
        </w:trPr>
        <w:tc>
          <w:tcPr>
            <w:tcW w:w="737" w:type="pct"/>
            <w:shd w:val="clear" w:color="auto" w:fill="auto"/>
          </w:tcPr>
          <w:p w14:paraId="40422F11" w14:textId="77777777" w:rsidR="003C3120" w:rsidRPr="00496814" w:rsidRDefault="00DC283B" w:rsidP="00DC283B">
            <w:pPr>
              <w:pStyle w:val="AODocTxt"/>
              <w:numPr>
                <w:ilvl w:val="0"/>
                <w:numId w:val="0"/>
              </w:numPr>
              <w:spacing w:before="0"/>
              <w:jc w:val="left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Razpon kliringa Obveznic 2024</w:t>
            </w:r>
          </w:p>
        </w:tc>
        <w:tc>
          <w:tcPr>
            <w:tcW w:w="749" w:type="pct"/>
          </w:tcPr>
          <w:p w14:paraId="4614805C" w14:textId="381D2386" w:rsidR="003C3120" w:rsidRPr="00496814" w:rsidRDefault="00131F7F" w:rsidP="00ED546C">
            <w:pPr>
              <w:pStyle w:val="AODocTxt"/>
              <w:spacing w:before="0"/>
              <w:jc w:val="left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Interpolirana srednja obrestna mera zamenjave</w:t>
            </w:r>
          </w:p>
        </w:tc>
        <w:tc>
          <w:tcPr>
            <w:tcW w:w="736" w:type="pct"/>
            <w:shd w:val="clear" w:color="auto" w:fill="auto"/>
          </w:tcPr>
          <w:p w14:paraId="1B8D1374" w14:textId="77777777" w:rsidR="003C3120" w:rsidRPr="00496814" w:rsidRDefault="002D37B7" w:rsidP="002D37B7">
            <w:pPr>
              <w:pStyle w:val="AODocTxt"/>
              <w:numPr>
                <w:ilvl w:val="0"/>
                <w:numId w:val="0"/>
              </w:numPr>
              <w:spacing w:before="0"/>
              <w:jc w:val="left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Donos ob odkupu Obveznic 2024</w:t>
            </w:r>
          </w:p>
        </w:tc>
        <w:tc>
          <w:tcPr>
            <w:tcW w:w="915" w:type="pct"/>
            <w:shd w:val="clear" w:color="auto" w:fill="auto"/>
          </w:tcPr>
          <w:p w14:paraId="0E300E4E" w14:textId="77777777" w:rsidR="003C3120" w:rsidRPr="00496814" w:rsidRDefault="002D37B7" w:rsidP="00ED546C">
            <w:pPr>
              <w:pStyle w:val="AODocTxt"/>
              <w:spacing w:before="0"/>
              <w:jc w:val="left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Kupnina za Obveznice 2024</w:t>
            </w:r>
          </w:p>
        </w:tc>
        <w:tc>
          <w:tcPr>
            <w:tcW w:w="1100" w:type="pct"/>
          </w:tcPr>
          <w:p w14:paraId="64A16C8C" w14:textId="77777777" w:rsidR="003C3120" w:rsidRPr="00496814" w:rsidRDefault="003C3120" w:rsidP="00ED546C">
            <w:pPr>
              <w:pStyle w:val="AODocTxt"/>
              <w:spacing w:before="0"/>
              <w:jc w:val="left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Sprejeti znesek serije</w:t>
            </w:r>
          </w:p>
        </w:tc>
        <w:tc>
          <w:tcPr>
            <w:tcW w:w="764" w:type="pct"/>
          </w:tcPr>
          <w:p w14:paraId="1FCE2921" w14:textId="77777777" w:rsidR="003C3120" w:rsidRPr="00496814" w:rsidRDefault="003C3120" w:rsidP="00C60AB3">
            <w:pPr>
              <w:pStyle w:val="AODocTxt"/>
              <w:spacing w:before="0"/>
              <w:jc w:val="left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Natečene obresti </w:t>
            </w:r>
          </w:p>
        </w:tc>
      </w:tr>
      <w:tr w:rsidR="00131F7F" w:rsidRPr="00496814" w14:paraId="4E41EF17" w14:textId="77777777" w:rsidTr="00416348">
        <w:trPr>
          <w:trHeight w:val="1023"/>
          <w:jc w:val="center"/>
        </w:trPr>
        <w:tc>
          <w:tcPr>
            <w:tcW w:w="737" w:type="pct"/>
            <w:shd w:val="clear" w:color="auto" w:fill="auto"/>
          </w:tcPr>
          <w:p w14:paraId="532BA8C6" w14:textId="0DB1D9CD" w:rsidR="003C3120" w:rsidRPr="00496814" w:rsidRDefault="00601BF2" w:rsidP="00357A74">
            <w:pPr>
              <w:pStyle w:val="AODocTxt"/>
              <w:numPr>
                <w:ilvl w:val="0"/>
                <w:numId w:val="0"/>
              </w:numPr>
              <w:jc w:val="left"/>
            </w:pPr>
            <w:r>
              <w:t>–130</w:t>
            </w:r>
            <w:r w:rsidR="006E68C4">
              <w:t xml:space="preserve"> bazičnih točk</w:t>
            </w:r>
          </w:p>
        </w:tc>
        <w:tc>
          <w:tcPr>
            <w:tcW w:w="749" w:type="pct"/>
          </w:tcPr>
          <w:p w14:paraId="4CF68933" w14:textId="37F6BFA3" w:rsidR="003C3120" w:rsidRPr="00496814" w:rsidRDefault="00601BF2" w:rsidP="00357A74">
            <w:pPr>
              <w:pStyle w:val="AODocTxt"/>
              <w:numPr>
                <w:ilvl w:val="0"/>
                <w:numId w:val="0"/>
              </w:numPr>
              <w:jc w:val="left"/>
            </w:pPr>
            <w:r>
              <w:t>2,647 </w:t>
            </w:r>
            <w:r w:rsidR="006E68C4">
              <w:t>%</w:t>
            </w:r>
          </w:p>
        </w:tc>
        <w:tc>
          <w:tcPr>
            <w:tcW w:w="736" w:type="pct"/>
            <w:shd w:val="clear" w:color="auto" w:fill="auto"/>
          </w:tcPr>
          <w:p w14:paraId="28FA3821" w14:textId="52E0C50C" w:rsidR="003C3120" w:rsidRPr="00496814" w:rsidRDefault="00601BF2" w:rsidP="00357A74">
            <w:pPr>
              <w:pStyle w:val="AODocTxt"/>
              <w:jc w:val="left"/>
            </w:pPr>
            <w:r>
              <w:t>1,347 </w:t>
            </w:r>
            <w:r w:rsidR="006E68C4">
              <w:t>%</w:t>
            </w:r>
          </w:p>
        </w:tc>
        <w:tc>
          <w:tcPr>
            <w:tcW w:w="915" w:type="pct"/>
            <w:shd w:val="clear" w:color="auto" w:fill="auto"/>
          </w:tcPr>
          <w:p w14:paraId="22481239" w14:textId="1BF4C0F6" w:rsidR="003C3120" w:rsidRPr="00496814" w:rsidRDefault="00601BF2" w:rsidP="00357A74">
            <w:pPr>
              <w:pStyle w:val="AODocTxt"/>
              <w:jc w:val="left"/>
            </w:pPr>
            <w:r>
              <w:t>106,267 </w:t>
            </w:r>
            <w:r w:rsidR="006E68C4">
              <w:t>%</w:t>
            </w:r>
          </w:p>
        </w:tc>
        <w:tc>
          <w:tcPr>
            <w:tcW w:w="1100" w:type="pct"/>
          </w:tcPr>
          <w:p w14:paraId="41EFCC14" w14:textId="674FA632" w:rsidR="003C3120" w:rsidRPr="00496814" w:rsidRDefault="00601BF2" w:rsidP="00357A74">
            <w:pPr>
              <w:pStyle w:val="AODocTxt"/>
              <w:jc w:val="left"/>
            </w:pPr>
            <w:r>
              <w:t>6.946.000 </w:t>
            </w:r>
            <w:r w:rsidR="006E68C4">
              <w:t>EUR</w:t>
            </w:r>
          </w:p>
        </w:tc>
        <w:tc>
          <w:tcPr>
            <w:tcW w:w="764" w:type="pct"/>
          </w:tcPr>
          <w:p w14:paraId="2774FE06" w14:textId="58EFA9B3" w:rsidR="003C3120" w:rsidRPr="00496814" w:rsidRDefault="00601BF2" w:rsidP="00357A74">
            <w:pPr>
              <w:pStyle w:val="AODocTxt"/>
              <w:numPr>
                <w:ilvl w:val="0"/>
                <w:numId w:val="0"/>
              </w:numPr>
              <w:jc w:val="left"/>
            </w:pPr>
            <w:r>
              <w:t>0,228 </w:t>
            </w:r>
            <w:r w:rsidR="006E68C4">
              <w:t>%</w:t>
            </w:r>
          </w:p>
        </w:tc>
      </w:tr>
    </w:tbl>
    <w:p w14:paraId="527E2710" w14:textId="77777777" w:rsidR="00ED546C" w:rsidRDefault="00ED546C" w:rsidP="0035450C">
      <w:pPr>
        <w:pStyle w:val="AODocTxt"/>
        <w:numPr>
          <w:ilvl w:val="0"/>
          <w:numId w:val="0"/>
        </w:numPr>
      </w:pPr>
      <w:r>
        <w:t>Predvideni Datum poravnave Ponudb je 27. september 2022.</w:t>
      </w:r>
    </w:p>
    <w:p w14:paraId="4CAD6542" w14:textId="77777777" w:rsidR="0072784B" w:rsidRPr="0072784B" w:rsidRDefault="0072784B" w:rsidP="0072784B">
      <w:pPr>
        <w:pStyle w:val="AODocTxt"/>
      </w:pPr>
      <w:r>
        <w:t xml:space="preserve">Organizatorji so </w:t>
      </w:r>
      <w:proofErr w:type="spellStart"/>
      <w:r>
        <w:t>Barclays</w:t>
      </w:r>
      <w:proofErr w:type="spellEnd"/>
      <w:r>
        <w:t xml:space="preserve"> Bank </w:t>
      </w:r>
      <w:proofErr w:type="spellStart"/>
      <w:r>
        <w:t>Ireland</w:t>
      </w:r>
      <w:proofErr w:type="spellEnd"/>
      <w:r>
        <w:t xml:space="preserve"> PLC, BNP </w:t>
      </w:r>
      <w:proofErr w:type="spellStart"/>
      <w:r>
        <w:t>Paribas</w:t>
      </w:r>
      <w:proofErr w:type="spellEnd"/>
      <w:r>
        <w:t xml:space="preserve">,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Bank AG in J.P. Morgan SE.</w:t>
      </w:r>
    </w:p>
    <w:p w14:paraId="331263A7" w14:textId="77777777" w:rsidR="0032284C" w:rsidRDefault="0032284C" w:rsidP="000E10DB">
      <w:pPr>
        <w:pStyle w:val="AODocTxt"/>
        <w:numPr>
          <w:ilvl w:val="0"/>
          <w:numId w:val="0"/>
        </w:numPr>
      </w:pPr>
    </w:p>
    <w:tbl>
      <w:tblPr>
        <w:tblpPr w:leftFromText="180" w:rightFromText="180" w:vertAnchor="text" w:horzAnchor="margin" w:tblpY="20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CB4F70" w:rsidRPr="00F548C7" w14:paraId="1F113A44" w14:textId="77777777" w:rsidTr="00F548C7">
        <w:tc>
          <w:tcPr>
            <w:tcW w:w="9243" w:type="dxa"/>
            <w:gridSpan w:val="2"/>
            <w:shd w:val="clear" w:color="auto" w:fill="auto"/>
          </w:tcPr>
          <w:p w14:paraId="6385CCDE" w14:textId="77777777" w:rsidR="00CB4F70" w:rsidRPr="00F548C7" w:rsidRDefault="00CB4F70" w:rsidP="00F548C7">
            <w:pPr>
              <w:pStyle w:val="DocText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Organizatorji</w:t>
            </w:r>
            <w:r>
              <w:rPr>
                <w:b/>
                <w:bCs/>
                <w:i/>
                <w:iCs/>
                <w:sz w:val="18"/>
                <w:szCs w:val="18"/>
              </w:rPr>
              <w:br/>
            </w:r>
          </w:p>
        </w:tc>
      </w:tr>
      <w:tr w:rsidR="00DE27AF" w:rsidRPr="00F548C7" w14:paraId="3BC2C3BF" w14:textId="77777777" w:rsidTr="00F548C7">
        <w:tc>
          <w:tcPr>
            <w:tcW w:w="4621" w:type="dxa"/>
            <w:shd w:val="clear" w:color="auto" w:fill="auto"/>
          </w:tcPr>
          <w:p w14:paraId="72F4FF78" w14:textId="77777777" w:rsidR="00DE27AF" w:rsidRPr="004D7672" w:rsidRDefault="00DE27AF" w:rsidP="00DE27AF">
            <w:pPr>
              <w:pStyle w:val="Doc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Barclays</w:t>
            </w:r>
            <w:proofErr w:type="spellEnd"/>
            <w:r>
              <w:rPr>
                <w:b/>
                <w:sz w:val="18"/>
                <w:szCs w:val="18"/>
              </w:rPr>
              <w:t xml:space="preserve"> Bank </w:t>
            </w:r>
            <w:proofErr w:type="spellStart"/>
            <w:r>
              <w:rPr>
                <w:b/>
                <w:sz w:val="18"/>
                <w:szCs w:val="18"/>
              </w:rPr>
              <w:t>Ireland</w:t>
            </w:r>
            <w:proofErr w:type="spellEnd"/>
            <w:r>
              <w:rPr>
                <w:b/>
                <w:sz w:val="18"/>
                <w:szCs w:val="18"/>
              </w:rPr>
              <w:t xml:space="preserve"> PLC</w:t>
            </w:r>
            <w:r>
              <w:rPr>
                <w:sz w:val="18"/>
                <w:szCs w:val="18"/>
              </w:rPr>
              <w:br/>
              <w:t xml:space="preserve">One </w:t>
            </w:r>
            <w:proofErr w:type="spellStart"/>
            <w:r>
              <w:rPr>
                <w:sz w:val="18"/>
                <w:szCs w:val="18"/>
              </w:rPr>
              <w:t>Molesworth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Street</w:t>
            </w:r>
            <w:proofErr w:type="spellEnd"/>
            <w:r>
              <w:rPr>
                <w:sz w:val="18"/>
                <w:szCs w:val="18"/>
              </w:rPr>
              <w:br/>
              <w:t>Dublin 2</w:t>
            </w:r>
            <w:r>
              <w:rPr>
                <w:sz w:val="18"/>
                <w:szCs w:val="18"/>
              </w:rPr>
              <w:br/>
              <w:t>Irska DO2 RF29</w:t>
            </w:r>
          </w:p>
          <w:p w14:paraId="3BF98459" w14:textId="77777777" w:rsidR="00DE27AF" w:rsidRPr="006A5DE8" w:rsidRDefault="00DE27AF" w:rsidP="00DE27AF">
            <w:pPr>
              <w:pStyle w:val="DocText"/>
              <w:jc w:val="center"/>
              <w:rPr>
                <w:b/>
                <w:sz w:val="18"/>
                <w:szCs w:val="18"/>
              </w:rPr>
            </w:pPr>
          </w:p>
          <w:p w14:paraId="6E571795" w14:textId="77777777" w:rsidR="00DE27AF" w:rsidRPr="006A5DE8" w:rsidRDefault="00DE27AF" w:rsidP="00DE27AF">
            <w:pPr>
              <w:pStyle w:val="Doc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+44 20 3134 8515</w:t>
            </w:r>
            <w:r>
              <w:rPr>
                <w:sz w:val="18"/>
                <w:szCs w:val="18"/>
              </w:rPr>
              <w:br/>
              <w:t xml:space="preserve">Za: </w:t>
            </w:r>
            <w:proofErr w:type="spellStart"/>
            <w:r>
              <w:rPr>
                <w:sz w:val="18"/>
                <w:szCs w:val="18"/>
              </w:rPr>
              <w:t>Liability</w:t>
            </w:r>
            <w:proofErr w:type="spellEnd"/>
            <w:r>
              <w:rPr>
                <w:sz w:val="18"/>
                <w:szCs w:val="18"/>
              </w:rPr>
              <w:t xml:space="preserve"> Management </w:t>
            </w:r>
            <w:proofErr w:type="spellStart"/>
            <w:r>
              <w:rPr>
                <w:sz w:val="18"/>
                <w:szCs w:val="18"/>
              </w:rPr>
              <w:t>Group</w:t>
            </w:r>
            <w:proofErr w:type="spellEnd"/>
            <w:r>
              <w:rPr>
                <w:sz w:val="18"/>
                <w:szCs w:val="18"/>
              </w:rPr>
              <w:br/>
              <w:t>Elektronski naslov: eu.lm@barclays.com</w:t>
            </w:r>
          </w:p>
          <w:p w14:paraId="1E309363" w14:textId="77777777" w:rsidR="00DE27AF" w:rsidRPr="00F548C7" w:rsidRDefault="00DE27AF" w:rsidP="00DE27AF">
            <w:pPr>
              <w:pStyle w:val="DocText"/>
              <w:jc w:val="center"/>
              <w:rPr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4892F1F0" w14:textId="77777777" w:rsidR="00DE27AF" w:rsidRPr="000E10DB" w:rsidRDefault="00DE27AF" w:rsidP="00F42B15">
            <w:pPr>
              <w:pStyle w:val="Doc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BNP </w:t>
            </w:r>
            <w:proofErr w:type="spellStart"/>
            <w:r>
              <w:rPr>
                <w:b/>
                <w:sz w:val="18"/>
                <w:szCs w:val="18"/>
              </w:rPr>
              <w:t>Paribas</w:t>
            </w:r>
            <w:proofErr w:type="spellEnd"/>
            <w:r>
              <w:rPr>
                <w:sz w:val="18"/>
                <w:szCs w:val="18"/>
              </w:rPr>
              <w:br/>
              <w:t xml:space="preserve"> 16, </w:t>
            </w:r>
            <w:proofErr w:type="spellStart"/>
            <w:r>
              <w:rPr>
                <w:sz w:val="18"/>
                <w:szCs w:val="18"/>
              </w:rPr>
              <w:t>boulevard</w:t>
            </w:r>
            <w:proofErr w:type="spellEnd"/>
            <w:r>
              <w:rPr>
                <w:sz w:val="18"/>
                <w:szCs w:val="18"/>
              </w:rPr>
              <w:t xml:space="preserve"> des </w:t>
            </w:r>
            <w:proofErr w:type="spellStart"/>
            <w:r>
              <w:rPr>
                <w:sz w:val="18"/>
                <w:szCs w:val="18"/>
              </w:rPr>
              <w:t>Italiens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75009 Paris</w:t>
            </w:r>
            <w:r>
              <w:rPr>
                <w:sz w:val="18"/>
                <w:szCs w:val="18"/>
              </w:rPr>
              <w:br/>
              <w:t xml:space="preserve"> Francija</w:t>
            </w:r>
          </w:p>
          <w:p w14:paraId="48586E23" w14:textId="77777777" w:rsidR="00DE27AF" w:rsidRPr="000E10DB" w:rsidRDefault="00DE27AF" w:rsidP="00DE27AF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  <w:p w14:paraId="0386086A" w14:textId="77777777" w:rsidR="00DE27AF" w:rsidRPr="000E10DB" w:rsidRDefault="00DE27AF" w:rsidP="00DE27AF">
            <w:pPr>
              <w:spacing w:before="12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+33 1 55 77 78 94</w:t>
            </w:r>
            <w:r>
              <w:rPr>
                <w:sz w:val="18"/>
                <w:szCs w:val="18"/>
              </w:rPr>
              <w:br/>
              <w:t xml:space="preserve">Za: </w:t>
            </w:r>
            <w:proofErr w:type="spellStart"/>
            <w:r>
              <w:rPr>
                <w:sz w:val="18"/>
                <w:szCs w:val="18"/>
              </w:rPr>
              <w:t>Liability</w:t>
            </w:r>
            <w:proofErr w:type="spellEnd"/>
            <w:r>
              <w:rPr>
                <w:sz w:val="18"/>
                <w:szCs w:val="18"/>
              </w:rPr>
              <w:t xml:space="preserve"> Management </w:t>
            </w:r>
            <w:proofErr w:type="spellStart"/>
            <w:r>
              <w:rPr>
                <w:sz w:val="18"/>
                <w:szCs w:val="18"/>
              </w:rPr>
              <w:t>Group</w:t>
            </w:r>
            <w:proofErr w:type="spellEnd"/>
            <w:r>
              <w:rPr>
                <w:sz w:val="18"/>
                <w:szCs w:val="18"/>
              </w:rPr>
              <w:br/>
              <w:t>Elektronski naslov: liability.management@bnpparibas.com</w:t>
            </w:r>
          </w:p>
          <w:p w14:paraId="47FD79DD" w14:textId="77777777" w:rsidR="00DE27AF" w:rsidRDefault="00DE27AF" w:rsidP="00DE27AF">
            <w:pPr>
              <w:pStyle w:val="DocText"/>
              <w:jc w:val="center"/>
            </w:pPr>
            <w:r>
              <w:t xml:space="preserve"> </w:t>
            </w:r>
          </w:p>
          <w:p w14:paraId="6238E554" w14:textId="77777777" w:rsidR="00DE27AF" w:rsidRPr="000E10DB" w:rsidRDefault="00DE27AF" w:rsidP="00DE27AF">
            <w:pPr>
              <w:pStyle w:val="DocText"/>
              <w:rPr>
                <w:b/>
                <w:bCs/>
                <w:sz w:val="18"/>
                <w:szCs w:val="18"/>
              </w:rPr>
            </w:pPr>
          </w:p>
        </w:tc>
      </w:tr>
      <w:tr w:rsidR="00DE27AF" w:rsidRPr="00F548C7" w14:paraId="5AF39024" w14:textId="77777777" w:rsidTr="00F548C7">
        <w:tc>
          <w:tcPr>
            <w:tcW w:w="4621" w:type="dxa"/>
            <w:shd w:val="clear" w:color="auto" w:fill="auto"/>
          </w:tcPr>
          <w:p w14:paraId="39DC565F" w14:textId="77777777" w:rsidR="00DE27AF" w:rsidRDefault="00DE27AF" w:rsidP="00DE27AF">
            <w:pPr>
              <w:pStyle w:val="DocText"/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54EA4823" w14:textId="77777777" w:rsidR="00DE27AF" w:rsidRPr="00AF0A9C" w:rsidRDefault="00DE27AF" w:rsidP="00DE27AF">
            <w:pPr>
              <w:pStyle w:val="DocText"/>
              <w:spacing w:before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Erste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Group</w:t>
            </w:r>
            <w:proofErr w:type="spellEnd"/>
            <w:r>
              <w:rPr>
                <w:b/>
                <w:sz w:val="18"/>
                <w:szCs w:val="18"/>
              </w:rPr>
              <w:t xml:space="preserve"> Bank AG</w:t>
            </w:r>
            <w:r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 xml:space="preserve"> Am </w:t>
            </w:r>
            <w:proofErr w:type="spellStart"/>
            <w:r>
              <w:rPr>
                <w:bCs/>
                <w:sz w:val="18"/>
                <w:szCs w:val="18"/>
              </w:rPr>
              <w:t>Belvedere</w:t>
            </w:r>
            <w:proofErr w:type="spellEnd"/>
            <w:r>
              <w:rPr>
                <w:bCs/>
                <w:sz w:val="18"/>
                <w:szCs w:val="18"/>
              </w:rPr>
              <w:t xml:space="preserve"> 1 1100 Dunaj</w:t>
            </w:r>
          </w:p>
          <w:p w14:paraId="3ADE4773" w14:textId="77777777" w:rsidR="00DE27AF" w:rsidRPr="00AF0A9C" w:rsidRDefault="00DE27AF" w:rsidP="00DE27AF">
            <w:pPr>
              <w:pStyle w:val="DocText"/>
              <w:spacing w:befor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Avstrija </w:t>
            </w:r>
          </w:p>
          <w:p w14:paraId="7C67CD5B" w14:textId="77777777" w:rsidR="00DE27AF" w:rsidRPr="006A5DE8" w:rsidRDefault="00DE27AF" w:rsidP="00DE27AF">
            <w:pPr>
              <w:pStyle w:val="DocText"/>
              <w:spacing w:befor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Telefon: +43 (0)5 0100 84054</w:t>
            </w:r>
          </w:p>
          <w:p w14:paraId="353E204F" w14:textId="77777777" w:rsidR="00DE27AF" w:rsidRPr="006A5DE8" w:rsidRDefault="00DE27AF" w:rsidP="00DE27AF">
            <w:pPr>
              <w:pStyle w:val="DocText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Za: OU 0196 0604 FIG a. SSA </w:t>
            </w:r>
            <w:proofErr w:type="spellStart"/>
            <w:r>
              <w:rPr>
                <w:sz w:val="18"/>
                <w:szCs w:val="18"/>
              </w:rPr>
              <w:t>Capital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Markets</w:t>
            </w:r>
            <w:proofErr w:type="spellEnd"/>
          </w:p>
          <w:p w14:paraId="2B6A411B" w14:textId="77777777" w:rsidR="00DE27AF" w:rsidRPr="006A5DE8" w:rsidRDefault="00DE27AF" w:rsidP="00DE27AF">
            <w:pPr>
              <w:pStyle w:val="DocText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Elektronski naslov: FISyndicate0604@erstegroup.com</w:t>
            </w:r>
          </w:p>
          <w:p w14:paraId="26506A73" w14:textId="77777777" w:rsidR="00DE27AF" w:rsidRPr="006A5DE8" w:rsidRDefault="00DE27AF" w:rsidP="00DE27AF">
            <w:pPr>
              <w:pStyle w:val="DocText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61075BF" w14:textId="77777777" w:rsidR="00DE27AF" w:rsidRPr="00F548C7" w:rsidRDefault="00DE27AF" w:rsidP="00DE27AF">
            <w:pPr>
              <w:pStyle w:val="Doc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70821486" w14:textId="77777777" w:rsidR="00DE27AF" w:rsidRDefault="00DE27AF" w:rsidP="00DE27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495A4780" w14:textId="77777777" w:rsidR="00DE27AF" w:rsidRPr="00AF0A9C" w:rsidRDefault="00DE27AF" w:rsidP="00DE27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t xml:space="preserve"> </w:t>
            </w:r>
            <w:r>
              <w:rPr>
                <w:b/>
                <w:sz w:val="18"/>
                <w:szCs w:val="18"/>
              </w:rPr>
              <w:t>J.P. Morgan SE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Taunustor</w:t>
            </w:r>
            <w:proofErr w:type="spellEnd"/>
            <w:r>
              <w:rPr>
                <w:sz w:val="18"/>
                <w:szCs w:val="18"/>
              </w:rPr>
              <w:t xml:space="preserve"> 1 (</w:t>
            </w:r>
            <w:proofErr w:type="spellStart"/>
            <w:r>
              <w:rPr>
                <w:sz w:val="18"/>
                <w:szCs w:val="18"/>
              </w:rPr>
              <w:t>TaunusTurm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 xml:space="preserve">60310 Frankfurt </w:t>
            </w:r>
            <w:proofErr w:type="spellStart"/>
            <w:r>
              <w:rPr>
                <w:sz w:val="18"/>
                <w:szCs w:val="18"/>
              </w:rPr>
              <w:t>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Main</w:t>
            </w:r>
            <w:proofErr w:type="spellEnd"/>
          </w:p>
          <w:p w14:paraId="2775C5DB" w14:textId="77777777" w:rsidR="00DE27AF" w:rsidRPr="00AF0A9C" w:rsidRDefault="00DE27AF" w:rsidP="00DE27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Nemčija</w:t>
            </w:r>
          </w:p>
          <w:p w14:paraId="6C34198E" w14:textId="77777777" w:rsidR="00DE27AF" w:rsidRPr="006A5DE8" w:rsidRDefault="00DE27AF" w:rsidP="00DE27AF">
            <w:pPr>
              <w:pStyle w:val="Doc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+44 20 7134 2468</w:t>
            </w:r>
          </w:p>
          <w:p w14:paraId="25C542DD" w14:textId="77777777" w:rsidR="00DE27AF" w:rsidRDefault="00DE27AF" w:rsidP="00DE27AF">
            <w:pPr>
              <w:pStyle w:val="DocText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Za: EMEA </w:t>
            </w:r>
            <w:proofErr w:type="spellStart"/>
            <w:r>
              <w:rPr>
                <w:sz w:val="18"/>
                <w:szCs w:val="18"/>
              </w:rPr>
              <w:t>Liability</w:t>
            </w:r>
            <w:proofErr w:type="spellEnd"/>
            <w:r>
              <w:rPr>
                <w:sz w:val="18"/>
                <w:szCs w:val="18"/>
              </w:rPr>
              <w:t xml:space="preserve"> Management </w:t>
            </w:r>
            <w:proofErr w:type="spellStart"/>
            <w:r>
              <w:rPr>
                <w:sz w:val="18"/>
                <w:szCs w:val="18"/>
              </w:rPr>
              <w:t>Group</w:t>
            </w:r>
            <w:proofErr w:type="spellEnd"/>
          </w:p>
          <w:p w14:paraId="1BA2EFE1" w14:textId="77777777" w:rsidR="00DE27AF" w:rsidRPr="006A5DE8" w:rsidRDefault="00DE27AF" w:rsidP="00DE27AF">
            <w:pPr>
              <w:pStyle w:val="DocText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Elektronski naslov: em_europe_lm@jpmorgan.com</w:t>
            </w:r>
          </w:p>
          <w:p w14:paraId="54D94B2D" w14:textId="77777777" w:rsidR="00DE27AF" w:rsidRPr="006A5DE8" w:rsidRDefault="00DE27AF" w:rsidP="00DE27AF">
            <w:pPr>
              <w:pStyle w:val="DocText"/>
              <w:spacing w:before="0"/>
              <w:jc w:val="center"/>
              <w:rPr>
                <w:i/>
                <w:sz w:val="18"/>
                <w:szCs w:val="18"/>
              </w:rPr>
            </w:pPr>
          </w:p>
          <w:p w14:paraId="2F25DF48" w14:textId="77777777" w:rsidR="00DE27AF" w:rsidRPr="00F548C7" w:rsidRDefault="00DE27AF" w:rsidP="00DE27AF">
            <w:pPr>
              <w:pStyle w:val="DocText"/>
              <w:jc w:val="center"/>
              <w:rPr>
                <w:sz w:val="18"/>
                <w:szCs w:val="18"/>
              </w:rPr>
            </w:pPr>
          </w:p>
        </w:tc>
      </w:tr>
    </w:tbl>
    <w:p w14:paraId="4CED9DC1" w14:textId="77777777" w:rsidR="004D0BE0" w:rsidRDefault="004D0BE0" w:rsidP="00ED546C">
      <w:pPr>
        <w:pStyle w:val="AODocTxt"/>
        <w:numPr>
          <w:ilvl w:val="0"/>
          <w:numId w:val="0"/>
        </w:numPr>
        <w:spacing w:before="0" w:line="240" w:lineRule="auto"/>
      </w:pPr>
    </w:p>
    <w:p w14:paraId="52C9C570" w14:textId="77777777" w:rsidR="00AA3009" w:rsidRPr="00B25A88" w:rsidRDefault="00AA3009" w:rsidP="00ED546C">
      <w:pPr>
        <w:pStyle w:val="AODocTxt"/>
        <w:numPr>
          <w:ilvl w:val="0"/>
          <w:numId w:val="0"/>
        </w:numPr>
        <w:spacing w:before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2693"/>
      </w:tblGrid>
      <w:tr w:rsidR="00ED546C" w:rsidRPr="00D27F18" w14:paraId="7E0D1C9C" w14:textId="77777777" w:rsidTr="00257317">
        <w:tc>
          <w:tcPr>
            <w:tcW w:w="9322" w:type="dxa"/>
            <w:gridSpan w:val="3"/>
            <w:shd w:val="clear" w:color="auto" w:fill="auto"/>
          </w:tcPr>
          <w:p w14:paraId="21A828BD" w14:textId="77777777" w:rsidR="00ED546C" w:rsidRPr="00D27F18" w:rsidRDefault="00F42B15" w:rsidP="00ED546C">
            <w:pPr>
              <w:pStyle w:val="AODocTxt"/>
              <w:spacing w:before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KDD</w:t>
            </w:r>
          </w:p>
          <w:p w14:paraId="4B2FA656" w14:textId="77777777" w:rsidR="00ED546C" w:rsidRPr="00D27F18" w:rsidRDefault="00ED546C" w:rsidP="00ED546C">
            <w:pPr>
              <w:pStyle w:val="AODocTxt"/>
              <w:spacing w:before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F42B15" w:rsidRPr="00D27F18" w14:paraId="36A11D2D" w14:textId="77777777" w:rsidTr="00023FDB">
        <w:tc>
          <w:tcPr>
            <w:tcW w:w="9322" w:type="dxa"/>
            <w:gridSpan w:val="3"/>
            <w:shd w:val="clear" w:color="auto" w:fill="auto"/>
          </w:tcPr>
          <w:p w14:paraId="580F980A" w14:textId="77777777" w:rsidR="00F42B15" w:rsidRPr="00F42B15" w:rsidRDefault="00F42B15" w:rsidP="00F42B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KDD - Centralna klirinško depotna družba, </w:t>
            </w:r>
            <w:proofErr w:type="spellStart"/>
            <w:r>
              <w:rPr>
                <w:b/>
                <w:bCs/>
                <w:sz w:val="18"/>
                <w:szCs w:val="18"/>
              </w:rPr>
              <w:t>d.o.o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</w:p>
          <w:p w14:paraId="69488BC6" w14:textId="77777777" w:rsidR="00F42B15" w:rsidRPr="00F42B15" w:rsidRDefault="00F42B15" w:rsidP="00F42B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Tivolska 48</w:t>
            </w:r>
          </w:p>
          <w:p w14:paraId="1F272A76" w14:textId="77777777" w:rsidR="00F42B15" w:rsidRPr="00F42B15" w:rsidRDefault="00F42B15" w:rsidP="00F42B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 Ljubljana</w:t>
            </w:r>
          </w:p>
          <w:p w14:paraId="3C94AA30" w14:textId="77777777" w:rsidR="00F42B15" w:rsidRDefault="00F42B15" w:rsidP="00F42B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Slovenija</w:t>
            </w:r>
          </w:p>
          <w:p w14:paraId="2E51CB8E" w14:textId="77777777" w:rsidR="00F42B15" w:rsidRPr="00F42B15" w:rsidRDefault="00F42B15" w:rsidP="00F42B15">
            <w:pPr>
              <w:jc w:val="center"/>
              <w:rPr>
                <w:sz w:val="18"/>
                <w:szCs w:val="18"/>
              </w:rPr>
            </w:pPr>
          </w:p>
          <w:p w14:paraId="12FAD171" w14:textId="77777777" w:rsidR="00F42B15" w:rsidRPr="00F42B15" w:rsidRDefault="00F42B15" w:rsidP="00F42B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+386 1 307 35 61</w:t>
            </w:r>
          </w:p>
          <w:p w14:paraId="3B41A123" w14:textId="77777777" w:rsidR="00F42B15" w:rsidRPr="00F42B15" w:rsidRDefault="00F42B15" w:rsidP="00F42B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Elektronski naslov: korporacijske@kdd.si / poravnava@kdd.si</w:t>
            </w:r>
          </w:p>
          <w:p w14:paraId="5FCF8152" w14:textId="77777777" w:rsidR="00F42B15" w:rsidRPr="00D27F18" w:rsidRDefault="00F42B15" w:rsidP="00ED546C">
            <w:pPr>
              <w:pStyle w:val="AODocTxt"/>
              <w:spacing w:before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Za: Iztok Kovač</w:t>
            </w:r>
          </w:p>
        </w:tc>
      </w:tr>
      <w:tr w:rsidR="00ED546C" w:rsidRPr="00D27F18" w14:paraId="1F95E2D2" w14:textId="77777777" w:rsidTr="00257317">
        <w:tc>
          <w:tcPr>
            <w:tcW w:w="3227" w:type="dxa"/>
            <w:shd w:val="clear" w:color="auto" w:fill="auto"/>
          </w:tcPr>
          <w:p w14:paraId="5DE920E3" w14:textId="77777777" w:rsidR="00ED546C" w:rsidRPr="00D27F18" w:rsidRDefault="00ED546C" w:rsidP="00ED546C">
            <w:pPr>
              <w:pStyle w:val="AODocTxt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539F80A0" w14:textId="77777777" w:rsidR="00ED546C" w:rsidRPr="00D27F18" w:rsidRDefault="00ED546C" w:rsidP="00ED546C">
            <w:pPr>
              <w:pStyle w:val="AODocTxt"/>
              <w:spacing w:before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9166400" w14:textId="77777777" w:rsidR="00ED546C" w:rsidRPr="00D27F18" w:rsidRDefault="00ED546C" w:rsidP="00ED546C">
            <w:pPr>
              <w:pStyle w:val="AODocTxt"/>
              <w:spacing w:before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B0720BA" w14:textId="77777777" w:rsidR="00ED546C" w:rsidRPr="00385F3B" w:rsidRDefault="00ED546C" w:rsidP="00ED546C">
            <w:pPr>
              <w:pStyle w:val="AODocTxt"/>
              <w:spacing w:before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14:paraId="3B7F5969" w14:textId="77777777" w:rsidR="00ED546C" w:rsidRPr="00D27F18" w:rsidRDefault="00ED546C" w:rsidP="0048453E">
            <w:pPr>
              <w:pStyle w:val="AODocTxt"/>
              <w:spacing w:before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</w:tbl>
    <w:p w14:paraId="542B4550" w14:textId="77777777" w:rsidR="00ED546C" w:rsidRPr="009D3CDB" w:rsidRDefault="00ED546C" w:rsidP="00ED546C">
      <w:pPr>
        <w:pStyle w:val="AODocTxt"/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OMEJITEV ODGOVORNOSTI:</w:t>
      </w:r>
      <w:r>
        <w:rPr>
          <w:sz w:val="16"/>
          <w:szCs w:val="16"/>
        </w:rPr>
        <w:t xml:space="preserve"> To obvestilo je treba brati skupaj s Ponudbenim memorandumom. To obvestilo ne predstavlja kakršne koli ponudbe ali vabila za pridobitev ali prodajo vrednostnih papirjev. Razdeljevanje tega obvestila in Ponudbenega memoranduma je lahko v določenih jurisdikcijah po zakonu prepovedano. Izdajatelj in Organizatorji zahtevajo, da se osebe, ki prejmejo to obvestilo ali Ponudbeni memorandum, seznanijo s takšnimi omejitvami in jih upoštevajo.</w:t>
      </w:r>
    </w:p>
    <w:sectPr w:rsidR="00ED546C" w:rsidRPr="009D3CDB" w:rsidSect="00ED546C">
      <w:headerReference w:type="default" r:id="rId8"/>
      <w:footerReference w:type="default" r:id="rId9"/>
      <w:pgSz w:w="11907" w:h="16839"/>
      <w:pgMar w:top="1588" w:right="1134" w:bottom="1021" w:left="113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9776" w14:textId="77777777" w:rsidR="00CE3F63" w:rsidRDefault="00CE3F63">
      <w:r>
        <w:separator/>
      </w:r>
    </w:p>
  </w:endnote>
  <w:endnote w:type="continuationSeparator" w:id="0">
    <w:p w14:paraId="4B15A1E7" w14:textId="77777777" w:rsidR="00CE3F63" w:rsidRDefault="00CE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3285"/>
      <w:gridCol w:w="3286"/>
      <w:gridCol w:w="3284"/>
    </w:tblGrid>
    <w:tr w:rsidR="00ED546C" w14:paraId="326D99E2" w14:textId="77777777">
      <w:tc>
        <w:tcPr>
          <w:tcW w:w="5000" w:type="pct"/>
          <w:gridSpan w:val="3"/>
          <w:tcMar>
            <w:top w:w="170" w:type="dxa"/>
          </w:tcMar>
        </w:tcPr>
        <w:bookmarkStart w:id="2" w:name="bmkFooterPrimaryDoc"/>
        <w:p w14:paraId="010B8803" w14:textId="77777777" w:rsidR="00ED546C" w:rsidRDefault="00ED546C">
          <w:pPr>
            <w:pStyle w:val="AONormal8LBold"/>
            <w:rPr>
              <w:noProof/>
            </w:rPr>
          </w:pPr>
          <w:r>
            <w:fldChar w:fldCharType="begin"/>
          </w:r>
          <w:r>
            <w:instrText xml:space="preserve"> DOCPROPERTY "cpFooterText"  </w:instrText>
          </w:r>
          <w:r>
            <w:fldChar w:fldCharType="end"/>
          </w:r>
        </w:p>
      </w:tc>
    </w:tr>
    <w:tr w:rsidR="00ED546C" w14:paraId="1AD99104" w14:textId="77777777">
      <w:tc>
        <w:tcPr>
          <w:tcW w:w="1667" w:type="pct"/>
        </w:tcPr>
        <w:p w14:paraId="31B52ED2" w14:textId="77777777" w:rsidR="00ED546C" w:rsidRDefault="00ED546C">
          <w:pPr>
            <w:pStyle w:val="AONormal8L"/>
            <w:rPr>
              <w:noProof/>
            </w:rPr>
          </w:pPr>
        </w:p>
      </w:tc>
      <w:tc>
        <w:tcPr>
          <w:tcW w:w="1667" w:type="pct"/>
        </w:tcPr>
        <w:p w14:paraId="0ED20AB7" w14:textId="77777777" w:rsidR="00ED546C" w:rsidRDefault="00ED546C">
          <w:pPr>
            <w:pStyle w:val="AONormal8C"/>
            <w:rPr>
              <w:noProof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26013">
            <w:t>3</w:t>
          </w:r>
          <w:r>
            <w:fldChar w:fldCharType="end"/>
          </w:r>
        </w:p>
      </w:tc>
      <w:tc>
        <w:tcPr>
          <w:tcW w:w="1666" w:type="pct"/>
        </w:tcPr>
        <w:p w14:paraId="2AF1D733" w14:textId="77777777" w:rsidR="00ED546C" w:rsidRDefault="00ED546C">
          <w:pPr>
            <w:pStyle w:val="AONormal8R"/>
            <w:rPr>
              <w:noProof/>
            </w:rPr>
          </w:pPr>
        </w:p>
      </w:tc>
    </w:tr>
    <w:bookmarkEnd w:id="2"/>
  </w:tbl>
  <w:p w14:paraId="279CFB3E" w14:textId="77777777" w:rsidR="00ED546C" w:rsidRPr="001B64A4" w:rsidRDefault="00ED546C" w:rsidP="00ED546C">
    <w:pPr>
      <w:pStyle w:val="AONormal8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58C6C" w14:textId="77777777" w:rsidR="00CE3F63" w:rsidRDefault="00CE3F63">
      <w:r>
        <w:separator/>
      </w:r>
    </w:p>
  </w:footnote>
  <w:footnote w:type="continuationSeparator" w:id="0">
    <w:p w14:paraId="13751381" w14:textId="77777777" w:rsidR="00CE3F63" w:rsidRDefault="00CE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9855"/>
    </w:tblGrid>
    <w:tr w:rsidR="00ED546C" w:rsidRPr="00A16ABB" w14:paraId="4626F67E" w14:textId="77777777">
      <w:tc>
        <w:tcPr>
          <w:tcW w:w="5000" w:type="pct"/>
        </w:tcPr>
        <w:bookmarkStart w:id="1" w:name="bmkHeaderPrimaryDoc"/>
        <w:p w14:paraId="5EF3B300" w14:textId="77777777" w:rsidR="00ED546C" w:rsidRPr="00A16ABB" w:rsidRDefault="00ED546C">
          <w:pPr>
            <w:pStyle w:val="AONormal8LBold"/>
            <w:rPr>
              <w:rFonts w:ascii="Times New Roman" w:hAnsi="Times New Roman"/>
              <w:bCs/>
              <w:sz w:val="22"/>
              <w:szCs w:val="22"/>
            </w:rPr>
          </w:pPr>
          <w:r w:rsidRPr="00A16ABB">
            <w:rPr>
              <w:rFonts w:ascii="Times New Roman" w:hAnsi="Times New Roman"/>
              <w:bCs/>
              <w:sz w:val="22"/>
              <w:szCs w:val="22"/>
            </w:rPr>
            <w:fldChar w:fldCharType="begin"/>
          </w:r>
          <w:r w:rsidRPr="00A16ABB">
            <w:rPr>
              <w:rFonts w:ascii="Times New Roman" w:hAnsi="Times New Roman"/>
              <w:bCs/>
              <w:sz w:val="22"/>
              <w:szCs w:val="22"/>
            </w:rPr>
            <w:instrText xml:space="preserve"> DOCPROPERTY "cpHeaderText"  </w:instrText>
          </w:r>
          <w:r w:rsidRPr="00A16ABB">
            <w:rPr>
              <w:rFonts w:ascii="Times New Roman" w:hAnsi="Times New Roman"/>
              <w:bCs/>
              <w:sz w:val="22"/>
              <w:szCs w:val="22"/>
            </w:rPr>
            <w:fldChar w:fldCharType="end"/>
          </w:r>
        </w:p>
      </w:tc>
    </w:tr>
    <w:bookmarkEnd w:id="1"/>
  </w:tbl>
  <w:p w14:paraId="5FCB2467" w14:textId="77777777" w:rsidR="00ED546C" w:rsidRPr="001B64A4" w:rsidRDefault="00ED546C" w:rsidP="00ED546C">
    <w:pPr>
      <w:pStyle w:val="AONormal8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9E7"/>
    <w:multiLevelType w:val="multilevel"/>
    <w:tmpl w:val="3D8EF086"/>
    <w:name w:val="AOApp"/>
    <w:lvl w:ilvl="0">
      <w:start w:val="1"/>
      <w:numFmt w:val="decimal"/>
      <w:pStyle w:val="AOAppHead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1B0661F6"/>
    <w:multiLevelType w:val="singleLevel"/>
    <w:tmpl w:val="11E6EC7E"/>
    <w:name w:val="AOBullet2"/>
    <w:lvl w:ilvl="0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391D542D"/>
    <w:multiLevelType w:val="multilevel"/>
    <w:tmpl w:val="7D6E7ADE"/>
    <w:name w:val="AOTOC67"/>
    <w:lvl w:ilvl="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OC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D0E7D39"/>
    <w:multiLevelType w:val="multilevel"/>
    <w:tmpl w:val="0BB21CC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7" w15:restartNumberingAfterBreak="0">
    <w:nsid w:val="41F230E7"/>
    <w:multiLevelType w:val="singleLevel"/>
    <w:tmpl w:val="19AC5DB2"/>
    <w:name w:val="AOBullet4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0" w15:restartNumberingAfterBreak="0">
    <w:nsid w:val="49C66851"/>
    <w:multiLevelType w:val="multilevel"/>
    <w:tmpl w:val="62968DB0"/>
    <w:name w:val="AOAnx"/>
    <w:lvl w:ilvl="0">
      <w:start w:val="1"/>
      <w:numFmt w:val="decimal"/>
      <w:pStyle w:val="AOAnxHead"/>
      <w:suff w:val="nothing"/>
      <w:lvlText w:val="Anne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11C70D7"/>
    <w:multiLevelType w:val="multilevel"/>
    <w:tmpl w:val="722C7260"/>
    <w:name w:val="AOTOC34"/>
    <w:lvl w:ilvl="0">
      <w:start w:val="1"/>
      <w:numFmt w:val="decimal"/>
      <w:pStyle w:val="TOC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OC4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AA227D0"/>
    <w:multiLevelType w:val="multilevel"/>
    <w:tmpl w:val="7FFC736A"/>
    <w:name w:val="AOTOC89"/>
    <w:lvl w:ilvl="0">
      <w:start w:val="1"/>
      <w:numFmt w:val="decimal"/>
      <w:pStyle w:val="TOC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OC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7" w15:restartNumberingAfterBreak="0">
    <w:nsid w:val="6F8D3D7A"/>
    <w:multiLevelType w:val="singleLevel"/>
    <w:tmpl w:val="7FC4EED0"/>
    <w:name w:val="AOBullet3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2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17"/>
  </w:num>
  <w:num w:numId="10">
    <w:abstractNumId w:val="7"/>
  </w:num>
  <w:num w:numId="11">
    <w:abstractNumId w:val="16"/>
  </w:num>
  <w:num w:numId="12">
    <w:abstractNumId w:val="8"/>
  </w:num>
  <w:num w:numId="13">
    <w:abstractNumId w:val="18"/>
  </w:num>
  <w:num w:numId="14">
    <w:abstractNumId w:val="6"/>
  </w:num>
  <w:num w:numId="15">
    <w:abstractNumId w:val="9"/>
  </w:num>
  <w:num w:numId="16">
    <w:abstractNumId w:val="1"/>
  </w:num>
  <w:num w:numId="17">
    <w:abstractNumId w:val="5"/>
  </w:num>
  <w:num w:numId="18">
    <w:abstractNumId w:val="13"/>
  </w:num>
  <w:num w:numId="19">
    <w:abstractNumId w:val="4"/>
  </w:num>
  <w:num w:numId="20">
    <w:abstractNumId w:val="15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lientNum" w:val="0080105"/>
    <w:docVar w:name="DocRef" w:val="ICM:14214317.4"/>
    <w:docVar w:name="MatterNum" w:val="0000516"/>
    <w:docVar w:name="MetaData" w:val="&lt;MetaData&gt;&lt;AuthorData DirectLine=&quot;OAoM6b/uEOtP1jYPzq7TWQ==&quot; Email=&quot;f551iggnHqnnGT8UkeK8eg==&quot; Initials=&quot;wYfXzqfVNTLbs0HIqJl7yw==&quot; JobTitle=&quot;/q8q8jMX8/NJTi+UDYsX7g==&quot; Mobile=&quot;D4FpvHchv+VVGuBzqbwoAA==&quot; Name=&quot;Wwhxb/Xvq2NmZmyeMJIdVg==&quot; PersonalFax=&quot;GHYG5bwjCS+QlRTn3x6hmA==&quot; Office=&quot;C+75w0AUHmH3cqBtzqEluQ==&quot; Language=&quot;r7dgTgBm5UNYDfqjQ7QakA==&quot; Key=&quot;d57cc532-4f14-421a-903a-0e5120a5ccf3&quot; Description=&quot;rd7YGv6yfsv6td0Nbu9B6T7rZ6vZ/1oyejNziLvymcs=&quot; /&gt;&lt;FileData OsaVersion=&quot;4.4.0.0&quot; OsaContentDate=&quot;17/12/2011&quot; OsaContentDSL=&quot;&quot; Client=&quot;2UBJKWsy3mYSGtt28mWGLA==&quot; Matter=&quot;RgSXxKTxSZWbfWmc6N47BQ==&quot; DocumentReference=&quot;g1W3LOj/axfVe0yRvXEwsu9VcDESYPbk&quot; DisplayLogo=&quot;True&quot; DMProfile=&quot;Document&quot; DocumentDate=&quot;129687627430258258&quot; DocumentTypeID=&quot;4&quot; PrimaryTypeID=&quot;4&quot; LanguageConstant=&quot;2057&quot; LanguageID=&quot;1&quot; OfficeID=&quot;10&quot; TemplateFileName=&quot;AODocument.dot&quot; DisplayName=&quot;Document&quot; /&gt;&lt;Document PageTitle=&quot;Qe8JhS5kMhPVEYX5zcU7fA==&quot; PageDetails=&quot;cYZ58L83AAl6BPsA5xbk4A==&quot; PageDraft=&quot;91B8X472TUM5zZ5q11moqA==&quot; PageDate=&quot;Th0rGttFZM1jva3d2zBYeg==&quot; /&gt;&lt;/MetaData&gt;"/>
  </w:docVars>
  <w:rsids>
    <w:rsidRoot w:val="001B64A4"/>
    <w:rsid w:val="00000CE7"/>
    <w:rsid w:val="000031DB"/>
    <w:rsid w:val="00007686"/>
    <w:rsid w:val="00007CDB"/>
    <w:rsid w:val="00012493"/>
    <w:rsid w:val="00014A6C"/>
    <w:rsid w:val="00017C0C"/>
    <w:rsid w:val="000205F6"/>
    <w:rsid w:val="00022A8A"/>
    <w:rsid w:val="00023FDB"/>
    <w:rsid w:val="00024230"/>
    <w:rsid w:val="00026BF5"/>
    <w:rsid w:val="00030347"/>
    <w:rsid w:val="00031BCD"/>
    <w:rsid w:val="000349C2"/>
    <w:rsid w:val="00037F07"/>
    <w:rsid w:val="000463B6"/>
    <w:rsid w:val="00047860"/>
    <w:rsid w:val="000520DB"/>
    <w:rsid w:val="00055A74"/>
    <w:rsid w:val="00081AF6"/>
    <w:rsid w:val="000A24C1"/>
    <w:rsid w:val="000A5A87"/>
    <w:rsid w:val="000B0C6F"/>
    <w:rsid w:val="000B2E23"/>
    <w:rsid w:val="000B468D"/>
    <w:rsid w:val="000C7790"/>
    <w:rsid w:val="000D2424"/>
    <w:rsid w:val="000E10DB"/>
    <w:rsid w:val="000E1911"/>
    <w:rsid w:val="000F104A"/>
    <w:rsid w:val="000F59A8"/>
    <w:rsid w:val="000F5F5A"/>
    <w:rsid w:val="000F7C34"/>
    <w:rsid w:val="00105663"/>
    <w:rsid w:val="00107950"/>
    <w:rsid w:val="00131EB5"/>
    <w:rsid w:val="00131F7F"/>
    <w:rsid w:val="00132017"/>
    <w:rsid w:val="001332A1"/>
    <w:rsid w:val="0013612A"/>
    <w:rsid w:val="0015573A"/>
    <w:rsid w:val="00156D22"/>
    <w:rsid w:val="00173EF7"/>
    <w:rsid w:val="00173F7C"/>
    <w:rsid w:val="001921B8"/>
    <w:rsid w:val="00194C5C"/>
    <w:rsid w:val="00196581"/>
    <w:rsid w:val="00197D87"/>
    <w:rsid w:val="001A5941"/>
    <w:rsid w:val="001A5F99"/>
    <w:rsid w:val="001A6689"/>
    <w:rsid w:val="001A78F7"/>
    <w:rsid w:val="001B64A4"/>
    <w:rsid w:val="001B6CD3"/>
    <w:rsid w:val="001C1856"/>
    <w:rsid w:val="001C2B15"/>
    <w:rsid w:val="001C3345"/>
    <w:rsid w:val="001E115D"/>
    <w:rsid w:val="001E188A"/>
    <w:rsid w:val="001E7E4A"/>
    <w:rsid w:val="001F04CF"/>
    <w:rsid w:val="001F46FD"/>
    <w:rsid w:val="001F5143"/>
    <w:rsid w:val="00202734"/>
    <w:rsid w:val="00205EC2"/>
    <w:rsid w:val="002133ED"/>
    <w:rsid w:val="0021388A"/>
    <w:rsid w:val="002147AF"/>
    <w:rsid w:val="00217036"/>
    <w:rsid w:val="00240153"/>
    <w:rsid w:val="002506EE"/>
    <w:rsid w:val="00252F97"/>
    <w:rsid w:val="00254833"/>
    <w:rsid w:val="00257317"/>
    <w:rsid w:val="00267665"/>
    <w:rsid w:val="00270A28"/>
    <w:rsid w:val="00270BC5"/>
    <w:rsid w:val="0028305B"/>
    <w:rsid w:val="00285967"/>
    <w:rsid w:val="00292AD3"/>
    <w:rsid w:val="002A5F7F"/>
    <w:rsid w:val="002B00C5"/>
    <w:rsid w:val="002B0237"/>
    <w:rsid w:val="002B1361"/>
    <w:rsid w:val="002B17B7"/>
    <w:rsid w:val="002B46EE"/>
    <w:rsid w:val="002C2F7D"/>
    <w:rsid w:val="002C58C7"/>
    <w:rsid w:val="002D23E3"/>
    <w:rsid w:val="002D26A1"/>
    <w:rsid w:val="002D37B7"/>
    <w:rsid w:val="002D7ABA"/>
    <w:rsid w:val="002E23C2"/>
    <w:rsid w:val="002F6E0C"/>
    <w:rsid w:val="00304C9A"/>
    <w:rsid w:val="003169F2"/>
    <w:rsid w:val="0032183E"/>
    <w:rsid w:val="0032284C"/>
    <w:rsid w:val="003251ED"/>
    <w:rsid w:val="00334591"/>
    <w:rsid w:val="00335480"/>
    <w:rsid w:val="003400F5"/>
    <w:rsid w:val="003458F7"/>
    <w:rsid w:val="0035450C"/>
    <w:rsid w:val="00357284"/>
    <w:rsid w:val="00357A74"/>
    <w:rsid w:val="0036362D"/>
    <w:rsid w:val="0036718F"/>
    <w:rsid w:val="003850D5"/>
    <w:rsid w:val="00394E7D"/>
    <w:rsid w:val="003B2E02"/>
    <w:rsid w:val="003C3120"/>
    <w:rsid w:val="003D06E0"/>
    <w:rsid w:val="003D458C"/>
    <w:rsid w:val="003D7D3D"/>
    <w:rsid w:val="003E1BE6"/>
    <w:rsid w:val="003E28C0"/>
    <w:rsid w:val="003E631D"/>
    <w:rsid w:val="003E6EA1"/>
    <w:rsid w:val="003F1657"/>
    <w:rsid w:val="003F1DA2"/>
    <w:rsid w:val="004026EE"/>
    <w:rsid w:val="00405D73"/>
    <w:rsid w:val="00406820"/>
    <w:rsid w:val="00413BE5"/>
    <w:rsid w:val="00416348"/>
    <w:rsid w:val="00432C07"/>
    <w:rsid w:val="00434C6A"/>
    <w:rsid w:val="0044393E"/>
    <w:rsid w:val="004525F6"/>
    <w:rsid w:val="00455C3C"/>
    <w:rsid w:val="00460AE4"/>
    <w:rsid w:val="0046168C"/>
    <w:rsid w:val="00464F06"/>
    <w:rsid w:val="00466FC1"/>
    <w:rsid w:val="00470092"/>
    <w:rsid w:val="00482B2A"/>
    <w:rsid w:val="0048453E"/>
    <w:rsid w:val="00486D33"/>
    <w:rsid w:val="00492F2A"/>
    <w:rsid w:val="00496814"/>
    <w:rsid w:val="004A0EE3"/>
    <w:rsid w:val="004A3C97"/>
    <w:rsid w:val="004A4B40"/>
    <w:rsid w:val="004A5554"/>
    <w:rsid w:val="004B065A"/>
    <w:rsid w:val="004B0A9F"/>
    <w:rsid w:val="004B2AB5"/>
    <w:rsid w:val="004B6432"/>
    <w:rsid w:val="004C3A3D"/>
    <w:rsid w:val="004C4110"/>
    <w:rsid w:val="004C570B"/>
    <w:rsid w:val="004D06E1"/>
    <w:rsid w:val="004D0BC8"/>
    <w:rsid w:val="004D0BE0"/>
    <w:rsid w:val="004D337A"/>
    <w:rsid w:val="004D4508"/>
    <w:rsid w:val="004E3E9E"/>
    <w:rsid w:val="004F2BB4"/>
    <w:rsid w:val="005053C0"/>
    <w:rsid w:val="00506190"/>
    <w:rsid w:val="00516E5A"/>
    <w:rsid w:val="00536DA2"/>
    <w:rsid w:val="00543504"/>
    <w:rsid w:val="00543722"/>
    <w:rsid w:val="00546CA4"/>
    <w:rsid w:val="0055093D"/>
    <w:rsid w:val="0055783C"/>
    <w:rsid w:val="005638E5"/>
    <w:rsid w:val="00567C10"/>
    <w:rsid w:val="005866C5"/>
    <w:rsid w:val="00591CB9"/>
    <w:rsid w:val="00595ECC"/>
    <w:rsid w:val="00595EF8"/>
    <w:rsid w:val="005A0C0E"/>
    <w:rsid w:val="005A1D60"/>
    <w:rsid w:val="005A241D"/>
    <w:rsid w:val="005A41B8"/>
    <w:rsid w:val="005A6B85"/>
    <w:rsid w:val="005B002D"/>
    <w:rsid w:val="005C33E7"/>
    <w:rsid w:val="005C53EA"/>
    <w:rsid w:val="005F11E0"/>
    <w:rsid w:val="00601BF2"/>
    <w:rsid w:val="00607B42"/>
    <w:rsid w:val="00620ABF"/>
    <w:rsid w:val="006225AA"/>
    <w:rsid w:val="00626013"/>
    <w:rsid w:val="006307C5"/>
    <w:rsid w:val="0064006A"/>
    <w:rsid w:val="00641A46"/>
    <w:rsid w:val="00653F5C"/>
    <w:rsid w:val="00656B35"/>
    <w:rsid w:val="00663CE3"/>
    <w:rsid w:val="0067675E"/>
    <w:rsid w:val="00677A5F"/>
    <w:rsid w:val="00687F2C"/>
    <w:rsid w:val="006903F5"/>
    <w:rsid w:val="006A5B57"/>
    <w:rsid w:val="006A7A21"/>
    <w:rsid w:val="006C4609"/>
    <w:rsid w:val="006D4EA9"/>
    <w:rsid w:val="006E2FF4"/>
    <w:rsid w:val="006E59BF"/>
    <w:rsid w:val="006E68C4"/>
    <w:rsid w:val="006F091A"/>
    <w:rsid w:val="00711BD9"/>
    <w:rsid w:val="00712F15"/>
    <w:rsid w:val="00713A91"/>
    <w:rsid w:val="007200C2"/>
    <w:rsid w:val="00723E59"/>
    <w:rsid w:val="007247C2"/>
    <w:rsid w:val="0072784B"/>
    <w:rsid w:val="007354E2"/>
    <w:rsid w:val="00736F22"/>
    <w:rsid w:val="00737E5D"/>
    <w:rsid w:val="007401BF"/>
    <w:rsid w:val="00750E9B"/>
    <w:rsid w:val="0076099D"/>
    <w:rsid w:val="00766F2D"/>
    <w:rsid w:val="00767058"/>
    <w:rsid w:val="007715FF"/>
    <w:rsid w:val="00772F8B"/>
    <w:rsid w:val="00776847"/>
    <w:rsid w:val="0078108A"/>
    <w:rsid w:val="0078132A"/>
    <w:rsid w:val="007827D9"/>
    <w:rsid w:val="007A0980"/>
    <w:rsid w:val="007B1068"/>
    <w:rsid w:val="007B24C6"/>
    <w:rsid w:val="007C30D3"/>
    <w:rsid w:val="007C3E86"/>
    <w:rsid w:val="007C54F2"/>
    <w:rsid w:val="007D0F99"/>
    <w:rsid w:val="007D218A"/>
    <w:rsid w:val="007D723B"/>
    <w:rsid w:val="007E0829"/>
    <w:rsid w:val="007F0D28"/>
    <w:rsid w:val="00802C14"/>
    <w:rsid w:val="008059CA"/>
    <w:rsid w:val="008207C2"/>
    <w:rsid w:val="00820F88"/>
    <w:rsid w:val="00834C75"/>
    <w:rsid w:val="00841E09"/>
    <w:rsid w:val="00851D61"/>
    <w:rsid w:val="008521AD"/>
    <w:rsid w:val="00853F9D"/>
    <w:rsid w:val="008578CE"/>
    <w:rsid w:val="00862FE5"/>
    <w:rsid w:val="00873902"/>
    <w:rsid w:val="0087398C"/>
    <w:rsid w:val="008739B7"/>
    <w:rsid w:val="008870C8"/>
    <w:rsid w:val="008927D6"/>
    <w:rsid w:val="008976C3"/>
    <w:rsid w:val="008A704C"/>
    <w:rsid w:val="008C75EA"/>
    <w:rsid w:val="008D054D"/>
    <w:rsid w:val="008D4864"/>
    <w:rsid w:val="008D5F1D"/>
    <w:rsid w:val="008E0E15"/>
    <w:rsid w:val="008F6903"/>
    <w:rsid w:val="008F6CFE"/>
    <w:rsid w:val="008F75C8"/>
    <w:rsid w:val="0090535F"/>
    <w:rsid w:val="009064EC"/>
    <w:rsid w:val="00915E89"/>
    <w:rsid w:val="00935DC0"/>
    <w:rsid w:val="00940F40"/>
    <w:rsid w:val="00942CA6"/>
    <w:rsid w:val="00956AB6"/>
    <w:rsid w:val="0096142F"/>
    <w:rsid w:val="0096468A"/>
    <w:rsid w:val="00966C45"/>
    <w:rsid w:val="00975C2A"/>
    <w:rsid w:val="0097683A"/>
    <w:rsid w:val="00983881"/>
    <w:rsid w:val="009979CA"/>
    <w:rsid w:val="009B5C86"/>
    <w:rsid w:val="009D3535"/>
    <w:rsid w:val="009D52A0"/>
    <w:rsid w:val="009F4BD3"/>
    <w:rsid w:val="009F744F"/>
    <w:rsid w:val="00A00BB9"/>
    <w:rsid w:val="00A04057"/>
    <w:rsid w:val="00A06ECB"/>
    <w:rsid w:val="00A075E7"/>
    <w:rsid w:val="00A10539"/>
    <w:rsid w:val="00A1058C"/>
    <w:rsid w:val="00A16540"/>
    <w:rsid w:val="00A231F6"/>
    <w:rsid w:val="00A26B78"/>
    <w:rsid w:val="00A3588B"/>
    <w:rsid w:val="00A4069F"/>
    <w:rsid w:val="00A4213E"/>
    <w:rsid w:val="00A4455B"/>
    <w:rsid w:val="00A608D0"/>
    <w:rsid w:val="00A775C1"/>
    <w:rsid w:val="00A77D93"/>
    <w:rsid w:val="00A8022F"/>
    <w:rsid w:val="00A91B2D"/>
    <w:rsid w:val="00A922EB"/>
    <w:rsid w:val="00A9306F"/>
    <w:rsid w:val="00A93B6A"/>
    <w:rsid w:val="00A94FE3"/>
    <w:rsid w:val="00AA2736"/>
    <w:rsid w:val="00AA3009"/>
    <w:rsid w:val="00AB5FBA"/>
    <w:rsid w:val="00AC4388"/>
    <w:rsid w:val="00AC4DCA"/>
    <w:rsid w:val="00AD283F"/>
    <w:rsid w:val="00AD3386"/>
    <w:rsid w:val="00AF23C1"/>
    <w:rsid w:val="00AF72E2"/>
    <w:rsid w:val="00B11C9D"/>
    <w:rsid w:val="00B12B14"/>
    <w:rsid w:val="00B152C5"/>
    <w:rsid w:val="00B178AC"/>
    <w:rsid w:val="00B24BF8"/>
    <w:rsid w:val="00B31ABE"/>
    <w:rsid w:val="00B35515"/>
    <w:rsid w:val="00B4252C"/>
    <w:rsid w:val="00B50A51"/>
    <w:rsid w:val="00B548C1"/>
    <w:rsid w:val="00B63EC7"/>
    <w:rsid w:val="00B7355B"/>
    <w:rsid w:val="00B74AF1"/>
    <w:rsid w:val="00B80E4A"/>
    <w:rsid w:val="00B83A34"/>
    <w:rsid w:val="00B841B0"/>
    <w:rsid w:val="00B94366"/>
    <w:rsid w:val="00B976BB"/>
    <w:rsid w:val="00BA7A07"/>
    <w:rsid w:val="00BB1EA2"/>
    <w:rsid w:val="00BB543C"/>
    <w:rsid w:val="00BC0E38"/>
    <w:rsid w:val="00BC1AAF"/>
    <w:rsid w:val="00BC2D9C"/>
    <w:rsid w:val="00BC3866"/>
    <w:rsid w:val="00BC4AA4"/>
    <w:rsid w:val="00BC7A4F"/>
    <w:rsid w:val="00BD2745"/>
    <w:rsid w:val="00BD72F4"/>
    <w:rsid w:val="00BE727C"/>
    <w:rsid w:val="00BF0A6E"/>
    <w:rsid w:val="00BF42DC"/>
    <w:rsid w:val="00C02654"/>
    <w:rsid w:val="00C04142"/>
    <w:rsid w:val="00C055F6"/>
    <w:rsid w:val="00C07CBD"/>
    <w:rsid w:val="00C12E64"/>
    <w:rsid w:val="00C20205"/>
    <w:rsid w:val="00C30FE4"/>
    <w:rsid w:val="00C37240"/>
    <w:rsid w:val="00C4072E"/>
    <w:rsid w:val="00C41A87"/>
    <w:rsid w:val="00C42656"/>
    <w:rsid w:val="00C4731F"/>
    <w:rsid w:val="00C47DED"/>
    <w:rsid w:val="00C54E8A"/>
    <w:rsid w:val="00C554CD"/>
    <w:rsid w:val="00C60450"/>
    <w:rsid w:val="00C60972"/>
    <w:rsid w:val="00C60AB3"/>
    <w:rsid w:val="00C6520B"/>
    <w:rsid w:val="00C70B88"/>
    <w:rsid w:val="00C70DF2"/>
    <w:rsid w:val="00C82DCD"/>
    <w:rsid w:val="00C82DD2"/>
    <w:rsid w:val="00C86086"/>
    <w:rsid w:val="00C8615F"/>
    <w:rsid w:val="00C872BF"/>
    <w:rsid w:val="00CA4C72"/>
    <w:rsid w:val="00CB4F70"/>
    <w:rsid w:val="00CB52BE"/>
    <w:rsid w:val="00CB6540"/>
    <w:rsid w:val="00CC44CD"/>
    <w:rsid w:val="00CD02F9"/>
    <w:rsid w:val="00CD2494"/>
    <w:rsid w:val="00CD6AA8"/>
    <w:rsid w:val="00CE3F63"/>
    <w:rsid w:val="00CF1740"/>
    <w:rsid w:val="00CF5C60"/>
    <w:rsid w:val="00CF6594"/>
    <w:rsid w:val="00CF6637"/>
    <w:rsid w:val="00CF6A5A"/>
    <w:rsid w:val="00D027E7"/>
    <w:rsid w:val="00D1133A"/>
    <w:rsid w:val="00D304EA"/>
    <w:rsid w:val="00D308BF"/>
    <w:rsid w:val="00D43BAC"/>
    <w:rsid w:val="00D44EC5"/>
    <w:rsid w:val="00D4715C"/>
    <w:rsid w:val="00D5790D"/>
    <w:rsid w:val="00D61DFC"/>
    <w:rsid w:val="00D64E98"/>
    <w:rsid w:val="00D7065F"/>
    <w:rsid w:val="00D71D62"/>
    <w:rsid w:val="00D728C5"/>
    <w:rsid w:val="00D743FB"/>
    <w:rsid w:val="00D8439D"/>
    <w:rsid w:val="00D9237F"/>
    <w:rsid w:val="00D93534"/>
    <w:rsid w:val="00DA1C94"/>
    <w:rsid w:val="00DA457A"/>
    <w:rsid w:val="00DB4E13"/>
    <w:rsid w:val="00DB59DC"/>
    <w:rsid w:val="00DC0579"/>
    <w:rsid w:val="00DC283B"/>
    <w:rsid w:val="00DC4C24"/>
    <w:rsid w:val="00DD3FFB"/>
    <w:rsid w:val="00DE27AF"/>
    <w:rsid w:val="00DE51FD"/>
    <w:rsid w:val="00E054C6"/>
    <w:rsid w:val="00E13CD7"/>
    <w:rsid w:val="00E308AD"/>
    <w:rsid w:val="00E36CB1"/>
    <w:rsid w:val="00E41633"/>
    <w:rsid w:val="00E41BA9"/>
    <w:rsid w:val="00E43754"/>
    <w:rsid w:val="00E62C6D"/>
    <w:rsid w:val="00E64E05"/>
    <w:rsid w:val="00E67E15"/>
    <w:rsid w:val="00E736FA"/>
    <w:rsid w:val="00E90BD8"/>
    <w:rsid w:val="00E968F2"/>
    <w:rsid w:val="00E978D2"/>
    <w:rsid w:val="00EA3C47"/>
    <w:rsid w:val="00EA588E"/>
    <w:rsid w:val="00EC0710"/>
    <w:rsid w:val="00EC2D12"/>
    <w:rsid w:val="00ED08ED"/>
    <w:rsid w:val="00ED2491"/>
    <w:rsid w:val="00ED4676"/>
    <w:rsid w:val="00ED546C"/>
    <w:rsid w:val="00ED6538"/>
    <w:rsid w:val="00EE6F2E"/>
    <w:rsid w:val="00EF06BF"/>
    <w:rsid w:val="00F04057"/>
    <w:rsid w:val="00F07F66"/>
    <w:rsid w:val="00F12A8E"/>
    <w:rsid w:val="00F1600C"/>
    <w:rsid w:val="00F23E26"/>
    <w:rsid w:val="00F23F48"/>
    <w:rsid w:val="00F26817"/>
    <w:rsid w:val="00F3016C"/>
    <w:rsid w:val="00F42B15"/>
    <w:rsid w:val="00F43BFB"/>
    <w:rsid w:val="00F4758B"/>
    <w:rsid w:val="00F50B3C"/>
    <w:rsid w:val="00F548C7"/>
    <w:rsid w:val="00F561EF"/>
    <w:rsid w:val="00F56306"/>
    <w:rsid w:val="00F62E9B"/>
    <w:rsid w:val="00F65D38"/>
    <w:rsid w:val="00F737D2"/>
    <w:rsid w:val="00F83505"/>
    <w:rsid w:val="00F84B87"/>
    <w:rsid w:val="00F92147"/>
    <w:rsid w:val="00FA3A70"/>
    <w:rsid w:val="00FA4120"/>
    <w:rsid w:val="00FB4780"/>
    <w:rsid w:val="00FC2FFB"/>
    <w:rsid w:val="00FC673E"/>
    <w:rsid w:val="00FD0B4B"/>
    <w:rsid w:val="00FD2C38"/>
    <w:rsid w:val="00FD494B"/>
    <w:rsid w:val="00FD4F40"/>
    <w:rsid w:val="00FE4E5E"/>
    <w:rsid w:val="00FF0C9F"/>
    <w:rsid w:val="00FF31FC"/>
    <w:rsid w:val="00FF3482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4EEF9A05"/>
  <w15:chartTrackingRefBased/>
  <w15:docId w15:val="{2A426501-5444-4CE6-8AA5-0A0C281C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34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AOHeadings"/>
    <w:next w:val="AODocTxt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AOHeadings"/>
    <w:next w:val="AODocTxt"/>
    <w:qFormat/>
    <w:pPr>
      <w:keepNext/>
      <w:outlineLvl w:val="1"/>
    </w:pPr>
    <w:rPr>
      <w:b/>
    </w:rPr>
  </w:style>
  <w:style w:type="paragraph" w:styleId="Heading3">
    <w:name w:val="heading 3"/>
    <w:basedOn w:val="AOHeadings"/>
    <w:next w:val="AODocTxt"/>
    <w:qFormat/>
    <w:pPr>
      <w:outlineLvl w:val="2"/>
    </w:pPr>
  </w:style>
  <w:style w:type="paragraph" w:styleId="Heading4">
    <w:name w:val="heading 4"/>
    <w:basedOn w:val="AOHeadings"/>
    <w:next w:val="AODocTxt"/>
    <w:qFormat/>
    <w:pPr>
      <w:outlineLvl w:val="3"/>
    </w:pPr>
  </w:style>
  <w:style w:type="paragraph" w:styleId="Heading5">
    <w:name w:val="heading 5"/>
    <w:basedOn w:val="AOHeadings"/>
    <w:next w:val="AODocTxt"/>
    <w:qFormat/>
    <w:pPr>
      <w:outlineLvl w:val="4"/>
    </w:pPr>
  </w:style>
  <w:style w:type="paragraph" w:styleId="Heading6">
    <w:name w:val="heading 6"/>
    <w:basedOn w:val="AOHeadings"/>
    <w:next w:val="AODocTxt"/>
    <w:qFormat/>
    <w:pPr>
      <w:outlineLvl w:val="5"/>
    </w:pPr>
  </w:style>
  <w:style w:type="paragraph" w:styleId="Heading7">
    <w:name w:val="heading 7"/>
    <w:basedOn w:val="AOHeadings"/>
    <w:next w:val="AODocTxt"/>
    <w:qFormat/>
    <w:pPr>
      <w:outlineLvl w:val="6"/>
    </w:pPr>
  </w:style>
  <w:style w:type="paragraph" w:styleId="Heading8">
    <w:name w:val="heading 8"/>
    <w:basedOn w:val="AOHeadings"/>
    <w:next w:val="AODocTxt"/>
    <w:qFormat/>
    <w:pPr>
      <w:outlineLvl w:val="7"/>
    </w:pPr>
  </w:style>
  <w:style w:type="paragraph" w:styleId="Heading9">
    <w:name w:val="heading 9"/>
    <w:basedOn w:val="AOHeadings"/>
    <w:next w:val="AODocTxt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ONormal">
    <w:name w:val="AONormal"/>
    <w:pPr>
      <w:spacing w:line="260" w:lineRule="atLeast"/>
    </w:pPr>
    <w:rPr>
      <w:sz w:val="22"/>
      <w:szCs w:val="22"/>
      <w:lang w:eastAsia="en-US"/>
    </w:rPr>
  </w:style>
  <w:style w:type="paragraph" w:customStyle="1" w:styleId="AOBodyTxt">
    <w:name w:val="AOBodyTxt"/>
    <w:basedOn w:val="AONormal"/>
    <w:next w:val="AODocTxt"/>
    <w:pPr>
      <w:spacing w:before="240"/>
      <w:jc w:val="both"/>
    </w:pPr>
  </w:style>
  <w:style w:type="paragraph" w:customStyle="1" w:styleId="AO1">
    <w:name w:val="AO(1)"/>
    <w:basedOn w:val="AOBodyTxt"/>
    <w:next w:val="AODocTxt"/>
    <w:pPr>
      <w:numPr>
        <w:numId w:val="1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pPr>
      <w:numPr>
        <w:numId w:val="2"/>
      </w:numPr>
      <w:tabs>
        <w:tab w:val="clear" w:pos="720"/>
      </w:tabs>
    </w:pPr>
  </w:style>
  <w:style w:type="paragraph" w:customStyle="1" w:styleId="AOHeadings">
    <w:name w:val="AOHeadings"/>
    <w:basedOn w:val="AOBodyTxt"/>
    <w:next w:val="AODocTxt"/>
  </w:style>
  <w:style w:type="paragraph" w:customStyle="1" w:styleId="AOHead1">
    <w:name w:val="AOHead1"/>
    <w:basedOn w:val="AOHeadings"/>
    <w:next w:val="AODocTxtL1"/>
    <w:pPr>
      <w:keepNext/>
      <w:numPr>
        <w:numId w:val="3"/>
      </w:numPr>
      <w:outlineLvl w:val="0"/>
    </w:pPr>
    <w:rPr>
      <w:b/>
      <w:caps/>
      <w:kern w:val="28"/>
    </w:rPr>
  </w:style>
  <w:style w:type="paragraph" w:customStyle="1" w:styleId="AOAltHead1">
    <w:name w:val="AOAltHead1"/>
    <w:basedOn w:val="AOHead1"/>
    <w:next w:val="AODocTxtL1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Head2">
    <w:name w:val="AOHead2"/>
    <w:basedOn w:val="AOHeadings"/>
    <w:next w:val="AODocTxtL1"/>
    <w:pPr>
      <w:keepNext/>
      <w:numPr>
        <w:ilvl w:val="1"/>
        <w:numId w:val="3"/>
      </w:numPr>
      <w:outlineLvl w:val="1"/>
    </w:pPr>
    <w:rPr>
      <w:b/>
    </w:rPr>
  </w:style>
  <w:style w:type="paragraph" w:customStyle="1" w:styleId="AOAltHead2">
    <w:name w:val="AOAltHead2"/>
    <w:basedOn w:val="AOHead2"/>
    <w:next w:val="AODocTxtL1"/>
    <w:pPr>
      <w:keepNext w:val="0"/>
      <w:tabs>
        <w:tab w:val="clear" w:pos="720"/>
      </w:tabs>
    </w:pPr>
    <w:rPr>
      <w:b w:val="0"/>
    </w:rPr>
  </w:style>
  <w:style w:type="paragraph" w:customStyle="1" w:styleId="AOHead3">
    <w:name w:val="AOHead3"/>
    <w:basedOn w:val="AOHeadings"/>
    <w:next w:val="AODocTxtL2"/>
    <w:pPr>
      <w:numPr>
        <w:ilvl w:val="2"/>
        <w:numId w:val="3"/>
      </w:numPr>
      <w:outlineLvl w:val="2"/>
    </w:pPr>
  </w:style>
  <w:style w:type="paragraph" w:customStyle="1" w:styleId="AOAltHead3">
    <w:name w:val="AOAltHead3"/>
    <w:basedOn w:val="AOHead3"/>
    <w:next w:val="AODocTxtL1"/>
    <w:pPr>
      <w:tabs>
        <w:tab w:val="clear" w:pos="1440"/>
      </w:tabs>
      <w:ind w:left="720"/>
    </w:pPr>
  </w:style>
  <w:style w:type="paragraph" w:customStyle="1" w:styleId="AOHead4">
    <w:name w:val="AOHead4"/>
    <w:basedOn w:val="AOHeadings"/>
    <w:next w:val="AODocTxtL3"/>
    <w:pPr>
      <w:numPr>
        <w:ilvl w:val="3"/>
        <w:numId w:val="3"/>
      </w:numPr>
      <w:outlineLvl w:val="3"/>
    </w:pPr>
  </w:style>
  <w:style w:type="paragraph" w:customStyle="1" w:styleId="AOAltHead4">
    <w:name w:val="AOAltHead4"/>
    <w:basedOn w:val="AOHead4"/>
    <w:next w:val="AODocTxtL2"/>
    <w:pPr>
      <w:tabs>
        <w:tab w:val="clear" w:pos="2160"/>
      </w:tabs>
      <w:ind w:left="1440"/>
    </w:pPr>
  </w:style>
  <w:style w:type="paragraph" w:customStyle="1" w:styleId="AOHead5">
    <w:name w:val="AOHead5"/>
    <w:basedOn w:val="AOHeadings"/>
    <w:next w:val="AODocTxtL4"/>
    <w:pPr>
      <w:numPr>
        <w:ilvl w:val="4"/>
        <w:numId w:val="3"/>
      </w:numPr>
      <w:outlineLvl w:val="4"/>
    </w:pPr>
  </w:style>
  <w:style w:type="paragraph" w:customStyle="1" w:styleId="AOAltHead5">
    <w:name w:val="AOAltHead5"/>
    <w:basedOn w:val="AOHead5"/>
    <w:next w:val="AODocTxtL3"/>
    <w:pPr>
      <w:tabs>
        <w:tab w:val="clear" w:pos="2880"/>
      </w:tabs>
      <w:ind w:left="2160"/>
    </w:pPr>
  </w:style>
  <w:style w:type="paragraph" w:customStyle="1" w:styleId="AOHead6">
    <w:name w:val="AOHead6"/>
    <w:basedOn w:val="AOHeadings"/>
    <w:next w:val="AODocTxtL5"/>
    <w:pPr>
      <w:numPr>
        <w:ilvl w:val="5"/>
        <w:numId w:val="3"/>
      </w:numPr>
      <w:outlineLvl w:val="5"/>
    </w:pPr>
  </w:style>
  <w:style w:type="paragraph" w:customStyle="1" w:styleId="AOAltHead6">
    <w:name w:val="AOAltHead6"/>
    <w:basedOn w:val="AOHead6"/>
    <w:next w:val="AODocTxtL4"/>
    <w:pPr>
      <w:tabs>
        <w:tab w:val="clear" w:pos="3600"/>
      </w:tabs>
      <w:ind w:left="2880"/>
    </w:pPr>
  </w:style>
  <w:style w:type="paragraph" w:customStyle="1" w:styleId="AOAttachments">
    <w:name w:val="AOAttachments"/>
    <w:basedOn w:val="AOBodyTxt"/>
    <w:next w:val="AODocTxt"/>
    <w:pPr>
      <w:jc w:val="center"/>
    </w:pPr>
    <w:rPr>
      <w:caps/>
    </w:rPr>
  </w:style>
  <w:style w:type="paragraph" w:customStyle="1" w:styleId="AOAnxHead">
    <w:name w:val="AOAnxHead"/>
    <w:basedOn w:val="AOAttachments"/>
    <w:next w:val="AOAnxTitle"/>
    <w:pPr>
      <w:pageBreakBefore/>
      <w:numPr>
        <w:numId w:val="5"/>
      </w:numPr>
      <w:outlineLvl w:val="0"/>
    </w:pPr>
  </w:style>
  <w:style w:type="paragraph" w:customStyle="1" w:styleId="AOAnxPartHead">
    <w:name w:val="AOAnxPartHead"/>
    <w:basedOn w:val="AOAnxHead"/>
    <w:next w:val="AOAnxPartTitle"/>
    <w:pPr>
      <w:pageBreakBefore w:val="0"/>
      <w:numPr>
        <w:ilvl w:val="1"/>
      </w:numPr>
    </w:pPr>
  </w:style>
  <w:style w:type="paragraph" w:customStyle="1" w:styleId="AOAnxTitle">
    <w:name w:val="AOAnxTitle"/>
    <w:basedOn w:val="AOAttachments"/>
    <w:next w:val="AODocTxt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</w:style>
  <w:style w:type="paragraph" w:customStyle="1" w:styleId="AOAppHead">
    <w:name w:val="AOAppHead"/>
    <w:basedOn w:val="AOAttachments"/>
    <w:next w:val="AOAppTitle"/>
    <w:pPr>
      <w:pageBreakBefore/>
      <w:numPr>
        <w:numId w:val="6"/>
      </w:numPr>
      <w:outlineLvl w:val="0"/>
    </w:pPr>
  </w:style>
  <w:style w:type="paragraph" w:customStyle="1" w:styleId="AOAppPartHead">
    <w:name w:val="AOAppPartHead"/>
    <w:basedOn w:val="AOAppHead"/>
    <w:next w:val="AOAppPartTitle"/>
    <w:pPr>
      <w:pageBreakBefore w:val="0"/>
      <w:numPr>
        <w:ilvl w:val="1"/>
      </w:numPr>
    </w:pPr>
  </w:style>
  <w:style w:type="paragraph" w:customStyle="1" w:styleId="AOAppTitle">
    <w:name w:val="AOAppTitle"/>
    <w:basedOn w:val="AOAttachments"/>
    <w:next w:val="AODocTxt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</w:style>
  <w:style w:type="paragraph" w:customStyle="1" w:styleId="AOFPBP">
    <w:name w:val="AOFPBP"/>
    <w:basedOn w:val="AONormal"/>
    <w:next w:val="AOFPTxt"/>
    <w:pPr>
      <w:jc w:val="center"/>
    </w:pPr>
  </w:style>
  <w:style w:type="paragraph" w:customStyle="1" w:styleId="AOBPTitle">
    <w:name w:val="AOBPTitle"/>
    <w:basedOn w:val="AOFPBP"/>
    <w:rPr>
      <w:b/>
      <w:caps/>
    </w:rPr>
  </w:style>
  <w:style w:type="paragraph" w:customStyle="1" w:styleId="AOBPTxtC">
    <w:name w:val="AOBPTxtC"/>
    <w:basedOn w:val="AOFPBP"/>
  </w:style>
  <w:style w:type="paragraph" w:customStyle="1" w:styleId="AOBPTxtL">
    <w:name w:val="AOBPTxtL"/>
    <w:basedOn w:val="AOFPBP"/>
    <w:pPr>
      <w:jc w:val="left"/>
    </w:pPr>
  </w:style>
  <w:style w:type="paragraph" w:customStyle="1" w:styleId="AOBPTxtR">
    <w:name w:val="AOBPTxtR"/>
    <w:basedOn w:val="AOFPBP"/>
    <w:pPr>
      <w:jc w:val="right"/>
    </w:pPr>
  </w:style>
  <w:style w:type="paragraph" w:customStyle="1" w:styleId="AOBullet">
    <w:name w:val="AOBullet"/>
    <w:basedOn w:val="AOBodyTxt"/>
    <w:pPr>
      <w:numPr>
        <w:numId w:val="7"/>
      </w:numPr>
      <w:tabs>
        <w:tab w:val="clear" w:pos="720"/>
      </w:tabs>
    </w:pPr>
  </w:style>
  <w:style w:type="paragraph" w:customStyle="1" w:styleId="AOBullet2">
    <w:name w:val="AOBullet2"/>
    <w:basedOn w:val="AOBullet"/>
    <w:pPr>
      <w:numPr>
        <w:numId w:val="8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pPr>
      <w:numPr>
        <w:numId w:val="9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pPr>
      <w:numPr>
        <w:numId w:val="10"/>
      </w:numPr>
      <w:spacing w:before="120"/>
    </w:pPr>
  </w:style>
  <w:style w:type="paragraph" w:customStyle="1" w:styleId="AODefHead">
    <w:name w:val="AODefHead"/>
    <w:basedOn w:val="AOBodyTxt"/>
    <w:next w:val="AODefPara"/>
    <w:pPr>
      <w:numPr>
        <w:numId w:val="11"/>
      </w:numPr>
      <w:outlineLvl w:val="5"/>
    </w:pPr>
  </w:style>
  <w:style w:type="paragraph" w:customStyle="1" w:styleId="AODefPara">
    <w:name w:val="AODefPara"/>
    <w:basedOn w:val="AODefHead"/>
    <w:pPr>
      <w:numPr>
        <w:ilvl w:val="1"/>
      </w:numPr>
      <w:outlineLvl w:val="6"/>
    </w:pPr>
  </w:style>
  <w:style w:type="paragraph" w:customStyle="1" w:styleId="AODocTxt">
    <w:name w:val="AODocTxt"/>
    <w:basedOn w:val="AOBodyTxt"/>
    <w:link w:val="AODocTxtChar"/>
    <w:pPr>
      <w:numPr>
        <w:numId w:val="12"/>
      </w:numPr>
    </w:pPr>
  </w:style>
  <w:style w:type="paragraph" w:customStyle="1" w:styleId="AODocTxtL1">
    <w:name w:val="AODocTxtL1"/>
    <w:basedOn w:val="AODocTxt"/>
    <w:pPr>
      <w:numPr>
        <w:ilvl w:val="1"/>
      </w:numPr>
    </w:pPr>
  </w:style>
  <w:style w:type="paragraph" w:customStyle="1" w:styleId="AODocTxtL2">
    <w:name w:val="AODocTxtL2"/>
    <w:basedOn w:val="AODocTxt"/>
    <w:pPr>
      <w:numPr>
        <w:ilvl w:val="2"/>
      </w:numPr>
    </w:pPr>
  </w:style>
  <w:style w:type="paragraph" w:customStyle="1" w:styleId="AODocTxtL3">
    <w:name w:val="AODocTxtL3"/>
    <w:basedOn w:val="AODocTxt"/>
    <w:pPr>
      <w:numPr>
        <w:ilvl w:val="3"/>
      </w:numPr>
    </w:pPr>
  </w:style>
  <w:style w:type="paragraph" w:customStyle="1" w:styleId="AODocTxtL4">
    <w:name w:val="AODocTxtL4"/>
    <w:basedOn w:val="AODocTxt"/>
    <w:pPr>
      <w:numPr>
        <w:ilvl w:val="4"/>
      </w:numPr>
    </w:pPr>
  </w:style>
  <w:style w:type="paragraph" w:customStyle="1" w:styleId="AODocTxtL5">
    <w:name w:val="AODocTxtL5"/>
    <w:basedOn w:val="AODocTxt"/>
    <w:pPr>
      <w:numPr>
        <w:ilvl w:val="5"/>
      </w:numPr>
    </w:pPr>
  </w:style>
  <w:style w:type="paragraph" w:customStyle="1" w:styleId="AODocTxtL6">
    <w:name w:val="AODocTxtL6"/>
    <w:basedOn w:val="AODocTxt"/>
    <w:pPr>
      <w:numPr>
        <w:ilvl w:val="6"/>
      </w:numPr>
    </w:pPr>
  </w:style>
  <w:style w:type="paragraph" w:customStyle="1" w:styleId="AODocTxtL7">
    <w:name w:val="AODocTxtL7"/>
    <w:basedOn w:val="AODocTxt"/>
    <w:pPr>
      <w:numPr>
        <w:ilvl w:val="7"/>
      </w:numPr>
    </w:pPr>
  </w:style>
  <w:style w:type="paragraph" w:customStyle="1" w:styleId="AODocTxtL8">
    <w:name w:val="AODocTxtL8"/>
    <w:basedOn w:val="AODocTxt"/>
    <w:pPr>
      <w:numPr>
        <w:ilvl w:val="8"/>
      </w:numPr>
    </w:pPr>
  </w:style>
  <w:style w:type="paragraph" w:customStyle="1" w:styleId="AOFPTxt">
    <w:name w:val="AOFPTxt"/>
    <w:basedOn w:val="AOFPBP"/>
    <w:rPr>
      <w:b/>
    </w:rPr>
  </w:style>
  <w:style w:type="paragraph" w:customStyle="1" w:styleId="AOFPCopyright">
    <w:name w:val="AOFPCopyright"/>
    <w:basedOn w:val="AOFPTxt"/>
    <w:pPr>
      <w:jc w:val="left"/>
    </w:pPr>
    <w:rPr>
      <w:caps/>
    </w:rPr>
  </w:style>
  <w:style w:type="paragraph" w:customStyle="1" w:styleId="AOFPDate">
    <w:name w:val="AOFPDate"/>
    <w:basedOn w:val="AOFPTxt"/>
    <w:rPr>
      <w:caps/>
    </w:rPr>
  </w:style>
  <w:style w:type="paragraph" w:customStyle="1" w:styleId="AOFPTitle">
    <w:name w:val="AOFPTitle"/>
    <w:basedOn w:val="AOFPTxt"/>
    <w:rPr>
      <w:caps/>
      <w:sz w:val="32"/>
    </w:rPr>
  </w:style>
  <w:style w:type="paragraph" w:customStyle="1" w:styleId="AOFPTxtCaps">
    <w:name w:val="AOFPTxtCaps"/>
    <w:basedOn w:val="AOFPTxt"/>
    <w:rPr>
      <w:caps/>
    </w:rPr>
  </w:style>
  <w:style w:type="paragraph" w:customStyle="1" w:styleId="AOGenNum1">
    <w:name w:val="AOGenNum1"/>
    <w:basedOn w:val="AOBodyTxt"/>
    <w:next w:val="AOGenNum1Para"/>
    <w:pPr>
      <w:keepNext/>
      <w:numPr>
        <w:numId w:val="13"/>
      </w:numPr>
    </w:pPr>
    <w:rPr>
      <w:b/>
      <w:caps/>
    </w:rPr>
  </w:style>
  <w:style w:type="paragraph" w:customStyle="1" w:styleId="AOGenNum1List">
    <w:name w:val="AOGenNum1List"/>
    <w:basedOn w:val="AOGenNum1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pPr>
      <w:keepNext/>
      <w:numPr>
        <w:numId w:val="14"/>
      </w:numPr>
    </w:pPr>
    <w:rPr>
      <w:b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pPr>
      <w:numPr>
        <w:numId w:val="15"/>
      </w:numPr>
    </w:pPr>
  </w:style>
  <w:style w:type="paragraph" w:customStyle="1" w:styleId="AOGenNum3List">
    <w:name w:val="AOGenNum3List"/>
    <w:basedOn w:val="AOGenNum3"/>
    <w:pPr>
      <w:numPr>
        <w:ilvl w:val="1"/>
      </w:numPr>
    </w:pPr>
  </w:style>
  <w:style w:type="paragraph" w:customStyle="1" w:styleId="AOHeading1">
    <w:name w:val="AOHeading1"/>
    <w:basedOn w:val="AOHeadings"/>
    <w:next w:val="AODocTxt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pPr>
      <w:keepNext/>
      <w:outlineLvl w:val="3"/>
    </w:pPr>
    <w:rPr>
      <w:i/>
    </w:rPr>
  </w:style>
  <w:style w:type="paragraph" w:customStyle="1" w:styleId="AOHeading5">
    <w:name w:val="AOHeading5"/>
    <w:basedOn w:val="AOHeadings"/>
    <w:next w:val="AODocTxtL1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pPr>
      <w:keepNext/>
      <w:ind w:left="720"/>
      <w:outlineLvl w:val="6"/>
    </w:pPr>
    <w:rPr>
      <w:b/>
      <w:i/>
    </w:rPr>
  </w:style>
  <w:style w:type="character" w:customStyle="1" w:styleId="AOHidden">
    <w:name w:val="AOHidden"/>
    <w:rPr>
      <w:vanish/>
      <w:color w:val="auto"/>
    </w:rPr>
  </w:style>
  <w:style w:type="paragraph" w:customStyle="1" w:styleId="AOListNumber">
    <w:name w:val="AOListNumber"/>
    <w:basedOn w:val="AOBodyTxt"/>
    <w:pPr>
      <w:numPr>
        <w:numId w:val="16"/>
      </w:numPr>
      <w:tabs>
        <w:tab w:val="clear" w:pos="720"/>
      </w:tabs>
    </w:pPr>
  </w:style>
  <w:style w:type="paragraph" w:customStyle="1" w:styleId="AOLocation">
    <w:name w:val="AOLocation"/>
    <w:basedOn w:val="AOFPBP"/>
    <w:pPr>
      <w:spacing w:before="160"/>
    </w:pPr>
    <w:rPr>
      <w:b/>
      <w:caps/>
    </w:rPr>
  </w:style>
  <w:style w:type="paragraph" w:customStyle="1" w:styleId="AONormal10">
    <w:name w:val="AONormal10"/>
    <w:basedOn w:val="AONormal"/>
    <w:rPr>
      <w:sz w:val="20"/>
    </w:rPr>
  </w:style>
  <w:style w:type="paragraph" w:customStyle="1" w:styleId="AONormal8L">
    <w:name w:val="AONormal8L"/>
    <w:basedOn w:val="AONormal"/>
    <w:pPr>
      <w:spacing w:line="220" w:lineRule="atLeast"/>
    </w:pPr>
    <w:rPr>
      <w:rFonts w:ascii="Arial" w:eastAsia="MS PGothic" w:hAnsi="Arial"/>
      <w:sz w:val="16"/>
      <w:szCs w:val="16"/>
    </w:rPr>
  </w:style>
  <w:style w:type="paragraph" w:customStyle="1" w:styleId="AONormal6L">
    <w:name w:val="AONormal6L"/>
    <w:basedOn w:val="AONormal8L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pPr>
      <w:jc w:val="center"/>
    </w:pPr>
  </w:style>
  <w:style w:type="paragraph" w:customStyle="1" w:styleId="AONormal6R">
    <w:name w:val="AONormal6R"/>
    <w:basedOn w:val="AONormal6L"/>
    <w:pPr>
      <w:jc w:val="right"/>
    </w:pPr>
  </w:style>
  <w:style w:type="paragraph" w:customStyle="1" w:styleId="AONormal8C">
    <w:name w:val="AONormal8C"/>
    <w:basedOn w:val="AONormal8L"/>
    <w:pPr>
      <w:jc w:val="center"/>
    </w:pPr>
  </w:style>
  <w:style w:type="paragraph" w:customStyle="1" w:styleId="AONormal8LBold">
    <w:name w:val="AONormal8LBold"/>
    <w:basedOn w:val="AONormal8L"/>
    <w:rPr>
      <w:b/>
    </w:rPr>
  </w:style>
  <w:style w:type="paragraph" w:customStyle="1" w:styleId="AONormal8R">
    <w:name w:val="AONormal8R"/>
    <w:basedOn w:val="AONormal8L"/>
    <w:pPr>
      <w:jc w:val="right"/>
    </w:pPr>
  </w:style>
  <w:style w:type="paragraph" w:customStyle="1" w:styleId="AONormalBold">
    <w:name w:val="AONormalBold"/>
    <w:basedOn w:val="AONormal"/>
    <w:rPr>
      <w:b/>
    </w:rPr>
  </w:style>
  <w:style w:type="paragraph" w:customStyle="1" w:styleId="AOSchHead">
    <w:name w:val="AOSchHead"/>
    <w:basedOn w:val="AOAttachments"/>
    <w:next w:val="AOSchTitle"/>
    <w:pPr>
      <w:pageBreakBefore/>
      <w:numPr>
        <w:numId w:val="17"/>
      </w:numPr>
      <w:outlineLvl w:val="0"/>
    </w:pPr>
  </w:style>
  <w:style w:type="paragraph" w:customStyle="1" w:styleId="AOSchPartHead">
    <w:name w:val="AOSchPartHead"/>
    <w:basedOn w:val="AOSchHead"/>
    <w:next w:val="AOSchPartTitle"/>
    <w:pPr>
      <w:pageBreakBefore w:val="0"/>
      <w:numPr>
        <w:ilvl w:val="1"/>
      </w:numPr>
    </w:pPr>
  </w:style>
  <w:style w:type="paragraph" w:customStyle="1" w:styleId="AOSchTitle">
    <w:name w:val="AOSchTitle"/>
    <w:basedOn w:val="AOAttachments"/>
    <w:next w:val="AODocTxt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</w:style>
  <w:style w:type="paragraph" w:customStyle="1" w:styleId="AOSignatory">
    <w:name w:val="AOSignatory"/>
    <w:basedOn w:val="AOBodyTxt"/>
    <w:next w:val="AODocTxt"/>
    <w:pPr>
      <w:pageBreakBefore/>
      <w:spacing w:after="240"/>
      <w:jc w:val="center"/>
    </w:pPr>
    <w:rPr>
      <w:b/>
      <w:caps/>
    </w:rPr>
  </w:style>
  <w:style w:type="paragraph" w:customStyle="1" w:styleId="AOTitle">
    <w:name w:val="AOTitle"/>
    <w:basedOn w:val="AOHeadings"/>
    <w:next w:val="AODocTxt"/>
    <w:pPr>
      <w:jc w:val="center"/>
    </w:pPr>
    <w:rPr>
      <w:b/>
      <w:caps/>
    </w:rPr>
  </w:style>
  <w:style w:type="paragraph" w:customStyle="1" w:styleId="AOTitle18">
    <w:name w:val="AOTitle18"/>
    <w:basedOn w:val="AONormal"/>
    <w:rPr>
      <w:b/>
      <w:sz w:val="36"/>
      <w:szCs w:val="36"/>
    </w:rPr>
  </w:style>
  <w:style w:type="paragraph" w:customStyle="1" w:styleId="AOTOCs">
    <w:name w:val="AOTOCs"/>
    <w:basedOn w:val="AONormal"/>
    <w:next w:val="TOC1"/>
    <w:pPr>
      <w:tabs>
        <w:tab w:val="right" w:leader="dot" w:pos="9639"/>
      </w:tabs>
      <w:jc w:val="both"/>
    </w:pPr>
  </w:style>
  <w:style w:type="paragraph" w:styleId="TOC1">
    <w:name w:val="toc 1"/>
    <w:basedOn w:val="AOTOCs"/>
    <w:next w:val="AONormal"/>
    <w:semiHidden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pPr>
      <w:tabs>
        <w:tab w:val="left" w:pos="720"/>
      </w:tabs>
    </w:pPr>
  </w:style>
  <w:style w:type="paragraph" w:customStyle="1" w:styleId="AOTOC3">
    <w:name w:val="AOTOC3"/>
    <w:basedOn w:val="AOTOCs"/>
    <w:pPr>
      <w:ind w:left="720"/>
    </w:pPr>
    <w:rPr>
      <w:b/>
    </w:rPr>
  </w:style>
  <w:style w:type="paragraph" w:customStyle="1" w:styleId="AOTOC4">
    <w:name w:val="AOTOC4"/>
    <w:basedOn w:val="AOTOCs"/>
    <w:pPr>
      <w:ind w:left="720"/>
    </w:pPr>
  </w:style>
  <w:style w:type="paragraph" w:customStyle="1" w:styleId="AOTOC5">
    <w:name w:val="AOTOC5"/>
    <w:basedOn w:val="AOTOCs"/>
    <w:pPr>
      <w:ind w:left="720"/>
    </w:pPr>
    <w:rPr>
      <w:i/>
    </w:rPr>
  </w:style>
  <w:style w:type="paragraph" w:customStyle="1" w:styleId="AOTOCHeading">
    <w:name w:val="AOTOCHeading"/>
    <w:basedOn w:val="AOHeadings"/>
    <w:next w:val="AODocTxt"/>
    <w:pPr>
      <w:tabs>
        <w:tab w:val="right" w:pos="9611"/>
      </w:tabs>
      <w:spacing w:after="240"/>
    </w:pPr>
    <w:rPr>
      <w:b/>
    </w:rPr>
  </w:style>
  <w:style w:type="paragraph" w:customStyle="1" w:styleId="AOTOCTitle">
    <w:name w:val="AOTOCTitle"/>
    <w:basedOn w:val="AOHeadings"/>
    <w:next w:val="AOTOCHeading"/>
    <w:pPr>
      <w:jc w:val="center"/>
    </w:pPr>
    <w:rPr>
      <w:b/>
      <w:caps/>
    </w:rPr>
  </w:style>
  <w:style w:type="character" w:styleId="CommentReference">
    <w:name w:val="annotation reference"/>
    <w:semiHidden/>
    <w:rPr>
      <w:vertAlign w:val="superscript"/>
    </w:rPr>
  </w:style>
  <w:style w:type="paragraph" w:styleId="CommentText">
    <w:name w:val="annotation text"/>
    <w:basedOn w:val="AONormal"/>
    <w:semiHidden/>
    <w:pPr>
      <w:spacing w:line="240" w:lineRule="auto"/>
    </w:pPr>
    <w:rPr>
      <w:sz w:val="16"/>
    </w:rPr>
  </w:style>
  <w:style w:type="paragraph" w:styleId="EndnoteText">
    <w:name w:val="endnote text"/>
    <w:basedOn w:val="AONormal"/>
    <w:semiHidden/>
    <w:pPr>
      <w:spacing w:line="240" w:lineRule="auto"/>
      <w:ind w:left="720" w:hanging="720"/>
      <w:jc w:val="both"/>
    </w:pPr>
    <w:rPr>
      <w:sz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2"/>
    </w:rPr>
  </w:style>
  <w:style w:type="paragraph" w:styleId="EnvelopeReturn">
    <w:name w:val="envelope return"/>
    <w:basedOn w:val="Normal"/>
    <w:rPr>
      <w:rFonts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AONormal"/>
    <w:semiHidden/>
    <w:pPr>
      <w:spacing w:line="240" w:lineRule="auto"/>
      <w:ind w:left="720" w:hanging="720"/>
      <w:jc w:val="both"/>
    </w:pPr>
    <w:rPr>
      <w:sz w:val="16"/>
    </w:rPr>
  </w:style>
  <w:style w:type="character" w:styleId="PageNumber">
    <w:name w:val="page number"/>
    <w:basedOn w:val="DefaultParagraphFont"/>
  </w:style>
  <w:style w:type="paragraph" w:styleId="TableofAuthorities">
    <w:name w:val="table of authorities"/>
    <w:basedOn w:val="AONormal"/>
    <w:semiHidden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TOAHeading">
    <w:name w:val="toa heading"/>
    <w:basedOn w:val="AONormal"/>
    <w:next w:val="TableofAuthorities"/>
    <w:semiHidden/>
    <w:pPr>
      <w:tabs>
        <w:tab w:val="right" w:pos="9490"/>
      </w:tabs>
      <w:spacing w:before="240" w:after="120" w:line="240" w:lineRule="auto"/>
    </w:pPr>
    <w:rPr>
      <w:b/>
    </w:rPr>
  </w:style>
  <w:style w:type="paragraph" w:styleId="TOC2">
    <w:name w:val="toc 2"/>
    <w:basedOn w:val="AOTOCs"/>
    <w:next w:val="AONormal"/>
    <w:semiHidden/>
    <w:pPr>
      <w:tabs>
        <w:tab w:val="left" w:pos="1800"/>
      </w:tabs>
      <w:ind w:left="1800" w:right="720" w:hanging="1080"/>
    </w:pPr>
  </w:style>
  <w:style w:type="paragraph" w:styleId="TOC3">
    <w:name w:val="toc 3"/>
    <w:basedOn w:val="AOTOCs"/>
    <w:next w:val="AONormal"/>
    <w:semiHidden/>
    <w:pPr>
      <w:numPr>
        <w:numId w:val="18"/>
      </w:numPr>
      <w:ind w:right="720"/>
    </w:pPr>
  </w:style>
  <w:style w:type="paragraph" w:styleId="TOC4">
    <w:name w:val="toc 4"/>
    <w:basedOn w:val="AOTOCs"/>
    <w:next w:val="AONormal"/>
    <w:semiHidden/>
    <w:pPr>
      <w:numPr>
        <w:ilvl w:val="1"/>
        <w:numId w:val="18"/>
      </w:numPr>
      <w:ind w:left="1800" w:right="720" w:hanging="1080"/>
    </w:pPr>
  </w:style>
  <w:style w:type="paragraph" w:styleId="TOC5">
    <w:name w:val="toc 5"/>
    <w:basedOn w:val="AOTOCs"/>
    <w:next w:val="AONormal"/>
    <w:semiHidden/>
    <w:pPr>
      <w:spacing w:before="240"/>
    </w:pPr>
  </w:style>
  <w:style w:type="paragraph" w:styleId="TOC6">
    <w:name w:val="toc 6"/>
    <w:basedOn w:val="AOTOCs"/>
    <w:next w:val="AONormal"/>
    <w:semiHidden/>
    <w:pPr>
      <w:numPr>
        <w:numId w:val="19"/>
      </w:numPr>
      <w:ind w:right="720"/>
    </w:pPr>
  </w:style>
  <w:style w:type="paragraph" w:styleId="TOC7">
    <w:name w:val="toc 7"/>
    <w:basedOn w:val="AOTOCs"/>
    <w:next w:val="AONormal"/>
    <w:semiHidden/>
    <w:pPr>
      <w:numPr>
        <w:ilvl w:val="1"/>
        <w:numId w:val="19"/>
      </w:numPr>
      <w:ind w:left="1800" w:right="720" w:hanging="1080"/>
    </w:pPr>
  </w:style>
  <w:style w:type="paragraph" w:styleId="TOC8">
    <w:name w:val="toc 8"/>
    <w:basedOn w:val="AOTOCs"/>
    <w:next w:val="AONormal"/>
    <w:semiHidden/>
    <w:pPr>
      <w:numPr>
        <w:numId w:val="20"/>
      </w:numPr>
      <w:ind w:right="720"/>
    </w:pPr>
  </w:style>
  <w:style w:type="paragraph" w:styleId="TOC9">
    <w:name w:val="toc 9"/>
    <w:basedOn w:val="AOTOCs"/>
    <w:next w:val="AONormal"/>
    <w:semiHidden/>
    <w:pPr>
      <w:numPr>
        <w:ilvl w:val="1"/>
        <w:numId w:val="20"/>
      </w:numPr>
      <w:ind w:left="1800" w:right="720" w:hanging="1080"/>
    </w:pPr>
  </w:style>
  <w:style w:type="table" w:styleId="TableGrid">
    <w:name w:val="Table Grid"/>
    <w:basedOn w:val="TableNormal"/>
    <w:uiPriority w:val="59"/>
    <w:rsid w:val="00E96E1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ODocTxtChar">
    <w:name w:val="AODocTxt Char"/>
    <w:link w:val="AODocTxt"/>
    <w:rsid w:val="00E96E12"/>
    <w:rPr>
      <w:sz w:val="22"/>
      <w:szCs w:val="22"/>
      <w:lang w:eastAsia="en-US" w:bidi="ar-SA"/>
    </w:rPr>
  </w:style>
  <w:style w:type="character" w:styleId="Hyperlink">
    <w:name w:val="Hyperlink"/>
    <w:rsid w:val="00BF24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85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85F3B"/>
    <w:rPr>
      <w:rFonts w:ascii="Tahoma" w:eastAsia="Times New Roman" w:hAnsi="Tahoma" w:cs="Tahoma"/>
      <w:sz w:val="16"/>
      <w:szCs w:val="16"/>
      <w:lang w:val="sl-SI" w:eastAsia="en-US"/>
    </w:rPr>
  </w:style>
  <w:style w:type="paragraph" w:styleId="Revision">
    <w:name w:val="Revision"/>
    <w:hidden/>
    <w:uiPriority w:val="99"/>
    <w:semiHidden/>
    <w:rsid w:val="00BB543C"/>
    <w:rPr>
      <w:rFonts w:eastAsia="Times New Roman"/>
      <w:sz w:val="24"/>
      <w:szCs w:val="24"/>
      <w:lang w:eastAsia="en-US"/>
    </w:rPr>
  </w:style>
  <w:style w:type="paragraph" w:customStyle="1" w:styleId="DocText">
    <w:name w:val="DocText"/>
    <w:basedOn w:val="Normal"/>
    <w:rsid w:val="00CB4F70"/>
    <w:pPr>
      <w:spacing w:before="120"/>
      <w:jc w:val="both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llenOvery\OSAX\Published\2015-12-08T10-15-00\Templates\AO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5132-6CA7-42A5-8643-24DF81C7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AODocument</Template>
  <TotalTime>13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Petek, Polde</dc:creator>
  <cp:keywords/>
  <cp:lastModifiedBy>Gantar, Nina</cp:lastModifiedBy>
  <cp:revision>3</cp:revision>
  <cp:lastPrinted>2017-05-16T12:12:00Z</cp:lastPrinted>
  <dcterms:created xsi:type="dcterms:W3CDTF">2022-09-20T10:45:00Z</dcterms:created>
  <dcterms:modified xsi:type="dcterms:W3CDTF">2022-09-20T10:57:00Z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0040194</vt:lpwstr>
  </property>
  <property fmtid="{D5CDD505-2E9C-101B-9397-08002B2CF9AE}" pid="3" name="cpClientMatter">
    <vt:lpwstr>0040194-0000012</vt:lpwstr>
  </property>
  <property fmtid="{D5CDD505-2E9C-101B-9397-08002B2CF9AE}" pid="4" name="cpCombinedRef">
    <vt:lpwstr>0040194-0000012 ICM:23212766.4</vt:lpwstr>
  </property>
  <property fmtid="{D5CDD505-2E9C-101B-9397-08002B2CF9AE}" pid="5" name="cpDocRef">
    <vt:lpwstr>ICM:23212766.4</vt:lpwstr>
  </property>
  <property fmtid="{D5CDD505-2E9C-101B-9397-08002B2CF9AE}" pid="6" name="cpFooterText">
    <vt:lpwstr/>
  </property>
  <property fmtid="{D5CDD505-2E9C-101B-9397-08002B2CF9AE}" pid="7" name="cpHeaderText">
    <vt:lpwstr/>
  </property>
  <property fmtid="{D5CDD505-2E9C-101B-9397-08002B2CF9AE}" pid="8" name="DisplayLogo">
    <vt:lpwstr>True</vt:lpwstr>
  </property>
  <property fmtid="{D5CDD505-2E9C-101B-9397-08002B2CF9AE}" pid="9" name="DisplayName">
    <vt:lpwstr>Document</vt:lpwstr>
  </property>
  <property fmtid="{D5CDD505-2E9C-101B-9397-08002B2CF9AE}" pid="10" name="DMProfile">
    <vt:lpwstr>Document</vt:lpwstr>
  </property>
  <property fmtid="{D5CDD505-2E9C-101B-9397-08002B2CF9AE}" pid="11" name="FilePedigree">
    <vt:lpwstr>OSAX</vt:lpwstr>
  </property>
  <property fmtid="{D5CDD505-2E9C-101B-9397-08002B2CF9AE}" pid="12" name="LanguageID">
    <vt:lpwstr>English (UK)</vt:lpwstr>
  </property>
  <property fmtid="{D5CDD505-2E9C-101B-9397-08002B2CF9AE}" pid="13" name="Matter">
    <vt:lpwstr>0000012</vt:lpwstr>
  </property>
  <property fmtid="{D5CDD505-2E9C-101B-9397-08002B2CF9AE}" pid="14" name="OfficeID">
    <vt:lpwstr>London</vt:lpwstr>
  </property>
  <property fmtid="{D5CDD505-2E9C-101B-9397-08002B2CF9AE}" pid="15" name="TemplateFileName">
    <vt:lpwstr>AODocument.dotm</vt:lpwstr>
  </property>
  <property fmtid="{D5CDD505-2E9C-101B-9397-08002B2CF9AE}" pid="16" name="TemplateName">
    <vt:lpwstr>AODocument.dotm</vt:lpwstr>
  </property>
  <property fmtid="{D5CDD505-2E9C-101B-9397-08002B2CF9AE}" pid="17" name="Client Code">
    <vt:lpwstr>10055806</vt:lpwstr>
  </property>
  <property fmtid="{D5CDD505-2E9C-101B-9397-08002B2CF9AE}" pid="18" name="DEDocumentLocation">
    <vt:lpwstr>C:\Users\tyshah\AppData\Local\Linklaters\DocExplorer\Attachments\A49070409 v0.8 Slovenia_Tender Results Announcement_September 2022.doc</vt:lpwstr>
  </property>
  <property fmtid="{D5CDD505-2E9C-101B-9397-08002B2CF9AE}" pid="19" name="Document Number">
    <vt:lpwstr>A49070409</vt:lpwstr>
  </property>
  <property fmtid="{D5CDD505-2E9C-101B-9397-08002B2CF9AE}" pid="20" name="Last Modified">
    <vt:lpwstr>14 Sep 2022</vt:lpwstr>
  </property>
  <property fmtid="{D5CDD505-2E9C-101B-9397-08002B2CF9AE}" pid="21" name="Matter Number">
    <vt:lpwstr>L-329395</vt:lpwstr>
  </property>
  <property fmtid="{D5CDD505-2E9C-101B-9397-08002B2CF9AE}" pid="22" name="Mode">
    <vt:lpwstr>SendAs</vt:lpwstr>
  </property>
  <property fmtid="{D5CDD505-2E9C-101B-9397-08002B2CF9AE}" pid="23" name="Version">
    <vt:lpwstr>0.8</vt:lpwstr>
  </property>
  <property fmtid="{D5CDD505-2E9C-101B-9397-08002B2CF9AE}" pid="24" name="ObjectID">
    <vt:lpwstr>09001dc897c65312</vt:lpwstr>
  </property>
  <property fmtid="{D5CDD505-2E9C-101B-9397-08002B2CF9AE}" pid="25" name="_MarkAsFinal">
    <vt:bool>false</vt:bool>
  </property>
  <property fmtid="{D5CDD505-2E9C-101B-9397-08002B2CF9AE}" pid="26" name="WSReference">
    <vt:lpwstr>M.16269705.1</vt:lpwstr>
  </property>
  <property fmtid="{D5CDD505-2E9C-101B-9397-08002B2CF9AE}" pid="27" name="WTDocumentID">
    <vt:lpwstr>M.16269705.1</vt:lpwstr>
  </property>
</Properties>
</file>