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5B043" w14:textId="77777777" w:rsidR="00C82796" w:rsidRDefault="00C82796" w:rsidP="00DC6A71">
      <w:pPr>
        <w:pStyle w:val="datumtevilka"/>
        <w:rPr>
          <w:sz w:val="22"/>
        </w:rPr>
      </w:pPr>
    </w:p>
    <w:p w14:paraId="36D7B4B6" w14:textId="6E0198C8" w:rsidR="007D75CF" w:rsidRPr="00BC3686" w:rsidRDefault="00E03CED" w:rsidP="00DC6A71">
      <w:pPr>
        <w:pStyle w:val="datumtevilka"/>
        <w:rPr>
          <w:sz w:val="22"/>
        </w:rPr>
      </w:pPr>
      <w:r>
        <w:rPr>
          <w:noProof/>
          <w:sz w:val="22"/>
        </w:rPr>
        <mc:AlternateContent>
          <mc:Choice Requires="wps">
            <w:drawing>
              <wp:anchor distT="360045" distB="540385" distL="0" distR="0" simplePos="0" relativeHeight="251657728" behindDoc="0" locked="0" layoutInCell="1" allowOverlap="0" wp14:anchorId="39F575CC" wp14:editId="18B4D4A3">
                <wp:simplePos x="0" y="0"/>
                <wp:positionH relativeFrom="page">
                  <wp:posOffset>1080135</wp:posOffset>
                </wp:positionH>
                <wp:positionV relativeFrom="page">
                  <wp:posOffset>2160270</wp:posOffset>
                </wp:positionV>
                <wp:extent cx="2520315" cy="1282065"/>
                <wp:effectExtent l="3810" t="0" r="0" b="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28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0226E" w14:textId="77777777" w:rsidR="00B53225" w:rsidRDefault="00E03CED" w:rsidP="00E03CED">
                            <w:pPr>
                              <w:rPr>
                                <w:b/>
                                <w:sz w:val="22"/>
                                <w:lang w:val="sl-SI"/>
                              </w:rPr>
                            </w:pPr>
                            <w:r w:rsidRPr="00146BD3">
                              <w:rPr>
                                <w:b/>
                                <w:sz w:val="22"/>
                                <w:lang w:val="sl-SI"/>
                              </w:rPr>
                              <w:t xml:space="preserve">FINANČNA UPRAVA </w:t>
                            </w:r>
                          </w:p>
                          <w:p w14:paraId="5059AB80" w14:textId="6DFE9612" w:rsidR="00E03CED" w:rsidRPr="00146BD3" w:rsidRDefault="00E03CED" w:rsidP="00E03CED">
                            <w:pPr>
                              <w:rPr>
                                <w:b/>
                                <w:sz w:val="22"/>
                                <w:lang w:val="sl-SI"/>
                              </w:rPr>
                            </w:pPr>
                            <w:r w:rsidRPr="00146BD3">
                              <w:rPr>
                                <w:b/>
                                <w:sz w:val="22"/>
                                <w:lang w:val="sl-SI"/>
                              </w:rPr>
                              <w:t xml:space="preserve">REPUBLIKE SLOVENIJE </w:t>
                            </w:r>
                          </w:p>
                          <w:p w14:paraId="1B1527F1" w14:textId="77777777" w:rsidR="00E03CED" w:rsidRPr="00146BD3" w:rsidRDefault="00E03CED" w:rsidP="00E03CED">
                            <w:pPr>
                              <w:rPr>
                                <w:b/>
                                <w:sz w:val="22"/>
                                <w:lang w:val="sl-SI"/>
                              </w:rPr>
                            </w:pPr>
                            <w:r w:rsidRPr="00146BD3">
                              <w:rPr>
                                <w:b/>
                                <w:sz w:val="22"/>
                                <w:lang w:val="sl-SI"/>
                              </w:rPr>
                              <w:t>Generalni finančni urad</w:t>
                            </w:r>
                          </w:p>
                          <w:p w14:paraId="15AA053F" w14:textId="77777777" w:rsidR="00E03CED" w:rsidRPr="00146BD3" w:rsidRDefault="00E03CED" w:rsidP="00E03CED">
                            <w:pPr>
                              <w:rPr>
                                <w:sz w:val="22"/>
                                <w:lang w:val="sl-SI"/>
                              </w:rPr>
                            </w:pPr>
                            <w:r w:rsidRPr="00146BD3">
                              <w:rPr>
                                <w:sz w:val="22"/>
                                <w:lang w:val="sl-SI"/>
                              </w:rPr>
                              <w:t>Šmartinska cesta 55</w:t>
                            </w:r>
                          </w:p>
                          <w:p w14:paraId="3697FA4F" w14:textId="77777777" w:rsidR="00E03CED" w:rsidRPr="00146BD3" w:rsidRDefault="00E03CED" w:rsidP="00E03CED">
                            <w:pPr>
                              <w:rPr>
                                <w:sz w:val="22"/>
                                <w:lang w:val="sl-SI"/>
                              </w:rPr>
                            </w:pPr>
                            <w:r w:rsidRPr="00146BD3">
                              <w:rPr>
                                <w:sz w:val="22"/>
                                <w:lang w:val="sl-SI"/>
                              </w:rPr>
                              <w:t>1000 Ljubljana</w:t>
                            </w:r>
                          </w:p>
                          <w:p w14:paraId="7F6A79EB" w14:textId="77777777" w:rsidR="00E03CED" w:rsidRPr="00146BD3" w:rsidRDefault="00E03CED" w:rsidP="00E03CED">
                            <w:pPr>
                              <w:rPr>
                                <w:lang w:val="sl-SI"/>
                              </w:rPr>
                            </w:pPr>
                          </w:p>
                          <w:p w14:paraId="32D428AE" w14:textId="77777777" w:rsidR="00E03CED" w:rsidRPr="00146BD3" w:rsidRDefault="00FF64B0" w:rsidP="00E03CED">
                            <w:pPr>
                              <w:pStyle w:val="Default"/>
                              <w:rPr>
                                <w:rFonts w:ascii="Arial" w:hAnsi="Arial" w:cs="Arial"/>
                                <w:sz w:val="22"/>
                              </w:rPr>
                            </w:pPr>
                            <w:hyperlink r:id="rId12" w:history="1">
                              <w:r w:rsidR="00E03CED" w:rsidRPr="00146BD3">
                                <w:rPr>
                                  <w:rStyle w:val="Hiperpovezava"/>
                                  <w:rFonts w:ascii="Arial" w:hAnsi="Arial" w:cs="Arial"/>
                                  <w:sz w:val="22"/>
                                </w:rPr>
                                <w:t>gfu.fu@gov.si</w:t>
                              </w:r>
                            </w:hyperlink>
                          </w:p>
                          <w:p w14:paraId="10295BE1"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575CC" id="_x0000_t202" coordsize="21600,21600" o:spt="202" path="m,l,21600r21600,l21600,xe">
                <v:stroke joinstyle="miter"/>
                <v:path gradientshapeok="t" o:connecttype="rect"/>
              </v:shapetype>
              <v:shape id="Text Box 3" o:spid="_x0000_s1026" type="#_x0000_t202" alt="Prostor za vnos naslovnika&#10;" style="position:absolute;margin-left:85.05pt;margin-top:170.1pt;width:198.45pt;height:100.9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" o:allowoverlap="f" filled="f" stroked="f">
                <v:textbox inset="0,0,0,0">
                  <w:txbxContent>
                    <w:p w14:paraId="5AD0226E" w14:textId="77777777" w:rsidR="00B53225" w:rsidRDefault="00E03CED" w:rsidP="00E03CED">
                      <w:pPr>
                        <w:rPr>
                          <w:b/>
                          <w:sz w:val="22"/>
                          <w:lang w:val="sl-SI"/>
                        </w:rPr>
                      </w:pPr>
                      <w:r w:rsidRPr="00146BD3">
                        <w:rPr>
                          <w:b/>
                          <w:sz w:val="22"/>
                          <w:lang w:val="sl-SI"/>
                        </w:rPr>
                        <w:t xml:space="preserve">FINANČNA UPRAVA </w:t>
                      </w:r>
                    </w:p>
                    <w:p w14:paraId="5059AB80" w14:textId="6DFE9612" w:rsidR="00E03CED" w:rsidRPr="00146BD3" w:rsidRDefault="00E03CED" w:rsidP="00E03CED">
                      <w:pPr>
                        <w:rPr>
                          <w:b/>
                          <w:sz w:val="22"/>
                          <w:lang w:val="sl-SI"/>
                        </w:rPr>
                      </w:pPr>
                      <w:r w:rsidRPr="00146BD3">
                        <w:rPr>
                          <w:b/>
                          <w:sz w:val="22"/>
                          <w:lang w:val="sl-SI"/>
                        </w:rPr>
                        <w:t xml:space="preserve">REPUBLIKE SLOVENIJE </w:t>
                      </w:r>
                    </w:p>
                    <w:p w14:paraId="1B1527F1" w14:textId="77777777" w:rsidR="00E03CED" w:rsidRPr="00146BD3" w:rsidRDefault="00E03CED" w:rsidP="00E03CED">
                      <w:pPr>
                        <w:rPr>
                          <w:b/>
                          <w:sz w:val="22"/>
                          <w:lang w:val="sl-SI"/>
                        </w:rPr>
                      </w:pPr>
                      <w:r w:rsidRPr="00146BD3">
                        <w:rPr>
                          <w:b/>
                          <w:sz w:val="22"/>
                          <w:lang w:val="sl-SI"/>
                        </w:rPr>
                        <w:t>Generalni finančni urad</w:t>
                      </w:r>
                    </w:p>
                    <w:p w14:paraId="15AA053F" w14:textId="77777777" w:rsidR="00E03CED" w:rsidRPr="00146BD3" w:rsidRDefault="00E03CED" w:rsidP="00E03CED">
                      <w:pPr>
                        <w:rPr>
                          <w:sz w:val="22"/>
                          <w:lang w:val="sl-SI"/>
                        </w:rPr>
                      </w:pPr>
                      <w:r w:rsidRPr="00146BD3">
                        <w:rPr>
                          <w:sz w:val="22"/>
                          <w:lang w:val="sl-SI"/>
                        </w:rPr>
                        <w:t>Šmartinska cesta 55</w:t>
                      </w:r>
                    </w:p>
                    <w:p w14:paraId="3697FA4F" w14:textId="77777777" w:rsidR="00E03CED" w:rsidRPr="00146BD3" w:rsidRDefault="00E03CED" w:rsidP="00E03CED">
                      <w:pPr>
                        <w:rPr>
                          <w:sz w:val="22"/>
                          <w:lang w:val="sl-SI"/>
                        </w:rPr>
                      </w:pPr>
                      <w:r w:rsidRPr="00146BD3">
                        <w:rPr>
                          <w:sz w:val="22"/>
                          <w:lang w:val="sl-SI"/>
                        </w:rPr>
                        <w:t>1000 Ljubljana</w:t>
                      </w:r>
                    </w:p>
                    <w:p w14:paraId="7F6A79EB" w14:textId="77777777" w:rsidR="00E03CED" w:rsidRPr="00146BD3" w:rsidRDefault="00E03CED" w:rsidP="00E03CED">
                      <w:pPr>
                        <w:rPr>
                          <w:lang w:val="sl-SI"/>
                        </w:rPr>
                      </w:pPr>
                    </w:p>
                    <w:p w14:paraId="32D428AE" w14:textId="77777777" w:rsidR="00E03CED" w:rsidRPr="00146BD3" w:rsidRDefault="00E61B43" w:rsidP="00E03CED">
                      <w:pPr>
                        <w:pStyle w:val="Default"/>
                        <w:rPr>
                          <w:rFonts w:ascii="Arial" w:hAnsi="Arial" w:cs="Arial"/>
                          <w:sz w:val="22"/>
                        </w:rPr>
                      </w:pPr>
                      <w:hyperlink r:id="rId13" w:history="1">
                        <w:r w:rsidR="00E03CED" w:rsidRPr="00146BD3">
                          <w:rPr>
                            <w:rStyle w:val="Hyperlink"/>
                            <w:rFonts w:ascii="Arial" w:hAnsi="Arial" w:cs="Arial"/>
                            <w:sz w:val="22"/>
                          </w:rPr>
                          <w:t>gfu.fu@gov.si</w:t>
                        </w:r>
                      </w:hyperlink>
                    </w:p>
                    <w:p w14:paraId="10295BE1" w14:textId="77777777" w:rsidR="002A2B69" w:rsidRPr="003E1C74" w:rsidRDefault="002A2B69" w:rsidP="007D75CF">
                      <w:pPr>
                        <w:rPr>
                          <w:lang w:val="sl-SI"/>
                        </w:rPr>
                      </w:pPr>
                    </w:p>
                  </w:txbxContent>
                </v:textbox>
                <w10:wrap type="topAndBottom" anchorx="page" anchory="page"/>
              </v:shape>
            </w:pict>
          </mc:Fallback>
        </mc:AlternateContent>
      </w:r>
      <w:r w:rsidR="007D75CF" w:rsidRPr="00E03CED">
        <w:rPr>
          <w:sz w:val="22"/>
        </w:rPr>
        <w:t xml:space="preserve">Številka: </w:t>
      </w:r>
      <w:r w:rsidR="007D75CF" w:rsidRPr="00E03CED">
        <w:rPr>
          <w:sz w:val="22"/>
        </w:rPr>
        <w:tab/>
      </w:r>
      <w:r w:rsidR="00BC3686">
        <w:rPr>
          <w:sz w:val="22"/>
        </w:rPr>
        <w:t>420</w:t>
      </w:r>
      <w:r w:rsidRPr="00BC3686">
        <w:rPr>
          <w:sz w:val="22"/>
        </w:rPr>
        <w:t>-</w:t>
      </w:r>
      <w:r w:rsidR="00BC3686" w:rsidRPr="00BC3686">
        <w:rPr>
          <w:sz w:val="22"/>
        </w:rPr>
        <w:t>5</w:t>
      </w:r>
      <w:r w:rsidR="005535C4" w:rsidRPr="00BC3686">
        <w:rPr>
          <w:sz w:val="22"/>
        </w:rPr>
        <w:t>/202</w:t>
      </w:r>
      <w:r w:rsidR="00004EBE" w:rsidRPr="00BC3686">
        <w:rPr>
          <w:sz w:val="22"/>
        </w:rPr>
        <w:t>1</w:t>
      </w:r>
      <w:r w:rsidR="005535C4" w:rsidRPr="00BC3686">
        <w:rPr>
          <w:sz w:val="22"/>
        </w:rPr>
        <w:t>/</w:t>
      </w:r>
      <w:r w:rsidR="00BC3686" w:rsidRPr="00BC3686">
        <w:rPr>
          <w:sz w:val="22"/>
        </w:rPr>
        <w:t>4</w:t>
      </w:r>
    </w:p>
    <w:p w14:paraId="0C3C70B4" w14:textId="16BEE77D" w:rsidR="007D75CF" w:rsidRPr="00BC3686" w:rsidRDefault="00C250D5" w:rsidP="00DC6A71">
      <w:pPr>
        <w:pStyle w:val="datumtevilka"/>
        <w:rPr>
          <w:sz w:val="22"/>
        </w:rPr>
      </w:pPr>
      <w:r w:rsidRPr="00BC3686">
        <w:rPr>
          <w:sz w:val="22"/>
        </w:rPr>
        <w:t xml:space="preserve">Datum: </w:t>
      </w:r>
      <w:r w:rsidRPr="00BC3686">
        <w:rPr>
          <w:sz w:val="22"/>
        </w:rPr>
        <w:tab/>
      </w:r>
      <w:r w:rsidR="005176BD">
        <w:rPr>
          <w:sz w:val="22"/>
        </w:rPr>
        <w:t>9</w:t>
      </w:r>
      <w:r w:rsidR="00E03CED" w:rsidRPr="00BC3686">
        <w:rPr>
          <w:sz w:val="22"/>
        </w:rPr>
        <w:t xml:space="preserve">. </w:t>
      </w:r>
      <w:r w:rsidR="005176BD">
        <w:rPr>
          <w:sz w:val="22"/>
        </w:rPr>
        <w:t>9</w:t>
      </w:r>
      <w:r w:rsidR="00E03CED" w:rsidRPr="00BC3686">
        <w:rPr>
          <w:sz w:val="22"/>
        </w:rPr>
        <w:t>. 202</w:t>
      </w:r>
      <w:r w:rsidR="00004EBE" w:rsidRPr="00BC3686">
        <w:rPr>
          <w:sz w:val="22"/>
        </w:rPr>
        <w:t>1</w:t>
      </w:r>
      <w:r w:rsidR="00E03CED" w:rsidRPr="00BC3686">
        <w:rPr>
          <w:sz w:val="22"/>
        </w:rPr>
        <w:t xml:space="preserve"> </w:t>
      </w:r>
      <w:r w:rsidR="007D75CF" w:rsidRPr="00BC3686">
        <w:rPr>
          <w:sz w:val="22"/>
        </w:rPr>
        <w:t xml:space="preserve"> </w:t>
      </w:r>
    </w:p>
    <w:p w14:paraId="05BC60EB" w14:textId="77777777" w:rsidR="007D75CF" w:rsidRPr="00BC3686" w:rsidRDefault="007D75CF" w:rsidP="007D75CF">
      <w:pPr>
        <w:rPr>
          <w:sz w:val="22"/>
          <w:szCs w:val="20"/>
          <w:lang w:val="sl-SI" w:eastAsia="sl-SI"/>
        </w:rPr>
      </w:pPr>
    </w:p>
    <w:p w14:paraId="26DEBB57" w14:textId="5C10EEEC" w:rsidR="007D75CF" w:rsidRPr="00BC3686" w:rsidRDefault="007D75CF" w:rsidP="00287147">
      <w:pPr>
        <w:pStyle w:val="ZADEVA"/>
        <w:jc w:val="both"/>
        <w:rPr>
          <w:bCs/>
          <w:sz w:val="22"/>
          <w:szCs w:val="20"/>
          <w:lang w:val="sl-SI" w:eastAsia="sl-SI"/>
        </w:rPr>
      </w:pPr>
      <w:r w:rsidRPr="00BC3686">
        <w:rPr>
          <w:bCs/>
          <w:sz w:val="22"/>
          <w:szCs w:val="20"/>
          <w:lang w:val="sl-SI" w:eastAsia="sl-SI"/>
        </w:rPr>
        <w:t xml:space="preserve">Zadeva: </w:t>
      </w:r>
      <w:r w:rsidRPr="00BC3686">
        <w:rPr>
          <w:bCs/>
          <w:sz w:val="22"/>
          <w:szCs w:val="20"/>
          <w:lang w:val="sl-SI" w:eastAsia="sl-SI"/>
        </w:rPr>
        <w:tab/>
      </w:r>
      <w:r w:rsidR="00BC3686" w:rsidRPr="00BC3686">
        <w:rPr>
          <w:bCs/>
          <w:sz w:val="22"/>
          <w:szCs w:val="20"/>
          <w:lang w:val="sl-SI" w:eastAsia="sl-SI"/>
        </w:rPr>
        <w:t>Davčna obravnava statusnih in drugih preoblikovanj zavezancev, ki niso gospodarske družbe</w:t>
      </w:r>
    </w:p>
    <w:p w14:paraId="49C5B346" w14:textId="0A3E543F" w:rsidR="00E03CED" w:rsidRPr="00BC3686" w:rsidRDefault="00E03CED" w:rsidP="00287147">
      <w:pPr>
        <w:pStyle w:val="podpisi"/>
        <w:tabs>
          <w:tab w:val="left" w:pos="1701"/>
        </w:tabs>
        <w:jc w:val="both"/>
        <w:rPr>
          <w:sz w:val="22"/>
          <w:szCs w:val="20"/>
          <w:lang w:val="sl-SI" w:eastAsia="sl-SI"/>
        </w:rPr>
      </w:pPr>
      <w:r w:rsidRPr="00BC3686">
        <w:rPr>
          <w:sz w:val="22"/>
          <w:szCs w:val="20"/>
          <w:lang w:val="sl-SI" w:eastAsia="sl-SI"/>
        </w:rPr>
        <w:t>Zveza:</w:t>
      </w:r>
      <w:r w:rsidRPr="00BC3686">
        <w:rPr>
          <w:sz w:val="22"/>
          <w:szCs w:val="20"/>
          <w:lang w:val="sl-SI" w:eastAsia="sl-SI"/>
        </w:rPr>
        <w:tab/>
      </w:r>
      <w:r w:rsidR="005176BD">
        <w:rPr>
          <w:sz w:val="22"/>
          <w:szCs w:val="20"/>
          <w:lang w:val="sl-SI" w:eastAsia="sl-SI"/>
        </w:rPr>
        <w:t>D</w:t>
      </w:r>
      <w:r w:rsidRPr="00BC3686">
        <w:rPr>
          <w:sz w:val="22"/>
          <w:szCs w:val="20"/>
          <w:lang w:val="sl-SI" w:eastAsia="sl-SI"/>
        </w:rPr>
        <w:t xml:space="preserve">opis </w:t>
      </w:r>
      <w:r w:rsidR="00004EBE" w:rsidRPr="00BC3686">
        <w:rPr>
          <w:sz w:val="22"/>
          <w:szCs w:val="20"/>
          <w:lang w:val="sl-SI" w:eastAsia="sl-SI"/>
        </w:rPr>
        <w:t xml:space="preserve">številka </w:t>
      </w:r>
      <w:r w:rsidR="00BC3686" w:rsidRPr="00BC3686">
        <w:rPr>
          <w:sz w:val="22"/>
          <w:szCs w:val="20"/>
          <w:lang w:val="sl-SI" w:eastAsia="sl-SI"/>
        </w:rPr>
        <w:t>4200-921/2021-1</w:t>
      </w:r>
      <w:r w:rsidRPr="00BC3686">
        <w:rPr>
          <w:sz w:val="22"/>
          <w:szCs w:val="20"/>
          <w:lang w:val="sl-SI" w:eastAsia="sl-SI"/>
        </w:rPr>
        <w:t xml:space="preserve"> z dne </w:t>
      </w:r>
      <w:r w:rsidR="00BC3686" w:rsidRPr="00BC3686">
        <w:rPr>
          <w:sz w:val="22"/>
          <w:szCs w:val="20"/>
          <w:lang w:val="sl-SI" w:eastAsia="sl-SI"/>
        </w:rPr>
        <w:t>14</w:t>
      </w:r>
      <w:r w:rsidRPr="00BC3686">
        <w:rPr>
          <w:sz w:val="22"/>
          <w:szCs w:val="20"/>
          <w:lang w:val="sl-SI" w:eastAsia="sl-SI"/>
        </w:rPr>
        <w:t xml:space="preserve">. </w:t>
      </w:r>
      <w:r w:rsidR="00BC3686" w:rsidRPr="00BC3686">
        <w:rPr>
          <w:sz w:val="22"/>
          <w:szCs w:val="20"/>
          <w:lang w:val="sl-SI" w:eastAsia="sl-SI"/>
        </w:rPr>
        <w:t>5</w:t>
      </w:r>
      <w:r w:rsidRPr="00BC3686">
        <w:rPr>
          <w:sz w:val="22"/>
          <w:szCs w:val="20"/>
          <w:lang w:val="sl-SI" w:eastAsia="sl-SI"/>
        </w:rPr>
        <w:t>. 202</w:t>
      </w:r>
      <w:r w:rsidR="00004EBE" w:rsidRPr="00BC3686">
        <w:rPr>
          <w:sz w:val="22"/>
          <w:szCs w:val="20"/>
          <w:lang w:val="sl-SI" w:eastAsia="sl-SI"/>
        </w:rPr>
        <w:t>1</w:t>
      </w:r>
      <w:r w:rsidRPr="00BC3686">
        <w:rPr>
          <w:sz w:val="22"/>
          <w:szCs w:val="20"/>
          <w:lang w:val="sl-SI" w:eastAsia="sl-SI"/>
        </w:rPr>
        <w:tab/>
      </w:r>
    </w:p>
    <w:p w14:paraId="407B66E3" w14:textId="77777777" w:rsidR="004B25E2" w:rsidRPr="00BC3686" w:rsidRDefault="004B25E2" w:rsidP="00287147">
      <w:pPr>
        <w:pStyle w:val="datumtevilka"/>
        <w:jc w:val="both"/>
        <w:rPr>
          <w:sz w:val="22"/>
        </w:rPr>
      </w:pPr>
    </w:p>
    <w:p w14:paraId="5926DFDD" w14:textId="77777777" w:rsidR="00706C3A" w:rsidRPr="00BC3686" w:rsidRDefault="00706C3A" w:rsidP="00E03CED">
      <w:pPr>
        <w:pStyle w:val="datumtevilka"/>
        <w:jc w:val="both"/>
        <w:rPr>
          <w:sz w:val="22"/>
        </w:rPr>
      </w:pPr>
    </w:p>
    <w:p w14:paraId="093AB3C6" w14:textId="72236D33" w:rsidR="00BC3686" w:rsidRPr="00BC3686" w:rsidRDefault="005176BD" w:rsidP="00BC3686">
      <w:pPr>
        <w:jc w:val="both"/>
        <w:rPr>
          <w:sz w:val="22"/>
          <w:szCs w:val="20"/>
          <w:lang w:val="sl-SI" w:eastAsia="sl-SI"/>
        </w:rPr>
      </w:pPr>
      <w:r>
        <w:rPr>
          <w:sz w:val="22"/>
          <w:szCs w:val="20"/>
          <w:lang w:val="sl-SI" w:eastAsia="sl-SI"/>
        </w:rPr>
        <w:t>Finančna uprava RS je n</w:t>
      </w:r>
      <w:r w:rsidR="00BC3686" w:rsidRPr="00BC3686">
        <w:rPr>
          <w:sz w:val="22"/>
          <w:szCs w:val="20"/>
          <w:lang w:val="sl-SI" w:eastAsia="sl-SI"/>
        </w:rPr>
        <w:t>a Ministrstvo za finance naslovil</w:t>
      </w:r>
      <w:r>
        <w:rPr>
          <w:sz w:val="22"/>
          <w:szCs w:val="20"/>
          <w:lang w:val="sl-SI" w:eastAsia="sl-SI"/>
        </w:rPr>
        <w:t>a</w:t>
      </w:r>
      <w:r w:rsidR="00BC3686" w:rsidRPr="00BC3686">
        <w:rPr>
          <w:sz w:val="22"/>
          <w:szCs w:val="20"/>
          <w:lang w:val="sl-SI" w:eastAsia="sl-SI"/>
        </w:rPr>
        <w:t xml:space="preserve"> vprašanje glede davčne obravnave statusnih in drugih preoblikovanj zavezancev, ki niso gospodarske družbe. Pojasn</w:t>
      </w:r>
      <w:r>
        <w:rPr>
          <w:sz w:val="22"/>
          <w:szCs w:val="20"/>
          <w:lang w:val="sl-SI" w:eastAsia="sl-SI"/>
        </w:rPr>
        <w:t>juje</w:t>
      </w:r>
      <w:r w:rsidR="00BC3686" w:rsidRPr="00BC3686">
        <w:rPr>
          <w:sz w:val="22"/>
          <w:szCs w:val="20"/>
          <w:lang w:val="sl-SI" w:eastAsia="sl-SI"/>
        </w:rPr>
        <w:t>, da s</w:t>
      </w:r>
      <w:r>
        <w:rPr>
          <w:sz w:val="22"/>
          <w:szCs w:val="20"/>
          <w:lang w:val="sl-SI" w:eastAsia="sl-SI"/>
        </w:rPr>
        <w:t>o</w:t>
      </w:r>
      <w:r w:rsidR="00BC3686" w:rsidRPr="00BC3686">
        <w:rPr>
          <w:sz w:val="22"/>
          <w:szCs w:val="20"/>
          <w:lang w:val="sl-SI" w:eastAsia="sl-SI"/>
        </w:rPr>
        <w:t xml:space="preserve"> na Generalni finančni urad ne dolgo nazaj prejeli vprašanje Zadružne zveze Slovenije v zvezi z davčno obravnavo materialnega statusnega preoblikovanja zadruge, povezano s konkretnim primerom opravljene priglasitve te transakcije pri pristojnem finančnem uradu. Dodaja, da s</w:t>
      </w:r>
      <w:r>
        <w:rPr>
          <w:sz w:val="22"/>
          <w:szCs w:val="20"/>
          <w:lang w:val="sl-SI" w:eastAsia="sl-SI"/>
        </w:rPr>
        <w:t>o</w:t>
      </w:r>
      <w:r w:rsidR="00BC3686" w:rsidRPr="00BC3686">
        <w:rPr>
          <w:sz w:val="22"/>
          <w:szCs w:val="20"/>
          <w:lang w:val="sl-SI" w:eastAsia="sl-SI"/>
        </w:rPr>
        <w:t xml:space="preserve"> Zadružni zvezi Slovenje odgovorili</w:t>
      </w:r>
      <w:r w:rsidR="0074058F">
        <w:rPr>
          <w:sz w:val="22"/>
          <w:szCs w:val="20"/>
          <w:lang w:val="sl-SI" w:eastAsia="sl-SI"/>
        </w:rPr>
        <w:t>. O</w:t>
      </w:r>
      <w:r w:rsidR="00BC3686" w:rsidRPr="00BC3686">
        <w:rPr>
          <w:sz w:val="22"/>
          <w:szCs w:val="20"/>
          <w:lang w:val="sl-SI" w:eastAsia="sl-SI"/>
        </w:rPr>
        <w:t>dgovor s</w:t>
      </w:r>
      <w:r>
        <w:rPr>
          <w:sz w:val="22"/>
          <w:szCs w:val="20"/>
          <w:lang w:val="sl-SI" w:eastAsia="sl-SI"/>
        </w:rPr>
        <w:t>o</w:t>
      </w:r>
      <w:r w:rsidR="00BC3686" w:rsidRPr="00BC3686">
        <w:rPr>
          <w:sz w:val="22"/>
          <w:szCs w:val="20"/>
          <w:lang w:val="sl-SI" w:eastAsia="sl-SI"/>
        </w:rPr>
        <w:t xml:space="preserve"> v izogib ponavljanju podrobne obrazložitve davčne obravnave omenjenega statusnega preoblikovanja </w:t>
      </w:r>
      <w:r w:rsidR="00112382">
        <w:rPr>
          <w:sz w:val="22"/>
          <w:szCs w:val="20"/>
          <w:lang w:val="sl-SI" w:eastAsia="sl-SI"/>
        </w:rPr>
        <w:t>priložili</w:t>
      </w:r>
      <w:r w:rsidR="00BC3686" w:rsidRPr="00BC3686">
        <w:rPr>
          <w:sz w:val="22"/>
          <w:szCs w:val="20"/>
          <w:lang w:val="sl-SI" w:eastAsia="sl-SI"/>
        </w:rPr>
        <w:t xml:space="preserve">. </w:t>
      </w:r>
    </w:p>
    <w:p w14:paraId="2C0F7B16" w14:textId="77777777" w:rsidR="00BC3686" w:rsidRPr="00BC3686" w:rsidRDefault="00BC3686" w:rsidP="00BC3686">
      <w:pPr>
        <w:jc w:val="both"/>
        <w:rPr>
          <w:sz w:val="22"/>
          <w:szCs w:val="20"/>
          <w:lang w:val="sl-SI" w:eastAsia="sl-SI"/>
        </w:rPr>
      </w:pPr>
    </w:p>
    <w:p w14:paraId="68F1D1C2" w14:textId="2BCF3491" w:rsidR="00BC3686" w:rsidRPr="00BC3686" w:rsidRDefault="00BC3686" w:rsidP="00BC3686">
      <w:pPr>
        <w:jc w:val="both"/>
        <w:rPr>
          <w:sz w:val="22"/>
          <w:szCs w:val="20"/>
          <w:lang w:val="sl-SI" w:eastAsia="sl-SI"/>
        </w:rPr>
      </w:pPr>
      <w:r w:rsidRPr="00BC3686">
        <w:rPr>
          <w:sz w:val="22"/>
          <w:szCs w:val="20"/>
          <w:lang w:val="sl-SI" w:eastAsia="sl-SI"/>
        </w:rPr>
        <w:t>V nadaljevanju navaja</w:t>
      </w:r>
      <w:r w:rsidR="005176BD">
        <w:rPr>
          <w:sz w:val="22"/>
          <w:szCs w:val="20"/>
          <w:lang w:val="sl-SI" w:eastAsia="sl-SI"/>
        </w:rPr>
        <w:t>jo</w:t>
      </w:r>
      <w:r w:rsidRPr="00BC3686">
        <w:rPr>
          <w:sz w:val="22"/>
          <w:szCs w:val="20"/>
          <w:lang w:val="sl-SI" w:eastAsia="sl-SI"/>
        </w:rPr>
        <w:t>, da s</w:t>
      </w:r>
      <w:r w:rsidR="005176BD">
        <w:rPr>
          <w:sz w:val="22"/>
          <w:szCs w:val="20"/>
          <w:lang w:val="sl-SI" w:eastAsia="sl-SI"/>
        </w:rPr>
        <w:t>o</w:t>
      </w:r>
      <w:r w:rsidRPr="00BC3686">
        <w:rPr>
          <w:sz w:val="22"/>
          <w:szCs w:val="20"/>
          <w:lang w:val="sl-SI" w:eastAsia="sl-SI"/>
        </w:rPr>
        <w:t xml:space="preserve"> bili po izdaji omenjenega pojasnila Zadružni zvezi Slovenije seznanjeni s sodbo Vrhovnega sodišča RS, opr. št. X </w:t>
      </w:r>
      <w:proofErr w:type="spellStart"/>
      <w:r w:rsidRPr="00BC3686">
        <w:rPr>
          <w:sz w:val="22"/>
          <w:szCs w:val="20"/>
          <w:lang w:val="sl-SI" w:eastAsia="sl-SI"/>
        </w:rPr>
        <w:t>Ips</w:t>
      </w:r>
      <w:proofErr w:type="spellEnd"/>
      <w:r w:rsidRPr="00BC3686">
        <w:rPr>
          <w:sz w:val="22"/>
          <w:szCs w:val="20"/>
          <w:lang w:val="sl-SI" w:eastAsia="sl-SI"/>
        </w:rPr>
        <w:t xml:space="preserve"> 90/2020 z dne 17. 3. 2021, izdano v zvezi z davčno obravnavo materialnega statusnega preoblikovanja zavoda, iz katere izhaja drugačno stališče od dosedanjega dolgoletnega stališča. V obrazložitvi sodbe je sodišče med drugim navedlo, da je za odločitev v zadevi ključna primerjava davčnih položajev zavodov in gospodarskih družb, ne pa zgolj namen, za katerega je pravna oseba v eni ali drugi pravnoorganizacijski obliki ustanovljena. V nadaljevanju povzema</w:t>
      </w:r>
      <w:r w:rsidR="005176BD">
        <w:rPr>
          <w:sz w:val="22"/>
          <w:szCs w:val="20"/>
          <w:lang w:val="sl-SI" w:eastAsia="sl-SI"/>
        </w:rPr>
        <w:t>jo</w:t>
      </w:r>
      <w:r w:rsidRPr="00BC3686">
        <w:rPr>
          <w:sz w:val="22"/>
          <w:szCs w:val="20"/>
          <w:lang w:val="sl-SI" w:eastAsia="sl-SI"/>
        </w:rPr>
        <w:t xml:space="preserve"> navedeno sodbo Vrhovnega sodišča</w:t>
      </w:r>
      <w:r w:rsidR="00C4304A">
        <w:rPr>
          <w:sz w:val="22"/>
          <w:szCs w:val="20"/>
          <w:lang w:val="sl-SI" w:eastAsia="sl-SI"/>
        </w:rPr>
        <w:t xml:space="preserve"> RS</w:t>
      </w:r>
      <w:r w:rsidRPr="00BC3686">
        <w:rPr>
          <w:sz w:val="22"/>
          <w:szCs w:val="20"/>
          <w:lang w:val="sl-SI" w:eastAsia="sl-SI"/>
        </w:rPr>
        <w:t xml:space="preserve">. </w:t>
      </w:r>
    </w:p>
    <w:p w14:paraId="2008E65B" w14:textId="77777777" w:rsidR="00BC3686" w:rsidRPr="00BC3686" w:rsidRDefault="00BC3686" w:rsidP="00BC3686">
      <w:pPr>
        <w:jc w:val="both"/>
        <w:rPr>
          <w:sz w:val="22"/>
          <w:szCs w:val="20"/>
          <w:lang w:val="sl-SI" w:eastAsia="sl-SI"/>
        </w:rPr>
      </w:pPr>
    </w:p>
    <w:p w14:paraId="1079F399" w14:textId="5822EED3" w:rsidR="00BC3686" w:rsidRPr="00BC3686" w:rsidRDefault="00C4304A" w:rsidP="00BC3686">
      <w:pPr>
        <w:jc w:val="both"/>
        <w:rPr>
          <w:sz w:val="22"/>
          <w:szCs w:val="20"/>
          <w:lang w:val="sl-SI" w:eastAsia="sl-SI"/>
        </w:rPr>
      </w:pPr>
      <w:r>
        <w:rPr>
          <w:sz w:val="22"/>
          <w:szCs w:val="20"/>
          <w:lang w:val="sl-SI" w:eastAsia="sl-SI"/>
        </w:rPr>
        <w:t>N</w:t>
      </w:r>
      <w:r w:rsidR="00BC3686" w:rsidRPr="00BC3686">
        <w:rPr>
          <w:sz w:val="22"/>
          <w:szCs w:val="20"/>
          <w:lang w:val="sl-SI" w:eastAsia="sl-SI"/>
        </w:rPr>
        <w:t>adalje ugotavlja</w:t>
      </w:r>
      <w:r w:rsidR="005176BD">
        <w:rPr>
          <w:sz w:val="22"/>
          <w:szCs w:val="20"/>
          <w:lang w:val="sl-SI" w:eastAsia="sl-SI"/>
        </w:rPr>
        <w:t>jo</w:t>
      </w:r>
      <w:r w:rsidR="00BC3686" w:rsidRPr="00BC3686">
        <w:rPr>
          <w:sz w:val="22"/>
          <w:szCs w:val="20"/>
          <w:lang w:val="sl-SI" w:eastAsia="sl-SI"/>
        </w:rPr>
        <w:t xml:space="preserve">, da bo v ponovljenem postopku davčni organ moral ob upoštevanju stališč Vrhovnega sodišča </w:t>
      </w:r>
      <w:r>
        <w:rPr>
          <w:sz w:val="22"/>
          <w:szCs w:val="20"/>
          <w:lang w:val="sl-SI" w:eastAsia="sl-SI"/>
        </w:rPr>
        <w:t xml:space="preserve">RS </w:t>
      </w:r>
      <w:r w:rsidR="00BC3686" w:rsidRPr="00BC3686">
        <w:rPr>
          <w:sz w:val="22"/>
          <w:szCs w:val="20"/>
          <w:lang w:val="sl-SI" w:eastAsia="sl-SI"/>
        </w:rPr>
        <w:t xml:space="preserve">iz te sodbe ponovno obravnavati </w:t>
      </w:r>
      <w:proofErr w:type="spellStart"/>
      <w:r w:rsidR="00BC3686" w:rsidRPr="00BC3686">
        <w:rPr>
          <w:sz w:val="22"/>
          <w:szCs w:val="20"/>
          <w:lang w:val="sl-SI" w:eastAsia="sl-SI"/>
        </w:rPr>
        <w:t>revidentovo</w:t>
      </w:r>
      <w:proofErr w:type="spellEnd"/>
      <w:r w:rsidR="00BC3686" w:rsidRPr="00BC3686">
        <w:rPr>
          <w:sz w:val="22"/>
          <w:szCs w:val="20"/>
          <w:lang w:val="sl-SI" w:eastAsia="sl-SI"/>
        </w:rPr>
        <w:t xml:space="preserve"> vlogo za priglasitev nevtralne davčne obravnave pripojitve in ugotoviti, ali izpolnjuje pogoje iz 50. člena ZDDPO-2. Predmetno sodbo Vrhovnega sodišča</w:t>
      </w:r>
      <w:r>
        <w:rPr>
          <w:sz w:val="22"/>
          <w:szCs w:val="20"/>
          <w:lang w:val="sl-SI" w:eastAsia="sl-SI"/>
        </w:rPr>
        <w:t xml:space="preserve"> RS, po </w:t>
      </w:r>
      <w:r w:rsidR="005176BD">
        <w:rPr>
          <w:sz w:val="22"/>
          <w:szCs w:val="20"/>
          <w:lang w:val="sl-SI" w:eastAsia="sl-SI"/>
        </w:rPr>
        <w:t>njihovih</w:t>
      </w:r>
      <w:r>
        <w:rPr>
          <w:sz w:val="22"/>
          <w:szCs w:val="20"/>
          <w:lang w:val="sl-SI" w:eastAsia="sl-SI"/>
        </w:rPr>
        <w:t xml:space="preserve"> navedbah, </w:t>
      </w:r>
      <w:r w:rsidR="00BC3686" w:rsidRPr="00BC3686">
        <w:rPr>
          <w:sz w:val="22"/>
          <w:szCs w:val="20"/>
          <w:lang w:val="sl-SI" w:eastAsia="sl-SI"/>
        </w:rPr>
        <w:t>razume</w:t>
      </w:r>
      <w:r w:rsidR="005176BD">
        <w:rPr>
          <w:sz w:val="22"/>
          <w:szCs w:val="20"/>
          <w:lang w:val="sl-SI" w:eastAsia="sl-SI"/>
        </w:rPr>
        <w:t>jo</w:t>
      </w:r>
      <w:r w:rsidR="00BC3686" w:rsidRPr="00BC3686">
        <w:rPr>
          <w:sz w:val="22"/>
          <w:szCs w:val="20"/>
          <w:lang w:val="sl-SI" w:eastAsia="sl-SI"/>
        </w:rPr>
        <w:t xml:space="preserve"> na način, da bo torej moral pristojni finančni urad v ponovnem postopku opravljeno priglasitev pripojitve zavodov vsebinsko obravnavati na način, da bo ugotavljal, ali so izpolnjeni vsi pogoji, določeni v ZDDPO-2 za davčno nevtralno obravnavo te transakcije, ki jih tudi povzema</w:t>
      </w:r>
      <w:r w:rsidR="005176BD">
        <w:rPr>
          <w:sz w:val="22"/>
          <w:szCs w:val="20"/>
          <w:lang w:val="sl-SI" w:eastAsia="sl-SI"/>
        </w:rPr>
        <w:t>jo</w:t>
      </w:r>
      <w:r w:rsidR="00BC3686" w:rsidRPr="00BC3686">
        <w:rPr>
          <w:sz w:val="22"/>
          <w:szCs w:val="20"/>
          <w:lang w:val="sl-SI" w:eastAsia="sl-SI"/>
        </w:rPr>
        <w:t xml:space="preserve">. </w:t>
      </w:r>
    </w:p>
    <w:p w14:paraId="07C24578" w14:textId="71B5C182" w:rsidR="00BC3686" w:rsidRPr="00BC3686" w:rsidRDefault="00BC3686" w:rsidP="00BC3686">
      <w:pPr>
        <w:jc w:val="both"/>
        <w:rPr>
          <w:sz w:val="22"/>
          <w:szCs w:val="20"/>
          <w:lang w:val="sl-SI" w:eastAsia="sl-SI"/>
        </w:rPr>
      </w:pPr>
      <w:r w:rsidRPr="00BC3686">
        <w:rPr>
          <w:sz w:val="22"/>
          <w:szCs w:val="20"/>
          <w:lang w:val="sl-SI" w:eastAsia="sl-SI"/>
        </w:rPr>
        <w:lastRenderedPageBreak/>
        <w:t>Sodbo razume</w:t>
      </w:r>
      <w:r w:rsidR="005176BD">
        <w:rPr>
          <w:sz w:val="22"/>
          <w:szCs w:val="20"/>
          <w:lang w:val="sl-SI" w:eastAsia="sl-SI"/>
        </w:rPr>
        <w:t>jo</w:t>
      </w:r>
      <w:r w:rsidRPr="00BC3686">
        <w:rPr>
          <w:sz w:val="22"/>
          <w:szCs w:val="20"/>
          <w:lang w:val="sl-SI" w:eastAsia="sl-SI"/>
        </w:rPr>
        <w:t xml:space="preserve"> na način, da stališče velja samo za transakcije materialnega statusnega preoblikovanja zavodov, ki se izvedejo znotraj Slovenije in med rezidenti Slovenije. V primeru, da gre za čezmejno transakcijo materialnega statusnega preoblikovanja zavodov, davčno nevtralna obravnava te transakcije ni možna, saj se za čezmejne transakcije zahteva pravnoorganizacijska oblika zavezancev udeleženih v transakciji, ki je </w:t>
      </w:r>
      <w:proofErr w:type="spellStart"/>
      <w:r w:rsidRPr="00BC3686">
        <w:rPr>
          <w:sz w:val="22"/>
          <w:szCs w:val="20"/>
          <w:lang w:val="sl-SI" w:eastAsia="sl-SI"/>
        </w:rPr>
        <w:t>d.d</w:t>
      </w:r>
      <w:proofErr w:type="spellEnd"/>
      <w:r w:rsidRPr="00BC3686">
        <w:rPr>
          <w:sz w:val="22"/>
          <w:szCs w:val="20"/>
          <w:lang w:val="sl-SI" w:eastAsia="sl-SI"/>
        </w:rPr>
        <w:t xml:space="preserve">., d.o.o. ali </w:t>
      </w:r>
      <w:proofErr w:type="spellStart"/>
      <w:r w:rsidRPr="00BC3686">
        <w:rPr>
          <w:sz w:val="22"/>
          <w:szCs w:val="20"/>
          <w:lang w:val="sl-SI" w:eastAsia="sl-SI"/>
        </w:rPr>
        <w:t>k.d</w:t>
      </w:r>
      <w:proofErr w:type="spellEnd"/>
      <w:r w:rsidRPr="00BC3686">
        <w:rPr>
          <w:sz w:val="22"/>
          <w:szCs w:val="20"/>
          <w:lang w:val="sl-SI" w:eastAsia="sl-SI"/>
        </w:rPr>
        <w:t>. Sklepno pojasnjuje</w:t>
      </w:r>
      <w:r w:rsidR="005176BD">
        <w:rPr>
          <w:sz w:val="22"/>
          <w:szCs w:val="20"/>
          <w:lang w:val="sl-SI" w:eastAsia="sl-SI"/>
        </w:rPr>
        <w:t>jo</w:t>
      </w:r>
      <w:r w:rsidRPr="00BC3686">
        <w:rPr>
          <w:sz w:val="22"/>
          <w:szCs w:val="20"/>
          <w:lang w:val="sl-SI" w:eastAsia="sl-SI"/>
        </w:rPr>
        <w:t>, da s</w:t>
      </w:r>
      <w:r w:rsidR="005176BD">
        <w:rPr>
          <w:sz w:val="22"/>
          <w:szCs w:val="20"/>
          <w:lang w:val="sl-SI" w:eastAsia="sl-SI"/>
        </w:rPr>
        <w:t>o</w:t>
      </w:r>
      <w:r w:rsidRPr="00BC3686">
        <w:rPr>
          <w:sz w:val="22"/>
          <w:szCs w:val="20"/>
          <w:lang w:val="sl-SI" w:eastAsia="sl-SI"/>
        </w:rPr>
        <w:t xml:space="preserve"> izpostavili samo nekaj odprtih zastavljenih vprašanj v zvezi z izdano sodbo Vrhovnega sodišča</w:t>
      </w:r>
      <w:r w:rsidR="00C4304A">
        <w:rPr>
          <w:sz w:val="22"/>
          <w:szCs w:val="20"/>
          <w:lang w:val="sl-SI" w:eastAsia="sl-SI"/>
        </w:rPr>
        <w:t xml:space="preserve"> RS</w:t>
      </w:r>
      <w:r w:rsidRPr="00BC3686">
        <w:rPr>
          <w:sz w:val="22"/>
          <w:szCs w:val="20"/>
          <w:lang w:val="sl-SI" w:eastAsia="sl-SI"/>
        </w:rPr>
        <w:t xml:space="preserve"> in v njej zavzetim stališčem. </w:t>
      </w:r>
      <w:r w:rsidR="005176BD">
        <w:rPr>
          <w:sz w:val="22"/>
          <w:szCs w:val="20"/>
          <w:lang w:val="sl-SI" w:eastAsia="sl-SI"/>
        </w:rPr>
        <w:t>Ministrstvo za finance p</w:t>
      </w:r>
      <w:r w:rsidRPr="00BC3686">
        <w:rPr>
          <w:sz w:val="22"/>
          <w:szCs w:val="20"/>
          <w:lang w:val="sl-SI" w:eastAsia="sl-SI"/>
        </w:rPr>
        <w:t>rosi</w:t>
      </w:r>
      <w:r w:rsidR="005176BD">
        <w:rPr>
          <w:sz w:val="22"/>
          <w:szCs w:val="20"/>
          <w:lang w:val="sl-SI" w:eastAsia="sl-SI"/>
        </w:rPr>
        <w:t>jo</w:t>
      </w:r>
      <w:r w:rsidRPr="00BC3686">
        <w:rPr>
          <w:sz w:val="22"/>
          <w:szCs w:val="20"/>
          <w:lang w:val="sl-SI" w:eastAsia="sl-SI"/>
        </w:rPr>
        <w:t xml:space="preserve"> za čimprejšnjo proučitev zadeve, ki je sistemske narave</w:t>
      </w:r>
      <w:r w:rsidR="008C29A5">
        <w:rPr>
          <w:sz w:val="22"/>
          <w:szCs w:val="20"/>
          <w:lang w:val="sl-SI" w:eastAsia="sl-SI"/>
        </w:rPr>
        <w:t>,</w:t>
      </w:r>
      <w:r w:rsidRPr="00BC3686">
        <w:rPr>
          <w:sz w:val="22"/>
          <w:szCs w:val="20"/>
          <w:lang w:val="sl-SI" w:eastAsia="sl-SI"/>
        </w:rPr>
        <w:t xml:space="preserve"> ter za natančne usmeritve za nadaljnje delo na predmetnem področju.</w:t>
      </w:r>
    </w:p>
    <w:p w14:paraId="42EFB308" w14:textId="77777777" w:rsidR="00BC3686" w:rsidRPr="00BC3686" w:rsidRDefault="00BC3686" w:rsidP="00BC3686">
      <w:pPr>
        <w:jc w:val="both"/>
        <w:rPr>
          <w:sz w:val="22"/>
          <w:szCs w:val="20"/>
          <w:lang w:val="sl-SI" w:eastAsia="sl-SI"/>
        </w:rPr>
      </w:pPr>
    </w:p>
    <w:p w14:paraId="00B41AB8" w14:textId="25639D64" w:rsidR="00BC3686" w:rsidRDefault="00BC3686" w:rsidP="00BC3686">
      <w:pPr>
        <w:jc w:val="both"/>
        <w:rPr>
          <w:sz w:val="22"/>
          <w:szCs w:val="20"/>
          <w:lang w:val="sl-SI" w:eastAsia="sl-SI"/>
        </w:rPr>
      </w:pPr>
      <w:r w:rsidRPr="00BC3686">
        <w:rPr>
          <w:sz w:val="22"/>
          <w:szCs w:val="20"/>
          <w:lang w:val="sl-SI" w:eastAsia="sl-SI"/>
        </w:rPr>
        <w:t>Naknadno s</w:t>
      </w:r>
      <w:r w:rsidR="005176BD">
        <w:rPr>
          <w:sz w:val="22"/>
          <w:szCs w:val="20"/>
          <w:lang w:val="sl-SI" w:eastAsia="sl-SI"/>
        </w:rPr>
        <w:t>o</w:t>
      </w:r>
      <w:r w:rsidRPr="00BC3686">
        <w:rPr>
          <w:sz w:val="22"/>
          <w:szCs w:val="20"/>
          <w:lang w:val="sl-SI" w:eastAsia="sl-SI"/>
        </w:rPr>
        <w:t xml:space="preserve"> nam dne 8. 7. 2021 sporočili, da bo</w:t>
      </w:r>
      <w:r w:rsidR="005176BD">
        <w:rPr>
          <w:sz w:val="22"/>
          <w:szCs w:val="20"/>
          <w:lang w:val="sl-SI" w:eastAsia="sl-SI"/>
        </w:rPr>
        <w:t>do</w:t>
      </w:r>
      <w:r w:rsidRPr="00BC3686">
        <w:rPr>
          <w:sz w:val="22"/>
          <w:szCs w:val="20"/>
          <w:lang w:val="sl-SI" w:eastAsia="sl-SI"/>
        </w:rPr>
        <w:t xml:space="preserve"> v konkretni zadevi, v kateri je bila izdana navedena sodba, odločili v skladu z napotki sodišča. Pojasnjuje</w:t>
      </w:r>
      <w:r w:rsidR="005176BD">
        <w:rPr>
          <w:sz w:val="22"/>
          <w:szCs w:val="20"/>
          <w:lang w:val="sl-SI" w:eastAsia="sl-SI"/>
        </w:rPr>
        <w:t>jo</w:t>
      </w:r>
      <w:r w:rsidRPr="00BC3686">
        <w:rPr>
          <w:sz w:val="22"/>
          <w:szCs w:val="20"/>
          <w:lang w:val="sl-SI" w:eastAsia="sl-SI"/>
        </w:rPr>
        <w:t>, da to pomeni, da bo pristojni finančni urad v ponovnem postopku priglasitev pripojitve zavodov obravnaval vsebinsko na način, da bo ugotavljal, ali so izpolnjeni vsi pogoji določeni v ZDDPO-2 za davčno nevtralno obravnavo te transakcije oz. povedano drugače, samo pravnoorganizacijska oblika zavoda ne bo razlog za zavrnitev davčnih upravičenj in obveznosti davčnim subjektom udeleženim v transakciji.</w:t>
      </w:r>
    </w:p>
    <w:p w14:paraId="0B2467CE" w14:textId="2DB0F99E" w:rsidR="00C4304A" w:rsidRDefault="00C4304A" w:rsidP="00BC3686">
      <w:pPr>
        <w:jc w:val="both"/>
        <w:rPr>
          <w:sz w:val="22"/>
          <w:szCs w:val="20"/>
          <w:lang w:val="sl-SI" w:eastAsia="sl-SI"/>
        </w:rPr>
      </w:pPr>
    </w:p>
    <w:p w14:paraId="7964EE5F" w14:textId="77777777" w:rsidR="00571BA2" w:rsidRDefault="00571BA2" w:rsidP="00BC3686">
      <w:pPr>
        <w:jc w:val="both"/>
        <w:rPr>
          <w:sz w:val="22"/>
          <w:szCs w:val="20"/>
          <w:lang w:val="sl-SI" w:eastAsia="sl-SI"/>
        </w:rPr>
      </w:pPr>
    </w:p>
    <w:p w14:paraId="6BD0E55E" w14:textId="08F4AD82" w:rsidR="00C4304A" w:rsidRDefault="00571BA2" w:rsidP="00BC3686">
      <w:pPr>
        <w:jc w:val="both"/>
        <w:rPr>
          <w:sz w:val="22"/>
          <w:szCs w:val="20"/>
          <w:lang w:val="sl-SI" w:eastAsia="sl-SI"/>
        </w:rPr>
      </w:pPr>
      <w:r>
        <w:rPr>
          <w:sz w:val="22"/>
          <w:szCs w:val="20"/>
          <w:lang w:val="sl-SI" w:eastAsia="sl-SI"/>
        </w:rPr>
        <w:t>***</w:t>
      </w:r>
    </w:p>
    <w:p w14:paraId="32C32B08" w14:textId="3B0818E7" w:rsidR="00C4304A" w:rsidRPr="00BC3686" w:rsidRDefault="00C4304A" w:rsidP="00BC3686">
      <w:pPr>
        <w:jc w:val="both"/>
        <w:rPr>
          <w:sz w:val="22"/>
          <w:szCs w:val="20"/>
          <w:lang w:val="sl-SI" w:eastAsia="sl-SI"/>
        </w:rPr>
      </w:pPr>
    </w:p>
    <w:p w14:paraId="1871AC09" w14:textId="26F59A44" w:rsidR="00BC3686" w:rsidRDefault="00BC3686" w:rsidP="00BC3686">
      <w:pPr>
        <w:jc w:val="both"/>
        <w:rPr>
          <w:sz w:val="22"/>
          <w:szCs w:val="20"/>
          <w:lang w:val="sl-SI" w:eastAsia="sl-SI"/>
        </w:rPr>
      </w:pPr>
      <w:r w:rsidRPr="00BC3686">
        <w:rPr>
          <w:sz w:val="22"/>
          <w:szCs w:val="20"/>
          <w:lang w:val="sl-SI" w:eastAsia="sl-SI"/>
        </w:rPr>
        <w:t xml:space="preserve">Upoštevaje navajanja, </w:t>
      </w:r>
      <w:r w:rsidR="00E80658">
        <w:rPr>
          <w:sz w:val="22"/>
          <w:szCs w:val="20"/>
          <w:lang w:val="sl-SI" w:eastAsia="sl-SI"/>
        </w:rPr>
        <w:t>razumevanje</w:t>
      </w:r>
      <w:r w:rsidRPr="00BC3686">
        <w:rPr>
          <w:sz w:val="22"/>
          <w:szCs w:val="20"/>
          <w:lang w:val="sl-SI" w:eastAsia="sl-SI"/>
        </w:rPr>
        <w:t xml:space="preserve">, pojasnila in sporočila </w:t>
      </w:r>
      <w:r w:rsidR="005176BD">
        <w:rPr>
          <w:sz w:val="22"/>
          <w:szCs w:val="20"/>
          <w:lang w:val="sl-SI" w:eastAsia="sl-SI"/>
        </w:rPr>
        <w:t xml:space="preserve">FURS </w:t>
      </w:r>
      <w:r w:rsidRPr="00BC3686">
        <w:rPr>
          <w:sz w:val="22"/>
          <w:szCs w:val="20"/>
          <w:lang w:val="sl-SI" w:eastAsia="sl-SI"/>
        </w:rPr>
        <w:t xml:space="preserve">ter </w:t>
      </w:r>
      <w:r w:rsidR="005176BD">
        <w:rPr>
          <w:sz w:val="22"/>
          <w:szCs w:val="20"/>
          <w:lang w:val="sl-SI" w:eastAsia="sl-SI"/>
        </w:rPr>
        <w:t xml:space="preserve">njihova </w:t>
      </w:r>
      <w:r w:rsidRPr="00BC3686">
        <w:rPr>
          <w:sz w:val="22"/>
          <w:szCs w:val="20"/>
          <w:lang w:val="sl-SI" w:eastAsia="sl-SI"/>
        </w:rPr>
        <w:t>zaključn</w:t>
      </w:r>
      <w:r w:rsidR="005176BD">
        <w:rPr>
          <w:sz w:val="22"/>
          <w:szCs w:val="20"/>
          <w:lang w:val="sl-SI" w:eastAsia="sl-SI"/>
        </w:rPr>
        <w:t>a</w:t>
      </w:r>
      <w:r w:rsidRPr="00BC3686">
        <w:rPr>
          <w:sz w:val="22"/>
          <w:szCs w:val="20"/>
          <w:lang w:val="sl-SI" w:eastAsia="sl-SI"/>
        </w:rPr>
        <w:t xml:space="preserve"> postavljena vprašanja in izražene pomisleke </w:t>
      </w:r>
      <w:r w:rsidR="005176BD">
        <w:rPr>
          <w:sz w:val="22"/>
          <w:szCs w:val="20"/>
          <w:lang w:val="sl-SI" w:eastAsia="sl-SI"/>
        </w:rPr>
        <w:t xml:space="preserve">Ministrstvo za finance </w:t>
      </w:r>
      <w:r w:rsidRPr="00BC3686">
        <w:rPr>
          <w:sz w:val="22"/>
          <w:szCs w:val="20"/>
          <w:lang w:val="sl-SI" w:eastAsia="sl-SI"/>
        </w:rPr>
        <w:t>navaja naslednje:</w:t>
      </w:r>
    </w:p>
    <w:p w14:paraId="0AC2BEAD" w14:textId="77777777" w:rsidR="00C4304A" w:rsidRPr="00BC3686" w:rsidRDefault="00C4304A" w:rsidP="00BC3686">
      <w:pPr>
        <w:jc w:val="both"/>
        <w:rPr>
          <w:sz w:val="22"/>
          <w:szCs w:val="20"/>
          <w:lang w:val="sl-SI" w:eastAsia="sl-SI"/>
        </w:rPr>
      </w:pPr>
    </w:p>
    <w:p w14:paraId="2B059591" w14:textId="7A59BB26" w:rsidR="00517058" w:rsidRDefault="00BC3686" w:rsidP="00BC3686">
      <w:pPr>
        <w:spacing w:line="240" w:lineRule="auto"/>
        <w:jc w:val="both"/>
        <w:rPr>
          <w:sz w:val="22"/>
          <w:szCs w:val="20"/>
          <w:lang w:val="sl-SI" w:eastAsia="sl-SI"/>
        </w:rPr>
      </w:pPr>
      <w:r w:rsidRPr="00BC3686">
        <w:rPr>
          <w:sz w:val="22"/>
          <w:szCs w:val="20"/>
          <w:lang w:val="sl-SI" w:eastAsia="sl-SI"/>
        </w:rPr>
        <w:t xml:space="preserve">1. </w:t>
      </w:r>
      <w:r w:rsidR="00517058">
        <w:rPr>
          <w:sz w:val="22"/>
          <w:szCs w:val="20"/>
          <w:lang w:val="sl-SI" w:eastAsia="sl-SI"/>
        </w:rPr>
        <w:t xml:space="preserve">Uvodoma navajamo, da smo pogledali vaš odgovor Zadružni zvezi Slovenije in upoštevaje, da je šlo za </w:t>
      </w:r>
      <w:r w:rsidR="00517058" w:rsidRPr="00BC3686">
        <w:rPr>
          <w:sz w:val="22"/>
          <w:szCs w:val="20"/>
          <w:lang w:val="sl-SI" w:eastAsia="sl-SI"/>
        </w:rPr>
        <w:t>konkretni primer opravljene priglasitve te transakcije pri pristojnem finančnem uradu</w:t>
      </w:r>
      <w:r w:rsidR="00517058">
        <w:rPr>
          <w:sz w:val="22"/>
          <w:szCs w:val="20"/>
          <w:lang w:val="sl-SI" w:eastAsia="sl-SI"/>
        </w:rPr>
        <w:t xml:space="preserve">, smo mu lahko sledili oziroma povedano drugače, </w:t>
      </w:r>
      <w:r w:rsidR="00E80658">
        <w:rPr>
          <w:sz w:val="22"/>
          <w:szCs w:val="20"/>
          <w:lang w:val="sl-SI" w:eastAsia="sl-SI"/>
        </w:rPr>
        <w:t xml:space="preserve">vaše </w:t>
      </w:r>
      <w:r w:rsidR="00517058">
        <w:rPr>
          <w:sz w:val="22"/>
          <w:szCs w:val="20"/>
          <w:lang w:val="sl-SI" w:eastAsia="sl-SI"/>
        </w:rPr>
        <w:t xml:space="preserve">navedbe v njem so relevantne in utemeljene. Nadalje ugotavljamo, da je bila izdana </w:t>
      </w:r>
      <w:r w:rsidR="006D67A7">
        <w:rPr>
          <w:sz w:val="22"/>
          <w:szCs w:val="20"/>
          <w:lang w:val="sl-SI" w:eastAsia="sl-SI"/>
        </w:rPr>
        <w:t xml:space="preserve">še </w:t>
      </w:r>
      <w:r w:rsidR="00517058">
        <w:rPr>
          <w:sz w:val="22"/>
          <w:szCs w:val="20"/>
          <w:lang w:val="sl-SI" w:eastAsia="sl-SI"/>
        </w:rPr>
        <w:t xml:space="preserve">sodba </w:t>
      </w:r>
      <w:r w:rsidR="00517058" w:rsidRPr="00BC3686">
        <w:rPr>
          <w:sz w:val="22"/>
          <w:szCs w:val="20"/>
          <w:lang w:val="sl-SI" w:eastAsia="sl-SI"/>
        </w:rPr>
        <w:t xml:space="preserve">Vrhovnega sodišča RS, opr. št. X </w:t>
      </w:r>
      <w:proofErr w:type="spellStart"/>
      <w:r w:rsidR="00517058" w:rsidRPr="00BC3686">
        <w:rPr>
          <w:sz w:val="22"/>
          <w:szCs w:val="20"/>
          <w:lang w:val="sl-SI" w:eastAsia="sl-SI"/>
        </w:rPr>
        <w:t>Ips</w:t>
      </w:r>
      <w:proofErr w:type="spellEnd"/>
      <w:r w:rsidR="00517058" w:rsidRPr="00BC3686">
        <w:rPr>
          <w:sz w:val="22"/>
          <w:szCs w:val="20"/>
          <w:lang w:val="sl-SI" w:eastAsia="sl-SI"/>
        </w:rPr>
        <w:t xml:space="preserve"> 90/2020 z dne 17. 3. 2021, v zvezi z </w:t>
      </w:r>
      <w:r w:rsidR="006D67A7">
        <w:rPr>
          <w:sz w:val="22"/>
          <w:szCs w:val="20"/>
          <w:lang w:val="sl-SI" w:eastAsia="sl-SI"/>
        </w:rPr>
        <w:t xml:space="preserve">(nevtralno) </w:t>
      </w:r>
      <w:r w:rsidR="00517058" w:rsidRPr="00BC3686">
        <w:rPr>
          <w:sz w:val="22"/>
          <w:szCs w:val="20"/>
          <w:lang w:val="sl-SI" w:eastAsia="sl-SI"/>
        </w:rPr>
        <w:t>davčno obravnavo materialnega statusnega preoblikovanja zavoda</w:t>
      </w:r>
      <w:r w:rsidR="00517058">
        <w:rPr>
          <w:sz w:val="22"/>
          <w:szCs w:val="20"/>
          <w:lang w:val="sl-SI" w:eastAsia="sl-SI"/>
        </w:rPr>
        <w:t>.</w:t>
      </w:r>
      <w:r w:rsidR="00517058" w:rsidRPr="00BC3686">
        <w:rPr>
          <w:sz w:val="22"/>
          <w:szCs w:val="20"/>
          <w:lang w:val="sl-SI" w:eastAsia="sl-SI"/>
        </w:rPr>
        <w:t xml:space="preserve"> </w:t>
      </w:r>
      <w:r w:rsidR="00517058">
        <w:rPr>
          <w:sz w:val="22"/>
          <w:szCs w:val="20"/>
          <w:lang w:val="sl-SI" w:eastAsia="sl-SI"/>
        </w:rPr>
        <w:t xml:space="preserve">  </w:t>
      </w:r>
    </w:p>
    <w:p w14:paraId="2A67567D" w14:textId="77777777" w:rsidR="00517058" w:rsidRDefault="00517058" w:rsidP="00BC3686">
      <w:pPr>
        <w:spacing w:line="240" w:lineRule="auto"/>
        <w:jc w:val="both"/>
        <w:rPr>
          <w:sz w:val="22"/>
          <w:szCs w:val="20"/>
          <w:lang w:val="sl-SI" w:eastAsia="sl-SI"/>
        </w:rPr>
      </w:pPr>
    </w:p>
    <w:p w14:paraId="0D37C442" w14:textId="2B28D925" w:rsidR="00CC51ED" w:rsidRPr="00571BA2" w:rsidRDefault="00517058" w:rsidP="00BC3686">
      <w:pPr>
        <w:spacing w:line="240" w:lineRule="auto"/>
        <w:jc w:val="both"/>
        <w:rPr>
          <w:sz w:val="22"/>
          <w:szCs w:val="20"/>
          <w:lang w:val="sl-SI" w:eastAsia="sl-SI"/>
        </w:rPr>
      </w:pPr>
      <w:r>
        <w:rPr>
          <w:sz w:val="22"/>
          <w:szCs w:val="20"/>
          <w:lang w:val="sl-SI" w:eastAsia="sl-SI"/>
        </w:rPr>
        <w:t xml:space="preserve">2. Splošno </w:t>
      </w:r>
      <w:r w:rsidR="00BC3686" w:rsidRPr="00BC3686">
        <w:rPr>
          <w:sz w:val="22"/>
          <w:szCs w:val="20"/>
          <w:lang w:val="sl-SI" w:eastAsia="sl-SI"/>
        </w:rPr>
        <w:t>z vidika davčne politike oziroma sistema obdavčitve dohodkov pravnih oseb navajamo, da zadevno</w:t>
      </w:r>
      <w:r w:rsidR="00095BDF">
        <w:rPr>
          <w:sz w:val="22"/>
          <w:szCs w:val="20"/>
          <w:lang w:val="sl-SI" w:eastAsia="sl-SI"/>
        </w:rPr>
        <w:t xml:space="preserve"> </w:t>
      </w:r>
      <w:r w:rsidR="00BC3686" w:rsidRPr="00BC3686">
        <w:rPr>
          <w:sz w:val="22"/>
          <w:szCs w:val="20"/>
          <w:lang w:val="sl-SI" w:eastAsia="sl-SI"/>
        </w:rPr>
        <w:t xml:space="preserve">problematiko </w:t>
      </w:r>
      <w:r w:rsidR="006D67A7">
        <w:rPr>
          <w:sz w:val="22"/>
          <w:szCs w:val="20"/>
          <w:lang w:val="sl-SI" w:eastAsia="sl-SI"/>
        </w:rPr>
        <w:t xml:space="preserve">statusnih preoblikovanj oziroma povezanih transakcij </w:t>
      </w:r>
      <w:r w:rsidR="00E80658">
        <w:rPr>
          <w:sz w:val="22"/>
          <w:szCs w:val="20"/>
          <w:lang w:val="sl-SI" w:eastAsia="sl-SI"/>
        </w:rPr>
        <w:t xml:space="preserve">za davčne namene </w:t>
      </w:r>
      <w:r w:rsidR="00BC3686" w:rsidRPr="00BC3686">
        <w:rPr>
          <w:sz w:val="22"/>
          <w:szCs w:val="20"/>
          <w:lang w:val="sl-SI" w:eastAsia="sl-SI"/>
        </w:rPr>
        <w:t xml:space="preserve">ureja Zakon o davku od dohodkov pravnih oseb (Uradni list RS, št. 117/06, 56/08, 79/08, 5/09, 96/09, 110/09 – ZDavP-2B, 43/10, 59/11, 24/12, 30/12, 94/12, 81/13, 50/14, 23/15, 82/15, 68/16, 69/17, 79/18 in 66/19; v nadaljnjem besedilu: ZDDPO-2). ZDDPO-2 je bil sprejet v okviru davčne reforme 2006 in </w:t>
      </w:r>
      <w:r w:rsidR="008320FC">
        <w:rPr>
          <w:sz w:val="22"/>
          <w:szCs w:val="20"/>
          <w:lang w:val="sl-SI" w:eastAsia="sl-SI"/>
        </w:rPr>
        <w:t xml:space="preserve">v njem </w:t>
      </w:r>
      <w:r w:rsidR="00BC3686" w:rsidRPr="00BC3686">
        <w:rPr>
          <w:sz w:val="22"/>
          <w:szCs w:val="20"/>
          <w:lang w:val="sl-SI" w:eastAsia="sl-SI"/>
        </w:rPr>
        <w:t>je med drugim implementira</w:t>
      </w:r>
      <w:r w:rsidR="008320FC">
        <w:rPr>
          <w:sz w:val="22"/>
          <w:szCs w:val="20"/>
          <w:lang w:val="sl-SI" w:eastAsia="sl-SI"/>
        </w:rPr>
        <w:t>na</w:t>
      </w:r>
      <w:r w:rsidR="00BC3686" w:rsidRPr="00BC3686">
        <w:rPr>
          <w:sz w:val="22"/>
          <w:szCs w:val="20"/>
          <w:lang w:val="sl-SI" w:eastAsia="sl-SI"/>
        </w:rPr>
        <w:t xml:space="preserve"> </w:t>
      </w:r>
      <w:r w:rsidR="008320FC">
        <w:rPr>
          <w:sz w:val="22"/>
          <w:szCs w:val="20"/>
          <w:lang w:val="sl-SI" w:eastAsia="sl-SI"/>
        </w:rPr>
        <w:t>d</w:t>
      </w:r>
      <w:r w:rsidR="00BC3686" w:rsidRPr="00BC3686">
        <w:rPr>
          <w:sz w:val="22"/>
          <w:szCs w:val="20"/>
          <w:lang w:val="sl-SI" w:eastAsia="sl-SI"/>
        </w:rPr>
        <w:t>irektiv</w:t>
      </w:r>
      <w:r w:rsidR="008320FC">
        <w:rPr>
          <w:sz w:val="22"/>
          <w:szCs w:val="20"/>
          <w:lang w:val="sl-SI" w:eastAsia="sl-SI"/>
        </w:rPr>
        <w:t>a</w:t>
      </w:r>
      <w:r w:rsidR="00BC3686" w:rsidRPr="00BC3686">
        <w:rPr>
          <w:sz w:val="22"/>
          <w:szCs w:val="20"/>
          <w:lang w:val="sl-SI" w:eastAsia="sl-SI"/>
        </w:rPr>
        <w:t xml:space="preserve"> EU, ki </w:t>
      </w:r>
      <w:r w:rsidR="00FF5F62">
        <w:rPr>
          <w:sz w:val="22"/>
          <w:szCs w:val="20"/>
          <w:lang w:val="sl-SI" w:eastAsia="sl-SI"/>
        </w:rPr>
        <w:t xml:space="preserve">določa </w:t>
      </w:r>
      <w:r w:rsidR="00BC3686" w:rsidRPr="00BC3686">
        <w:rPr>
          <w:sz w:val="22"/>
          <w:szCs w:val="20"/>
          <w:lang w:val="sl-SI" w:eastAsia="sl-SI"/>
        </w:rPr>
        <w:t xml:space="preserve">nevtralno davčno obravnavo v primerih </w:t>
      </w:r>
      <w:r w:rsidR="00095BDF" w:rsidRPr="00BC3686">
        <w:rPr>
          <w:sz w:val="22"/>
          <w:szCs w:val="20"/>
          <w:lang w:val="sl-SI" w:eastAsia="sl-SI"/>
        </w:rPr>
        <w:t>čezmejnih statusnih in drugih preoblikovanj zavezancev</w:t>
      </w:r>
      <w:r w:rsidR="00095BDF">
        <w:rPr>
          <w:sz w:val="22"/>
          <w:szCs w:val="20"/>
          <w:lang w:val="sl-SI" w:eastAsia="sl-SI"/>
        </w:rPr>
        <w:t xml:space="preserve"> (v nadaljnjem besedilu: reorganizacije)</w:t>
      </w:r>
      <w:r w:rsidR="00BC3686" w:rsidRPr="00BC3686">
        <w:rPr>
          <w:sz w:val="22"/>
          <w:szCs w:val="20"/>
          <w:lang w:val="sl-SI" w:eastAsia="sl-SI"/>
        </w:rPr>
        <w:t xml:space="preserve">. </w:t>
      </w:r>
      <w:r w:rsidR="00BE122C">
        <w:rPr>
          <w:sz w:val="22"/>
          <w:szCs w:val="20"/>
          <w:lang w:val="sl-SI" w:eastAsia="sl-SI"/>
        </w:rPr>
        <w:t>Cilj omenjene direktive je od</w:t>
      </w:r>
      <w:r w:rsidR="00E80658">
        <w:rPr>
          <w:sz w:val="22"/>
          <w:szCs w:val="20"/>
          <w:lang w:val="sl-SI" w:eastAsia="sl-SI"/>
        </w:rPr>
        <w:t>prava</w:t>
      </w:r>
      <w:r w:rsidR="00BE122C">
        <w:rPr>
          <w:sz w:val="22"/>
          <w:szCs w:val="20"/>
          <w:lang w:val="sl-SI" w:eastAsia="sl-SI"/>
        </w:rPr>
        <w:t xml:space="preserve"> davčnih ovir pri čezmejnih reorganizacijah ob hkratni zaščiti finančnega interesa držav članic EU</w:t>
      </w:r>
      <w:r w:rsidR="001F3DDD">
        <w:rPr>
          <w:sz w:val="22"/>
          <w:szCs w:val="20"/>
          <w:lang w:val="sl-SI" w:eastAsia="sl-SI"/>
        </w:rPr>
        <w:t xml:space="preserve">, zato je </w:t>
      </w:r>
      <w:r w:rsidR="00FF5F62">
        <w:rPr>
          <w:sz w:val="22"/>
          <w:szCs w:val="20"/>
          <w:lang w:val="sl-SI" w:eastAsia="sl-SI"/>
        </w:rPr>
        <w:t>določen ukrep</w:t>
      </w:r>
      <w:r w:rsidR="001F3DDD">
        <w:rPr>
          <w:sz w:val="22"/>
          <w:szCs w:val="20"/>
          <w:lang w:val="sl-SI" w:eastAsia="sl-SI"/>
        </w:rPr>
        <w:t xml:space="preserve"> odlog</w:t>
      </w:r>
      <w:r w:rsidR="00FF5F62">
        <w:rPr>
          <w:sz w:val="22"/>
          <w:szCs w:val="20"/>
          <w:lang w:val="sl-SI" w:eastAsia="sl-SI"/>
        </w:rPr>
        <w:t>a</w:t>
      </w:r>
      <w:r w:rsidR="001F3DDD">
        <w:rPr>
          <w:sz w:val="22"/>
          <w:szCs w:val="20"/>
          <w:lang w:val="sl-SI" w:eastAsia="sl-SI"/>
        </w:rPr>
        <w:t xml:space="preserve"> davka za družbe in družbenike v teh situacijah, </w:t>
      </w:r>
      <w:proofErr w:type="spellStart"/>
      <w:r w:rsidR="001F3DDD">
        <w:rPr>
          <w:sz w:val="22"/>
          <w:szCs w:val="20"/>
          <w:lang w:val="sl-SI" w:eastAsia="sl-SI"/>
        </w:rPr>
        <w:t>t.i</w:t>
      </w:r>
      <w:proofErr w:type="spellEnd"/>
      <w:r w:rsidR="001F3DDD">
        <w:rPr>
          <w:sz w:val="22"/>
          <w:szCs w:val="20"/>
          <w:lang w:val="sl-SI" w:eastAsia="sl-SI"/>
        </w:rPr>
        <w:t xml:space="preserve">. davčna nevtralnost v trenutku reorganizacije. </w:t>
      </w:r>
      <w:r w:rsidR="00BC3686" w:rsidRPr="00BC3686">
        <w:rPr>
          <w:sz w:val="22"/>
          <w:szCs w:val="20"/>
          <w:lang w:val="sl-SI" w:eastAsia="sl-SI"/>
        </w:rPr>
        <w:t>Ob pripravi predloga ZDDPO-2 je bilo odločeno, da se davčna nevtralnost določi tudi za notranje reorganizacije</w:t>
      </w:r>
      <w:r w:rsidR="00C20964">
        <w:rPr>
          <w:sz w:val="22"/>
          <w:szCs w:val="20"/>
          <w:lang w:val="sl-SI" w:eastAsia="sl-SI"/>
        </w:rPr>
        <w:t>, to je reorganizacije znotraj Slovenije</w:t>
      </w:r>
      <w:r w:rsidR="00BC3686" w:rsidRPr="00BC3686">
        <w:rPr>
          <w:sz w:val="22"/>
          <w:szCs w:val="20"/>
          <w:lang w:val="sl-SI" w:eastAsia="sl-SI"/>
        </w:rPr>
        <w:t>.</w:t>
      </w:r>
      <w:r w:rsidR="00487FEC">
        <w:rPr>
          <w:sz w:val="22"/>
          <w:szCs w:val="20"/>
          <w:lang w:val="sl-SI" w:eastAsia="sl-SI"/>
        </w:rPr>
        <w:t xml:space="preserve"> </w:t>
      </w:r>
      <w:r w:rsidR="00BC3686" w:rsidRPr="00BC3686">
        <w:rPr>
          <w:sz w:val="22"/>
          <w:szCs w:val="20"/>
          <w:lang w:val="sl-SI" w:eastAsia="sl-SI"/>
        </w:rPr>
        <w:t xml:space="preserve">Namreč, obdavčitev v trenutku zadevnih reorganizacij bi </w:t>
      </w:r>
      <w:r w:rsidR="009C357F">
        <w:rPr>
          <w:sz w:val="22"/>
          <w:szCs w:val="20"/>
          <w:lang w:val="sl-SI" w:eastAsia="sl-SI"/>
        </w:rPr>
        <w:t xml:space="preserve">lahko predstavljala </w:t>
      </w:r>
      <w:r w:rsidR="001F3DDD">
        <w:rPr>
          <w:sz w:val="22"/>
          <w:szCs w:val="20"/>
          <w:lang w:val="sl-SI" w:eastAsia="sl-SI"/>
        </w:rPr>
        <w:t xml:space="preserve">davčno </w:t>
      </w:r>
      <w:r w:rsidR="00BC3686" w:rsidRPr="00BC3686">
        <w:rPr>
          <w:sz w:val="22"/>
          <w:szCs w:val="20"/>
          <w:lang w:val="sl-SI" w:eastAsia="sl-SI"/>
        </w:rPr>
        <w:t>ovir</w:t>
      </w:r>
      <w:r w:rsidR="009C357F">
        <w:rPr>
          <w:sz w:val="22"/>
          <w:szCs w:val="20"/>
          <w:lang w:val="sl-SI" w:eastAsia="sl-SI"/>
        </w:rPr>
        <w:t>o</w:t>
      </w:r>
      <w:r w:rsidR="001F3DDD">
        <w:rPr>
          <w:sz w:val="22"/>
          <w:szCs w:val="20"/>
          <w:lang w:val="sl-SI" w:eastAsia="sl-SI"/>
        </w:rPr>
        <w:t xml:space="preserve"> pri poslovnih odločitvah</w:t>
      </w:r>
      <w:r w:rsidR="0099768F">
        <w:rPr>
          <w:sz w:val="22"/>
          <w:szCs w:val="20"/>
          <w:lang w:val="sl-SI" w:eastAsia="sl-SI"/>
        </w:rPr>
        <w:t xml:space="preserve"> zavezancev</w:t>
      </w:r>
      <w:r w:rsidR="00BC3686" w:rsidRPr="00BC3686">
        <w:rPr>
          <w:sz w:val="22"/>
          <w:szCs w:val="20"/>
          <w:lang w:val="sl-SI" w:eastAsia="sl-SI"/>
        </w:rPr>
        <w:t>, zato je odlog davka v takšnih situacijah prepoznan</w:t>
      </w:r>
      <w:r w:rsidR="00095BDF">
        <w:rPr>
          <w:sz w:val="22"/>
          <w:szCs w:val="20"/>
          <w:lang w:val="sl-SI" w:eastAsia="sl-SI"/>
        </w:rPr>
        <w:t xml:space="preserve"> </w:t>
      </w:r>
      <w:r w:rsidR="00BC3686" w:rsidRPr="00BC3686">
        <w:rPr>
          <w:sz w:val="22"/>
          <w:szCs w:val="20"/>
          <w:lang w:val="sl-SI" w:eastAsia="sl-SI"/>
        </w:rPr>
        <w:t>tudi za notranje reorganizacije kot primeren ukrep davčne politike za preprečevanje</w:t>
      </w:r>
      <w:r w:rsidR="009C357F">
        <w:rPr>
          <w:sz w:val="22"/>
          <w:szCs w:val="20"/>
          <w:lang w:val="sl-SI" w:eastAsia="sl-SI"/>
        </w:rPr>
        <w:t xml:space="preserve"> oziroma odpravo</w:t>
      </w:r>
      <w:r w:rsidR="00BC3686" w:rsidRPr="00BC3686">
        <w:rPr>
          <w:sz w:val="22"/>
          <w:szCs w:val="20"/>
          <w:lang w:val="sl-SI" w:eastAsia="sl-SI"/>
        </w:rPr>
        <w:t xml:space="preserve"> takšnih ovir. Poudarjamo, da ne gre za oprostitev </w:t>
      </w:r>
      <w:r w:rsidR="00FF5F62">
        <w:rPr>
          <w:sz w:val="22"/>
          <w:szCs w:val="20"/>
          <w:lang w:val="sl-SI" w:eastAsia="sl-SI"/>
        </w:rPr>
        <w:t>ali</w:t>
      </w:r>
      <w:r w:rsidR="009C357F">
        <w:rPr>
          <w:sz w:val="22"/>
          <w:szCs w:val="20"/>
          <w:lang w:val="sl-SI" w:eastAsia="sl-SI"/>
        </w:rPr>
        <w:t xml:space="preserve"> </w:t>
      </w:r>
      <w:r w:rsidR="00BC3686" w:rsidRPr="00BC3686">
        <w:rPr>
          <w:sz w:val="22"/>
          <w:szCs w:val="20"/>
          <w:lang w:val="sl-SI" w:eastAsia="sl-SI"/>
        </w:rPr>
        <w:t>neplačilo davka, ampak za odlog davka</w:t>
      </w:r>
      <w:r w:rsidR="001F3DDD">
        <w:rPr>
          <w:sz w:val="22"/>
          <w:szCs w:val="20"/>
          <w:lang w:val="sl-SI" w:eastAsia="sl-SI"/>
        </w:rPr>
        <w:t xml:space="preserve">. </w:t>
      </w:r>
      <w:r w:rsidR="00BC3686" w:rsidRPr="00571BA2">
        <w:rPr>
          <w:sz w:val="22"/>
          <w:szCs w:val="20"/>
          <w:lang w:val="sl-SI" w:eastAsia="sl-SI"/>
        </w:rPr>
        <w:t>Navedemo lahko, da je bil namen</w:t>
      </w:r>
      <w:r w:rsidR="001F3DDD" w:rsidRPr="00571BA2">
        <w:rPr>
          <w:sz w:val="22"/>
          <w:szCs w:val="20"/>
          <w:lang w:val="sl-SI" w:eastAsia="sl-SI"/>
        </w:rPr>
        <w:t xml:space="preserve"> ob pripravi </w:t>
      </w:r>
      <w:r w:rsidR="006D67A7" w:rsidRPr="00571BA2">
        <w:rPr>
          <w:sz w:val="22"/>
          <w:szCs w:val="20"/>
          <w:lang w:val="sl-SI" w:eastAsia="sl-SI"/>
        </w:rPr>
        <w:t xml:space="preserve">predloga </w:t>
      </w:r>
      <w:r w:rsidR="001F3DDD" w:rsidRPr="00571BA2">
        <w:rPr>
          <w:sz w:val="22"/>
          <w:szCs w:val="20"/>
          <w:lang w:val="sl-SI" w:eastAsia="sl-SI"/>
        </w:rPr>
        <w:t>ZDDPO-2 ta</w:t>
      </w:r>
      <w:r w:rsidR="00BC3686" w:rsidRPr="00571BA2">
        <w:rPr>
          <w:sz w:val="22"/>
          <w:szCs w:val="20"/>
          <w:lang w:val="sl-SI" w:eastAsia="sl-SI"/>
        </w:rPr>
        <w:t>, da se davčna nevtralnost za notranje reorganizacije določi le za družbe</w:t>
      </w:r>
      <w:r w:rsidR="009C357F" w:rsidRPr="00571BA2">
        <w:rPr>
          <w:sz w:val="22"/>
          <w:szCs w:val="20"/>
          <w:lang w:val="sl-SI" w:eastAsia="sl-SI"/>
        </w:rPr>
        <w:t xml:space="preserve"> (t. j. gospodarske družbe)</w:t>
      </w:r>
      <w:r w:rsidR="00BC3686" w:rsidRPr="00571BA2">
        <w:rPr>
          <w:sz w:val="22"/>
          <w:szCs w:val="20"/>
          <w:lang w:val="sl-SI" w:eastAsia="sl-SI"/>
        </w:rPr>
        <w:t xml:space="preserve"> in za reorganizacije opravljene v skladu z zakonom, ki ureja </w:t>
      </w:r>
      <w:r w:rsidR="00BC3686" w:rsidRPr="00571BA2">
        <w:rPr>
          <w:sz w:val="22"/>
          <w:szCs w:val="20"/>
          <w:lang w:val="sl-SI" w:eastAsia="sl-SI"/>
        </w:rPr>
        <w:lastRenderedPageBreak/>
        <w:t>gospodarske družbe.</w:t>
      </w:r>
      <w:r w:rsidR="00BC3686" w:rsidRPr="00BC3686">
        <w:rPr>
          <w:sz w:val="22"/>
          <w:szCs w:val="20"/>
          <w:lang w:val="sl-SI" w:eastAsia="sl-SI"/>
        </w:rPr>
        <w:t xml:space="preserve"> Določitev davčne nevtralnosti </w:t>
      </w:r>
      <w:r w:rsidR="009C357F">
        <w:rPr>
          <w:sz w:val="22"/>
          <w:szCs w:val="20"/>
          <w:lang w:val="sl-SI" w:eastAsia="sl-SI"/>
        </w:rPr>
        <w:t xml:space="preserve">za notranje reorganizacije </w:t>
      </w:r>
      <w:r w:rsidR="00BC3686" w:rsidRPr="00BC3686">
        <w:rPr>
          <w:sz w:val="22"/>
          <w:szCs w:val="20"/>
          <w:lang w:val="sl-SI" w:eastAsia="sl-SI"/>
        </w:rPr>
        <w:t xml:space="preserve">ne izhaja </w:t>
      </w:r>
      <w:r w:rsidR="00FF5F62">
        <w:rPr>
          <w:sz w:val="22"/>
          <w:szCs w:val="20"/>
          <w:lang w:val="sl-SI" w:eastAsia="sl-SI"/>
        </w:rPr>
        <w:t>oziroma ni obveznost po</w:t>
      </w:r>
      <w:r w:rsidR="00BC3686" w:rsidRPr="00BC3686">
        <w:rPr>
          <w:sz w:val="22"/>
          <w:szCs w:val="20"/>
          <w:lang w:val="sl-SI" w:eastAsia="sl-SI"/>
        </w:rPr>
        <w:t xml:space="preserve"> omenjen</w:t>
      </w:r>
      <w:r w:rsidR="00FF5F62">
        <w:rPr>
          <w:sz w:val="22"/>
          <w:szCs w:val="20"/>
          <w:lang w:val="sl-SI" w:eastAsia="sl-SI"/>
        </w:rPr>
        <w:t>i</w:t>
      </w:r>
      <w:r w:rsidR="00BC3686" w:rsidRPr="00BC3686">
        <w:rPr>
          <w:sz w:val="22"/>
          <w:szCs w:val="20"/>
          <w:lang w:val="sl-SI" w:eastAsia="sl-SI"/>
        </w:rPr>
        <w:t xml:space="preserve"> direktiv</w:t>
      </w:r>
      <w:r w:rsidR="00FF5F62">
        <w:rPr>
          <w:sz w:val="22"/>
          <w:szCs w:val="20"/>
          <w:lang w:val="sl-SI" w:eastAsia="sl-SI"/>
        </w:rPr>
        <w:t>i. G</w:t>
      </w:r>
      <w:r w:rsidR="00BC3686" w:rsidRPr="00BC3686">
        <w:rPr>
          <w:sz w:val="22"/>
          <w:szCs w:val="20"/>
          <w:lang w:val="sl-SI" w:eastAsia="sl-SI"/>
        </w:rPr>
        <w:t xml:space="preserve">re za odločitev o določitvi ugodnosti širše, kot jo predvideva direktiva. Cilj ureditve </w:t>
      </w:r>
      <w:r w:rsidR="001F3DDD">
        <w:rPr>
          <w:sz w:val="22"/>
          <w:szCs w:val="20"/>
          <w:lang w:val="sl-SI" w:eastAsia="sl-SI"/>
        </w:rPr>
        <w:t xml:space="preserve">v ZDDPO-2 </w:t>
      </w:r>
      <w:r w:rsidR="00BC3686" w:rsidRPr="00BC3686">
        <w:rPr>
          <w:sz w:val="22"/>
          <w:szCs w:val="20"/>
          <w:lang w:val="sl-SI" w:eastAsia="sl-SI"/>
        </w:rPr>
        <w:t>je bil</w:t>
      </w:r>
      <w:r w:rsidR="00FF5F62">
        <w:rPr>
          <w:sz w:val="22"/>
          <w:szCs w:val="20"/>
          <w:lang w:val="sl-SI" w:eastAsia="sl-SI"/>
        </w:rPr>
        <w:t xml:space="preserve"> ob upoštevanju okvira iz direktive</w:t>
      </w:r>
      <w:r w:rsidR="00BC3686" w:rsidRPr="00BC3686">
        <w:rPr>
          <w:sz w:val="22"/>
          <w:szCs w:val="20"/>
          <w:lang w:val="sl-SI" w:eastAsia="sl-SI"/>
        </w:rPr>
        <w:t xml:space="preserve"> tudi poenostavitev, zato je </w:t>
      </w:r>
      <w:r w:rsidR="00C530A3">
        <w:rPr>
          <w:sz w:val="22"/>
          <w:szCs w:val="20"/>
          <w:lang w:val="sl-SI" w:eastAsia="sl-SI"/>
        </w:rPr>
        <w:t xml:space="preserve">v ZDDPO-2 </w:t>
      </w:r>
      <w:r w:rsidR="00BC3686" w:rsidRPr="00BC3686">
        <w:rPr>
          <w:sz w:val="22"/>
          <w:szCs w:val="20"/>
          <w:lang w:val="sl-SI" w:eastAsia="sl-SI"/>
        </w:rPr>
        <w:t>določeno vezanje na pravila zakona, ki ureja gospodarske družbe</w:t>
      </w:r>
      <w:r w:rsidR="00C530A3">
        <w:rPr>
          <w:sz w:val="22"/>
          <w:szCs w:val="20"/>
          <w:lang w:val="sl-SI" w:eastAsia="sl-SI"/>
        </w:rPr>
        <w:t xml:space="preserve"> o statusnem preoblikovanju družb</w:t>
      </w:r>
      <w:r w:rsidR="00BC3686" w:rsidRPr="00BC3686">
        <w:rPr>
          <w:sz w:val="22"/>
          <w:szCs w:val="20"/>
          <w:lang w:val="sl-SI" w:eastAsia="sl-SI"/>
        </w:rPr>
        <w:t xml:space="preserve">, in ne </w:t>
      </w:r>
      <w:r w:rsidR="00C530A3">
        <w:rPr>
          <w:sz w:val="22"/>
          <w:szCs w:val="20"/>
          <w:lang w:val="sl-SI" w:eastAsia="sl-SI"/>
        </w:rPr>
        <w:t xml:space="preserve">gre </w:t>
      </w:r>
      <w:r w:rsidR="00BC3686" w:rsidRPr="00BC3686">
        <w:rPr>
          <w:sz w:val="22"/>
          <w:szCs w:val="20"/>
          <w:lang w:val="sl-SI" w:eastAsia="sl-SI"/>
        </w:rPr>
        <w:t xml:space="preserve">zgolj </w:t>
      </w:r>
      <w:r w:rsidR="00C530A3">
        <w:rPr>
          <w:sz w:val="22"/>
          <w:szCs w:val="20"/>
          <w:lang w:val="sl-SI" w:eastAsia="sl-SI"/>
        </w:rPr>
        <w:t xml:space="preserve">za </w:t>
      </w:r>
      <w:r w:rsidR="00BC3686" w:rsidRPr="00BC3686">
        <w:rPr>
          <w:sz w:val="22"/>
          <w:szCs w:val="20"/>
          <w:lang w:val="sl-SI" w:eastAsia="sl-SI"/>
        </w:rPr>
        <w:t xml:space="preserve">prepis definicij iz direktive. </w:t>
      </w:r>
      <w:r w:rsidR="00BC3686" w:rsidRPr="00571BA2">
        <w:rPr>
          <w:sz w:val="22"/>
          <w:szCs w:val="20"/>
          <w:lang w:val="sl-SI" w:eastAsia="sl-SI"/>
        </w:rPr>
        <w:t>Poleg tega je predlagatelj in zakonodajalec v trenutku urejanja upošteval, da zakon, ki ureja gospodarske družbe, vsebuje natančne določbe o samem postopku oziroma načinu izvedbe statusnih preoblikovanj</w:t>
      </w:r>
      <w:r w:rsidR="00CC51ED" w:rsidRPr="00571BA2">
        <w:rPr>
          <w:sz w:val="22"/>
          <w:szCs w:val="20"/>
          <w:lang w:val="sl-SI" w:eastAsia="sl-SI"/>
        </w:rPr>
        <w:t>, zlasti kapitalskih družb</w:t>
      </w:r>
      <w:r w:rsidR="00BC3686" w:rsidRPr="00571BA2">
        <w:rPr>
          <w:sz w:val="22"/>
          <w:szCs w:val="20"/>
          <w:lang w:val="sl-SI" w:eastAsia="sl-SI"/>
        </w:rPr>
        <w:t xml:space="preserve">, kar za statusna preoblikovanja urejena v </w:t>
      </w:r>
      <w:r w:rsidR="009C357F" w:rsidRPr="00571BA2">
        <w:rPr>
          <w:sz w:val="22"/>
          <w:szCs w:val="20"/>
          <w:lang w:val="sl-SI" w:eastAsia="sl-SI"/>
        </w:rPr>
        <w:t xml:space="preserve">nekaterih </w:t>
      </w:r>
      <w:r w:rsidR="00BC3686" w:rsidRPr="00571BA2">
        <w:rPr>
          <w:sz w:val="22"/>
          <w:szCs w:val="20"/>
          <w:lang w:val="sl-SI" w:eastAsia="sl-SI"/>
        </w:rPr>
        <w:t>posebnih zakonih</w:t>
      </w:r>
      <w:r w:rsidR="009C357F" w:rsidRPr="00571BA2">
        <w:rPr>
          <w:sz w:val="22"/>
          <w:szCs w:val="20"/>
          <w:lang w:val="sl-SI" w:eastAsia="sl-SI"/>
        </w:rPr>
        <w:t xml:space="preserve">, npr. </w:t>
      </w:r>
      <w:r w:rsidR="001F3DDD" w:rsidRPr="00571BA2">
        <w:rPr>
          <w:sz w:val="22"/>
          <w:szCs w:val="20"/>
          <w:lang w:val="sl-SI" w:eastAsia="sl-SI"/>
        </w:rPr>
        <w:t>Z</w:t>
      </w:r>
      <w:r w:rsidR="009C357F" w:rsidRPr="00571BA2">
        <w:rPr>
          <w:sz w:val="22"/>
          <w:szCs w:val="20"/>
          <w:lang w:val="sl-SI" w:eastAsia="sl-SI"/>
        </w:rPr>
        <w:t xml:space="preserve">akonu o zavodih </w:t>
      </w:r>
      <w:r w:rsidR="00BC3686" w:rsidRPr="00571BA2">
        <w:rPr>
          <w:sz w:val="22"/>
          <w:szCs w:val="20"/>
          <w:lang w:val="sl-SI" w:eastAsia="sl-SI"/>
        </w:rPr>
        <w:t xml:space="preserve">(ZZ) ni bil in še vedno ni </w:t>
      </w:r>
      <w:r w:rsidR="009C357F" w:rsidRPr="00571BA2">
        <w:rPr>
          <w:sz w:val="22"/>
          <w:szCs w:val="20"/>
          <w:lang w:val="sl-SI" w:eastAsia="sl-SI"/>
        </w:rPr>
        <w:t>primer</w:t>
      </w:r>
      <w:r w:rsidR="00BC3686" w:rsidRPr="00571BA2">
        <w:rPr>
          <w:sz w:val="22"/>
          <w:szCs w:val="20"/>
          <w:lang w:val="sl-SI" w:eastAsia="sl-SI"/>
        </w:rPr>
        <w:t xml:space="preserve">. </w:t>
      </w:r>
    </w:p>
    <w:p w14:paraId="161468FD" w14:textId="77777777" w:rsidR="00CC51ED" w:rsidRDefault="00CC51ED" w:rsidP="00BC3686">
      <w:pPr>
        <w:spacing w:line="240" w:lineRule="auto"/>
        <w:jc w:val="both"/>
        <w:rPr>
          <w:sz w:val="22"/>
          <w:szCs w:val="20"/>
          <w:lang w:val="sl-SI" w:eastAsia="sl-SI"/>
        </w:rPr>
      </w:pPr>
    </w:p>
    <w:p w14:paraId="61BF12D5" w14:textId="3CC0757A" w:rsidR="00CC51ED" w:rsidRDefault="00CC51ED" w:rsidP="00BC3686">
      <w:pPr>
        <w:spacing w:line="240" w:lineRule="auto"/>
        <w:jc w:val="both"/>
        <w:rPr>
          <w:sz w:val="22"/>
          <w:szCs w:val="20"/>
          <w:lang w:val="sl-SI" w:eastAsia="sl-SI"/>
        </w:rPr>
      </w:pPr>
      <w:r>
        <w:rPr>
          <w:sz w:val="22"/>
          <w:szCs w:val="20"/>
          <w:lang w:val="sl-SI" w:eastAsia="sl-SI"/>
        </w:rPr>
        <w:t xml:space="preserve">3. Vezano na predhodno točko omenjamo, da se je zakonodajalec </w:t>
      </w:r>
      <w:r w:rsidRPr="002858FD">
        <w:rPr>
          <w:sz w:val="22"/>
          <w:szCs w:val="20"/>
          <w:lang w:val="sl-SI" w:eastAsia="sl-SI"/>
        </w:rPr>
        <w:t>zavedal pomembnosti natančne ureditve tega področja, tako v matični zakonodaji in nato v dav</w:t>
      </w:r>
      <w:r>
        <w:rPr>
          <w:sz w:val="22"/>
          <w:szCs w:val="20"/>
          <w:lang w:val="sl-SI" w:eastAsia="sl-SI"/>
        </w:rPr>
        <w:t xml:space="preserve">čni zakonodaji (materialni in postopkovni). Zakon, ki ureja davčni postopek, ima številna pravila, ki se uporabljajo za namene reorganizacij. To kaže na skrbnost in tehtanje zakonodajalca med pravicami, obravnavami in davčno gotovostjo za zavezanca. Strinjati se je, da če področje ni zadostno urejeno, je davčna gotovost manjša in je tudi </w:t>
      </w:r>
      <w:r w:rsidR="00073C0C">
        <w:rPr>
          <w:sz w:val="22"/>
          <w:szCs w:val="20"/>
          <w:lang w:val="sl-SI" w:eastAsia="sl-SI"/>
        </w:rPr>
        <w:t xml:space="preserve">morebitne določene </w:t>
      </w:r>
      <w:r w:rsidR="00CD17EB">
        <w:rPr>
          <w:sz w:val="22"/>
          <w:szCs w:val="20"/>
          <w:lang w:val="sl-SI" w:eastAsia="sl-SI"/>
        </w:rPr>
        <w:t>ugodnosti</w:t>
      </w:r>
      <w:r>
        <w:rPr>
          <w:sz w:val="22"/>
          <w:szCs w:val="20"/>
          <w:lang w:val="sl-SI" w:eastAsia="sl-SI"/>
        </w:rPr>
        <w:t xml:space="preserve"> težje </w:t>
      </w:r>
      <w:r w:rsidR="0099768F">
        <w:rPr>
          <w:sz w:val="22"/>
          <w:szCs w:val="20"/>
          <w:lang w:val="sl-SI" w:eastAsia="sl-SI"/>
        </w:rPr>
        <w:t xml:space="preserve">oziroma jih ni mogoče </w:t>
      </w:r>
      <w:r>
        <w:rPr>
          <w:sz w:val="22"/>
          <w:szCs w:val="20"/>
          <w:lang w:val="sl-SI" w:eastAsia="sl-SI"/>
        </w:rPr>
        <w:t xml:space="preserve">uresničevati. </w:t>
      </w:r>
    </w:p>
    <w:p w14:paraId="5BE188AC" w14:textId="6B100C91" w:rsidR="00BC3686" w:rsidRPr="00BC3686" w:rsidRDefault="00BC3686" w:rsidP="00BC3686">
      <w:pPr>
        <w:spacing w:line="240" w:lineRule="auto"/>
        <w:jc w:val="both"/>
        <w:rPr>
          <w:sz w:val="22"/>
          <w:szCs w:val="20"/>
          <w:lang w:val="sl-SI" w:eastAsia="sl-SI"/>
        </w:rPr>
      </w:pPr>
      <w:r w:rsidRPr="00BC3686">
        <w:rPr>
          <w:sz w:val="22"/>
          <w:szCs w:val="20"/>
          <w:lang w:val="sl-SI" w:eastAsia="sl-SI"/>
        </w:rPr>
        <w:t xml:space="preserve">  </w:t>
      </w:r>
    </w:p>
    <w:p w14:paraId="50D1C022" w14:textId="2E14D4A2" w:rsidR="00BC3686" w:rsidRDefault="00CC51ED" w:rsidP="00BC3686">
      <w:pPr>
        <w:spacing w:line="240" w:lineRule="auto"/>
        <w:jc w:val="both"/>
        <w:rPr>
          <w:sz w:val="22"/>
          <w:szCs w:val="20"/>
          <w:lang w:val="sl-SI" w:eastAsia="sl-SI"/>
        </w:rPr>
      </w:pPr>
      <w:r>
        <w:rPr>
          <w:sz w:val="22"/>
          <w:szCs w:val="20"/>
          <w:lang w:val="sl-SI" w:eastAsia="sl-SI"/>
        </w:rPr>
        <w:t>4</w:t>
      </w:r>
      <w:r w:rsidR="00BC3686" w:rsidRPr="00BC3686">
        <w:rPr>
          <w:sz w:val="22"/>
          <w:szCs w:val="20"/>
          <w:lang w:val="sl-SI" w:eastAsia="sl-SI"/>
        </w:rPr>
        <w:t>.</w:t>
      </w:r>
      <w:r w:rsidR="00FF5F62">
        <w:rPr>
          <w:sz w:val="22"/>
          <w:szCs w:val="20"/>
          <w:lang w:val="sl-SI" w:eastAsia="sl-SI"/>
        </w:rPr>
        <w:t xml:space="preserve"> Ugotavljamo</w:t>
      </w:r>
      <w:r w:rsidR="00BC3686" w:rsidRPr="00BC3686">
        <w:rPr>
          <w:sz w:val="22"/>
          <w:szCs w:val="20"/>
          <w:lang w:val="sl-SI" w:eastAsia="sl-SI"/>
        </w:rPr>
        <w:t xml:space="preserve">, da je Vrhovno sodišče </w:t>
      </w:r>
      <w:r w:rsidR="00A85F42">
        <w:rPr>
          <w:sz w:val="22"/>
          <w:szCs w:val="20"/>
          <w:lang w:val="sl-SI" w:eastAsia="sl-SI"/>
        </w:rPr>
        <w:t xml:space="preserve">RS </w:t>
      </w:r>
      <w:r w:rsidR="00BC3686" w:rsidRPr="00BC3686">
        <w:rPr>
          <w:sz w:val="22"/>
          <w:szCs w:val="20"/>
          <w:lang w:val="sl-SI" w:eastAsia="sl-SI"/>
        </w:rPr>
        <w:t xml:space="preserve">s sklepom X </w:t>
      </w:r>
      <w:proofErr w:type="spellStart"/>
      <w:r w:rsidR="00BC3686" w:rsidRPr="00BC3686">
        <w:rPr>
          <w:sz w:val="22"/>
          <w:szCs w:val="20"/>
          <w:lang w:val="sl-SI" w:eastAsia="sl-SI"/>
        </w:rPr>
        <w:t>DoR</w:t>
      </w:r>
      <w:proofErr w:type="spellEnd"/>
      <w:r w:rsidR="00BC3686" w:rsidRPr="00BC3686">
        <w:rPr>
          <w:sz w:val="22"/>
          <w:szCs w:val="20"/>
          <w:lang w:val="sl-SI" w:eastAsia="sl-SI"/>
        </w:rPr>
        <w:t xml:space="preserve"> 119/2020-3 z dne 20. 5. 2020 dopustilo revizijo glede pravnega vprašanja, ali ima pravna oseba, organizirana v pravnoorganizacijski obliki »zavod«, ob izpolnjevanju ostalih pogojev po 50. členu ZDDPO-2, pravico do nevtralne davčne obravnave iz 49. člena ZDDPO-2. Po našem mnenju je sodišče s tem opredelilo </w:t>
      </w:r>
      <w:r w:rsidR="00BC3686" w:rsidRPr="002858FD">
        <w:rPr>
          <w:sz w:val="22"/>
          <w:szCs w:val="20"/>
          <w:lang w:val="sl-SI" w:eastAsia="sl-SI"/>
        </w:rPr>
        <w:t>obseg svoje odločitve</w:t>
      </w:r>
      <w:r w:rsidR="00F84514">
        <w:rPr>
          <w:sz w:val="22"/>
          <w:szCs w:val="20"/>
          <w:lang w:val="sl-SI" w:eastAsia="sl-SI"/>
        </w:rPr>
        <w:t>, to je obseg konkretne sodbe.</w:t>
      </w:r>
      <w:r w:rsidR="00E575BA">
        <w:rPr>
          <w:sz w:val="22"/>
          <w:szCs w:val="20"/>
          <w:lang w:val="sl-SI" w:eastAsia="sl-SI"/>
        </w:rPr>
        <w:t xml:space="preserve"> Zato</w:t>
      </w:r>
      <w:r w:rsidR="00BC3686" w:rsidRPr="00BC3686">
        <w:rPr>
          <w:sz w:val="22"/>
          <w:szCs w:val="20"/>
          <w:lang w:val="sl-SI" w:eastAsia="sl-SI"/>
        </w:rPr>
        <w:t xml:space="preserve"> </w:t>
      </w:r>
      <w:r w:rsidR="00E575BA">
        <w:rPr>
          <w:sz w:val="22"/>
          <w:szCs w:val="20"/>
          <w:lang w:val="sl-SI" w:eastAsia="sl-SI"/>
        </w:rPr>
        <w:t xml:space="preserve">se pridružujemo vašemu </w:t>
      </w:r>
      <w:r w:rsidR="00E575BA" w:rsidRPr="00BC3686">
        <w:rPr>
          <w:sz w:val="22"/>
          <w:szCs w:val="20"/>
          <w:lang w:val="sl-SI" w:eastAsia="sl-SI"/>
        </w:rPr>
        <w:t>razume</w:t>
      </w:r>
      <w:r w:rsidR="00E575BA">
        <w:rPr>
          <w:sz w:val="22"/>
          <w:szCs w:val="20"/>
          <w:lang w:val="sl-SI" w:eastAsia="sl-SI"/>
        </w:rPr>
        <w:t>vanju</w:t>
      </w:r>
      <w:r w:rsidR="00E575BA" w:rsidRPr="00BC3686">
        <w:rPr>
          <w:sz w:val="22"/>
          <w:szCs w:val="20"/>
          <w:lang w:val="sl-SI" w:eastAsia="sl-SI"/>
        </w:rPr>
        <w:t>, da stališče velja samo za transakcije materialnega statusnega preoblikovanja zavodov, ki se izvedejo znotraj Slovenije in med rezidenti Slovenije</w:t>
      </w:r>
      <w:r w:rsidR="002E520B">
        <w:rPr>
          <w:sz w:val="22"/>
          <w:szCs w:val="20"/>
          <w:lang w:val="sl-SI" w:eastAsia="sl-SI"/>
        </w:rPr>
        <w:t>.</w:t>
      </w:r>
    </w:p>
    <w:p w14:paraId="5777B8A8" w14:textId="26F3D85A" w:rsidR="004975DE" w:rsidRDefault="004975DE" w:rsidP="00BC3686">
      <w:pPr>
        <w:spacing w:line="240" w:lineRule="auto"/>
        <w:jc w:val="both"/>
        <w:rPr>
          <w:sz w:val="22"/>
          <w:szCs w:val="20"/>
          <w:lang w:val="sl-SI" w:eastAsia="sl-SI"/>
        </w:rPr>
      </w:pPr>
    </w:p>
    <w:p w14:paraId="73BFCDEF" w14:textId="341B4C58" w:rsidR="004975DE" w:rsidRPr="00BC3686" w:rsidRDefault="00CC51ED" w:rsidP="00BC3686">
      <w:pPr>
        <w:spacing w:line="240" w:lineRule="auto"/>
        <w:jc w:val="both"/>
        <w:rPr>
          <w:sz w:val="22"/>
          <w:szCs w:val="20"/>
          <w:lang w:val="sl-SI" w:eastAsia="sl-SI"/>
        </w:rPr>
      </w:pPr>
      <w:r>
        <w:rPr>
          <w:sz w:val="22"/>
          <w:szCs w:val="20"/>
          <w:lang w:val="sl-SI" w:eastAsia="sl-SI"/>
        </w:rPr>
        <w:t>5</w:t>
      </w:r>
      <w:r w:rsidR="004975DE">
        <w:rPr>
          <w:sz w:val="22"/>
          <w:szCs w:val="20"/>
          <w:lang w:val="sl-SI" w:eastAsia="sl-SI"/>
        </w:rPr>
        <w:t xml:space="preserve">. V sodbi </w:t>
      </w:r>
      <w:r w:rsidR="00C956F1" w:rsidRPr="00BC3686">
        <w:rPr>
          <w:sz w:val="22"/>
          <w:szCs w:val="20"/>
          <w:lang w:val="sl-SI" w:eastAsia="sl-SI"/>
        </w:rPr>
        <w:t xml:space="preserve">X </w:t>
      </w:r>
      <w:proofErr w:type="spellStart"/>
      <w:r w:rsidR="00C956F1" w:rsidRPr="00BC3686">
        <w:rPr>
          <w:sz w:val="22"/>
          <w:szCs w:val="20"/>
          <w:lang w:val="sl-SI" w:eastAsia="sl-SI"/>
        </w:rPr>
        <w:t>Ips</w:t>
      </w:r>
      <w:proofErr w:type="spellEnd"/>
      <w:r w:rsidR="00C956F1" w:rsidRPr="00BC3686">
        <w:rPr>
          <w:sz w:val="22"/>
          <w:szCs w:val="20"/>
          <w:lang w:val="sl-SI" w:eastAsia="sl-SI"/>
        </w:rPr>
        <w:t xml:space="preserve"> 90/2020 z dne 17. 3. 2021</w:t>
      </w:r>
      <w:r w:rsidR="00C956F1">
        <w:rPr>
          <w:sz w:val="22"/>
          <w:szCs w:val="20"/>
          <w:lang w:val="sl-SI" w:eastAsia="sl-SI"/>
        </w:rPr>
        <w:t xml:space="preserve"> </w:t>
      </w:r>
      <w:r w:rsidR="004975DE">
        <w:rPr>
          <w:sz w:val="22"/>
          <w:szCs w:val="20"/>
          <w:lang w:val="sl-SI" w:eastAsia="sl-SI"/>
        </w:rPr>
        <w:t xml:space="preserve">je </w:t>
      </w:r>
      <w:r w:rsidR="00C956F1">
        <w:rPr>
          <w:sz w:val="22"/>
          <w:szCs w:val="20"/>
          <w:lang w:val="sl-SI" w:eastAsia="sl-SI"/>
        </w:rPr>
        <w:t xml:space="preserve">navedeno, da je Vrhovno sodišče glede na </w:t>
      </w:r>
      <w:proofErr w:type="spellStart"/>
      <w:r w:rsidR="00C956F1">
        <w:rPr>
          <w:sz w:val="22"/>
          <w:szCs w:val="20"/>
          <w:lang w:val="sl-SI" w:eastAsia="sl-SI"/>
        </w:rPr>
        <w:t>revidentovo</w:t>
      </w:r>
      <w:proofErr w:type="spellEnd"/>
      <w:r w:rsidR="00C956F1">
        <w:rPr>
          <w:sz w:val="22"/>
          <w:szCs w:val="20"/>
          <w:lang w:val="sl-SI" w:eastAsia="sl-SI"/>
        </w:rPr>
        <w:t xml:space="preserve"> izpostavljanje enakosti pred zakonom </w:t>
      </w:r>
      <w:r w:rsidR="00C956F1" w:rsidRPr="009C3EB3">
        <w:rPr>
          <w:sz w:val="22"/>
          <w:szCs w:val="20"/>
          <w:lang w:val="sl-SI" w:eastAsia="sl-SI"/>
        </w:rPr>
        <w:t>v okviru dopuščenega revizijskega vprašanja presojalo, ali je razlaga določb ZDDPO-2, kot jo je sprejelo Upravno sodišče,</w:t>
      </w:r>
      <w:r w:rsidR="00C956F1">
        <w:rPr>
          <w:sz w:val="22"/>
          <w:szCs w:val="20"/>
          <w:lang w:val="sl-SI" w:eastAsia="sl-SI"/>
        </w:rPr>
        <w:t xml:space="preserve"> skladna z drugim odstavkom 14. člena Ustave. </w:t>
      </w:r>
      <w:r w:rsidR="005E4327">
        <w:rPr>
          <w:sz w:val="22"/>
          <w:szCs w:val="20"/>
          <w:lang w:val="sl-SI" w:eastAsia="sl-SI"/>
        </w:rPr>
        <w:t xml:space="preserve">Ob tej navedbi, se je vprašati, ali bi bila presoja drugačna ob drugačni razlagi </w:t>
      </w:r>
      <w:r w:rsidR="009C3EB3">
        <w:rPr>
          <w:sz w:val="22"/>
          <w:szCs w:val="20"/>
          <w:lang w:val="sl-SI" w:eastAsia="sl-SI"/>
        </w:rPr>
        <w:t xml:space="preserve">ali utemeljitvi </w:t>
      </w:r>
      <w:r w:rsidR="005E4327">
        <w:rPr>
          <w:sz w:val="22"/>
          <w:szCs w:val="20"/>
          <w:lang w:val="sl-SI" w:eastAsia="sl-SI"/>
        </w:rPr>
        <w:t>določb ZDDPO-2 s strani Upravnega sodišča.</w:t>
      </w:r>
      <w:r w:rsidR="004975DE">
        <w:rPr>
          <w:sz w:val="22"/>
          <w:szCs w:val="20"/>
          <w:lang w:val="sl-SI" w:eastAsia="sl-SI"/>
        </w:rPr>
        <w:t xml:space="preserve"> </w:t>
      </w:r>
    </w:p>
    <w:p w14:paraId="19C4BD48" w14:textId="77777777" w:rsidR="00BC3686" w:rsidRPr="00BC3686" w:rsidRDefault="00BC3686" w:rsidP="00BC3686">
      <w:pPr>
        <w:spacing w:line="240" w:lineRule="auto"/>
        <w:jc w:val="both"/>
        <w:rPr>
          <w:sz w:val="22"/>
          <w:szCs w:val="20"/>
          <w:lang w:val="sl-SI" w:eastAsia="sl-SI"/>
        </w:rPr>
      </w:pPr>
    </w:p>
    <w:p w14:paraId="2B9E4055" w14:textId="4C11A8DF" w:rsidR="00BC3686" w:rsidRPr="00BC3686" w:rsidRDefault="00E676F9" w:rsidP="00BC3686">
      <w:pPr>
        <w:spacing w:line="240" w:lineRule="auto"/>
        <w:jc w:val="both"/>
        <w:rPr>
          <w:sz w:val="22"/>
          <w:szCs w:val="20"/>
          <w:lang w:val="sl-SI" w:eastAsia="sl-SI"/>
        </w:rPr>
      </w:pPr>
      <w:r>
        <w:rPr>
          <w:sz w:val="22"/>
          <w:szCs w:val="20"/>
          <w:lang w:val="sl-SI" w:eastAsia="sl-SI"/>
        </w:rPr>
        <w:t>6</w:t>
      </w:r>
      <w:r w:rsidR="00BC3686" w:rsidRPr="00BC3686">
        <w:rPr>
          <w:sz w:val="22"/>
          <w:szCs w:val="20"/>
          <w:lang w:val="sl-SI" w:eastAsia="sl-SI"/>
        </w:rPr>
        <w:t xml:space="preserve">. V tem dopisu ni smiselno </w:t>
      </w:r>
      <w:r w:rsidR="00F84514">
        <w:rPr>
          <w:sz w:val="22"/>
          <w:szCs w:val="20"/>
          <w:lang w:val="sl-SI" w:eastAsia="sl-SI"/>
        </w:rPr>
        <w:t>razlagati</w:t>
      </w:r>
      <w:r w:rsidR="00BC3686" w:rsidRPr="00BC3686">
        <w:rPr>
          <w:sz w:val="22"/>
          <w:szCs w:val="20"/>
          <w:lang w:val="sl-SI" w:eastAsia="sl-SI"/>
        </w:rPr>
        <w:t xml:space="preserve"> in utemeljevati vse</w:t>
      </w:r>
      <w:r w:rsidR="00FF5F62">
        <w:rPr>
          <w:sz w:val="22"/>
          <w:szCs w:val="20"/>
          <w:lang w:val="sl-SI" w:eastAsia="sl-SI"/>
        </w:rPr>
        <w:t>h</w:t>
      </w:r>
      <w:r w:rsidR="00BC3686" w:rsidRPr="00BC3686">
        <w:rPr>
          <w:sz w:val="22"/>
          <w:szCs w:val="20"/>
          <w:lang w:val="sl-SI" w:eastAsia="sl-SI"/>
        </w:rPr>
        <w:t xml:space="preserve"> podrobnosti ZDDPO-2 ureditve, </w:t>
      </w:r>
      <w:r w:rsidR="00F84514">
        <w:rPr>
          <w:sz w:val="22"/>
          <w:szCs w:val="20"/>
          <w:lang w:val="sl-SI" w:eastAsia="sl-SI"/>
        </w:rPr>
        <w:t xml:space="preserve">vključno s tem, da so v ZDDPO-2 v več členih za </w:t>
      </w:r>
      <w:r w:rsidR="009361FA">
        <w:rPr>
          <w:sz w:val="22"/>
          <w:szCs w:val="20"/>
          <w:lang w:val="sl-SI" w:eastAsia="sl-SI"/>
        </w:rPr>
        <w:t>subjekte ali dohodke</w:t>
      </w:r>
      <w:r w:rsidR="00073C0C">
        <w:rPr>
          <w:sz w:val="22"/>
          <w:szCs w:val="20"/>
          <w:lang w:val="sl-SI" w:eastAsia="sl-SI"/>
        </w:rPr>
        <w:t xml:space="preserve"> v skladu z </w:t>
      </w:r>
      <w:proofErr w:type="spellStart"/>
      <w:r w:rsidR="00073C0C">
        <w:rPr>
          <w:sz w:val="22"/>
          <w:szCs w:val="20"/>
          <w:lang w:val="sl-SI" w:eastAsia="sl-SI"/>
        </w:rPr>
        <w:t>nomotehničnim</w:t>
      </w:r>
      <w:proofErr w:type="spellEnd"/>
      <w:r w:rsidR="00073C0C">
        <w:rPr>
          <w:sz w:val="22"/>
          <w:szCs w:val="20"/>
          <w:lang w:val="sl-SI" w:eastAsia="sl-SI"/>
        </w:rPr>
        <w:t xml:space="preserve"> pristopom </w:t>
      </w:r>
      <w:r w:rsidR="00F84514">
        <w:rPr>
          <w:sz w:val="22"/>
          <w:szCs w:val="20"/>
          <w:lang w:val="sl-SI" w:eastAsia="sl-SI"/>
        </w:rPr>
        <w:t xml:space="preserve">uporabljeni pojmi, ki so opredeljeni oziroma definirani v drugih zakonih, zlasti v </w:t>
      </w:r>
      <w:r w:rsidR="009361FA">
        <w:rPr>
          <w:sz w:val="22"/>
          <w:szCs w:val="20"/>
          <w:lang w:val="sl-SI" w:eastAsia="sl-SI"/>
        </w:rPr>
        <w:t xml:space="preserve">statusni </w:t>
      </w:r>
      <w:r w:rsidR="00F84514">
        <w:rPr>
          <w:sz w:val="22"/>
          <w:szCs w:val="20"/>
          <w:lang w:val="sl-SI" w:eastAsia="sl-SI"/>
        </w:rPr>
        <w:t>zakonodaji, ki ureja ustanavljanje, delovanje</w:t>
      </w:r>
      <w:r w:rsidR="009361FA">
        <w:rPr>
          <w:sz w:val="22"/>
          <w:szCs w:val="20"/>
          <w:lang w:val="sl-SI" w:eastAsia="sl-SI"/>
        </w:rPr>
        <w:t>,</w:t>
      </w:r>
      <w:r w:rsidR="00F84514">
        <w:rPr>
          <w:sz w:val="22"/>
          <w:szCs w:val="20"/>
          <w:lang w:val="sl-SI" w:eastAsia="sl-SI"/>
        </w:rPr>
        <w:t xml:space="preserve"> financiranje, organe in prenehanje oseb, ki so davčni zavezanci po ZDDPO-2</w:t>
      </w:r>
      <w:r w:rsidR="0097172B">
        <w:rPr>
          <w:sz w:val="22"/>
          <w:szCs w:val="20"/>
          <w:lang w:val="sl-SI" w:eastAsia="sl-SI"/>
        </w:rPr>
        <w:t>. Takšen je</w:t>
      </w:r>
      <w:r w:rsidR="00F84514">
        <w:rPr>
          <w:sz w:val="22"/>
          <w:szCs w:val="20"/>
          <w:lang w:val="sl-SI" w:eastAsia="sl-SI"/>
        </w:rPr>
        <w:t xml:space="preserve"> denimo pojem »družba</w:t>
      </w:r>
      <w:r w:rsidR="00F84514" w:rsidRPr="00BA1C02">
        <w:rPr>
          <w:sz w:val="22"/>
          <w:szCs w:val="20"/>
          <w:lang w:val="sl-SI" w:eastAsia="sl-SI"/>
        </w:rPr>
        <w:t>«</w:t>
      </w:r>
      <w:r w:rsidR="00FF643B" w:rsidRPr="00BA1C02">
        <w:rPr>
          <w:sz w:val="22"/>
          <w:szCs w:val="20"/>
          <w:lang w:val="sl-SI" w:eastAsia="sl-SI"/>
        </w:rPr>
        <w:t xml:space="preserve">. </w:t>
      </w:r>
      <w:r w:rsidR="009361FA" w:rsidRPr="009C3EB3">
        <w:rPr>
          <w:sz w:val="22"/>
          <w:szCs w:val="20"/>
          <w:lang w:val="sl-SI" w:eastAsia="sl-SI"/>
        </w:rPr>
        <w:t xml:space="preserve">Vendar je, </w:t>
      </w:r>
      <w:r w:rsidR="00BC3686" w:rsidRPr="009C3EB3">
        <w:rPr>
          <w:sz w:val="22"/>
          <w:szCs w:val="20"/>
          <w:lang w:val="sl-SI" w:eastAsia="sl-SI"/>
        </w:rPr>
        <w:t xml:space="preserve">izhajajoč iz </w:t>
      </w:r>
      <w:r w:rsidR="00B82C34" w:rsidRPr="009C3EB3">
        <w:rPr>
          <w:sz w:val="22"/>
          <w:szCs w:val="20"/>
          <w:lang w:val="sl-SI" w:eastAsia="sl-SI"/>
        </w:rPr>
        <w:t xml:space="preserve">nekaterih </w:t>
      </w:r>
      <w:r w:rsidR="00BC3686" w:rsidRPr="009C3EB3">
        <w:rPr>
          <w:sz w:val="22"/>
          <w:szCs w:val="20"/>
          <w:lang w:val="sl-SI" w:eastAsia="sl-SI"/>
        </w:rPr>
        <w:t xml:space="preserve">navedb v </w:t>
      </w:r>
      <w:r w:rsidR="00FF643B" w:rsidRPr="009C3EB3">
        <w:rPr>
          <w:sz w:val="22"/>
          <w:szCs w:val="20"/>
          <w:lang w:val="sl-SI" w:eastAsia="sl-SI"/>
        </w:rPr>
        <w:t xml:space="preserve">zadevni </w:t>
      </w:r>
      <w:r w:rsidR="00BC3686" w:rsidRPr="009C3EB3">
        <w:rPr>
          <w:sz w:val="22"/>
          <w:szCs w:val="20"/>
          <w:lang w:val="sl-SI" w:eastAsia="sl-SI"/>
        </w:rPr>
        <w:t>sodbi</w:t>
      </w:r>
      <w:r w:rsidR="00FF643B" w:rsidRPr="009C3EB3">
        <w:rPr>
          <w:sz w:val="22"/>
          <w:szCs w:val="20"/>
          <w:lang w:val="sl-SI" w:eastAsia="sl-SI"/>
        </w:rPr>
        <w:t xml:space="preserve"> Vrhovnega sodišča RS</w:t>
      </w:r>
      <w:r w:rsidR="00BC3686" w:rsidRPr="009C3EB3">
        <w:rPr>
          <w:sz w:val="22"/>
          <w:szCs w:val="20"/>
          <w:lang w:val="sl-SI" w:eastAsia="sl-SI"/>
        </w:rPr>
        <w:t>, potrebno poudariti, da ZDDPO-2 pri urejanju davčne obravnave zavezancev ne izhaja zgolj iz pravnoorganizacijske oblike</w:t>
      </w:r>
      <w:r w:rsidR="00FF643B" w:rsidRPr="009C3EB3">
        <w:rPr>
          <w:sz w:val="22"/>
          <w:szCs w:val="20"/>
          <w:lang w:val="sl-SI" w:eastAsia="sl-SI"/>
        </w:rPr>
        <w:t xml:space="preserve"> oziroma iz tega, da je relevanten zgolj namen ustanovitve določene oblike. </w:t>
      </w:r>
      <w:r w:rsidR="00073C0C" w:rsidRPr="009C3EB3">
        <w:rPr>
          <w:sz w:val="22"/>
          <w:szCs w:val="20"/>
          <w:lang w:val="sl-SI" w:eastAsia="sl-SI"/>
        </w:rPr>
        <w:t>Če je sodišče razumelo tako, je takšno razumevanje pomanjkljivo oziroma ga je treba dopolniti.</w:t>
      </w:r>
      <w:r w:rsidR="00073C0C">
        <w:rPr>
          <w:sz w:val="22"/>
          <w:szCs w:val="20"/>
          <w:lang w:val="sl-SI" w:eastAsia="sl-SI"/>
        </w:rPr>
        <w:t xml:space="preserve"> </w:t>
      </w:r>
      <w:r w:rsidR="00FF643B">
        <w:rPr>
          <w:sz w:val="22"/>
          <w:szCs w:val="20"/>
          <w:lang w:val="sl-SI" w:eastAsia="sl-SI"/>
        </w:rPr>
        <w:t>ZDDPO-2</w:t>
      </w:r>
      <w:r w:rsidR="00BC3686" w:rsidRPr="00BC3686">
        <w:rPr>
          <w:sz w:val="22"/>
          <w:szCs w:val="20"/>
          <w:lang w:val="sl-SI" w:eastAsia="sl-SI"/>
        </w:rPr>
        <w:t xml:space="preserve"> </w:t>
      </w:r>
      <w:r w:rsidR="00FF643B">
        <w:rPr>
          <w:sz w:val="22"/>
          <w:szCs w:val="20"/>
          <w:lang w:val="sl-SI" w:eastAsia="sl-SI"/>
        </w:rPr>
        <w:t xml:space="preserve">pri določanju davčne obravnave </w:t>
      </w:r>
      <w:r w:rsidR="00BC3686" w:rsidRPr="00BC3686">
        <w:rPr>
          <w:sz w:val="22"/>
          <w:szCs w:val="20"/>
          <w:lang w:val="sl-SI" w:eastAsia="sl-SI"/>
        </w:rPr>
        <w:t>upošteva najprej matično zakonodajo</w:t>
      </w:r>
      <w:r w:rsidR="00FF643B">
        <w:rPr>
          <w:sz w:val="22"/>
          <w:szCs w:val="20"/>
          <w:lang w:val="sl-SI" w:eastAsia="sl-SI"/>
        </w:rPr>
        <w:t xml:space="preserve"> oziroma položaj in značilnosti oseb po tej zakonodaji</w:t>
      </w:r>
      <w:r w:rsidR="00BC3686" w:rsidRPr="00BC3686">
        <w:rPr>
          <w:sz w:val="22"/>
          <w:szCs w:val="20"/>
          <w:lang w:val="sl-SI" w:eastAsia="sl-SI"/>
        </w:rPr>
        <w:t xml:space="preserve"> ter cilje, namene in načela davčne politike. Primerna in pravilna davčna ureditev se lahko določi ob </w:t>
      </w:r>
      <w:r w:rsidR="00FF643B">
        <w:rPr>
          <w:sz w:val="22"/>
          <w:szCs w:val="20"/>
          <w:lang w:val="sl-SI" w:eastAsia="sl-SI"/>
        </w:rPr>
        <w:t xml:space="preserve">(obstoječi) </w:t>
      </w:r>
      <w:r w:rsidR="00BC3686" w:rsidRPr="00BC3686">
        <w:rPr>
          <w:sz w:val="22"/>
          <w:szCs w:val="20"/>
          <w:lang w:val="sl-SI" w:eastAsia="sl-SI"/>
        </w:rPr>
        <w:t xml:space="preserve">ustrezni ureditvi položaja oseb, ki so davčni zavezanci po davčni zakonodaji, v </w:t>
      </w:r>
      <w:r w:rsidR="00FF643B">
        <w:rPr>
          <w:sz w:val="22"/>
          <w:szCs w:val="20"/>
          <w:lang w:val="sl-SI" w:eastAsia="sl-SI"/>
        </w:rPr>
        <w:t xml:space="preserve">njihovi t. i. </w:t>
      </w:r>
      <w:r w:rsidR="00BC3686" w:rsidRPr="00BC3686">
        <w:rPr>
          <w:sz w:val="22"/>
          <w:szCs w:val="20"/>
          <w:lang w:val="sl-SI" w:eastAsia="sl-SI"/>
        </w:rPr>
        <w:t>matični zakonodaji. Denimo, določanje davčne obravnave t. i. nepridobitnih pravnih oseb</w:t>
      </w:r>
      <w:r w:rsidR="00FF643B">
        <w:rPr>
          <w:sz w:val="22"/>
          <w:szCs w:val="20"/>
          <w:lang w:val="sl-SI" w:eastAsia="sl-SI"/>
        </w:rPr>
        <w:t xml:space="preserve"> (</w:t>
      </w:r>
      <w:r w:rsidR="00DC5755">
        <w:rPr>
          <w:sz w:val="22"/>
          <w:szCs w:val="20"/>
          <w:lang w:val="sl-SI" w:eastAsia="sl-SI"/>
        </w:rPr>
        <w:t xml:space="preserve">iz </w:t>
      </w:r>
      <w:r w:rsidR="00FF643B">
        <w:rPr>
          <w:sz w:val="22"/>
          <w:szCs w:val="20"/>
          <w:lang w:val="sl-SI" w:eastAsia="sl-SI"/>
        </w:rPr>
        <w:t>9. člen</w:t>
      </w:r>
      <w:r w:rsidR="00DC5755">
        <w:rPr>
          <w:sz w:val="22"/>
          <w:szCs w:val="20"/>
          <w:lang w:val="sl-SI" w:eastAsia="sl-SI"/>
        </w:rPr>
        <w:t>a</w:t>
      </w:r>
      <w:r w:rsidR="00FF643B">
        <w:rPr>
          <w:sz w:val="22"/>
          <w:szCs w:val="20"/>
          <w:lang w:val="sl-SI" w:eastAsia="sl-SI"/>
        </w:rPr>
        <w:t xml:space="preserve"> ZDDPO-2) v</w:t>
      </w:r>
      <w:r w:rsidR="00BC3686" w:rsidRPr="00BC3686">
        <w:rPr>
          <w:sz w:val="22"/>
          <w:szCs w:val="20"/>
          <w:lang w:val="sl-SI" w:eastAsia="sl-SI"/>
        </w:rPr>
        <w:t>edno upošteva zadostn</w:t>
      </w:r>
      <w:r w:rsidR="00FF643B">
        <w:rPr>
          <w:sz w:val="22"/>
          <w:szCs w:val="20"/>
          <w:lang w:val="sl-SI" w:eastAsia="sl-SI"/>
        </w:rPr>
        <w:t>o</w:t>
      </w:r>
      <w:r w:rsidR="00BC3686" w:rsidRPr="00BC3686">
        <w:rPr>
          <w:sz w:val="22"/>
          <w:szCs w:val="20"/>
          <w:lang w:val="sl-SI" w:eastAsia="sl-SI"/>
        </w:rPr>
        <w:t xml:space="preserve"> in primern</w:t>
      </w:r>
      <w:r w:rsidR="00FF643B">
        <w:rPr>
          <w:sz w:val="22"/>
          <w:szCs w:val="20"/>
          <w:lang w:val="sl-SI" w:eastAsia="sl-SI"/>
        </w:rPr>
        <w:t>o</w:t>
      </w:r>
      <w:r w:rsidR="00BC3686" w:rsidRPr="00BC3686">
        <w:rPr>
          <w:sz w:val="22"/>
          <w:szCs w:val="20"/>
          <w:lang w:val="sl-SI" w:eastAsia="sl-SI"/>
        </w:rPr>
        <w:t xml:space="preserve"> uredit</w:t>
      </w:r>
      <w:r w:rsidR="00FF643B">
        <w:rPr>
          <w:sz w:val="22"/>
          <w:szCs w:val="20"/>
          <w:lang w:val="sl-SI" w:eastAsia="sl-SI"/>
        </w:rPr>
        <w:t>e</w:t>
      </w:r>
      <w:r w:rsidR="00BC3686" w:rsidRPr="00BC3686">
        <w:rPr>
          <w:sz w:val="22"/>
          <w:szCs w:val="20"/>
          <w:lang w:val="sl-SI" w:eastAsia="sl-SI"/>
        </w:rPr>
        <w:t>v teh oseb v drugi zakonodaji.</w:t>
      </w:r>
      <w:r w:rsidR="00FF643B">
        <w:rPr>
          <w:sz w:val="22"/>
          <w:szCs w:val="20"/>
          <w:lang w:val="sl-SI" w:eastAsia="sl-SI"/>
        </w:rPr>
        <w:t xml:space="preserve"> Upoštevana je celovitost vseh določb </w:t>
      </w:r>
      <w:r w:rsidR="00B82C34">
        <w:rPr>
          <w:sz w:val="22"/>
          <w:szCs w:val="20"/>
          <w:lang w:val="sl-SI" w:eastAsia="sl-SI"/>
        </w:rPr>
        <w:t xml:space="preserve">matične zakonodaje </w:t>
      </w:r>
      <w:r w:rsidR="00FF643B">
        <w:rPr>
          <w:sz w:val="22"/>
          <w:szCs w:val="20"/>
          <w:lang w:val="sl-SI" w:eastAsia="sl-SI"/>
        </w:rPr>
        <w:t xml:space="preserve">in ne zgolj določb o namenu ustanovitve. </w:t>
      </w:r>
      <w:r w:rsidR="00B82C34">
        <w:rPr>
          <w:sz w:val="22"/>
          <w:szCs w:val="20"/>
          <w:lang w:val="sl-SI" w:eastAsia="sl-SI"/>
        </w:rPr>
        <w:lastRenderedPageBreak/>
        <w:t xml:space="preserve">Pomemben je tudi ustavni okvir. </w:t>
      </w:r>
      <w:r w:rsidR="00FF643B">
        <w:rPr>
          <w:sz w:val="22"/>
          <w:szCs w:val="20"/>
          <w:lang w:val="sl-SI" w:eastAsia="sl-SI"/>
        </w:rPr>
        <w:t xml:space="preserve">Dodatno, v zvezi z </w:t>
      </w:r>
      <w:r w:rsidR="00F32F24">
        <w:rPr>
          <w:sz w:val="22"/>
          <w:szCs w:val="20"/>
          <w:lang w:val="sl-SI" w:eastAsia="sl-SI"/>
        </w:rPr>
        <w:t xml:space="preserve">odločanjem o davčnih rešitvah in </w:t>
      </w:r>
      <w:r w:rsidR="00FF643B">
        <w:rPr>
          <w:sz w:val="22"/>
          <w:szCs w:val="20"/>
          <w:lang w:val="sl-SI" w:eastAsia="sl-SI"/>
        </w:rPr>
        <w:t>določanjem davčne obravnave, pojasnjujemo, da b</w:t>
      </w:r>
      <w:r w:rsidR="00BC3686" w:rsidRPr="00BC3686">
        <w:rPr>
          <w:sz w:val="22"/>
          <w:szCs w:val="20"/>
          <w:lang w:val="sl-SI" w:eastAsia="sl-SI"/>
        </w:rPr>
        <w:t xml:space="preserve">olj kot je osnovna, matična zakonodaja </w:t>
      </w:r>
      <w:r w:rsidR="003607DB">
        <w:rPr>
          <w:sz w:val="22"/>
          <w:szCs w:val="20"/>
          <w:lang w:val="sl-SI" w:eastAsia="sl-SI"/>
        </w:rPr>
        <w:t>odprta oziroma pušča »</w:t>
      </w:r>
      <w:r w:rsidR="009361FA">
        <w:rPr>
          <w:sz w:val="22"/>
          <w:szCs w:val="20"/>
          <w:lang w:val="sl-SI" w:eastAsia="sl-SI"/>
        </w:rPr>
        <w:t>fleksibilen</w:t>
      </w:r>
      <w:r w:rsidR="003607DB">
        <w:rPr>
          <w:sz w:val="22"/>
          <w:szCs w:val="20"/>
          <w:lang w:val="sl-SI" w:eastAsia="sl-SI"/>
        </w:rPr>
        <w:t>« pristop</w:t>
      </w:r>
      <w:r w:rsidR="00BC3686" w:rsidRPr="00BC3686">
        <w:rPr>
          <w:sz w:val="22"/>
          <w:szCs w:val="20"/>
          <w:lang w:val="sl-SI" w:eastAsia="sl-SI"/>
        </w:rPr>
        <w:t xml:space="preserve">, bolj </w:t>
      </w:r>
      <w:r w:rsidR="003607DB">
        <w:rPr>
          <w:sz w:val="22"/>
          <w:szCs w:val="20"/>
          <w:lang w:val="sl-SI" w:eastAsia="sl-SI"/>
        </w:rPr>
        <w:t xml:space="preserve">natančno in jasno </w:t>
      </w:r>
      <w:r w:rsidR="00BC3686" w:rsidRPr="00BC3686">
        <w:rPr>
          <w:sz w:val="22"/>
          <w:szCs w:val="20"/>
          <w:lang w:val="sl-SI" w:eastAsia="sl-SI"/>
        </w:rPr>
        <w:t xml:space="preserve">je treba položaj </w:t>
      </w:r>
      <w:r w:rsidR="00DC5755">
        <w:rPr>
          <w:sz w:val="22"/>
          <w:szCs w:val="20"/>
          <w:lang w:val="sl-SI" w:eastAsia="sl-SI"/>
        </w:rPr>
        <w:t xml:space="preserve">davčnih </w:t>
      </w:r>
      <w:r w:rsidR="003607DB">
        <w:rPr>
          <w:sz w:val="22"/>
          <w:szCs w:val="20"/>
          <w:lang w:val="sl-SI" w:eastAsia="sl-SI"/>
        </w:rPr>
        <w:t xml:space="preserve">zavezancev </w:t>
      </w:r>
      <w:r w:rsidR="00B82C34">
        <w:rPr>
          <w:sz w:val="22"/>
          <w:szCs w:val="20"/>
          <w:lang w:val="sl-SI" w:eastAsia="sl-SI"/>
        </w:rPr>
        <w:t xml:space="preserve">in obravnavo dohodkov </w:t>
      </w:r>
      <w:r w:rsidR="00BC3686" w:rsidRPr="00BC3686">
        <w:rPr>
          <w:sz w:val="22"/>
          <w:szCs w:val="20"/>
          <w:lang w:val="sl-SI" w:eastAsia="sl-SI"/>
        </w:rPr>
        <w:t xml:space="preserve">urediti v davčni zakonodaji. </w:t>
      </w:r>
      <w:r w:rsidR="00BC3686" w:rsidRPr="00460C17">
        <w:rPr>
          <w:sz w:val="22"/>
          <w:szCs w:val="20"/>
          <w:lang w:val="sl-SI" w:eastAsia="sl-SI"/>
        </w:rPr>
        <w:t xml:space="preserve">To pa </w:t>
      </w:r>
      <w:r w:rsidR="009361FA" w:rsidRPr="00460C17">
        <w:rPr>
          <w:sz w:val="22"/>
          <w:szCs w:val="20"/>
          <w:lang w:val="sl-SI" w:eastAsia="sl-SI"/>
        </w:rPr>
        <w:t xml:space="preserve">tudi </w:t>
      </w:r>
      <w:r w:rsidR="00BC3686" w:rsidRPr="00460C17">
        <w:rPr>
          <w:sz w:val="22"/>
          <w:szCs w:val="20"/>
          <w:lang w:val="sl-SI" w:eastAsia="sl-SI"/>
        </w:rPr>
        <w:t xml:space="preserve">zato, ker se v skladu z Ustavo RS davki </w:t>
      </w:r>
      <w:r w:rsidR="00F32F24" w:rsidRPr="00460C17">
        <w:rPr>
          <w:sz w:val="22"/>
          <w:szCs w:val="20"/>
          <w:lang w:val="sl-SI" w:eastAsia="sl-SI"/>
        </w:rPr>
        <w:t>predpi</w:t>
      </w:r>
      <w:r w:rsidRPr="00460C17">
        <w:rPr>
          <w:sz w:val="22"/>
          <w:szCs w:val="20"/>
          <w:lang w:val="sl-SI" w:eastAsia="sl-SI"/>
        </w:rPr>
        <w:t>sujejo</w:t>
      </w:r>
      <w:r w:rsidR="00F32F24" w:rsidRPr="00460C17">
        <w:rPr>
          <w:sz w:val="22"/>
          <w:szCs w:val="20"/>
          <w:lang w:val="sl-SI" w:eastAsia="sl-SI"/>
        </w:rPr>
        <w:t xml:space="preserve"> z zakoni in se </w:t>
      </w:r>
      <w:r w:rsidR="00BC3686" w:rsidRPr="00460C17">
        <w:rPr>
          <w:sz w:val="22"/>
          <w:szCs w:val="20"/>
          <w:lang w:val="sl-SI" w:eastAsia="sl-SI"/>
        </w:rPr>
        <w:t>uporabljajo</w:t>
      </w:r>
      <w:r w:rsidR="00553F9E" w:rsidRPr="00460C17">
        <w:rPr>
          <w:sz w:val="22"/>
          <w:szCs w:val="20"/>
          <w:lang w:val="sl-SI" w:eastAsia="sl-SI"/>
        </w:rPr>
        <w:t xml:space="preserve"> </w:t>
      </w:r>
      <w:r w:rsidR="00BC3686" w:rsidRPr="00460C17">
        <w:rPr>
          <w:sz w:val="22"/>
          <w:szCs w:val="20"/>
          <w:lang w:val="sl-SI" w:eastAsia="sl-SI"/>
        </w:rPr>
        <w:t xml:space="preserve">za </w:t>
      </w:r>
      <w:r w:rsidR="00553F9E" w:rsidRPr="00460C17">
        <w:rPr>
          <w:sz w:val="22"/>
          <w:szCs w:val="20"/>
          <w:lang w:val="sl-SI" w:eastAsia="sl-SI"/>
        </w:rPr>
        <w:t>uresničevanje nalog države</w:t>
      </w:r>
      <w:r w:rsidR="00F32F24" w:rsidRPr="00460C17">
        <w:rPr>
          <w:sz w:val="22"/>
          <w:szCs w:val="20"/>
          <w:lang w:val="sl-SI" w:eastAsia="sl-SI"/>
        </w:rPr>
        <w:t>.</w:t>
      </w:r>
      <w:r w:rsidR="00F32F24">
        <w:rPr>
          <w:sz w:val="22"/>
          <w:szCs w:val="20"/>
          <w:lang w:val="sl-SI" w:eastAsia="sl-SI"/>
        </w:rPr>
        <w:t xml:space="preserve"> Posledično je </w:t>
      </w:r>
      <w:r w:rsidR="00BC3686" w:rsidRPr="00BC3686">
        <w:rPr>
          <w:sz w:val="22"/>
          <w:szCs w:val="20"/>
          <w:lang w:val="sl-SI" w:eastAsia="sl-SI"/>
        </w:rPr>
        <w:t xml:space="preserve">nedopustno, da </w:t>
      </w:r>
      <w:r w:rsidR="00401F87">
        <w:rPr>
          <w:sz w:val="22"/>
          <w:szCs w:val="20"/>
          <w:lang w:val="sl-SI" w:eastAsia="sl-SI"/>
        </w:rPr>
        <w:t xml:space="preserve">bi </w:t>
      </w:r>
      <w:r w:rsidR="00BC3686" w:rsidRPr="00BC3686">
        <w:rPr>
          <w:sz w:val="22"/>
          <w:szCs w:val="20"/>
          <w:lang w:val="sl-SI" w:eastAsia="sl-SI"/>
        </w:rPr>
        <w:t xml:space="preserve">se </w:t>
      </w:r>
      <w:r w:rsidR="004268E9">
        <w:rPr>
          <w:sz w:val="22"/>
          <w:szCs w:val="20"/>
          <w:lang w:val="sl-SI" w:eastAsia="sl-SI"/>
        </w:rPr>
        <w:t>dopušča</w:t>
      </w:r>
      <w:r w:rsidR="00401F87">
        <w:rPr>
          <w:sz w:val="22"/>
          <w:szCs w:val="20"/>
          <w:lang w:val="sl-SI" w:eastAsia="sl-SI"/>
        </w:rPr>
        <w:t>lo</w:t>
      </w:r>
      <w:r w:rsidR="00BC3686" w:rsidRPr="00BC3686">
        <w:rPr>
          <w:sz w:val="22"/>
          <w:szCs w:val="20"/>
          <w:lang w:val="sl-SI" w:eastAsia="sl-SI"/>
        </w:rPr>
        <w:t xml:space="preserve"> vrzeli, ki omogočajo </w:t>
      </w:r>
      <w:r w:rsidR="004268E9">
        <w:rPr>
          <w:sz w:val="22"/>
          <w:szCs w:val="20"/>
          <w:lang w:val="sl-SI" w:eastAsia="sl-SI"/>
        </w:rPr>
        <w:t>neplačevanje davka, agresivno davčno načrtovanje</w:t>
      </w:r>
      <w:r>
        <w:rPr>
          <w:sz w:val="22"/>
          <w:szCs w:val="20"/>
          <w:lang w:val="sl-SI" w:eastAsia="sl-SI"/>
        </w:rPr>
        <w:t xml:space="preserve"> in </w:t>
      </w:r>
      <w:r w:rsidR="00401F87">
        <w:rPr>
          <w:sz w:val="22"/>
          <w:szCs w:val="20"/>
          <w:lang w:val="sl-SI" w:eastAsia="sl-SI"/>
        </w:rPr>
        <w:t xml:space="preserve">sprejemanje </w:t>
      </w:r>
      <w:r w:rsidR="004268E9">
        <w:rPr>
          <w:sz w:val="22"/>
          <w:szCs w:val="20"/>
          <w:lang w:val="sl-SI" w:eastAsia="sl-SI"/>
        </w:rPr>
        <w:t>odločit</w:t>
      </w:r>
      <w:r w:rsidR="00401F87">
        <w:rPr>
          <w:sz w:val="22"/>
          <w:szCs w:val="20"/>
          <w:lang w:val="sl-SI" w:eastAsia="sl-SI"/>
        </w:rPr>
        <w:t>e</w:t>
      </w:r>
      <w:r w:rsidR="004268E9">
        <w:rPr>
          <w:sz w:val="22"/>
          <w:szCs w:val="20"/>
          <w:lang w:val="sl-SI" w:eastAsia="sl-SI"/>
        </w:rPr>
        <w:t xml:space="preserve">v, ki so </w:t>
      </w:r>
      <w:r>
        <w:rPr>
          <w:sz w:val="22"/>
          <w:szCs w:val="20"/>
          <w:lang w:val="sl-SI" w:eastAsia="sl-SI"/>
        </w:rPr>
        <w:t xml:space="preserve">le </w:t>
      </w:r>
      <w:r w:rsidR="004268E9">
        <w:rPr>
          <w:sz w:val="22"/>
          <w:szCs w:val="20"/>
          <w:lang w:val="sl-SI" w:eastAsia="sl-SI"/>
        </w:rPr>
        <w:t xml:space="preserve">davčno motivirane, kar vse pomeni nedopustno davčno neenakost </w:t>
      </w:r>
      <w:r w:rsidR="00BC3686" w:rsidRPr="00BC3686">
        <w:rPr>
          <w:sz w:val="22"/>
          <w:szCs w:val="20"/>
          <w:lang w:val="sl-SI" w:eastAsia="sl-SI"/>
        </w:rPr>
        <w:t xml:space="preserve">pri zavezanosti </w:t>
      </w:r>
      <w:r>
        <w:rPr>
          <w:sz w:val="22"/>
          <w:szCs w:val="20"/>
          <w:lang w:val="sl-SI" w:eastAsia="sl-SI"/>
        </w:rPr>
        <w:t xml:space="preserve">in zavezancih </w:t>
      </w:r>
      <w:r w:rsidR="00BC3686" w:rsidRPr="00BC3686">
        <w:rPr>
          <w:sz w:val="22"/>
          <w:szCs w:val="20"/>
          <w:lang w:val="sl-SI" w:eastAsia="sl-SI"/>
        </w:rPr>
        <w:t xml:space="preserve">za davek. </w:t>
      </w:r>
      <w:r w:rsidR="004268E9">
        <w:rPr>
          <w:sz w:val="22"/>
          <w:szCs w:val="20"/>
          <w:lang w:val="sl-SI" w:eastAsia="sl-SI"/>
        </w:rPr>
        <w:t xml:space="preserve">Primeroma, </w:t>
      </w:r>
      <w:r w:rsidR="00BC3686" w:rsidRPr="00BC3686">
        <w:rPr>
          <w:sz w:val="22"/>
          <w:szCs w:val="20"/>
          <w:lang w:val="sl-SI" w:eastAsia="sl-SI"/>
        </w:rPr>
        <w:t xml:space="preserve">za javni zavod, katerega ustanovitelj je </w:t>
      </w:r>
      <w:r w:rsidR="00401F87">
        <w:rPr>
          <w:sz w:val="22"/>
          <w:szCs w:val="20"/>
          <w:lang w:val="sl-SI" w:eastAsia="sl-SI"/>
        </w:rPr>
        <w:t>republika, občine ali druge javne pravne osebe</w:t>
      </w:r>
      <w:r w:rsidR="00BC3686" w:rsidRPr="00BC3686">
        <w:rPr>
          <w:sz w:val="22"/>
          <w:szCs w:val="20"/>
          <w:lang w:val="sl-SI" w:eastAsia="sl-SI"/>
        </w:rPr>
        <w:t>, bi lahko v davčni zakonodaji določili oprostitev od ZDDPO-2</w:t>
      </w:r>
      <w:r w:rsidR="00DC5755">
        <w:rPr>
          <w:sz w:val="22"/>
          <w:szCs w:val="20"/>
          <w:lang w:val="sl-SI" w:eastAsia="sl-SI"/>
        </w:rPr>
        <w:t xml:space="preserve"> na celotne dohodke</w:t>
      </w:r>
      <w:r w:rsidR="00BC3686" w:rsidRPr="00BC3686">
        <w:rPr>
          <w:sz w:val="22"/>
          <w:szCs w:val="20"/>
          <w:lang w:val="sl-SI" w:eastAsia="sl-SI"/>
        </w:rPr>
        <w:t xml:space="preserve">, vendar pa glede na </w:t>
      </w:r>
      <w:r w:rsidR="00DC5755">
        <w:rPr>
          <w:sz w:val="22"/>
          <w:szCs w:val="20"/>
          <w:lang w:val="sl-SI" w:eastAsia="sl-SI"/>
        </w:rPr>
        <w:t>omenjeno</w:t>
      </w:r>
      <w:r w:rsidR="00F32F24">
        <w:rPr>
          <w:sz w:val="22"/>
          <w:szCs w:val="20"/>
          <w:lang w:val="sl-SI" w:eastAsia="sl-SI"/>
        </w:rPr>
        <w:t xml:space="preserve"> </w:t>
      </w:r>
      <w:r w:rsidR="00BC3686" w:rsidRPr="00BC3686">
        <w:rPr>
          <w:sz w:val="22"/>
          <w:szCs w:val="20"/>
          <w:lang w:val="sl-SI" w:eastAsia="sl-SI"/>
        </w:rPr>
        <w:t>in upoštevaje pravni okvir, to je posamezne določbe in celoten sistem</w:t>
      </w:r>
      <w:r w:rsidR="004268E9">
        <w:rPr>
          <w:sz w:val="22"/>
          <w:szCs w:val="20"/>
          <w:lang w:val="sl-SI" w:eastAsia="sl-SI"/>
        </w:rPr>
        <w:t>, zlasti zakona, ki ureja zavode</w:t>
      </w:r>
      <w:r w:rsidR="00BC3686" w:rsidRPr="00BC3686">
        <w:rPr>
          <w:sz w:val="22"/>
          <w:szCs w:val="20"/>
          <w:lang w:val="sl-SI" w:eastAsia="sl-SI"/>
        </w:rPr>
        <w:t xml:space="preserve">, </w:t>
      </w:r>
      <w:r w:rsidR="004268E9">
        <w:rPr>
          <w:sz w:val="22"/>
          <w:szCs w:val="20"/>
          <w:lang w:val="sl-SI" w:eastAsia="sl-SI"/>
        </w:rPr>
        <w:t>ter zaradi primerjave z drugimi osebami</w:t>
      </w:r>
      <w:r w:rsidR="00401F87">
        <w:rPr>
          <w:sz w:val="22"/>
          <w:szCs w:val="20"/>
          <w:lang w:val="sl-SI" w:eastAsia="sl-SI"/>
        </w:rPr>
        <w:t xml:space="preserve"> in položaji</w:t>
      </w:r>
      <w:r w:rsidR="004268E9">
        <w:rPr>
          <w:sz w:val="22"/>
          <w:szCs w:val="20"/>
          <w:lang w:val="sl-SI" w:eastAsia="sl-SI"/>
        </w:rPr>
        <w:t xml:space="preserve">, </w:t>
      </w:r>
      <w:r w:rsidR="00BC3686" w:rsidRPr="00BC3686">
        <w:rPr>
          <w:sz w:val="22"/>
          <w:szCs w:val="20"/>
          <w:lang w:val="sl-SI" w:eastAsia="sl-SI"/>
        </w:rPr>
        <w:t xml:space="preserve">je treba določiti obdavčitev za opravljanje pridobitne dejavnosti. </w:t>
      </w:r>
    </w:p>
    <w:p w14:paraId="7116DA29" w14:textId="77777777" w:rsidR="00BC3686" w:rsidRPr="00BC3686" w:rsidRDefault="00BC3686" w:rsidP="00BC3686">
      <w:pPr>
        <w:spacing w:line="240" w:lineRule="auto"/>
        <w:jc w:val="both"/>
        <w:rPr>
          <w:sz w:val="22"/>
          <w:szCs w:val="20"/>
          <w:lang w:val="sl-SI" w:eastAsia="sl-SI"/>
        </w:rPr>
      </w:pPr>
    </w:p>
    <w:p w14:paraId="4F392F0A" w14:textId="451E78EB" w:rsidR="00713356" w:rsidRDefault="00E676F9" w:rsidP="00BC3686">
      <w:pPr>
        <w:spacing w:line="240" w:lineRule="auto"/>
        <w:jc w:val="both"/>
        <w:rPr>
          <w:sz w:val="22"/>
          <w:szCs w:val="20"/>
          <w:lang w:val="sl-SI" w:eastAsia="sl-SI"/>
        </w:rPr>
      </w:pPr>
      <w:r>
        <w:rPr>
          <w:sz w:val="22"/>
          <w:szCs w:val="20"/>
          <w:lang w:val="sl-SI" w:eastAsia="sl-SI"/>
        </w:rPr>
        <w:t>7</w:t>
      </w:r>
      <w:r w:rsidR="00BC3686" w:rsidRPr="00BC3686">
        <w:rPr>
          <w:sz w:val="22"/>
          <w:szCs w:val="20"/>
          <w:lang w:val="sl-SI" w:eastAsia="sl-SI"/>
        </w:rPr>
        <w:t xml:space="preserve">. </w:t>
      </w:r>
      <w:r w:rsidR="00401F87">
        <w:rPr>
          <w:sz w:val="22"/>
          <w:szCs w:val="20"/>
          <w:lang w:val="sl-SI" w:eastAsia="sl-SI"/>
        </w:rPr>
        <w:t>Splošno pojasnjujemo razlike v davčnem položaju zavoda in gospodarske družbe</w:t>
      </w:r>
      <w:r w:rsidR="00DE2535">
        <w:rPr>
          <w:sz w:val="22"/>
          <w:szCs w:val="20"/>
          <w:lang w:val="sl-SI" w:eastAsia="sl-SI"/>
        </w:rPr>
        <w:t xml:space="preserve"> (omenjen v predmetni sodbi)</w:t>
      </w:r>
      <w:r w:rsidR="00401F87">
        <w:rPr>
          <w:sz w:val="22"/>
          <w:szCs w:val="20"/>
          <w:lang w:val="sl-SI" w:eastAsia="sl-SI"/>
        </w:rPr>
        <w:t xml:space="preserve">. Zavod, zasebni ali javni zavod, je sicer zavezanec za davek po ZDDPO-2, a </w:t>
      </w:r>
      <w:r w:rsidR="00C74B71">
        <w:rPr>
          <w:sz w:val="22"/>
          <w:szCs w:val="20"/>
          <w:lang w:val="sl-SI" w:eastAsia="sl-SI"/>
        </w:rPr>
        <w:t xml:space="preserve">zanj velja oprostitev od </w:t>
      </w:r>
      <w:r w:rsidR="00401F87">
        <w:rPr>
          <w:sz w:val="22"/>
          <w:szCs w:val="20"/>
          <w:lang w:val="sl-SI" w:eastAsia="sl-SI"/>
        </w:rPr>
        <w:t>davka, davek plača le na dohodke iz opravljanja pridobitne dejavnosti. Medtem ko je gospodarska družba zavezanec za davek za vse dohodke, ne glede</w:t>
      </w:r>
      <w:r w:rsidR="00DC5755">
        <w:rPr>
          <w:sz w:val="22"/>
          <w:szCs w:val="20"/>
          <w:lang w:val="sl-SI" w:eastAsia="sl-SI"/>
        </w:rPr>
        <w:t xml:space="preserve"> na to,</w:t>
      </w:r>
      <w:r w:rsidR="00401F87">
        <w:rPr>
          <w:sz w:val="22"/>
          <w:szCs w:val="20"/>
          <w:lang w:val="sl-SI" w:eastAsia="sl-SI"/>
        </w:rPr>
        <w:t xml:space="preserve"> kako jih doseže. </w:t>
      </w:r>
      <w:r w:rsidR="00C74B71">
        <w:rPr>
          <w:sz w:val="22"/>
          <w:szCs w:val="20"/>
          <w:lang w:val="sl-SI" w:eastAsia="sl-SI"/>
        </w:rPr>
        <w:t>P</w:t>
      </w:r>
      <w:r w:rsidR="00713356">
        <w:rPr>
          <w:sz w:val="22"/>
          <w:szCs w:val="20"/>
          <w:lang w:val="sl-SI" w:eastAsia="sl-SI"/>
        </w:rPr>
        <w:t>rimerom</w:t>
      </w:r>
      <w:r w:rsidR="00C74B71">
        <w:rPr>
          <w:sz w:val="22"/>
          <w:szCs w:val="20"/>
          <w:lang w:val="sl-SI" w:eastAsia="sl-SI"/>
        </w:rPr>
        <w:t>a</w:t>
      </w:r>
      <w:r w:rsidR="00713356">
        <w:rPr>
          <w:sz w:val="22"/>
          <w:szCs w:val="20"/>
          <w:lang w:val="sl-SI" w:eastAsia="sl-SI"/>
        </w:rPr>
        <w:t xml:space="preserve"> </w:t>
      </w:r>
      <w:r w:rsidR="00401F87">
        <w:rPr>
          <w:sz w:val="22"/>
          <w:szCs w:val="20"/>
          <w:lang w:val="sl-SI" w:eastAsia="sl-SI"/>
        </w:rPr>
        <w:t>se opisano razlikovanje lahko predstavi z davčno obravnavo donacij, ki jih prejme zavod ali gospodarska družba. Donacije so pri zavodu izvzete iz</w:t>
      </w:r>
      <w:r w:rsidR="00713356">
        <w:rPr>
          <w:sz w:val="22"/>
          <w:szCs w:val="20"/>
          <w:lang w:val="sl-SI" w:eastAsia="sl-SI"/>
        </w:rPr>
        <w:t xml:space="preserve"> davčne osnove, torej iz obdavčitve, pri gospodarski družbi pa so vključene v davčno osnovo. Davčni položaj zavoda in gospodarske družbe je različen. </w:t>
      </w:r>
      <w:r w:rsidR="00DE2535">
        <w:rPr>
          <w:sz w:val="22"/>
          <w:szCs w:val="20"/>
          <w:lang w:val="sl-SI" w:eastAsia="sl-SI"/>
        </w:rPr>
        <w:t>Razlik, ki pomenijo različen davčni položaj je</w:t>
      </w:r>
      <w:r w:rsidR="00DC5755">
        <w:rPr>
          <w:sz w:val="22"/>
          <w:szCs w:val="20"/>
          <w:lang w:val="sl-SI" w:eastAsia="sl-SI"/>
        </w:rPr>
        <w:t xml:space="preserve"> </w:t>
      </w:r>
      <w:r w:rsidR="00DE2535">
        <w:rPr>
          <w:sz w:val="22"/>
          <w:szCs w:val="20"/>
          <w:lang w:val="sl-SI" w:eastAsia="sl-SI"/>
        </w:rPr>
        <w:t>več. Nenazadnje se kažejo tudi v zneskih plačanega davka s strani zavezancev gospodarskih družb in zavezancev zavodov.</w:t>
      </w:r>
    </w:p>
    <w:p w14:paraId="0BC29F8A" w14:textId="77777777" w:rsidR="00713356" w:rsidRDefault="00713356" w:rsidP="00BC3686">
      <w:pPr>
        <w:spacing w:line="240" w:lineRule="auto"/>
        <w:jc w:val="both"/>
        <w:rPr>
          <w:sz w:val="22"/>
          <w:szCs w:val="20"/>
          <w:lang w:val="sl-SI" w:eastAsia="sl-SI"/>
        </w:rPr>
      </w:pPr>
    </w:p>
    <w:p w14:paraId="3ADF36BB" w14:textId="769893E4" w:rsidR="00B2636F" w:rsidRPr="00BC3686" w:rsidRDefault="00E676F9" w:rsidP="00B2636F">
      <w:pPr>
        <w:spacing w:line="240" w:lineRule="auto"/>
        <w:jc w:val="both"/>
        <w:rPr>
          <w:sz w:val="22"/>
          <w:szCs w:val="20"/>
          <w:lang w:val="sl-SI" w:eastAsia="sl-SI"/>
        </w:rPr>
      </w:pPr>
      <w:r>
        <w:rPr>
          <w:sz w:val="22"/>
          <w:szCs w:val="20"/>
          <w:lang w:val="sl-SI" w:eastAsia="sl-SI"/>
        </w:rPr>
        <w:t>8</w:t>
      </w:r>
      <w:r w:rsidR="00401F87">
        <w:rPr>
          <w:sz w:val="22"/>
          <w:szCs w:val="20"/>
          <w:lang w:val="sl-SI" w:eastAsia="sl-SI"/>
        </w:rPr>
        <w:t xml:space="preserve">. </w:t>
      </w:r>
      <w:r w:rsidR="00C74B71">
        <w:rPr>
          <w:sz w:val="22"/>
          <w:szCs w:val="20"/>
          <w:lang w:val="sl-SI" w:eastAsia="sl-SI"/>
        </w:rPr>
        <w:t>Nadalje</w:t>
      </w:r>
      <w:r w:rsidR="00B4602B">
        <w:rPr>
          <w:sz w:val="22"/>
          <w:szCs w:val="20"/>
          <w:lang w:val="sl-SI" w:eastAsia="sl-SI"/>
        </w:rPr>
        <w:t xml:space="preserve"> pojasnjujemo</w:t>
      </w:r>
      <w:r w:rsidR="00A046CF">
        <w:rPr>
          <w:sz w:val="22"/>
          <w:szCs w:val="20"/>
          <w:lang w:val="sl-SI" w:eastAsia="sl-SI"/>
        </w:rPr>
        <w:t xml:space="preserve">, da je določitev davčne nevtralnosti (ukrep učinkuje, kot je bilo predhodno opisano, kot odlog davka) odločitev davčne politike oziroma zakonodajalca, da podeli </w:t>
      </w:r>
      <w:r w:rsidR="00025AD0">
        <w:rPr>
          <w:sz w:val="22"/>
          <w:szCs w:val="20"/>
          <w:lang w:val="sl-SI" w:eastAsia="sl-SI"/>
        </w:rPr>
        <w:t>ugodnost davčnim zavezancem</w:t>
      </w:r>
      <w:r w:rsidR="002A4C18">
        <w:rPr>
          <w:sz w:val="22"/>
          <w:szCs w:val="20"/>
          <w:lang w:val="sl-SI" w:eastAsia="sl-SI"/>
        </w:rPr>
        <w:t>. U</w:t>
      </w:r>
      <w:r w:rsidR="00025AD0">
        <w:rPr>
          <w:sz w:val="22"/>
          <w:szCs w:val="20"/>
          <w:lang w:val="sl-SI" w:eastAsia="sl-SI"/>
        </w:rPr>
        <w:t xml:space="preserve">godnost </w:t>
      </w:r>
      <w:r w:rsidR="002A4C18">
        <w:rPr>
          <w:sz w:val="22"/>
          <w:szCs w:val="20"/>
          <w:lang w:val="sl-SI" w:eastAsia="sl-SI"/>
        </w:rPr>
        <w:t>je v tem</w:t>
      </w:r>
      <w:r w:rsidR="00025AD0">
        <w:rPr>
          <w:sz w:val="22"/>
          <w:szCs w:val="20"/>
          <w:lang w:val="sl-SI" w:eastAsia="sl-SI"/>
        </w:rPr>
        <w:t>, da se davek zajame kasneje kot običajno, k</w:t>
      </w:r>
      <w:r w:rsidR="002A4C18">
        <w:rPr>
          <w:sz w:val="22"/>
          <w:szCs w:val="20"/>
          <w:lang w:val="sl-SI" w:eastAsia="sl-SI"/>
        </w:rPr>
        <w:t>ajti</w:t>
      </w:r>
      <w:r w:rsidR="00025AD0">
        <w:rPr>
          <w:sz w:val="22"/>
          <w:szCs w:val="20"/>
          <w:lang w:val="sl-SI" w:eastAsia="sl-SI"/>
        </w:rPr>
        <w:t xml:space="preserve"> davek </w:t>
      </w:r>
      <w:r w:rsidR="002A4C18">
        <w:rPr>
          <w:sz w:val="22"/>
          <w:szCs w:val="20"/>
          <w:lang w:val="sl-SI" w:eastAsia="sl-SI"/>
        </w:rPr>
        <w:t xml:space="preserve">je treba </w:t>
      </w:r>
      <w:r w:rsidR="00025AD0">
        <w:rPr>
          <w:sz w:val="22"/>
          <w:szCs w:val="20"/>
          <w:lang w:val="sl-SI" w:eastAsia="sl-SI"/>
        </w:rPr>
        <w:t>praviloma pobr</w:t>
      </w:r>
      <w:r w:rsidR="002A4C18">
        <w:rPr>
          <w:sz w:val="22"/>
          <w:szCs w:val="20"/>
          <w:lang w:val="sl-SI" w:eastAsia="sl-SI"/>
        </w:rPr>
        <w:t>ati</w:t>
      </w:r>
      <w:r w:rsidR="00025AD0">
        <w:rPr>
          <w:sz w:val="22"/>
          <w:szCs w:val="20"/>
          <w:lang w:val="sl-SI" w:eastAsia="sl-SI"/>
        </w:rPr>
        <w:t>, ko nastane dohodek</w:t>
      </w:r>
      <w:r w:rsidR="002A4C18">
        <w:rPr>
          <w:sz w:val="22"/>
          <w:szCs w:val="20"/>
          <w:lang w:val="sl-SI" w:eastAsia="sl-SI"/>
        </w:rPr>
        <w:t>, torej v trenutku reorganizacije</w:t>
      </w:r>
      <w:r w:rsidR="00025AD0">
        <w:rPr>
          <w:sz w:val="22"/>
          <w:szCs w:val="20"/>
          <w:lang w:val="sl-SI" w:eastAsia="sl-SI"/>
        </w:rPr>
        <w:t xml:space="preserve">. Z ukrepom je želel zakonodajalec spodbuditi določene davčne zavezance oziroma jim odpraviti morebitne ovire v situacijah, ko se iz poslovnih razlogov odločajo za reorganizacije. Situacije, ki zaradi več razlogov terjajo takšen pristop, nastajajo </w:t>
      </w:r>
      <w:r w:rsidR="003446BF">
        <w:rPr>
          <w:sz w:val="22"/>
          <w:szCs w:val="20"/>
          <w:lang w:val="sl-SI" w:eastAsia="sl-SI"/>
        </w:rPr>
        <w:t xml:space="preserve">praviloma </w:t>
      </w:r>
      <w:r w:rsidR="00025AD0">
        <w:rPr>
          <w:sz w:val="22"/>
          <w:szCs w:val="20"/>
          <w:lang w:val="sl-SI" w:eastAsia="sl-SI"/>
        </w:rPr>
        <w:t xml:space="preserve">pri poslovnih subjektih, ki glede na svojo organiziranost in delovanje zasledujejo </w:t>
      </w:r>
      <w:r w:rsidR="009B2AAC">
        <w:rPr>
          <w:sz w:val="22"/>
          <w:szCs w:val="20"/>
          <w:lang w:val="sl-SI" w:eastAsia="sl-SI"/>
        </w:rPr>
        <w:t xml:space="preserve">ekonomske </w:t>
      </w:r>
      <w:r w:rsidR="00025AD0">
        <w:rPr>
          <w:sz w:val="22"/>
          <w:szCs w:val="20"/>
          <w:lang w:val="sl-SI" w:eastAsia="sl-SI"/>
        </w:rPr>
        <w:t xml:space="preserve">cilje, cilje nadaljevanja opravljanja dejavnosti, cilje po dobičku, po poslovnih sinergijah. </w:t>
      </w:r>
      <w:r w:rsidR="00485F9C">
        <w:rPr>
          <w:sz w:val="22"/>
          <w:szCs w:val="20"/>
          <w:lang w:val="sl-SI" w:eastAsia="sl-SI"/>
        </w:rPr>
        <w:t>Zavezanci po ZDDPO-2</w:t>
      </w:r>
      <w:r w:rsidR="00C627CA">
        <w:rPr>
          <w:sz w:val="22"/>
          <w:szCs w:val="20"/>
          <w:lang w:val="sl-SI" w:eastAsia="sl-SI"/>
        </w:rPr>
        <w:t xml:space="preserve"> iz 9. člena ZDDPO-2</w:t>
      </w:r>
      <w:r w:rsidR="00485F9C">
        <w:rPr>
          <w:sz w:val="22"/>
          <w:szCs w:val="20"/>
          <w:lang w:val="sl-SI" w:eastAsia="sl-SI"/>
        </w:rPr>
        <w:t xml:space="preserve">, ki niso gospodarske družbe, opravljajo </w:t>
      </w:r>
      <w:r w:rsidR="00D13429">
        <w:rPr>
          <w:sz w:val="22"/>
          <w:szCs w:val="20"/>
          <w:lang w:val="sl-SI" w:eastAsia="sl-SI"/>
        </w:rPr>
        <w:t xml:space="preserve">praviloma </w:t>
      </w:r>
      <w:r w:rsidR="00485F9C">
        <w:rPr>
          <w:sz w:val="22"/>
          <w:szCs w:val="20"/>
          <w:lang w:val="sl-SI" w:eastAsia="sl-SI"/>
        </w:rPr>
        <w:t>pridobitno dejavnost kot »povezano oziroma podporno« dejavnost svoji glavni dejavnosti</w:t>
      </w:r>
      <w:r w:rsidR="00C627CA">
        <w:rPr>
          <w:sz w:val="22"/>
          <w:szCs w:val="20"/>
          <w:lang w:val="sl-SI" w:eastAsia="sl-SI"/>
        </w:rPr>
        <w:t>, ne »delujejo« kot gospodarske družbe.</w:t>
      </w:r>
      <w:r w:rsidR="00485F9C">
        <w:rPr>
          <w:sz w:val="22"/>
          <w:szCs w:val="20"/>
          <w:lang w:val="sl-SI" w:eastAsia="sl-SI"/>
        </w:rPr>
        <w:t xml:space="preserve"> Tudi te zavezance davčna politika oziroma zakonodajalec lahko z davčnimi ukrepi spodbuja, pri tem </w:t>
      </w:r>
      <w:r w:rsidR="009B2AAC">
        <w:rPr>
          <w:sz w:val="22"/>
          <w:szCs w:val="20"/>
          <w:lang w:val="sl-SI" w:eastAsia="sl-SI"/>
        </w:rPr>
        <w:t xml:space="preserve">pa </w:t>
      </w:r>
      <w:r w:rsidR="00485F9C">
        <w:rPr>
          <w:sz w:val="22"/>
          <w:szCs w:val="20"/>
          <w:lang w:val="sl-SI" w:eastAsia="sl-SI"/>
        </w:rPr>
        <w:t>izbere ukrep, ki je najbolj ustrezen</w:t>
      </w:r>
      <w:r w:rsidR="009B2AAC">
        <w:rPr>
          <w:sz w:val="22"/>
          <w:szCs w:val="20"/>
          <w:lang w:val="sl-SI" w:eastAsia="sl-SI"/>
        </w:rPr>
        <w:t xml:space="preserve"> oziroma prilagojen njihovemu položaju.</w:t>
      </w:r>
      <w:r w:rsidR="00485F9C">
        <w:rPr>
          <w:sz w:val="22"/>
          <w:szCs w:val="20"/>
          <w:lang w:val="sl-SI" w:eastAsia="sl-SI"/>
        </w:rPr>
        <w:t xml:space="preserve"> Za te zavezance ukrep odloga davka po XII. poglavju ZDDPO-2 ni </w:t>
      </w:r>
      <w:r w:rsidR="00D13429">
        <w:rPr>
          <w:sz w:val="22"/>
          <w:szCs w:val="20"/>
          <w:lang w:val="sl-SI" w:eastAsia="sl-SI"/>
        </w:rPr>
        <w:t xml:space="preserve">tako </w:t>
      </w:r>
      <w:r w:rsidR="00485F9C">
        <w:rPr>
          <w:sz w:val="22"/>
          <w:szCs w:val="20"/>
          <w:lang w:val="sl-SI" w:eastAsia="sl-SI"/>
        </w:rPr>
        <w:t>potreben. Zanje je učinkovit ukrep denimo izvzem sredstev za izvajanje javne službe iz davčne osnove</w:t>
      </w:r>
      <w:r w:rsidR="009B2AAC">
        <w:rPr>
          <w:sz w:val="22"/>
          <w:szCs w:val="20"/>
          <w:lang w:val="sl-SI" w:eastAsia="sl-SI"/>
        </w:rPr>
        <w:t>, ki velja po ZDDPO-2</w:t>
      </w:r>
      <w:r w:rsidR="00941D8E">
        <w:rPr>
          <w:sz w:val="22"/>
          <w:szCs w:val="20"/>
          <w:lang w:val="sl-SI" w:eastAsia="sl-SI"/>
        </w:rPr>
        <w:t xml:space="preserve"> in ki za gospodarske družbe ne velja</w:t>
      </w:r>
      <w:r w:rsidR="00485F9C">
        <w:rPr>
          <w:sz w:val="22"/>
          <w:szCs w:val="20"/>
          <w:lang w:val="sl-SI" w:eastAsia="sl-SI"/>
        </w:rPr>
        <w:t xml:space="preserve">. </w:t>
      </w:r>
      <w:r w:rsidR="00B2636F" w:rsidRPr="00460C17">
        <w:rPr>
          <w:sz w:val="22"/>
          <w:szCs w:val="20"/>
          <w:lang w:val="sl-SI" w:eastAsia="sl-SI"/>
        </w:rPr>
        <w:t xml:space="preserve">V zvezi z zavodi je treba navesti, da iz ZDDPO-2 nedvomno izhaja, da za davčno obravnavo zavodov, vključno za nevtralnost reorganizacij, ni pomembna le (ne)pridobitnost ustanovitve zavoda, pomembno je poleg ustanovitve, še delovanje, financiranje, prenehanje in </w:t>
      </w:r>
      <w:r w:rsidR="00C91E3E" w:rsidRPr="00460C17">
        <w:rPr>
          <w:sz w:val="22"/>
          <w:szCs w:val="20"/>
          <w:lang w:val="sl-SI" w:eastAsia="sl-SI"/>
        </w:rPr>
        <w:t xml:space="preserve">druge </w:t>
      </w:r>
      <w:r w:rsidR="00B2636F" w:rsidRPr="00460C17">
        <w:rPr>
          <w:sz w:val="22"/>
          <w:szCs w:val="20"/>
          <w:lang w:val="sl-SI" w:eastAsia="sl-SI"/>
        </w:rPr>
        <w:t>posamezne določbe</w:t>
      </w:r>
      <w:r w:rsidR="00C91E3E" w:rsidRPr="00460C17">
        <w:rPr>
          <w:sz w:val="22"/>
          <w:szCs w:val="20"/>
          <w:lang w:val="sl-SI" w:eastAsia="sl-SI"/>
        </w:rPr>
        <w:t xml:space="preserve">, ki določajo </w:t>
      </w:r>
      <w:r w:rsidR="00DA2BD2" w:rsidRPr="00460C17">
        <w:rPr>
          <w:sz w:val="22"/>
          <w:szCs w:val="20"/>
          <w:lang w:val="sl-SI" w:eastAsia="sl-SI"/>
        </w:rPr>
        <w:t xml:space="preserve">oziroma narekujejo </w:t>
      </w:r>
      <w:r w:rsidR="00C91E3E" w:rsidRPr="00460C17">
        <w:rPr>
          <w:sz w:val="22"/>
          <w:szCs w:val="20"/>
          <w:lang w:val="sl-SI" w:eastAsia="sl-SI"/>
        </w:rPr>
        <w:t>tudi davčni položaj zavoda</w:t>
      </w:r>
      <w:r w:rsidR="00B2636F" w:rsidRPr="00460C17">
        <w:rPr>
          <w:sz w:val="22"/>
          <w:szCs w:val="20"/>
          <w:lang w:val="sl-SI" w:eastAsia="sl-SI"/>
        </w:rPr>
        <w:t>.</w:t>
      </w:r>
      <w:r w:rsidR="00B2636F" w:rsidRPr="00BC3686">
        <w:rPr>
          <w:sz w:val="22"/>
          <w:szCs w:val="20"/>
          <w:lang w:val="sl-SI" w:eastAsia="sl-SI"/>
        </w:rPr>
        <w:t xml:space="preserve"> </w:t>
      </w:r>
      <w:r w:rsidR="00B2636F">
        <w:rPr>
          <w:sz w:val="22"/>
          <w:szCs w:val="20"/>
          <w:lang w:val="sl-SI" w:eastAsia="sl-SI"/>
        </w:rPr>
        <w:t xml:space="preserve">Prav upoštevanje tega doprinese k temu, da so okvir in pogoji za nevtralnost notranjih reorganizacij </w:t>
      </w:r>
      <w:r w:rsidR="00D747EB">
        <w:rPr>
          <w:sz w:val="22"/>
          <w:szCs w:val="20"/>
          <w:lang w:val="sl-SI" w:eastAsia="sl-SI"/>
        </w:rPr>
        <w:t>po</w:t>
      </w:r>
      <w:r w:rsidR="00B2636F">
        <w:rPr>
          <w:sz w:val="22"/>
          <w:szCs w:val="20"/>
          <w:lang w:val="sl-SI" w:eastAsia="sl-SI"/>
        </w:rPr>
        <w:t xml:space="preserve"> ZDDPO-2 določeni tako, kot so določeni. </w:t>
      </w:r>
    </w:p>
    <w:p w14:paraId="02D1AB65" w14:textId="204383C5" w:rsidR="00713356" w:rsidRDefault="00485F9C" w:rsidP="00BC3686">
      <w:pPr>
        <w:spacing w:line="240" w:lineRule="auto"/>
        <w:jc w:val="both"/>
        <w:rPr>
          <w:sz w:val="22"/>
          <w:szCs w:val="20"/>
          <w:lang w:val="sl-SI" w:eastAsia="sl-SI"/>
        </w:rPr>
      </w:pPr>
      <w:r>
        <w:rPr>
          <w:sz w:val="22"/>
          <w:szCs w:val="20"/>
          <w:lang w:val="sl-SI" w:eastAsia="sl-SI"/>
        </w:rPr>
        <w:t xml:space="preserve"> </w:t>
      </w:r>
    </w:p>
    <w:p w14:paraId="14BC5C92" w14:textId="1A0B75B9" w:rsidR="00BC3686" w:rsidRPr="00BC3686" w:rsidRDefault="00C602C2" w:rsidP="00BC3686">
      <w:pPr>
        <w:spacing w:line="240" w:lineRule="auto"/>
        <w:jc w:val="both"/>
        <w:rPr>
          <w:sz w:val="22"/>
          <w:szCs w:val="20"/>
          <w:lang w:val="sl-SI" w:eastAsia="sl-SI"/>
        </w:rPr>
      </w:pPr>
      <w:r>
        <w:rPr>
          <w:sz w:val="22"/>
          <w:szCs w:val="20"/>
          <w:lang w:val="sl-SI" w:eastAsia="sl-SI"/>
        </w:rPr>
        <w:lastRenderedPageBreak/>
        <w:t>9</w:t>
      </w:r>
      <w:r w:rsidR="004E3145">
        <w:rPr>
          <w:sz w:val="22"/>
          <w:szCs w:val="20"/>
          <w:lang w:val="sl-SI" w:eastAsia="sl-SI"/>
        </w:rPr>
        <w:t xml:space="preserve">. Nadalje menimo, </w:t>
      </w:r>
      <w:r w:rsidR="00BC3686" w:rsidRPr="00BC3686">
        <w:rPr>
          <w:sz w:val="22"/>
          <w:szCs w:val="20"/>
          <w:lang w:val="sl-SI" w:eastAsia="sl-SI"/>
        </w:rPr>
        <w:t xml:space="preserve"> da zatrjevanje v smeri</w:t>
      </w:r>
      <w:r w:rsidR="004E3145">
        <w:rPr>
          <w:sz w:val="22"/>
          <w:szCs w:val="20"/>
          <w:lang w:val="sl-SI" w:eastAsia="sl-SI"/>
        </w:rPr>
        <w:t xml:space="preserve"> (kot smiselno </w:t>
      </w:r>
      <w:r>
        <w:rPr>
          <w:sz w:val="22"/>
          <w:szCs w:val="20"/>
          <w:lang w:val="sl-SI" w:eastAsia="sl-SI"/>
        </w:rPr>
        <w:t>razumemo iz</w:t>
      </w:r>
      <w:r w:rsidR="004E3145">
        <w:rPr>
          <w:sz w:val="22"/>
          <w:szCs w:val="20"/>
          <w:lang w:val="sl-SI" w:eastAsia="sl-SI"/>
        </w:rPr>
        <w:t xml:space="preserve"> sodb</w:t>
      </w:r>
      <w:r>
        <w:rPr>
          <w:sz w:val="22"/>
          <w:szCs w:val="20"/>
          <w:lang w:val="sl-SI" w:eastAsia="sl-SI"/>
        </w:rPr>
        <w:t>e</w:t>
      </w:r>
      <w:r w:rsidR="004E3145">
        <w:rPr>
          <w:sz w:val="22"/>
          <w:szCs w:val="20"/>
          <w:lang w:val="sl-SI" w:eastAsia="sl-SI"/>
        </w:rPr>
        <w:t>)</w:t>
      </w:r>
      <w:r w:rsidR="00BC3686" w:rsidRPr="00BC3686">
        <w:rPr>
          <w:sz w:val="22"/>
          <w:szCs w:val="20"/>
          <w:lang w:val="sl-SI" w:eastAsia="sl-SI"/>
        </w:rPr>
        <w:t xml:space="preserve">, da </w:t>
      </w:r>
      <w:r w:rsidR="009949B3">
        <w:rPr>
          <w:sz w:val="22"/>
          <w:szCs w:val="20"/>
          <w:lang w:val="sl-SI" w:eastAsia="sl-SI"/>
        </w:rPr>
        <w:t xml:space="preserve">se, </w:t>
      </w:r>
      <w:r w:rsidR="00BC3686" w:rsidRPr="00BC3686">
        <w:rPr>
          <w:sz w:val="22"/>
          <w:szCs w:val="20"/>
          <w:lang w:val="sl-SI" w:eastAsia="sl-SI"/>
        </w:rPr>
        <w:t>če je v nekem zakonu</w:t>
      </w:r>
      <w:r w:rsidR="009949B3">
        <w:rPr>
          <w:sz w:val="22"/>
          <w:szCs w:val="20"/>
          <w:lang w:val="sl-SI" w:eastAsia="sl-SI"/>
        </w:rPr>
        <w:t>, npr. Zakonu o zavodih,</w:t>
      </w:r>
      <w:r w:rsidR="00BC3686" w:rsidRPr="00BC3686">
        <w:rPr>
          <w:sz w:val="22"/>
          <w:szCs w:val="20"/>
          <w:lang w:val="sl-SI" w:eastAsia="sl-SI"/>
        </w:rPr>
        <w:t xml:space="preserve"> ureditev pomanjkljiva</w:t>
      </w:r>
      <w:r w:rsidR="009949B3">
        <w:rPr>
          <w:sz w:val="22"/>
          <w:szCs w:val="20"/>
          <w:lang w:val="sl-SI" w:eastAsia="sl-SI"/>
        </w:rPr>
        <w:t>,</w:t>
      </w:r>
      <w:r w:rsidR="00BC3686" w:rsidRPr="00BC3686">
        <w:rPr>
          <w:sz w:val="22"/>
          <w:szCs w:val="20"/>
          <w:lang w:val="sl-SI" w:eastAsia="sl-SI"/>
        </w:rPr>
        <w:t xml:space="preserve"> </w:t>
      </w:r>
      <w:r w:rsidR="009949B3">
        <w:rPr>
          <w:sz w:val="22"/>
          <w:szCs w:val="20"/>
          <w:lang w:val="sl-SI" w:eastAsia="sl-SI"/>
        </w:rPr>
        <w:t>l</w:t>
      </w:r>
      <w:r w:rsidR="00BC3686" w:rsidRPr="00BC3686">
        <w:rPr>
          <w:sz w:val="22"/>
          <w:szCs w:val="20"/>
          <w:lang w:val="sl-SI" w:eastAsia="sl-SI"/>
        </w:rPr>
        <w:t xml:space="preserve">ahko </w:t>
      </w:r>
      <w:r w:rsidR="00AC1717">
        <w:rPr>
          <w:sz w:val="22"/>
          <w:szCs w:val="20"/>
          <w:lang w:val="sl-SI" w:eastAsia="sl-SI"/>
        </w:rPr>
        <w:t xml:space="preserve">uporabi </w:t>
      </w:r>
      <w:r w:rsidR="00BC3686" w:rsidRPr="00BC3686">
        <w:rPr>
          <w:sz w:val="22"/>
          <w:szCs w:val="20"/>
          <w:lang w:val="sl-SI" w:eastAsia="sl-SI"/>
        </w:rPr>
        <w:t>davčna posledica ob primerni uporabi določb drugega zakona</w:t>
      </w:r>
      <w:r w:rsidR="00AC1717">
        <w:rPr>
          <w:sz w:val="22"/>
          <w:szCs w:val="20"/>
          <w:lang w:val="sl-SI" w:eastAsia="sl-SI"/>
        </w:rPr>
        <w:t>, ni ustrezno. M</w:t>
      </w:r>
      <w:r w:rsidR="00BC3686" w:rsidRPr="00BC3686">
        <w:rPr>
          <w:sz w:val="22"/>
          <w:szCs w:val="20"/>
          <w:lang w:val="sl-SI" w:eastAsia="sl-SI"/>
        </w:rPr>
        <w:t xml:space="preserve">enimo, da standard </w:t>
      </w:r>
      <w:r w:rsidR="00AC1717">
        <w:rPr>
          <w:sz w:val="22"/>
          <w:szCs w:val="20"/>
          <w:lang w:val="sl-SI" w:eastAsia="sl-SI"/>
        </w:rPr>
        <w:t>»</w:t>
      </w:r>
      <w:r w:rsidR="00BC3686" w:rsidRPr="00BC3686">
        <w:rPr>
          <w:sz w:val="22"/>
          <w:szCs w:val="20"/>
          <w:lang w:val="sl-SI" w:eastAsia="sl-SI"/>
        </w:rPr>
        <w:t>primerne uporabe</w:t>
      </w:r>
      <w:r w:rsidR="00AC1717">
        <w:rPr>
          <w:sz w:val="22"/>
          <w:szCs w:val="20"/>
          <w:lang w:val="sl-SI" w:eastAsia="sl-SI"/>
        </w:rPr>
        <w:t>«</w:t>
      </w:r>
      <w:r w:rsidR="00BC3686" w:rsidRPr="00BC3686">
        <w:rPr>
          <w:sz w:val="22"/>
          <w:szCs w:val="20"/>
          <w:lang w:val="sl-SI" w:eastAsia="sl-SI"/>
        </w:rPr>
        <w:t xml:space="preserve"> ni zadosten, zlasti ko gre za davčna vprašanja in davčne obravnave. Kot je bilo </w:t>
      </w:r>
      <w:r w:rsidR="00D310A0">
        <w:rPr>
          <w:sz w:val="22"/>
          <w:szCs w:val="20"/>
          <w:lang w:val="sl-SI" w:eastAsia="sl-SI"/>
        </w:rPr>
        <w:t xml:space="preserve">že </w:t>
      </w:r>
      <w:r w:rsidR="00BC3686" w:rsidRPr="00BC3686">
        <w:rPr>
          <w:sz w:val="22"/>
          <w:szCs w:val="20"/>
          <w:lang w:val="sl-SI" w:eastAsia="sl-SI"/>
        </w:rPr>
        <w:t>navedeno, davk</w:t>
      </w:r>
      <w:r w:rsidR="004E3145">
        <w:rPr>
          <w:sz w:val="22"/>
          <w:szCs w:val="20"/>
          <w:lang w:val="sl-SI" w:eastAsia="sl-SI"/>
        </w:rPr>
        <w:t xml:space="preserve">i se uporabljajo za uresničevanje širših </w:t>
      </w:r>
      <w:r w:rsidR="00D310A0">
        <w:rPr>
          <w:sz w:val="22"/>
          <w:szCs w:val="20"/>
          <w:lang w:val="sl-SI" w:eastAsia="sl-SI"/>
        </w:rPr>
        <w:t xml:space="preserve">potreb </w:t>
      </w:r>
      <w:r w:rsidR="004E3145">
        <w:rPr>
          <w:sz w:val="22"/>
          <w:szCs w:val="20"/>
          <w:lang w:val="sl-SI" w:eastAsia="sl-SI"/>
        </w:rPr>
        <w:t xml:space="preserve">in zato je treba </w:t>
      </w:r>
      <w:r w:rsidR="005974A6">
        <w:rPr>
          <w:sz w:val="22"/>
          <w:szCs w:val="20"/>
          <w:lang w:val="sl-SI" w:eastAsia="sl-SI"/>
        </w:rPr>
        <w:t xml:space="preserve">ob »davčnih </w:t>
      </w:r>
      <w:proofErr w:type="spellStart"/>
      <w:r w:rsidR="005974A6">
        <w:rPr>
          <w:sz w:val="22"/>
          <w:szCs w:val="20"/>
          <w:lang w:val="sl-SI" w:eastAsia="sl-SI"/>
        </w:rPr>
        <w:t>popustkih</w:t>
      </w:r>
      <w:proofErr w:type="spellEnd"/>
      <w:r w:rsidR="005974A6">
        <w:rPr>
          <w:sz w:val="22"/>
          <w:szCs w:val="20"/>
          <w:lang w:val="sl-SI" w:eastAsia="sl-SI"/>
        </w:rPr>
        <w:t xml:space="preserve">« </w:t>
      </w:r>
      <w:r w:rsidR="004E3145">
        <w:rPr>
          <w:sz w:val="22"/>
          <w:szCs w:val="20"/>
          <w:lang w:val="sl-SI" w:eastAsia="sl-SI"/>
        </w:rPr>
        <w:t xml:space="preserve">zavarovati finančne interese države. </w:t>
      </w:r>
      <w:r w:rsidR="00BC3686" w:rsidRPr="00BC3686">
        <w:rPr>
          <w:sz w:val="22"/>
          <w:szCs w:val="20"/>
          <w:lang w:val="sl-SI" w:eastAsia="sl-SI"/>
        </w:rPr>
        <w:t xml:space="preserve"> </w:t>
      </w:r>
    </w:p>
    <w:p w14:paraId="19380251" w14:textId="77777777" w:rsidR="00BC3686" w:rsidRPr="00BC3686" w:rsidRDefault="00BC3686" w:rsidP="00BC3686">
      <w:pPr>
        <w:spacing w:line="240" w:lineRule="auto"/>
        <w:jc w:val="both"/>
        <w:rPr>
          <w:sz w:val="22"/>
          <w:szCs w:val="20"/>
          <w:lang w:val="sl-SI" w:eastAsia="sl-SI"/>
        </w:rPr>
      </w:pPr>
    </w:p>
    <w:p w14:paraId="7DE3A4F6" w14:textId="3A275A66" w:rsidR="00BC3686" w:rsidRPr="00BC3686" w:rsidRDefault="00C602C2" w:rsidP="00BC3686">
      <w:pPr>
        <w:spacing w:line="240" w:lineRule="auto"/>
        <w:jc w:val="both"/>
        <w:rPr>
          <w:sz w:val="22"/>
          <w:szCs w:val="20"/>
          <w:lang w:val="sl-SI" w:eastAsia="sl-SI"/>
        </w:rPr>
      </w:pPr>
      <w:r>
        <w:rPr>
          <w:sz w:val="22"/>
          <w:szCs w:val="20"/>
          <w:lang w:val="sl-SI" w:eastAsia="sl-SI"/>
        </w:rPr>
        <w:t>10</w:t>
      </w:r>
      <w:r w:rsidR="00BC3686" w:rsidRPr="00BC3686">
        <w:rPr>
          <w:sz w:val="22"/>
          <w:szCs w:val="20"/>
          <w:lang w:val="sl-SI" w:eastAsia="sl-SI"/>
        </w:rPr>
        <w:t xml:space="preserve">. ZDDPO-2 enake položaje pravnih subjektov ureja enako. Pri priznavanju davčne nevtralnosti gre za </w:t>
      </w:r>
      <w:r>
        <w:rPr>
          <w:sz w:val="22"/>
          <w:szCs w:val="20"/>
          <w:lang w:val="sl-SI" w:eastAsia="sl-SI"/>
        </w:rPr>
        <w:t xml:space="preserve">upoštevanje </w:t>
      </w:r>
      <w:r w:rsidR="00BC3686" w:rsidRPr="00BC3686">
        <w:rPr>
          <w:sz w:val="22"/>
          <w:szCs w:val="20"/>
          <w:lang w:val="sl-SI" w:eastAsia="sl-SI"/>
        </w:rPr>
        <w:t>različn</w:t>
      </w:r>
      <w:r>
        <w:rPr>
          <w:sz w:val="22"/>
          <w:szCs w:val="20"/>
          <w:lang w:val="sl-SI" w:eastAsia="sl-SI"/>
        </w:rPr>
        <w:t>ih</w:t>
      </w:r>
      <w:r w:rsidR="00BC3686" w:rsidRPr="00BC3686">
        <w:rPr>
          <w:sz w:val="22"/>
          <w:szCs w:val="20"/>
          <w:lang w:val="sl-SI" w:eastAsia="sl-SI"/>
        </w:rPr>
        <w:t xml:space="preserve"> položaje</w:t>
      </w:r>
      <w:r>
        <w:rPr>
          <w:sz w:val="22"/>
          <w:szCs w:val="20"/>
          <w:lang w:val="sl-SI" w:eastAsia="sl-SI"/>
        </w:rPr>
        <w:t>v</w:t>
      </w:r>
      <w:r w:rsidR="00BC3686" w:rsidRPr="00BC3686">
        <w:rPr>
          <w:sz w:val="22"/>
          <w:szCs w:val="20"/>
          <w:lang w:val="sl-SI" w:eastAsia="sl-SI"/>
        </w:rPr>
        <w:t xml:space="preserve">, ki so ustrezno različno urejeni. Iz narave </w:t>
      </w:r>
      <w:r w:rsidR="000A5BC1">
        <w:rPr>
          <w:sz w:val="22"/>
          <w:szCs w:val="20"/>
          <w:lang w:val="sl-SI" w:eastAsia="sl-SI"/>
        </w:rPr>
        <w:t xml:space="preserve">stvari izhaja, da sta si </w:t>
      </w:r>
      <w:r w:rsidR="006C46B7">
        <w:rPr>
          <w:sz w:val="22"/>
          <w:szCs w:val="20"/>
          <w:lang w:val="sl-SI" w:eastAsia="sl-SI"/>
        </w:rPr>
        <w:t xml:space="preserve">gospodarska </w:t>
      </w:r>
      <w:r w:rsidR="000A5BC1">
        <w:rPr>
          <w:sz w:val="22"/>
          <w:szCs w:val="20"/>
          <w:lang w:val="sl-SI" w:eastAsia="sl-SI"/>
        </w:rPr>
        <w:t xml:space="preserve">družba in zavod v </w:t>
      </w:r>
      <w:r w:rsidR="00BC3686" w:rsidRPr="00BC3686">
        <w:rPr>
          <w:sz w:val="22"/>
          <w:szCs w:val="20"/>
          <w:lang w:val="sl-SI" w:eastAsia="sl-SI"/>
        </w:rPr>
        <w:t xml:space="preserve">določenih točkah njunega delovanja podobna, vendar obstajajo tudi bistvene razlike. Zlasti to izhaja </w:t>
      </w:r>
      <w:r w:rsidR="000A5BC1">
        <w:rPr>
          <w:sz w:val="22"/>
          <w:szCs w:val="20"/>
          <w:lang w:val="sl-SI" w:eastAsia="sl-SI"/>
        </w:rPr>
        <w:t xml:space="preserve">iz </w:t>
      </w:r>
      <w:r w:rsidR="00BC3686" w:rsidRPr="00BC3686">
        <w:rPr>
          <w:sz w:val="22"/>
          <w:szCs w:val="20"/>
          <w:lang w:val="sl-SI" w:eastAsia="sl-SI"/>
        </w:rPr>
        <w:t>situacij, ko prihaja do statusnih</w:t>
      </w:r>
      <w:r w:rsidR="000A5BC1">
        <w:rPr>
          <w:sz w:val="22"/>
          <w:szCs w:val="20"/>
          <w:lang w:val="sl-SI" w:eastAsia="sl-SI"/>
        </w:rPr>
        <w:t xml:space="preserve"> reorganizacij.</w:t>
      </w:r>
      <w:r w:rsidR="00A81AC9">
        <w:rPr>
          <w:sz w:val="22"/>
          <w:szCs w:val="20"/>
          <w:lang w:val="sl-SI" w:eastAsia="sl-SI"/>
        </w:rPr>
        <w:t xml:space="preserve"> </w:t>
      </w:r>
      <w:r w:rsidR="000A5BC1">
        <w:rPr>
          <w:sz w:val="22"/>
          <w:szCs w:val="20"/>
          <w:lang w:val="sl-SI" w:eastAsia="sl-SI"/>
        </w:rPr>
        <w:t xml:space="preserve"> </w:t>
      </w:r>
      <w:r w:rsidR="00BC3686" w:rsidRPr="00BC3686">
        <w:rPr>
          <w:sz w:val="22"/>
          <w:szCs w:val="20"/>
          <w:lang w:val="sl-SI" w:eastAsia="sl-SI"/>
        </w:rPr>
        <w:t xml:space="preserve"> </w:t>
      </w:r>
    </w:p>
    <w:p w14:paraId="213C6459" w14:textId="77777777" w:rsidR="00BC3686" w:rsidRPr="00BC3686" w:rsidRDefault="00BC3686" w:rsidP="00BC3686">
      <w:pPr>
        <w:spacing w:line="240" w:lineRule="auto"/>
        <w:jc w:val="both"/>
        <w:rPr>
          <w:sz w:val="22"/>
          <w:szCs w:val="20"/>
          <w:lang w:val="sl-SI" w:eastAsia="sl-SI"/>
        </w:rPr>
      </w:pPr>
    </w:p>
    <w:p w14:paraId="1C88D09D" w14:textId="5B92811C" w:rsidR="00BC3686" w:rsidRPr="00BC3686" w:rsidRDefault="00C602C2" w:rsidP="00BC3686">
      <w:pPr>
        <w:spacing w:line="240" w:lineRule="auto"/>
        <w:jc w:val="both"/>
        <w:rPr>
          <w:sz w:val="22"/>
          <w:szCs w:val="20"/>
          <w:lang w:val="sl-SI" w:eastAsia="sl-SI"/>
        </w:rPr>
      </w:pPr>
      <w:r>
        <w:rPr>
          <w:sz w:val="22"/>
          <w:szCs w:val="20"/>
          <w:lang w:val="sl-SI" w:eastAsia="sl-SI"/>
        </w:rPr>
        <w:t>11</w:t>
      </w:r>
      <w:r w:rsidR="000A5BC1">
        <w:rPr>
          <w:sz w:val="22"/>
          <w:szCs w:val="20"/>
          <w:lang w:val="sl-SI" w:eastAsia="sl-SI"/>
        </w:rPr>
        <w:t xml:space="preserve">. Glede na predhodno točko in povezano z ureditvijo v ZDDPO-2 </w:t>
      </w:r>
      <w:r>
        <w:rPr>
          <w:sz w:val="22"/>
          <w:szCs w:val="20"/>
          <w:lang w:val="sl-SI" w:eastAsia="sl-SI"/>
        </w:rPr>
        <w:t xml:space="preserve">ponovno </w:t>
      </w:r>
      <w:r w:rsidR="000A5BC1">
        <w:rPr>
          <w:sz w:val="22"/>
          <w:szCs w:val="20"/>
          <w:lang w:val="sl-SI" w:eastAsia="sl-SI"/>
        </w:rPr>
        <w:t>poudarjamo, da so z</w:t>
      </w:r>
      <w:r w:rsidR="00BC3686" w:rsidRPr="00BC3686">
        <w:rPr>
          <w:sz w:val="22"/>
          <w:szCs w:val="20"/>
          <w:lang w:val="sl-SI" w:eastAsia="sl-SI"/>
        </w:rPr>
        <w:t xml:space="preserve">načilnosti </w:t>
      </w:r>
      <w:r w:rsidR="000A5BC1">
        <w:rPr>
          <w:sz w:val="22"/>
          <w:szCs w:val="20"/>
          <w:lang w:val="sl-SI" w:eastAsia="sl-SI"/>
        </w:rPr>
        <w:t>s</w:t>
      </w:r>
      <w:r w:rsidR="00BC3686" w:rsidRPr="00BC3686">
        <w:rPr>
          <w:sz w:val="22"/>
          <w:szCs w:val="20"/>
          <w:lang w:val="sl-SI" w:eastAsia="sl-SI"/>
        </w:rPr>
        <w:t xml:space="preserve">tatusnih reorganizacij </w:t>
      </w:r>
      <w:r w:rsidR="000A5BC1">
        <w:rPr>
          <w:sz w:val="22"/>
          <w:szCs w:val="20"/>
          <w:lang w:val="sl-SI" w:eastAsia="sl-SI"/>
        </w:rPr>
        <w:t xml:space="preserve">za </w:t>
      </w:r>
      <w:r>
        <w:rPr>
          <w:sz w:val="22"/>
          <w:szCs w:val="20"/>
          <w:lang w:val="sl-SI" w:eastAsia="sl-SI"/>
        </w:rPr>
        <w:t xml:space="preserve">gospodarske </w:t>
      </w:r>
      <w:r w:rsidR="000A5BC1">
        <w:rPr>
          <w:sz w:val="22"/>
          <w:szCs w:val="20"/>
          <w:lang w:val="sl-SI" w:eastAsia="sl-SI"/>
        </w:rPr>
        <w:t xml:space="preserve">družbe in za zavode </w:t>
      </w:r>
      <w:r w:rsidR="00BC3686" w:rsidRPr="00BC3686">
        <w:rPr>
          <w:sz w:val="22"/>
          <w:szCs w:val="20"/>
          <w:lang w:val="sl-SI" w:eastAsia="sl-SI"/>
        </w:rPr>
        <w:t>osnova</w:t>
      </w:r>
      <w:r w:rsidR="00B408B2">
        <w:rPr>
          <w:sz w:val="22"/>
          <w:szCs w:val="20"/>
          <w:lang w:val="sl-SI" w:eastAsia="sl-SI"/>
        </w:rPr>
        <w:t xml:space="preserve"> za </w:t>
      </w:r>
      <w:r w:rsidR="00266152">
        <w:rPr>
          <w:sz w:val="22"/>
          <w:szCs w:val="20"/>
          <w:lang w:val="sl-SI" w:eastAsia="sl-SI"/>
        </w:rPr>
        <w:t xml:space="preserve">njihovo </w:t>
      </w:r>
      <w:r w:rsidR="00B408B2">
        <w:rPr>
          <w:sz w:val="22"/>
          <w:szCs w:val="20"/>
          <w:lang w:val="sl-SI" w:eastAsia="sl-SI"/>
        </w:rPr>
        <w:t>davčno urejanje</w:t>
      </w:r>
      <w:r w:rsidR="00BC3686" w:rsidRPr="00BC3686">
        <w:rPr>
          <w:sz w:val="22"/>
          <w:szCs w:val="20"/>
          <w:lang w:val="sl-SI" w:eastAsia="sl-SI"/>
        </w:rPr>
        <w:t>. Te značilnosti s</w:t>
      </w:r>
      <w:r w:rsidR="007E2372">
        <w:rPr>
          <w:sz w:val="22"/>
          <w:szCs w:val="20"/>
          <w:lang w:val="sl-SI" w:eastAsia="sl-SI"/>
        </w:rPr>
        <w:t>o</w:t>
      </w:r>
      <w:r w:rsidR="00BC3686" w:rsidRPr="00BC3686">
        <w:rPr>
          <w:sz w:val="22"/>
          <w:szCs w:val="20"/>
          <w:lang w:val="sl-SI" w:eastAsia="sl-SI"/>
        </w:rPr>
        <w:t xml:space="preserve"> razli</w:t>
      </w:r>
      <w:r w:rsidR="007E2372">
        <w:rPr>
          <w:sz w:val="22"/>
          <w:szCs w:val="20"/>
          <w:lang w:val="sl-SI" w:eastAsia="sl-SI"/>
        </w:rPr>
        <w:t>čne za</w:t>
      </w:r>
      <w:r w:rsidR="00BC3686" w:rsidRPr="00BC3686">
        <w:rPr>
          <w:sz w:val="22"/>
          <w:szCs w:val="20"/>
          <w:lang w:val="sl-SI" w:eastAsia="sl-SI"/>
        </w:rPr>
        <w:t xml:space="preserve"> </w:t>
      </w:r>
      <w:r>
        <w:rPr>
          <w:sz w:val="22"/>
          <w:szCs w:val="20"/>
          <w:lang w:val="sl-SI" w:eastAsia="sl-SI"/>
        </w:rPr>
        <w:t xml:space="preserve">gospodarske </w:t>
      </w:r>
      <w:r w:rsidR="00BC3686" w:rsidRPr="00BC3686">
        <w:rPr>
          <w:sz w:val="22"/>
          <w:szCs w:val="20"/>
          <w:lang w:val="sl-SI" w:eastAsia="sl-SI"/>
        </w:rPr>
        <w:t>družb</w:t>
      </w:r>
      <w:r w:rsidR="007E2372">
        <w:rPr>
          <w:sz w:val="22"/>
          <w:szCs w:val="20"/>
          <w:lang w:val="sl-SI" w:eastAsia="sl-SI"/>
        </w:rPr>
        <w:t>e</w:t>
      </w:r>
      <w:r w:rsidR="00BC3686" w:rsidRPr="00BC3686">
        <w:rPr>
          <w:sz w:val="22"/>
          <w:szCs w:val="20"/>
          <w:lang w:val="sl-SI" w:eastAsia="sl-SI"/>
        </w:rPr>
        <w:t xml:space="preserve"> in </w:t>
      </w:r>
      <w:r w:rsidR="007E2372">
        <w:rPr>
          <w:sz w:val="22"/>
          <w:szCs w:val="20"/>
          <w:lang w:val="sl-SI" w:eastAsia="sl-SI"/>
        </w:rPr>
        <w:t xml:space="preserve">za </w:t>
      </w:r>
      <w:r w:rsidR="00BC3686" w:rsidRPr="00BC3686">
        <w:rPr>
          <w:sz w:val="22"/>
          <w:szCs w:val="20"/>
          <w:lang w:val="sl-SI" w:eastAsia="sl-SI"/>
        </w:rPr>
        <w:t>zavod</w:t>
      </w:r>
      <w:r w:rsidR="007E2372">
        <w:rPr>
          <w:sz w:val="22"/>
          <w:szCs w:val="20"/>
          <w:lang w:val="sl-SI" w:eastAsia="sl-SI"/>
        </w:rPr>
        <w:t>e</w:t>
      </w:r>
      <w:r w:rsidR="00BC3686" w:rsidRPr="00BC3686">
        <w:rPr>
          <w:sz w:val="22"/>
          <w:szCs w:val="20"/>
          <w:lang w:val="sl-SI" w:eastAsia="sl-SI"/>
        </w:rPr>
        <w:t xml:space="preserve">. </w:t>
      </w:r>
      <w:r w:rsidR="00B408B2">
        <w:rPr>
          <w:sz w:val="22"/>
          <w:szCs w:val="20"/>
          <w:lang w:val="sl-SI" w:eastAsia="sl-SI"/>
        </w:rPr>
        <w:t>Navedene r</w:t>
      </w:r>
      <w:r w:rsidR="00BC3686" w:rsidRPr="00BC3686">
        <w:rPr>
          <w:sz w:val="22"/>
          <w:szCs w:val="20"/>
          <w:lang w:val="sl-SI" w:eastAsia="sl-SI"/>
        </w:rPr>
        <w:t xml:space="preserve">azlike so temelj in osnova, iz katere </w:t>
      </w:r>
      <w:r w:rsidR="007E2372">
        <w:rPr>
          <w:sz w:val="22"/>
          <w:szCs w:val="20"/>
          <w:lang w:val="sl-SI" w:eastAsia="sl-SI"/>
        </w:rPr>
        <w:t xml:space="preserve">posledično </w:t>
      </w:r>
      <w:r w:rsidR="00BC3686" w:rsidRPr="00BC3686">
        <w:rPr>
          <w:sz w:val="22"/>
          <w:szCs w:val="20"/>
          <w:lang w:val="sl-SI" w:eastAsia="sl-SI"/>
        </w:rPr>
        <w:t xml:space="preserve">izhaja </w:t>
      </w:r>
      <w:r w:rsidR="00B408B2">
        <w:rPr>
          <w:sz w:val="22"/>
          <w:szCs w:val="20"/>
          <w:lang w:val="sl-SI" w:eastAsia="sl-SI"/>
        </w:rPr>
        <w:t xml:space="preserve">davčna </w:t>
      </w:r>
      <w:r w:rsidR="00266152">
        <w:rPr>
          <w:sz w:val="22"/>
          <w:szCs w:val="20"/>
          <w:lang w:val="sl-SI" w:eastAsia="sl-SI"/>
        </w:rPr>
        <w:t xml:space="preserve">obravnava za </w:t>
      </w:r>
      <w:r w:rsidR="00BC3686" w:rsidRPr="00BC3686">
        <w:rPr>
          <w:sz w:val="22"/>
          <w:szCs w:val="20"/>
          <w:lang w:val="sl-SI" w:eastAsia="sl-SI"/>
        </w:rPr>
        <w:t>zavod</w:t>
      </w:r>
      <w:r w:rsidR="00266152">
        <w:rPr>
          <w:sz w:val="22"/>
          <w:szCs w:val="20"/>
          <w:lang w:val="sl-SI" w:eastAsia="sl-SI"/>
        </w:rPr>
        <w:t xml:space="preserve">e (ali so upravičeni do davčno nevtralne obravnave </w:t>
      </w:r>
      <w:r w:rsidR="00B408B2">
        <w:rPr>
          <w:sz w:val="22"/>
          <w:szCs w:val="20"/>
          <w:lang w:val="sl-SI" w:eastAsia="sl-SI"/>
        </w:rPr>
        <w:t>oziroma</w:t>
      </w:r>
      <w:r w:rsidR="00266152">
        <w:rPr>
          <w:sz w:val="22"/>
          <w:szCs w:val="20"/>
          <w:lang w:val="sl-SI" w:eastAsia="sl-SI"/>
        </w:rPr>
        <w:t xml:space="preserve"> </w:t>
      </w:r>
      <w:r w:rsidR="00B408B2">
        <w:rPr>
          <w:sz w:val="22"/>
          <w:szCs w:val="20"/>
          <w:lang w:val="sl-SI" w:eastAsia="sl-SI"/>
        </w:rPr>
        <w:t>izpolnjujejo pogoje</w:t>
      </w:r>
      <w:r w:rsidR="00266152">
        <w:rPr>
          <w:sz w:val="22"/>
          <w:szCs w:val="20"/>
          <w:lang w:val="sl-SI" w:eastAsia="sl-SI"/>
        </w:rPr>
        <w:t xml:space="preserve"> zanjo</w:t>
      </w:r>
      <w:r w:rsidR="00B408B2">
        <w:rPr>
          <w:sz w:val="22"/>
          <w:szCs w:val="20"/>
          <w:lang w:val="sl-SI" w:eastAsia="sl-SI"/>
        </w:rPr>
        <w:t xml:space="preserve"> po ZDDPO-2</w:t>
      </w:r>
      <w:r w:rsidR="00266152">
        <w:rPr>
          <w:sz w:val="22"/>
          <w:szCs w:val="20"/>
          <w:lang w:val="sl-SI" w:eastAsia="sl-SI"/>
        </w:rPr>
        <w:t>)</w:t>
      </w:r>
      <w:r w:rsidR="00BC3686" w:rsidRPr="00BC3686">
        <w:rPr>
          <w:sz w:val="22"/>
          <w:szCs w:val="20"/>
          <w:lang w:val="sl-SI" w:eastAsia="sl-SI"/>
        </w:rPr>
        <w:t xml:space="preserve">. Davčna zakonodaja </w:t>
      </w:r>
      <w:r w:rsidR="00B408B2">
        <w:rPr>
          <w:sz w:val="22"/>
          <w:szCs w:val="20"/>
          <w:lang w:val="sl-SI" w:eastAsia="sl-SI"/>
        </w:rPr>
        <w:t xml:space="preserve">v veljavni </w:t>
      </w:r>
      <w:r w:rsidR="00BC3686" w:rsidRPr="00BC3686">
        <w:rPr>
          <w:sz w:val="22"/>
          <w:szCs w:val="20"/>
          <w:lang w:val="sl-SI" w:eastAsia="sl-SI"/>
        </w:rPr>
        <w:t xml:space="preserve">ureditvi »zaključuje«, da so </w:t>
      </w:r>
      <w:r>
        <w:rPr>
          <w:sz w:val="22"/>
          <w:szCs w:val="20"/>
          <w:lang w:val="sl-SI" w:eastAsia="sl-SI"/>
        </w:rPr>
        <w:t xml:space="preserve">gospodarske </w:t>
      </w:r>
      <w:r w:rsidR="00BC3686" w:rsidRPr="00BC3686">
        <w:rPr>
          <w:sz w:val="22"/>
          <w:szCs w:val="20"/>
          <w:lang w:val="sl-SI" w:eastAsia="sl-SI"/>
        </w:rPr>
        <w:t xml:space="preserve">družbe in zavodi v različnem </w:t>
      </w:r>
      <w:r>
        <w:rPr>
          <w:sz w:val="22"/>
          <w:szCs w:val="20"/>
          <w:lang w:val="sl-SI" w:eastAsia="sl-SI"/>
        </w:rPr>
        <w:t xml:space="preserve">(davčnem) </w:t>
      </w:r>
      <w:r w:rsidR="00BC3686" w:rsidRPr="00BC3686">
        <w:rPr>
          <w:sz w:val="22"/>
          <w:szCs w:val="20"/>
          <w:lang w:val="sl-SI" w:eastAsia="sl-SI"/>
        </w:rPr>
        <w:t>položaju in so zato lahko različno davčno obravnavani.</w:t>
      </w:r>
      <w:r w:rsidR="00B408B2">
        <w:rPr>
          <w:sz w:val="22"/>
          <w:szCs w:val="20"/>
          <w:lang w:val="sl-SI" w:eastAsia="sl-SI"/>
        </w:rPr>
        <w:t xml:space="preserve"> Ponovno poudarjamo, da ugodnost </w:t>
      </w:r>
      <w:r w:rsidR="007E2372">
        <w:rPr>
          <w:sz w:val="22"/>
          <w:szCs w:val="20"/>
          <w:lang w:val="sl-SI" w:eastAsia="sl-SI"/>
        </w:rPr>
        <w:t xml:space="preserve">- </w:t>
      </w:r>
      <w:r w:rsidR="00B408B2">
        <w:rPr>
          <w:sz w:val="22"/>
          <w:szCs w:val="20"/>
          <w:lang w:val="sl-SI" w:eastAsia="sl-SI"/>
        </w:rPr>
        <w:t>davčn</w:t>
      </w:r>
      <w:r w:rsidR="007E2372">
        <w:rPr>
          <w:sz w:val="22"/>
          <w:szCs w:val="20"/>
          <w:lang w:val="sl-SI" w:eastAsia="sl-SI"/>
        </w:rPr>
        <w:t>a</w:t>
      </w:r>
      <w:r w:rsidR="00B408B2">
        <w:rPr>
          <w:sz w:val="22"/>
          <w:szCs w:val="20"/>
          <w:lang w:val="sl-SI" w:eastAsia="sl-SI"/>
        </w:rPr>
        <w:t xml:space="preserve"> nevtralnost ni določena </w:t>
      </w:r>
      <w:r w:rsidR="007E2372">
        <w:rPr>
          <w:sz w:val="22"/>
          <w:szCs w:val="20"/>
          <w:lang w:val="sl-SI" w:eastAsia="sl-SI"/>
        </w:rPr>
        <w:t xml:space="preserve">in uporabljena </w:t>
      </w:r>
      <w:r w:rsidR="00B408B2">
        <w:rPr>
          <w:sz w:val="22"/>
          <w:szCs w:val="20"/>
          <w:lang w:val="sl-SI" w:eastAsia="sl-SI"/>
        </w:rPr>
        <w:t xml:space="preserve">zgolj na podlagi namena ustanovitve </w:t>
      </w:r>
      <w:r w:rsidR="00B2636F">
        <w:rPr>
          <w:sz w:val="22"/>
          <w:szCs w:val="20"/>
          <w:lang w:val="sl-SI" w:eastAsia="sl-SI"/>
        </w:rPr>
        <w:t>(</w:t>
      </w:r>
      <w:r w:rsidR="00B408B2">
        <w:rPr>
          <w:sz w:val="22"/>
          <w:szCs w:val="20"/>
          <w:lang w:val="sl-SI" w:eastAsia="sl-SI"/>
        </w:rPr>
        <w:t>pravnoorganizacijske oblike), ampak ob upoštevanju še drugih razlik</w:t>
      </w:r>
      <w:r>
        <w:rPr>
          <w:sz w:val="22"/>
          <w:szCs w:val="20"/>
          <w:lang w:val="sl-SI" w:eastAsia="sl-SI"/>
        </w:rPr>
        <w:t xml:space="preserve"> v položaju</w:t>
      </w:r>
      <w:r w:rsidR="00B408B2">
        <w:rPr>
          <w:sz w:val="22"/>
          <w:szCs w:val="20"/>
          <w:lang w:val="sl-SI" w:eastAsia="sl-SI"/>
        </w:rPr>
        <w:t xml:space="preserve">, kar </w:t>
      </w:r>
      <w:r w:rsidR="007E2372">
        <w:rPr>
          <w:sz w:val="22"/>
          <w:szCs w:val="20"/>
          <w:lang w:val="sl-SI" w:eastAsia="sl-SI"/>
        </w:rPr>
        <w:t xml:space="preserve">je šteti </w:t>
      </w:r>
      <w:r w:rsidR="00B408B2">
        <w:rPr>
          <w:sz w:val="22"/>
          <w:szCs w:val="20"/>
          <w:lang w:val="sl-SI" w:eastAsia="sl-SI"/>
        </w:rPr>
        <w:t xml:space="preserve">za razumen razlog, da se </w:t>
      </w:r>
      <w:r>
        <w:rPr>
          <w:sz w:val="22"/>
          <w:szCs w:val="20"/>
          <w:lang w:val="sl-SI" w:eastAsia="sl-SI"/>
        </w:rPr>
        <w:t xml:space="preserve">tudi </w:t>
      </w:r>
      <w:r w:rsidR="00B408B2">
        <w:rPr>
          <w:sz w:val="22"/>
          <w:szCs w:val="20"/>
          <w:lang w:val="sl-SI" w:eastAsia="sl-SI"/>
        </w:rPr>
        <w:t xml:space="preserve">bistveno enaki položaji uredijo različno.  </w:t>
      </w:r>
      <w:r w:rsidR="00BC3686" w:rsidRPr="00BC3686">
        <w:rPr>
          <w:sz w:val="22"/>
          <w:szCs w:val="20"/>
          <w:lang w:val="sl-SI" w:eastAsia="sl-SI"/>
        </w:rPr>
        <w:t xml:space="preserve">  </w:t>
      </w:r>
    </w:p>
    <w:p w14:paraId="47B7D680" w14:textId="693C3492" w:rsidR="00BC3686" w:rsidRDefault="00BC3686" w:rsidP="00BC3686">
      <w:pPr>
        <w:jc w:val="both"/>
        <w:rPr>
          <w:sz w:val="22"/>
          <w:szCs w:val="20"/>
          <w:lang w:val="sl-SI" w:eastAsia="sl-SI"/>
        </w:rPr>
      </w:pPr>
    </w:p>
    <w:p w14:paraId="72ACC091" w14:textId="51F135EF" w:rsidR="00BC3686" w:rsidRDefault="00A81AC9" w:rsidP="00BC3686">
      <w:pPr>
        <w:jc w:val="both"/>
        <w:rPr>
          <w:sz w:val="22"/>
          <w:szCs w:val="20"/>
          <w:lang w:val="sl-SI" w:eastAsia="sl-SI"/>
        </w:rPr>
      </w:pPr>
      <w:r>
        <w:rPr>
          <w:sz w:val="22"/>
          <w:szCs w:val="20"/>
          <w:lang w:val="sl-SI" w:eastAsia="sl-SI"/>
        </w:rPr>
        <w:t>***</w:t>
      </w:r>
    </w:p>
    <w:p w14:paraId="12EA6C12" w14:textId="77777777" w:rsidR="00A81AC9" w:rsidRPr="00BC3686" w:rsidRDefault="00A81AC9" w:rsidP="00BC3686">
      <w:pPr>
        <w:jc w:val="both"/>
        <w:rPr>
          <w:sz w:val="22"/>
          <w:szCs w:val="20"/>
          <w:lang w:val="sl-SI" w:eastAsia="sl-SI"/>
        </w:rPr>
      </w:pPr>
    </w:p>
    <w:p w14:paraId="75252C06" w14:textId="5CB5833C" w:rsidR="00C54898" w:rsidRDefault="0035532A" w:rsidP="00D167B4">
      <w:pPr>
        <w:jc w:val="both"/>
        <w:rPr>
          <w:sz w:val="22"/>
          <w:szCs w:val="20"/>
          <w:lang w:val="sl-SI" w:eastAsia="sl-SI"/>
        </w:rPr>
      </w:pPr>
      <w:r>
        <w:rPr>
          <w:sz w:val="22"/>
          <w:szCs w:val="20"/>
          <w:lang w:val="sl-SI" w:eastAsia="sl-SI"/>
        </w:rPr>
        <w:t xml:space="preserve">Zaključno </w:t>
      </w:r>
      <w:r w:rsidR="007D6EAD">
        <w:rPr>
          <w:sz w:val="22"/>
          <w:szCs w:val="20"/>
          <w:lang w:val="sl-SI" w:eastAsia="sl-SI"/>
        </w:rPr>
        <w:t xml:space="preserve">je </w:t>
      </w:r>
      <w:r>
        <w:rPr>
          <w:sz w:val="22"/>
          <w:szCs w:val="20"/>
          <w:lang w:val="sl-SI" w:eastAsia="sl-SI"/>
        </w:rPr>
        <w:t xml:space="preserve">v dopisu </w:t>
      </w:r>
      <w:r w:rsidR="007D6EAD">
        <w:rPr>
          <w:sz w:val="22"/>
          <w:szCs w:val="20"/>
          <w:lang w:val="sl-SI" w:eastAsia="sl-SI"/>
        </w:rPr>
        <w:t xml:space="preserve">FURS </w:t>
      </w:r>
      <w:r>
        <w:rPr>
          <w:sz w:val="22"/>
          <w:szCs w:val="20"/>
          <w:lang w:val="sl-SI" w:eastAsia="sl-SI"/>
        </w:rPr>
        <w:t>navede</w:t>
      </w:r>
      <w:r w:rsidR="007D6EAD">
        <w:rPr>
          <w:sz w:val="22"/>
          <w:szCs w:val="20"/>
          <w:lang w:val="sl-SI" w:eastAsia="sl-SI"/>
        </w:rPr>
        <w:t>no</w:t>
      </w:r>
      <w:r>
        <w:rPr>
          <w:sz w:val="22"/>
          <w:szCs w:val="20"/>
          <w:lang w:val="sl-SI" w:eastAsia="sl-SI"/>
        </w:rPr>
        <w:t xml:space="preserve"> nekaj vprašanj. Izhajajoč iz vsega zgoraj navedenega in upoštevaje sporočilo </w:t>
      </w:r>
      <w:r w:rsidR="007D6EAD">
        <w:rPr>
          <w:sz w:val="22"/>
          <w:szCs w:val="20"/>
          <w:lang w:val="sl-SI" w:eastAsia="sl-SI"/>
        </w:rPr>
        <w:t xml:space="preserve">FURS </w:t>
      </w:r>
      <w:r>
        <w:rPr>
          <w:sz w:val="22"/>
          <w:szCs w:val="20"/>
          <w:lang w:val="sl-SI" w:eastAsia="sl-SI"/>
        </w:rPr>
        <w:t xml:space="preserve">o </w:t>
      </w:r>
      <w:r w:rsidR="007D6EAD">
        <w:rPr>
          <w:sz w:val="22"/>
          <w:szCs w:val="20"/>
          <w:lang w:val="sl-SI" w:eastAsia="sl-SI"/>
        </w:rPr>
        <w:t xml:space="preserve">njihovem </w:t>
      </w:r>
      <w:r>
        <w:rPr>
          <w:sz w:val="22"/>
          <w:szCs w:val="20"/>
          <w:lang w:val="sl-SI" w:eastAsia="sl-SI"/>
        </w:rPr>
        <w:t xml:space="preserve">nadaljnjem postopanju zaradi sodbe Vrhovnega sodišča RS, </w:t>
      </w:r>
      <w:r w:rsidR="007D6EAD">
        <w:rPr>
          <w:sz w:val="22"/>
          <w:szCs w:val="20"/>
          <w:lang w:val="sl-SI" w:eastAsia="sl-SI"/>
        </w:rPr>
        <w:t xml:space="preserve">Ministrstvo za finance </w:t>
      </w:r>
      <w:r w:rsidR="00D167B4">
        <w:rPr>
          <w:sz w:val="22"/>
          <w:szCs w:val="20"/>
          <w:lang w:val="sl-SI" w:eastAsia="sl-SI"/>
        </w:rPr>
        <w:t>meni</w:t>
      </w:r>
      <w:r w:rsidR="00C54898">
        <w:rPr>
          <w:sz w:val="22"/>
          <w:szCs w:val="20"/>
          <w:lang w:val="sl-SI" w:eastAsia="sl-SI"/>
        </w:rPr>
        <w:t>:</w:t>
      </w:r>
    </w:p>
    <w:p w14:paraId="3F8D14A0" w14:textId="77777777" w:rsidR="00C54898" w:rsidRDefault="00C54898" w:rsidP="00D167B4">
      <w:pPr>
        <w:jc w:val="both"/>
        <w:rPr>
          <w:sz w:val="22"/>
          <w:szCs w:val="20"/>
          <w:lang w:val="sl-SI" w:eastAsia="sl-SI"/>
        </w:rPr>
      </w:pPr>
    </w:p>
    <w:p w14:paraId="41860ED4" w14:textId="3288FF84" w:rsidR="00C54898" w:rsidRDefault="00C54898" w:rsidP="00C54898">
      <w:pPr>
        <w:ind w:firstLine="720"/>
        <w:jc w:val="both"/>
        <w:rPr>
          <w:sz w:val="22"/>
          <w:szCs w:val="20"/>
          <w:lang w:val="sl-SI" w:eastAsia="sl-SI"/>
        </w:rPr>
      </w:pPr>
      <w:r>
        <w:rPr>
          <w:sz w:val="22"/>
          <w:szCs w:val="20"/>
          <w:lang w:val="sl-SI" w:eastAsia="sl-SI"/>
        </w:rPr>
        <w:t>i)</w:t>
      </w:r>
      <w:r w:rsidR="00D167B4">
        <w:rPr>
          <w:sz w:val="22"/>
          <w:szCs w:val="20"/>
          <w:lang w:val="sl-SI" w:eastAsia="sl-SI"/>
        </w:rPr>
        <w:t xml:space="preserve"> da je treba </w:t>
      </w:r>
      <w:r w:rsidR="005C5CF7">
        <w:rPr>
          <w:sz w:val="22"/>
          <w:szCs w:val="20"/>
          <w:lang w:val="sl-SI" w:eastAsia="sl-SI"/>
        </w:rPr>
        <w:t xml:space="preserve">pri odločitvah </w:t>
      </w:r>
      <w:r w:rsidR="00D167B4">
        <w:rPr>
          <w:sz w:val="22"/>
          <w:szCs w:val="20"/>
          <w:lang w:val="sl-SI" w:eastAsia="sl-SI"/>
        </w:rPr>
        <w:t>zasledovati obseg, ki ga je določila sodba</w:t>
      </w:r>
      <w:r>
        <w:rPr>
          <w:sz w:val="22"/>
          <w:szCs w:val="20"/>
          <w:lang w:val="sl-SI" w:eastAsia="sl-SI"/>
        </w:rPr>
        <w:t>;</w:t>
      </w:r>
    </w:p>
    <w:p w14:paraId="63FD9F2F" w14:textId="77777777" w:rsidR="00C54898" w:rsidRDefault="00C54898" w:rsidP="00C54898">
      <w:pPr>
        <w:ind w:firstLine="720"/>
        <w:jc w:val="both"/>
        <w:rPr>
          <w:sz w:val="22"/>
          <w:szCs w:val="20"/>
          <w:lang w:val="sl-SI" w:eastAsia="sl-SI"/>
        </w:rPr>
      </w:pPr>
    </w:p>
    <w:p w14:paraId="6C0558BE" w14:textId="1C90EF99" w:rsidR="00C54898" w:rsidRDefault="00C54898" w:rsidP="00C54898">
      <w:pPr>
        <w:ind w:left="720"/>
        <w:jc w:val="both"/>
        <w:rPr>
          <w:sz w:val="22"/>
          <w:szCs w:val="20"/>
          <w:lang w:val="sl-SI" w:eastAsia="sl-SI"/>
        </w:rPr>
      </w:pPr>
      <w:r>
        <w:rPr>
          <w:sz w:val="22"/>
          <w:szCs w:val="20"/>
          <w:lang w:val="sl-SI" w:eastAsia="sl-SI"/>
        </w:rPr>
        <w:t>ii) n</w:t>
      </w:r>
      <w:r w:rsidR="00D167B4">
        <w:rPr>
          <w:sz w:val="22"/>
          <w:szCs w:val="20"/>
          <w:lang w:val="sl-SI" w:eastAsia="sl-SI"/>
        </w:rPr>
        <w:t xml:space="preserve">adalje, da </w:t>
      </w:r>
      <w:r w:rsidR="00E21E13" w:rsidRPr="00D167B4">
        <w:rPr>
          <w:sz w:val="22"/>
          <w:szCs w:val="20"/>
          <w:lang w:val="sl-SI" w:eastAsia="sl-SI"/>
        </w:rPr>
        <w:t xml:space="preserve">je treba </w:t>
      </w:r>
      <w:r w:rsidR="001048EA">
        <w:rPr>
          <w:sz w:val="22"/>
          <w:szCs w:val="20"/>
          <w:lang w:val="sl-SI" w:eastAsia="sl-SI"/>
        </w:rPr>
        <w:t>v konkretnih odločitvah oziroma odločbah ra</w:t>
      </w:r>
      <w:r w:rsidR="009D6587" w:rsidRPr="00D167B4">
        <w:rPr>
          <w:sz w:val="22"/>
          <w:szCs w:val="20"/>
          <w:lang w:val="sl-SI" w:eastAsia="sl-SI"/>
        </w:rPr>
        <w:t xml:space="preserve">zlagati </w:t>
      </w:r>
      <w:r w:rsidR="005C5CF7">
        <w:rPr>
          <w:sz w:val="22"/>
          <w:szCs w:val="20"/>
          <w:lang w:val="sl-SI" w:eastAsia="sl-SI"/>
        </w:rPr>
        <w:t xml:space="preserve">in </w:t>
      </w:r>
      <w:r w:rsidR="009D6587" w:rsidRPr="00D167B4">
        <w:rPr>
          <w:sz w:val="22"/>
          <w:szCs w:val="20"/>
          <w:lang w:val="sl-SI" w:eastAsia="sl-SI"/>
        </w:rPr>
        <w:t xml:space="preserve">razložiti </w:t>
      </w:r>
      <w:r w:rsidR="00D310A0">
        <w:rPr>
          <w:sz w:val="22"/>
          <w:szCs w:val="20"/>
          <w:lang w:val="sl-SI" w:eastAsia="sl-SI"/>
        </w:rPr>
        <w:t xml:space="preserve">določbe ZDDPO-2 </w:t>
      </w:r>
      <w:r w:rsidR="009D6587" w:rsidRPr="00D167B4">
        <w:rPr>
          <w:sz w:val="22"/>
          <w:szCs w:val="20"/>
          <w:lang w:val="sl-SI" w:eastAsia="sl-SI"/>
        </w:rPr>
        <w:t xml:space="preserve">oziroma </w:t>
      </w:r>
      <w:r w:rsidR="00D310A0">
        <w:rPr>
          <w:sz w:val="22"/>
          <w:szCs w:val="20"/>
          <w:lang w:val="sl-SI" w:eastAsia="sl-SI"/>
        </w:rPr>
        <w:t xml:space="preserve">jih </w:t>
      </w:r>
      <w:r w:rsidR="009D6587" w:rsidRPr="00D167B4">
        <w:rPr>
          <w:sz w:val="22"/>
          <w:szCs w:val="20"/>
          <w:lang w:val="sl-SI" w:eastAsia="sl-SI"/>
        </w:rPr>
        <w:t xml:space="preserve">utemeljiti tako, da bo nedvoumno, da so enaki položaji pravnih oseb </w:t>
      </w:r>
      <w:r w:rsidR="001048EA">
        <w:rPr>
          <w:sz w:val="22"/>
          <w:szCs w:val="20"/>
          <w:lang w:val="sl-SI" w:eastAsia="sl-SI"/>
        </w:rPr>
        <w:t xml:space="preserve">po ZDDPO-2 </w:t>
      </w:r>
      <w:r w:rsidR="009D6587" w:rsidRPr="00D167B4">
        <w:rPr>
          <w:sz w:val="22"/>
          <w:szCs w:val="20"/>
          <w:lang w:val="sl-SI" w:eastAsia="sl-SI"/>
        </w:rPr>
        <w:t>urejeni enako</w:t>
      </w:r>
      <w:r w:rsidR="001048EA">
        <w:rPr>
          <w:sz w:val="22"/>
          <w:szCs w:val="20"/>
          <w:lang w:val="sl-SI" w:eastAsia="sl-SI"/>
        </w:rPr>
        <w:t>. R</w:t>
      </w:r>
      <w:r w:rsidR="009D6587" w:rsidRPr="00D167B4">
        <w:rPr>
          <w:sz w:val="22"/>
          <w:szCs w:val="20"/>
          <w:lang w:val="sl-SI" w:eastAsia="sl-SI"/>
        </w:rPr>
        <w:t>azlike</w:t>
      </w:r>
      <w:r w:rsidR="001048EA">
        <w:rPr>
          <w:sz w:val="22"/>
          <w:szCs w:val="20"/>
          <w:lang w:val="sl-SI" w:eastAsia="sl-SI"/>
        </w:rPr>
        <w:t xml:space="preserve"> </w:t>
      </w:r>
      <w:r w:rsidR="009D6587" w:rsidRPr="00D167B4">
        <w:rPr>
          <w:sz w:val="22"/>
          <w:szCs w:val="20"/>
          <w:lang w:val="sl-SI" w:eastAsia="sl-SI"/>
        </w:rPr>
        <w:t>med pravnimi subjekti (organizacijske, v delovanju</w:t>
      </w:r>
      <w:r>
        <w:rPr>
          <w:sz w:val="22"/>
          <w:szCs w:val="20"/>
          <w:lang w:val="sl-SI" w:eastAsia="sl-SI"/>
        </w:rPr>
        <w:t>, glede na matično zakonodajo</w:t>
      </w:r>
      <w:r w:rsidR="009D6587" w:rsidRPr="00D167B4">
        <w:rPr>
          <w:sz w:val="22"/>
          <w:szCs w:val="20"/>
          <w:lang w:val="sl-SI" w:eastAsia="sl-SI"/>
        </w:rPr>
        <w:t>)</w:t>
      </w:r>
      <w:r w:rsidR="001048EA">
        <w:rPr>
          <w:sz w:val="22"/>
          <w:szCs w:val="20"/>
          <w:lang w:val="sl-SI" w:eastAsia="sl-SI"/>
        </w:rPr>
        <w:t xml:space="preserve"> </w:t>
      </w:r>
      <w:r w:rsidR="009D6587" w:rsidRPr="00D167B4">
        <w:rPr>
          <w:sz w:val="22"/>
          <w:szCs w:val="20"/>
          <w:lang w:val="sl-SI" w:eastAsia="sl-SI"/>
        </w:rPr>
        <w:t>v poveza</w:t>
      </w:r>
      <w:r w:rsidR="001048EA">
        <w:rPr>
          <w:sz w:val="22"/>
          <w:szCs w:val="20"/>
          <w:lang w:val="sl-SI" w:eastAsia="sl-SI"/>
        </w:rPr>
        <w:t>v</w:t>
      </w:r>
      <w:r w:rsidR="009D6587" w:rsidRPr="00D167B4">
        <w:rPr>
          <w:sz w:val="22"/>
          <w:szCs w:val="20"/>
          <w:lang w:val="sl-SI" w:eastAsia="sl-SI"/>
        </w:rPr>
        <w:t xml:space="preserve">i s cilji in nameni davčnega instituta davčne nevtralnosti in vlogo davkov po </w:t>
      </w:r>
      <w:r w:rsidR="001048EA">
        <w:rPr>
          <w:sz w:val="22"/>
          <w:szCs w:val="20"/>
          <w:lang w:val="sl-SI" w:eastAsia="sl-SI"/>
        </w:rPr>
        <w:t>U</w:t>
      </w:r>
      <w:r w:rsidR="009D6587" w:rsidRPr="00D167B4">
        <w:rPr>
          <w:sz w:val="22"/>
          <w:szCs w:val="20"/>
          <w:lang w:val="sl-SI" w:eastAsia="sl-SI"/>
        </w:rPr>
        <w:t xml:space="preserve">stavi RS, </w:t>
      </w:r>
      <w:r w:rsidR="001048EA">
        <w:rPr>
          <w:sz w:val="22"/>
          <w:szCs w:val="20"/>
          <w:lang w:val="sl-SI" w:eastAsia="sl-SI"/>
        </w:rPr>
        <w:t xml:space="preserve">so </w:t>
      </w:r>
      <w:r w:rsidR="009D6587" w:rsidRPr="00D167B4">
        <w:rPr>
          <w:sz w:val="22"/>
          <w:szCs w:val="20"/>
          <w:lang w:val="sl-SI" w:eastAsia="sl-SI"/>
        </w:rPr>
        <w:t>razumen razlog, da s</w:t>
      </w:r>
      <w:r w:rsidR="001048EA">
        <w:rPr>
          <w:sz w:val="22"/>
          <w:szCs w:val="20"/>
          <w:lang w:val="sl-SI" w:eastAsia="sl-SI"/>
        </w:rPr>
        <w:t>e</w:t>
      </w:r>
      <w:r w:rsidR="009D6587" w:rsidRPr="00D167B4">
        <w:rPr>
          <w:sz w:val="22"/>
          <w:szCs w:val="20"/>
          <w:lang w:val="sl-SI" w:eastAsia="sl-SI"/>
        </w:rPr>
        <w:t xml:space="preserve"> v pravilu davčna nevtralnost ne podel</w:t>
      </w:r>
      <w:r>
        <w:rPr>
          <w:sz w:val="22"/>
          <w:szCs w:val="20"/>
          <w:lang w:val="sl-SI" w:eastAsia="sl-SI"/>
        </w:rPr>
        <w:t xml:space="preserve">juje širše kot za </w:t>
      </w:r>
      <w:r w:rsidR="009D6587" w:rsidRPr="00D167B4">
        <w:rPr>
          <w:sz w:val="22"/>
          <w:szCs w:val="20"/>
          <w:lang w:val="sl-SI" w:eastAsia="sl-SI"/>
        </w:rPr>
        <w:t xml:space="preserve">reorganizacije </w:t>
      </w:r>
      <w:r>
        <w:rPr>
          <w:sz w:val="22"/>
          <w:szCs w:val="20"/>
          <w:lang w:val="sl-SI" w:eastAsia="sl-SI"/>
        </w:rPr>
        <w:t>gospodarskih družb, kar se da razbrati tudi iz posameznih opisov in pogojev, določenih v členih ZDDPO-2;</w:t>
      </w:r>
    </w:p>
    <w:p w14:paraId="4BEB1273" w14:textId="77777777" w:rsidR="00C54898" w:rsidRDefault="00C54898" w:rsidP="00C54898">
      <w:pPr>
        <w:ind w:firstLine="720"/>
        <w:jc w:val="both"/>
        <w:rPr>
          <w:sz w:val="22"/>
          <w:szCs w:val="20"/>
          <w:lang w:val="sl-SI" w:eastAsia="sl-SI"/>
        </w:rPr>
      </w:pPr>
    </w:p>
    <w:p w14:paraId="131B1490" w14:textId="7FAF7B52" w:rsidR="001048EA" w:rsidRDefault="00C54898" w:rsidP="00C54898">
      <w:pPr>
        <w:ind w:left="720"/>
        <w:jc w:val="both"/>
        <w:rPr>
          <w:sz w:val="22"/>
          <w:szCs w:val="20"/>
          <w:lang w:val="sl-SI" w:eastAsia="sl-SI"/>
        </w:rPr>
      </w:pPr>
      <w:r>
        <w:rPr>
          <w:sz w:val="22"/>
          <w:szCs w:val="20"/>
          <w:lang w:val="sl-SI" w:eastAsia="sl-SI"/>
        </w:rPr>
        <w:t xml:space="preserve">iii) </w:t>
      </w:r>
      <w:r w:rsidR="001048EA">
        <w:rPr>
          <w:sz w:val="22"/>
          <w:szCs w:val="20"/>
          <w:lang w:val="sl-SI" w:eastAsia="sl-SI"/>
        </w:rPr>
        <w:t xml:space="preserve">treba </w:t>
      </w:r>
      <w:r>
        <w:rPr>
          <w:sz w:val="22"/>
          <w:szCs w:val="20"/>
          <w:lang w:val="sl-SI" w:eastAsia="sl-SI"/>
        </w:rPr>
        <w:t xml:space="preserve">je pa </w:t>
      </w:r>
      <w:r w:rsidR="001048EA">
        <w:rPr>
          <w:sz w:val="22"/>
          <w:szCs w:val="20"/>
          <w:lang w:val="sl-SI" w:eastAsia="sl-SI"/>
        </w:rPr>
        <w:t xml:space="preserve">upoštevati konkretna dejstva in okoliščine </w:t>
      </w:r>
      <w:r>
        <w:rPr>
          <w:sz w:val="22"/>
          <w:szCs w:val="20"/>
          <w:lang w:val="sl-SI" w:eastAsia="sl-SI"/>
        </w:rPr>
        <w:t xml:space="preserve">vsakega </w:t>
      </w:r>
      <w:r w:rsidR="001048EA">
        <w:rPr>
          <w:sz w:val="22"/>
          <w:szCs w:val="20"/>
          <w:lang w:val="sl-SI" w:eastAsia="sl-SI"/>
        </w:rPr>
        <w:t xml:space="preserve">posameznega primera. </w:t>
      </w:r>
      <w:r>
        <w:rPr>
          <w:sz w:val="22"/>
          <w:szCs w:val="20"/>
          <w:lang w:val="sl-SI" w:eastAsia="sl-SI"/>
        </w:rPr>
        <w:t>Davčna obravnava (določitev in odločitev) ne temelji zgolj na namenu ustanovitve oziroma pravnoorganizacijski obliki;</w:t>
      </w:r>
    </w:p>
    <w:p w14:paraId="4AFCCDB1" w14:textId="5F6BDFE2" w:rsidR="001048EA" w:rsidRDefault="001048EA" w:rsidP="00D167B4">
      <w:pPr>
        <w:jc w:val="both"/>
        <w:rPr>
          <w:sz w:val="22"/>
          <w:szCs w:val="20"/>
          <w:lang w:val="sl-SI" w:eastAsia="sl-SI"/>
        </w:rPr>
      </w:pPr>
    </w:p>
    <w:p w14:paraId="4878C01C" w14:textId="5E0154F7" w:rsidR="001048EA" w:rsidRDefault="00C54898" w:rsidP="00C54898">
      <w:pPr>
        <w:ind w:left="720"/>
        <w:jc w:val="both"/>
        <w:rPr>
          <w:sz w:val="22"/>
          <w:szCs w:val="20"/>
          <w:lang w:val="sl-SI" w:eastAsia="sl-SI"/>
        </w:rPr>
      </w:pPr>
      <w:r>
        <w:rPr>
          <w:sz w:val="22"/>
          <w:szCs w:val="20"/>
          <w:lang w:val="sl-SI" w:eastAsia="sl-SI"/>
        </w:rPr>
        <w:t xml:space="preserve">iv) </w:t>
      </w:r>
      <w:r w:rsidR="001048EA">
        <w:rPr>
          <w:sz w:val="22"/>
          <w:szCs w:val="20"/>
          <w:lang w:val="sl-SI" w:eastAsia="sl-SI"/>
        </w:rPr>
        <w:t>upoštevajoč sodbo</w:t>
      </w:r>
      <w:r w:rsidR="001457B7">
        <w:rPr>
          <w:sz w:val="22"/>
          <w:szCs w:val="20"/>
          <w:lang w:val="sl-SI" w:eastAsia="sl-SI"/>
        </w:rPr>
        <w:t xml:space="preserve"> in njeno strukturo</w:t>
      </w:r>
      <w:r w:rsidR="001048EA">
        <w:rPr>
          <w:sz w:val="22"/>
          <w:szCs w:val="20"/>
          <w:lang w:val="sl-SI" w:eastAsia="sl-SI"/>
        </w:rPr>
        <w:t xml:space="preserve">, </w:t>
      </w:r>
      <w:r>
        <w:rPr>
          <w:sz w:val="22"/>
          <w:szCs w:val="20"/>
          <w:lang w:val="sl-SI" w:eastAsia="sl-SI"/>
        </w:rPr>
        <w:t xml:space="preserve">naj se </w:t>
      </w:r>
      <w:r w:rsidR="001048EA">
        <w:rPr>
          <w:sz w:val="22"/>
          <w:szCs w:val="20"/>
          <w:lang w:val="sl-SI" w:eastAsia="sl-SI"/>
        </w:rPr>
        <w:t>izhaja iz pogojev za davčno nevtralnost obravnave in v nadaljevanju izpeljujete rešitev</w:t>
      </w:r>
      <w:r w:rsidR="00B174FC">
        <w:rPr>
          <w:sz w:val="22"/>
          <w:szCs w:val="20"/>
          <w:lang w:val="sl-SI" w:eastAsia="sl-SI"/>
        </w:rPr>
        <w:t xml:space="preserve"> za zavode</w:t>
      </w:r>
      <w:r w:rsidR="00A81AC9">
        <w:rPr>
          <w:sz w:val="22"/>
          <w:szCs w:val="20"/>
          <w:lang w:val="sl-SI" w:eastAsia="sl-SI"/>
        </w:rPr>
        <w:t>.</w:t>
      </w:r>
    </w:p>
    <w:p w14:paraId="76637F3C" w14:textId="77777777" w:rsidR="001048EA" w:rsidRDefault="001048EA" w:rsidP="00D167B4">
      <w:pPr>
        <w:jc w:val="both"/>
        <w:rPr>
          <w:sz w:val="22"/>
          <w:szCs w:val="20"/>
          <w:lang w:val="sl-SI" w:eastAsia="sl-SI"/>
        </w:rPr>
      </w:pPr>
    </w:p>
    <w:p w14:paraId="0F48754F" w14:textId="37551FFB" w:rsidR="009D5481" w:rsidRPr="002522B4" w:rsidRDefault="002522B4" w:rsidP="00923FFA">
      <w:pPr>
        <w:jc w:val="both"/>
        <w:rPr>
          <w:sz w:val="24"/>
          <w:lang w:val="sl-SI" w:eastAsia="sl-SI"/>
        </w:rPr>
      </w:pPr>
      <w:r w:rsidRPr="002522B4">
        <w:rPr>
          <w:sz w:val="24"/>
          <w:lang w:val="sl-SI" w:eastAsia="sl-SI"/>
        </w:rPr>
        <w:t>***</w:t>
      </w:r>
    </w:p>
    <w:p w14:paraId="05003143" w14:textId="7D6CF878" w:rsidR="00923FFA" w:rsidRDefault="007D6EAD" w:rsidP="00923FFA">
      <w:pPr>
        <w:jc w:val="both"/>
        <w:rPr>
          <w:sz w:val="22"/>
          <w:szCs w:val="20"/>
          <w:lang w:val="sl-SI" w:eastAsia="sl-SI"/>
        </w:rPr>
      </w:pPr>
      <w:r>
        <w:rPr>
          <w:sz w:val="22"/>
          <w:szCs w:val="20"/>
          <w:lang w:val="sl-SI" w:eastAsia="sl-SI"/>
        </w:rPr>
        <w:lastRenderedPageBreak/>
        <w:t>Ministrstvo za finance r</w:t>
      </w:r>
      <w:r w:rsidR="00C55703" w:rsidRPr="001048EA">
        <w:rPr>
          <w:sz w:val="22"/>
          <w:szCs w:val="20"/>
          <w:lang w:val="sl-SI" w:eastAsia="sl-SI"/>
        </w:rPr>
        <w:t xml:space="preserve">azume, da </w:t>
      </w:r>
      <w:r w:rsidR="00B174FC">
        <w:rPr>
          <w:sz w:val="22"/>
          <w:szCs w:val="20"/>
          <w:lang w:val="sl-SI" w:eastAsia="sl-SI"/>
        </w:rPr>
        <w:t xml:space="preserve">se postavlja </w:t>
      </w:r>
      <w:r w:rsidR="00C55703" w:rsidRPr="001048EA">
        <w:rPr>
          <w:sz w:val="22"/>
          <w:szCs w:val="20"/>
          <w:lang w:val="sl-SI" w:eastAsia="sl-SI"/>
        </w:rPr>
        <w:t xml:space="preserve">več vprašanj, </w:t>
      </w:r>
      <w:r w:rsidR="001048EA">
        <w:rPr>
          <w:sz w:val="22"/>
          <w:szCs w:val="20"/>
          <w:lang w:val="sl-SI" w:eastAsia="sl-SI"/>
        </w:rPr>
        <w:t>konkretnih in sistemskih</w:t>
      </w:r>
      <w:r w:rsidR="00B174FC">
        <w:rPr>
          <w:sz w:val="22"/>
          <w:szCs w:val="20"/>
          <w:lang w:val="sl-SI" w:eastAsia="sl-SI"/>
        </w:rPr>
        <w:t>. M</w:t>
      </w:r>
      <w:r w:rsidR="00C55703" w:rsidRPr="001048EA">
        <w:rPr>
          <w:sz w:val="22"/>
          <w:szCs w:val="20"/>
          <w:lang w:val="sl-SI" w:eastAsia="sl-SI"/>
        </w:rPr>
        <w:t>eni, da  gornja pojasnila pripomo</w:t>
      </w:r>
      <w:r w:rsidR="001048EA">
        <w:rPr>
          <w:sz w:val="22"/>
          <w:szCs w:val="20"/>
          <w:lang w:val="sl-SI" w:eastAsia="sl-SI"/>
        </w:rPr>
        <w:t xml:space="preserve">rejo k </w:t>
      </w:r>
      <w:r w:rsidR="00C55703" w:rsidRPr="001048EA">
        <w:rPr>
          <w:sz w:val="22"/>
          <w:szCs w:val="20"/>
          <w:lang w:val="sl-SI" w:eastAsia="sl-SI"/>
        </w:rPr>
        <w:t xml:space="preserve">temu, da bo odločitev v konkretnem primeru, </w:t>
      </w:r>
      <w:r w:rsidR="009D5481">
        <w:rPr>
          <w:sz w:val="22"/>
          <w:szCs w:val="20"/>
          <w:lang w:val="sl-SI" w:eastAsia="sl-SI"/>
        </w:rPr>
        <w:t>ustrezna</w:t>
      </w:r>
      <w:r w:rsidR="001048EA">
        <w:rPr>
          <w:sz w:val="22"/>
          <w:szCs w:val="20"/>
          <w:lang w:val="sl-SI" w:eastAsia="sl-SI"/>
        </w:rPr>
        <w:t xml:space="preserve">. </w:t>
      </w:r>
      <w:r w:rsidR="00B174FC">
        <w:rPr>
          <w:sz w:val="22"/>
          <w:szCs w:val="20"/>
          <w:lang w:val="sl-SI" w:eastAsia="sl-SI"/>
        </w:rPr>
        <w:t>Do</w:t>
      </w:r>
      <w:r w:rsidR="00C55703" w:rsidRPr="001048EA">
        <w:rPr>
          <w:sz w:val="22"/>
          <w:szCs w:val="20"/>
          <w:lang w:val="sl-SI" w:eastAsia="sl-SI"/>
        </w:rPr>
        <w:t xml:space="preserve"> sistemskih vprašan</w:t>
      </w:r>
      <w:r w:rsidR="009D5481">
        <w:rPr>
          <w:sz w:val="22"/>
          <w:szCs w:val="20"/>
          <w:lang w:val="sl-SI" w:eastAsia="sl-SI"/>
        </w:rPr>
        <w:t>j</w:t>
      </w:r>
      <w:r w:rsidR="00C55703" w:rsidRPr="001048EA">
        <w:rPr>
          <w:sz w:val="22"/>
          <w:szCs w:val="20"/>
          <w:lang w:val="sl-SI" w:eastAsia="sl-SI"/>
        </w:rPr>
        <w:t xml:space="preserve">, zlasti </w:t>
      </w:r>
      <w:r w:rsidR="001048EA">
        <w:rPr>
          <w:sz w:val="22"/>
          <w:szCs w:val="20"/>
          <w:lang w:val="sl-SI" w:eastAsia="sl-SI"/>
        </w:rPr>
        <w:t xml:space="preserve">o </w:t>
      </w:r>
      <w:r w:rsidR="00C55703" w:rsidRPr="001048EA">
        <w:rPr>
          <w:sz w:val="22"/>
          <w:szCs w:val="20"/>
          <w:lang w:val="sl-SI" w:eastAsia="sl-SI"/>
        </w:rPr>
        <w:t>morebitnih poseg</w:t>
      </w:r>
      <w:r w:rsidR="001048EA">
        <w:rPr>
          <w:sz w:val="22"/>
          <w:szCs w:val="20"/>
          <w:lang w:val="sl-SI" w:eastAsia="sl-SI"/>
        </w:rPr>
        <w:t>ih</w:t>
      </w:r>
      <w:r w:rsidR="00C55703" w:rsidRPr="001048EA">
        <w:rPr>
          <w:sz w:val="22"/>
          <w:szCs w:val="20"/>
          <w:lang w:val="sl-SI" w:eastAsia="sl-SI"/>
        </w:rPr>
        <w:t xml:space="preserve"> v veljavno ureditev </w:t>
      </w:r>
      <w:r w:rsidR="001048EA">
        <w:rPr>
          <w:sz w:val="22"/>
          <w:szCs w:val="20"/>
          <w:lang w:val="sl-SI" w:eastAsia="sl-SI"/>
        </w:rPr>
        <w:t xml:space="preserve">ZDDPO-2, </w:t>
      </w:r>
      <w:r w:rsidR="001048EA" w:rsidRPr="001048EA">
        <w:rPr>
          <w:sz w:val="22"/>
          <w:szCs w:val="20"/>
          <w:lang w:val="sl-SI" w:eastAsia="sl-SI"/>
        </w:rPr>
        <w:t>se v tem trenutku težje opredeli</w:t>
      </w:r>
      <w:r w:rsidR="001048EA">
        <w:rPr>
          <w:sz w:val="22"/>
          <w:szCs w:val="20"/>
          <w:lang w:val="sl-SI" w:eastAsia="sl-SI"/>
        </w:rPr>
        <w:t xml:space="preserve">. Veljavna ureditev se lahko tudi spremeni, cilj je vedno </w:t>
      </w:r>
      <w:r w:rsidR="00C55703" w:rsidRPr="001048EA">
        <w:rPr>
          <w:sz w:val="22"/>
          <w:szCs w:val="20"/>
          <w:lang w:val="sl-SI" w:eastAsia="sl-SI"/>
        </w:rPr>
        <w:t>jasn</w:t>
      </w:r>
      <w:r w:rsidR="001048EA">
        <w:rPr>
          <w:sz w:val="22"/>
          <w:szCs w:val="20"/>
          <w:lang w:val="sl-SI" w:eastAsia="sl-SI"/>
        </w:rPr>
        <w:t>a</w:t>
      </w:r>
      <w:r w:rsidR="00C55703" w:rsidRPr="001048EA">
        <w:rPr>
          <w:sz w:val="22"/>
          <w:szCs w:val="20"/>
          <w:lang w:val="sl-SI" w:eastAsia="sl-SI"/>
        </w:rPr>
        <w:t xml:space="preserve"> </w:t>
      </w:r>
      <w:r w:rsidR="001048EA">
        <w:rPr>
          <w:sz w:val="22"/>
          <w:szCs w:val="20"/>
          <w:lang w:val="sl-SI" w:eastAsia="sl-SI"/>
        </w:rPr>
        <w:t xml:space="preserve">ureditev, </w:t>
      </w:r>
      <w:r w:rsidR="00C55703" w:rsidRPr="001048EA">
        <w:rPr>
          <w:sz w:val="22"/>
          <w:szCs w:val="20"/>
          <w:lang w:val="sl-SI" w:eastAsia="sl-SI"/>
        </w:rPr>
        <w:t xml:space="preserve">v skladu s cilji </w:t>
      </w:r>
      <w:r w:rsidR="009D5481">
        <w:rPr>
          <w:sz w:val="22"/>
          <w:szCs w:val="20"/>
          <w:lang w:val="sl-SI" w:eastAsia="sl-SI"/>
        </w:rPr>
        <w:t xml:space="preserve">in nameni </w:t>
      </w:r>
      <w:r w:rsidR="00C55703" w:rsidRPr="001048EA">
        <w:rPr>
          <w:sz w:val="22"/>
          <w:szCs w:val="20"/>
          <w:lang w:val="sl-SI" w:eastAsia="sl-SI"/>
        </w:rPr>
        <w:t>davčne politike</w:t>
      </w:r>
      <w:r w:rsidR="001048EA">
        <w:rPr>
          <w:sz w:val="22"/>
          <w:szCs w:val="20"/>
          <w:lang w:val="sl-SI" w:eastAsia="sl-SI"/>
        </w:rPr>
        <w:t xml:space="preserve">. </w:t>
      </w:r>
      <w:r w:rsidR="00627549">
        <w:rPr>
          <w:sz w:val="22"/>
          <w:szCs w:val="20"/>
          <w:lang w:val="sl-SI" w:eastAsia="sl-SI"/>
        </w:rPr>
        <w:t xml:space="preserve">Za </w:t>
      </w:r>
      <w:r w:rsidR="00C55703" w:rsidRPr="001048EA">
        <w:rPr>
          <w:sz w:val="22"/>
          <w:szCs w:val="20"/>
          <w:lang w:val="sl-SI" w:eastAsia="sl-SI"/>
        </w:rPr>
        <w:t>takšn</w:t>
      </w:r>
      <w:r w:rsidR="00627549">
        <w:rPr>
          <w:sz w:val="22"/>
          <w:szCs w:val="20"/>
          <w:lang w:val="sl-SI" w:eastAsia="sl-SI"/>
        </w:rPr>
        <w:t>e</w:t>
      </w:r>
      <w:r w:rsidR="00C55703" w:rsidRPr="001048EA">
        <w:rPr>
          <w:sz w:val="22"/>
          <w:szCs w:val="20"/>
          <w:lang w:val="sl-SI" w:eastAsia="sl-SI"/>
        </w:rPr>
        <w:t xml:space="preserve"> poseg</w:t>
      </w:r>
      <w:r w:rsidR="00627549">
        <w:rPr>
          <w:sz w:val="22"/>
          <w:szCs w:val="20"/>
          <w:lang w:val="sl-SI" w:eastAsia="sl-SI"/>
        </w:rPr>
        <w:t>e</w:t>
      </w:r>
      <w:r w:rsidR="00C55703" w:rsidRPr="001048EA">
        <w:rPr>
          <w:sz w:val="22"/>
          <w:szCs w:val="20"/>
          <w:lang w:val="sl-SI" w:eastAsia="sl-SI"/>
        </w:rPr>
        <w:t xml:space="preserve"> </w:t>
      </w:r>
      <w:r w:rsidR="00627549">
        <w:rPr>
          <w:sz w:val="22"/>
          <w:szCs w:val="20"/>
          <w:lang w:val="sl-SI" w:eastAsia="sl-SI"/>
        </w:rPr>
        <w:t>je</w:t>
      </w:r>
      <w:r w:rsidR="00C55703" w:rsidRPr="001048EA">
        <w:rPr>
          <w:sz w:val="22"/>
          <w:szCs w:val="20"/>
          <w:lang w:val="sl-SI" w:eastAsia="sl-SI"/>
        </w:rPr>
        <w:t xml:space="preserve"> poleg </w:t>
      </w:r>
      <w:r w:rsidR="00B174FC">
        <w:rPr>
          <w:sz w:val="22"/>
          <w:szCs w:val="20"/>
          <w:lang w:val="sl-SI" w:eastAsia="sl-SI"/>
        </w:rPr>
        <w:t xml:space="preserve">ugotovitev iz </w:t>
      </w:r>
      <w:r w:rsidR="00C55703" w:rsidRPr="001048EA">
        <w:rPr>
          <w:sz w:val="22"/>
          <w:szCs w:val="20"/>
          <w:lang w:val="sl-SI" w:eastAsia="sl-SI"/>
        </w:rPr>
        <w:t>prakse, ki j</w:t>
      </w:r>
      <w:r w:rsidR="00496C78">
        <w:rPr>
          <w:sz w:val="22"/>
          <w:szCs w:val="20"/>
          <w:lang w:val="sl-SI" w:eastAsia="sl-SI"/>
        </w:rPr>
        <w:t>ih pozna</w:t>
      </w:r>
      <w:r w:rsidR="00C55703" w:rsidRPr="001048EA">
        <w:rPr>
          <w:sz w:val="22"/>
          <w:szCs w:val="20"/>
          <w:lang w:val="sl-SI" w:eastAsia="sl-SI"/>
        </w:rPr>
        <w:t xml:space="preserve"> davčni organ, pomembna tudi analiza</w:t>
      </w:r>
      <w:r w:rsidR="00627549">
        <w:rPr>
          <w:sz w:val="22"/>
          <w:szCs w:val="20"/>
          <w:lang w:val="sl-SI" w:eastAsia="sl-SI"/>
        </w:rPr>
        <w:t xml:space="preserve"> stanja. D</w:t>
      </w:r>
      <w:r w:rsidR="00C55703" w:rsidRPr="001048EA">
        <w:rPr>
          <w:sz w:val="22"/>
          <w:szCs w:val="20"/>
          <w:lang w:val="sl-SI" w:eastAsia="sl-SI"/>
        </w:rPr>
        <w:t>el zakonodaj</w:t>
      </w:r>
      <w:r w:rsidR="00B174FC">
        <w:rPr>
          <w:sz w:val="22"/>
          <w:szCs w:val="20"/>
          <w:lang w:val="sl-SI" w:eastAsia="sl-SI"/>
        </w:rPr>
        <w:t xml:space="preserve">nega urejanja </w:t>
      </w:r>
      <w:r w:rsidR="00C55703" w:rsidRPr="001048EA">
        <w:rPr>
          <w:sz w:val="22"/>
          <w:szCs w:val="20"/>
          <w:lang w:val="sl-SI" w:eastAsia="sl-SI"/>
        </w:rPr>
        <w:t>narekuje zaveza po upoštevanju prava EU (direktive</w:t>
      </w:r>
      <w:r w:rsidR="009D5481">
        <w:rPr>
          <w:sz w:val="22"/>
          <w:szCs w:val="20"/>
          <w:lang w:val="sl-SI" w:eastAsia="sl-SI"/>
        </w:rPr>
        <w:t>, pravila za državne pomoči</w:t>
      </w:r>
      <w:r w:rsidR="00A81AC9">
        <w:rPr>
          <w:sz w:val="22"/>
          <w:szCs w:val="20"/>
          <w:lang w:val="sl-SI" w:eastAsia="sl-SI"/>
        </w:rPr>
        <w:t>, spoštovanje svoboščin</w:t>
      </w:r>
      <w:r w:rsidR="00C55703" w:rsidRPr="001048EA">
        <w:rPr>
          <w:sz w:val="22"/>
          <w:szCs w:val="20"/>
          <w:lang w:val="sl-SI" w:eastAsia="sl-SI"/>
        </w:rPr>
        <w:t xml:space="preserve">), </w:t>
      </w:r>
      <w:r w:rsidR="00B174FC">
        <w:rPr>
          <w:sz w:val="22"/>
          <w:szCs w:val="20"/>
          <w:lang w:val="sl-SI" w:eastAsia="sl-SI"/>
        </w:rPr>
        <w:t xml:space="preserve">dodatno </w:t>
      </w:r>
      <w:r w:rsidR="00627549">
        <w:rPr>
          <w:sz w:val="22"/>
          <w:szCs w:val="20"/>
          <w:lang w:val="sl-SI" w:eastAsia="sl-SI"/>
        </w:rPr>
        <w:t xml:space="preserve">vprašanje </w:t>
      </w:r>
      <w:r w:rsidR="00496C78">
        <w:rPr>
          <w:sz w:val="22"/>
          <w:szCs w:val="20"/>
          <w:lang w:val="sl-SI" w:eastAsia="sl-SI"/>
        </w:rPr>
        <w:t xml:space="preserve">je lahko vprašanje </w:t>
      </w:r>
      <w:r w:rsidR="008F3287">
        <w:rPr>
          <w:sz w:val="22"/>
          <w:szCs w:val="20"/>
          <w:lang w:val="sl-SI" w:eastAsia="sl-SI"/>
        </w:rPr>
        <w:t>po</w:t>
      </w:r>
      <w:r w:rsidR="00627549">
        <w:rPr>
          <w:sz w:val="22"/>
          <w:szCs w:val="20"/>
          <w:lang w:val="sl-SI" w:eastAsia="sl-SI"/>
        </w:rPr>
        <w:t xml:space="preserve"> </w:t>
      </w:r>
      <w:r w:rsidR="00C55703" w:rsidRPr="001048EA">
        <w:rPr>
          <w:sz w:val="22"/>
          <w:szCs w:val="20"/>
          <w:lang w:val="sl-SI" w:eastAsia="sl-SI"/>
        </w:rPr>
        <w:t>ohranit</w:t>
      </w:r>
      <w:r w:rsidR="008F3287">
        <w:rPr>
          <w:sz w:val="22"/>
          <w:szCs w:val="20"/>
          <w:lang w:val="sl-SI" w:eastAsia="sl-SI"/>
        </w:rPr>
        <w:t>vi</w:t>
      </w:r>
      <w:r w:rsidR="00C55703" w:rsidRPr="001048EA">
        <w:rPr>
          <w:sz w:val="22"/>
          <w:szCs w:val="20"/>
          <w:lang w:val="sl-SI" w:eastAsia="sl-SI"/>
        </w:rPr>
        <w:t xml:space="preserve"> ali v kakšnem obsegu ohraniti ugodnost davčne nevtralnosti tudi za notranje reorganizacije.</w:t>
      </w:r>
      <w:r w:rsidR="00627549">
        <w:rPr>
          <w:sz w:val="22"/>
          <w:szCs w:val="20"/>
          <w:lang w:val="sl-SI" w:eastAsia="sl-SI"/>
        </w:rPr>
        <w:t xml:space="preserve"> </w:t>
      </w:r>
      <w:r w:rsidR="00C55703" w:rsidRPr="001048EA">
        <w:rPr>
          <w:sz w:val="22"/>
          <w:szCs w:val="20"/>
          <w:lang w:val="sl-SI" w:eastAsia="sl-SI"/>
        </w:rPr>
        <w:t xml:space="preserve"> </w:t>
      </w:r>
    </w:p>
    <w:p w14:paraId="757986F2" w14:textId="77777777" w:rsidR="00923FFA" w:rsidRDefault="00923FFA" w:rsidP="00923FFA">
      <w:pPr>
        <w:jc w:val="both"/>
        <w:rPr>
          <w:sz w:val="22"/>
          <w:szCs w:val="20"/>
          <w:lang w:val="sl-SI" w:eastAsia="sl-SI"/>
        </w:rPr>
      </w:pPr>
    </w:p>
    <w:p w14:paraId="4960CB15" w14:textId="77777777" w:rsidR="008F3287" w:rsidRDefault="008F3287" w:rsidP="00923FFA">
      <w:pPr>
        <w:jc w:val="both"/>
        <w:rPr>
          <w:sz w:val="22"/>
          <w:szCs w:val="20"/>
          <w:lang w:val="sl-SI" w:eastAsia="sl-SI"/>
        </w:rPr>
      </w:pPr>
    </w:p>
    <w:p w14:paraId="369D5972" w14:textId="240EE904" w:rsidR="00C55703" w:rsidRPr="00923FFA" w:rsidRDefault="007D6EAD" w:rsidP="00923FFA">
      <w:pPr>
        <w:jc w:val="both"/>
        <w:rPr>
          <w:sz w:val="22"/>
          <w:szCs w:val="20"/>
          <w:lang w:val="sl-SI" w:eastAsia="sl-SI"/>
        </w:rPr>
      </w:pPr>
      <w:r>
        <w:rPr>
          <w:sz w:val="22"/>
          <w:szCs w:val="20"/>
          <w:lang w:val="sl-SI" w:eastAsia="sl-SI"/>
        </w:rPr>
        <w:t>Ministrstvo za finance lahko, p</w:t>
      </w:r>
      <w:r w:rsidR="008F3287">
        <w:rPr>
          <w:sz w:val="22"/>
          <w:szCs w:val="20"/>
          <w:lang w:val="sl-SI" w:eastAsia="sl-SI"/>
        </w:rPr>
        <w:t>ovezano s predmetno sodbo</w:t>
      </w:r>
      <w:r>
        <w:rPr>
          <w:sz w:val="22"/>
          <w:szCs w:val="20"/>
          <w:lang w:val="sl-SI" w:eastAsia="sl-SI"/>
        </w:rPr>
        <w:t xml:space="preserve">, </w:t>
      </w:r>
      <w:r w:rsidR="00376E9A">
        <w:rPr>
          <w:sz w:val="22"/>
          <w:szCs w:val="20"/>
          <w:lang w:val="sl-SI" w:eastAsia="sl-SI"/>
        </w:rPr>
        <w:t xml:space="preserve">sodeluje </w:t>
      </w:r>
      <w:r w:rsidR="008F3287">
        <w:rPr>
          <w:sz w:val="22"/>
          <w:szCs w:val="20"/>
          <w:lang w:val="sl-SI" w:eastAsia="sl-SI"/>
        </w:rPr>
        <w:t>p</w:t>
      </w:r>
      <w:r w:rsidR="00FB7C5C" w:rsidRPr="00923FFA">
        <w:rPr>
          <w:sz w:val="22"/>
          <w:szCs w:val="20"/>
          <w:lang w:val="sl-SI" w:eastAsia="sl-SI"/>
        </w:rPr>
        <w:t>ri konkretnejših utemeljitvah sistem</w:t>
      </w:r>
      <w:r w:rsidR="008F3287">
        <w:rPr>
          <w:sz w:val="22"/>
          <w:szCs w:val="20"/>
          <w:lang w:val="sl-SI" w:eastAsia="sl-SI"/>
        </w:rPr>
        <w:t>skih rešitev tudi v prihodnje</w:t>
      </w:r>
      <w:r w:rsidR="00FB7C5C" w:rsidRPr="00923FFA">
        <w:rPr>
          <w:sz w:val="22"/>
          <w:szCs w:val="20"/>
          <w:lang w:val="sl-SI" w:eastAsia="sl-SI"/>
        </w:rPr>
        <w:t xml:space="preserve">. </w:t>
      </w:r>
      <w:r w:rsidR="00C55703" w:rsidRPr="00923FFA">
        <w:rPr>
          <w:sz w:val="22"/>
          <w:szCs w:val="20"/>
          <w:lang w:val="sl-SI" w:eastAsia="sl-SI"/>
        </w:rPr>
        <w:t xml:space="preserve"> </w:t>
      </w:r>
    </w:p>
    <w:p w14:paraId="722F262A" w14:textId="77777777" w:rsidR="00BC3686" w:rsidRPr="00BC3686" w:rsidRDefault="00BC3686" w:rsidP="00161956">
      <w:pPr>
        <w:pStyle w:val="odstavek1"/>
        <w:rPr>
          <w:rFonts w:eastAsia="Times New Roman" w:cs="Times New Roman"/>
          <w:szCs w:val="20"/>
        </w:rPr>
      </w:pPr>
    </w:p>
    <w:p w14:paraId="52E074C6" w14:textId="77777777" w:rsidR="0087565A" w:rsidRDefault="0087565A" w:rsidP="003E1C74">
      <w:pPr>
        <w:pStyle w:val="podpisi"/>
        <w:rPr>
          <w:lang w:val="sl-SI"/>
        </w:rPr>
      </w:pPr>
    </w:p>
    <w:p w14:paraId="07ECBF21" w14:textId="77777777" w:rsidR="0087565A" w:rsidRDefault="0087565A" w:rsidP="003E1C74">
      <w:pPr>
        <w:pStyle w:val="podpisi"/>
        <w:rPr>
          <w:lang w:val="sl-SI"/>
        </w:rPr>
      </w:pPr>
    </w:p>
    <w:p w14:paraId="206CF762" w14:textId="77777777" w:rsidR="0087565A" w:rsidRDefault="0087565A" w:rsidP="003E1C74">
      <w:pPr>
        <w:pStyle w:val="podpisi"/>
        <w:rPr>
          <w:lang w:val="sl-SI"/>
        </w:rPr>
      </w:pPr>
    </w:p>
    <w:p w14:paraId="35207A02" w14:textId="77777777" w:rsidR="0087565A" w:rsidRPr="00202A77" w:rsidRDefault="0087565A" w:rsidP="003E1C74">
      <w:pPr>
        <w:pStyle w:val="podpisi"/>
        <w:rPr>
          <w:lang w:val="sl-SI"/>
        </w:rPr>
      </w:pPr>
    </w:p>
    <w:sectPr w:rsidR="0087565A" w:rsidRPr="00202A77" w:rsidSect="00C429D0">
      <w:headerReference w:type="default" r:id="rId14"/>
      <w:footerReference w:type="default" r:id="rId15"/>
      <w:headerReference w:type="first" r:id="rId16"/>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0C711" w14:textId="77777777" w:rsidR="00FF64B0" w:rsidRDefault="00FF64B0">
      <w:r>
        <w:separator/>
      </w:r>
    </w:p>
  </w:endnote>
  <w:endnote w:type="continuationSeparator" w:id="0">
    <w:p w14:paraId="6917E6DA" w14:textId="77777777" w:rsidR="00FF64B0" w:rsidRDefault="00FF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C848F" w14:textId="77777777" w:rsidR="0087565A" w:rsidRDefault="0087565A">
    <w:pPr>
      <w:pStyle w:val="Noga"/>
      <w:jc w:val="right"/>
    </w:pPr>
    <w:r>
      <w:fldChar w:fldCharType="begin"/>
    </w:r>
    <w:r>
      <w:instrText>PAGE   \* MERGEFORMAT</w:instrText>
    </w:r>
    <w:r>
      <w:fldChar w:fldCharType="separate"/>
    </w:r>
    <w:r w:rsidR="001D3CB2" w:rsidRPr="001D3CB2">
      <w:rPr>
        <w:noProof/>
        <w:lang w:val="sl-SI"/>
      </w:rPr>
      <w:t>2</w:t>
    </w:r>
    <w:r>
      <w:fldChar w:fldCharType="end"/>
    </w:r>
  </w:p>
  <w:p w14:paraId="7D4660F3" w14:textId="77777777"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781CF" w14:textId="77777777" w:rsidR="00FF64B0" w:rsidRDefault="00FF64B0">
      <w:r>
        <w:separator/>
      </w:r>
    </w:p>
  </w:footnote>
  <w:footnote w:type="continuationSeparator" w:id="0">
    <w:p w14:paraId="4C76DCB7" w14:textId="77777777" w:rsidR="00FF64B0" w:rsidRDefault="00FF6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0B20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4AA15ADC" w14:textId="77777777">
      <w:trPr>
        <w:cantSplit/>
        <w:trHeight w:hRule="exact" w:val="847"/>
      </w:trPr>
      <w:tc>
        <w:tcPr>
          <w:tcW w:w="567" w:type="dxa"/>
        </w:tcPr>
        <w:p w14:paraId="4240CA65" w14:textId="77777777" w:rsidR="002A2B69" w:rsidRPr="008F3500" w:rsidRDefault="00E03CED"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13AC6059" wp14:editId="56F8E084">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D1A0D3"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2B277F6B" w14:textId="77777777" w:rsidR="00A770A6" w:rsidRPr="008F3500" w:rsidRDefault="00E03CED"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24CA0BE9" wp14:editId="7637A8F5">
          <wp:simplePos x="0" y="0"/>
          <wp:positionH relativeFrom="page">
            <wp:posOffset>0</wp:posOffset>
          </wp:positionH>
          <wp:positionV relativeFrom="page">
            <wp:posOffset>0</wp:posOffset>
          </wp:positionV>
          <wp:extent cx="4321810" cy="1347470"/>
          <wp:effectExtent l="0" t="0" r="2540" b="5080"/>
          <wp:wrapSquare wrapText="bothSides"/>
          <wp:docPr id="20" name="Picture 20" descr="0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2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9D0">
      <w:rPr>
        <w:rFonts w:cs="Arial"/>
        <w:sz w:val="16"/>
        <w:lang w:val="sl-SI"/>
      </w:rPr>
      <w:t>Župančičeva 3, p.p.644a</w:t>
    </w:r>
    <w:r w:rsidR="00A770A6" w:rsidRPr="008F3500">
      <w:rPr>
        <w:rFonts w:cs="Arial"/>
        <w:sz w:val="16"/>
        <w:lang w:val="sl-SI"/>
      </w:rPr>
      <w:t xml:space="preserve">, </w:t>
    </w:r>
    <w:r w:rsidR="00C429D0">
      <w:rPr>
        <w:rFonts w:cs="Arial"/>
        <w:sz w:val="16"/>
        <w:lang w:val="sl-SI"/>
      </w:rPr>
      <w:t>1001 Ljubljana</w:t>
    </w:r>
    <w:r w:rsidR="00A770A6" w:rsidRPr="008F3500">
      <w:rPr>
        <w:rFonts w:cs="Arial"/>
        <w:sz w:val="16"/>
        <w:lang w:val="sl-SI"/>
      </w:rPr>
      <w:tab/>
      <w:t xml:space="preserve">T: </w:t>
    </w:r>
    <w:r w:rsidR="00C429D0">
      <w:rPr>
        <w:rFonts w:cs="Arial"/>
        <w:sz w:val="16"/>
        <w:lang w:val="sl-SI"/>
      </w:rPr>
      <w:t>01 369 66 10</w:t>
    </w:r>
  </w:p>
  <w:p w14:paraId="254FE904"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C429D0">
      <w:rPr>
        <w:rFonts w:cs="Arial"/>
        <w:sz w:val="16"/>
        <w:lang w:val="sl-SI"/>
      </w:rPr>
      <w:t>01 369 66 19</w:t>
    </w:r>
    <w:r w:rsidRPr="008F3500">
      <w:rPr>
        <w:rFonts w:cs="Arial"/>
        <w:sz w:val="16"/>
        <w:lang w:val="sl-SI"/>
      </w:rPr>
      <w:t xml:space="preserve"> </w:t>
    </w:r>
  </w:p>
  <w:p w14:paraId="05AAFA53"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429D0">
      <w:rPr>
        <w:rFonts w:cs="Arial"/>
        <w:sz w:val="16"/>
        <w:lang w:val="sl-SI"/>
      </w:rPr>
      <w:t>gp.mf@gov.si</w:t>
    </w:r>
  </w:p>
  <w:p w14:paraId="0B51FAA7" w14:textId="77777777" w:rsidR="00A770A6"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FF64B0">
      <w:fldChar w:fldCharType="begin"/>
    </w:r>
    <w:r w:rsidR="00FF64B0" w:rsidRPr="003806BD">
      <w:rPr>
        <w:lang w:val="it-IT"/>
      </w:rPr>
      <w:instrText xml:space="preserve"> HYPERLINK "http://www.mf.gov.si" </w:instrText>
    </w:r>
    <w:r w:rsidR="00FF64B0">
      <w:fldChar w:fldCharType="separate"/>
    </w:r>
    <w:r w:rsidR="00130D3B" w:rsidRPr="00B43AAA">
      <w:rPr>
        <w:rStyle w:val="Hiperpovezava"/>
        <w:rFonts w:cs="Arial"/>
        <w:sz w:val="16"/>
        <w:lang w:val="sl-SI"/>
      </w:rPr>
      <w:t>www.mf.gov.si</w:t>
    </w:r>
    <w:r w:rsidR="00FF64B0">
      <w:rPr>
        <w:rStyle w:val="Hiperpovezava"/>
        <w:rFonts w:cs="Arial"/>
        <w:sz w:val="16"/>
        <w:lang w:val="sl-SI"/>
      </w:rPr>
      <w:fldChar w:fldCharType="end"/>
    </w:r>
  </w:p>
  <w:p w14:paraId="63098A7E" w14:textId="77777777" w:rsidR="00130D3B" w:rsidRPr="008F3500" w:rsidRDefault="00130D3B" w:rsidP="00A770A6">
    <w:pPr>
      <w:pStyle w:val="Glava"/>
      <w:tabs>
        <w:tab w:val="clear" w:pos="4320"/>
        <w:tab w:val="clear" w:pos="8640"/>
        <w:tab w:val="left" w:pos="5112"/>
      </w:tabs>
      <w:spacing w:line="240" w:lineRule="exact"/>
      <w:rPr>
        <w:rFonts w:cs="Arial"/>
        <w:sz w:val="16"/>
        <w:lang w:val="sl-SI"/>
      </w:rPr>
    </w:pPr>
  </w:p>
  <w:p w14:paraId="0012FBF6" w14:textId="77777777" w:rsidR="00130D3B" w:rsidRDefault="00130D3B" w:rsidP="00130D3B">
    <w:pPr>
      <w:pStyle w:val="Glava"/>
      <w:tabs>
        <w:tab w:val="clear" w:pos="4320"/>
        <w:tab w:val="left" w:pos="5112"/>
      </w:tabs>
      <w:rPr>
        <w:i/>
        <w:u w:val="single"/>
        <w:lang w:val="sl-SI"/>
      </w:rPr>
    </w:pPr>
    <w:r>
      <w:rPr>
        <w:lang w:val="sl-SI"/>
      </w:rPr>
      <w:tab/>
    </w:r>
    <w:r>
      <w:rPr>
        <w:i/>
        <w:u w:val="single"/>
        <w:lang w:val="sl-SI"/>
      </w:rPr>
      <w:t>Prosimo, da se pri odgovoru</w:t>
    </w:r>
  </w:p>
  <w:p w14:paraId="7358CD54" w14:textId="77777777" w:rsidR="00130D3B" w:rsidRDefault="00130D3B" w:rsidP="00130D3B">
    <w:pPr>
      <w:pStyle w:val="Glava"/>
      <w:tabs>
        <w:tab w:val="clear" w:pos="4320"/>
        <w:tab w:val="left" w:pos="5112"/>
      </w:tabs>
    </w:pPr>
    <w:r>
      <w:rPr>
        <w:lang w:val="sl-SI"/>
      </w:rPr>
      <w:tab/>
    </w:r>
    <w:r>
      <w:rPr>
        <w:i/>
        <w:u w:val="single"/>
        <w:lang w:val="sl-SI"/>
      </w:rPr>
      <w:t>sklicujete na našo številko.</w:t>
    </w:r>
    <w:r>
      <w:t xml:space="preserve"> </w:t>
    </w:r>
  </w:p>
  <w:p w14:paraId="30C9FBDD" w14:textId="77777777" w:rsidR="002A2B69" w:rsidRPr="008F3500" w:rsidRDefault="002A2B69" w:rsidP="00130D3B">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6B971FD"/>
    <w:multiLevelType w:val="hybridMultilevel"/>
    <w:tmpl w:val="41D847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0"/>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4EBE"/>
    <w:rsid w:val="00022187"/>
    <w:rsid w:val="00023A88"/>
    <w:rsid w:val="00025AD0"/>
    <w:rsid w:val="00031A52"/>
    <w:rsid w:val="0006347B"/>
    <w:rsid w:val="00073C0C"/>
    <w:rsid w:val="00081D13"/>
    <w:rsid w:val="00095BDF"/>
    <w:rsid w:val="000A32E2"/>
    <w:rsid w:val="000A5BC1"/>
    <w:rsid w:val="000A7238"/>
    <w:rsid w:val="000C2055"/>
    <w:rsid w:val="001048EA"/>
    <w:rsid w:val="001118FE"/>
    <w:rsid w:val="00112382"/>
    <w:rsid w:val="00130D3B"/>
    <w:rsid w:val="001357B2"/>
    <w:rsid w:val="001372BF"/>
    <w:rsid w:val="00140C45"/>
    <w:rsid w:val="001457B7"/>
    <w:rsid w:val="00146BD3"/>
    <w:rsid w:val="00156690"/>
    <w:rsid w:val="00161907"/>
    <w:rsid w:val="00161956"/>
    <w:rsid w:val="001619AA"/>
    <w:rsid w:val="0017478F"/>
    <w:rsid w:val="001757D0"/>
    <w:rsid w:val="00182B8C"/>
    <w:rsid w:val="001835B5"/>
    <w:rsid w:val="001B50EE"/>
    <w:rsid w:val="001D3CB2"/>
    <w:rsid w:val="001F3340"/>
    <w:rsid w:val="001F3DDD"/>
    <w:rsid w:val="00202A77"/>
    <w:rsid w:val="00225D01"/>
    <w:rsid w:val="00226377"/>
    <w:rsid w:val="002522B4"/>
    <w:rsid w:val="00253F95"/>
    <w:rsid w:val="00257DF9"/>
    <w:rsid w:val="00266152"/>
    <w:rsid w:val="00271CE5"/>
    <w:rsid w:val="00273C8D"/>
    <w:rsid w:val="00282020"/>
    <w:rsid w:val="0028432C"/>
    <w:rsid w:val="002858FD"/>
    <w:rsid w:val="00287147"/>
    <w:rsid w:val="00287FBA"/>
    <w:rsid w:val="002919F5"/>
    <w:rsid w:val="002923A0"/>
    <w:rsid w:val="002A2B69"/>
    <w:rsid w:val="002A3A9A"/>
    <w:rsid w:val="002A4C18"/>
    <w:rsid w:val="002D167E"/>
    <w:rsid w:val="002E520B"/>
    <w:rsid w:val="00315992"/>
    <w:rsid w:val="003446BF"/>
    <w:rsid w:val="0035532A"/>
    <w:rsid w:val="003607DB"/>
    <w:rsid w:val="003636BF"/>
    <w:rsid w:val="00364CB8"/>
    <w:rsid w:val="00371442"/>
    <w:rsid w:val="00376E9A"/>
    <w:rsid w:val="003806BD"/>
    <w:rsid w:val="00381212"/>
    <w:rsid w:val="003845B4"/>
    <w:rsid w:val="00387B1A"/>
    <w:rsid w:val="00394FF2"/>
    <w:rsid w:val="003A0F06"/>
    <w:rsid w:val="003C5EE5"/>
    <w:rsid w:val="003D22F1"/>
    <w:rsid w:val="003E1C74"/>
    <w:rsid w:val="00401F87"/>
    <w:rsid w:val="0041478F"/>
    <w:rsid w:val="004268E9"/>
    <w:rsid w:val="00444856"/>
    <w:rsid w:val="00446CB2"/>
    <w:rsid w:val="00460C17"/>
    <w:rsid w:val="0046400B"/>
    <w:rsid w:val="004657EE"/>
    <w:rsid w:val="00474F62"/>
    <w:rsid w:val="00485F9C"/>
    <w:rsid w:val="00486C3C"/>
    <w:rsid w:val="00487FEC"/>
    <w:rsid w:val="00491E95"/>
    <w:rsid w:val="00493266"/>
    <w:rsid w:val="00496C78"/>
    <w:rsid w:val="004975DE"/>
    <w:rsid w:val="004A6336"/>
    <w:rsid w:val="004B25E2"/>
    <w:rsid w:val="004C3B5B"/>
    <w:rsid w:val="004E3145"/>
    <w:rsid w:val="004E79E5"/>
    <w:rsid w:val="004F495D"/>
    <w:rsid w:val="0050304C"/>
    <w:rsid w:val="00517058"/>
    <w:rsid w:val="005176BD"/>
    <w:rsid w:val="00517EEB"/>
    <w:rsid w:val="00526246"/>
    <w:rsid w:val="00526DC7"/>
    <w:rsid w:val="005535C4"/>
    <w:rsid w:val="00553F9E"/>
    <w:rsid w:val="00567106"/>
    <w:rsid w:val="00571BA2"/>
    <w:rsid w:val="005778EF"/>
    <w:rsid w:val="00582DCC"/>
    <w:rsid w:val="00584140"/>
    <w:rsid w:val="005974A6"/>
    <w:rsid w:val="005B544A"/>
    <w:rsid w:val="005C5CF7"/>
    <w:rsid w:val="005D0FFA"/>
    <w:rsid w:val="005E1D3C"/>
    <w:rsid w:val="005E4327"/>
    <w:rsid w:val="005E638B"/>
    <w:rsid w:val="00625AE6"/>
    <w:rsid w:val="00627549"/>
    <w:rsid w:val="00627CD6"/>
    <w:rsid w:val="00632253"/>
    <w:rsid w:val="00642714"/>
    <w:rsid w:val="006455CE"/>
    <w:rsid w:val="00655841"/>
    <w:rsid w:val="006C46B7"/>
    <w:rsid w:val="006C47CF"/>
    <w:rsid w:val="006D4CD9"/>
    <w:rsid w:val="006D67A7"/>
    <w:rsid w:val="00704EA1"/>
    <w:rsid w:val="00706C3A"/>
    <w:rsid w:val="00713356"/>
    <w:rsid w:val="007218DF"/>
    <w:rsid w:val="00732F50"/>
    <w:rsid w:val="00733017"/>
    <w:rsid w:val="0074058F"/>
    <w:rsid w:val="00741DAD"/>
    <w:rsid w:val="0074441D"/>
    <w:rsid w:val="00750D53"/>
    <w:rsid w:val="00761043"/>
    <w:rsid w:val="00783310"/>
    <w:rsid w:val="00787B37"/>
    <w:rsid w:val="007A4A6D"/>
    <w:rsid w:val="007D1BCF"/>
    <w:rsid w:val="007D6EAD"/>
    <w:rsid w:val="007D75CF"/>
    <w:rsid w:val="007E0440"/>
    <w:rsid w:val="007E2372"/>
    <w:rsid w:val="007E6DC5"/>
    <w:rsid w:val="008000A9"/>
    <w:rsid w:val="00801EB0"/>
    <w:rsid w:val="008205E5"/>
    <w:rsid w:val="008225B3"/>
    <w:rsid w:val="008320FC"/>
    <w:rsid w:val="00834A3C"/>
    <w:rsid w:val="008543DB"/>
    <w:rsid w:val="0085668B"/>
    <w:rsid w:val="0086492B"/>
    <w:rsid w:val="008655AB"/>
    <w:rsid w:val="00870C16"/>
    <w:rsid w:val="0087565A"/>
    <w:rsid w:val="0088043C"/>
    <w:rsid w:val="00882CA7"/>
    <w:rsid w:val="00884889"/>
    <w:rsid w:val="008906C9"/>
    <w:rsid w:val="008A49FA"/>
    <w:rsid w:val="008B3D33"/>
    <w:rsid w:val="008C29A5"/>
    <w:rsid w:val="008C5738"/>
    <w:rsid w:val="008D04F0"/>
    <w:rsid w:val="008D3456"/>
    <w:rsid w:val="008F3287"/>
    <w:rsid w:val="008F3500"/>
    <w:rsid w:val="008F6FC0"/>
    <w:rsid w:val="0092016F"/>
    <w:rsid w:val="009231CF"/>
    <w:rsid w:val="00923FFA"/>
    <w:rsid w:val="00924E3C"/>
    <w:rsid w:val="00931E6F"/>
    <w:rsid w:val="009361FA"/>
    <w:rsid w:val="00941D8E"/>
    <w:rsid w:val="009511AF"/>
    <w:rsid w:val="00957636"/>
    <w:rsid w:val="009612BB"/>
    <w:rsid w:val="0097172B"/>
    <w:rsid w:val="009753F5"/>
    <w:rsid w:val="00992FC7"/>
    <w:rsid w:val="009949B3"/>
    <w:rsid w:val="009967AB"/>
    <w:rsid w:val="00996B2B"/>
    <w:rsid w:val="0099768F"/>
    <w:rsid w:val="009B1CC5"/>
    <w:rsid w:val="009B2AAC"/>
    <w:rsid w:val="009C357F"/>
    <w:rsid w:val="009C3E62"/>
    <w:rsid w:val="009C3EB3"/>
    <w:rsid w:val="009C560C"/>
    <w:rsid w:val="009C740A"/>
    <w:rsid w:val="009D3998"/>
    <w:rsid w:val="009D5481"/>
    <w:rsid w:val="009D6587"/>
    <w:rsid w:val="009E3C67"/>
    <w:rsid w:val="00A046CF"/>
    <w:rsid w:val="00A125C5"/>
    <w:rsid w:val="00A2451C"/>
    <w:rsid w:val="00A323D0"/>
    <w:rsid w:val="00A60D5D"/>
    <w:rsid w:val="00A63C62"/>
    <w:rsid w:val="00A65EE7"/>
    <w:rsid w:val="00A70133"/>
    <w:rsid w:val="00A770A6"/>
    <w:rsid w:val="00A813B1"/>
    <w:rsid w:val="00A81AC9"/>
    <w:rsid w:val="00A83DB8"/>
    <w:rsid w:val="00A85F42"/>
    <w:rsid w:val="00A91F22"/>
    <w:rsid w:val="00AA411F"/>
    <w:rsid w:val="00AA7D9C"/>
    <w:rsid w:val="00AB36C4"/>
    <w:rsid w:val="00AC1717"/>
    <w:rsid w:val="00AC1B89"/>
    <w:rsid w:val="00AC32B2"/>
    <w:rsid w:val="00AD1E8C"/>
    <w:rsid w:val="00AD2AF0"/>
    <w:rsid w:val="00B11791"/>
    <w:rsid w:val="00B17141"/>
    <w:rsid w:val="00B174FC"/>
    <w:rsid w:val="00B21886"/>
    <w:rsid w:val="00B2636F"/>
    <w:rsid w:val="00B31575"/>
    <w:rsid w:val="00B408B2"/>
    <w:rsid w:val="00B41863"/>
    <w:rsid w:val="00B4602B"/>
    <w:rsid w:val="00B53225"/>
    <w:rsid w:val="00B63C21"/>
    <w:rsid w:val="00B734E3"/>
    <w:rsid w:val="00B82C34"/>
    <w:rsid w:val="00B8547D"/>
    <w:rsid w:val="00B913FB"/>
    <w:rsid w:val="00BA1C02"/>
    <w:rsid w:val="00BC3686"/>
    <w:rsid w:val="00BE0E1E"/>
    <w:rsid w:val="00BE122C"/>
    <w:rsid w:val="00C20964"/>
    <w:rsid w:val="00C23C32"/>
    <w:rsid w:val="00C250D5"/>
    <w:rsid w:val="00C35666"/>
    <w:rsid w:val="00C35BFD"/>
    <w:rsid w:val="00C3617E"/>
    <w:rsid w:val="00C429D0"/>
    <w:rsid w:val="00C4304A"/>
    <w:rsid w:val="00C530A3"/>
    <w:rsid w:val="00C54898"/>
    <w:rsid w:val="00C55703"/>
    <w:rsid w:val="00C602C2"/>
    <w:rsid w:val="00C627CA"/>
    <w:rsid w:val="00C74B71"/>
    <w:rsid w:val="00C76DA6"/>
    <w:rsid w:val="00C82796"/>
    <w:rsid w:val="00C91E3E"/>
    <w:rsid w:val="00C92898"/>
    <w:rsid w:val="00C956F1"/>
    <w:rsid w:val="00CA4340"/>
    <w:rsid w:val="00CB36F7"/>
    <w:rsid w:val="00CC2D3C"/>
    <w:rsid w:val="00CC51ED"/>
    <w:rsid w:val="00CD17EB"/>
    <w:rsid w:val="00CE5238"/>
    <w:rsid w:val="00CE7514"/>
    <w:rsid w:val="00CF7D58"/>
    <w:rsid w:val="00D04605"/>
    <w:rsid w:val="00D13429"/>
    <w:rsid w:val="00D167B4"/>
    <w:rsid w:val="00D248DE"/>
    <w:rsid w:val="00D30F17"/>
    <w:rsid w:val="00D310A0"/>
    <w:rsid w:val="00D35ABB"/>
    <w:rsid w:val="00D442DF"/>
    <w:rsid w:val="00D44BD9"/>
    <w:rsid w:val="00D747EB"/>
    <w:rsid w:val="00D8542D"/>
    <w:rsid w:val="00DA2BD2"/>
    <w:rsid w:val="00DA55FB"/>
    <w:rsid w:val="00DC55A2"/>
    <w:rsid w:val="00DC5755"/>
    <w:rsid w:val="00DC6A71"/>
    <w:rsid w:val="00DE2535"/>
    <w:rsid w:val="00DE2D95"/>
    <w:rsid w:val="00DF1C88"/>
    <w:rsid w:val="00E0357D"/>
    <w:rsid w:val="00E03CED"/>
    <w:rsid w:val="00E070C4"/>
    <w:rsid w:val="00E21E13"/>
    <w:rsid w:val="00E575BA"/>
    <w:rsid w:val="00E61B43"/>
    <w:rsid w:val="00E6285C"/>
    <w:rsid w:val="00E676F9"/>
    <w:rsid w:val="00E71AED"/>
    <w:rsid w:val="00E80658"/>
    <w:rsid w:val="00E92FDF"/>
    <w:rsid w:val="00E979FB"/>
    <w:rsid w:val="00EA47C8"/>
    <w:rsid w:val="00EC158C"/>
    <w:rsid w:val="00ED1C3E"/>
    <w:rsid w:val="00EF275E"/>
    <w:rsid w:val="00F21F3F"/>
    <w:rsid w:val="00F240BB"/>
    <w:rsid w:val="00F32F24"/>
    <w:rsid w:val="00F57FED"/>
    <w:rsid w:val="00F63C8B"/>
    <w:rsid w:val="00F84514"/>
    <w:rsid w:val="00F969E4"/>
    <w:rsid w:val="00FA0339"/>
    <w:rsid w:val="00FA5B18"/>
    <w:rsid w:val="00FB7C5C"/>
    <w:rsid w:val="00FD0012"/>
    <w:rsid w:val="00FF1504"/>
    <w:rsid w:val="00FF54DD"/>
    <w:rsid w:val="00FF5F62"/>
    <w:rsid w:val="00FF643B"/>
    <w:rsid w:val="00FF64B0"/>
    <w:rsid w:val="00FF68BC"/>
    <w:rsid w:val="00FF6A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2D4A6D54"/>
  <w15:docId w15:val="{379FEF98-5653-41BE-8871-73A31F6F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130D3B"/>
    <w:rPr>
      <w:rFonts w:ascii="Arial" w:hAnsi="Arial"/>
      <w:szCs w:val="24"/>
      <w:lang w:val="en-US" w:eastAsia="en-US"/>
    </w:rPr>
  </w:style>
  <w:style w:type="character" w:customStyle="1" w:styleId="NogaZnak">
    <w:name w:val="Noga Znak"/>
    <w:link w:val="Noga"/>
    <w:uiPriority w:val="99"/>
    <w:rsid w:val="0087565A"/>
    <w:rPr>
      <w:rFonts w:ascii="Arial" w:hAnsi="Arial"/>
      <w:szCs w:val="24"/>
      <w:lang w:val="en-US" w:eastAsia="en-US"/>
    </w:rPr>
  </w:style>
  <w:style w:type="paragraph" w:customStyle="1" w:styleId="Default">
    <w:name w:val="Default"/>
    <w:rsid w:val="00E03CED"/>
    <w:pPr>
      <w:autoSpaceDE w:val="0"/>
      <w:autoSpaceDN w:val="0"/>
      <w:adjustRightInd w:val="0"/>
    </w:pPr>
    <w:rPr>
      <w:color w:val="000000"/>
      <w:sz w:val="24"/>
      <w:szCs w:val="24"/>
    </w:rPr>
  </w:style>
  <w:style w:type="paragraph" w:styleId="Sprotnaopomba-besedilo">
    <w:name w:val="footnote text"/>
    <w:basedOn w:val="Navaden"/>
    <w:link w:val="Sprotnaopomba-besediloZnak"/>
    <w:unhideWhenUsed/>
    <w:rsid w:val="00E03CED"/>
    <w:pPr>
      <w:spacing w:line="240" w:lineRule="auto"/>
    </w:pPr>
    <w:rPr>
      <w:szCs w:val="20"/>
    </w:rPr>
  </w:style>
  <w:style w:type="character" w:customStyle="1" w:styleId="Sprotnaopomba-besediloZnak">
    <w:name w:val="Sprotna opomba - besedilo Znak"/>
    <w:basedOn w:val="Privzetapisavaodstavka"/>
    <w:link w:val="Sprotnaopomba-besedilo"/>
    <w:rsid w:val="00E03CED"/>
    <w:rPr>
      <w:rFonts w:ascii="Arial" w:hAnsi="Arial"/>
      <w:lang w:val="en-US" w:eastAsia="en-US"/>
    </w:rPr>
  </w:style>
  <w:style w:type="character" w:styleId="Sprotnaopomba-sklic">
    <w:name w:val="footnote reference"/>
    <w:unhideWhenUsed/>
    <w:rsid w:val="00E03CED"/>
    <w:rPr>
      <w:vertAlign w:val="superscript"/>
    </w:rPr>
  </w:style>
  <w:style w:type="character" w:customStyle="1" w:styleId="highlight1">
    <w:name w:val="highlight1"/>
    <w:basedOn w:val="Privzetapisavaodstavka"/>
    <w:rsid w:val="000C2055"/>
  </w:style>
  <w:style w:type="paragraph" w:customStyle="1" w:styleId="odstavek1">
    <w:name w:val="odstavek1"/>
    <w:basedOn w:val="Navaden"/>
    <w:rsid w:val="00161956"/>
    <w:pPr>
      <w:spacing w:before="240" w:line="240" w:lineRule="auto"/>
      <w:ind w:firstLine="1021"/>
      <w:jc w:val="both"/>
    </w:pPr>
    <w:rPr>
      <w:rFonts w:eastAsiaTheme="minorHAnsi" w:cs="Arial"/>
      <w:sz w:val="22"/>
      <w:szCs w:val="22"/>
      <w:lang w:val="sl-SI" w:eastAsia="sl-SI"/>
    </w:rPr>
  </w:style>
  <w:style w:type="paragraph" w:customStyle="1" w:styleId="alineazaodstavkom1">
    <w:name w:val="alineazaodstavkom1"/>
    <w:basedOn w:val="Navaden"/>
    <w:rsid w:val="00161956"/>
    <w:pPr>
      <w:spacing w:line="240" w:lineRule="auto"/>
      <w:ind w:left="425" w:hanging="425"/>
      <w:jc w:val="both"/>
    </w:pPr>
    <w:rPr>
      <w:rFonts w:eastAsiaTheme="minorHAnsi" w:cs="Arial"/>
      <w:sz w:val="22"/>
      <w:szCs w:val="22"/>
      <w:lang w:val="sl-SI" w:eastAsia="sl-SI"/>
    </w:rPr>
  </w:style>
  <w:style w:type="paragraph" w:styleId="Besedilooblaka">
    <w:name w:val="Balloon Text"/>
    <w:basedOn w:val="Navaden"/>
    <w:link w:val="BesedilooblakaZnak"/>
    <w:rsid w:val="00AD1E8C"/>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AD1E8C"/>
    <w:rPr>
      <w:rFonts w:ascii="Segoe UI" w:hAnsi="Segoe UI" w:cs="Segoe UI"/>
      <w:sz w:val="18"/>
      <w:szCs w:val="18"/>
      <w:lang w:val="en-US" w:eastAsia="en-US"/>
    </w:rPr>
  </w:style>
  <w:style w:type="character" w:customStyle="1" w:styleId="hgkelc">
    <w:name w:val="hgkelc"/>
    <w:basedOn w:val="Privzetapisavaodstavka"/>
    <w:rsid w:val="00BE1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50807">
      <w:bodyDiv w:val="1"/>
      <w:marLeft w:val="0"/>
      <w:marRight w:val="0"/>
      <w:marTop w:val="0"/>
      <w:marBottom w:val="0"/>
      <w:divBdr>
        <w:top w:val="none" w:sz="0" w:space="0" w:color="auto"/>
        <w:left w:val="none" w:sz="0" w:space="0" w:color="auto"/>
        <w:bottom w:val="none" w:sz="0" w:space="0" w:color="auto"/>
        <w:right w:val="none" w:sz="0" w:space="0" w:color="auto"/>
      </w:divBdr>
    </w:div>
    <w:div w:id="792216644">
      <w:bodyDiv w:val="1"/>
      <w:marLeft w:val="0"/>
      <w:marRight w:val="0"/>
      <w:marTop w:val="0"/>
      <w:marBottom w:val="0"/>
      <w:divBdr>
        <w:top w:val="none" w:sz="0" w:space="0" w:color="auto"/>
        <w:left w:val="none" w:sz="0" w:space="0" w:color="auto"/>
        <w:bottom w:val="none" w:sz="0" w:space="0" w:color="auto"/>
        <w:right w:val="none" w:sz="0" w:space="0" w:color="auto"/>
      </w:divBdr>
    </w:div>
    <w:div w:id="1109354022">
      <w:bodyDiv w:val="1"/>
      <w:marLeft w:val="0"/>
      <w:marRight w:val="0"/>
      <w:marTop w:val="0"/>
      <w:marBottom w:val="0"/>
      <w:divBdr>
        <w:top w:val="none" w:sz="0" w:space="0" w:color="auto"/>
        <w:left w:val="none" w:sz="0" w:space="0" w:color="auto"/>
        <w:bottom w:val="none" w:sz="0" w:space="0" w:color="auto"/>
        <w:right w:val="none" w:sz="0" w:space="0" w:color="auto"/>
      </w:divBdr>
    </w:div>
    <w:div w:id="13562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fu.fu@gov.s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fu.fu@gov.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1D15A234C48F1419D83B2CAD6D1B425" ma:contentTypeVersion="0" ma:contentTypeDescription="Ustvari nov dokument." ma:contentTypeScope="" ma:versionID="57e3cd60abaf3c03018640fe09549979">
  <xsd:schema xmlns:xsd="http://www.w3.org/2001/XMLSchema" xmlns:xs="http://www.w3.org/2001/XMLSchema" xmlns:p="http://schemas.microsoft.com/office/2006/metadata/properties" xmlns:ns2="45d885e1-f2d7-4ffc-80f5-e7c266c6408c" targetNamespace="http://schemas.microsoft.com/office/2006/metadata/properties" ma:root="true" ma:fieldsID="106b85407a65db458b3181becf7ea192" ns2:_="">
    <xsd:import namespace="45d885e1-f2d7-4ffc-80f5-e7c266c640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885e1-f2d7-4ffc-80f5-e7c266c6408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Obdrži ID" ma:description="Obdrži ID pri dodajanj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22B20A-44BC-44C0-9A78-1820757B38E7}">
  <ds:schemaRefs>
    <ds:schemaRef ds:uri="http://schemas.microsoft.com/sharepoint/v3/contenttype/forms"/>
  </ds:schemaRefs>
</ds:datastoreItem>
</file>

<file path=customXml/itemProps2.xml><?xml version="1.0" encoding="utf-8"?>
<ds:datastoreItem xmlns:ds="http://schemas.openxmlformats.org/officeDocument/2006/customXml" ds:itemID="{08226614-8941-47AE-AD80-EB111CF4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885e1-f2d7-4ffc-80f5-e7c266c64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FEE80-0020-48E3-A8A4-37D52A9C2693}">
  <ds:schemaRefs>
    <ds:schemaRef ds:uri="http://schemas.microsoft.com/office/2006/metadata/longProperties"/>
  </ds:schemaRefs>
</ds:datastoreItem>
</file>

<file path=customXml/itemProps4.xml><?xml version="1.0" encoding="utf-8"?>
<ds:datastoreItem xmlns:ds="http://schemas.openxmlformats.org/officeDocument/2006/customXml" ds:itemID="{F9A2EBE0-4963-4076-BAC8-4D3BA38F7837}">
  <ds:schemaRefs>
    <ds:schemaRef ds:uri="http://schemas.microsoft.com/sharepoint/events"/>
  </ds:schemaRefs>
</ds:datastoreItem>
</file>

<file path=customXml/itemProps5.xml><?xml version="1.0" encoding="utf-8"?>
<ds:datastoreItem xmlns:ds="http://schemas.openxmlformats.org/officeDocument/2006/customXml" ds:itemID="{C4B7A094-0A01-46F3-8B38-52BFD7D33B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2615</Words>
  <Characters>14908</Characters>
  <Application>Microsoft Office Word</Application>
  <DocSecurity>0</DocSecurity>
  <Lines>124</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 </vt:lpstr>
    </vt:vector>
  </TitlesOfParts>
  <Company>Indea d.o.o.</Company>
  <LinksUpToDate>false</LinksUpToDate>
  <CharactersWithSpaces>17489</CharactersWithSpaces>
  <SharedDoc>false</SharedDoc>
  <HLinks>
    <vt:vector size="6" baseType="variant">
      <vt:variant>
        <vt:i4>4194388</vt:i4>
      </vt:variant>
      <vt:variant>
        <vt:i4>3</vt:i4>
      </vt:variant>
      <vt:variant>
        <vt:i4>0</vt:i4>
      </vt:variant>
      <vt:variant>
        <vt:i4>5</vt:i4>
      </vt:variant>
      <vt:variant>
        <vt:lpwstr>http://www.mf.gov.si/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Gorazd Odar</dc:creator>
  <cp:lastModifiedBy>MF12</cp:lastModifiedBy>
  <cp:revision>3</cp:revision>
  <cp:lastPrinted>2021-02-10T06:38:00Z</cp:lastPrinted>
  <dcterms:created xsi:type="dcterms:W3CDTF">2021-09-13T10:33:00Z</dcterms:created>
  <dcterms:modified xsi:type="dcterms:W3CDTF">2021-09-13T10:33:00Z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YPDRX2FCMFN4-33-26</vt:lpwstr>
  </property>
  <property fmtid="{D5CDD505-2E9C-101B-9397-08002B2CF9AE}" pid="3" name="_dlc_DocIdItemGuid">
    <vt:lpwstr>3387f9cc-4f09-40ed-86f5-ce10d1d73f0c</vt:lpwstr>
  </property>
  <property fmtid="{D5CDD505-2E9C-101B-9397-08002B2CF9AE}" pid="4" name="_dlc_DocIdUrl">
    <vt:lpwstr>https://iportal.mf.si/podrocja/davkicarine/interno/_layouts/15/DocIdRedir.aspx?ID=YPDRX2FCMFN4-33-26, YPDRX2FCMFN4-33-26</vt:lpwstr>
  </property>
</Properties>
</file>