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6F6AA" w14:textId="77777777" w:rsidR="00303BCE" w:rsidRDefault="00303BCE" w:rsidP="00303BCE">
      <w:pPr>
        <w:spacing w:line="240" w:lineRule="auto"/>
        <w:jc w:val="both"/>
        <w:rPr>
          <w:rFonts w:eastAsia="Calibri" w:cs="Arial"/>
          <w:b/>
          <w:bCs/>
          <w:szCs w:val="20"/>
          <w:lang w:val="sl-SI"/>
        </w:rPr>
      </w:pPr>
      <w:r>
        <w:rPr>
          <w:rFonts w:eastAsia="Calibri" w:cs="Arial"/>
          <w:b/>
          <w:bCs/>
          <w:szCs w:val="20"/>
          <w:lang w:val="sl-SI"/>
        </w:rPr>
        <w:t>Ministrstvo za notranje zadeve</w:t>
      </w:r>
    </w:p>
    <w:p w14:paraId="7E71A05C" w14:textId="77777777" w:rsidR="00303BCE" w:rsidRDefault="00303BCE" w:rsidP="00303BCE">
      <w:pPr>
        <w:spacing w:line="240" w:lineRule="auto"/>
        <w:jc w:val="both"/>
        <w:rPr>
          <w:rFonts w:eastAsia="Calibri" w:cs="Arial"/>
          <w:b/>
          <w:bCs/>
          <w:szCs w:val="20"/>
          <w:lang w:val="sl-SI"/>
        </w:rPr>
      </w:pPr>
      <w:hyperlink r:id="rId13" w:history="1">
        <w:r w:rsidRPr="008353D6">
          <w:rPr>
            <w:rStyle w:val="Hiperpovezava"/>
            <w:rFonts w:eastAsia="Calibri" w:cs="Arial"/>
            <w:b/>
            <w:bCs/>
            <w:szCs w:val="20"/>
            <w:lang w:val="sl-SI"/>
          </w:rPr>
          <w:t>gp.mnz@gov.si</w:t>
        </w:r>
      </w:hyperlink>
    </w:p>
    <w:p w14:paraId="6821E9FF" w14:textId="77777777" w:rsidR="00303BCE" w:rsidRPr="0065032B" w:rsidRDefault="00303BCE" w:rsidP="00303BCE">
      <w:pPr>
        <w:spacing w:line="240" w:lineRule="auto"/>
        <w:jc w:val="both"/>
        <w:rPr>
          <w:rFonts w:eastAsia="Calibri" w:cs="Arial"/>
          <w:szCs w:val="20"/>
          <w:lang w:val="sl-SI"/>
        </w:rPr>
      </w:pPr>
    </w:p>
    <w:p w14:paraId="781AD026" w14:textId="77777777" w:rsidR="00303BCE" w:rsidRPr="0065032B" w:rsidRDefault="00303BCE" w:rsidP="00303BCE">
      <w:pPr>
        <w:spacing w:line="240" w:lineRule="auto"/>
        <w:jc w:val="both"/>
        <w:rPr>
          <w:rFonts w:eastAsia="Calibri" w:cs="Arial"/>
          <w:szCs w:val="20"/>
          <w:lang w:val="sl-SI"/>
        </w:rPr>
      </w:pPr>
    </w:p>
    <w:p w14:paraId="37B02CF4" w14:textId="77777777" w:rsidR="00303BCE" w:rsidRDefault="00303BCE" w:rsidP="00303BCE">
      <w:pPr>
        <w:spacing w:line="240" w:lineRule="auto"/>
        <w:jc w:val="both"/>
        <w:rPr>
          <w:rFonts w:eastAsia="Calibri" w:cs="Arial"/>
          <w:szCs w:val="20"/>
          <w:lang w:val="sl-SI"/>
        </w:rPr>
      </w:pPr>
    </w:p>
    <w:p w14:paraId="7CB95CE3" w14:textId="77777777" w:rsidR="00303BCE" w:rsidRPr="0065032B" w:rsidRDefault="00303BCE" w:rsidP="00303BCE">
      <w:pPr>
        <w:spacing w:line="240" w:lineRule="auto"/>
        <w:jc w:val="both"/>
        <w:rPr>
          <w:rFonts w:eastAsia="Calibri" w:cs="Arial"/>
          <w:szCs w:val="20"/>
          <w:lang w:val="sl-SI"/>
        </w:rPr>
      </w:pPr>
      <w:r w:rsidRPr="0065032B">
        <w:rPr>
          <w:rFonts w:eastAsia="Calibri" w:cs="Arial"/>
          <w:szCs w:val="20"/>
          <w:lang w:val="sl-SI"/>
        </w:rPr>
        <w:t xml:space="preserve">Številka zadeve: </w:t>
      </w:r>
      <w:r>
        <w:rPr>
          <w:rFonts w:eastAsia="Calibri" w:cs="Arial"/>
          <w:szCs w:val="20"/>
          <w:lang w:val="sl-SI"/>
        </w:rPr>
        <w:t>710-3/2021/</w:t>
      </w:r>
    </w:p>
    <w:p w14:paraId="6E2D5EE8" w14:textId="77777777" w:rsidR="00303BCE" w:rsidRPr="0065032B" w:rsidRDefault="00303BCE" w:rsidP="00303BCE">
      <w:pPr>
        <w:spacing w:line="240" w:lineRule="auto"/>
        <w:jc w:val="both"/>
        <w:rPr>
          <w:rFonts w:eastAsia="Calibri" w:cs="Arial"/>
          <w:szCs w:val="20"/>
          <w:lang w:val="sl-SI"/>
        </w:rPr>
      </w:pPr>
      <w:r w:rsidRPr="0065032B">
        <w:rPr>
          <w:rFonts w:eastAsia="Calibri" w:cs="Arial"/>
          <w:szCs w:val="20"/>
          <w:lang w:val="sl-SI"/>
        </w:rPr>
        <w:t xml:space="preserve">Datum: </w:t>
      </w:r>
      <w:r>
        <w:rPr>
          <w:rFonts w:eastAsia="Calibri" w:cs="Arial"/>
          <w:szCs w:val="20"/>
          <w:lang w:val="sl-SI"/>
        </w:rPr>
        <w:t>2</w:t>
      </w:r>
      <w:r w:rsidR="003E57F5">
        <w:rPr>
          <w:rFonts w:eastAsia="Calibri" w:cs="Arial"/>
          <w:szCs w:val="20"/>
          <w:lang w:val="sl-SI"/>
        </w:rPr>
        <w:t>9</w:t>
      </w:r>
      <w:r w:rsidRPr="0065032B">
        <w:rPr>
          <w:rFonts w:eastAsia="Calibri" w:cs="Arial"/>
          <w:szCs w:val="20"/>
          <w:lang w:val="sl-SI"/>
        </w:rPr>
        <w:t xml:space="preserve">. </w:t>
      </w:r>
      <w:r>
        <w:rPr>
          <w:rFonts w:eastAsia="Calibri" w:cs="Arial"/>
          <w:szCs w:val="20"/>
          <w:lang w:val="sl-SI"/>
        </w:rPr>
        <w:t>9</w:t>
      </w:r>
      <w:r w:rsidRPr="0065032B">
        <w:rPr>
          <w:rFonts w:eastAsia="Calibri" w:cs="Arial"/>
          <w:szCs w:val="20"/>
          <w:lang w:val="sl-SI"/>
        </w:rPr>
        <w:t>. 2021</w:t>
      </w:r>
    </w:p>
    <w:p w14:paraId="5D9EE097" w14:textId="77777777" w:rsidR="00303BCE" w:rsidRDefault="00303BCE" w:rsidP="00303BCE">
      <w:pPr>
        <w:spacing w:line="240" w:lineRule="auto"/>
        <w:jc w:val="both"/>
        <w:rPr>
          <w:rFonts w:eastAsia="Calibri" w:cs="Arial"/>
          <w:szCs w:val="20"/>
          <w:lang w:val="sl-SI"/>
        </w:rPr>
      </w:pPr>
    </w:p>
    <w:p w14:paraId="331AF9DE" w14:textId="77777777" w:rsidR="00303BCE" w:rsidRDefault="00303BCE" w:rsidP="00303BCE">
      <w:pPr>
        <w:spacing w:line="240" w:lineRule="auto"/>
        <w:jc w:val="both"/>
        <w:rPr>
          <w:rFonts w:eastAsia="Calibri" w:cs="Arial"/>
          <w:szCs w:val="20"/>
          <w:lang w:val="sl-SI"/>
        </w:rPr>
      </w:pPr>
    </w:p>
    <w:p w14:paraId="2CF07A8A" w14:textId="77777777" w:rsidR="00303BCE" w:rsidRDefault="00303BCE" w:rsidP="00303BCE">
      <w:pPr>
        <w:spacing w:line="240" w:lineRule="auto"/>
        <w:jc w:val="both"/>
        <w:rPr>
          <w:rFonts w:eastAsia="Calibri" w:cs="Arial"/>
          <w:szCs w:val="20"/>
          <w:lang w:val="sl-SI"/>
        </w:rPr>
      </w:pPr>
      <w:r>
        <w:rPr>
          <w:rFonts w:eastAsia="Calibri" w:cs="Arial"/>
          <w:szCs w:val="20"/>
          <w:lang w:val="sl-SI"/>
        </w:rPr>
        <w:t>Zadeva: Problematika postopkov zaradi insolventnosti</w:t>
      </w:r>
    </w:p>
    <w:p w14:paraId="2099BF26" w14:textId="77777777" w:rsidR="00303BCE" w:rsidRDefault="00303BCE" w:rsidP="00303BCE">
      <w:pPr>
        <w:spacing w:line="240" w:lineRule="auto"/>
        <w:jc w:val="both"/>
        <w:rPr>
          <w:rFonts w:eastAsia="Calibri" w:cs="Arial"/>
          <w:szCs w:val="20"/>
          <w:lang w:val="sl-SI"/>
        </w:rPr>
      </w:pPr>
      <w:r>
        <w:rPr>
          <w:rFonts w:eastAsia="Calibri" w:cs="Arial"/>
          <w:szCs w:val="20"/>
          <w:lang w:val="sl-SI"/>
        </w:rPr>
        <w:t>Zveza: Vaš dopis, št. 710-18/2021/2 (1511-02) z dne 13. 8. 2021</w:t>
      </w:r>
    </w:p>
    <w:p w14:paraId="4546E56D" w14:textId="77777777" w:rsidR="00303BCE" w:rsidRDefault="00303BCE" w:rsidP="00303BCE">
      <w:pPr>
        <w:spacing w:line="240" w:lineRule="auto"/>
        <w:jc w:val="both"/>
        <w:rPr>
          <w:rFonts w:eastAsia="Calibri" w:cs="Arial"/>
          <w:szCs w:val="20"/>
          <w:lang w:val="sl-SI"/>
        </w:rPr>
      </w:pPr>
    </w:p>
    <w:p w14:paraId="4BDC7185" w14:textId="77777777" w:rsidR="00303BCE" w:rsidRDefault="00303BCE" w:rsidP="00303BCE">
      <w:pPr>
        <w:spacing w:line="240" w:lineRule="auto"/>
        <w:jc w:val="both"/>
        <w:rPr>
          <w:rFonts w:eastAsia="Calibri" w:cs="Arial"/>
          <w:szCs w:val="20"/>
          <w:lang w:val="sl-SI"/>
        </w:rPr>
      </w:pPr>
    </w:p>
    <w:p w14:paraId="62FBDCDF" w14:textId="77777777" w:rsidR="00303BCE" w:rsidRPr="0065032B" w:rsidRDefault="00303BCE" w:rsidP="00303BCE">
      <w:pPr>
        <w:spacing w:line="240" w:lineRule="auto"/>
        <w:jc w:val="both"/>
        <w:rPr>
          <w:rFonts w:eastAsia="Calibri" w:cs="Arial"/>
          <w:szCs w:val="20"/>
          <w:lang w:val="sl-SI"/>
        </w:rPr>
      </w:pPr>
    </w:p>
    <w:p w14:paraId="735543E1" w14:textId="77777777" w:rsidR="00303BCE" w:rsidRPr="0065032B" w:rsidRDefault="00303BCE" w:rsidP="00303BCE">
      <w:pPr>
        <w:spacing w:line="240" w:lineRule="auto"/>
        <w:jc w:val="both"/>
        <w:rPr>
          <w:rFonts w:eastAsia="Calibri" w:cs="Arial"/>
          <w:szCs w:val="20"/>
          <w:lang w:val="sl-SI"/>
        </w:rPr>
      </w:pPr>
      <w:r w:rsidRPr="0065032B">
        <w:rPr>
          <w:rFonts w:eastAsia="Calibri" w:cs="Arial"/>
          <w:szCs w:val="20"/>
          <w:lang w:val="sl-SI"/>
        </w:rPr>
        <w:t xml:space="preserve">Spoštovani, </w:t>
      </w:r>
    </w:p>
    <w:p w14:paraId="291A0C05" w14:textId="77777777" w:rsidR="00303BCE" w:rsidRPr="0065032B" w:rsidRDefault="00303BCE" w:rsidP="00303BCE">
      <w:pPr>
        <w:spacing w:line="240" w:lineRule="auto"/>
        <w:jc w:val="both"/>
        <w:rPr>
          <w:rFonts w:eastAsia="Calibri" w:cs="Arial"/>
          <w:szCs w:val="20"/>
          <w:lang w:val="sl-SI"/>
        </w:rPr>
      </w:pPr>
    </w:p>
    <w:p w14:paraId="674BEA44" w14:textId="77777777" w:rsidR="00303BCE" w:rsidRPr="00584506" w:rsidRDefault="00303BCE" w:rsidP="00303BCE">
      <w:pPr>
        <w:spacing w:line="240" w:lineRule="auto"/>
        <w:jc w:val="both"/>
        <w:rPr>
          <w:rFonts w:eastAsia="Calibri" w:cs="Arial"/>
          <w:noProof/>
          <w:szCs w:val="20"/>
          <w:lang w:val="sl-SI"/>
        </w:rPr>
      </w:pPr>
      <w:r w:rsidRPr="00584506">
        <w:rPr>
          <w:rFonts w:eastAsia="Calibri" w:cs="Arial"/>
          <w:noProof/>
          <w:szCs w:val="20"/>
          <w:lang w:val="sl-SI"/>
        </w:rPr>
        <w:t xml:space="preserve">na Ministrstvo za finance ste naslovili dopis, s katerim izpostavljate problematiko zavračanja e-predlogov za izterjavo glob in stroškov prekrškovnih postopkov zoper dolžnika, ki je v postopku insolventnosti, podanih s strani Ministrstva za notranje zadeve v informacijski sistem Finančne uprave Republike Slovenije (v nadaljnjem besedilu: FURS). Po vašem mnenju FURS nima pravne podlage za zavračanje teh predlogov, saj Zakon o prekrških (v nadaljnjem besedilu: ZP-1) v enajstem odstavku 202. člena ne določa nobenih izjem pri prenosu terjatev na davčni organ. V prilogi prilagate tudi Problemsko poročilo policije in prosite za preučitev problematike in prilagoditev poslovanja informacijskega sistema FURS veljavni zakonodaji. </w:t>
      </w:r>
    </w:p>
    <w:p w14:paraId="6667135C" w14:textId="77777777" w:rsidR="00303BCE" w:rsidRPr="00584506" w:rsidRDefault="00303BCE" w:rsidP="00303BCE">
      <w:pPr>
        <w:spacing w:line="240" w:lineRule="auto"/>
        <w:jc w:val="both"/>
        <w:rPr>
          <w:rFonts w:eastAsia="Calibri" w:cs="Arial"/>
          <w:noProof/>
          <w:szCs w:val="20"/>
          <w:lang w:val="sl-SI"/>
        </w:rPr>
      </w:pPr>
    </w:p>
    <w:p w14:paraId="1B5E9667" w14:textId="77777777" w:rsidR="00303BCE" w:rsidRPr="00584506" w:rsidRDefault="00303BCE" w:rsidP="00303BCE">
      <w:pPr>
        <w:spacing w:line="240" w:lineRule="auto"/>
        <w:jc w:val="both"/>
        <w:rPr>
          <w:rFonts w:cs="Arial"/>
          <w:noProof/>
          <w:szCs w:val="20"/>
          <w:lang w:val="sl-SI"/>
        </w:rPr>
      </w:pPr>
      <w:r w:rsidRPr="00584506">
        <w:rPr>
          <w:rFonts w:cs="Arial"/>
          <w:noProof/>
          <w:szCs w:val="20"/>
          <w:lang w:val="sl-SI"/>
        </w:rPr>
        <w:t>Ministrstvo za finance v nadaljevanju z vidika svoje pristojnosti podaja odgovor.</w:t>
      </w:r>
    </w:p>
    <w:p w14:paraId="16BCA910" w14:textId="77777777" w:rsidR="00303BCE" w:rsidRPr="00584506" w:rsidRDefault="00303BCE" w:rsidP="00303BCE">
      <w:pPr>
        <w:spacing w:line="240" w:lineRule="auto"/>
        <w:jc w:val="both"/>
        <w:rPr>
          <w:noProof/>
          <w:lang w:val="sl-SI"/>
        </w:rPr>
      </w:pPr>
    </w:p>
    <w:p w14:paraId="5EAE94C4" w14:textId="77777777" w:rsidR="00303BCE" w:rsidRPr="00584506" w:rsidRDefault="00303BCE" w:rsidP="00303BCE">
      <w:pPr>
        <w:autoSpaceDE w:val="0"/>
        <w:autoSpaceDN w:val="0"/>
        <w:adjustRightInd w:val="0"/>
        <w:spacing w:line="240" w:lineRule="auto"/>
        <w:jc w:val="both"/>
        <w:rPr>
          <w:rFonts w:cs="Arial"/>
          <w:noProof/>
          <w:szCs w:val="20"/>
          <w:lang w:val="sl-SI" w:eastAsia="sl-SI"/>
        </w:rPr>
      </w:pPr>
      <w:r w:rsidRPr="00584506">
        <w:rPr>
          <w:noProof/>
          <w:szCs w:val="20"/>
          <w:lang w:val="sl-SI"/>
        </w:rPr>
        <w:t>Enajsti odstavek 202. člen Z</w:t>
      </w:r>
      <w:r>
        <w:rPr>
          <w:noProof/>
          <w:szCs w:val="20"/>
          <w:lang w:val="sl-SI"/>
        </w:rPr>
        <w:t xml:space="preserve">P-1 </w:t>
      </w:r>
      <w:r w:rsidRPr="00584506">
        <w:rPr>
          <w:noProof/>
          <w:szCs w:val="20"/>
          <w:lang w:val="sl-SI"/>
        </w:rPr>
        <w:t xml:space="preserve">določa, da se z dnem, ko sodišče oziroma prekrškovni organ vloži predlog za prisilno izterjavo po tem zakonu, na pristojni davčni organ prenese tudi terjatev v korist državnega proračuna. Namen te ureditve, sprejete z </w:t>
      </w:r>
      <w:r w:rsidRPr="00584506">
        <w:rPr>
          <w:rFonts w:cs="Arial"/>
          <w:noProof/>
          <w:szCs w:val="20"/>
          <w:lang w:val="sl-SI"/>
        </w:rPr>
        <w:t xml:space="preserve">Zakonom o spremembah in dopolnitvah Zakona o prekrških (Uradni list RS, št. </w:t>
      </w:r>
      <w:hyperlink r:id="rId14" w:tgtFrame="_blank" w:tooltip="Zakon o spremembah in dopolnitvah Zakona o prekrških (ZP-1G)" w:history="1">
        <w:r w:rsidRPr="00584506">
          <w:rPr>
            <w:rFonts w:cs="Arial"/>
            <w:noProof/>
            <w:szCs w:val="20"/>
            <w:lang w:val="sl-SI"/>
          </w:rPr>
          <w:t>9/11</w:t>
        </w:r>
      </w:hyperlink>
      <w:r w:rsidRPr="00584506">
        <w:rPr>
          <w:rFonts w:cs="Arial"/>
          <w:noProof/>
          <w:szCs w:val="20"/>
          <w:lang w:val="sl-SI"/>
        </w:rPr>
        <w:t xml:space="preserve">; v nadaljnjem besedilu: ZP-1G), je bil v razbremenitvi in racionalizaciji dela sodišč in prekrškovnih organov, predlagateljev izvršbe, predvsem v zvezi z evidentiranjem terjatev in prejetih plačil v fazi prisilne izterjave. V obrazložitvi predloga novele ZP-1G je namreč tudi navedeno, da predlog ne posega neposredno v postopek o prekršku, temveč posega izključno na področje finančnega poslovanja, ki bremeni dva organa: predlagatelja izvršbe in organ, ki je pristojen za prisilno izterjavo. </w:t>
      </w:r>
      <w:r w:rsidRPr="00584506">
        <w:rPr>
          <w:rFonts w:cs="Arial"/>
          <w:noProof/>
          <w:szCs w:val="20"/>
          <w:lang w:val="sl-SI" w:eastAsia="sl-SI"/>
        </w:rPr>
        <w:t xml:space="preserve">Iz te obrazložitve k predlogu člena ni mogoče zaključiti, da je bil namen ureditve pošiljanje predlogov za izterjavo prekrškovnih terjatev, pri katerih je zaradi uvedenih postopkov zaradi insolventnosti podana ovira za začetek postopka izvršbe. S tem posledično pa tudi ni bil namen te določbe v razbremenitvi dolžnosti, ki jih imajo prekrškovni organi in sodišča v zvezi z izvrševanjem izrečenih </w:t>
      </w:r>
      <w:r w:rsidRPr="00584506">
        <w:rPr>
          <w:noProof/>
          <w:szCs w:val="20"/>
          <w:lang w:val="sl-SI"/>
        </w:rPr>
        <w:t>glob, odvzem</w:t>
      </w:r>
      <w:r w:rsidR="0001107C">
        <w:rPr>
          <w:noProof/>
          <w:szCs w:val="20"/>
          <w:lang w:val="sl-SI"/>
        </w:rPr>
        <w:t>om</w:t>
      </w:r>
      <w:r w:rsidRPr="00584506">
        <w:rPr>
          <w:noProof/>
          <w:szCs w:val="20"/>
          <w:lang w:val="sl-SI"/>
        </w:rPr>
        <w:t xml:space="preserve"> premoženjske koristi s plačilom denarnega zneska in plačil</w:t>
      </w:r>
      <w:r w:rsidR="0001107C">
        <w:rPr>
          <w:noProof/>
          <w:szCs w:val="20"/>
          <w:lang w:val="sl-SI"/>
        </w:rPr>
        <w:t>i</w:t>
      </w:r>
      <w:r w:rsidRPr="00584506">
        <w:rPr>
          <w:noProof/>
          <w:szCs w:val="20"/>
          <w:lang w:val="sl-SI"/>
        </w:rPr>
        <w:t xml:space="preserve"> stroškov prekrškovnega postopka (v nadaljnjem besedilu: prekrškovnih terjatev), če je bil zoper dolžnika že začet postopek zaradi insolventnosti, to je prijave prekrškovnih terjatev v postopkih zaradi insolventnosti. </w:t>
      </w:r>
    </w:p>
    <w:p w14:paraId="6A8E07C1" w14:textId="77777777" w:rsidR="00303BCE" w:rsidRPr="00584506" w:rsidRDefault="00303BCE" w:rsidP="00303BCE">
      <w:pPr>
        <w:autoSpaceDE w:val="0"/>
        <w:autoSpaceDN w:val="0"/>
        <w:adjustRightInd w:val="0"/>
        <w:spacing w:line="240" w:lineRule="auto"/>
        <w:jc w:val="both"/>
        <w:rPr>
          <w:rFonts w:cs="Arial"/>
          <w:noProof/>
          <w:szCs w:val="20"/>
          <w:lang w:val="sl-SI" w:eastAsia="sl-SI"/>
        </w:rPr>
      </w:pPr>
    </w:p>
    <w:p w14:paraId="65CC6E2C" w14:textId="77777777" w:rsidR="00303BCE" w:rsidRPr="00584506" w:rsidRDefault="00303BCE" w:rsidP="00303BCE">
      <w:pPr>
        <w:spacing w:line="240" w:lineRule="auto"/>
        <w:jc w:val="both"/>
        <w:rPr>
          <w:noProof/>
          <w:szCs w:val="20"/>
          <w:lang w:val="sl-SI"/>
        </w:rPr>
      </w:pPr>
      <w:r w:rsidRPr="0052435D">
        <w:rPr>
          <w:lang w:val="sl-SI"/>
        </w:rPr>
        <w:t xml:space="preserve">Določbo </w:t>
      </w:r>
      <w:r w:rsidR="0001107C">
        <w:rPr>
          <w:lang w:val="sl-SI"/>
        </w:rPr>
        <w:t>enajstega</w:t>
      </w:r>
      <w:r w:rsidRPr="0052435D">
        <w:rPr>
          <w:lang w:val="sl-SI"/>
        </w:rPr>
        <w:t xml:space="preserve"> odstavka </w:t>
      </w:r>
      <w:r>
        <w:rPr>
          <w:lang w:val="sl-SI"/>
        </w:rPr>
        <w:t xml:space="preserve">202. člena </w:t>
      </w:r>
      <w:r w:rsidRPr="0052435D">
        <w:rPr>
          <w:lang w:val="sl-SI"/>
        </w:rPr>
        <w:t>ZP-1 je treba razlagati s sistematično metodo razlage, torej v povezavi z določbami drugih relevantnih določb in ne le z jezikovno razlago</w:t>
      </w:r>
      <w:r w:rsidR="003E57F5">
        <w:rPr>
          <w:lang w:val="sl-SI"/>
        </w:rPr>
        <w:t>, pa tudi z</w:t>
      </w:r>
      <w:r w:rsidR="003E57F5" w:rsidRPr="003E57F5">
        <w:rPr>
          <w:lang w:val="sl-SI"/>
        </w:rPr>
        <w:t xml:space="preserve"> logično in namensko</w:t>
      </w:r>
      <w:r w:rsidR="003E57F5">
        <w:rPr>
          <w:lang w:val="sl-SI"/>
        </w:rPr>
        <w:t xml:space="preserve"> metodo razlage</w:t>
      </w:r>
      <w:r w:rsidRPr="0052435D">
        <w:rPr>
          <w:lang w:val="sl-SI"/>
        </w:rPr>
        <w:t>.</w:t>
      </w:r>
      <w:r>
        <w:rPr>
          <w:lang w:val="sl-SI"/>
        </w:rPr>
        <w:t xml:space="preserve"> </w:t>
      </w:r>
      <w:r w:rsidRPr="00584506">
        <w:rPr>
          <w:noProof/>
          <w:szCs w:val="20"/>
          <w:lang w:val="sl-SI"/>
        </w:rPr>
        <w:t xml:space="preserve">Za presojo o pravilnosti izvajanja enajstega člena 202. člen ZP-1 je pri izterjavi </w:t>
      </w:r>
      <w:bookmarkStart w:id="0" w:name="_Hlk82686602"/>
      <w:r w:rsidRPr="00584506">
        <w:rPr>
          <w:noProof/>
          <w:szCs w:val="20"/>
          <w:lang w:val="sl-SI"/>
        </w:rPr>
        <w:t xml:space="preserve">prekrškovnih terjatev </w:t>
      </w:r>
      <w:bookmarkEnd w:id="0"/>
      <w:r w:rsidRPr="00584506">
        <w:rPr>
          <w:noProof/>
          <w:szCs w:val="20"/>
          <w:lang w:val="sl-SI"/>
        </w:rPr>
        <w:t xml:space="preserve">treba upoštevati tudi vsebino prvega in četrtega odstavka </w:t>
      </w:r>
      <w:r w:rsidRPr="00584506">
        <w:rPr>
          <w:noProof/>
          <w:szCs w:val="20"/>
          <w:lang w:val="sl-SI"/>
        </w:rPr>
        <w:lastRenderedPageBreak/>
        <w:t xml:space="preserve">202. člena ZP-1, ki </w:t>
      </w:r>
      <w:r w:rsidRPr="003E57F5">
        <w:rPr>
          <w:noProof/>
          <w:szCs w:val="20"/>
          <w:lang w:val="sl-SI"/>
        </w:rPr>
        <w:t>določa,</w:t>
      </w:r>
      <w:r w:rsidRPr="00584506">
        <w:rPr>
          <w:noProof/>
          <w:szCs w:val="20"/>
          <w:lang w:val="sl-SI"/>
        </w:rPr>
        <w:t xml:space="preserve"> da davčni organ v teh primerih postopa po določbah zakona, ki ureja davčno izvršbo, na predlog prekrškovnega organa, ki je izdal odločbo o prekršku. </w:t>
      </w:r>
    </w:p>
    <w:p w14:paraId="6EAB7FDF" w14:textId="77777777" w:rsidR="00303BCE" w:rsidRDefault="00303BCE" w:rsidP="00303BCE">
      <w:pPr>
        <w:spacing w:line="240" w:lineRule="auto"/>
        <w:jc w:val="both"/>
        <w:rPr>
          <w:noProof/>
          <w:szCs w:val="20"/>
          <w:lang w:val="sl-SI"/>
        </w:rPr>
      </w:pPr>
    </w:p>
    <w:p w14:paraId="445591D0" w14:textId="77777777" w:rsidR="00303BCE" w:rsidRDefault="00303BCE" w:rsidP="00303BCE">
      <w:pPr>
        <w:spacing w:line="240" w:lineRule="auto"/>
        <w:jc w:val="both"/>
        <w:rPr>
          <w:szCs w:val="20"/>
          <w:lang w:val="sl-SI"/>
        </w:rPr>
      </w:pPr>
      <w:r w:rsidRPr="00584506">
        <w:rPr>
          <w:noProof/>
          <w:szCs w:val="20"/>
          <w:lang w:val="sl-SI"/>
        </w:rPr>
        <w:t>Davčni organ (FURS) opravlja davčno izvršbo na podlagi tretjega dela Zakona o davčnem postopku (v nadaljnjem besedilu: ZDavP-2). Ta v 146. členu predpisuje tudi posebna pravila</w:t>
      </w:r>
      <w:r>
        <w:rPr>
          <w:szCs w:val="20"/>
          <w:lang w:val="sl-SI"/>
        </w:rPr>
        <w:t xml:space="preserve"> izvršbe, če davčni organ vodi izterjavo denarnih nedavčnih obveznosti (npr. glob, izrečenih v </w:t>
      </w:r>
      <w:proofErr w:type="spellStart"/>
      <w:r>
        <w:rPr>
          <w:szCs w:val="20"/>
          <w:lang w:val="sl-SI"/>
        </w:rPr>
        <w:t>prekrškovnem</w:t>
      </w:r>
      <w:proofErr w:type="spellEnd"/>
      <w:r>
        <w:rPr>
          <w:szCs w:val="20"/>
          <w:lang w:val="sl-SI"/>
        </w:rPr>
        <w:t xml:space="preserve"> postopku). Predlagatelj izvršbe je dolžan v elektronski obliki posredovati FURS v izterjavo predlog za izvršbo. Posredovati mora izvršilni naslov, opremljen s potrdilom o izvršljivosti (prvi odstavek 146. člena ZDavP-2). V zvezi z obravnavanim primerom je izpostaviti še peti odstavek 146. člena ZDavP-2, ki določa, da če se podatki za izvršbo pošiljajo v elektronski obliki, je predlagatelj izvršbe odgovoren, da pošilja le podatke, ki se nanašajo na izvršljive izvršilne naslove, torej podatke o terjatvah, ki izpolnjujejo zakonske pogoje za začetek izvršbe. Tako lahko predlagatelj v izterjavo posreduje terjatve, ki niso bile plačane v </w:t>
      </w:r>
      <w:r w:rsidRPr="0070648A">
        <w:rPr>
          <w:szCs w:val="20"/>
          <w:lang w:val="sl-SI"/>
        </w:rPr>
        <w:t xml:space="preserve">zakonskem roku, </w:t>
      </w:r>
      <w:r>
        <w:rPr>
          <w:szCs w:val="20"/>
          <w:lang w:val="sl-SI"/>
        </w:rPr>
        <w:t xml:space="preserve">terjatve, </w:t>
      </w:r>
      <w:r w:rsidRPr="0070648A">
        <w:rPr>
          <w:szCs w:val="20"/>
          <w:lang w:val="sl-SI"/>
        </w:rPr>
        <w:t>ki še niso zastarale</w:t>
      </w:r>
      <w:r>
        <w:rPr>
          <w:szCs w:val="20"/>
          <w:lang w:val="sl-SI"/>
        </w:rPr>
        <w:t xml:space="preserve"> oziroma pri katerih ni podana druga ovira za začetek postopka izvršbe, kot na primer začet postopek zaradi insolventnosti. Ta obveznost predlagatelja izhaja tudi iz Navodila nadzornikom za evidentiranje terjatev JFP, terjatve JFP posredovane v davčno izvršbo in odpis terjatev JFP</w:t>
      </w:r>
      <w:r>
        <w:rPr>
          <w:rStyle w:val="Sprotnaopomba-sklic"/>
          <w:szCs w:val="20"/>
          <w:lang w:val="sl-SI"/>
        </w:rPr>
        <w:footnoteReference w:id="1"/>
      </w:r>
      <w:r>
        <w:rPr>
          <w:szCs w:val="20"/>
          <w:lang w:val="sl-SI"/>
        </w:rPr>
        <w:t>. V 3</w:t>
      </w:r>
      <w:r w:rsidR="0001107C">
        <w:rPr>
          <w:szCs w:val="20"/>
          <w:lang w:val="sl-SI"/>
        </w:rPr>
        <w:t>.</w:t>
      </w:r>
      <w:r>
        <w:rPr>
          <w:szCs w:val="20"/>
          <w:lang w:val="sl-SI"/>
        </w:rPr>
        <w:t xml:space="preserve"> točki navodila so predpisana pravila glede posredovanja zapadlih nedavčnih terjatev JFP v davčno izvršbo, na podlagi katerih je predlagatelj izvršbe pred posredovanjem predloga za davčno izvršbo dolžan preveriti, da nedavčne terjatve ne ustrezajo pogojem za odpis in da zoper dolžnika ni bil začet oziroma je v teku postopek zaradi insolventnosti. </w:t>
      </w:r>
    </w:p>
    <w:p w14:paraId="21C79F86" w14:textId="77777777" w:rsidR="00303BCE" w:rsidRDefault="00303BCE" w:rsidP="00303BCE">
      <w:pPr>
        <w:spacing w:line="240" w:lineRule="auto"/>
        <w:jc w:val="both"/>
        <w:rPr>
          <w:lang w:val="sl-SI"/>
        </w:rPr>
      </w:pPr>
    </w:p>
    <w:p w14:paraId="023F8BAF" w14:textId="77777777" w:rsidR="00303BCE" w:rsidRDefault="00303BCE" w:rsidP="00303BCE">
      <w:pPr>
        <w:spacing w:line="240" w:lineRule="auto"/>
        <w:jc w:val="both"/>
        <w:rPr>
          <w:lang w:val="sl-SI"/>
        </w:rPr>
      </w:pPr>
      <w:r>
        <w:rPr>
          <w:lang w:val="sl-SI"/>
        </w:rPr>
        <w:t xml:space="preserve">Prav tako pa mora tudi FURS, ki je pristojen za vodenje postopka davčne izvršbe, po uradni dolžnosti, tako v času prejema predloga za izvršbo (pred njegovim sprejemom) kot tudi tekom postopka davčne izvršbe, preverjati obstoj zakonskih pogojev za začetek in vodenje postopka davčne izvršbe (146. člen ZDavP-2 in 155. člen ZDavP-2). </w:t>
      </w:r>
    </w:p>
    <w:p w14:paraId="5ADE6E4C" w14:textId="77777777" w:rsidR="00303BCE" w:rsidRPr="009A28CD" w:rsidRDefault="00303BCE" w:rsidP="00303BCE">
      <w:pPr>
        <w:pStyle w:val="odstavek1"/>
        <w:ind w:firstLine="0"/>
        <w:rPr>
          <w:sz w:val="20"/>
          <w:szCs w:val="20"/>
        </w:rPr>
      </w:pPr>
      <w:r w:rsidRPr="009C5A13">
        <w:rPr>
          <w:noProof/>
          <w:sz w:val="20"/>
          <w:szCs w:val="20"/>
        </w:rPr>
        <w:t xml:space="preserve">Pravno oviro za začetek in vodenje davčne izvršbe predstavlja (tudi) začet postopek zaradi insolventnosti. V skladu s splošnim pravilom prvega odstavka 131. člena </w:t>
      </w:r>
      <w:hyperlink r:id="rId15" w:history="1">
        <w:r w:rsidRPr="009C5A13">
          <w:rPr>
            <w:rStyle w:val="Hiperpovezava"/>
            <w:noProof/>
            <w:color w:val="auto"/>
            <w:sz w:val="20"/>
            <w:szCs w:val="20"/>
            <w:u w:val="none"/>
          </w:rPr>
          <w:t>Zakona finančnem poslovanju, postopkih zaradi insolventnosti in prisilnem prenehanju (v nadaljevanju: ZFPPIPP)</w:t>
        </w:r>
      </w:hyperlink>
      <w:r w:rsidRPr="009C5A13">
        <w:rPr>
          <w:rStyle w:val="Sprotnaopomba-sklic"/>
          <w:noProof/>
          <w:sz w:val="20"/>
          <w:szCs w:val="20"/>
        </w:rPr>
        <w:footnoteReference w:id="2"/>
      </w:r>
      <w:r w:rsidRPr="009C5A13">
        <w:rPr>
          <w:noProof/>
          <w:sz w:val="20"/>
          <w:szCs w:val="20"/>
        </w:rPr>
        <w:t xml:space="preserve"> namreč po začetku postopka zaradi insolventnosti (stečajni postopek nad pravno osebo, postopek osebnega stečaja, postopek prisilne poravnave itd.) izvršba proti insolventnemu dolžniku ni dovoljena</w:t>
      </w:r>
      <w:r w:rsidRPr="009C5A13">
        <w:rPr>
          <w:rStyle w:val="Sprotnaopomba-sklic"/>
          <w:noProof/>
          <w:sz w:val="20"/>
          <w:szCs w:val="20"/>
        </w:rPr>
        <w:footnoteReference w:id="3"/>
      </w:r>
      <w:r w:rsidRPr="009C5A13">
        <w:rPr>
          <w:noProof/>
          <w:sz w:val="20"/>
          <w:szCs w:val="20"/>
        </w:rPr>
        <w:t xml:space="preserve">. </w:t>
      </w:r>
      <w:r>
        <w:rPr>
          <w:noProof/>
          <w:sz w:val="20"/>
          <w:szCs w:val="20"/>
        </w:rPr>
        <w:t xml:space="preserve">To pomeni, da za izterjavo obveznosti insolventnega dolžnika po začetku postopka zaradi insolventnosti, ni dovoljeno na novo začeti izvršbe. Hkrati pa je potrebno na podlagi </w:t>
      </w:r>
      <w:r w:rsidRPr="009A28CD">
        <w:rPr>
          <w:sz w:val="20"/>
          <w:szCs w:val="20"/>
        </w:rPr>
        <w:t>132. člena ZFPPIPP z začetkom postopka prisilne poravnave ali stečaja</w:t>
      </w:r>
      <w:r>
        <w:rPr>
          <w:sz w:val="20"/>
          <w:szCs w:val="20"/>
        </w:rPr>
        <w:t xml:space="preserve"> </w:t>
      </w:r>
      <w:r w:rsidRPr="009A28CD">
        <w:rPr>
          <w:sz w:val="20"/>
          <w:szCs w:val="20"/>
        </w:rPr>
        <w:t xml:space="preserve">prekiniti </w:t>
      </w:r>
      <w:r>
        <w:rPr>
          <w:sz w:val="20"/>
          <w:szCs w:val="20"/>
        </w:rPr>
        <w:t xml:space="preserve">oziroma ustaviti </w:t>
      </w:r>
      <w:r w:rsidRPr="009A28CD">
        <w:rPr>
          <w:sz w:val="20"/>
          <w:szCs w:val="20"/>
        </w:rPr>
        <w:t>postopk</w:t>
      </w:r>
      <w:r>
        <w:rPr>
          <w:sz w:val="20"/>
          <w:szCs w:val="20"/>
        </w:rPr>
        <w:t>e</w:t>
      </w:r>
      <w:r w:rsidRPr="009A28CD">
        <w:rPr>
          <w:sz w:val="20"/>
          <w:szCs w:val="20"/>
        </w:rPr>
        <w:t xml:space="preserve"> </w:t>
      </w:r>
      <w:r>
        <w:rPr>
          <w:sz w:val="20"/>
          <w:szCs w:val="20"/>
        </w:rPr>
        <w:t xml:space="preserve">davčne </w:t>
      </w:r>
      <w:r w:rsidRPr="009A28CD">
        <w:rPr>
          <w:sz w:val="20"/>
          <w:szCs w:val="20"/>
        </w:rPr>
        <w:t xml:space="preserve">izvršbe, ki </w:t>
      </w:r>
      <w:r>
        <w:rPr>
          <w:sz w:val="20"/>
          <w:szCs w:val="20"/>
        </w:rPr>
        <w:t>so v teku</w:t>
      </w:r>
      <w:r w:rsidRPr="009A28CD">
        <w:rPr>
          <w:sz w:val="20"/>
          <w:szCs w:val="20"/>
        </w:rPr>
        <w:t xml:space="preserve"> proti insolventnemu dolžniku. </w:t>
      </w:r>
    </w:p>
    <w:p w14:paraId="223A3C85" w14:textId="77777777" w:rsidR="00303BCE" w:rsidRDefault="00303BCE" w:rsidP="00303BCE">
      <w:pPr>
        <w:spacing w:line="240" w:lineRule="auto"/>
        <w:ind w:left="720"/>
        <w:jc w:val="both"/>
        <w:rPr>
          <w:rFonts w:cs="Arial"/>
          <w:szCs w:val="20"/>
          <w:lang w:val="sl-SI"/>
        </w:rPr>
      </w:pPr>
    </w:p>
    <w:p w14:paraId="2F307BCE" w14:textId="77777777" w:rsidR="00303BCE" w:rsidRDefault="00303BCE" w:rsidP="00303BCE">
      <w:pPr>
        <w:spacing w:line="240" w:lineRule="auto"/>
        <w:jc w:val="both"/>
        <w:rPr>
          <w:lang w:val="sl-SI"/>
        </w:rPr>
      </w:pPr>
      <w:r w:rsidRPr="006F59B0">
        <w:rPr>
          <w:rFonts w:cs="Arial"/>
          <w:szCs w:val="20"/>
          <w:lang w:val="sl-SI"/>
        </w:rPr>
        <w:t xml:space="preserve">Če strnjeno povzamemo, je predlagatelj dolžan vložiti predlog za prisilno izterjavo </w:t>
      </w:r>
      <w:proofErr w:type="spellStart"/>
      <w:r w:rsidRPr="006F59B0">
        <w:rPr>
          <w:rFonts w:cs="Arial"/>
          <w:szCs w:val="20"/>
          <w:lang w:val="sl-SI"/>
        </w:rPr>
        <w:t>prekrškovne</w:t>
      </w:r>
      <w:proofErr w:type="spellEnd"/>
      <w:r w:rsidRPr="006F59B0">
        <w:rPr>
          <w:rFonts w:cs="Arial"/>
          <w:szCs w:val="20"/>
          <w:lang w:val="sl-SI"/>
        </w:rPr>
        <w:t xml:space="preserve"> terjatve, ki je v času pošiljanja izvršljiva (</w:t>
      </w:r>
      <w:r w:rsidRPr="006F59B0">
        <w:rPr>
          <w:lang w:val="sl-SI"/>
        </w:rPr>
        <w:t xml:space="preserve">če je izvršilni naslov postal pravnomočen in če je pretekel rok za prostovoljno izpolnitev dolžnikove obveznosti) in </w:t>
      </w:r>
      <w:r w:rsidRPr="006F59B0">
        <w:rPr>
          <w:rFonts w:cs="Arial"/>
          <w:szCs w:val="20"/>
          <w:lang w:val="sl-SI"/>
        </w:rPr>
        <w:t xml:space="preserve">dovoljena. Takšni zahtevi </w:t>
      </w:r>
      <w:r>
        <w:rPr>
          <w:rFonts w:cs="Arial"/>
          <w:szCs w:val="20"/>
          <w:lang w:val="sl-SI"/>
        </w:rPr>
        <w:t xml:space="preserve">pa </w:t>
      </w:r>
      <w:r w:rsidRPr="006F59B0">
        <w:rPr>
          <w:rFonts w:cs="Arial"/>
          <w:szCs w:val="20"/>
          <w:lang w:val="sl-SI"/>
        </w:rPr>
        <w:t>ne ustrezajo predlogi za izterjavo, vloženi</w:t>
      </w:r>
      <w:r w:rsidRPr="006F59B0">
        <w:rPr>
          <w:lang w:val="x-none"/>
        </w:rPr>
        <w:t xml:space="preserve"> </w:t>
      </w:r>
      <w:r w:rsidRPr="006F59B0">
        <w:rPr>
          <w:lang w:val="sl-SI"/>
        </w:rPr>
        <w:t>p</w:t>
      </w:r>
      <w:r w:rsidRPr="006F59B0">
        <w:rPr>
          <w:lang w:val="x-none"/>
        </w:rPr>
        <w:t>o začetku postopka zaradi insolventnosti proti</w:t>
      </w:r>
      <w:r w:rsidRPr="00073F26">
        <w:rPr>
          <w:lang w:val="x-none"/>
        </w:rPr>
        <w:t xml:space="preserve"> insolventnemu dolžniku</w:t>
      </w:r>
      <w:r w:rsidRPr="00073F26">
        <w:rPr>
          <w:lang w:val="sl-SI"/>
        </w:rPr>
        <w:t>, saj na podlagi prvega odstavka 131. člena ZFPPIPP</w:t>
      </w:r>
      <w:r w:rsidRPr="00073F26">
        <w:rPr>
          <w:lang w:val="x-none"/>
        </w:rPr>
        <w:t xml:space="preserve"> </w:t>
      </w:r>
      <w:r w:rsidRPr="00073F26">
        <w:rPr>
          <w:lang w:val="sl-SI"/>
        </w:rPr>
        <w:t xml:space="preserve">v tem času </w:t>
      </w:r>
      <w:r w:rsidRPr="00073F26">
        <w:rPr>
          <w:lang w:val="x-none"/>
        </w:rPr>
        <w:t>ni dovoljeno izdati sklepa o izvršbi ali zavarovanju</w:t>
      </w:r>
      <w:r w:rsidRPr="00073F26">
        <w:rPr>
          <w:lang w:val="sl-SI"/>
        </w:rPr>
        <w:t xml:space="preserve">. </w:t>
      </w:r>
      <w:r>
        <w:rPr>
          <w:lang w:val="sl-SI"/>
        </w:rPr>
        <w:t xml:space="preserve">Je pa v tem primeru </w:t>
      </w:r>
      <w:proofErr w:type="spellStart"/>
      <w:r>
        <w:rPr>
          <w:lang w:val="sl-SI"/>
        </w:rPr>
        <w:t>p</w:t>
      </w:r>
      <w:r w:rsidRPr="00073F26">
        <w:rPr>
          <w:lang w:val="sl-SI"/>
        </w:rPr>
        <w:t>rekrškovni</w:t>
      </w:r>
      <w:proofErr w:type="spellEnd"/>
      <w:r w:rsidRPr="00073F26">
        <w:rPr>
          <w:lang w:val="sl-SI"/>
        </w:rPr>
        <w:t xml:space="preserve"> organ kot upnik </w:t>
      </w:r>
      <w:r>
        <w:rPr>
          <w:lang w:val="sl-SI"/>
        </w:rPr>
        <w:t xml:space="preserve">dolžan pravočasno </w:t>
      </w:r>
      <w:r w:rsidRPr="00073F26">
        <w:rPr>
          <w:lang w:val="sl-SI"/>
        </w:rPr>
        <w:t xml:space="preserve">prijaviti terjatev v </w:t>
      </w:r>
      <w:r w:rsidRPr="00073F26">
        <w:rPr>
          <w:lang w:val="x-none"/>
        </w:rPr>
        <w:t>postopku zaradi insolventnosti</w:t>
      </w:r>
      <w:r w:rsidRPr="00073F26">
        <w:rPr>
          <w:lang w:val="sl-SI"/>
        </w:rPr>
        <w:t xml:space="preserve">. </w:t>
      </w:r>
    </w:p>
    <w:p w14:paraId="720A5E3B" w14:textId="77777777" w:rsidR="00303BCE" w:rsidRDefault="00303BCE" w:rsidP="00303BCE">
      <w:pPr>
        <w:spacing w:line="240" w:lineRule="auto"/>
        <w:jc w:val="both"/>
        <w:rPr>
          <w:lang w:val="sl-SI"/>
        </w:rPr>
      </w:pPr>
    </w:p>
    <w:p w14:paraId="12CDF9D1" w14:textId="77777777" w:rsidR="00303BCE" w:rsidRDefault="00303BCE" w:rsidP="00303BCE">
      <w:pPr>
        <w:spacing w:line="240" w:lineRule="auto"/>
        <w:jc w:val="both"/>
        <w:rPr>
          <w:lang w:val="sl-SI"/>
        </w:rPr>
      </w:pPr>
      <w:r>
        <w:rPr>
          <w:lang w:val="sl-SI"/>
        </w:rPr>
        <w:t xml:space="preserve">Glede na navedeno ni mogoče pritrditi navedbi, da ni pomembno, kdaj je terjatev nastala – pred ali po oklicu osebnega stečaja fizične osebe oziroma stečaja/prisilne poravnave pravne osebe. </w:t>
      </w:r>
    </w:p>
    <w:p w14:paraId="02F58E7D" w14:textId="77777777" w:rsidR="00303BCE" w:rsidRDefault="00303BCE" w:rsidP="00303BCE">
      <w:pPr>
        <w:spacing w:line="240" w:lineRule="auto"/>
        <w:jc w:val="both"/>
        <w:rPr>
          <w:rFonts w:cs="Arial"/>
          <w:szCs w:val="20"/>
          <w:lang w:val="sl-SI"/>
        </w:rPr>
      </w:pPr>
    </w:p>
    <w:p w14:paraId="2167F06F" w14:textId="77777777" w:rsidR="00303BCE" w:rsidRPr="00111F22" w:rsidRDefault="00303BCE" w:rsidP="00303BCE">
      <w:pPr>
        <w:spacing w:line="240" w:lineRule="auto"/>
        <w:jc w:val="both"/>
        <w:rPr>
          <w:lang w:val="sl-SI"/>
        </w:rPr>
      </w:pPr>
      <w:proofErr w:type="spellStart"/>
      <w:r>
        <w:rPr>
          <w:lang w:val="sl-SI"/>
        </w:rPr>
        <w:lastRenderedPageBreak/>
        <w:t>Prekrškovne</w:t>
      </w:r>
      <w:proofErr w:type="spellEnd"/>
      <w:r>
        <w:rPr>
          <w:lang w:val="sl-SI"/>
        </w:rPr>
        <w:t xml:space="preserve"> terjatve se prenesejo na FURS z vložitvijo predloga za izvršbo v aplikacijo </w:t>
      </w:r>
      <w:proofErr w:type="spellStart"/>
      <w:r w:rsidRPr="003D1DDC">
        <w:rPr>
          <w:lang w:val="sl-SI"/>
        </w:rPr>
        <w:t>eIzvršbe</w:t>
      </w:r>
      <w:proofErr w:type="spellEnd"/>
      <w:r w:rsidRPr="003D1DDC">
        <w:rPr>
          <w:lang w:val="sl-SI"/>
        </w:rPr>
        <w:t xml:space="preserve">. Po pojasnilu FURS je v aplikaciji vključena varovalka, ki preprečuje vnos predloga za izvršbo, če je zoper dolžnika v teku postopek zaradi insolventnosti. Aplikacija zavrne predlog za izvršbo, </w:t>
      </w:r>
      <w:r>
        <w:rPr>
          <w:lang w:val="sl-SI"/>
        </w:rPr>
        <w:t>s</w:t>
      </w:r>
      <w:r w:rsidRPr="003D1DDC">
        <w:rPr>
          <w:lang w:val="sl-SI"/>
        </w:rPr>
        <w:t xml:space="preserve"> pojasnilo</w:t>
      </w:r>
      <w:r>
        <w:rPr>
          <w:lang w:val="sl-SI"/>
        </w:rPr>
        <w:t xml:space="preserve">m: </w:t>
      </w:r>
      <w:r w:rsidRPr="003D1DDC">
        <w:rPr>
          <w:lang w:val="sl-SI"/>
        </w:rPr>
        <w:t>»Dolžnik je v postopku insolventnosti, ali je bil izbrisan.«.</w:t>
      </w:r>
      <w:r w:rsidRPr="003D1DDC">
        <w:rPr>
          <w:rStyle w:val="Sprotnaopomba-sklic"/>
          <w:lang w:val="sl-SI"/>
        </w:rPr>
        <w:footnoteReference w:id="4"/>
      </w:r>
      <w:r>
        <w:rPr>
          <w:lang w:val="sl-SI"/>
        </w:rPr>
        <w:t xml:space="preserve"> </w:t>
      </w:r>
    </w:p>
    <w:p w14:paraId="2B7F8D72" w14:textId="77777777" w:rsidR="0001107C" w:rsidRDefault="0001107C" w:rsidP="00303BCE">
      <w:pPr>
        <w:spacing w:line="240" w:lineRule="auto"/>
        <w:jc w:val="both"/>
        <w:rPr>
          <w:lang w:val="sl-SI"/>
        </w:rPr>
      </w:pPr>
    </w:p>
    <w:p w14:paraId="576224F5" w14:textId="77777777" w:rsidR="00303BCE" w:rsidRPr="00BC2517" w:rsidRDefault="00303BCE" w:rsidP="00303BCE">
      <w:pPr>
        <w:spacing w:line="240" w:lineRule="auto"/>
        <w:jc w:val="both"/>
        <w:rPr>
          <w:noProof/>
          <w:lang w:val="sl-SI"/>
        </w:rPr>
      </w:pPr>
      <w:r>
        <w:rPr>
          <w:lang w:val="sl-SI"/>
        </w:rPr>
        <w:t xml:space="preserve">Ministrstvo za finance se ne opredeljuje do navedb v zvezi s sklicevanjem na stališče Državnega odvetništva Republike Slovenije v dopisu, št. I-AP28-1071/2020-21 z dne 14. 9. 2020, saj je bilo po pojasnilu FURS to stališče podano v konkretni izvršilni zadevi. FURS pojasnjuje, da je šlo v tej predmetni zadevi za vprašanje pristojnosti za vložitev tožbe na vpis lastninske pravice na nepremičninah dolžnika na podlagi 168. člena Zakona o izvršbi in zavarovanju (v nadaljnjem besedilu: ZIZ) in se ni nanašalo na vprašanja postopkov zaradi insolventnosti niti drugih zakonskih ovir za začetek izvršbe. Glede na to, da je bil v konkretni zadevi predlog za izvršbo pravilno vložen in je s tem </w:t>
      </w:r>
      <w:r>
        <w:rPr>
          <w:noProof/>
          <w:lang w:val="sl-SI"/>
        </w:rPr>
        <w:t>prekrškovna terjatev prešla na FURS, ki je že vodil tudi različne postopke davčne izvršbe, je po mnenju FURS Državno odvetništvo Republike Slovenije pravilno zaključilo, da Policija ni ustrezni predlagatelj sodnega postopka na podlagi pravil 168. člena ZIZ.</w:t>
      </w:r>
    </w:p>
    <w:p w14:paraId="6B309CF9" w14:textId="77777777" w:rsidR="00303BCE" w:rsidRPr="00BC2517" w:rsidRDefault="00303BCE" w:rsidP="00303BCE">
      <w:pPr>
        <w:spacing w:line="240" w:lineRule="auto"/>
        <w:rPr>
          <w:noProof/>
          <w:lang w:val="sl-SI"/>
        </w:rPr>
      </w:pPr>
    </w:p>
    <w:p w14:paraId="4302F1B8" w14:textId="77777777" w:rsidR="00303BCE" w:rsidRDefault="00303BCE" w:rsidP="00303BCE">
      <w:pPr>
        <w:spacing w:line="240" w:lineRule="auto"/>
        <w:jc w:val="both"/>
        <w:rPr>
          <w:noProof/>
          <w:lang w:val="sl-SI"/>
        </w:rPr>
      </w:pPr>
      <w:r w:rsidRPr="00C77AC0">
        <w:rPr>
          <w:noProof/>
          <w:lang w:val="sl-SI"/>
        </w:rPr>
        <w:t xml:space="preserve">Glede navedb Policije, da opravila v zvezi s prekrškovnimi terjatvami dolžnikov, nad katerimi je (bil) v teku postopek zaradi insolventrnosti, za Policijo predstavljajo obsežno administrativno obremenitev, kar potrjuje statistični razvid zavrnjenih predlogov za izvršbo v preteklih letih (340 predlogov v letu 2017, 262 v letu 2018, 261 v letu 2019 in 264 v letu 2020), </w:t>
      </w:r>
      <w:r>
        <w:rPr>
          <w:noProof/>
          <w:lang w:val="sl-SI"/>
        </w:rPr>
        <w:t>Ministrstvo za finance pojasnjuje</w:t>
      </w:r>
      <w:r w:rsidRPr="00C77AC0">
        <w:rPr>
          <w:noProof/>
          <w:lang w:val="sl-SI"/>
        </w:rPr>
        <w:t>, da izterjava nedavčnih terjatev, kamor sodijo tudi prekrškovne terjatve Policije in drugih prekrškovnih organov, po obsegu oziroma številu obravnavanih zadev predstavljajo</w:t>
      </w:r>
      <w:r w:rsidRPr="0004035D">
        <w:rPr>
          <w:noProof/>
          <w:lang w:val="sl-SI"/>
        </w:rPr>
        <w:t xml:space="preserve"> tudi velik del nalog FURS na področju izterjave.</w:t>
      </w:r>
      <w:r>
        <w:rPr>
          <w:rStyle w:val="Sprotnaopomba-sklic"/>
          <w:noProof/>
          <w:lang w:val="sl-SI"/>
        </w:rPr>
        <w:footnoteReference w:id="5"/>
      </w:r>
      <w:r w:rsidRPr="0004035D">
        <w:rPr>
          <w:noProof/>
          <w:lang w:val="sl-SI"/>
        </w:rPr>
        <w:t xml:space="preserve"> Poleg postopkov davčne izvršbe opravlja FURS, katerega temeljna naloga je pobiranje davkov in drugih obveznih dajatev, tudi številne druge naloge uveljavljanja prekrškovnih terjatev, npr. odloča o vlogah za obročno plačilo (v letu 2020 je bilo kar 7.538 odobrenih zahtevkov iz tega naslova), sodiščem posreduje obvestila o izpolnjenosti pogojev za nadomestni zapor, prijavlja terjatve v postopke zaradi insolventnosti,</w:t>
      </w:r>
      <w:r>
        <w:rPr>
          <w:noProof/>
          <w:lang w:val="sl-SI"/>
        </w:rPr>
        <w:t xml:space="preserve"> če je bil predlog za izterjavo vložen že pred začetkom postopka zaradi insolventnosti ipd. </w:t>
      </w:r>
    </w:p>
    <w:p w14:paraId="63000405" w14:textId="77777777" w:rsidR="00303BCE" w:rsidRDefault="00303BCE" w:rsidP="00303BCE">
      <w:pPr>
        <w:spacing w:line="240" w:lineRule="auto"/>
        <w:jc w:val="both"/>
        <w:rPr>
          <w:lang w:val="sl-SI"/>
        </w:rPr>
      </w:pPr>
    </w:p>
    <w:p w14:paraId="12A72E67" w14:textId="77777777" w:rsidR="00303BCE" w:rsidRPr="00F5201E" w:rsidRDefault="00303BCE" w:rsidP="00303BCE">
      <w:pPr>
        <w:spacing w:line="240" w:lineRule="auto"/>
        <w:jc w:val="both"/>
        <w:rPr>
          <w:rFonts w:cs="Arial"/>
          <w:noProof/>
          <w:szCs w:val="20"/>
          <w:lang w:val="sl-SI" w:eastAsia="sl-SI"/>
        </w:rPr>
      </w:pPr>
      <w:r w:rsidRPr="00F5201E">
        <w:rPr>
          <w:rFonts w:cs="Arial"/>
          <w:noProof/>
          <w:szCs w:val="20"/>
          <w:lang w:val="sl-SI" w:eastAsia="sl-SI"/>
        </w:rPr>
        <w:t>Izvršbe v primerih postopkov zaradi insolventn</w:t>
      </w:r>
      <w:r>
        <w:rPr>
          <w:rFonts w:cs="Arial"/>
          <w:noProof/>
          <w:szCs w:val="20"/>
          <w:lang w:val="sl-SI" w:eastAsia="sl-SI"/>
        </w:rPr>
        <w:t>o</w:t>
      </w:r>
      <w:r w:rsidRPr="00F5201E">
        <w:rPr>
          <w:rFonts w:cs="Arial"/>
          <w:noProof/>
          <w:szCs w:val="20"/>
          <w:lang w:val="sl-SI" w:eastAsia="sl-SI"/>
        </w:rPr>
        <w:t xml:space="preserve">sti ni dovoljeno začeti, zato </w:t>
      </w:r>
      <w:r>
        <w:rPr>
          <w:rFonts w:cs="Arial"/>
          <w:noProof/>
          <w:szCs w:val="20"/>
          <w:lang w:val="sl-SI" w:eastAsia="sl-SI"/>
        </w:rPr>
        <w:t xml:space="preserve">ni mogoče vložiti </w:t>
      </w:r>
      <w:r w:rsidRPr="00F5201E">
        <w:rPr>
          <w:rFonts w:cs="Arial"/>
          <w:noProof/>
          <w:szCs w:val="20"/>
          <w:lang w:val="sl-SI" w:eastAsia="sl-SI"/>
        </w:rPr>
        <w:t xml:space="preserve">predloga za izvršbo in </w:t>
      </w:r>
      <w:r>
        <w:rPr>
          <w:rFonts w:cs="Arial"/>
          <w:noProof/>
          <w:szCs w:val="20"/>
          <w:lang w:val="sl-SI" w:eastAsia="sl-SI"/>
        </w:rPr>
        <w:t xml:space="preserve">tudi ne </w:t>
      </w:r>
      <w:r w:rsidRPr="00F5201E">
        <w:rPr>
          <w:rFonts w:cs="Arial"/>
          <w:noProof/>
          <w:szCs w:val="20"/>
          <w:lang w:val="sl-SI" w:eastAsia="sl-SI"/>
        </w:rPr>
        <w:t>prenesti terjatev</w:t>
      </w:r>
      <w:r w:rsidRPr="00F5201E">
        <w:rPr>
          <w:szCs w:val="20"/>
          <w:lang w:val="x-none"/>
        </w:rPr>
        <w:t xml:space="preserve"> v korist državnega proračuna</w:t>
      </w:r>
      <w:r>
        <w:rPr>
          <w:szCs w:val="20"/>
          <w:lang w:val="sl-SI"/>
        </w:rPr>
        <w:t xml:space="preserve"> na FURS</w:t>
      </w:r>
      <w:r w:rsidRPr="00F5201E">
        <w:rPr>
          <w:szCs w:val="20"/>
          <w:lang w:val="sl-SI"/>
        </w:rPr>
        <w:t xml:space="preserve">. </w:t>
      </w:r>
      <w:r w:rsidRPr="00F5201E">
        <w:rPr>
          <w:rFonts w:cs="Arial"/>
          <w:noProof/>
          <w:szCs w:val="20"/>
          <w:lang w:val="sl-SI" w:eastAsia="sl-SI"/>
        </w:rPr>
        <w:t xml:space="preserve">Povedano drugače, FURS ni mogoče očitati kršitve enajstega odstavka 202. člena ZP-1. </w:t>
      </w:r>
    </w:p>
    <w:p w14:paraId="32ABDF30" w14:textId="77777777" w:rsidR="00303BCE" w:rsidRDefault="00303BCE" w:rsidP="00303BCE">
      <w:pPr>
        <w:spacing w:line="240" w:lineRule="auto"/>
        <w:jc w:val="both"/>
        <w:rPr>
          <w:lang w:val="sl-SI"/>
        </w:rPr>
      </w:pPr>
    </w:p>
    <w:p w14:paraId="069E1001" w14:textId="77777777" w:rsidR="00303BCE" w:rsidRDefault="00303BCE" w:rsidP="00303BCE">
      <w:pPr>
        <w:spacing w:line="240" w:lineRule="auto"/>
        <w:jc w:val="both"/>
        <w:rPr>
          <w:rFonts w:cs="Arial"/>
          <w:noProof/>
          <w:szCs w:val="20"/>
          <w:lang w:val="sl-SI" w:eastAsia="sl-SI"/>
        </w:rPr>
      </w:pPr>
      <w:r>
        <w:rPr>
          <w:lang w:val="sl-SI"/>
        </w:rPr>
        <w:lastRenderedPageBreak/>
        <w:t xml:space="preserve">Iz zgoraj navedenih razlogov Ministrstvo za finance meni, da informacijski sistem FURS </w:t>
      </w:r>
      <w:proofErr w:type="spellStart"/>
      <w:r>
        <w:rPr>
          <w:lang w:val="sl-SI"/>
        </w:rPr>
        <w:t>eIzvršbe</w:t>
      </w:r>
      <w:proofErr w:type="spellEnd"/>
      <w:r>
        <w:rPr>
          <w:lang w:val="sl-SI"/>
        </w:rPr>
        <w:t xml:space="preserve"> zagotavlja upoštevanje pogojev za dovoljenost izvršbe in s tem prenosa terjatev predlagatelja izvršbe na FURS. Prepreke za vložitev predloga za izvršbo so </w:t>
      </w:r>
      <w:r w:rsidRPr="00032646">
        <w:rPr>
          <w:rFonts w:cs="Arial"/>
          <w:noProof/>
          <w:szCs w:val="20"/>
          <w:lang w:val="sl-SI" w:eastAsia="sl-SI"/>
        </w:rPr>
        <w:t>posledica zakonskih omejitev začetka in vodenja postopka izvršbe (ZDavP-2 in ZFPPIPP), ki sta jih dolžna spoštovati tako predlagatelj izvršbe</w:t>
      </w:r>
      <w:r>
        <w:rPr>
          <w:rFonts w:cs="Arial"/>
          <w:noProof/>
          <w:szCs w:val="20"/>
          <w:lang w:val="sl-SI" w:eastAsia="sl-SI"/>
        </w:rPr>
        <w:t>,</w:t>
      </w:r>
      <w:r w:rsidRPr="00032646">
        <w:rPr>
          <w:rFonts w:cs="Arial"/>
          <w:noProof/>
          <w:szCs w:val="20"/>
          <w:lang w:val="sl-SI" w:eastAsia="sl-SI"/>
        </w:rPr>
        <w:t xml:space="preserve"> kot tudi FURS. </w:t>
      </w:r>
    </w:p>
    <w:p w14:paraId="78D8A87D" w14:textId="77777777" w:rsidR="007C23CF" w:rsidRPr="008E4E63" w:rsidRDefault="007C23CF" w:rsidP="00303BCE">
      <w:pPr>
        <w:spacing w:line="240" w:lineRule="auto"/>
        <w:jc w:val="both"/>
        <w:rPr>
          <w:lang w:val="sl-SI"/>
        </w:rPr>
      </w:pPr>
    </w:p>
    <w:p w14:paraId="2AC4B11B" w14:textId="77777777" w:rsidR="00303BCE" w:rsidRPr="00C77AC0" w:rsidRDefault="00303BCE" w:rsidP="00303BCE">
      <w:pPr>
        <w:spacing w:line="240" w:lineRule="auto"/>
        <w:jc w:val="both"/>
        <w:rPr>
          <w:rFonts w:cs="Arial"/>
          <w:szCs w:val="20"/>
          <w:highlight w:val="yellow"/>
          <w:lang w:val="sl-SI" w:eastAsia="sl-SI"/>
        </w:rPr>
      </w:pPr>
      <w:r w:rsidRPr="00C77AC0">
        <w:rPr>
          <w:rFonts w:cs="Arial"/>
          <w:noProof/>
          <w:szCs w:val="20"/>
          <w:lang w:val="sl-SI" w:eastAsia="sl-SI"/>
        </w:rPr>
        <w:t>V skladu z navedeno določbo se prenese na FURS (pristojni davčni organ) terjatev v korist državnega proračuna z dnem, ko prekrškovni organ vloži predlog za prisilno izterjavo po ZP-1. To pa pomeni z dnem, ko je v aplikacijo eIzvršbe vložen predlog za izvršbo, ki je sposoben za obravnavo in se nanaša na terjatev, ki izpolnjuje zakonske pogoje za izvršbo, kar velja tudi za predloge za izterjavo glob in sroškov prekrškovnih postopkov.</w:t>
      </w:r>
      <w:r w:rsidR="0001107C">
        <w:rPr>
          <w:rFonts w:cs="Arial"/>
          <w:noProof/>
          <w:szCs w:val="20"/>
          <w:lang w:val="sl-SI" w:eastAsia="sl-SI"/>
        </w:rPr>
        <w:t xml:space="preserve"> </w:t>
      </w:r>
    </w:p>
    <w:p w14:paraId="56CB2FA6" w14:textId="77777777" w:rsidR="00303BCE" w:rsidRDefault="00303BCE" w:rsidP="00303BCE">
      <w:pPr>
        <w:spacing w:line="240" w:lineRule="auto"/>
        <w:jc w:val="both"/>
        <w:rPr>
          <w:lang w:val="sl-SI"/>
        </w:rPr>
      </w:pPr>
    </w:p>
    <w:p w14:paraId="4BEFE126" w14:textId="77777777" w:rsidR="00482D4B" w:rsidRDefault="00482D4B" w:rsidP="008C1AE7">
      <w:pPr>
        <w:pStyle w:val="podpisi"/>
        <w:spacing w:line="240" w:lineRule="auto"/>
        <w:jc w:val="both"/>
        <w:rPr>
          <w:rFonts w:cs="Arial"/>
          <w:szCs w:val="20"/>
          <w:lang w:val="sl-SI"/>
        </w:rPr>
      </w:pPr>
    </w:p>
    <w:p w14:paraId="4C9D5395" w14:textId="77777777" w:rsidR="00482D4B" w:rsidRDefault="00482D4B" w:rsidP="008C1AE7">
      <w:pPr>
        <w:pStyle w:val="podpisi"/>
        <w:spacing w:line="240" w:lineRule="auto"/>
        <w:jc w:val="both"/>
        <w:rPr>
          <w:rFonts w:cs="Arial"/>
          <w:szCs w:val="20"/>
          <w:lang w:val="sl-SI"/>
        </w:rPr>
      </w:pPr>
    </w:p>
    <w:p w14:paraId="4A9C60BB" w14:textId="77777777" w:rsidR="00482D4B" w:rsidRDefault="00482D4B" w:rsidP="008C1AE7">
      <w:pPr>
        <w:pStyle w:val="podpisi"/>
        <w:spacing w:line="240" w:lineRule="auto"/>
        <w:jc w:val="both"/>
        <w:rPr>
          <w:rFonts w:cs="Arial"/>
          <w:szCs w:val="20"/>
          <w:lang w:val="sl-SI"/>
        </w:rPr>
      </w:pPr>
    </w:p>
    <w:p w14:paraId="6C37CB76" w14:textId="77777777" w:rsidR="00482D4B" w:rsidRDefault="00482D4B" w:rsidP="008C1AE7">
      <w:pPr>
        <w:pStyle w:val="podpisi"/>
        <w:spacing w:line="240" w:lineRule="auto"/>
        <w:jc w:val="both"/>
        <w:rPr>
          <w:rFonts w:cs="Arial"/>
          <w:szCs w:val="20"/>
          <w:lang w:val="sl-SI"/>
        </w:rPr>
      </w:pPr>
    </w:p>
    <w:p w14:paraId="33854C6E" w14:textId="77777777" w:rsidR="00303BCE" w:rsidRDefault="00303BCE" w:rsidP="008C1AE7">
      <w:pPr>
        <w:pStyle w:val="podpisi"/>
        <w:spacing w:line="240" w:lineRule="auto"/>
        <w:jc w:val="both"/>
        <w:rPr>
          <w:rFonts w:cs="Arial"/>
          <w:szCs w:val="20"/>
          <w:lang w:val="sl-SI"/>
        </w:rPr>
      </w:pPr>
    </w:p>
    <w:p w14:paraId="1BD1D46E" w14:textId="77777777" w:rsidR="00303BCE" w:rsidRDefault="00303BCE" w:rsidP="008C1AE7">
      <w:pPr>
        <w:pStyle w:val="podpisi"/>
        <w:spacing w:line="240" w:lineRule="auto"/>
        <w:jc w:val="both"/>
        <w:rPr>
          <w:rFonts w:cs="Arial"/>
          <w:szCs w:val="20"/>
          <w:lang w:val="sl-SI"/>
        </w:rPr>
      </w:pPr>
    </w:p>
    <w:p w14:paraId="5BCF49D7" w14:textId="77777777" w:rsidR="009D1149" w:rsidRDefault="009D1149" w:rsidP="008C1AE7">
      <w:pPr>
        <w:pStyle w:val="podpisi"/>
        <w:spacing w:line="240" w:lineRule="auto"/>
        <w:jc w:val="both"/>
        <w:rPr>
          <w:rFonts w:cs="Arial"/>
          <w:szCs w:val="20"/>
          <w:lang w:val="sl-SI"/>
        </w:rPr>
      </w:pPr>
    </w:p>
    <w:sectPr w:rsidR="009D1149" w:rsidSect="00C429D0">
      <w:headerReference w:type="default" r:id="rId16"/>
      <w:footerReference w:type="default" r:id="rId17"/>
      <w:headerReference w:type="first" r:id="rId18"/>
      <w:footerReference w:type="first" r:id="rId19"/>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4F8B7" w14:textId="77777777" w:rsidR="00123568" w:rsidRDefault="00123568">
      <w:r>
        <w:separator/>
      </w:r>
    </w:p>
  </w:endnote>
  <w:endnote w:type="continuationSeparator" w:id="0">
    <w:p w14:paraId="27D5B9E4" w14:textId="77777777" w:rsidR="00123568" w:rsidRDefault="0012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F2074" w14:textId="77777777" w:rsidR="00864799" w:rsidRDefault="00864799">
    <w:pPr>
      <w:pStyle w:val="Noga"/>
      <w:jc w:val="center"/>
    </w:pPr>
    <w:r>
      <w:fldChar w:fldCharType="begin"/>
    </w:r>
    <w:r>
      <w:instrText>PAGE   \* MERGEFORMAT</w:instrText>
    </w:r>
    <w:r>
      <w:fldChar w:fldCharType="separate"/>
    </w:r>
    <w:r w:rsidR="00E87637" w:rsidRPr="00E87637">
      <w:rPr>
        <w:noProof/>
        <w:lang w:val="sl-SI"/>
      </w:rPr>
      <w:t>2</w:t>
    </w:r>
    <w:r>
      <w:fldChar w:fldCharType="end"/>
    </w:r>
  </w:p>
  <w:p w14:paraId="3A3CF6BB" w14:textId="77777777" w:rsidR="00864799" w:rsidRDefault="0086479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7EA58" w14:textId="77777777" w:rsidR="00864799" w:rsidRDefault="00864799">
    <w:pPr>
      <w:pStyle w:val="Noga"/>
      <w:jc w:val="center"/>
    </w:pPr>
    <w:r>
      <w:fldChar w:fldCharType="begin"/>
    </w:r>
    <w:r>
      <w:instrText>PAGE   \* MERGEFORMAT</w:instrText>
    </w:r>
    <w:r>
      <w:fldChar w:fldCharType="separate"/>
    </w:r>
    <w:r w:rsidR="00E87637" w:rsidRPr="00E87637">
      <w:rPr>
        <w:noProof/>
        <w:lang w:val="sl-SI"/>
      </w:rPr>
      <w:t>1</w:t>
    </w:r>
    <w:r>
      <w:fldChar w:fldCharType="end"/>
    </w:r>
  </w:p>
  <w:p w14:paraId="7ED5EF55" w14:textId="77777777" w:rsidR="00864799" w:rsidRDefault="008647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09AB1" w14:textId="77777777" w:rsidR="00123568" w:rsidRDefault="00123568">
      <w:r>
        <w:separator/>
      </w:r>
    </w:p>
  </w:footnote>
  <w:footnote w:type="continuationSeparator" w:id="0">
    <w:p w14:paraId="00DA696B" w14:textId="77777777" w:rsidR="00123568" w:rsidRDefault="00123568">
      <w:r>
        <w:continuationSeparator/>
      </w:r>
    </w:p>
  </w:footnote>
  <w:footnote w:id="1">
    <w:p w14:paraId="7E2E7F88" w14:textId="77777777" w:rsidR="00303BCE" w:rsidRPr="0052435D" w:rsidRDefault="00303BCE" w:rsidP="00303BCE">
      <w:pPr>
        <w:pStyle w:val="Sprotnaopomba-besedilo"/>
        <w:spacing w:line="240" w:lineRule="auto"/>
        <w:rPr>
          <w:sz w:val="18"/>
          <w:szCs w:val="18"/>
          <w:lang w:val="sl-SI"/>
        </w:rPr>
      </w:pPr>
      <w:r w:rsidRPr="0052435D">
        <w:rPr>
          <w:rStyle w:val="Sprotnaopomba-sklic"/>
          <w:sz w:val="18"/>
          <w:szCs w:val="18"/>
          <w:lang w:val="sl-SI"/>
        </w:rPr>
        <w:footnoteRef/>
      </w:r>
      <w:r w:rsidRPr="0052435D">
        <w:rPr>
          <w:sz w:val="18"/>
          <w:szCs w:val="18"/>
          <w:lang w:val="sl-SI"/>
        </w:rPr>
        <w:t xml:space="preserve"> Številka 429-24/2016/5 z dne 23. 12. 2016, dostopno na </w:t>
      </w:r>
      <w:hyperlink r:id="rId1" w:history="1">
        <w:r w:rsidRPr="0052435D">
          <w:rPr>
            <w:rStyle w:val="Hiperpovezava"/>
            <w:sz w:val="18"/>
            <w:szCs w:val="18"/>
            <w:lang w:val="sl-SI"/>
          </w:rPr>
          <w:t>https://www.gov.si/assets/ministrstva/MF/Javno-racunovodstvo/DOKUMENTI/Navodila/Navodilo_JFP_23122016.pdf</w:t>
        </w:r>
      </w:hyperlink>
    </w:p>
  </w:footnote>
  <w:footnote w:id="2">
    <w:p w14:paraId="58DF92B2" w14:textId="77777777" w:rsidR="00303BCE" w:rsidRPr="0052435D" w:rsidRDefault="00303BCE" w:rsidP="00303BCE">
      <w:pPr>
        <w:pStyle w:val="Sprotnaopomba-besedilo"/>
        <w:spacing w:line="240" w:lineRule="auto"/>
        <w:jc w:val="both"/>
        <w:rPr>
          <w:noProof/>
          <w:sz w:val="18"/>
          <w:szCs w:val="18"/>
          <w:lang w:val="sl-SI"/>
        </w:rPr>
      </w:pPr>
      <w:r w:rsidRPr="0052435D">
        <w:rPr>
          <w:rStyle w:val="Sprotnaopomba-sklic"/>
          <w:sz w:val="18"/>
          <w:szCs w:val="18"/>
          <w:lang w:val="sl-SI"/>
        </w:rPr>
        <w:footnoteRef/>
      </w:r>
      <w:r w:rsidRPr="0052435D">
        <w:rPr>
          <w:sz w:val="18"/>
          <w:szCs w:val="18"/>
          <w:lang w:val="sl-SI"/>
        </w:rPr>
        <w:t xml:space="preserve"> </w:t>
      </w:r>
      <w:r w:rsidRPr="0052435D">
        <w:rPr>
          <w:rFonts w:cs="Arial"/>
          <w:bCs/>
          <w:noProof/>
          <w:sz w:val="18"/>
          <w:szCs w:val="18"/>
          <w:shd w:val="clear" w:color="auto" w:fill="FFFFFF"/>
          <w:lang w:val="sl-SI"/>
        </w:rPr>
        <w:t>Uradni list RS, št. </w:t>
      </w:r>
      <w:hyperlink r:id="rId2" w:tgtFrame="_blank" w:tooltip="Zakon o finančnem poslovanju, postopkih zaradi insolventnosti in prisilnem prenehanju (uradno prečiščeno besedilo)" w:history="1">
        <w:r w:rsidRPr="0052435D">
          <w:rPr>
            <w:rFonts w:cs="Arial"/>
            <w:bCs/>
            <w:noProof/>
            <w:sz w:val="18"/>
            <w:szCs w:val="18"/>
            <w:shd w:val="clear" w:color="auto" w:fill="FFFFFF"/>
            <w:lang w:val="sl-SI"/>
          </w:rPr>
          <w:t>13/14</w:t>
        </w:r>
      </w:hyperlink>
      <w:r w:rsidRPr="0052435D">
        <w:rPr>
          <w:rFonts w:cs="Arial"/>
          <w:bCs/>
          <w:noProof/>
          <w:sz w:val="18"/>
          <w:szCs w:val="18"/>
          <w:shd w:val="clear" w:color="auto" w:fill="FFFFFF"/>
          <w:lang w:val="sl-SI"/>
        </w:rPr>
        <w:t> – uradno prečiščeno besedilo, </w:t>
      </w:r>
      <w:hyperlink r:id="rId3" w:tgtFrame="_blank" w:tooltip="Popravek Zakona o finančnem poslovanju, postopkih zaradi insolventnosti in prisilnem prenehanju (uradno prečiščeno besedilo) (ZFPPIPP-UPB8)" w:history="1">
        <w:r w:rsidRPr="0052435D">
          <w:rPr>
            <w:rFonts w:cs="Arial"/>
            <w:bCs/>
            <w:noProof/>
            <w:sz w:val="18"/>
            <w:szCs w:val="18"/>
            <w:shd w:val="clear" w:color="auto" w:fill="FFFFFF"/>
            <w:lang w:val="sl-SI"/>
          </w:rPr>
          <w:t>10/15 – popr.</w:t>
        </w:r>
      </w:hyperlink>
      <w:r w:rsidRPr="0052435D">
        <w:rPr>
          <w:rFonts w:cs="Arial"/>
          <w:bCs/>
          <w:noProof/>
          <w:sz w:val="18"/>
          <w:szCs w:val="18"/>
          <w:shd w:val="clear" w:color="auto" w:fill="FFFFFF"/>
          <w:lang w:val="sl-SI"/>
        </w:rPr>
        <w:t>, </w:t>
      </w:r>
      <w:hyperlink r:id="rId4" w:tgtFrame="_blank" w:tooltip="Zakon o spremembah in dopolnitvah Zakona o finančnem poslovanju, postopkih zaradi insolventnosti in prisilnem prenehanju" w:history="1">
        <w:r w:rsidRPr="0052435D">
          <w:rPr>
            <w:rFonts w:cs="Arial"/>
            <w:bCs/>
            <w:noProof/>
            <w:sz w:val="18"/>
            <w:szCs w:val="18"/>
            <w:shd w:val="clear" w:color="auto" w:fill="FFFFFF"/>
            <w:lang w:val="sl-SI"/>
          </w:rPr>
          <w:t>27/16</w:t>
        </w:r>
      </w:hyperlink>
      <w:r w:rsidRPr="0052435D">
        <w:rPr>
          <w:rFonts w:cs="Arial"/>
          <w:bCs/>
          <w:noProof/>
          <w:sz w:val="18"/>
          <w:szCs w:val="18"/>
          <w:shd w:val="clear" w:color="auto" w:fill="FFFFFF"/>
          <w:lang w:val="sl-SI"/>
        </w:rPr>
        <w:t>, </w:t>
      </w:r>
      <w:hyperlink r:id="rId5" w:tgtFrame="_blank" w:tooltip="Odločba o ugotovitvi, da je Zakon o finančnem poslovanju, postopkih zaradi insolventnosti in prisilnem prenehanju v neskladju z Ustavo" w:history="1">
        <w:r w:rsidRPr="0052435D">
          <w:rPr>
            <w:rFonts w:cs="Arial"/>
            <w:bCs/>
            <w:noProof/>
            <w:sz w:val="18"/>
            <w:szCs w:val="18"/>
            <w:shd w:val="clear" w:color="auto" w:fill="FFFFFF"/>
            <w:lang w:val="sl-SI"/>
          </w:rPr>
          <w:t>31/16</w:t>
        </w:r>
      </w:hyperlink>
      <w:r w:rsidRPr="0052435D">
        <w:rPr>
          <w:rFonts w:cs="Arial"/>
          <w:bCs/>
          <w:noProof/>
          <w:sz w:val="18"/>
          <w:szCs w:val="18"/>
          <w:shd w:val="clear" w:color="auto" w:fill="FFFFFF"/>
          <w:lang w:val="sl-SI"/>
        </w:rPr>
        <w:t> – odl. US, </w:t>
      </w:r>
      <w:hyperlink r:id="rId6" w:tgtFrame="_blank" w:tooltip="Odločba o ugotovitvi, da je Zakon o finančnem poslovanju, postopkih zaradi insolventnosti in prisilnem prenehanju v neskladju z Ustavo in o razveljavitvi sklepa Višjega sodišča v Ljubljani" w:history="1">
        <w:r w:rsidRPr="0052435D">
          <w:rPr>
            <w:rFonts w:cs="Arial"/>
            <w:bCs/>
            <w:noProof/>
            <w:sz w:val="18"/>
            <w:szCs w:val="18"/>
            <w:shd w:val="clear" w:color="auto" w:fill="FFFFFF"/>
            <w:lang w:val="sl-SI"/>
          </w:rPr>
          <w:t>38/16</w:t>
        </w:r>
      </w:hyperlink>
      <w:r w:rsidRPr="0052435D">
        <w:rPr>
          <w:rFonts w:cs="Arial"/>
          <w:bCs/>
          <w:noProof/>
          <w:sz w:val="18"/>
          <w:szCs w:val="18"/>
          <w:shd w:val="clear" w:color="auto" w:fill="FFFFFF"/>
          <w:lang w:val="sl-SI"/>
        </w:rPr>
        <w:t> – odl. US, </w:t>
      </w:r>
      <w:hyperlink r:id="rId7" w:tgtFrame="_blank" w:tooltip="Zakon o spremembah in dopolnitvah Zakona o dedovanju" w:history="1">
        <w:r w:rsidRPr="0052435D">
          <w:rPr>
            <w:rFonts w:cs="Arial"/>
            <w:bCs/>
            <w:noProof/>
            <w:sz w:val="18"/>
            <w:szCs w:val="18"/>
            <w:shd w:val="clear" w:color="auto" w:fill="FFFFFF"/>
            <w:lang w:val="sl-SI"/>
          </w:rPr>
          <w:t>63/16</w:t>
        </w:r>
      </w:hyperlink>
      <w:r w:rsidRPr="0052435D">
        <w:rPr>
          <w:rFonts w:cs="Arial"/>
          <w:bCs/>
          <w:noProof/>
          <w:sz w:val="18"/>
          <w:szCs w:val="18"/>
          <w:shd w:val="clear" w:color="auto" w:fill="FFFFFF"/>
          <w:lang w:val="sl-SI"/>
        </w:rPr>
        <w:t> – ZD-C, </w:t>
      </w:r>
      <w:hyperlink r:id="rId8" w:tgtFrame="_blank" w:tooltip="Odločba o ugotovitvi, da je četrti odstavek 192. člena Zakona o finančnem poslovanju, postopkih zaradi insolventnosti in prisilnem prenehanju delno v neskladju z Ustavo" w:history="1">
        <w:r w:rsidRPr="0052435D">
          <w:rPr>
            <w:rFonts w:cs="Arial"/>
            <w:bCs/>
            <w:noProof/>
            <w:sz w:val="18"/>
            <w:szCs w:val="18"/>
            <w:shd w:val="clear" w:color="auto" w:fill="FFFFFF"/>
            <w:lang w:val="sl-SI"/>
          </w:rPr>
          <w:t>54/18</w:t>
        </w:r>
      </w:hyperlink>
      <w:r w:rsidRPr="0052435D">
        <w:rPr>
          <w:rFonts w:cs="Arial"/>
          <w:bCs/>
          <w:noProof/>
          <w:sz w:val="18"/>
          <w:szCs w:val="18"/>
          <w:shd w:val="clear" w:color="auto" w:fill="FFFFFF"/>
          <w:lang w:val="sl-SI"/>
        </w:rPr>
        <w:t> – odl. US, </w:t>
      </w:r>
      <w:hyperlink r:id="rId9" w:tgtFrame="_blank" w:tooltip="Odločba o ugotovitvi, da sta tretji odstavek 310. člena in tretji odstavek 311. člena Zakona o finančnem poslovanju, postopkih zaradi insolventnosti in prisilnem prenehanju v neskladju z Ustavo" w:history="1">
        <w:r w:rsidRPr="0052435D">
          <w:rPr>
            <w:rFonts w:cs="Arial"/>
            <w:bCs/>
            <w:noProof/>
            <w:sz w:val="18"/>
            <w:szCs w:val="18"/>
            <w:shd w:val="clear" w:color="auto" w:fill="FFFFFF"/>
            <w:lang w:val="sl-SI"/>
          </w:rPr>
          <w:t>69/19</w:t>
        </w:r>
      </w:hyperlink>
      <w:r w:rsidRPr="0052435D">
        <w:rPr>
          <w:rFonts w:cs="Arial"/>
          <w:bCs/>
          <w:noProof/>
          <w:sz w:val="18"/>
          <w:szCs w:val="18"/>
          <w:shd w:val="clear" w:color="auto" w:fill="FFFFFF"/>
          <w:lang w:val="sl-SI"/>
        </w:rPr>
        <w:t> – odl. US, </w:t>
      </w:r>
      <w:hyperlink r:id="rId10" w:tgtFrame="_blank" w:tooltip="Odločba o ugotovitvi, da je druga alineja 2. točke drugega odstavka 399. člena Zakona o finančnem poslovanju, postopkih zaradi insolventnosti in prisilnem prenehanju, kolikor se nanaša na 383.b člen tega zakona, v neskladju z Ustavo" w:history="1">
        <w:r w:rsidRPr="0052435D">
          <w:rPr>
            <w:rFonts w:cs="Arial"/>
            <w:bCs/>
            <w:noProof/>
            <w:sz w:val="18"/>
            <w:szCs w:val="18"/>
            <w:shd w:val="clear" w:color="auto" w:fill="FFFFFF"/>
            <w:lang w:val="sl-SI"/>
          </w:rPr>
          <w:t>74/20</w:t>
        </w:r>
      </w:hyperlink>
      <w:r w:rsidRPr="0052435D">
        <w:rPr>
          <w:rFonts w:cs="Arial"/>
          <w:bCs/>
          <w:noProof/>
          <w:sz w:val="18"/>
          <w:szCs w:val="18"/>
          <w:shd w:val="clear" w:color="auto" w:fill="FFFFFF"/>
          <w:lang w:val="sl-SI"/>
        </w:rPr>
        <w:t> – odl. US in </w:t>
      </w:r>
      <w:hyperlink r:id="rId11" w:tgtFrame="_blank" w:tooltip="Odločba o ugotovitvi, da je 221.j člen Zakona o finančnem poslovanju, postopkih zaradi insolventnosti in prisilnem prenehanju v neskladju z Ustavo" w:history="1">
        <w:r w:rsidRPr="0052435D">
          <w:rPr>
            <w:rFonts w:cs="Arial"/>
            <w:bCs/>
            <w:noProof/>
            <w:sz w:val="18"/>
            <w:szCs w:val="18"/>
            <w:shd w:val="clear" w:color="auto" w:fill="FFFFFF"/>
            <w:lang w:val="sl-SI"/>
          </w:rPr>
          <w:t>85/20</w:t>
        </w:r>
      </w:hyperlink>
      <w:r w:rsidRPr="0052435D">
        <w:rPr>
          <w:rFonts w:cs="Arial"/>
          <w:bCs/>
          <w:noProof/>
          <w:sz w:val="18"/>
          <w:szCs w:val="18"/>
          <w:shd w:val="clear" w:color="auto" w:fill="FFFFFF"/>
          <w:lang w:val="sl-SI"/>
        </w:rPr>
        <w:t> – odl. US</w:t>
      </w:r>
    </w:p>
  </w:footnote>
  <w:footnote w:id="3">
    <w:p w14:paraId="140B8E1C" w14:textId="77777777" w:rsidR="00303BCE" w:rsidRPr="0052435D" w:rsidRDefault="00303BCE" w:rsidP="00303BCE">
      <w:pPr>
        <w:pStyle w:val="Sprotnaopomba-besedilo"/>
        <w:spacing w:line="240" w:lineRule="auto"/>
        <w:jc w:val="both"/>
        <w:rPr>
          <w:sz w:val="18"/>
          <w:szCs w:val="18"/>
          <w:lang w:val="sl-SI"/>
        </w:rPr>
      </w:pPr>
      <w:r w:rsidRPr="0052435D">
        <w:rPr>
          <w:rStyle w:val="Sprotnaopomba-sklic"/>
          <w:sz w:val="18"/>
          <w:szCs w:val="18"/>
          <w:lang w:val="sl-SI"/>
        </w:rPr>
        <w:footnoteRef/>
      </w:r>
      <w:r w:rsidRPr="0052435D">
        <w:rPr>
          <w:noProof/>
          <w:sz w:val="18"/>
          <w:szCs w:val="18"/>
          <w:lang w:val="sl-SI"/>
        </w:rPr>
        <w:t xml:space="preserve"> </w:t>
      </w:r>
      <w:r w:rsidRPr="0052435D">
        <w:rPr>
          <w:noProof/>
          <w:sz w:val="18"/>
          <w:szCs w:val="18"/>
          <w:lang w:val="sl-SI"/>
        </w:rPr>
        <w:t xml:space="preserve">Drugi odstavek 131. člena ZFPPIPP sicer določa nekatere izjeme od splošne prepovedi, torej primere, ko je izvršba zoper dolžnika kljub začetku postopka zaradi insolventnosti dovoljena. V ta okvir sodijo </w:t>
      </w:r>
      <w:r w:rsidRPr="0052435D">
        <w:rPr>
          <w:rFonts w:cs="Arial"/>
          <w:noProof/>
          <w:color w:val="000000"/>
          <w:sz w:val="18"/>
          <w:szCs w:val="18"/>
          <w:shd w:val="clear" w:color="auto" w:fill="FFFFFF"/>
          <w:lang w:val="sl-SI"/>
        </w:rPr>
        <w:t>obveznosti, ki nastanejo po začetku stečajnega postopka in se v stečajnem postopku plačajo kot strošek postopka (drugi odstavek 131. člena v povezavi z 354. členom ZFPPIPP).</w:t>
      </w:r>
    </w:p>
  </w:footnote>
  <w:footnote w:id="4">
    <w:p w14:paraId="1A577AAD" w14:textId="77777777" w:rsidR="00303BCE" w:rsidRPr="0052435D" w:rsidRDefault="00303BCE" w:rsidP="00303BCE">
      <w:pPr>
        <w:spacing w:line="240" w:lineRule="auto"/>
        <w:jc w:val="both"/>
        <w:rPr>
          <w:sz w:val="18"/>
          <w:szCs w:val="18"/>
          <w:lang w:val="sl-SI"/>
        </w:rPr>
      </w:pPr>
      <w:r w:rsidRPr="0052435D">
        <w:rPr>
          <w:rStyle w:val="Sprotnaopomba-sklic"/>
          <w:sz w:val="18"/>
          <w:szCs w:val="18"/>
          <w:lang w:val="sl-SI"/>
        </w:rPr>
        <w:footnoteRef/>
      </w:r>
      <w:r w:rsidRPr="0052435D">
        <w:rPr>
          <w:sz w:val="18"/>
          <w:szCs w:val="18"/>
          <w:lang w:val="sl-SI"/>
        </w:rPr>
        <w:t xml:space="preserve"> </w:t>
      </w:r>
      <w:r w:rsidRPr="0052435D">
        <w:rPr>
          <w:sz w:val="18"/>
          <w:szCs w:val="18"/>
          <w:lang w:val="sl-SI"/>
        </w:rPr>
        <w:t>FURS še pojasnjuje, da v</w:t>
      </w:r>
      <w:r w:rsidRPr="0052435D">
        <w:rPr>
          <w:noProof/>
          <w:sz w:val="18"/>
          <w:szCs w:val="18"/>
          <w:lang w:val="sl-SI"/>
        </w:rPr>
        <w:t xml:space="preserve"> primerih, ko predlagatelj meni, da je izvršba v skladu z določili ZFPPIPP dovoljena, lahko po zavrnitvi predloga za izvršbo, vloženega v aplikacijo eIzvršbe, na elektronski naslov </w:t>
      </w:r>
      <w:hyperlink r:id="rId12" w:history="1">
        <w:r w:rsidRPr="0052435D">
          <w:rPr>
            <w:rStyle w:val="Hiperpovezava"/>
            <w:noProof/>
            <w:sz w:val="18"/>
            <w:szCs w:val="18"/>
            <w:lang w:val="sl-SI"/>
          </w:rPr>
          <w:t>gfu.izvrsbe.fu@gov.si</w:t>
        </w:r>
      </w:hyperlink>
      <w:r w:rsidRPr="0052435D">
        <w:rPr>
          <w:noProof/>
          <w:sz w:val="18"/>
          <w:szCs w:val="18"/>
          <w:lang w:val="sl-SI"/>
        </w:rPr>
        <w:t xml:space="preserve"> posreduje obrazložen predlog za vnos predloga za izvršbo tudi zoper dolžnika, ki je v postopku zaradi insolventnosti. V tem primeru FURS omogoči vnos predloga za izvršbo v aplikacijo eIzvršbe, če je bil izvršilni naslov izdan pred začetkom postopka zaradi insolventnosti, izvršljivost pa je nastopila pozneje. Tovrstni primeri pa so v praksi redki.</w:t>
      </w:r>
    </w:p>
  </w:footnote>
  <w:footnote w:id="5">
    <w:p w14:paraId="290A02A9" w14:textId="77777777" w:rsidR="00303BCE" w:rsidRPr="001C35B1" w:rsidRDefault="00303BCE" w:rsidP="00303BCE">
      <w:pPr>
        <w:rPr>
          <w:rFonts w:cs="Arial"/>
          <w:i/>
          <w:iCs/>
          <w:noProof/>
          <w:sz w:val="18"/>
          <w:szCs w:val="18"/>
          <w:lang w:val="sl-SI"/>
        </w:rPr>
      </w:pPr>
      <w:r>
        <w:rPr>
          <w:rStyle w:val="Sprotnaopomba-sklic"/>
        </w:rPr>
        <w:footnoteRef/>
      </w:r>
      <w:r w:rsidRPr="00982651">
        <w:rPr>
          <w:lang w:val="sl-SI"/>
        </w:rPr>
        <w:t xml:space="preserve"> </w:t>
      </w:r>
      <w:r w:rsidRPr="001C35B1">
        <w:rPr>
          <w:rFonts w:cs="Arial"/>
          <w:i/>
          <w:iCs/>
          <w:noProof/>
          <w:sz w:val="18"/>
          <w:szCs w:val="18"/>
          <w:lang w:val="sl-SI"/>
        </w:rPr>
        <w:t xml:space="preserve">Preglednica: Prejeti predlogi za izterjavo prekrškovnih terjatev v letih 2017 do 2020 </w:t>
      </w:r>
    </w:p>
    <w:tbl>
      <w:tblPr>
        <w:tblW w:w="8580" w:type="dxa"/>
        <w:tblCellMar>
          <w:left w:w="70" w:type="dxa"/>
          <w:right w:w="70" w:type="dxa"/>
        </w:tblCellMar>
        <w:tblLook w:val="04A0" w:firstRow="1" w:lastRow="0" w:firstColumn="1" w:lastColumn="0" w:noHBand="0" w:noVBand="1"/>
      </w:tblPr>
      <w:tblGrid>
        <w:gridCol w:w="1540"/>
        <w:gridCol w:w="1033"/>
        <w:gridCol w:w="2487"/>
        <w:gridCol w:w="1033"/>
        <w:gridCol w:w="2487"/>
      </w:tblGrid>
      <w:tr w:rsidR="00303BCE" w:rsidRPr="001C35B1" w14:paraId="02C9FD8B" w14:textId="77777777" w:rsidTr="009E0BE4">
        <w:trPr>
          <w:trHeight w:val="255"/>
        </w:trPr>
        <w:tc>
          <w:tcPr>
            <w:tcW w:w="1540" w:type="dxa"/>
            <w:tcBorders>
              <w:top w:val="single" w:sz="8" w:space="0" w:color="A6A6A6"/>
              <w:left w:val="single" w:sz="8" w:space="0" w:color="A6A6A6"/>
              <w:bottom w:val="single" w:sz="4" w:space="0" w:color="A6A6A6"/>
              <w:right w:val="nil"/>
            </w:tcBorders>
            <w:shd w:val="clear" w:color="auto" w:fill="DDEBF7"/>
            <w:noWrap/>
            <w:vAlign w:val="center"/>
            <w:hideMark/>
          </w:tcPr>
          <w:p w14:paraId="0014CFA3" w14:textId="77777777" w:rsidR="00303BCE" w:rsidRPr="001C35B1" w:rsidRDefault="00303BCE" w:rsidP="009E0BE4">
            <w:pPr>
              <w:spacing w:line="240" w:lineRule="auto"/>
              <w:jc w:val="center"/>
              <w:rPr>
                <w:rFonts w:cs="Arial"/>
                <w:sz w:val="16"/>
                <w:szCs w:val="16"/>
                <w:lang w:val="sl-SI" w:eastAsia="sl-SI" w:bidi="lo-LA"/>
              </w:rPr>
            </w:pPr>
            <w:r w:rsidRPr="001C35B1">
              <w:rPr>
                <w:rFonts w:cs="Arial"/>
                <w:sz w:val="16"/>
                <w:szCs w:val="16"/>
                <w:lang w:val="sl-SI" w:eastAsia="sl-SI" w:bidi="lo-LA"/>
              </w:rPr>
              <w:t>Predlagatelj</w:t>
            </w:r>
          </w:p>
        </w:tc>
        <w:tc>
          <w:tcPr>
            <w:tcW w:w="3520" w:type="dxa"/>
            <w:gridSpan w:val="2"/>
            <w:tcBorders>
              <w:top w:val="single" w:sz="8" w:space="0" w:color="A6A6A6"/>
              <w:left w:val="single" w:sz="8" w:space="0" w:color="A6A6A6"/>
              <w:bottom w:val="single" w:sz="4" w:space="0" w:color="A6A6A6"/>
              <w:right w:val="single" w:sz="8" w:space="0" w:color="A6A6A6"/>
            </w:tcBorders>
            <w:shd w:val="clear" w:color="auto" w:fill="DDEBF7"/>
            <w:noWrap/>
            <w:vAlign w:val="center"/>
            <w:hideMark/>
          </w:tcPr>
          <w:p w14:paraId="396E4335" w14:textId="77777777" w:rsidR="00303BCE" w:rsidRPr="001C35B1" w:rsidRDefault="00303BCE" w:rsidP="009E0BE4">
            <w:pPr>
              <w:spacing w:line="240" w:lineRule="auto"/>
              <w:jc w:val="center"/>
              <w:rPr>
                <w:rFonts w:cs="Arial"/>
                <w:b/>
                <w:bCs/>
                <w:sz w:val="16"/>
                <w:szCs w:val="16"/>
                <w:lang w:val="sl-SI" w:eastAsia="sl-SI" w:bidi="lo-LA"/>
              </w:rPr>
            </w:pPr>
            <w:r w:rsidRPr="001C35B1">
              <w:rPr>
                <w:rFonts w:cs="Arial"/>
                <w:b/>
                <w:bCs/>
                <w:sz w:val="16"/>
                <w:szCs w:val="16"/>
                <w:lang w:val="sl-SI" w:eastAsia="sl-SI" w:bidi="lo-LA"/>
              </w:rPr>
              <w:t xml:space="preserve">POLICIJA </w:t>
            </w:r>
          </w:p>
        </w:tc>
        <w:tc>
          <w:tcPr>
            <w:tcW w:w="3520" w:type="dxa"/>
            <w:gridSpan w:val="2"/>
            <w:tcBorders>
              <w:top w:val="single" w:sz="8" w:space="0" w:color="A6A6A6"/>
              <w:left w:val="nil"/>
              <w:bottom w:val="single" w:sz="4" w:space="0" w:color="A6A6A6"/>
              <w:right w:val="single" w:sz="8" w:space="0" w:color="A6A6A6"/>
            </w:tcBorders>
            <w:shd w:val="clear" w:color="auto" w:fill="DDEBF7"/>
            <w:noWrap/>
            <w:vAlign w:val="center"/>
            <w:hideMark/>
          </w:tcPr>
          <w:p w14:paraId="56151B6D" w14:textId="77777777" w:rsidR="00303BCE" w:rsidRPr="001C35B1" w:rsidRDefault="00303BCE" w:rsidP="009E0BE4">
            <w:pPr>
              <w:spacing w:line="240" w:lineRule="auto"/>
              <w:jc w:val="center"/>
              <w:rPr>
                <w:rFonts w:cs="Arial"/>
                <w:b/>
                <w:bCs/>
                <w:sz w:val="16"/>
                <w:szCs w:val="16"/>
                <w:lang w:val="sl-SI" w:eastAsia="sl-SI" w:bidi="lo-LA"/>
              </w:rPr>
            </w:pPr>
            <w:r w:rsidRPr="001C35B1">
              <w:rPr>
                <w:rFonts w:cs="Arial"/>
                <w:b/>
                <w:bCs/>
                <w:sz w:val="16"/>
                <w:szCs w:val="16"/>
                <w:lang w:val="sl-SI" w:eastAsia="sl-SI" w:bidi="lo-LA"/>
              </w:rPr>
              <w:t>OSTALI PREKRŠKOVNI ORGANI</w:t>
            </w:r>
          </w:p>
        </w:tc>
      </w:tr>
      <w:tr w:rsidR="00303BCE" w:rsidRPr="001C35B1" w14:paraId="31BC32C3" w14:textId="77777777" w:rsidTr="009E0BE4">
        <w:trPr>
          <w:trHeight w:val="255"/>
        </w:trPr>
        <w:tc>
          <w:tcPr>
            <w:tcW w:w="1540" w:type="dxa"/>
            <w:tcBorders>
              <w:top w:val="nil"/>
              <w:left w:val="single" w:sz="8" w:space="0" w:color="A6A6A6"/>
              <w:bottom w:val="single" w:sz="8" w:space="0" w:color="A6A6A6"/>
              <w:right w:val="nil"/>
            </w:tcBorders>
            <w:shd w:val="clear" w:color="auto" w:fill="DDEBF7"/>
            <w:noWrap/>
            <w:vAlign w:val="center"/>
            <w:hideMark/>
          </w:tcPr>
          <w:p w14:paraId="1A1061EA" w14:textId="77777777" w:rsidR="00303BCE" w:rsidRPr="001C35B1" w:rsidRDefault="00303BCE" w:rsidP="009E0BE4">
            <w:pPr>
              <w:spacing w:line="240" w:lineRule="auto"/>
              <w:jc w:val="center"/>
              <w:rPr>
                <w:rFonts w:cs="Arial"/>
                <w:sz w:val="16"/>
                <w:szCs w:val="16"/>
                <w:lang w:val="sl-SI" w:eastAsia="sl-SI" w:bidi="lo-LA"/>
              </w:rPr>
            </w:pPr>
            <w:r w:rsidRPr="001C35B1">
              <w:rPr>
                <w:rFonts w:cs="Arial"/>
                <w:sz w:val="16"/>
                <w:szCs w:val="16"/>
                <w:lang w:val="sl-SI" w:eastAsia="sl-SI" w:bidi="lo-LA"/>
              </w:rPr>
              <w:t>Leto</w:t>
            </w:r>
          </w:p>
        </w:tc>
        <w:tc>
          <w:tcPr>
            <w:tcW w:w="1033" w:type="dxa"/>
            <w:tcBorders>
              <w:top w:val="nil"/>
              <w:left w:val="single" w:sz="8" w:space="0" w:color="A6A6A6"/>
              <w:bottom w:val="single" w:sz="8" w:space="0" w:color="A6A6A6"/>
              <w:right w:val="single" w:sz="4" w:space="0" w:color="A6A6A6"/>
            </w:tcBorders>
            <w:shd w:val="clear" w:color="auto" w:fill="DDEBF7"/>
            <w:noWrap/>
            <w:vAlign w:val="center"/>
            <w:hideMark/>
          </w:tcPr>
          <w:p w14:paraId="01890C21" w14:textId="77777777" w:rsidR="00303BCE" w:rsidRPr="001C35B1" w:rsidRDefault="00303BCE" w:rsidP="009E0BE4">
            <w:pPr>
              <w:spacing w:line="240" w:lineRule="auto"/>
              <w:jc w:val="center"/>
              <w:rPr>
                <w:rFonts w:cs="Arial"/>
                <w:sz w:val="16"/>
                <w:szCs w:val="16"/>
                <w:lang w:val="sl-SI" w:eastAsia="sl-SI" w:bidi="lo-LA"/>
              </w:rPr>
            </w:pPr>
            <w:r w:rsidRPr="001C35B1">
              <w:rPr>
                <w:rFonts w:cs="Arial"/>
                <w:sz w:val="16"/>
                <w:szCs w:val="16"/>
                <w:lang w:val="sl-SI" w:eastAsia="sl-SI" w:bidi="lo-LA"/>
              </w:rPr>
              <w:t>Št. zadev</w:t>
            </w:r>
          </w:p>
        </w:tc>
        <w:tc>
          <w:tcPr>
            <w:tcW w:w="2487" w:type="dxa"/>
            <w:tcBorders>
              <w:top w:val="nil"/>
              <w:left w:val="nil"/>
              <w:bottom w:val="single" w:sz="8" w:space="0" w:color="A6A6A6"/>
              <w:right w:val="single" w:sz="8" w:space="0" w:color="A6A6A6"/>
            </w:tcBorders>
            <w:shd w:val="clear" w:color="auto" w:fill="DDEBF7"/>
            <w:noWrap/>
            <w:vAlign w:val="center"/>
            <w:hideMark/>
          </w:tcPr>
          <w:p w14:paraId="01A3085D" w14:textId="77777777" w:rsidR="00303BCE" w:rsidRPr="001C35B1" w:rsidRDefault="00303BCE" w:rsidP="009E0BE4">
            <w:pPr>
              <w:spacing w:line="240" w:lineRule="auto"/>
              <w:jc w:val="center"/>
              <w:rPr>
                <w:rFonts w:cs="Arial"/>
                <w:sz w:val="16"/>
                <w:szCs w:val="16"/>
                <w:lang w:val="sl-SI" w:eastAsia="sl-SI" w:bidi="lo-LA"/>
              </w:rPr>
            </w:pPr>
            <w:r w:rsidRPr="001C35B1">
              <w:rPr>
                <w:rFonts w:cs="Arial"/>
                <w:sz w:val="16"/>
                <w:szCs w:val="16"/>
                <w:lang w:val="sl-SI" w:eastAsia="sl-SI" w:bidi="lo-LA"/>
              </w:rPr>
              <w:t>Znesek, dan v izterjavo</w:t>
            </w:r>
          </w:p>
        </w:tc>
        <w:tc>
          <w:tcPr>
            <w:tcW w:w="1033" w:type="dxa"/>
            <w:tcBorders>
              <w:top w:val="nil"/>
              <w:left w:val="nil"/>
              <w:bottom w:val="single" w:sz="8" w:space="0" w:color="A6A6A6"/>
              <w:right w:val="single" w:sz="4" w:space="0" w:color="A6A6A6"/>
            </w:tcBorders>
            <w:shd w:val="clear" w:color="auto" w:fill="DDEBF7"/>
            <w:noWrap/>
            <w:vAlign w:val="center"/>
            <w:hideMark/>
          </w:tcPr>
          <w:p w14:paraId="66847801" w14:textId="77777777" w:rsidR="00303BCE" w:rsidRPr="001C35B1" w:rsidRDefault="00303BCE" w:rsidP="009E0BE4">
            <w:pPr>
              <w:spacing w:line="240" w:lineRule="auto"/>
              <w:jc w:val="center"/>
              <w:rPr>
                <w:rFonts w:cs="Arial"/>
                <w:sz w:val="16"/>
                <w:szCs w:val="16"/>
                <w:lang w:val="sl-SI" w:eastAsia="sl-SI" w:bidi="lo-LA"/>
              </w:rPr>
            </w:pPr>
            <w:r w:rsidRPr="001C35B1">
              <w:rPr>
                <w:rFonts w:cs="Arial"/>
                <w:sz w:val="16"/>
                <w:szCs w:val="16"/>
                <w:lang w:val="sl-SI" w:eastAsia="sl-SI" w:bidi="lo-LA"/>
              </w:rPr>
              <w:t>Št. zadev</w:t>
            </w:r>
          </w:p>
        </w:tc>
        <w:tc>
          <w:tcPr>
            <w:tcW w:w="2487" w:type="dxa"/>
            <w:tcBorders>
              <w:top w:val="nil"/>
              <w:left w:val="nil"/>
              <w:bottom w:val="single" w:sz="8" w:space="0" w:color="A6A6A6"/>
              <w:right w:val="single" w:sz="8" w:space="0" w:color="A6A6A6"/>
            </w:tcBorders>
            <w:shd w:val="clear" w:color="auto" w:fill="DDEBF7"/>
            <w:noWrap/>
            <w:vAlign w:val="center"/>
            <w:hideMark/>
          </w:tcPr>
          <w:p w14:paraId="02FCA7C0" w14:textId="77777777" w:rsidR="00303BCE" w:rsidRPr="001C35B1" w:rsidRDefault="00303BCE" w:rsidP="009E0BE4">
            <w:pPr>
              <w:spacing w:line="240" w:lineRule="auto"/>
              <w:jc w:val="center"/>
              <w:rPr>
                <w:rFonts w:cs="Arial"/>
                <w:sz w:val="16"/>
                <w:szCs w:val="16"/>
                <w:lang w:val="sl-SI" w:eastAsia="sl-SI" w:bidi="lo-LA"/>
              </w:rPr>
            </w:pPr>
            <w:r w:rsidRPr="001C35B1">
              <w:rPr>
                <w:rFonts w:cs="Arial"/>
                <w:sz w:val="16"/>
                <w:szCs w:val="16"/>
                <w:lang w:val="sl-SI" w:eastAsia="sl-SI" w:bidi="lo-LA"/>
              </w:rPr>
              <w:t>Znesek, dan v izterjavo</w:t>
            </w:r>
          </w:p>
        </w:tc>
      </w:tr>
      <w:tr w:rsidR="00303BCE" w:rsidRPr="001C35B1" w14:paraId="275F9628" w14:textId="77777777" w:rsidTr="009E0BE4">
        <w:trPr>
          <w:trHeight w:val="255"/>
        </w:trPr>
        <w:tc>
          <w:tcPr>
            <w:tcW w:w="1540" w:type="dxa"/>
            <w:tcBorders>
              <w:top w:val="nil"/>
              <w:left w:val="single" w:sz="8" w:space="0" w:color="A6A6A6"/>
              <w:bottom w:val="single" w:sz="4" w:space="0" w:color="A6A6A6"/>
              <w:right w:val="nil"/>
            </w:tcBorders>
            <w:shd w:val="clear" w:color="auto" w:fill="DDEBF7"/>
            <w:noWrap/>
            <w:vAlign w:val="center"/>
            <w:hideMark/>
          </w:tcPr>
          <w:p w14:paraId="1BF43DA8" w14:textId="77777777" w:rsidR="00303BCE" w:rsidRPr="001C35B1" w:rsidRDefault="00303BCE" w:rsidP="009E0BE4">
            <w:pPr>
              <w:spacing w:line="240" w:lineRule="auto"/>
              <w:jc w:val="center"/>
              <w:rPr>
                <w:rFonts w:cs="Arial"/>
                <w:sz w:val="16"/>
                <w:szCs w:val="16"/>
                <w:lang w:val="sl-SI" w:eastAsia="sl-SI" w:bidi="lo-LA"/>
              </w:rPr>
            </w:pPr>
            <w:r w:rsidRPr="001C35B1">
              <w:rPr>
                <w:rFonts w:cs="Arial"/>
                <w:sz w:val="16"/>
                <w:szCs w:val="16"/>
                <w:lang w:val="sl-SI" w:eastAsia="sl-SI" w:bidi="lo-LA"/>
              </w:rPr>
              <w:t>2017</w:t>
            </w:r>
          </w:p>
        </w:tc>
        <w:tc>
          <w:tcPr>
            <w:tcW w:w="1033" w:type="dxa"/>
            <w:tcBorders>
              <w:top w:val="nil"/>
              <w:left w:val="single" w:sz="8" w:space="0" w:color="A6A6A6"/>
              <w:bottom w:val="single" w:sz="4" w:space="0" w:color="A6A6A6"/>
              <w:right w:val="single" w:sz="4" w:space="0" w:color="A6A6A6"/>
            </w:tcBorders>
            <w:shd w:val="clear" w:color="auto" w:fill="FFFFFF"/>
            <w:noWrap/>
            <w:vAlign w:val="center"/>
            <w:hideMark/>
          </w:tcPr>
          <w:p w14:paraId="03EE2635" w14:textId="77777777" w:rsidR="00303BCE" w:rsidRPr="001C35B1" w:rsidRDefault="00303BCE" w:rsidP="009E0BE4">
            <w:pPr>
              <w:spacing w:line="240" w:lineRule="auto"/>
              <w:jc w:val="right"/>
              <w:rPr>
                <w:rFonts w:cs="Arial"/>
                <w:sz w:val="16"/>
                <w:szCs w:val="16"/>
                <w:lang w:val="sl-SI" w:eastAsia="sl-SI" w:bidi="lo-LA"/>
              </w:rPr>
            </w:pPr>
            <w:r w:rsidRPr="001C35B1">
              <w:rPr>
                <w:rFonts w:cs="Arial"/>
                <w:sz w:val="16"/>
                <w:szCs w:val="16"/>
                <w:lang w:val="sl-SI" w:eastAsia="sl-SI" w:bidi="lo-LA"/>
              </w:rPr>
              <w:t>60.652</w:t>
            </w:r>
          </w:p>
        </w:tc>
        <w:tc>
          <w:tcPr>
            <w:tcW w:w="2487" w:type="dxa"/>
            <w:tcBorders>
              <w:top w:val="nil"/>
              <w:left w:val="nil"/>
              <w:bottom w:val="single" w:sz="4" w:space="0" w:color="A6A6A6"/>
              <w:right w:val="single" w:sz="8" w:space="0" w:color="A6A6A6"/>
            </w:tcBorders>
            <w:shd w:val="clear" w:color="auto" w:fill="FFFFFF"/>
            <w:noWrap/>
            <w:vAlign w:val="center"/>
            <w:hideMark/>
          </w:tcPr>
          <w:p w14:paraId="623C805D" w14:textId="77777777" w:rsidR="00303BCE" w:rsidRPr="001C35B1" w:rsidRDefault="00303BCE" w:rsidP="009E0BE4">
            <w:pPr>
              <w:spacing w:line="240" w:lineRule="auto"/>
              <w:jc w:val="right"/>
              <w:rPr>
                <w:rFonts w:cs="Arial"/>
                <w:sz w:val="16"/>
                <w:szCs w:val="16"/>
                <w:lang w:val="sl-SI" w:eastAsia="sl-SI" w:bidi="lo-LA"/>
              </w:rPr>
            </w:pPr>
            <w:r w:rsidRPr="001C35B1">
              <w:rPr>
                <w:rFonts w:cs="Arial"/>
                <w:sz w:val="16"/>
                <w:szCs w:val="16"/>
                <w:lang w:val="sl-SI" w:eastAsia="sl-SI" w:bidi="lo-LA"/>
              </w:rPr>
              <w:t>16.568.553,00</w:t>
            </w:r>
          </w:p>
        </w:tc>
        <w:tc>
          <w:tcPr>
            <w:tcW w:w="1033" w:type="dxa"/>
            <w:tcBorders>
              <w:top w:val="nil"/>
              <w:left w:val="nil"/>
              <w:bottom w:val="single" w:sz="4" w:space="0" w:color="A6A6A6"/>
              <w:right w:val="single" w:sz="4" w:space="0" w:color="A6A6A6"/>
            </w:tcBorders>
            <w:shd w:val="clear" w:color="auto" w:fill="FFFFFF"/>
            <w:noWrap/>
            <w:vAlign w:val="center"/>
            <w:hideMark/>
          </w:tcPr>
          <w:p w14:paraId="46156A11" w14:textId="77777777" w:rsidR="00303BCE" w:rsidRPr="001C35B1" w:rsidRDefault="00303BCE" w:rsidP="009E0BE4">
            <w:pPr>
              <w:spacing w:line="240" w:lineRule="auto"/>
              <w:jc w:val="right"/>
              <w:rPr>
                <w:rFonts w:cs="Arial"/>
                <w:sz w:val="16"/>
                <w:szCs w:val="16"/>
                <w:lang w:val="sl-SI" w:eastAsia="sl-SI" w:bidi="lo-LA"/>
              </w:rPr>
            </w:pPr>
            <w:r w:rsidRPr="001C35B1">
              <w:rPr>
                <w:rFonts w:cs="Arial"/>
                <w:sz w:val="16"/>
                <w:szCs w:val="16"/>
                <w:lang w:val="sl-SI" w:eastAsia="sl-SI" w:bidi="lo-LA"/>
              </w:rPr>
              <w:t>60.720</w:t>
            </w:r>
          </w:p>
        </w:tc>
        <w:tc>
          <w:tcPr>
            <w:tcW w:w="2487" w:type="dxa"/>
            <w:tcBorders>
              <w:top w:val="nil"/>
              <w:left w:val="nil"/>
              <w:bottom w:val="single" w:sz="4" w:space="0" w:color="A6A6A6"/>
              <w:right w:val="single" w:sz="8" w:space="0" w:color="A6A6A6"/>
            </w:tcBorders>
            <w:shd w:val="clear" w:color="auto" w:fill="FFFFFF"/>
            <w:noWrap/>
            <w:vAlign w:val="center"/>
            <w:hideMark/>
          </w:tcPr>
          <w:p w14:paraId="3E92F8CD" w14:textId="77777777" w:rsidR="00303BCE" w:rsidRPr="001C35B1" w:rsidRDefault="00303BCE" w:rsidP="009E0BE4">
            <w:pPr>
              <w:spacing w:line="240" w:lineRule="auto"/>
              <w:jc w:val="right"/>
              <w:rPr>
                <w:rFonts w:cs="Arial"/>
                <w:sz w:val="16"/>
                <w:szCs w:val="16"/>
                <w:lang w:val="sl-SI" w:eastAsia="sl-SI" w:bidi="lo-LA"/>
              </w:rPr>
            </w:pPr>
            <w:r w:rsidRPr="001C35B1">
              <w:rPr>
                <w:rFonts w:cs="Arial"/>
                <w:sz w:val="16"/>
                <w:szCs w:val="16"/>
                <w:lang w:val="sl-SI" w:eastAsia="sl-SI" w:bidi="lo-LA"/>
              </w:rPr>
              <w:t>18.842.306,11</w:t>
            </w:r>
          </w:p>
        </w:tc>
      </w:tr>
      <w:tr w:rsidR="00303BCE" w:rsidRPr="001C35B1" w14:paraId="254DCBFA" w14:textId="77777777" w:rsidTr="009E0BE4">
        <w:trPr>
          <w:trHeight w:val="255"/>
        </w:trPr>
        <w:tc>
          <w:tcPr>
            <w:tcW w:w="1540" w:type="dxa"/>
            <w:tcBorders>
              <w:top w:val="nil"/>
              <w:left w:val="single" w:sz="8" w:space="0" w:color="A6A6A6"/>
              <w:bottom w:val="single" w:sz="4" w:space="0" w:color="A6A6A6"/>
              <w:right w:val="nil"/>
            </w:tcBorders>
            <w:shd w:val="clear" w:color="auto" w:fill="DDEBF7"/>
            <w:noWrap/>
            <w:vAlign w:val="center"/>
            <w:hideMark/>
          </w:tcPr>
          <w:p w14:paraId="19105387" w14:textId="77777777" w:rsidR="00303BCE" w:rsidRPr="001C35B1" w:rsidRDefault="00303BCE" w:rsidP="009E0BE4">
            <w:pPr>
              <w:spacing w:line="240" w:lineRule="auto"/>
              <w:jc w:val="center"/>
              <w:rPr>
                <w:rFonts w:cs="Arial"/>
                <w:sz w:val="16"/>
                <w:szCs w:val="16"/>
                <w:lang w:val="sl-SI" w:eastAsia="sl-SI" w:bidi="lo-LA"/>
              </w:rPr>
            </w:pPr>
            <w:r w:rsidRPr="001C35B1">
              <w:rPr>
                <w:rFonts w:cs="Arial"/>
                <w:sz w:val="16"/>
                <w:szCs w:val="16"/>
                <w:lang w:val="sl-SI" w:eastAsia="sl-SI" w:bidi="lo-LA"/>
              </w:rPr>
              <w:t>2018</w:t>
            </w:r>
          </w:p>
        </w:tc>
        <w:tc>
          <w:tcPr>
            <w:tcW w:w="1033" w:type="dxa"/>
            <w:tcBorders>
              <w:top w:val="nil"/>
              <w:left w:val="single" w:sz="8" w:space="0" w:color="A6A6A6"/>
              <w:bottom w:val="single" w:sz="4" w:space="0" w:color="A6A6A6"/>
              <w:right w:val="single" w:sz="4" w:space="0" w:color="A6A6A6"/>
            </w:tcBorders>
            <w:shd w:val="clear" w:color="auto" w:fill="FFFFFF"/>
            <w:noWrap/>
            <w:vAlign w:val="center"/>
            <w:hideMark/>
          </w:tcPr>
          <w:p w14:paraId="2261111A" w14:textId="77777777" w:rsidR="00303BCE" w:rsidRPr="001C35B1" w:rsidRDefault="00303BCE" w:rsidP="009E0BE4">
            <w:pPr>
              <w:spacing w:line="240" w:lineRule="auto"/>
              <w:jc w:val="right"/>
              <w:rPr>
                <w:rFonts w:cs="Arial"/>
                <w:sz w:val="16"/>
                <w:szCs w:val="16"/>
                <w:lang w:val="sl-SI" w:eastAsia="sl-SI" w:bidi="lo-LA"/>
              </w:rPr>
            </w:pPr>
            <w:r w:rsidRPr="001C35B1">
              <w:rPr>
                <w:rFonts w:cs="Arial"/>
                <w:sz w:val="16"/>
                <w:szCs w:val="16"/>
                <w:lang w:val="sl-SI" w:eastAsia="sl-SI" w:bidi="lo-LA"/>
              </w:rPr>
              <w:t>47.418</w:t>
            </w:r>
          </w:p>
        </w:tc>
        <w:tc>
          <w:tcPr>
            <w:tcW w:w="2487" w:type="dxa"/>
            <w:tcBorders>
              <w:top w:val="nil"/>
              <w:left w:val="nil"/>
              <w:bottom w:val="single" w:sz="4" w:space="0" w:color="A6A6A6"/>
              <w:right w:val="single" w:sz="8" w:space="0" w:color="A6A6A6"/>
            </w:tcBorders>
            <w:shd w:val="clear" w:color="auto" w:fill="FFFFFF"/>
            <w:noWrap/>
            <w:vAlign w:val="center"/>
            <w:hideMark/>
          </w:tcPr>
          <w:p w14:paraId="00D9C89F" w14:textId="77777777" w:rsidR="00303BCE" w:rsidRPr="001C35B1" w:rsidRDefault="00303BCE" w:rsidP="009E0BE4">
            <w:pPr>
              <w:spacing w:line="240" w:lineRule="auto"/>
              <w:jc w:val="right"/>
              <w:rPr>
                <w:rFonts w:cs="Arial"/>
                <w:sz w:val="16"/>
                <w:szCs w:val="16"/>
                <w:lang w:val="sl-SI" w:eastAsia="sl-SI" w:bidi="lo-LA"/>
              </w:rPr>
            </w:pPr>
            <w:r w:rsidRPr="001C35B1">
              <w:rPr>
                <w:rFonts w:cs="Arial"/>
                <w:sz w:val="16"/>
                <w:szCs w:val="16"/>
                <w:lang w:val="sl-SI" w:eastAsia="sl-SI" w:bidi="lo-LA"/>
              </w:rPr>
              <w:t>13.990.846,37</w:t>
            </w:r>
          </w:p>
        </w:tc>
        <w:tc>
          <w:tcPr>
            <w:tcW w:w="1033" w:type="dxa"/>
            <w:tcBorders>
              <w:top w:val="nil"/>
              <w:left w:val="nil"/>
              <w:bottom w:val="single" w:sz="4" w:space="0" w:color="A6A6A6"/>
              <w:right w:val="single" w:sz="4" w:space="0" w:color="A6A6A6"/>
            </w:tcBorders>
            <w:shd w:val="clear" w:color="auto" w:fill="FFFFFF"/>
            <w:noWrap/>
            <w:vAlign w:val="center"/>
            <w:hideMark/>
          </w:tcPr>
          <w:p w14:paraId="3DF23BC0" w14:textId="77777777" w:rsidR="00303BCE" w:rsidRPr="001C35B1" w:rsidRDefault="00303BCE" w:rsidP="009E0BE4">
            <w:pPr>
              <w:spacing w:line="240" w:lineRule="auto"/>
              <w:jc w:val="right"/>
              <w:rPr>
                <w:rFonts w:cs="Arial"/>
                <w:sz w:val="16"/>
                <w:szCs w:val="16"/>
                <w:lang w:val="sl-SI" w:eastAsia="sl-SI" w:bidi="lo-LA"/>
              </w:rPr>
            </w:pPr>
            <w:r w:rsidRPr="001C35B1">
              <w:rPr>
                <w:rFonts w:cs="Arial"/>
                <w:sz w:val="16"/>
                <w:szCs w:val="16"/>
                <w:lang w:val="sl-SI" w:eastAsia="sl-SI" w:bidi="lo-LA"/>
              </w:rPr>
              <w:t>65.283</w:t>
            </w:r>
          </w:p>
        </w:tc>
        <w:tc>
          <w:tcPr>
            <w:tcW w:w="2487" w:type="dxa"/>
            <w:tcBorders>
              <w:top w:val="nil"/>
              <w:left w:val="nil"/>
              <w:bottom w:val="single" w:sz="4" w:space="0" w:color="A6A6A6"/>
              <w:right w:val="single" w:sz="8" w:space="0" w:color="A6A6A6"/>
            </w:tcBorders>
            <w:shd w:val="clear" w:color="auto" w:fill="FFFFFF"/>
            <w:noWrap/>
            <w:vAlign w:val="center"/>
            <w:hideMark/>
          </w:tcPr>
          <w:p w14:paraId="10EB133D" w14:textId="77777777" w:rsidR="00303BCE" w:rsidRPr="001C35B1" w:rsidRDefault="00303BCE" w:rsidP="009E0BE4">
            <w:pPr>
              <w:spacing w:line="240" w:lineRule="auto"/>
              <w:jc w:val="right"/>
              <w:rPr>
                <w:rFonts w:cs="Arial"/>
                <w:sz w:val="16"/>
                <w:szCs w:val="16"/>
                <w:lang w:val="sl-SI" w:eastAsia="sl-SI" w:bidi="lo-LA"/>
              </w:rPr>
            </w:pPr>
            <w:r w:rsidRPr="001C35B1">
              <w:rPr>
                <w:rFonts w:cs="Arial"/>
                <w:sz w:val="16"/>
                <w:szCs w:val="16"/>
                <w:lang w:val="sl-SI" w:eastAsia="sl-SI" w:bidi="lo-LA"/>
              </w:rPr>
              <w:t>16.745.809,23</w:t>
            </w:r>
          </w:p>
        </w:tc>
      </w:tr>
      <w:tr w:rsidR="00303BCE" w:rsidRPr="001C35B1" w14:paraId="7E6BB1A7" w14:textId="77777777" w:rsidTr="009E0BE4">
        <w:trPr>
          <w:trHeight w:val="255"/>
        </w:trPr>
        <w:tc>
          <w:tcPr>
            <w:tcW w:w="1540" w:type="dxa"/>
            <w:tcBorders>
              <w:top w:val="nil"/>
              <w:left w:val="single" w:sz="8" w:space="0" w:color="A6A6A6"/>
              <w:bottom w:val="single" w:sz="4" w:space="0" w:color="A6A6A6"/>
              <w:right w:val="nil"/>
            </w:tcBorders>
            <w:shd w:val="clear" w:color="auto" w:fill="DDEBF7"/>
            <w:noWrap/>
            <w:vAlign w:val="center"/>
            <w:hideMark/>
          </w:tcPr>
          <w:p w14:paraId="3496EDDE" w14:textId="77777777" w:rsidR="00303BCE" w:rsidRPr="001C35B1" w:rsidRDefault="00303BCE" w:rsidP="009E0BE4">
            <w:pPr>
              <w:spacing w:line="240" w:lineRule="auto"/>
              <w:jc w:val="center"/>
              <w:rPr>
                <w:rFonts w:cs="Arial"/>
                <w:sz w:val="16"/>
                <w:szCs w:val="16"/>
                <w:lang w:val="sl-SI" w:eastAsia="sl-SI" w:bidi="lo-LA"/>
              </w:rPr>
            </w:pPr>
            <w:r w:rsidRPr="001C35B1">
              <w:rPr>
                <w:rFonts w:cs="Arial"/>
                <w:sz w:val="16"/>
                <w:szCs w:val="16"/>
                <w:lang w:val="sl-SI" w:eastAsia="sl-SI" w:bidi="lo-LA"/>
              </w:rPr>
              <w:t>2019</w:t>
            </w:r>
          </w:p>
        </w:tc>
        <w:tc>
          <w:tcPr>
            <w:tcW w:w="1033" w:type="dxa"/>
            <w:tcBorders>
              <w:top w:val="nil"/>
              <w:left w:val="single" w:sz="8" w:space="0" w:color="A6A6A6"/>
              <w:bottom w:val="single" w:sz="4" w:space="0" w:color="A6A6A6"/>
              <w:right w:val="single" w:sz="4" w:space="0" w:color="A6A6A6"/>
            </w:tcBorders>
            <w:shd w:val="clear" w:color="auto" w:fill="FFFFFF"/>
            <w:noWrap/>
            <w:vAlign w:val="center"/>
            <w:hideMark/>
          </w:tcPr>
          <w:p w14:paraId="1D303265" w14:textId="77777777" w:rsidR="00303BCE" w:rsidRPr="001C35B1" w:rsidRDefault="00303BCE" w:rsidP="009E0BE4">
            <w:pPr>
              <w:spacing w:line="240" w:lineRule="auto"/>
              <w:jc w:val="right"/>
              <w:rPr>
                <w:rFonts w:cs="Arial"/>
                <w:sz w:val="16"/>
                <w:szCs w:val="16"/>
                <w:lang w:val="sl-SI" w:eastAsia="sl-SI" w:bidi="lo-LA"/>
              </w:rPr>
            </w:pPr>
            <w:r w:rsidRPr="001C35B1">
              <w:rPr>
                <w:rFonts w:cs="Arial"/>
                <w:sz w:val="16"/>
                <w:szCs w:val="16"/>
                <w:lang w:val="sl-SI" w:eastAsia="sl-SI" w:bidi="lo-LA"/>
              </w:rPr>
              <w:t>50.636</w:t>
            </w:r>
          </w:p>
        </w:tc>
        <w:tc>
          <w:tcPr>
            <w:tcW w:w="2487" w:type="dxa"/>
            <w:tcBorders>
              <w:top w:val="nil"/>
              <w:left w:val="nil"/>
              <w:bottom w:val="single" w:sz="4" w:space="0" w:color="A6A6A6"/>
              <w:right w:val="single" w:sz="8" w:space="0" w:color="A6A6A6"/>
            </w:tcBorders>
            <w:shd w:val="clear" w:color="auto" w:fill="FFFFFF"/>
            <w:noWrap/>
            <w:vAlign w:val="center"/>
            <w:hideMark/>
          </w:tcPr>
          <w:p w14:paraId="5D0A10E0" w14:textId="77777777" w:rsidR="00303BCE" w:rsidRPr="001C35B1" w:rsidRDefault="00303BCE" w:rsidP="009E0BE4">
            <w:pPr>
              <w:spacing w:line="240" w:lineRule="auto"/>
              <w:jc w:val="right"/>
              <w:rPr>
                <w:rFonts w:cs="Arial"/>
                <w:sz w:val="16"/>
                <w:szCs w:val="16"/>
                <w:lang w:val="sl-SI" w:eastAsia="sl-SI" w:bidi="lo-LA"/>
              </w:rPr>
            </w:pPr>
            <w:r w:rsidRPr="001C35B1">
              <w:rPr>
                <w:rFonts w:cs="Arial"/>
                <w:sz w:val="16"/>
                <w:szCs w:val="16"/>
                <w:lang w:val="sl-SI" w:eastAsia="sl-SI" w:bidi="lo-LA"/>
              </w:rPr>
              <w:t>14.169.391,63</w:t>
            </w:r>
          </w:p>
        </w:tc>
        <w:tc>
          <w:tcPr>
            <w:tcW w:w="1033" w:type="dxa"/>
            <w:tcBorders>
              <w:top w:val="nil"/>
              <w:left w:val="nil"/>
              <w:bottom w:val="single" w:sz="4" w:space="0" w:color="A6A6A6"/>
              <w:right w:val="single" w:sz="4" w:space="0" w:color="A6A6A6"/>
            </w:tcBorders>
            <w:shd w:val="clear" w:color="auto" w:fill="FFFFFF"/>
            <w:noWrap/>
            <w:vAlign w:val="center"/>
            <w:hideMark/>
          </w:tcPr>
          <w:p w14:paraId="66364674" w14:textId="77777777" w:rsidR="00303BCE" w:rsidRPr="001C35B1" w:rsidRDefault="00303BCE" w:rsidP="009E0BE4">
            <w:pPr>
              <w:spacing w:line="240" w:lineRule="auto"/>
              <w:jc w:val="right"/>
              <w:rPr>
                <w:rFonts w:cs="Arial"/>
                <w:sz w:val="16"/>
                <w:szCs w:val="16"/>
                <w:lang w:val="sl-SI" w:eastAsia="sl-SI" w:bidi="lo-LA"/>
              </w:rPr>
            </w:pPr>
            <w:r w:rsidRPr="001C35B1">
              <w:rPr>
                <w:rFonts w:cs="Arial"/>
                <w:sz w:val="16"/>
                <w:szCs w:val="16"/>
                <w:lang w:val="sl-SI" w:eastAsia="sl-SI" w:bidi="lo-LA"/>
              </w:rPr>
              <w:t>66.185</w:t>
            </w:r>
          </w:p>
        </w:tc>
        <w:tc>
          <w:tcPr>
            <w:tcW w:w="2487" w:type="dxa"/>
            <w:tcBorders>
              <w:top w:val="nil"/>
              <w:left w:val="nil"/>
              <w:bottom w:val="single" w:sz="4" w:space="0" w:color="A6A6A6"/>
              <w:right w:val="single" w:sz="8" w:space="0" w:color="A6A6A6"/>
            </w:tcBorders>
            <w:shd w:val="clear" w:color="auto" w:fill="FFFFFF"/>
            <w:noWrap/>
            <w:vAlign w:val="center"/>
            <w:hideMark/>
          </w:tcPr>
          <w:p w14:paraId="4B39AB41" w14:textId="77777777" w:rsidR="00303BCE" w:rsidRPr="001C35B1" w:rsidRDefault="00303BCE" w:rsidP="009E0BE4">
            <w:pPr>
              <w:spacing w:line="240" w:lineRule="auto"/>
              <w:jc w:val="right"/>
              <w:rPr>
                <w:rFonts w:cs="Arial"/>
                <w:sz w:val="16"/>
                <w:szCs w:val="16"/>
                <w:lang w:val="sl-SI" w:eastAsia="sl-SI" w:bidi="lo-LA"/>
              </w:rPr>
            </w:pPr>
            <w:r w:rsidRPr="001C35B1">
              <w:rPr>
                <w:rFonts w:cs="Arial"/>
                <w:sz w:val="16"/>
                <w:szCs w:val="16"/>
                <w:lang w:val="sl-SI" w:eastAsia="sl-SI" w:bidi="lo-LA"/>
              </w:rPr>
              <w:t>18.037.261,87</w:t>
            </w:r>
          </w:p>
        </w:tc>
      </w:tr>
      <w:tr w:rsidR="00303BCE" w:rsidRPr="001C35B1" w14:paraId="677B7214" w14:textId="77777777" w:rsidTr="009E0BE4">
        <w:trPr>
          <w:trHeight w:val="255"/>
        </w:trPr>
        <w:tc>
          <w:tcPr>
            <w:tcW w:w="1540" w:type="dxa"/>
            <w:tcBorders>
              <w:top w:val="nil"/>
              <w:left w:val="single" w:sz="8" w:space="0" w:color="A6A6A6"/>
              <w:bottom w:val="nil"/>
              <w:right w:val="nil"/>
            </w:tcBorders>
            <w:shd w:val="clear" w:color="auto" w:fill="DDEBF7"/>
            <w:noWrap/>
            <w:vAlign w:val="center"/>
            <w:hideMark/>
          </w:tcPr>
          <w:p w14:paraId="048B5A18" w14:textId="77777777" w:rsidR="00303BCE" w:rsidRPr="001C35B1" w:rsidRDefault="00303BCE" w:rsidP="009E0BE4">
            <w:pPr>
              <w:spacing w:line="240" w:lineRule="auto"/>
              <w:jc w:val="center"/>
              <w:rPr>
                <w:rFonts w:cs="Arial"/>
                <w:sz w:val="16"/>
                <w:szCs w:val="16"/>
                <w:lang w:val="sl-SI" w:eastAsia="sl-SI" w:bidi="lo-LA"/>
              </w:rPr>
            </w:pPr>
            <w:r w:rsidRPr="001C35B1">
              <w:rPr>
                <w:rFonts w:cs="Arial"/>
                <w:sz w:val="16"/>
                <w:szCs w:val="16"/>
                <w:lang w:val="sl-SI" w:eastAsia="sl-SI" w:bidi="lo-LA"/>
              </w:rPr>
              <w:t>2020</w:t>
            </w:r>
          </w:p>
        </w:tc>
        <w:tc>
          <w:tcPr>
            <w:tcW w:w="1033" w:type="dxa"/>
            <w:tcBorders>
              <w:top w:val="nil"/>
              <w:left w:val="single" w:sz="8" w:space="0" w:color="A6A6A6"/>
              <w:bottom w:val="nil"/>
              <w:right w:val="single" w:sz="4" w:space="0" w:color="A6A6A6"/>
            </w:tcBorders>
            <w:shd w:val="clear" w:color="auto" w:fill="FFFFFF"/>
            <w:noWrap/>
            <w:vAlign w:val="center"/>
            <w:hideMark/>
          </w:tcPr>
          <w:p w14:paraId="710BF919" w14:textId="77777777" w:rsidR="00303BCE" w:rsidRPr="001C35B1" w:rsidRDefault="00303BCE" w:rsidP="009E0BE4">
            <w:pPr>
              <w:spacing w:line="240" w:lineRule="auto"/>
              <w:jc w:val="right"/>
              <w:rPr>
                <w:rFonts w:cs="Arial"/>
                <w:sz w:val="16"/>
                <w:szCs w:val="16"/>
                <w:lang w:val="sl-SI" w:eastAsia="sl-SI" w:bidi="lo-LA"/>
              </w:rPr>
            </w:pPr>
            <w:r w:rsidRPr="001C35B1">
              <w:rPr>
                <w:rFonts w:cs="Arial"/>
                <w:sz w:val="16"/>
                <w:szCs w:val="16"/>
                <w:lang w:val="sl-SI" w:eastAsia="sl-SI" w:bidi="lo-LA"/>
              </w:rPr>
              <w:t>55.242</w:t>
            </w:r>
          </w:p>
        </w:tc>
        <w:tc>
          <w:tcPr>
            <w:tcW w:w="2487" w:type="dxa"/>
            <w:tcBorders>
              <w:top w:val="nil"/>
              <w:left w:val="nil"/>
              <w:bottom w:val="nil"/>
              <w:right w:val="single" w:sz="8" w:space="0" w:color="A6A6A6"/>
            </w:tcBorders>
            <w:shd w:val="clear" w:color="auto" w:fill="FFFFFF"/>
            <w:noWrap/>
            <w:vAlign w:val="center"/>
            <w:hideMark/>
          </w:tcPr>
          <w:p w14:paraId="73601EA1" w14:textId="77777777" w:rsidR="00303BCE" w:rsidRPr="001C35B1" w:rsidRDefault="00303BCE" w:rsidP="009E0BE4">
            <w:pPr>
              <w:spacing w:line="240" w:lineRule="auto"/>
              <w:jc w:val="right"/>
              <w:rPr>
                <w:rFonts w:cs="Arial"/>
                <w:sz w:val="16"/>
                <w:szCs w:val="16"/>
                <w:lang w:val="sl-SI" w:eastAsia="sl-SI" w:bidi="lo-LA"/>
              </w:rPr>
            </w:pPr>
            <w:r w:rsidRPr="001C35B1">
              <w:rPr>
                <w:rFonts w:cs="Arial"/>
                <w:sz w:val="16"/>
                <w:szCs w:val="16"/>
                <w:lang w:val="sl-SI" w:eastAsia="sl-SI" w:bidi="lo-LA"/>
              </w:rPr>
              <w:t>16.084.346,09</w:t>
            </w:r>
          </w:p>
        </w:tc>
        <w:tc>
          <w:tcPr>
            <w:tcW w:w="1033" w:type="dxa"/>
            <w:tcBorders>
              <w:top w:val="nil"/>
              <w:left w:val="nil"/>
              <w:bottom w:val="nil"/>
              <w:right w:val="single" w:sz="4" w:space="0" w:color="A6A6A6"/>
            </w:tcBorders>
            <w:shd w:val="clear" w:color="auto" w:fill="FFFFFF"/>
            <w:noWrap/>
            <w:vAlign w:val="center"/>
            <w:hideMark/>
          </w:tcPr>
          <w:p w14:paraId="4983EBB7" w14:textId="77777777" w:rsidR="00303BCE" w:rsidRPr="001C35B1" w:rsidRDefault="00303BCE" w:rsidP="009E0BE4">
            <w:pPr>
              <w:spacing w:line="240" w:lineRule="auto"/>
              <w:jc w:val="right"/>
              <w:rPr>
                <w:rFonts w:cs="Arial"/>
                <w:sz w:val="16"/>
                <w:szCs w:val="16"/>
                <w:lang w:val="sl-SI" w:eastAsia="sl-SI" w:bidi="lo-LA"/>
              </w:rPr>
            </w:pPr>
            <w:r w:rsidRPr="001C35B1">
              <w:rPr>
                <w:rFonts w:cs="Arial"/>
                <w:sz w:val="16"/>
                <w:szCs w:val="16"/>
                <w:lang w:val="sl-SI" w:eastAsia="sl-SI" w:bidi="lo-LA"/>
              </w:rPr>
              <w:t>63.806</w:t>
            </w:r>
          </w:p>
        </w:tc>
        <w:tc>
          <w:tcPr>
            <w:tcW w:w="2487" w:type="dxa"/>
            <w:tcBorders>
              <w:top w:val="nil"/>
              <w:left w:val="nil"/>
              <w:bottom w:val="nil"/>
              <w:right w:val="single" w:sz="8" w:space="0" w:color="A6A6A6"/>
            </w:tcBorders>
            <w:shd w:val="clear" w:color="auto" w:fill="FFFFFF"/>
            <w:noWrap/>
            <w:vAlign w:val="center"/>
            <w:hideMark/>
          </w:tcPr>
          <w:p w14:paraId="64F6B49A" w14:textId="77777777" w:rsidR="00303BCE" w:rsidRPr="001C35B1" w:rsidRDefault="00303BCE" w:rsidP="009E0BE4">
            <w:pPr>
              <w:spacing w:line="240" w:lineRule="auto"/>
              <w:jc w:val="right"/>
              <w:rPr>
                <w:rFonts w:cs="Arial"/>
                <w:sz w:val="16"/>
                <w:szCs w:val="16"/>
                <w:lang w:val="sl-SI" w:eastAsia="sl-SI" w:bidi="lo-LA"/>
              </w:rPr>
            </w:pPr>
            <w:r w:rsidRPr="001C35B1">
              <w:rPr>
                <w:rFonts w:cs="Arial"/>
                <w:sz w:val="16"/>
                <w:szCs w:val="16"/>
                <w:lang w:val="sl-SI" w:eastAsia="sl-SI" w:bidi="lo-LA"/>
              </w:rPr>
              <w:t>16.648.554,51</w:t>
            </w:r>
          </w:p>
        </w:tc>
      </w:tr>
      <w:tr w:rsidR="00303BCE" w:rsidRPr="001C35B1" w14:paraId="5AADD772" w14:textId="77777777" w:rsidTr="009E0BE4">
        <w:trPr>
          <w:trHeight w:val="255"/>
        </w:trPr>
        <w:tc>
          <w:tcPr>
            <w:tcW w:w="1540" w:type="dxa"/>
            <w:tcBorders>
              <w:top w:val="single" w:sz="8" w:space="0" w:color="A6A6A6"/>
              <w:left w:val="single" w:sz="8" w:space="0" w:color="A6A6A6"/>
              <w:bottom w:val="single" w:sz="8" w:space="0" w:color="A6A6A6"/>
              <w:right w:val="nil"/>
            </w:tcBorders>
            <w:shd w:val="clear" w:color="auto" w:fill="DDEBF7"/>
            <w:noWrap/>
            <w:vAlign w:val="center"/>
            <w:hideMark/>
          </w:tcPr>
          <w:p w14:paraId="05D445F5" w14:textId="77777777" w:rsidR="00303BCE" w:rsidRPr="001C35B1" w:rsidRDefault="00303BCE" w:rsidP="009E0BE4">
            <w:pPr>
              <w:spacing w:line="240" w:lineRule="auto"/>
              <w:jc w:val="center"/>
              <w:rPr>
                <w:rFonts w:cs="Arial"/>
                <w:b/>
                <w:bCs/>
                <w:sz w:val="16"/>
                <w:szCs w:val="16"/>
                <w:lang w:val="sl-SI" w:eastAsia="sl-SI" w:bidi="lo-LA"/>
              </w:rPr>
            </w:pPr>
            <w:r w:rsidRPr="001C35B1">
              <w:rPr>
                <w:rFonts w:cs="Arial"/>
                <w:b/>
                <w:bCs/>
                <w:sz w:val="16"/>
                <w:szCs w:val="16"/>
                <w:lang w:val="sl-SI" w:eastAsia="sl-SI" w:bidi="lo-LA"/>
              </w:rPr>
              <w:t>Skupaj</w:t>
            </w:r>
          </w:p>
        </w:tc>
        <w:tc>
          <w:tcPr>
            <w:tcW w:w="1033" w:type="dxa"/>
            <w:tcBorders>
              <w:top w:val="single" w:sz="8" w:space="0" w:color="A6A6A6"/>
              <w:left w:val="single" w:sz="8" w:space="0" w:color="A6A6A6"/>
              <w:bottom w:val="single" w:sz="8" w:space="0" w:color="A6A6A6"/>
              <w:right w:val="single" w:sz="4" w:space="0" w:color="A6A6A6"/>
            </w:tcBorders>
            <w:shd w:val="clear" w:color="auto" w:fill="DDEBF7"/>
            <w:noWrap/>
            <w:vAlign w:val="center"/>
            <w:hideMark/>
          </w:tcPr>
          <w:p w14:paraId="3B8C6F91" w14:textId="77777777" w:rsidR="00303BCE" w:rsidRPr="001C35B1" w:rsidRDefault="00303BCE" w:rsidP="009E0BE4">
            <w:pPr>
              <w:spacing w:line="240" w:lineRule="auto"/>
              <w:jc w:val="right"/>
              <w:rPr>
                <w:rFonts w:cs="Arial"/>
                <w:b/>
                <w:bCs/>
                <w:sz w:val="16"/>
                <w:szCs w:val="16"/>
                <w:lang w:val="sl-SI" w:eastAsia="sl-SI" w:bidi="lo-LA"/>
              </w:rPr>
            </w:pPr>
            <w:r w:rsidRPr="001C35B1">
              <w:rPr>
                <w:rFonts w:cs="Arial"/>
                <w:b/>
                <w:bCs/>
                <w:sz w:val="16"/>
                <w:szCs w:val="16"/>
                <w:lang w:val="sl-SI" w:eastAsia="sl-SI" w:bidi="lo-LA"/>
              </w:rPr>
              <w:t>213.948</w:t>
            </w:r>
          </w:p>
        </w:tc>
        <w:tc>
          <w:tcPr>
            <w:tcW w:w="2487" w:type="dxa"/>
            <w:tcBorders>
              <w:top w:val="single" w:sz="8" w:space="0" w:color="A6A6A6"/>
              <w:left w:val="nil"/>
              <w:bottom w:val="single" w:sz="8" w:space="0" w:color="A6A6A6"/>
              <w:right w:val="single" w:sz="8" w:space="0" w:color="A6A6A6"/>
            </w:tcBorders>
            <w:shd w:val="clear" w:color="auto" w:fill="DDEBF7"/>
            <w:noWrap/>
            <w:vAlign w:val="center"/>
            <w:hideMark/>
          </w:tcPr>
          <w:p w14:paraId="15A0E3EC" w14:textId="77777777" w:rsidR="00303BCE" w:rsidRPr="001C35B1" w:rsidRDefault="00303BCE" w:rsidP="009E0BE4">
            <w:pPr>
              <w:spacing w:line="240" w:lineRule="auto"/>
              <w:jc w:val="right"/>
              <w:rPr>
                <w:rFonts w:cs="Arial"/>
                <w:b/>
                <w:bCs/>
                <w:sz w:val="16"/>
                <w:szCs w:val="16"/>
                <w:lang w:val="sl-SI" w:eastAsia="sl-SI" w:bidi="lo-LA"/>
              </w:rPr>
            </w:pPr>
            <w:r w:rsidRPr="001C35B1">
              <w:rPr>
                <w:rFonts w:cs="Arial"/>
                <w:b/>
                <w:bCs/>
                <w:sz w:val="16"/>
                <w:szCs w:val="16"/>
                <w:lang w:val="sl-SI" w:eastAsia="sl-SI" w:bidi="lo-LA"/>
              </w:rPr>
              <w:t>60.813.137,09</w:t>
            </w:r>
          </w:p>
        </w:tc>
        <w:tc>
          <w:tcPr>
            <w:tcW w:w="1033" w:type="dxa"/>
            <w:tcBorders>
              <w:top w:val="single" w:sz="8" w:space="0" w:color="A6A6A6"/>
              <w:left w:val="nil"/>
              <w:bottom w:val="single" w:sz="8" w:space="0" w:color="A6A6A6"/>
              <w:right w:val="single" w:sz="4" w:space="0" w:color="A6A6A6"/>
            </w:tcBorders>
            <w:shd w:val="clear" w:color="auto" w:fill="DDEBF7"/>
            <w:noWrap/>
            <w:vAlign w:val="center"/>
            <w:hideMark/>
          </w:tcPr>
          <w:p w14:paraId="58548AD5" w14:textId="77777777" w:rsidR="00303BCE" w:rsidRPr="001C35B1" w:rsidRDefault="00303BCE" w:rsidP="009E0BE4">
            <w:pPr>
              <w:spacing w:line="240" w:lineRule="auto"/>
              <w:jc w:val="right"/>
              <w:rPr>
                <w:rFonts w:cs="Arial"/>
                <w:b/>
                <w:bCs/>
                <w:sz w:val="16"/>
                <w:szCs w:val="16"/>
                <w:lang w:val="sl-SI" w:eastAsia="sl-SI" w:bidi="lo-LA"/>
              </w:rPr>
            </w:pPr>
            <w:r w:rsidRPr="001C35B1">
              <w:rPr>
                <w:rFonts w:cs="Arial"/>
                <w:b/>
                <w:bCs/>
                <w:sz w:val="16"/>
                <w:szCs w:val="16"/>
                <w:lang w:val="sl-SI" w:eastAsia="sl-SI" w:bidi="lo-LA"/>
              </w:rPr>
              <w:t>255.994</w:t>
            </w:r>
          </w:p>
        </w:tc>
        <w:tc>
          <w:tcPr>
            <w:tcW w:w="2487" w:type="dxa"/>
            <w:tcBorders>
              <w:top w:val="single" w:sz="8" w:space="0" w:color="A6A6A6"/>
              <w:left w:val="nil"/>
              <w:bottom w:val="single" w:sz="8" w:space="0" w:color="A6A6A6"/>
              <w:right w:val="single" w:sz="8" w:space="0" w:color="A6A6A6"/>
            </w:tcBorders>
            <w:shd w:val="clear" w:color="auto" w:fill="DDEBF7"/>
            <w:noWrap/>
            <w:vAlign w:val="center"/>
            <w:hideMark/>
          </w:tcPr>
          <w:p w14:paraId="3E5EECC3" w14:textId="77777777" w:rsidR="00303BCE" w:rsidRPr="001C35B1" w:rsidRDefault="00303BCE" w:rsidP="009E0BE4">
            <w:pPr>
              <w:spacing w:line="240" w:lineRule="auto"/>
              <w:jc w:val="right"/>
              <w:rPr>
                <w:rFonts w:cs="Arial"/>
                <w:b/>
                <w:bCs/>
                <w:sz w:val="16"/>
                <w:szCs w:val="16"/>
                <w:lang w:val="sl-SI" w:eastAsia="sl-SI" w:bidi="lo-LA"/>
              </w:rPr>
            </w:pPr>
            <w:r w:rsidRPr="001C35B1">
              <w:rPr>
                <w:rFonts w:cs="Arial"/>
                <w:b/>
                <w:bCs/>
                <w:sz w:val="16"/>
                <w:szCs w:val="16"/>
                <w:lang w:val="sl-SI" w:eastAsia="sl-SI" w:bidi="lo-LA"/>
              </w:rPr>
              <w:t>70.273.931,72</w:t>
            </w:r>
          </w:p>
        </w:tc>
      </w:tr>
    </w:tbl>
    <w:p w14:paraId="5A2F0BC0" w14:textId="77777777" w:rsidR="00303BCE" w:rsidRPr="00982651" w:rsidRDefault="00303BCE" w:rsidP="00303BCE">
      <w:pPr>
        <w:spacing w:line="240" w:lineRule="auto"/>
        <w:jc w:val="both"/>
        <w:rPr>
          <w:rFonts w:cs="Arial"/>
          <w:noProof/>
          <w:sz w:val="18"/>
          <w:szCs w:val="18"/>
          <w:lang w:val="sl-SI"/>
        </w:rPr>
      </w:pPr>
      <w:r w:rsidRPr="00982651">
        <w:rPr>
          <w:rFonts w:cs="Arial"/>
          <w:noProof/>
          <w:sz w:val="18"/>
          <w:szCs w:val="18"/>
          <w:lang w:val="sl-SI"/>
        </w:rPr>
        <w:t xml:space="preserve">FURS </w:t>
      </w:r>
      <w:r>
        <w:rPr>
          <w:rFonts w:cs="Arial"/>
          <w:noProof/>
          <w:sz w:val="18"/>
          <w:szCs w:val="18"/>
          <w:lang w:val="sl-SI"/>
        </w:rPr>
        <w:t>izpostavlja</w:t>
      </w:r>
      <w:r w:rsidRPr="00982651">
        <w:rPr>
          <w:rFonts w:cs="Arial"/>
          <w:noProof/>
          <w:sz w:val="18"/>
          <w:szCs w:val="18"/>
          <w:lang w:val="sl-SI"/>
        </w:rPr>
        <w:t>, da je obseg teh nalog dejansko primerljiv z nalogami izterjave neplačanih davčnih obveznosti, saj je FURS v letu 2020 kljub ukrepom za omilitev posledic epidemije nalezljive bolezni COVID-19, ki so omejevali začetek novih postopkov le na nujne zadeve</w:t>
      </w:r>
      <w:r>
        <w:rPr>
          <w:rFonts w:cs="Arial"/>
          <w:noProof/>
          <w:sz w:val="18"/>
          <w:szCs w:val="18"/>
          <w:lang w:val="sl-SI"/>
        </w:rPr>
        <w:t xml:space="preserve"> (</w:t>
      </w:r>
      <w:r w:rsidRPr="00982651">
        <w:rPr>
          <w:noProof/>
          <w:sz w:val="18"/>
          <w:szCs w:val="18"/>
          <w:lang w:val="sl-SI"/>
        </w:rPr>
        <w:t xml:space="preserve">V času od </w:t>
      </w:r>
      <w:r w:rsidRPr="00982651">
        <w:rPr>
          <w:rFonts w:cs="Arial"/>
          <w:noProof/>
          <w:sz w:val="18"/>
          <w:szCs w:val="18"/>
          <w:lang w:val="sl-SI"/>
        </w:rPr>
        <w:t xml:space="preserve">29. 3. 2020 do vključno 19. 6. 2020, na </w:t>
      </w:r>
      <w:r w:rsidRPr="00982651">
        <w:rPr>
          <w:noProof/>
          <w:sz w:val="18"/>
          <w:szCs w:val="18"/>
          <w:lang w:val="sl-SI"/>
        </w:rPr>
        <w:t xml:space="preserve">podlagi </w:t>
      </w:r>
      <w:r w:rsidRPr="00982651">
        <w:rPr>
          <w:rFonts w:cs="Arial"/>
          <w:noProof/>
          <w:sz w:val="18"/>
          <w:szCs w:val="18"/>
          <w:lang w:val="sl-SI"/>
        </w:rPr>
        <w:t xml:space="preserve">Zakona o interventnih ukrepih na javnofinančnem področju (ZIUJP), za izterjavo nedavčnih terjatev izdal skupaj kar 123.284 sklepov o izvršbi, za dolg 48.047.763 evrov, za izterjavo davkov pa 125.303 sklepov o izvršbi, za bistveno višji dolg 504.731.572 evrov. </w:t>
      </w:r>
    </w:p>
    <w:p w14:paraId="59E2AEB3" w14:textId="77777777" w:rsidR="00303BCE" w:rsidRPr="00982651" w:rsidRDefault="00303BCE" w:rsidP="00303BCE">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F1D6E" w14:textId="77777777" w:rsidR="00864799" w:rsidRPr="00110CBD" w:rsidRDefault="0086479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64799" w:rsidRPr="008F3500" w14:paraId="328677E4" w14:textId="77777777">
      <w:trPr>
        <w:cantSplit/>
        <w:trHeight w:hRule="exact" w:val="847"/>
      </w:trPr>
      <w:tc>
        <w:tcPr>
          <w:tcW w:w="567" w:type="dxa"/>
        </w:tcPr>
        <w:p w14:paraId="4D7C3EEA" w14:textId="76AFF558" w:rsidR="00864799" w:rsidRPr="008F3500" w:rsidRDefault="00F3641F"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176079D6" wp14:editId="007DD70E">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B91E4F"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6BB23A58" w14:textId="6460773D" w:rsidR="00864799" w:rsidRPr="008F3500" w:rsidRDefault="00F3641F"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8240" behindDoc="0" locked="0" layoutInCell="1" allowOverlap="1" wp14:anchorId="6B2ED1AB" wp14:editId="0BDE25E5">
          <wp:simplePos x="0" y="0"/>
          <wp:positionH relativeFrom="page">
            <wp:posOffset>0</wp:posOffset>
          </wp:positionH>
          <wp:positionV relativeFrom="page">
            <wp:posOffset>0</wp:posOffset>
          </wp:positionV>
          <wp:extent cx="4321810" cy="1347470"/>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799">
      <w:rPr>
        <w:rFonts w:cs="Arial"/>
        <w:sz w:val="16"/>
        <w:lang w:val="sl-SI"/>
      </w:rPr>
      <w:t>Župančičeva 3, p.p.644a</w:t>
    </w:r>
    <w:r w:rsidR="00864799" w:rsidRPr="008F3500">
      <w:rPr>
        <w:rFonts w:cs="Arial"/>
        <w:sz w:val="16"/>
        <w:lang w:val="sl-SI"/>
      </w:rPr>
      <w:t xml:space="preserve">, </w:t>
    </w:r>
    <w:r w:rsidR="00864799">
      <w:rPr>
        <w:rFonts w:cs="Arial"/>
        <w:sz w:val="16"/>
        <w:lang w:val="sl-SI"/>
      </w:rPr>
      <w:t>1001 Ljubljana</w:t>
    </w:r>
    <w:r w:rsidR="00864799" w:rsidRPr="008F3500">
      <w:rPr>
        <w:rFonts w:cs="Arial"/>
        <w:sz w:val="16"/>
        <w:lang w:val="sl-SI"/>
      </w:rPr>
      <w:tab/>
      <w:t xml:space="preserve">T: </w:t>
    </w:r>
    <w:r w:rsidR="00864799">
      <w:rPr>
        <w:rFonts w:cs="Arial"/>
        <w:sz w:val="16"/>
        <w:lang w:val="sl-SI"/>
      </w:rPr>
      <w:t>01 369 66 10</w:t>
    </w:r>
  </w:p>
  <w:p w14:paraId="2F753DFA" w14:textId="77777777" w:rsidR="00864799" w:rsidRPr="008F3500" w:rsidRDefault="00864799"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01 369 66 19</w:t>
    </w:r>
    <w:r w:rsidRPr="008F3500">
      <w:rPr>
        <w:rFonts w:cs="Arial"/>
        <w:sz w:val="16"/>
        <w:lang w:val="sl-SI"/>
      </w:rPr>
      <w:t xml:space="preserve"> </w:t>
    </w:r>
  </w:p>
  <w:p w14:paraId="3FD76AF9" w14:textId="77777777" w:rsidR="00864799" w:rsidRPr="008F3500" w:rsidRDefault="00864799"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gp.mf@gov.si</w:t>
    </w:r>
  </w:p>
  <w:p w14:paraId="462FB36A" w14:textId="77777777" w:rsidR="00864799" w:rsidRDefault="00864799"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Pr="00B43AAA">
        <w:rPr>
          <w:rStyle w:val="Hiperpovezava"/>
          <w:rFonts w:cs="Arial"/>
          <w:sz w:val="16"/>
          <w:lang w:val="sl-SI"/>
        </w:rPr>
        <w:t>www.mf.gov.si</w:t>
      </w:r>
    </w:hyperlink>
  </w:p>
  <w:p w14:paraId="2F02C4FF" w14:textId="77777777" w:rsidR="00864799" w:rsidRPr="008F3500" w:rsidRDefault="00864799" w:rsidP="00A770A6">
    <w:pPr>
      <w:pStyle w:val="Glava"/>
      <w:tabs>
        <w:tab w:val="clear" w:pos="4320"/>
        <w:tab w:val="clear" w:pos="8640"/>
        <w:tab w:val="left" w:pos="5112"/>
      </w:tabs>
      <w:spacing w:line="240" w:lineRule="exact"/>
      <w:rPr>
        <w:rFonts w:cs="Arial"/>
        <w:sz w:val="16"/>
        <w:lang w:val="sl-SI"/>
      </w:rPr>
    </w:pPr>
  </w:p>
  <w:p w14:paraId="184C3C29" w14:textId="77777777" w:rsidR="00864799" w:rsidRDefault="00864799" w:rsidP="00130D3B">
    <w:pPr>
      <w:pStyle w:val="Glava"/>
      <w:tabs>
        <w:tab w:val="clear" w:pos="4320"/>
        <w:tab w:val="left" w:pos="5112"/>
      </w:tabs>
      <w:rPr>
        <w:i/>
        <w:u w:val="single"/>
        <w:lang w:val="sl-SI"/>
      </w:rPr>
    </w:pPr>
    <w:r>
      <w:rPr>
        <w:lang w:val="sl-SI"/>
      </w:rPr>
      <w:tab/>
    </w:r>
    <w:r>
      <w:rPr>
        <w:i/>
        <w:u w:val="single"/>
        <w:lang w:val="sl-SI"/>
      </w:rPr>
      <w:t>Prosimo, da se pri odgovoru</w:t>
    </w:r>
  </w:p>
  <w:p w14:paraId="3FACBC59" w14:textId="77777777" w:rsidR="00864799" w:rsidRDefault="00864799" w:rsidP="00130D3B">
    <w:pPr>
      <w:pStyle w:val="Glava"/>
      <w:tabs>
        <w:tab w:val="clear" w:pos="4320"/>
        <w:tab w:val="left" w:pos="5112"/>
      </w:tabs>
    </w:pPr>
    <w:r>
      <w:rPr>
        <w:lang w:val="sl-SI"/>
      </w:rPr>
      <w:tab/>
    </w:r>
    <w:r>
      <w:rPr>
        <w:i/>
        <w:u w:val="single"/>
        <w:lang w:val="sl-SI"/>
      </w:rPr>
      <w:t>sklicujete na našo številko.</w:t>
    </w:r>
    <w:r>
      <w:t xml:space="preserve"> </w:t>
    </w:r>
  </w:p>
  <w:p w14:paraId="60C278CC" w14:textId="77777777" w:rsidR="00864799" w:rsidRPr="008F3500" w:rsidRDefault="00864799" w:rsidP="00130D3B">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25FFA"/>
    <w:multiLevelType w:val="hybridMultilevel"/>
    <w:tmpl w:val="78389378"/>
    <w:lvl w:ilvl="0" w:tplc="57222966">
      <w:start w:val="1000"/>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 w15:restartNumberingAfterBreak="0">
    <w:nsid w:val="0BD87D63"/>
    <w:multiLevelType w:val="hybridMultilevel"/>
    <w:tmpl w:val="15D4E3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76439B"/>
    <w:multiLevelType w:val="hybridMultilevel"/>
    <w:tmpl w:val="BCB030C0"/>
    <w:lvl w:ilvl="0" w:tplc="17DCAAB6">
      <w:start w:val="1000"/>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 w15:restartNumberingAfterBreak="0">
    <w:nsid w:val="11DD102E"/>
    <w:multiLevelType w:val="hybridMultilevel"/>
    <w:tmpl w:val="F8F0AD0C"/>
    <w:lvl w:ilvl="0" w:tplc="2AC2A9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29760B"/>
    <w:multiLevelType w:val="hybridMultilevel"/>
    <w:tmpl w:val="BBA2A924"/>
    <w:lvl w:ilvl="0" w:tplc="88B88102">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7" w15:restartNumberingAfterBreak="0">
    <w:nsid w:val="1BDF5D8C"/>
    <w:multiLevelType w:val="hybridMultilevel"/>
    <w:tmpl w:val="B36A5F8C"/>
    <w:lvl w:ilvl="0" w:tplc="8720455E">
      <w:start w:val="1000"/>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8" w15:restartNumberingAfterBreak="0">
    <w:nsid w:val="217A7B70"/>
    <w:multiLevelType w:val="hybridMultilevel"/>
    <w:tmpl w:val="F4EA4D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F2427F1"/>
    <w:multiLevelType w:val="hybridMultilevel"/>
    <w:tmpl w:val="E9AACFAA"/>
    <w:lvl w:ilvl="0" w:tplc="7132084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742F9C"/>
    <w:multiLevelType w:val="hybridMultilevel"/>
    <w:tmpl w:val="C8F6FE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70B627B"/>
    <w:multiLevelType w:val="multilevel"/>
    <w:tmpl w:val="B814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F10301"/>
    <w:multiLevelType w:val="hybridMultilevel"/>
    <w:tmpl w:val="9B6E3FE8"/>
    <w:lvl w:ilvl="0" w:tplc="D3D63F5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B060F4"/>
    <w:multiLevelType w:val="hybridMultilevel"/>
    <w:tmpl w:val="E7380ABA"/>
    <w:lvl w:ilvl="0" w:tplc="686C6F0E">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45604E6"/>
    <w:multiLevelType w:val="hybridMultilevel"/>
    <w:tmpl w:val="A0B4B7D8"/>
    <w:lvl w:ilvl="0" w:tplc="DF541F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F8333B"/>
    <w:multiLevelType w:val="hybridMultilevel"/>
    <w:tmpl w:val="67B059B8"/>
    <w:lvl w:ilvl="0" w:tplc="D07E1D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3"/>
  </w:num>
  <w:num w:numId="4">
    <w:abstractNumId w:val="2"/>
  </w:num>
  <w:num w:numId="5">
    <w:abstractNumId w:val="5"/>
  </w:num>
  <w:num w:numId="6">
    <w:abstractNumId w:val="7"/>
  </w:num>
  <w:num w:numId="7">
    <w:abstractNumId w:val="0"/>
  </w:num>
  <w:num w:numId="8">
    <w:abstractNumId w:val="6"/>
  </w:num>
  <w:num w:numId="9">
    <w:abstractNumId w:val="3"/>
  </w:num>
  <w:num w:numId="10">
    <w:abstractNumId w:val="12"/>
  </w:num>
  <w:num w:numId="11">
    <w:abstractNumId w:val="10"/>
  </w:num>
  <w:num w:numId="12">
    <w:abstractNumId w:val="4"/>
  </w:num>
  <w:num w:numId="13">
    <w:abstractNumId w:val="11"/>
  </w:num>
  <w:num w:numId="14">
    <w:abstractNumId w:val="8"/>
  </w:num>
  <w:num w:numId="15">
    <w:abstractNumId w:val="1"/>
  </w:num>
  <w:num w:numId="16">
    <w:abstractNumId w:val="14"/>
  </w:num>
  <w:num w:numId="17">
    <w:abstractNumId w:val="18"/>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o:shapelayout v:ext="edit">
      <o:rules v:ext="edit">
        <o:r id="V:Rule1" type="connector" idref="#_x0000_s2060"/>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361"/>
    <w:rsid w:val="0001107C"/>
    <w:rsid w:val="00017589"/>
    <w:rsid w:val="00023A88"/>
    <w:rsid w:val="00023B41"/>
    <w:rsid w:val="0002410A"/>
    <w:rsid w:val="00024CE6"/>
    <w:rsid w:val="0002663D"/>
    <w:rsid w:val="00026C13"/>
    <w:rsid w:val="0002724C"/>
    <w:rsid w:val="00027941"/>
    <w:rsid w:val="000358A3"/>
    <w:rsid w:val="00036A9C"/>
    <w:rsid w:val="00036FEC"/>
    <w:rsid w:val="00037F00"/>
    <w:rsid w:val="000408AC"/>
    <w:rsid w:val="00040A0D"/>
    <w:rsid w:val="00043674"/>
    <w:rsid w:val="00044A29"/>
    <w:rsid w:val="0005080E"/>
    <w:rsid w:val="00051FEF"/>
    <w:rsid w:val="0005219A"/>
    <w:rsid w:val="00053202"/>
    <w:rsid w:val="000556BC"/>
    <w:rsid w:val="00057DC9"/>
    <w:rsid w:val="0006232F"/>
    <w:rsid w:val="00062EF7"/>
    <w:rsid w:val="0007079E"/>
    <w:rsid w:val="000857D3"/>
    <w:rsid w:val="00087854"/>
    <w:rsid w:val="000900DA"/>
    <w:rsid w:val="000949A6"/>
    <w:rsid w:val="00094B93"/>
    <w:rsid w:val="000A0BF8"/>
    <w:rsid w:val="000A10E5"/>
    <w:rsid w:val="000A6014"/>
    <w:rsid w:val="000A7238"/>
    <w:rsid w:val="000B6A27"/>
    <w:rsid w:val="000C3558"/>
    <w:rsid w:val="000C5498"/>
    <w:rsid w:val="000C611E"/>
    <w:rsid w:val="000D5E75"/>
    <w:rsid w:val="000F443E"/>
    <w:rsid w:val="000F4D01"/>
    <w:rsid w:val="001009EB"/>
    <w:rsid w:val="00100DE2"/>
    <w:rsid w:val="001013DD"/>
    <w:rsid w:val="0010561D"/>
    <w:rsid w:val="0011073E"/>
    <w:rsid w:val="001149D9"/>
    <w:rsid w:val="00114A6E"/>
    <w:rsid w:val="001153E8"/>
    <w:rsid w:val="00123568"/>
    <w:rsid w:val="00124170"/>
    <w:rsid w:val="00125412"/>
    <w:rsid w:val="00130D3B"/>
    <w:rsid w:val="001333CE"/>
    <w:rsid w:val="001357B2"/>
    <w:rsid w:val="001521D0"/>
    <w:rsid w:val="00161C4F"/>
    <w:rsid w:val="001629F8"/>
    <w:rsid w:val="00162A7B"/>
    <w:rsid w:val="00163624"/>
    <w:rsid w:val="001651BD"/>
    <w:rsid w:val="00166CC4"/>
    <w:rsid w:val="0017478F"/>
    <w:rsid w:val="00175CD2"/>
    <w:rsid w:val="001770AF"/>
    <w:rsid w:val="0018711A"/>
    <w:rsid w:val="00195647"/>
    <w:rsid w:val="001A5599"/>
    <w:rsid w:val="001B0172"/>
    <w:rsid w:val="001B023A"/>
    <w:rsid w:val="001B2CBF"/>
    <w:rsid w:val="001C1867"/>
    <w:rsid w:val="001C547B"/>
    <w:rsid w:val="001C65EA"/>
    <w:rsid w:val="001D1914"/>
    <w:rsid w:val="001F3D0B"/>
    <w:rsid w:val="001F4086"/>
    <w:rsid w:val="00202A77"/>
    <w:rsid w:val="00214381"/>
    <w:rsid w:val="002157DC"/>
    <w:rsid w:val="00217043"/>
    <w:rsid w:val="00217046"/>
    <w:rsid w:val="00217E37"/>
    <w:rsid w:val="002206B7"/>
    <w:rsid w:val="00221A4C"/>
    <w:rsid w:val="00225048"/>
    <w:rsid w:val="0023181C"/>
    <w:rsid w:val="0023199F"/>
    <w:rsid w:val="00231A41"/>
    <w:rsid w:val="00234334"/>
    <w:rsid w:val="00234DC2"/>
    <w:rsid w:val="002538B2"/>
    <w:rsid w:val="00255C5A"/>
    <w:rsid w:val="00260577"/>
    <w:rsid w:val="002676ED"/>
    <w:rsid w:val="00271CE5"/>
    <w:rsid w:val="002815AA"/>
    <w:rsid w:val="00282020"/>
    <w:rsid w:val="00286DA3"/>
    <w:rsid w:val="00290A0F"/>
    <w:rsid w:val="00291BD6"/>
    <w:rsid w:val="002923A4"/>
    <w:rsid w:val="00292F0B"/>
    <w:rsid w:val="002A1872"/>
    <w:rsid w:val="002A2B69"/>
    <w:rsid w:val="002A646E"/>
    <w:rsid w:val="002A7FC0"/>
    <w:rsid w:val="002B5645"/>
    <w:rsid w:val="002B693C"/>
    <w:rsid w:val="002B7E8C"/>
    <w:rsid w:val="002C0DA8"/>
    <w:rsid w:val="002D0512"/>
    <w:rsid w:val="002D3D49"/>
    <w:rsid w:val="002D78AF"/>
    <w:rsid w:val="002E4AEA"/>
    <w:rsid w:val="002E5183"/>
    <w:rsid w:val="002E5B5F"/>
    <w:rsid w:val="002E67E1"/>
    <w:rsid w:val="002F3702"/>
    <w:rsid w:val="002F76A8"/>
    <w:rsid w:val="00303BCE"/>
    <w:rsid w:val="003042B9"/>
    <w:rsid w:val="0030458B"/>
    <w:rsid w:val="00305CE2"/>
    <w:rsid w:val="00307720"/>
    <w:rsid w:val="00324FE7"/>
    <w:rsid w:val="0032691F"/>
    <w:rsid w:val="0033093D"/>
    <w:rsid w:val="00331CDE"/>
    <w:rsid w:val="0033752C"/>
    <w:rsid w:val="00337B8F"/>
    <w:rsid w:val="00343ECB"/>
    <w:rsid w:val="003443BD"/>
    <w:rsid w:val="00346578"/>
    <w:rsid w:val="003506D9"/>
    <w:rsid w:val="00350F11"/>
    <w:rsid w:val="00362645"/>
    <w:rsid w:val="003628DD"/>
    <w:rsid w:val="003636BF"/>
    <w:rsid w:val="003663A9"/>
    <w:rsid w:val="00371442"/>
    <w:rsid w:val="00371837"/>
    <w:rsid w:val="00377B8A"/>
    <w:rsid w:val="00381569"/>
    <w:rsid w:val="0038166D"/>
    <w:rsid w:val="00382B73"/>
    <w:rsid w:val="003845B4"/>
    <w:rsid w:val="00384795"/>
    <w:rsid w:val="00387B1A"/>
    <w:rsid w:val="00392246"/>
    <w:rsid w:val="00393745"/>
    <w:rsid w:val="003B3304"/>
    <w:rsid w:val="003C4201"/>
    <w:rsid w:val="003C5E21"/>
    <w:rsid w:val="003C5EE5"/>
    <w:rsid w:val="003C7A46"/>
    <w:rsid w:val="003D014F"/>
    <w:rsid w:val="003D3964"/>
    <w:rsid w:val="003D5528"/>
    <w:rsid w:val="003D57DF"/>
    <w:rsid w:val="003D65C0"/>
    <w:rsid w:val="003E1483"/>
    <w:rsid w:val="003E1C74"/>
    <w:rsid w:val="003E29A7"/>
    <w:rsid w:val="003E44BE"/>
    <w:rsid w:val="003E481F"/>
    <w:rsid w:val="003E57F5"/>
    <w:rsid w:val="003F2577"/>
    <w:rsid w:val="003F2737"/>
    <w:rsid w:val="0042183E"/>
    <w:rsid w:val="00423086"/>
    <w:rsid w:val="00423BD0"/>
    <w:rsid w:val="0042788B"/>
    <w:rsid w:val="0043451A"/>
    <w:rsid w:val="00437EA6"/>
    <w:rsid w:val="0044243C"/>
    <w:rsid w:val="00443A1F"/>
    <w:rsid w:val="00446DCF"/>
    <w:rsid w:val="004657EE"/>
    <w:rsid w:val="00465EED"/>
    <w:rsid w:val="0046673B"/>
    <w:rsid w:val="0047487B"/>
    <w:rsid w:val="0047741C"/>
    <w:rsid w:val="00482D4B"/>
    <w:rsid w:val="00484E63"/>
    <w:rsid w:val="00492390"/>
    <w:rsid w:val="004933E6"/>
    <w:rsid w:val="004935B0"/>
    <w:rsid w:val="0049413A"/>
    <w:rsid w:val="004A42F2"/>
    <w:rsid w:val="004A7B43"/>
    <w:rsid w:val="004A7BC9"/>
    <w:rsid w:val="004B19C8"/>
    <w:rsid w:val="004B5406"/>
    <w:rsid w:val="004C638C"/>
    <w:rsid w:val="004C7796"/>
    <w:rsid w:val="004E5BD5"/>
    <w:rsid w:val="004F201B"/>
    <w:rsid w:val="004F2ACE"/>
    <w:rsid w:val="004F37C0"/>
    <w:rsid w:val="00502637"/>
    <w:rsid w:val="0050426B"/>
    <w:rsid w:val="0050548B"/>
    <w:rsid w:val="00510784"/>
    <w:rsid w:val="00516AB5"/>
    <w:rsid w:val="0052203C"/>
    <w:rsid w:val="005221DC"/>
    <w:rsid w:val="00523639"/>
    <w:rsid w:val="00526246"/>
    <w:rsid w:val="00526EAD"/>
    <w:rsid w:val="00534EC1"/>
    <w:rsid w:val="0053761E"/>
    <w:rsid w:val="00537A3A"/>
    <w:rsid w:val="00543EDD"/>
    <w:rsid w:val="00550F75"/>
    <w:rsid w:val="005574B6"/>
    <w:rsid w:val="00557C97"/>
    <w:rsid w:val="00565B6F"/>
    <w:rsid w:val="00566ECA"/>
    <w:rsid w:val="00567106"/>
    <w:rsid w:val="005714E5"/>
    <w:rsid w:val="00571ACE"/>
    <w:rsid w:val="0057231E"/>
    <w:rsid w:val="00574138"/>
    <w:rsid w:val="00575728"/>
    <w:rsid w:val="00581ACE"/>
    <w:rsid w:val="00581DC0"/>
    <w:rsid w:val="00587932"/>
    <w:rsid w:val="005A0C10"/>
    <w:rsid w:val="005A17AD"/>
    <w:rsid w:val="005A40DE"/>
    <w:rsid w:val="005A7A60"/>
    <w:rsid w:val="005B395B"/>
    <w:rsid w:val="005B790B"/>
    <w:rsid w:val="005C18B0"/>
    <w:rsid w:val="005C492E"/>
    <w:rsid w:val="005C49D1"/>
    <w:rsid w:val="005D25F0"/>
    <w:rsid w:val="005D2776"/>
    <w:rsid w:val="005D3FE9"/>
    <w:rsid w:val="005D4301"/>
    <w:rsid w:val="005D63C1"/>
    <w:rsid w:val="005E0F28"/>
    <w:rsid w:val="005E1A03"/>
    <w:rsid w:val="005E1D3C"/>
    <w:rsid w:val="005E251A"/>
    <w:rsid w:val="005F0E9A"/>
    <w:rsid w:val="005F2BDF"/>
    <w:rsid w:val="005F78A1"/>
    <w:rsid w:val="00602241"/>
    <w:rsid w:val="0061018D"/>
    <w:rsid w:val="00620B07"/>
    <w:rsid w:val="00623A07"/>
    <w:rsid w:val="0062494A"/>
    <w:rsid w:val="00625AE6"/>
    <w:rsid w:val="00627E85"/>
    <w:rsid w:val="006310AB"/>
    <w:rsid w:val="00632253"/>
    <w:rsid w:val="00634865"/>
    <w:rsid w:val="00635998"/>
    <w:rsid w:val="0064249E"/>
    <w:rsid w:val="00642714"/>
    <w:rsid w:val="00643214"/>
    <w:rsid w:val="006455CE"/>
    <w:rsid w:val="00651CD3"/>
    <w:rsid w:val="00655841"/>
    <w:rsid w:val="00667CBC"/>
    <w:rsid w:val="00682EE1"/>
    <w:rsid w:val="0068350A"/>
    <w:rsid w:val="00683DEA"/>
    <w:rsid w:val="0069038B"/>
    <w:rsid w:val="00694050"/>
    <w:rsid w:val="00694517"/>
    <w:rsid w:val="00694C9A"/>
    <w:rsid w:val="00696FC0"/>
    <w:rsid w:val="006A05D6"/>
    <w:rsid w:val="006A5572"/>
    <w:rsid w:val="006A72D6"/>
    <w:rsid w:val="006B13FA"/>
    <w:rsid w:val="006B15A5"/>
    <w:rsid w:val="006B657C"/>
    <w:rsid w:val="006C543E"/>
    <w:rsid w:val="006D37E0"/>
    <w:rsid w:val="006D3BFD"/>
    <w:rsid w:val="006D61FB"/>
    <w:rsid w:val="006E10F0"/>
    <w:rsid w:val="006F3340"/>
    <w:rsid w:val="006F6642"/>
    <w:rsid w:val="007038D8"/>
    <w:rsid w:val="007050F3"/>
    <w:rsid w:val="0070710B"/>
    <w:rsid w:val="007075F4"/>
    <w:rsid w:val="00707ABF"/>
    <w:rsid w:val="00721825"/>
    <w:rsid w:val="00722232"/>
    <w:rsid w:val="00732B16"/>
    <w:rsid w:val="00733017"/>
    <w:rsid w:val="00734A3C"/>
    <w:rsid w:val="00735441"/>
    <w:rsid w:val="00742451"/>
    <w:rsid w:val="00746C5C"/>
    <w:rsid w:val="00750D53"/>
    <w:rsid w:val="00752D84"/>
    <w:rsid w:val="007564E7"/>
    <w:rsid w:val="00761043"/>
    <w:rsid w:val="007613CC"/>
    <w:rsid w:val="00761773"/>
    <w:rsid w:val="00761ED4"/>
    <w:rsid w:val="00770961"/>
    <w:rsid w:val="0077439D"/>
    <w:rsid w:val="00777035"/>
    <w:rsid w:val="00783310"/>
    <w:rsid w:val="00794E69"/>
    <w:rsid w:val="0079549D"/>
    <w:rsid w:val="00796FB3"/>
    <w:rsid w:val="007A4A6D"/>
    <w:rsid w:val="007B2A9B"/>
    <w:rsid w:val="007B2D3E"/>
    <w:rsid w:val="007B4EDA"/>
    <w:rsid w:val="007B6214"/>
    <w:rsid w:val="007B7365"/>
    <w:rsid w:val="007C0B05"/>
    <w:rsid w:val="007C23CF"/>
    <w:rsid w:val="007C2723"/>
    <w:rsid w:val="007C6628"/>
    <w:rsid w:val="007D0D43"/>
    <w:rsid w:val="007D1BCF"/>
    <w:rsid w:val="007D64A3"/>
    <w:rsid w:val="007D75CF"/>
    <w:rsid w:val="007E0440"/>
    <w:rsid w:val="007E6DC5"/>
    <w:rsid w:val="007F04F1"/>
    <w:rsid w:val="008000A9"/>
    <w:rsid w:val="00801365"/>
    <w:rsid w:val="00803C20"/>
    <w:rsid w:val="00803F80"/>
    <w:rsid w:val="00807502"/>
    <w:rsid w:val="0081051D"/>
    <w:rsid w:val="00816D9F"/>
    <w:rsid w:val="008274DB"/>
    <w:rsid w:val="00847E1D"/>
    <w:rsid w:val="00850715"/>
    <w:rsid w:val="008516E8"/>
    <w:rsid w:val="008635E7"/>
    <w:rsid w:val="008643BD"/>
    <w:rsid w:val="00864799"/>
    <w:rsid w:val="00865CD3"/>
    <w:rsid w:val="00871ECB"/>
    <w:rsid w:val="00872183"/>
    <w:rsid w:val="008729DF"/>
    <w:rsid w:val="00872CB7"/>
    <w:rsid w:val="008763EA"/>
    <w:rsid w:val="00877E14"/>
    <w:rsid w:val="0088043C"/>
    <w:rsid w:val="00882CA7"/>
    <w:rsid w:val="008841BE"/>
    <w:rsid w:val="00884889"/>
    <w:rsid w:val="008868CB"/>
    <w:rsid w:val="00886D91"/>
    <w:rsid w:val="008906C9"/>
    <w:rsid w:val="00891996"/>
    <w:rsid w:val="00895D42"/>
    <w:rsid w:val="0089618D"/>
    <w:rsid w:val="008A49FA"/>
    <w:rsid w:val="008A6B5F"/>
    <w:rsid w:val="008A6BD3"/>
    <w:rsid w:val="008B3FE8"/>
    <w:rsid w:val="008B62A1"/>
    <w:rsid w:val="008C1768"/>
    <w:rsid w:val="008C1AE7"/>
    <w:rsid w:val="008C5738"/>
    <w:rsid w:val="008C7015"/>
    <w:rsid w:val="008D04F0"/>
    <w:rsid w:val="008D1252"/>
    <w:rsid w:val="008D1CD7"/>
    <w:rsid w:val="008D295A"/>
    <w:rsid w:val="008D2D9C"/>
    <w:rsid w:val="008D2F20"/>
    <w:rsid w:val="008E19CB"/>
    <w:rsid w:val="008E2D92"/>
    <w:rsid w:val="008F3500"/>
    <w:rsid w:val="008F61C1"/>
    <w:rsid w:val="009071EA"/>
    <w:rsid w:val="00913B00"/>
    <w:rsid w:val="00914CC1"/>
    <w:rsid w:val="009158C3"/>
    <w:rsid w:val="00923EDE"/>
    <w:rsid w:val="00924C39"/>
    <w:rsid w:val="00924E3C"/>
    <w:rsid w:val="00926E48"/>
    <w:rsid w:val="0092774A"/>
    <w:rsid w:val="00927DD8"/>
    <w:rsid w:val="00930AE7"/>
    <w:rsid w:val="00935E97"/>
    <w:rsid w:val="00946B02"/>
    <w:rsid w:val="009514A4"/>
    <w:rsid w:val="00953FCE"/>
    <w:rsid w:val="00955B59"/>
    <w:rsid w:val="009612BB"/>
    <w:rsid w:val="0096283A"/>
    <w:rsid w:val="009707FD"/>
    <w:rsid w:val="00971739"/>
    <w:rsid w:val="0099144A"/>
    <w:rsid w:val="009B0E8E"/>
    <w:rsid w:val="009B7D35"/>
    <w:rsid w:val="009C188C"/>
    <w:rsid w:val="009C2CD1"/>
    <w:rsid w:val="009C740A"/>
    <w:rsid w:val="009D0A59"/>
    <w:rsid w:val="009D1149"/>
    <w:rsid w:val="009D3132"/>
    <w:rsid w:val="009D7808"/>
    <w:rsid w:val="009E0BE4"/>
    <w:rsid w:val="009F0B24"/>
    <w:rsid w:val="009F27B6"/>
    <w:rsid w:val="009F30D2"/>
    <w:rsid w:val="00A029F9"/>
    <w:rsid w:val="00A02F93"/>
    <w:rsid w:val="00A02FC3"/>
    <w:rsid w:val="00A061DB"/>
    <w:rsid w:val="00A07E0A"/>
    <w:rsid w:val="00A125C5"/>
    <w:rsid w:val="00A23F65"/>
    <w:rsid w:val="00A2414B"/>
    <w:rsid w:val="00A243E9"/>
    <w:rsid w:val="00A2451C"/>
    <w:rsid w:val="00A24A17"/>
    <w:rsid w:val="00A26314"/>
    <w:rsid w:val="00A31D8F"/>
    <w:rsid w:val="00A332AF"/>
    <w:rsid w:val="00A341DE"/>
    <w:rsid w:val="00A347B7"/>
    <w:rsid w:val="00A37F61"/>
    <w:rsid w:val="00A4312E"/>
    <w:rsid w:val="00A53BB7"/>
    <w:rsid w:val="00A55291"/>
    <w:rsid w:val="00A6327D"/>
    <w:rsid w:val="00A647E0"/>
    <w:rsid w:val="00A65EE7"/>
    <w:rsid w:val="00A67205"/>
    <w:rsid w:val="00A70133"/>
    <w:rsid w:val="00A73B50"/>
    <w:rsid w:val="00A73D91"/>
    <w:rsid w:val="00A770A6"/>
    <w:rsid w:val="00A80C60"/>
    <w:rsid w:val="00A813B1"/>
    <w:rsid w:val="00A81403"/>
    <w:rsid w:val="00A84935"/>
    <w:rsid w:val="00A87383"/>
    <w:rsid w:val="00A971BF"/>
    <w:rsid w:val="00AA1E0B"/>
    <w:rsid w:val="00AB36C4"/>
    <w:rsid w:val="00AC04BC"/>
    <w:rsid w:val="00AC1B89"/>
    <w:rsid w:val="00AC32B2"/>
    <w:rsid w:val="00AC4A46"/>
    <w:rsid w:val="00AE177F"/>
    <w:rsid w:val="00AE191E"/>
    <w:rsid w:val="00AE2F0C"/>
    <w:rsid w:val="00AE4231"/>
    <w:rsid w:val="00AE62A4"/>
    <w:rsid w:val="00AE6A05"/>
    <w:rsid w:val="00AF1D24"/>
    <w:rsid w:val="00AF1F18"/>
    <w:rsid w:val="00AF3E57"/>
    <w:rsid w:val="00B00949"/>
    <w:rsid w:val="00B02378"/>
    <w:rsid w:val="00B03817"/>
    <w:rsid w:val="00B109E4"/>
    <w:rsid w:val="00B115C8"/>
    <w:rsid w:val="00B15C95"/>
    <w:rsid w:val="00B17141"/>
    <w:rsid w:val="00B206F0"/>
    <w:rsid w:val="00B2261B"/>
    <w:rsid w:val="00B31575"/>
    <w:rsid w:val="00B34F5F"/>
    <w:rsid w:val="00B44256"/>
    <w:rsid w:val="00B460B5"/>
    <w:rsid w:val="00B47488"/>
    <w:rsid w:val="00B500A3"/>
    <w:rsid w:val="00B515FD"/>
    <w:rsid w:val="00B529FC"/>
    <w:rsid w:val="00B55471"/>
    <w:rsid w:val="00B574C1"/>
    <w:rsid w:val="00B575FB"/>
    <w:rsid w:val="00B609C2"/>
    <w:rsid w:val="00B731C5"/>
    <w:rsid w:val="00B847CB"/>
    <w:rsid w:val="00B8547D"/>
    <w:rsid w:val="00B94436"/>
    <w:rsid w:val="00B97919"/>
    <w:rsid w:val="00BA05AA"/>
    <w:rsid w:val="00BA154A"/>
    <w:rsid w:val="00BB0F92"/>
    <w:rsid w:val="00BB6F04"/>
    <w:rsid w:val="00BC0452"/>
    <w:rsid w:val="00BC0839"/>
    <w:rsid w:val="00BC1949"/>
    <w:rsid w:val="00BC2830"/>
    <w:rsid w:val="00BC3380"/>
    <w:rsid w:val="00BC3464"/>
    <w:rsid w:val="00BC411E"/>
    <w:rsid w:val="00BC6F3D"/>
    <w:rsid w:val="00BC7A76"/>
    <w:rsid w:val="00BD0A12"/>
    <w:rsid w:val="00BD12EC"/>
    <w:rsid w:val="00BE00E6"/>
    <w:rsid w:val="00BF2061"/>
    <w:rsid w:val="00BF2F38"/>
    <w:rsid w:val="00BF69A8"/>
    <w:rsid w:val="00C04739"/>
    <w:rsid w:val="00C0714C"/>
    <w:rsid w:val="00C11E77"/>
    <w:rsid w:val="00C12165"/>
    <w:rsid w:val="00C20EE3"/>
    <w:rsid w:val="00C223FB"/>
    <w:rsid w:val="00C2297C"/>
    <w:rsid w:val="00C231F8"/>
    <w:rsid w:val="00C250D5"/>
    <w:rsid w:val="00C301E4"/>
    <w:rsid w:val="00C30FDE"/>
    <w:rsid w:val="00C33F6D"/>
    <w:rsid w:val="00C35486"/>
    <w:rsid w:val="00C35666"/>
    <w:rsid w:val="00C365B4"/>
    <w:rsid w:val="00C429D0"/>
    <w:rsid w:val="00C47C6F"/>
    <w:rsid w:val="00C5360E"/>
    <w:rsid w:val="00C55171"/>
    <w:rsid w:val="00C61BCC"/>
    <w:rsid w:val="00C6273C"/>
    <w:rsid w:val="00C67044"/>
    <w:rsid w:val="00C70897"/>
    <w:rsid w:val="00C73A58"/>
    <w:rsid w:val="00C73B8A"/>
    <w:rsid w:val="00C8763E"/>
    <w:rsid w:val="00C907E9"/>
    <w:rsid w:val="00C917D4"/>
    <w:rsid w:val="00C92898"/>
    <w:rsid w:val="00C97C29"/>
    <w:rsid w:val="00CA074A"/>
    <w:rsid w:val="00CA19FF"/>
    <w:rsid w:val="00CA4340"/>
    <w:rsid w:val="00CA43EE"/>
    <w:rsid w:val="00CA4848"/>
    <w:rsid w:val="00CA68AB"/>
    <w:rsid w:val="00CA7A49"/>
    <w:rsid w:val="00CC6306"/>
    <w:rsid w:val="00CD70C3"/>
    <w:rsid w:val="00CE41FF"/>
    <w:rsid w:val="00CE5238"/>
    <w:rsid w:val="00CE7514"/>
    <w:rsid w:val="00CF23DE"/>
    <w:rsid w:val="00CF3D78"/>
    <w:rsid w:val="00D0177E"/>
    <w:rsid w:val="00D0334C"/>
    <w:rsid w:val="00D075C0"/>
    <w:rsid w:val="00D17709"/>
    <w:rsid w:val="00D248DE"/>
    <w:rsid w:val="00D2616E"/>
    <w:rsid w:val="00D26BE8"/>
    <w:rsid w:val="00D30A66"/>
    <w:rsid w:val="00D35EC4"/>
    <w:rsid w:val="00D40A81"/>
    <w:rsid w:val="00D4644F"/>
    <w:rsid w:val="00D46AFB"/>
    <w:rsid w:val="00D5042C"/>
    <w:rsid w:val="00D52383"/>
    <w:rsid w:val="00D54769"/>
    <w:rsid w:val="00D60BB8"/>
    <w:rsid w:val="00D60F5B"/>
    <w:rsid w:val="00D624BE"/>
    <w:rsid w:val="00D654F0"/>
    <w:rsid w:val="00D6630E"/>
    <w:rsid w:val="00D66D9E"/>
    <w:rsid w:val="00D7213E"/>
    <w:rsid w:val="00D744A0"/>
    <w:rsid w:val="00D816A0"/>
    <w:rsid w:val="00D84738"/>
    <w:rsid w:val="00D8542D"/>
    <w:rsid w:val="00D85700"/>
    <w:rsid w:val="00D95D84"/>
    <w:rsid w:val="00D975A3"/>
    <w:rsid w:val="00D97728"/>
    <w:rsid w:val="00DA45AE"/>
    <w:rsid w:val="00DA45F8"/>
    <w:rsid w:val="00DB039A"/>
    <w:rsid w:val="00DB06AA"/>
    <w:rsid w:val="00DB5CFF"/>
    <w:rsid w:val="00DB6E18"/>
    <w:rsid w:val="00DC6A71"/>
    <w:rsid w:val="00DC7B7E"/>
    <w:rsid w:val="00DD2528"/>
    <w:rsid w:val="00DD53DB"/>
    <w:rsid w:val="00DE0241"/>
    <w:rsid w:val="00DE24CA"/>
    <w:rsid w:val="00DE285A"/>
    <w:rsid w:val="00DE2FFB"/>
    <w:rsid w:val="00DE4C01"/>
    <w:rsid w:val="00DE6E99"/>
    <w:rsid w:val="00DF060E"/>
    <w:rsid w:val="00DF2165"/>
    <w:rsid w:val="00DF41DD"/>
    <w:rsid w:val="00DF5A19"/>
    <w:rsid w:val="00DF79DF"/>
    <w:rsid w:val="00E0357D"/>
    <w:rsid w:val="00E03D8D"/>
    <w:rsid w:val="00E07E40"/>
    <w:rsid w:val="00E11C34"/>
    <w:rsid w:val="00E1254B"/>
    <w:rsid w:val="00E12928"/>
    <w:rsid w:val="00E148B0"/>
    <w:rsid w:val="00E16873"/>
    <w:rsid w:val="00E2402A"/>
    <w:rsid w:val="00E35F94"/>
    <w:rsid w:val="00E37102"/>
    <w:rsid w:val="00E41395"/>
    <w:rsid w:val="00E4211C"/>
    <w:rsid w:val="00E44CBD"/>
    <w:rsid w:val="00E50A99"/>
    <w:rsid w:val="00E5110D"/>
    <w:rsid w:val="00E5324C"/>
    <w:rsid w:val="00E678B5"/>
    <w:rsid w:val="00E7230B"/>
    <w:rsid w:val="00E82D85"/>
    <w:rsid w:val="00E84A15"/>
    <w:rsid w:val="00E86CD2"/>
    <w:rsid w:val="00E87637"/>
    <w:rsid w:val="00E8785C"/>
    <w:rsid w:val="00E879C6"/>
    <w:rsid w:val="00E9245F"/>
    <w:rsid w:val="00EA422F"/>
    <w:rsid w:val="00EB0FEA"/>
    <w:rsid w:val="00EB2691"/>
    <w:rsid w:val="00EB5411"/>
    <w:rsid w:val="00EB5FB5"/>
    <w:rsid w:val="00EB6D8E"/>
    <w:rsid w:val="00EC156B"/>
    <w:rsid w:val="00EC2548"/>
    <w:rsid w:val="00EC26E6"/>
    <w:rsid w:val="00EC41DC"/>
    <w:rsid w:val="00EC75AD"/>
    <w:rsid w:val="00ED1C3E"/>
    <w:rsid w:val="00ED6422"/>
    <w:rsid w:val="00EE2F2B"/>
    <w:rsid w:val="00EF34EA"/>
    <w:rsid w:val="00EF5B62"/>
    <w:rsid w:val="00F03F5C"/>
    <w:rsid w:val="00F10EC6"/>
    <w:rsid w:val="00F20B06"/>
    <w:rsid w:val="00F21929"/>
    <w:rsid w:val="00F240BB"/>
    <w:rsid w:val="00F26FC6"/>
    <w:rsid w:val="00F318E9"/>
    <w:rsid w:val="00F32C9D"/>
    <w:rsid w:val="00F3641F"/>
    <w:rsid w:val="00F36E7E"/>
    <w:rsid w:val="00F374D0"/>
    <w:rsid w:val="00F478D5"/>
    <w:rsid w:val="00F502A7"/>
    <w:rsid w:val="00F50420"/>
    <w:rsid w:val="00F540CE"/>
    <w:rsid w:val="00F57FED"/>
    <w:rsid w:val="00F602E9"/>
    <w:rsid w:val="00F61BC8"/>
    <w:rsid w:val="00F80170"/>
    <w:rsid w:val="00FA1302"/>
    <w:rsid w:val="00FA706E"/>
    <w:rsid w:val="00FB2437"/>
    <w:rsid w:val="00FB3392"/>
    <w:rsid w:val="00FB3D6D"/>
    <w:rsid w:val="00FB47FE"/>
    <w:rsid w:val="00FB4C57"/>
    <w:rsid w:val="00FC2537"/>
    <w:rsid w:val="00FC4DC1"/>
    <w:rsid w:val="00FD2533"/>
    <w:rsid w:val="00FD370D"/>
    <w:rsid w:val="00FD39D8"/>
    <w:rsid w:val="00FD45D9"/>
    <w:rsid w:val="00FF3CD6"/>
    <w:rsid w:val="00FF56D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1"/>
    </o:shapelayout>
  </w:shapeDefaults>
  <w:doNotEmbedSmartTags/>
  <w:decimalSymbol w:val=","/>
  <w:listSeparator w:val=";"/>
  <w14:docId w14:val="330CA825"/>
  <w15:chartTrackingRefBased/>
  <w15:docId w15:val="{D5EB4A44-0A06-4AC2-82FF-AD1FD239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130D3B"/>
    <w:rPr>
      <w:rFonts w:ascii="Arial" w:hAnsi="Arial"/>
      <w:szCs w:val="24"/>
      <w:lang w:val="en-US" w:eastAsia="en-US"/>
    </w:rPr>
  </w:style>
  <w:style w:type="paragraph" w:styleId="Sprotnaopomba-besedilo">
    <w:name w:val="footnote text"/>
    <w:basedOn w:val="Navaden"/>
    <w:link w:val="Sprotnaopomba-besediloZnak"/>
    <w:rsid w:val="002815AA"/>
    <w:rPr>
      <w:szCs w:val="20"/>
    </w:rPr>
  </w:style>
  <w:style w:type="character" w:customStyle="1" w:styleId="Sprotnaopomba-besediloZnak">
    <w:name w:val="Sprotna opomba - besedilo Znak"/>
    <w:link w:val="Sprotnaopomba-besedilo"/>
    <w:rsid w:val="002815AA"/>
    <w:rPr>
      <w:rFonts w:ascii="Arial" w:hAnsi="Arial"/>
      <w:lang w:val="en-US" w:eastAsia="en-US"/>
    </w:rPr>
  </w:style>
  <w:style w:type="character" w:styleId="Sprotnaopomba-sklic">
    <w:name w:val="footnote reference"/>
    <w:aliases w:val="fr"/>
    <w:rsid w:val="002815AA"/>
    <w:rPr>
      <w:vertAlign w:val="superscript"/>
    </w:rPr>
  </w:style>
  <w:style w:type="paragraph" w:styleId="Besedilooblaka">
    <w:name w:val="Balloon Text"/>
    <w:basedOn w:val="Navaden"/>
    <w:link w:val="BesedilooblakaZnak"/>
    <w:rsid w:val="002815AA"/>
    <w:pPr>
      <w:spacing w:line="240" w:lineRule="auto"/>
    </w:pPr>
    <w:rPr>
      <w:rFonts w:ascii="Tahoma" w:hAnsi="Tahoma" w:cs="Tahoma"/>
      <w:sz w:val="16"/>
      <w:szCs w:val="16"/>
    </w:rPr>
  </w:style>
  <w:style w:type="character" w:customStyle="1" w:styleId="BesedilooblakaZnak">
    <w:name w:val="Besedilo oblačka Znak"/>
    <w:link w:val="Besedilooblaka"/>
    <w:rsid w:val="002815AA"/>
    <w:rPr>
      <w:rFonts w:ascii="Tahoma" w:hAnsi="Tahoma" w:cs="Tahoma"/>
      <w:sz w:val="16"/>
      <w:szCs w:val="16"/>
      <w:lang w:val="en-US" w:eastAsia="en-US"/>
    </w:rPr>
  </w:style>
  <w:style w:type="character" w:customStyle="1" w:styleId="NogaZnak">
    <w:name w:val="Noga Znak"/>
    <w:link w:val="Noga"/>
    <w:uiPriority w:val="99"/>
    <w:rsid w:val="008A6BD3"/>
    <w:rPr>
      <w:rFonts w:ascii="Arial" w:hAnsi="Arial"/>
      <w:szCs w:val="24"/>
      <w:lang w:val="en-US" w:eastAsia="en-US"/>
    </w:rPr>
  </w:style>
  <w:style w:type="character" w:styleId="Poudarek">
    <w:name w:val="Emphasis"/>
    <w:uiPriority w:val="20"/>
    <w:qFormat/>
    <w:rsid w:val="00DC7B7E"/>
    <w:rPr>
      <w:i/>
      <w:iCs/>
    </w:rPr>
  </w:style>
  <w:style w:type="character" w:styleId="Pripombasklic">
    <w:name w:val="annotation reference"/>
    <w:rsid w:val="002B693C"/>
    <w:rPr>
      <w:sz w:val="16"/>
      <w:szCs w:val="16"/>
    </w:rPr>
  </w:style>
  <w:style w:type="paragraph" w:styleId="Pripombabesedilo">
    <w:name w:val="annotation text"/>
    <w:basedOn w:val="Navaden"/>
    <w:link w:val="PripombabesediloZnak"/>
    <w:rsid w:val="002B693C"/>
    <w:rPr>
      <w:szCs w:val="20"/>
    </w:rPr>
  </w:style>
  <w:style w:type="character" w:customStyle="1" w:styleId="PripombabesediloZnak">
    <w:name w:val="Pripomba – besedilo Znak"/>
    <w:link w:val="Pripombabesedilo"/>
    <w:rsid w:val="002B693C"/>
    <w:rPr>
      <w:rFonts w:ascii="Arial" w:hAnsi="Arial"/>
      <w:lang w:val="en-US" w:eastAsia="en-US"/>
    </w:rPr>
  </w:style>
  <w:style w:type="paragraph" w:styleId="Zadevapripombe">
    <w:name w:val="annotation subject"/>
    <w:basedOn w:val="Pripombabesedilo"/>
    <w:next w:val="Pripombabesedilo"/>
    <w:link w:val="ZadevapripombeZnak"/>
    <w:rsid w:val="002B693C"/>
    <w:rPr>
      <w:b/>
      <w:bCs/>
    </w:rPr>
  </w:style>
  <w:style w:type="character" w:customStyle="1" w:styleId="ZadevapripombeZnak">
    <w:name w:val="Zadeva pripombe Znak"/>
    <w:link w:val="Zadevapripombe"/>
    <w:rsid w:val="002B693C"/>
    <w:rPr>
      <w:rFonts w:ascii="Arial" w:hAnsi="Arial"/>
      <w:b/>
      <w:bCs/>
      <w:lang w:val="en-US" w:eastAsia="en-US"/>
    </w:rPr>
  </w:style>
  <w:style w:type="paragraph" w:customStyle="1" w:styleId="len1">
    <w:name w:val="len1"/>
    <w:basedOn w:val="Navaden"/>
    <w:rsid w:val="002F3702"/>
    <w:pPr>
      <w:spacing w:before="480" w:line="240" w:lineRule="auto"/>
      <w:jc w:val="center"/>
    </w:pPr>
    <w:rPr>
      <w:rFonts w:cs="Arial"/>
      <w:b/>
      <w:bCs/>
      <w:sz w:val="22"/>
      <w:szCs w:val="22"/>
      <w:lang w:val="sl-SI" w:eastAsia="sl-SI"/>
    </w:rPr>
  </w:style>
  <w:style w:type="paragraph" w:customStyle="1" w:styleId="odstavek1">
    <w:name w:val="odstavek1"/>
    <w:basedOn w:val="Navaden"/>
    <w:rsid w:val="002F3702"/>
    <w:pPr>
      <w:spacing w:before="240" w:line="240" w:lineRule="auto"/>
      <w:ind w:firstLine="1021"/>
      <w:jc w:val="both"/>
    </w:pPr>
    <w:rPr>
      <w:rFonts w:cs="Arial"/>
      <w:sz w:val="22"/>
      <w:szCs w:val="22"/>
      <w:lang w:val="sl-SI" w:eastAsia="sl-SI"/>
    </w:rPr>
  </w:style>
  <w:style w:type="paragraph" w:customStyle="1" w:styleId="tevilnatoka1">
    <w:name w:val="tevilnatoka1"/>
    <w:basedOn w:val="Navaden"/>
    <w:rsid w:val="002F3702"/>
    <w:pPr>
      <w:spacing w:line="240" w:lineRule="auto"/>
      <w:ind w:left="425" w:hanging="425"/>
      <w:jc w:val="both"/>
    </w:pPr>
    <w:rPr>
      <w:rFonts w:cs="Arial"/>
      <w:sz w:val="22"/>
      <w:szCs w:val="22"/>
      <w:lang w:val="sl-SI" w:eastAsia="sl-SI"/>
    </w:rPr>
  </w:style>
  <w:style w:type="paragraph" w:customStyle="1" w:styleId="lennaslov1">
    <w:name w:val="lennaslov1"/>
    <w:basedOn w:val="Navaden"/>
    <w:rsid w:val="002F3702"/>
    <w:pPr>
      <w:spacing w:line="240" w:lineRule="auto"/>
      <w:jc w:val="center"/>
    </w:pPr>
    <w:rPr>
      <w:rFonts w:cs="Arial"/>
      <w:b/>
      <w:bCs/>
      <w:sz w:val="22"/>
      <w:szCs w:val="22"/>
      <w:lang w:val="sl-SI" w:eastAsia="sl-SI"/>
    </w:rPr>
  </w:style>
  <w:style w:type="character" w:styleId="SledenaHiperpovezava">
    <w:name w:val="FollowedHyperlink"/>
    <w:rsid w:val="00225048"/>
    <w:rPr>
      <w:color w:val="800080"/>
      <w:u w:val="single"/>
    </w:rPr>
  </w:style>
  <w:style w:type="paragraph" w:styleId="Revizija">
    <w:name w:val="Revision"/>
    <w:hidden/>
    <w:uiPriority w:val="99"/>
    <w:semiHidden/>
    <w:rsid w:val="00864799"/>
    <w:rPr>
      <w:rFonts w:ascii="Arial" w:hAnsi="Arial"/>
      <w:szCs w:val="24"/>
      <w:lang w:val="en-US" w:eastAsia="en-US"/>
    </w:rPr>
  </w:style>
  <w:style w:type="paragraph" w:customStyle="1" w:styleId="alineazaodstavkom1">
    <w:name w:val="alineazaodstavkom1"/>
    <w:basedOn w:val="Navaden"/>
    <w:rsid w:val="004F201B"/>
    <w:pPr>
      <w:spacing w:line="240" w:lineRule="auto"/>
      <w:ind w:left="425" w:hanging="425"/>
      <w:jc w:val="both"/>
    </w:pPr>
    <w:rPr>
      <w:rFonts w:cs="Arial"/>
      <w:sz w:val="22"/>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2453">
      <w:bodyDiv w:val="1"/>
      <w:marLeft w:val="0"/>
      <w:marRight w:val="0"/>
      <w:marTop w:val="0"/>
      <w:marBottom w:val="0"/>
      <w:divBdr>
        <w:top w:val="none" w:sz="0" w:space="0" w:color="auto"/>
        <w:left w:val="none" w:sz="0" w:space="0" w:color="auto"/>
        <w:bottom w:val="none" w:sz="0" w:space="0" w:color="auto"/>
        <w:right w:val="none" w:sz="0" w:space="0" w:color="auto"/>
      </w:divBdr>
      <w:divsChild>
        <w:div w:id="42490663">
          <w:marLeft w:val="0"/>
          <w:marRight w:val="0"/>
          <w:marTop w:val="0"/>
          <w:marBottom w:val="0"/>
          <w:divBdr>
            <w:top w:val="none" w:sz="0" w:space="0" w:color="auto"/>
            <w:left w:val="none" w:sz="0" w:space="0" w:color="auto"/>
            <w:bottom w:val="none" w:sz="0" w:space="0" w:color="auto"/>
            <w:right w:val="none" w:sz="0" w:space="0" w:color="auto"/>
          </w:divBdr>
          <w:divsChild>
            <w:div w:id="521557378">
              <w:marLeft w:val="0"/>
              <w:marRight w:val="0"/>
              <w:marTop w:val="100"/>
              <w:marBottom w:val="100"/>
              <w:divBdr>
                <w:top w:val="none" w:sz="0" w:space="0" w:color="auto"/>
                <w:left w:val="none" w:sz="0" w:space="0" w:color="auto"/>
                <w:bottom w:val="none" w:sz="0" w:space="0" w:color="auto"/>
                <w:right w:val="none" w:sz="0" w:space="0" w:color="auto"/>
              </w:divBdr>
              <w:divsChild>
                <w:div w:id="886338078">
                  <w:marLeft w:val="0"/>
                  <w:marRight w:val="0"/>
                  <w:marTop w:val="0"/>
                  <w:marBottom w:val="0"/>
                  <w:divBdr>
                    <w:top w:val="none" w:sz="0" w:space="0" w:color="auto"/>
                    <w:left w:val="none" w:sz="0" w:space="0" w:color="auto"/>
                    <w:bottom w:val="none" w:sz="0" w:space="0" w:color="auto"/>
                    <w:right w:val="none" w:sz="0" w:space="0" w:color="auto"/>
                  </w:divBdr>
                  <w:divsChild>
                    <w:div w:id="554392547">
                      <w:marLeft w:val="0"/>
                      <w:marRight w:val="0"/>
                      <w:marTop w:val="0"/>
                      <w:marBottom w:val="0"/>
                      <w:divBdr>
                        <w:top w:val="none" w:sz="0" w:space="0" w:color="auto"/>
                        <w:left w:val="none" w:sz="0" w:space="0" w:color="auto"/>
                        <w:bottom w:val="none" w:sz="0" w:space="0" w:color="auto"/>
                        <w:right w:val="none" w:sz="0" w:space="0" w:color="auto"/>
                      </w:divBdr>
                      <w:divsChild>
                        <w:div w:id="1090733308">
                          <w:marLeft w:val="0"/>
                          <w:marRight w:val="0"/>
                          <w:marTop w:val="0"/>
                          <w:marBottom w:val="0"/>
                          <w:divBdr>
                            <w:top w:val="none" w:sz="0" w:space="0" w:color="auto"/>
                            <w:left w:val="none" w:sz="0" w:space="0" w:color="auto"/>
                            <w:bottom w:val="none" w:sz="0" w:space="0" w:color="auto"/>
                            <w:right w:val="none" w:sz="0" w:space="0" w:color="auto"/>
                          </w:divBdr>
                          <w:divsChild>
                            <w:div w:id="1239559470">
                              <w:marLeft w:val="0"/>
                              <w:marRight w:val="0"/>
                              <w:marTop w:val="0"/>
                              <w:marBottom w:val="0"/>
                              <w:divBdr>
                                <w:top w:val="none" w:sz="0" w:space="0" w:color="auto"/>
                                <w:left w:val="none" w:sz="0" w:space="0" w:color="auto"/>
                                <w:bottom w:val="none" w:sz="0" w:space="0" w:color="auto"/>
                                <w:right w:val="none" w:sz="0" w:space="0" w:color="auto"/>
                              </w:divBdr>
                              <w:divsChild>
                                <w:div w:id="1238174059">
                                  <w:marLeft w:val="0"/>
                                  <w:marRight w:val="0"/>
                                  <w:marTop w:val="0"/>
                                  <w:marBottom w:val="0"/>
                                  <w:divBdr>
                                    <w:top w:val="none" w:sz="0" w:space="0" w:color="auto"/>
                                    <w:left w:val="none" w:sz="0" w:space="0" w:color="auto"/>
                                    <w:bottom w:val="none" w:sz="0" w:space="0" w:color="auto"/>
                                    <w:right w:val="none" w:sz="0" w:space="0" w:color="auto"/>
                                  </w:divBdr>
                                  <w:divsChild>
                                    <w:div w:id="1218053312">
                                      <w:marLeft w:val="0"/>
                                      <w:marRight w:val="0"/>
                                      <w:marTop w:val="0"/>
                                      <w:marBottom w:val="0"/>
                                      <w:divBdr>
                                        <w:top w:val="none" w:sz="0" w:space="0" w:color="auto"/>
                                        <w:left w:val="none" w:sz="0" w:space="0" w:color="auto"/>
                                        <w:bottom w:val="none" w:sz="0" w:space="0" w:color="auto"/>
                                        <w:right w:val="none" w:sz="0" w:space="0" w:color="auto"/>
                                      </w:divBdr>
                                      <w:divsChild>
                                        <w:div w:id="9453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80636">
      <w:bodyDiv w:val="1"/>
      <w:marLeft w:val="0"/>
      <w:marRight w:val="0"/>
      <w:marTop w:val="0"/>
      <w:marBottom w:val="0"/>
      <w:divBdr>
        <w:top w:val="none" w:sz="0" w:space="0" w:color="auto"/>
        <w:left w:val="none" w:sz="0" w:space="0" w:color="auto"/>
        <w:bottom w:val="none" w:sz="0" w:space="0" w:color="auto"/>
        <w:right w:val="none" w:sz="0" w:space="0" w:color="auto"/>
      </w:divBdr>
      <w:divsChild>
        <w:div w:id="1970359558">
          <w:marLeft w:val="0"/>
          <w:marRight w:val="0"/>
          <w:marTop w:val="0"/>
          <w:marBottom w:val="0"/>
          <w:divBdr>
            <w:top w:val="none" w:sz="0" w:space="0" w:color="auto"/>
            <w:left w:val="none" w:sz="0" w:space="0" w:color="auto"/>
            <w:bottom w:val="none" w:sz="0" w:space="0" w:color="auto"/>
            <w:right w:val="none" w:sz="0" w:space="0" w:color="auto"/>
          </w:divBdr>
          <w:divsChild>
            <w:div w:id="1430739063">
              <w:marLeft w:val="0"/>
              <w:marRight w:val="0"/>
              <w:marTop w:val="100"/>
              <w:marBottom w:val="100"/>
              <w:divBdr>
                <w:top w:val="none" w:sz="0" w:space="0" w:color="auto"/>
                <w:left w:val="none" w:sz="0" w:space="0" w:color="auto"/>
                <w:bottom w:val="none" w:sz="0" w:space="0" w:color="auto"/>
                <w:right w:val="none" w:sz="0" w:space="0" w:color="auto"/>
              </w:divBdr>
              <w:divsChild>
                <w:div w:id="1452746236">
                  <w:marLeft w:val="0"/>
                  <w:marRight w:val="0"/>
                  <w:marTop w:val="0"/>
                  <w:marBottom w:val="0"/>
                  <w:divBdr>
                    <w:top w:val="none" w:sz="0" w:space="0" w:color="auto"/>
                    <w:left w:val="none" w:sz="0" w:space="0" w:color="auto"/>
                    <w:bottom w:val="none" w:sz="0" w:space="0" w:color="auto"/>
                    <w:right w:val="none" w:sz="0" w:space="0" w:color="auto"/>
                  </w:divBdr>
                  <w:divsChild>
                    <w:div w:id="818814320">
                      <w:marLeft w:val="0"/>
                      <w:marRight w:val="0"/>
                      <w:marTop w:val="0"/>
                      <w:marBottom w:val="0"/>
                      <w:divBdr>
                        <w:top w:val="none" w:sz="0" w:space="0" w:color="auto"/>
                        <w:left w:val="none" w:sz="0" w:space="0" w:color="auto"/>
                        <w:bottom w:val="none" w:sz="0" w:space="0" w:color="auto"/>
                        <w:right w:val="none" w:sz="0" w:space="0" w:color="auto"/>
                      </w:divBdr>
                      <w:divsChild>
                        <w:div w:id="1799912094">
                          <w:marLeft w:val="0"/>
                          <w:marRight w:val="0"/>
                          <w:marTop w:val="0"/>
                          <w:marBottom w:val="0"/>
                          <w:divBdr>
                            <w:top w:val="none" w:sz="0" w:space="0" w:color="auto"/>
                            <w:left w:val="none" w:sz="0" w:space="0" w:color="auto"/>
                            <w:bottom w:val="none" w:sz="0" w:space="0" w:color="auto"/>
                            <w:right w:val="none" w:sz="0" w:space="0" w:color="auto"/>
                          </w:divBdr>
                          <w:divsChild>
                            <w:div w:id="2145538633">
                              <w:marLeft w:val="0"/>
                              <w:marRight w:val="0"/>
                              <w:marTop w:val="0"/>
                              <w:marBottom w:val="0"/>
                              <w:divBdr>
                                <w:top w:val="none" w:sz="0" w:space="0" w:color="auto"/>
                                <w:left w:val="none" w:sz="0" w:space="0" w:color="auto"/>
                                <w:bottom w:val="none" w:sz="0" w:space="0" w:color="auto"/>
                                <w:right w:val="none" w:sz="0" w:space="0" w:color="auto"/>
                              </w:divBdr>
                              <w:divsChild>
                                <w:div w:id="1197428731">
                                  <w:marLeft w:val="0"/>
                                  <w:marRight w:val="0"/>
                                  <w:marTop w:val="0"/>
                                  <w:marBottom w:val="0"/>
                                  <w:divBdr>
                                    <w:top w:val="none" w:sz="0" w:space="0" w:color="auto"/>
                                    <w:left w:val="none" w:sz="0" w:space="0" w:color="auto"/>
                                    <w:bottom w:val="none" w:sz="0" w:space="0" w:color="auto"/>
                                    <w:right w:val="none" w:sz="0" w:space="0" w:color="auto"/>
                                  </w:divBdr>
                                  <w:divsChild>
                                    <w:div w:id="413936301">
                                      <w:marLeft w:val="0"/>
                                      <w:marRight w:val="0"/>
                                      <w:marTop w:val="0"/>
                                      <w:marBottom w:val="0"/>
                                      <w:divBdr>
                                        <w:top w:val="none" w:sz="0" w:space="0" w:color="auto"/>
                                        <w:left w:val="none" w:sz="0" w:space="0" w:color="auto"/>
                                        <w:bottom w:val="none" w:sz="0" w:space="0" w:color="auto"/>
                                        <w:right w:val="none" w:sz="0" w:space="0" w:color="auto"/>
                                      </w:divBdr>
                                      <w:divsChild>
                                        <w:div w:id="13913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241075">
      <w:bodyDiv w:val="1"/>
      <w:marLeft w:val="0"/>
      <w:marRight w:val="0"/>
      <w:marTop w:val="0"/>
      <w:marBottom w:val="0"/>
      <w:divBdr>
        <w:top w:val="none" w:sz="0" w:space="0" w:color="auto"/>
        <w:left w:val="none" w:sz="0" w:space="0" w:color="auto"/>
        <w:bottom w:val="none" w:sz="0" w:space="0" w:color="auto"/>
        <w:right w:val="none" w:sz="0" w:space="0" w:color="auto"/>
      </w:divBdr>
      <w:divsChild>
        <w:div w:id="794252631">
          <w:marLeft w:val="0"/>
          <w:marRight w:val="0"/>
          <w:marTop w:val="0"/>
          <w:marBottom w:val="0"/>
          <w:divBdr>
            <w:top w:val="none" w:sz="0" w:space="0" w:color="auto"/>
            <w:left w:val="none" w:sz="0" w:space="0" w:color="auto"/>
            <w:bottom w:val="none" w:sz="0" w:space="0" w:color="auto"/>
            <w:right w:val="none" w:sz="0" w:space="0" w:color="auto"/>
          </w:divBdr>
          <w:divsChild>
            <w:div w:id="1329362927">
              <w:marLeft w:val="0"/>
              <w:marRight w:val="0"/>
              <w:marTop w:val="0"/>
              <w:marBottom w:val="0"/>
              <w:divBdr>
                <w:top w:val="none" w:sz="0" w:space="0" w:color="auto"/>
                <w:left w:val="none" w:sz="0" w:space="0" w:color="auto"/>
                <w:bottom w:val="none" w:sz="0" w:space="0" w:color="auto"/>
                <w:right w:val="none" w:sz="0" w:space="0" w:color="auto"/>
              </w:divBdr>
              <w:divsChild>
                <w:div w:id="1819223922">
                  <w:marLeft w:val="0"/>
                  <w:marRight w:val="0"/>
                  <w:marTop w:val="0"/>
                  <w:marBottom w:val="0"/>
                  <w:divBdr>
                    <w:top w:val="none" w:sz="0" w:space="0" w:color="auto"/>
                    <w:left w:val="none" w:sz="0" w:space="0" w:color="auto"/>
                    <w:bottom w:val="none" w:sz="0" w:space="0" w:color="auto"/>
                    <w:right w:val="none" w:sz="0" w:space="0" w:color="auto"/>
                  </w:divBdr>
                  <w:divsChild>
                    <w:div w:id="11591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77091">
      <w:bodyDiv w:val="1"/>
      <w:marLeft w:val="0"/>
      <w:marRight w:val="0"/>
      <w:marTop w:val="0"/>
      <w:marBottom w:val="0"/>
      <w:divBdr>
        <w:top w:val="none" w:sz="0" w:space="0" w:color="auto"/>
        <w:left w:val="none" w:sz="0" w:space="0" w:color="auto"/>
        <w:bottom w:val="none" w:sz="0" w:space="0" w:color="auto"/>
        <w:right w:val="none" w:sz="0" w:space="0" w:color="auto"/>
      </w:divBdr>
      <w:divsChild>
        <w:div w:id="2128573973">
          <w:marLeft w:val="0"/>
          <w:marRight w:val="0"/>
          <w:marTop w:val="0"/>
          <w:marBottom w:val="0"/>
          <w:divBdr>
            <w:top w:val="none" w:sz="0" w:space="0" w:color="auto"/>
            <w:left w:val="none" w:sz="0" w:space="0" w:color="auto"/>
            <w:bottom w:val="none" w:sz="0" w:space="0" w:color="auto"/>
            <w:right w:val="none" w:sz="0" w:space="0" w:color="auto"/>
          </w:divBdr>
          <w:divsChild>
            <w:div w:id="1799102309">
              <w:marLeft w:val="0"/>
              <w:marRight w:val="0"/>
              <w:marTop w:val="100"/>
              <w:marBottom w:val="100"/>
              <w:divBdr>
                <w:top w:val="none" w:sz="0" w:space="0" w:color="auto"/>
                <w:left w:val="none" w:sz="0" w:space="0" w:color="auto"/>
                <w:bottom w:val="none" w:sz="0" w:space="0" w:color="auto"/>
                <w:right w:val="none" w:sz="0" w:space="0" w:color="auto"/>
              </w:divBdr>
              <w:divsChild>
                <w:div w:id="1289164938">
                  <w:marLeft w:val="0"/>
                  <w:marRight w:val="0"/>
                  <w:marTop w:val="0"/>
                  <w:marBottom w:val="0"/>
                  <w:divBdr>
                    <w:top w:val="none" w:sz="0" w:space="0" w:color="auto"/>
                    <w:left w:val="none" w:sz="0" w:space="0" w:color="auto"/>
                    <w:bottom w:val="none" w:sz="0" w:space="0" w:color="auto"/>
                    <w:right w:val="none" w:sz="0" w:space="0" w:color="auto"/>
                  </w:divBdr>
                  <w:divsChild>
                    <w:div w:id="167136730">
                      <w:marLeft w:val="0"/>
                      <w:marRight w:val="0"/>
                      <w:marTop w:val="0"/>
                      <w:marBottom w:val="0"/>
                      <w:divBdr>
                        <w:top w:val="none" w:sz="0" w:space="0" w:color="auto"/>
                        <w:left w:val="none" w:sz="0" w:space="0" w:color="auto"/>
                        <w:bottom w:val="none" w:sz="0" w:space="0" w:color="auto"/>
                        <w:right w:val="none" w:sz="0" w:space="0" w:color="auto"/>
                      </w:divBdr>
                      <w:divsChild>
                        <w:div w:id="162399052">
                          <w:marLeft w:val="0"/>
                          <w:marRight w:val="0"/>
                          <w:marTop w:val="0"/>
                          <w:marBottom w:val="0"/>
                          <w:divBdr>
                            <w:top w:val="none" w:sz="0" w:space="0" w:color="auto"/>
                            <w:left w:val="none" w:sz="0" w:space="0" w:color="auto"/>
                            <w:bottom w:val="none" w:sz="0" w:space="0" w:color="auto"/>
                            <w:right w:val="none" w:sz="0" w:space="0" w:color="auto"/>
                          </w:divBdr>
                          <w:divsChild>
                            <w:div w:id="840658328">
                              <w:marLeft w:val="0"/>
                              <w:marRight w:val="0"/>
                              <w:marTop w:val="0"/>
                              <w:marBottom w:val="0"/>
                              <w:divBdr>
                                <w:top w:val="none" w:sz="0" w:space="0" w:color="auto"/>
                                <w:left w:val="none" w:sz="0" w:space="0" w:color="auto"/>
                                <w:bottom w:val="none" w:sz="0" w:space="0" w:color="auto"/>
                                <w:right w:val="none" w:sz="0" w:space="0" w:color="auto"/>
                              </w:divBdr>
                              <w:divsChild>
                                <w:div w:id="1296569090">
                                  <w:marLeft w:val="0"/>
                                  <w:marRight w:val="0"/>
                                  <w:marTop w:val="0"/>
                                  <w:marBottom w:val="0"/>
                                  <w:divBdr>
                                    <w:top w:val="none" w:sz="0" w:space="0" w:color="auto"/>
                                    <w:left w:val="none" w:sz="0" w:space="0" w:color="auto"/>
                                    <w:bottom w:val="none" w:sz="0" w:space="0" w:color="auto"/>
                                    <w:right w:val="none" w:sz="0" w:space="0" w:color="auto"/>
                                  </w:divBdr>
                                  <w:divsChild>
                                    <w:div w:id="703484545">
                                      <w:marLeft w:val="0"/>
                                      <w:marRight w:val="0"/>
                                      <w:marTop w:val="0"/>
                                      <w:marBottom w:val="0"/>
                                      <w:divBdr>
                                        <w:top w:val="none" w:sz="0" w:space="0" w:color="auto"/>
                                        <w:left w:val="none" w:sz="0" w:space="0" w:color="auto"/>
                                        <w:bottom w:val="none" w:sz="0" w:space="0" w:color="auto"/>
                                        <w:right w:val="none" w:sz="0" w:space="0" w:color="auto"/>
                                      </w:divBdr>
                                      <w:divsChild>
                                        <w:div w:id="13307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885966">
      <w:bodyDiv w:val="1"/>
      <w:marLeft w:val="0"/>
      <w:marRight w:val="0"/>
      <w:marTop w:val="0"/>
      <w:marBottom w:val="0"/>
      <w:divBdr>
        <w:top w:val="none" w:sz="0" w:space="0" w:color="auto"/>
        <w:left w:val="none" w:sz="0" w:space="0" w:color="auto"/>
        <w:bottom w:val="none" w:sz="0" w:space="0" w:color="auto"/>
        <w:right w:val="none" w:sz="0" w:space="0" w:color="auto"/>
      </w:divBdr>
    </w:div>
    <w:div w:id="597712583">
      <w:bodyDiv w:val="1"/>
      <w:marLeft w:val="0"/>
      <w:marRight w:val="0"/>
      <w:marTop w:val="0"/>
      <w:marBottom w:val="0"/>
      <w:divBdr>
        <w:top w:val="none" w:sz="0" w:space="0" w:color="auto"/>
        <w:left w:val="none" w:sz="0" w:space="0" w:color="auto"/>
        <w:bottom w:val="none" w:sz="0" w:space="0" w:color="auto"/>
        <w:right w:val="none" w:sz="0" w:space="0" w:color="auto"/>
      </w:divBdr>
      <w:divsChild>
        <w:div w:id="1364288697">
          <w:marLeft w:val="0"/>
          <w:marRight w:val="0"/>
          <w:marTop w:val="0"/>
          <w:marBottom w:val="0"/>
          <w:divBdr>
            <w:top w:val="none" w:sz="0" w:space="0" w:color="auto"/>
            <w:left w:val="none" w:sz="0" w:space="0" w:color="auto"/>
            <w:bottom w:val="none" w:sz="0" w:space="0" w:color="auto"/>
            <w:right w:val="none" w:sz="0" w:space="0" w:color="auto"/>
          </w:divBdr>
          <w:divsChild>
            <w:div w:id="1910652661">
              <w:marLeft w:val="0"/>
              <w:marRight w:val="0"/>
              <w:marTop w:val="0"/>
              <w:marBottom w:val="0"/>
              <w:divBdr>
                <w:top w:val="none" w:sz="0" w:space="0" w:color="auto"/>
                <w:left w:val="none" w:sz="0" w:space="0" w:color="auto"/>
                <w:bottom w:val="none" w:sz="0" w:space="0" w:color="auto"/>
                <w:right w:val="none" w:sz="0" w:space="0" w:color="auto"/>
              </w:divBdr>
              <w:divsChild>
                <w:div w:id="1018003264">
                  <w:marLeft w:val="0"/>
                  <w:marRight w:val="0"/>
                  <w:marTop w:val="0"/>
                  <w:marBottom w:val="0"/>
                  <w:divBdr>
                    <w:top w:val="none" w:sz="0" w:space="0" w:color="auto"/>
                    <w:left w:val="none" w:sz="0" w:space="0" w:color="auto"/>
                    <w:bottom w:val="none" w:sz="0" w:space="0" w:color="auto"/>
                    <w:right w:val="none" w:sz="0" w:space="0" w:color="auto"/>
                  </w:divBdr>
                  <w:divsChild>
                    <w:div w:id="1001009934">
                      <w:marLeft w:val="0"/>
                      <w:marRight w:val="0"/>
                      <w:marTop w:val="0"/>
                      <w:marBottom w:val="0"/>
                      <w:divBdr>
                        <w:top w:val="none" w:sz="0" w:space="0" w:color="auto"/>
                        <w:left w:val="none" w:sz="0" w:space="0" w:color="auto"/>
                        <w:bottom w:val="none" w:sz="0" w:space="0" w:color="auto"/>
                        <w:right w:val="none" w:sz="0" w:space="0" w:color="auto"/>
                      </w:divBdr>
                      <w:divsChild>
                        <w:div w:id="1358578397">
                          <w:marLeft w:val="0"/>
                          <w:marRight w:val="0"/>
                          <w:marTop w:val="0"/>
                          <w:marBottom w:val="0"/>
                          <w:divBdr>
                            <w:top w:val="none" w:sz="0" w:space="0" w:color="auto"/>
                            <w:left w:val="none" w:sz="0" w:space="0" w:color="auto"/>
                            <w:bottom w:val="none" w:sz="0" w:space="0" w:color="auto"/>
                            <w:right w:val="none" w:sz="0" w:space="0" w:color="auto"/>
                          </w:divBdr>
                          <w:divsChild>
                            <w:div w:id="1440685006">
                              <w:marLeft w:val="0"/>
                              <w:marRight w:val="0"/>
                              <w:marTop w:val="0"/>
                              <w:marBottom w:val="0"/>
                              <w:divBdr>
                                <w:top w:val="none" w:sz="0" w:space="0" w:color="auto"/>
                                <w:left w:val="none" w:sz="0" w:space="0" w:color="auto"/>
                                <w:bottom w:val="none" w:sz="0" w:space="0" w:color="auto"/>
                                <w:right w:val="none" w:sz="0" w:space="0" w:color="auto"/>
                              </w:divBdr>
                              <w:divsChild>
                                <w:div w:id="1692998950">
                                  <w:marLeft w:val="0"/>
                                  <w:marRight w:val="0"/>
                                  <w:marTop w:val="0"/>
                                  <w:marBottom w:val="0"/>
                                  <w:divBdr>
                                    <w:top w:val="none" w:sz="0" w:space="0" w:color="auto"/>
                                    <w:left w:val="none" w:sz="0" w:space="0" w:color="auto"/>
                                    <w:bottom w:val="none" w:sz="0" w:space="0" w:color="auto"/>
                                    <w:right w:val="none" w:sz="0" w:space="0" w:color="auto"/>
                                  </w:divBdr>
                                  <w:divsChild>
                                    <w:div w:id="885990512">
                                      <w:marLeft w:val="0"/>
                                      <w:marRight w:val="0"/>
                                      <w:marTop w:val="0"/>
                                      <w:marBottom w:val="0"/>
                                      <w:divBdr>
                                        <w:top w:val="none" w:sz="0" w:space="0" w:color="auto"/>
                                        <w:left w:val="none" w:sz="0" w:space="0" w:color="auto"/>
                                        <w:bottom w:val="none" w:sz="0" w:space="0" w:color="auto"/>
                                        <w:right w:val="none" w:sz="0" w:space="0" w:color="auto"/>
                                      </w:divBdr>
                                      <w:divsChild>
                                        <w:div w:id="1101141208">
                                          <w:marLeft w:val="0"/>
                                          <w:marRight w:val="0"/>
                                          <w:marTop w:val="0"/>
                                          <w:marBottom w:val="0"/>
                                          <w:divBdr>
                                            <w:top w:val="none" w:sz="0" w:space="0" w:color="auto"/>
                                            <w:left w:val="none" w:sz="0" w:space="0" w:color="auto"/>
                                            <w:bottom w:val="none" w:sz="0" w:space="0" w:color="auto"/>
                                            <w:right w:val="none" w:sz="0" w:space="0" w:color="auto"/>
                                          </w:divBdr>
                                          <w:divsChild>
                                            <w:div w:id="17689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78036">
      <w:bodyDiv w:val="1"/>
      <w:marLeft w:val="0"/>
      <w:marRight w:val="0"/>
      <w:marTop w:val="0"/>
      <w:marBottom w:val="0"/>
      <w:divBdr>
        <w:top w:val="none" w:sz="0" w:space="0" w:color="auto"/>
        <w:left w:val="none" w:sz="0" w:space="0" w:color="auto"/>
        <w:bottom w:val="none" w:sz="0" w:space="0" w:color="auto"/>
        <w:right w:val="none" w:sz="0" w:space="0" w:color="auto"/>
      </w:divBdr>
    </w:div>
    <w:div w:id="792216644">
      <w:bodyDiv w:val="1"/>
      <w:marLeft w:val="0"/>
      <w:marRight w:val="0"/>
      <w:marTop w:val="0"/>
      <w:marBottom w:val="0"/>
      <w:divBdr>
        <w:top w:val="none" w:sz="0" w:space="0" w:color="auto"/>
        <w:left w:val="none" w:sz="0" w:space="0" w:color="auto"/>
        <w:bottom w:val="none" w:sz="0" w:space="0" w:color="auto"/>
        <w:right w:val="none" w:sz="0" w:space="0" w:color="auto"/>
      </w:divBdr>
    </w:div>
    <w:div w:id="956250980">
      <w:bodyDiv w:val="1"/>
      <w:marLeft w:val="0"/>
      <w:marRight w:val="0"/>
      <w:marTop w:val="0"/>
      <w:marBottom w:val="0"/>
      <w:divBdr>
        <w:top w:val="none" w:sz="0" w:space="0" w:color="auto"/>
        <w:left w:val="none" w:sz="0" w:space="0" w:color="auto"/>
        <w:bottom w:val="none" w:sz="0" w:space="0" w:color="auto"/>
        <w:right w:val="none" w:sz="0" w:space="0" w:color="auto"/>
      </w:divBdr>
      <w:divsChild>
        <w:div w:id="22095823">
          <w:marLeft w:val="0"/>
          <w:marRight w:val="0"/>
          <w:marTop w:val="0"/>
          <w:marBottom w:val="0"/>
          <w:divBdr>
            <w:top w:val="none" w:sz="0" w:space="0" w:color="auto"/>
            <w:left w:val="none" w:sz="0" w:space="0" w:color="auto"/>
            <w:bottom w:val="none" w:sz="0" w:space="0" w:color="auto"/>
            <w:right w:val="none" w:sz="0" w:space="0" w:color="auto"/>
          </w:divBdr>
        </w:div>
        <w:div w:id="833184666">
          <w:marLeft w:val="0"/>
          <w:marRight w:val="0"/>
          <w:marTop w:val="0"/>
          <w:marBottom w:val="0"/>
          <w:divBdr>
            <w:top w:val="none" w:sz="0" w:space="0" w:color="auto"/>
            <w:left w:val="none" w:sz="0" w:space="0" w:color="auto"/>
            <w:bottom w:val="none" w:sz="0" w:space="0" w:color="auto"/>
            <w:right w:val="none" w:sz="0" w:space="0" w:color="auto"/>
          </w:divBdr>
        </w:div>
        <w:div w:id="1101687136">
          <w:marLeft w:val="0"/>
          <w:marRight w:val="0"/>
          <w:marTop w:val="0"/>
          <w:marBottom w:val="0"/>
          <w:divBdr>
            <w:top w:val="none" w:sz="0" w:space="0" w:color="auto"/>
            <w:left w:val="none" w:sz="0" w:space="0" w:color="auto"/>
            <w:bottom w:val="none" w:sz="0" w:space="0" w:color="auto"/>
            <w:right w:val="none" w:sz="0" w:space="0" w:color="auto"/>
          </w:divBdr>
        </w:div>
        <w:div w:id="1282809501">
          <w:marLeft w:val="0"/>
          <w:marRight w:val="0"/>
          <w:marTop w:val="0"/>
          <w:marBottom w:val="0"/>
          <w:divBdr>
            <w:top w:val="none" w:sz="0" w:space="0" w:color="auto"/>
            <w:left w:val="none" w:sz="0" w:space="0" w:color="auto"/>
            <w:bottom w:val="none" w:sz="0" w:space="0" w:color="auto"/>
            <w:right w:val="none" w:sz="0" w:space="0" w:color="auto"/>
          </w:divBdr>
        </w:div>
        <w:div w:id="1791851057">
          <w:marLeft w:val="0"/>
          <w:marRight w:val="0"/>
          <w:marTop w:val="0"/>
          <w:marBottom w:val="0"/>
          <w:divBdr>
            <w:top w:val="none" w:sz="0" w:space="0" w:color="auto"/>
            <w:left w:val="none" w:sz="0" w:space="0" w:color="auto"/>
            <w:bottom w:val="none" w:sz="0" w:space="0" w:color="auto"/>
            <w:right w:val="none" w:sz="0" w:space="0" w:color="auto"/>
          </w:divBdr>
        </w:div>
      </w:divsChild>
    </w:div>
    <w:div w:id="1157040560">
      <w:bodyDiv w:val="1"/>
      <w:marLeft w:val="0"/>
      <w:marRight w:val="0"/>
      <w:marTop w:val="0"/>
      <w:marBottom w:val="0"/>
      <w:divBdr>
        <w:top w:val="none" w:sz="0" w:space="0" w:color="auto"/>
        <w:left w:val="none" w:sz="0" w:space="0" w:color="auto"/>
        <w:bottom w:val="none" w:sz="0" w:space="0" w:color="auto"/>
        <w:right w:val="none" w:sz="0" w:space="0" w:color="auto"/>
      </w:divBdr>
    </w:div>
    <w:div w:id="1631859950">
      <w:bodyDiv w:val="1"/>
      <w:marLeft w:val="0"/>
      <w:marRight w:val="0"/>
      <w:marTop w:val="0"/>
      <w:marBottom w:val="0"/>
      <w:divBdr>
        <w:top w:val="none" w:sz="0" w:space="0" w:color="auto"/>
        <w:left w:val="none" w:sz="0" w:space="0" w:color="auto"/>
        <w:bottom w:val="none" w:sz="0" w:space="0" w:color="auto"/>
        <w:right w:val="none" w:sz="0" w:space="0" w:color="auto"/>
      </w:divBdr>
      <w:divsChild>
        <w:div w:id="1157529214">
          <w:marLeft w:val="0"/>
          <w:marRight w:val="0"/>
          <w:marTop w:val="0"/>
          <w:marBottom w:val="0"/>
          <w:divBdr>
            <w:top w:val="none" w:sz="0" w:space="0" w:color="auto"/>
            <w:left w:val="none" w:sz="0" w:space="0" w:color="auto"/>
            <w:bottom w:val="none" w:sz="0" w:space="0" w:color="auto"/>
            <w:right w:val="none" w:sz="0" w:space="0" w:color="auto"/>
          </w:divBdr>
          <w:divsChild>
            <w:div w:id="931664328">
              <w:marLeft w:val="0"/>
              <w:marRight w:val="0"/>
              <w:marTop w:val="100"/>
              <w:marBottom w:val="100"/>
              <w:divBdr>
                <w:top w:val="none" w:sz="0" w:space="0" w:color="auto"/>
                <w:left w:val="none" w:sz="0" w:space="0" w:color="auto"/>
                <w:bottom w:val="none" w:sz="0" w:space="0" w:color="auto"/>
                <w:right w:val="none" w:sz="0" w:space="0" w:color="auto"/>
              </w:divBdr>
              <w:divsChild>
                <w:div w:id="1928004489">
                  <w:marLeft w:val="0"/>
                  <w:marRight w:val="0"/>
                  <w:marTop w:val="0"/>
                  <w:marBottom w:val="0"/>
                  <w:divBdr>
                    <w:top w:val="none" w:sz="0" w:space="0" w:color="auto"/>
                    <w:left w:val="none" w:sz="0" w:space="0" w:color="auto"/>
                    <w:bottom w:val="none" w:sz="0" w:space="0" w:color="auto"/>
                    <w:right w:val="none" w:sz="0" w:space="0" w:color="auto"/>
                  </w:divBdr>
                  <w:divsChild>
                    <w:div w:id="1991901677">
                      <w:marLeft w:val="0"/>
                      <w:marRight w:val="0"/>
                      <w:marTop w:val="0"/>
                      <w:marBottom w:val="0"/>
                      <w:divBdr>
                        <w:top w:val="none" w:sz="0" w:space="0" w:color="auto"/>
                        <w:left w:val="none" w:sz="0" w:space="0" w:color="auto"/>
                        <w:bottom w:val="none" w:sz="0" w:space="0" w:color="auto"/>
                        <w:right w:val="none" w:sz="0" w:space="0" w:color="auto"/>
                      </w:divBdr>
                      <w:divsChild>
                        <w:div w:id="1272467334">
                          <w:marLeft w:val="0"/>
                          <w:marRight w:val="0"/>
                          <w:marTop w:val="0"/>
                          <w:marBottom w:val="0"/>
                          <w:divBdr>
                            <w:top w:val="none" w:sz="0" w:space="0" w:color="auto"/>
                            <w:left w:val="none" w:sz="0" w:space="0" w:color="auto"/>
                            <w:bottom w:val="none" w:sz="0" w:space="0" w:color="auto"/>
                            <w:right w:val="none" w:sz="0" w:space="0" w:color="auto"/>
                          </w:divBdr>
                          <w:divsChild>
                            <w:div w:id="349263973">
                              <w:marLeft w:val="0"/>
                              <w:marRight w:val="0"/>
                              <w:marTop w:val="0"/>
                              <w:marBottom w:val="0"/>
                              <w:divBdr>
                                <w:top w:val="none" w:sz="0" w:space="0" w:color="auto"/>
                                <w:left w:val="none" w:sz="0" w:space="0" w:color="auto"/>
                                <w:bottom w:val="none" w:sz="0" w:space="0" w:color="auto"/>
                                <w:right w:val="none" w:sz="0" w:space="0" w:color="auto"/>
                              </w:divBdr>
                              <w:divsChild>
                                <w:div w:id="1365400606">
                                  <w:marLeft w:val="0"/>
                                  <w:marRight w:val="0"/>
                                  <w:marTop w:val="0"/>
                                  <w:marBottom w:val="0"/>
                                  <w:divBdr>
                                    <w:top w:val="none" w:sz="0" w:space="0" w:color="auto"/>
                                    <w:left w:val="none" w:sz="0" w:space="0" w:color="auto"/>
                                    <w:bottom w:val="none" w:sz="0" w:space="0" w:color="auto"/>
                                    <w:right w:val="none" w:sz="0" w:space="0" w:color="auto"/>
                                  </w:divBdr>
                                  <w:divsChild>
                                    <w:div w:id="283464949">
                                      <w:marLeft w:val="0"/>
                                      <w:marRight w:val="0"/>
                                      <w:marTop w:val="0"/>
                                      <w:marBottom w:val="0"/>
                                      <w:divBdr>
                                        <w:top w:val="none" w:sz="0" w:space="0" w:color="auto"/>
                                        <w:left w:val="none" w:sz="0" w:space="0" w:color="auto"/>
                                        <w:bottom w:val="none" w:sz="0" w:space="0" w:color="auto"/>
                                        <w:right w:val="none" w:sz="0" w:space="0" w:color="auto"/>
                                      </w:divBdr>
                                      <w:divsChild>
                                        <w:div w:id="11606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804928">
      <w:bodyDiv w:val="1"/>
      <w:marLeft w:val="0"/>
      <w:marRight w:val="0"/>
      <w:marTop w:val="0"/>
      <w:marBottom w:val="0"/>
      <w:divBdr>
        <w:top w:val="none" w:sz="0" w:space="0" w:color="auto"/>
        <w:left w:val="none" w:sz="0" w:space="0" w:color="auto"/>
        <w:bottom w:val="none" w:sz="0" w:space="0" w:color="auto"/>
        <w:right w:val="none" w:sz="0" w:space="0" w:color="auto"/>
      </w:divBdr>
      <w:divsChild>
        <w:div w:id="1289125753">
          <w:marLeft w:val="0"/>
          <w:marRight w:val="0"/>
          <w:marTop w:val="0"/>
          <w:marBottom w:val="0"/>
          <w:divBdr>
            <w:top w:val="none" w:sz="0" w:space="0" w:color="auto"/>
            <w:left w:val="none" w:sz="0" w:space="0" w:color="auto"/>
            <w:bottom w:val="none" w:sz="0" w:space="0" w:color="auto"/>
            <w:right w:val="none" w:sz="0" w:space="0" w:color="auto"/>
          </w:divBdr>
          <w:divsChild>
            <w:div w:id="725110124">
              <w:marLeft w:val="0"/>
              <w:marRight w:val="0"/>
              <w:marTop w:val="100"/>
              <w:marBottom w:val="100"/>
              <w:divBdr>
                <w:top w:val="none" w:sz="0" w:space="0" w:color="auto"/>
                <w:left w:val="none" w:sz="0" w:space="0" w:color="auto"/>
                <w:bottom w:val="none" w:sz="0" w:space="0" w:color="auto"/>
                <w:right w:val="none" w:sz="0" w:space="0" w:color="auto"/>
              </w:divBdr>
              <w:divsChild>
                <w:div w:id="618419877">
                  <w:marLeft w:val="0"/>
                  <w:marRight w:val="0"/>
                  <w:marTop w:val="0"/>
                  <w:marBottom w:val="0"/>
                  <w:divBdr>
                    <w:top w:val="none" w:sz="0" w:space="0" w:color="auto"/>
                    <w:left w:val="none" w:sz="0" w:space="0" w:color="auto"/>
                    <w:bottom w:val="none" w:sz="0" w:space="0" w:color="auto"/>
                    <w:right w:val="none" w:sz="0" w:space="0" w:color="auto"/>
                  </w:divBdr>
                  <w:divsChild>
                    <w:div w:id="1250120591">
                      <w:marLeft w:val="0"/>
                      <w:marRight w:val="0"/>
                      <w:marTop w:val="0"/>
                      <w:marBottom w:val="0"/>
                      <w:divBdr>
                        <w:top w:val="none" w:sz="0" w:space="0" w:color="auto"/>
                        <w:left w:val="none" w:sz="0" w:space="0" w:color="auto"/>
                        <w:bottom w:val="none" w:sz="0" w:space="0" w:color="auto"/>
                        <w:right w:val="none" w:sz="0" w:space="0" w:color="auto"/>
                      </w:divBdr>
                      <w:divsChild>
                        <w:div w:id="260838864">
                          <w:marLeft w:val="0"/>
                          <w:marRight w:val="0"/>
                          <w:marTop w:val="0"/>
                          <w:marBottom w:val="0"/>
                          <w:divBdr>
                            <w:top w:val="none" w:sz="0" w:space="0" w:color="auto"/>
                            <w:left w:val="none" w:sz="0" w:space="0" w:color="auto"/>
                            <w:bottom w:val="none" w:sz="0" w:space="0" w:color="auto"/>
                            <w:right w:val="none" w:sz="0" w:space="0" w:color="auto"/>
                          </w:divBdr>
                          <w:divsChild>
                            <w:div w:id="1925841263">
                              <w:marLeft w:val="0"/>
                              <w:marRight w:val="0"/>
                              <w:marTop w:val="0"/>
                              <w:marBottom w:val="0"/>
                              <w:divBdr>
                                <w:top w:val="none" w:sz="0" w:space="0" w:color="auto"/>
                                <w:left w:val="none" w:sz="0" w:space="0" w:color="auto"/>
                                <w:bottom w:val="none" w:sz="0" w:space="0" w:color="auto"/>
                                <w:right w:val="none" w:sz="0" w:space="0" w:color="auto"/>
                              </w:divBdr>
                              <w:divsChild>
                                <w:div w:id="94832333">
                                  <w:marLeft w:val="0"/>
                                  <w:marRight w:val="0"/>
                                  <w:marTop w:val="0"/>
                                  <w:marBottom w:val="0"/>
                                  <w:divBdr>
                                    <w:top w:val="none" w:sz="0" w:space="0" w:color="auto"/>
                                    <w:left w:val="none" w:sz="0" w:space="0" w:color="auto"/>
                                    <w:bottom w:val="none" w:sz="0" w:space="0" w:color="auto"/>
                                    <w:right w:val="none" w:sz="0" w:space="0" w:color="auto"/>
                                  </w:divBdr>
                                  <w:divsChild>
                                    <w:div w:id="1534344290">
                                      <w:marLeft w:val="0"/>
                                      <w:marRight w:val="0"/>
                                      <w:marTop w:val="0"/>
                                      <w:marBottom w:val="0"/>
                                      <w:divBdr>
                                        <w:top w:val="none" w:sz="0" w:space="0" w:color="auto"/>
                                        <w:left w:val="none" w:sz="0" w:space="0" w:color="auto"/>
                                        <w:bottom w:val="none" w:sz="0" w:space="0" w:color="auto"/>
                                        <w:right w:val="none" w:sz="0" w:space="0" w:color="auto"/>
                                      </w:divBdr>
                                      <w:divsChild>
                                        <w:div w:id="14724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983052">
      <w:bodyDiv w:val="1"/>
      <w:marLeft w:val="0"/>
      <w:marRight w:val="0"/>
      <w:marTop w:val="0"/>
      <w:marBottom w:val="0"/>
      <w:divBdr>
        <w:top w:val="none" w:sz="0" w:space="0" w:color="auto"/>
        <w:left w:val="none" w:sz="0" w:space="0" w:color="auto"/>
        <w:bottom w:val="none" w:sz="0" w:space="0" w:color="auto"/>
        <w:right w:val="none" w:sz="0" w:space="0" w:color="auto"/>
      </w:divBdr>
    </w:div>
    <w:div w:id="1788697509">
      <w:bodyDiv w:val="1"/>
      <w:marLeft w:val="0"/>
      <w:marRight w:val="0"/>
      <w:marTop w:val="0"/>
      <w:marBottom w:val="0"/>
      <w:divBdr>
        <w:top w:val="none" w:sz="0" w:space="0" w:color="auto"/>
        <w:left w:val="none" w:sz="0" w:space="0" w:color="auto"/>
        <w:bottom w:val="none" w:sz="0" w:space="0" w:color="auto"/>
        <w:right w:val="none" w:sz="0" w:space="0" w:color="auto"/>
      </w:divBdr>
    </w:div>
    <w:div w:id="1795832733">
      <w:bodyDiv w:val="1"/>
      <w:marLeft w:val="0"/>
      <w:marRight w:val="0"/>
      <w:marTop w:val="0"/>
      <w:marBottom w:val="0"/>
      <w:divBdr>
        <w:top w:val="none" w:sz="0" w:space="0" w:color="auto"/>
        <w:left w:val="none" w:sz="0" w:space="0" w:color="auto"/>
        <w:bottom w:val="none" w:sz="0" w:space="0" w:color="auto"/>
        <w:right w:val="none" w:sz="0" w:space="0" w:color="auto"/>
      </w:divBdr>
      <w:divsChild>
        <w:div w:id="1386559935">
          <w:marLeft w:val="0"/>
          <w:marRight w:val="0"/>
          <w:marTop w:val="0"/>
          <w:marBottom w:val="0"/>
          <w:divBdr>
            <w:top w:val="none" w:sz="0" w:space="0" w:color="auto"/>
            <w:left w:val="none" w:sz="0" w:space="0" w:color="auto"/>
            <w:bottom w:val="none" w:sz="0" w:space="0" w:color="auto"/>
            <w:right w:val="none" w:sz="0" w:space="0" w:color="auto"/>
          </w:divBdr>
          <w:divsChild>
            <w:div w:id="1068452915">
              <w:marLeft w:val="0"/>
              <w:marRight w:val="0"/>
              <w:marTop w:val="100"/>
              <w:marBottom w:val="100"/>
              <w:divBdr>
                <w:top w:val="none" w:sz="0" w:space="0" w:color="auto"/>
                <w:left w:val="none" w:sz="0" w:space="0" w:color="auto"/>
                <w:bottom w:val="none" w:sz="0" w:space="0" w:color="auto"/>
                <w:right w:val="none" w:sz="0" w:space="0" w:color="auto"/>
              </w:divBdr>
              <w:divsChild>
                <w:div w:id="1651860275">
                  <w:marLeft w:val="0"/>
                  <w:marRight w:val="0"/>
                  <w:marTop w:val="0"/>
                  <w:marBottom w:val="0"/>
                  <w:divBdr>
                    <w:top w:val="none" w:sz="0" w:space="0" w:color="auto"/>
                    <w:left w:val="none" w:sz="0" w:space="0" w:color="auto"/>
                    <w:bottom w:val="none" w:sz="0" w:space="0" w:color="auto"/>
                    <w:right w:val="none" w:sz="0" w:space="0" w:color="auto"/>
                  </w:divBdr>
                  <w:divsChild>
                    <w:div w:id="128089226">
                      <w:marLeft w:val="0"/>
                      <w:marRight w:val="0"/>
                      <w:marTop w:val="0"/>
                      <w:marBottom w:val="0"/>
                      <w:divBdr>
                        <w:top w:val="none" w:sz="0" w:space="0" w:color="auto"/>
                        <w:left w:val="none" w:sz="0" w:space="0" w:color="auto"/>
                        <w:bottom w:val="none" w:sz="0" w:space="0" w:color="auto"/>
                        <w:right w:val="none" w:sz="0" w:space="0" w:color="auto"/>
                      </w:divBdr>
                      <w:divsChild>
                        <w:div w:id="179121696">
                          <w:marLeft w:val="0"/>
                          <w:marRight w:val="0"/>
                          <w:marTop w:val="0"/>
                          <w:marBottom w:val="0"/>
                          <w:divBdr>
                            <w:top w:val="none" w:sz="0" w:space="0" w:color="auto"/>
                            <w:left w:val="none" w:sz="0" w:space="0" w:color="auto"/>
                            <w:bottom w:val="none" w:sz="0" w:space="0" w:color="auto"/>
                            <w:right w:val="none" w:sz="0" w:space="0" w:color="auto"/>
                          </w:divBdr>
                          <w:divsChild>
                            <w:div w:id="1374381213">
                              <w:marLeft w:val="0"/>
                              <w:marRight w:val="0"/>
                              <w:marTop w:val="0"/>
                              <w:marBottom w:val="0"/>
                              <w:divBdr>
                                <w:top w:val="none" w:sz="0" w:space="0" w:color="auto"/>
                                <w:left w:val="none" w:sz="0" w:space="0" w:color="auto"/>
                                <w:bottom w:val="none" w:sz="0" w:space="0" w:color="auto"/>
                                <w:right w:val="none" w:sz="0" w:space="0" w:color="auto"/>
                              </w:divBdr>
                              <w:divsChild>
                                <w:div w:id="278415240">
                                  <w:marLeft w:val="0"/>
                                  <w:marRight w:val="0"/>
                                  <w:marTop w:val="0"/>
                                  <w:marBottom w:val="0"/>
                                  <w:divBdr>
                                    <w:top w:val="none" w:sz="0" w:space="0" w:color="auto"/>
                                    <w:left w:val="none" w:sz="0" w:space="0" w:color="auto"/>
                                    <w:bottom w:val="none" w:sz="0" w:space="0" w:color="auto"/>
                                    <w:right w:val="none" w:sz="0" w:space="0" w:color="auto"/>
                                  </w:divBdr>
                                  <w:divsChild>
                                    <w:div w:id="1420099911">
                                      <w:marLeft w:val="0"/>
                                      <w:marRight w:val="0"/>
                                      <w:marTop w:val="0"/>
                                      <w:marBottom w:val="0"/>
                                      <w:divBdr>
                                        <w:top w:val="none" w:sz="0" w:space="0" w:color="auto"/>
                                        <w:left w:val="none" w:sz="0" w:space="0" w:color="auto"/>
                                        <w:bottom w:val="none" w:sz="0" w:space="0" w:color="auto"/>
                                        <w:right w:val="none" w:sz="0" w:space="0" w:color="auto"/>
                                      </w:divBdr>
                                      <w:divsChild>
                                        <w:div w:id="20810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602775">
      <w:bodyDiv w:val="1"/>
      <w:marLeft w:val="0"/>
      <w:marRight w:val="0"/>
      <w:marTop w:val="0"/>
      <w:marBottom w:val="0"/>
      <w:divBdr>
        <w:top w:val="none" w:sz="0" w:space="0" w:color="auto"/>
        <w:left w:val="none" w:sz="0" w:space="0" w:color="auto"/>
        <w:bottom w:val="none" w:sz="0" w:space="0" w:color="auto"/>
        <w:right w:val="none" w:sz="0" w:space="0" w:color="auto"/>
      </w:divBdr>
      <w:divsChild>
        <w:div w:id="769009480">
          <w:marLeft w:val="0"/>
          <w:marRight w:val="0"/>
          <w:marTop w:val="0"/>
          <w:marBottom w:val="0"/>
          <w:divBdr>
            <w:top w:val="none" w:sz="0" w:space="0" w:color="auto"/>
            <w:left w:val="none" w:sz="0" w:space="0" w:color="auto"/>
            <w:bottom w:val="none" w:sz="0" w:space="0" w:color="auto"/>
            <w:right w:val="none" w:sz="0" w:space="0" w:color="auto"/>
          </w:divBdr>
          <w:divsChild>
            <w:div w:id="1234193815">
              <w:marLeft w:val="0"/>
              <w:marRight w:val="0"/>
              <w:marTop w:val="100"/>
              <w:marBottom w:val="100"/>
              <w:divBdr>
                <w:top w:val="none" w:sz="0" w:space="0" w:color="auto"/>
                <w:left w:val="none" w:sz="0" w:space="0" w:color="auto"/>
                <w:bottom w:val="none" w:sz="0" w:space="0" w:color="auto"/>
                <w:right w:val="none" w:sz="0" w:space="0" w:color="auto"/>
              </w:divBdr>
              <w:divsChild>
                <w:div w:id="1518928284">
                  <w:marLeft w:val="0"/>
                  <w:marRight w:val="0"/>
                  <w:marTop w:val="0"/>
                  <w:marBottom w:val="0"/>
                  <w:divBdr>
                    <w:top w:val="none" w:sz="0" w:space="0" w:color="auto"/>
                    <w:left w:val="none" w:sz="0" w:space="0" w:color="auto"/>
                    <w:bottom w:val="none" w:sz="0" w:space="0" w:color="auto"/>
                    <w:right w:val="none" w:sz="0" w:space="0" w:color="auto"/>
                  </w:divBdr>
                  <w:divsChild>
                    <w:div w:id="2102749060">
                      <w:marLeft w:val="0"/>
                      <w:marRight w:val="0"/>
                      <w:marTop w:val="0"/>
                      <w:marBottom w:val="0"/>
                      <w:divBdr>
                        <w:top w:val="none" w:sz="0" w:space="0" w:color="auto"/>
                        <w:left w:val="none" w:sz="0" w:space="0" w:color="auto"/>
                        <w:bottom w:val="none" w:sz="0" w:space="0" w:color="auto"/>
                        <w:right w:val="none" w:sz="0" w:space="0" w:color="auto"/>
                      </w:divBdr>
                      <w:divsChild>
                        <w:div w:id="74673146">
                          <w:marLeft w:val="0"/>
                          <w:marRight w:val="0"/>
                          <w:marTop w:val="0"/>
                          <w:marBottom w:val="0"/>
                          <w:divBdr>
                            <w:top w:val="none" w:sz="0" w:space="0" w:color="auto"/>
                            <w:left w:val="none" w:sz="0" w:space="0" w:color="auto"/>
                            <w:bottom w:val="none" w:sz="0" w:space="0" w:color="auto"/>
                            <w:right w:val="none" w:sz="0" w:space="0" w:color="auto"/>
                          </w:divBdr>
                          <w:divsChild>
                            <w:div w:id="515071466">
                              <w:marLeft w:val="0"/>
                              <w:marRight w:val="0"/>
                              <w:marTop w:val="0"/>
                              <w:marBottom w:val="0"/>
                              <w:divBdr>
                                <w:top w:val="none" w:sz="0" w:space="0" w:color="auto"/>
                                <w:left w:val="none" w:sz="0" w:space="0" w:color="auto"/>
                                <w:bottom w:val="none" w:sz="0" w:space="0" w:color="auto"/>
                                <w:right w:val="none" w:sz="0" w:space="0" w:color="auto"/>
                              </w:divBdr>
                              <w:divsChild>
                                <w:div w:id="456067774">
                                  <w:marLeft w:val="0"/>
                                  <w:marRight w:val="0"/>
                                  <w:marTop w:val="0"/>
                                  <w:marBottom w:val="0"/>
                                  <w:divBdr>
                                    <w:top w:val="none" w:sz="0" w:space="0" w:color="auto"/>
                                    <w:left w:val="none" w:sz="0" w:space="0" w:color="auto"/>
                                    <w:bottom w:val="none" w:sz="0" w:space="0" w:color="auto"/>
                                    <w:right w:val="none" w:sz="0" w:space="0" w:color="auto"/>
                                  </w:divBdr>
                                  <w:divsChild>
                                    <w:div w:id="405493083">
                                      <w:marLeft w:val="0"/>
                                      <w:marRight w:val="0"/>
                                      <w:marTop w:val="0"/>
                                      <w:marBottom w:val="0"/>
                                      <w:divBdr>
                                        <w:top w:val="none" w:sz="0" w:space="0" w:color="auto"/>
                                        <w:left w:val="none" w:sz="0" w:space="0" w:color="auto"/>
                                        <w:bottom w:val="none" w:sz="0" w:space="0" w:color="auto"/>
                                        <w:right w:val="none" w:sz="0" w:space="0" w:color="auto"/>
                                      </w:divBdr>
                                      <w:divsChild>
                                        <w:div w:id="1004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p.mnz@gov.s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isrs.si/Pis.web/pregledPredpisa?id=ZAKO4735"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radni-list.si/1/objava.jsp?sop=2011-01-031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8-01-2771" TargetMode="External"/><Relationship Id="rId3" Type="http://schemas.openxmlformats.org/officeDocument/2006/relationships/hyperlink" Target="http://www.uradni-list.si/1/objava.jsp?sop=2015-21-0377" TargetMode="External"/><Relationship Id="rId7" Type="http://schemas.openxmlformats.org/officeDocument/2006/relationships/hyperlink" Target="http://www.uradni-list.si/1/objava.jsp?sop=2016-01-2687" TargetMode="External"/><Relationship Id="rId12" Type="http://schemas.openxmlformats.org/officeDocument/2006/relationships/hyperlink" Target="mailto:gfu.izvrsbe.fu@gov.si" TargetMode="External"/><Relationship Id="rId2" Type="http://schemas.openxmlformats.org/officeDocument/2006/relationships/hyperlink" Target="http://www.uradni-list.si/1/objava.jsp?sop=2014-01-0361" TargetMode="External"/><Relationship Id="rId1" Type="http://schemas.openxmlformats.org/officeDocument/2006/relationships/hyperlink" Target="https://www.gov.si/assets/ministrstva/MF/Javno-racunovodstvo/DOKUMENTI/Navodila/Navodilo_JFP_23122016.pdf" TargetMode="External"/><Relationship Id="rId6" Type="http://schemas.openxmlformats.org/officeDocument/2006/relationships/hyperlink" Target="http://www.uradni-list.si/1/objava.jsp?sop=2016-01-1640" TargetMode="External"/><Relationship Id="rId11" Type="http://schemas.openxmlformats.org/officeDocument/2006/relationships/hyperlink" Target="http://www.uradni-list.si/1/objava.jsp?sop=2020-01-1351" TargetMode="External"/><Relationship Id="rId5" Type="http://schemas.openxmlformats.org/officeDocument/2006/relationships/hyperlink" Target="http://www.uradni-list.si/1/objava.jsp?sop=2016-01-1305" TargetMode="External"/><Relationship Id="rId10" Type="http://schemas.openxmlformats.org/officeDocument/2006/relationships/hyperlink" Target="http://www.uradni-list.si/1/objava.jsp?sop=2020-01-1089" TargetMode="External"/><Relationship Id="rId4" Type="http://schemas.openxmlformats.org/officeDocument/2006/relationships/hyperlink" Target="http://www.uradni-list.si/1/objava.jsp?sop=2016-01-1076" TargetMode="External"/><Relationship Id="rId9" Type="http://schemas.openxmlformats.org/officeDocument/2006/relationships/hyperlink" Target="http://www.uradni-list.si/1/objava.jsp?sop=2019-01-3070"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D15A234C48F1419D83B2CAD6D1B425" ma:contentTypeVersion="0" ma:contentTypeDescription="Ustvari nov dokument." ma:contentTypeScope="" ma:versionID="57e3cd60abaf3c03018640fe09549979">
  <xsd:schema xmlns:xsd="http://www.w3.org/2001/XMLSchema" xmlns:xs="http://www.w3.org/2001/XMLSchema" xmlns:p="http://schemas.microsoft.com/office/2006/metadata/properties" xmlns:ns2="45d885e1-f2d7-4ffc-80f5-e7c266c6408c" targetNamespace="http://schemas.microsoft.com/office/2006/metadata/properties" ma:root="true" ma:fieldsID="106b85407a65db458b3181becf7ea192" ns2:_="">
    <xsd:import namespace="45d885e1-f2d7-4ffc-80f5-e7c266c640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885e1-f2d7-4ffc-80f5-e7c266c6408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Obdrži ID" ma:description="Obdrži ID pri dodajanj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2B20A-44BC-44C0-9A78-1820757B38E7}">
  <ds:schemaRefs>
    <ds:schemaRef ds:uri="http://schemas.microsoft.com/sharepoint/v3/contenttype/forms"/>
  </ds:schemaRefs>
</ds:datastoreItem>
</file>

<file path=customXml/itemProps2.xml><?xml version="1.0" encoding="utf-8"?>
<ds:datastoreItem xmlns:ds="http://schemas.openxmlformats.org/officeDocument/2006/customXml" ds:itemID="{08226614-8941-47AE-AD80-EB111CF4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885e1-f2d7-4ffc-80f5-e7c266c6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C0063-DC70-4D1B-8444-13364EAFB0AD}">
  <ds:schemaRefs>
    <ds:schemaRef ds:uri="http://schemas.openxmlformats.org/officeDocument/2006/bibliography"/>
  </ds:schemaRefs>
</ds:datastoreItem>
</file>

<file path=customXml/itemProps4.xml><?xml version="1.0" encoding="utf-8"?>
<ds:datastoreItem xmlns:ds="http://schemas.openxmlformats.org/officeDocument/2006/customXml" ds:itemID="{897FEE80-0020-48E3-A8A4-37D52A9C2693}">
  <ds:schemaRefs>
    <ds:schemaRef ds:uri="http://schemas.microsoft.com/office/2006/metadata/longProperties"/>
  </ds:schemaRefs>
</ds:datastoreItem>
</file>

<file path=customXml/itemProps5.xml><?xml version="1.0" encoding="utf-8"?>
<ds:datastoreItem xmlns:ds="http://schemas.openxmlformats.org/officeDocument/2006/customXml" ds:itemID="{F9A2EBE0-4963-4076-BAC8-4D3BA38F7837}">
  <ds:schemaRefs>
    <ds:schemaRef ds:uri="http://schemas.microsoft.com/sharepoint/events"/>
  </ds:schemaRefs>
</ds:datastoreItem>
</file>

<file path=customXml/itemProps6.xml><?xml version="1.0" encoding="utf-8"?>
<ds:datastoreItem xmlns:ds="http://schemas.openxmlformats.org/officeDocument/2006/customXml" ds:itemID="{B10E9FFD-6E4D-4478-B090-09B340A2E0E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5d885e1-f2d7-4ffc-80f5-e7c266c6408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9082</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10537</CharactersWithSpaces>
  <SharedDoc>false</SharedDoc>
  <HLinks>
    <vt:vector size="96" baseType="variant">
      <vt:variant>
        <vt:i4>2162804</vt:i4>
      </vt:variant>
      <vt:variant>
        <vt:i4>6</vt:i4>
      </vt:variant>
      <vt:variant>
        <vt:i4>0</vt:i4>
      </vt:variant>
      <vt:variant>
        <vt:i4>5</vt:i4>
      </vt:variant>
      <vt:variant>
        <vt:lpwstr>http://www.pisrs.si/Pis.web/pregledPredpisa?id=ZAKO4735</vt:lpwstr>
      </vt:variant>
      <vt:variant>
        <vt:lpwstr/>
      </vt:variant>
      <vt:variant>
        <vt:i4>7798826</vt:i4>
      </vt:variant>
      <vt:variant>
        <vt:i4>3</vt:i4>
      </vt:variant>
      <vt:variant>
        <vt:i4>0</vt:i4>
      </vt:variant>
      <vt:variant>
        <vt:i4>5</vt:i4>
      </vt:variant>
      <vt:variant>
        <vt:lpwstr>http://www.uradni-list.si/1/objava.jsp?sop=2011-01-0318</vt:lpwstr>
      </vt:variant>
      <vt:variant>
        <vt:lpwstr/>
      </vt:variant>
      <vt:variant>
        <vt:i4>2949199</vt:i4>
      </vt:variant>
      <vt:variant>
        <vt:i4>0</vt:i4>
      </vt:variant>
      <vt:variant>
        <vt:i4>0</vt:i4>
      </vt:variant>
      <vt:variant>
        <vt:i4>5</vt:i4>
      </vt:variant>
      <vt:variant>
        <vt:lpwstr>mailto:gp.mnz@gov.si</vt:lpwstr>
      </vt:variant>
      <vt:variant>
        <vt:lpwstr/>
      </vt:variant>
      <vt:variant>
        <vt:i4>7798865</vt:i4>
      </vt:variant>
      <vt:variant>
        <vt:i4>33</vt:i4>
      </vt:variant>
      <vt:variant>
        <vt:i4>0</vt:i4>
      </vt:variant>
      <vt:variant>
        <vt:i4>5</vt:i4>
      </vt:variant>
      <vt:variant>
        <vt:lpwstr>mailto:gfu.izvrsbe.fu@gov.si</vt:lpwstr>
      </vt:variant>
      <vt:variant>
        <vt:lpwstr/>
      </vt:variant>
      <vt:variant>
        <vt:i4>7405611</vt:i4>
      </vt:variant>
      <vt:variant>
        <vt:i4>30</vt:i4>
      </vt:variant>
      <vt:variant>
        <vt:i4>0</vt:i4>
      </vt:variant>
      <vt:variant>
        <vt:i4>5</vt:i4>
      </vt:variant>
      <vt:variant>
        <vt:lpwstr>http://www.uradni-list.si/1/objava.jsp?sop=2020-01-1351</vt:lpwstr>
      </vt:variant>
      <vt:variant>
        <vt:lpwstr/>
      </vt:variant>
      <vt:variant>
        <vt:i4>8126504</vt:i4>
      </vt:variant>
      <vt:variant>
        <vt:i4>27</vt:i4>
      </vt:variant>
      <vt:variant>
        <vt:i4>0</vt:i4>
      </vt:variant>
      <vt:variant>
        <vt:i4>5</vt:i4>
      </vt:variant>
      <vt:variant>
        <vt:lpwstr>http://www.uradni-list.si/1/objava.jsp?sop=2020-01-1089</vt:lpwstr>
      </vt:variant>
      <vt:variant>
        <vt:lpwstr/>
      </vt:variant>
      <vt:variant>
        <vt:i4>7471137</vt:i4>
      </vt:variant>
      <vt:variant>
        <vt:i4>24</vt:i4>
      </vt:variant>
      <vt:variant>
        <vt:i4>0</vt:i4>
      </vt:variant>
      <vt:variant>
        <vt:i4>5</vt:i4>
      </vt:variant>
      <vt:variant>
        <vt:lpwstr>http://www.uradni-list.si/1/objava.jsp?sop=2019-01-3070</vt:lpwstr>
      </vt:variant>
      <vt:variant>
        <vt:lpwstr/>
      </vt:variant>
      <vt:variant>
        <vt:i4>7536679</vt:i4>
      </vt:variant>
      <vt:variant>
        <vt:i4>21</vt:i4>
      </vt:variant>
      <vt:variant>
        <vt:i4>0</vt:i4>
      </vt:variant>
      <vt:variant>
        <vt:i4>5</vt:i4>
      </vt:variant>
      <vt:variant>
        <vt:lpwstr>http://www.uradni-list.si/1/objava.jsp?sop=2018-01-2771</vt:lpwstr>
      </vt:variant>
      <vt:variant>
        <vt:lpwstr/>
      </vt:variant>
      <vt:variant>
        <vt:i4>8126504</vt:i4>
      </vt:variant>
      <vt:variant>
        <vt:i4>18</vt:i4>
      </vt:variant>
      <vt:variant>
        <vt:i4>0</vt:i4>
      </vt:variant>
      <vt:variant>
        <vt:i4>5</vt:i4>
      </vt:variant>
      <vt:variant>
        <vt:lpwstr>http://www.uradni-list.si/1/objava.jsp?sop=2016-01-2687</vt:lpwstr>
      </vt:variant>
      <vt:variant>
        <vt:lpwstr/>
      </vt:variant>
      <vt:variant>
        <vt:i4>7536680</vt:i4>
      </vt:variant>
      <vt:variant>
        <vt:i4>15</vt:i4>
      </vt:variant>
      <vt:variant>
        <vt:i4>0</vt:i4>
      </vt:variant>
      <vt:variant>
        <vt:i4>5</vt:i4>
      </vt:variant>
      <vt:variant>
        <vt:lpwstr>http://www.uradni-list.si/1/objava.jsp?sop=2016-01-1640</vt:lpwstr>
      </vt:variant>
      <vt:variant>
        <vt:lpwstr/>
      </vt:variant>
      <vt:variant>
        <vt:i4>7798829</vt:i4>
      </vt:variant>
      <vt:variant>
        <vt:i4>12</vt:i4>
      </vt:variant>
      <vt:variant>
        <vt:i4>0</vt:i4>
      </vt:variant>
      <vt:variant>
        <vt:i4>5</vt:i4>
      </vt:variant>
      <vt:variant>
        <vt:lpwstr>http://www.uradni-list.si/1/objava.jsp?sop=2016-01-1305</vt:lpwstr>
      </vt:variant>
      <vt:variant>
        <vt:lpwstr/>
      </vt:variant>
      <vt:variant>
        <vt:i4>7340078</vt:i4>
      </vt:variant>
      <vt:variant>
        <vt:i4>9</vt:i4>
      </vt:variant>
      <vt:variant>
        <vt:i4>0</vt:i4>
      </vt:variant>
      <vt:variant>
        <vt:i4>5</vt:i4>
      </vt:variant>
      <vt:variant>
        <vt:lpwstr>http://www.uradni-list.si/1/objava.jsp?sop=2016-01-1076</vt:lpwstr>
      </vt:variant>
      <vt:variant>
        <vt:lpwstr/>
      </vt:variant>
      <vt:variant>
        <vt:i4>7405612</vt:i4>
      </vt:variant>
      <vt:variant>
        <vt:i4>6</vt:i4>
      </vt:variant>
      <vt:variant>
        <vt:i4>0</vt:i4>
      </vt:variant>
      <vt:variant>
        <vt:i4>5</vt:i4>
      </vt:variant>
      <vt:variant>
        <vt:lpwstr>http://www.uradni-list.si/1/objava.jsp?sop=2015-21-0377</vt:lpwstr>
      </vt:variant>
      <vt:variant>
        <vt:lpwstr/>
      </vt:variant>
      <vt:variant>
        <vt:i4>7340079</vt:i4>
      </vt:variant>
      <vt:variant>
        <vt:i4>3</vt:i4>
      </vt:variant>
      <vt:variant>
        <vt:i4>0</vt:i4>
      </vt:variant>
      <vt:variant>
        <vt:i4>5</vt:i4>
      </vt:variant>
      <vt:variant>
        <vt:lpwstr>http://www.uradni-list.si/1/objava.jsp?sop=2014-01-0361</vt:lpwstr>
      </vt:variant>
      <vt:variant>
        <vt:lpwstr/>
      </vt:variant>
      <vt:variant>
        <vt:i4>1441794</vt:i4>
      </vt:variant>
      <vt:variant>
        <vt:i4>0</vt:i4>
      </vt:variant>
      <vt:variant>
        <vt:i4>0</vt:i4>
      </vt:variant>
      <vt:variant>
        <vt:i4>5</vt:i4>
      </vt:variant>
      <vt:variant>
        <vt:lpwstr>https://www.gov.si/assets/ministrstva/MF/Javno-racunovodstvo/DOKUMENTI/Navodila/Navodilo_JFP_23122016.pdf</vt:lpwstr>
      </vt:variant>
      <vt:variant>
        <vt:lpwstr/>
      </vt:variant>
      <vt:variant>
        <vt:i4>4194388</vt:i4>
      </vt:variant>
      <vt:variant>
        <vt:i4>3</vt:i4>
      </vt:variant>
      <vt:variant>
        <vt:i4>0</vt:i4>
      </vt:variant>
      <vt:variant>
        <vt:i4>5</vt:i4>
      </vt:variant>
      <vt:variant>
        <vt:lpwstr>http://www.mf.gov.si/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Aleš Merhar</cp:lastModifiedBy>
  <cp:revision>2</cp:revision>
  <cp:lastPrinted>2020-03-12T11:45:00Z</cp:lastPrinted>
  <dcterms:created xsi:type="dcterms:W3CDTF">2021-10-08T09:25:00Z</dcterms:created>
  <dcterms:modified xsi:type="dcterms:W3CDTF">2021-10-08T09:25:00Z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YPDRX2FCMFN4-33-26</vt:lpwstr>
  </property>
  <property fmtid="{D5CDD505-2E9C-101B-9397-08002B2CF9AE}" pid="3" name="_dlc_DocIdItemGuid">
    <vt:lpwstr>3387f9cc-4f09-40ed-86f5-ce10d1d73f0c</vt:lpwstr>
  </property>
  <property fmtid="{D5CDD505-2E9C-101B-9397-08002B2CF9AE}" pid="4" name="_dlc_DocIdUrl">
    <vt:lpwstr>https://iportal.mf.si/podrocja/davkicarine/interno/_layouts/15/DocIdRedir.aspx?ID=YPDRX2FCMFN4-33-26, YPDRX2FCMFN4-33-26</vt:lpwstr>
  </property>
</Properties>
</file>