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CB99" w14:textId="20CBC62F" w:rsidR="007D75CF" w:rsidRPr="004B525E" w:rsidRDefault="00A02F1D" w:rsidP="00DC6A71">
      <w:pPr>
        <w:pStyle w:val="datumtevilka"/>
        <w:rPr>
          <w:rFonts w:cs="Arial"/>
        </w:rPr>
      </w:pPr>
      <w:r w:rsidRPr="004B525E">
        <w:rPr>
          <w:rFonts w:cs="Arial"/>
          <w:noProof/>
        </w:rPr>
        <mc:AlternateContent>
          <mc:Choice Requires="wps">
            <w:drawing>
              <wp:anchor distT="360045" distB="540385" distL="0" distR="0" simplePos="0" relativeHeight="251657728" behindDoc="0" locked="0" layoutInCell="1" allowOverlap="0" wp14:anchorId="1AFB8A72" wp14:editId="3EFAFB99">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5971" w14:textId="77777777" w:rsidR="00521917" w:rsidRPr="004B4522" w:rsidRDefault="00521917" w:rsidP="00BA0DC5">
                            <w:pPr>
                              <w:rPr>
                                <w:b/>
                                <w:szCs w:val="20"/>
                                <w:lang w:val="sl-SI"/>
                              </w:rPr>
                            </w:pPr>
                            <w:r w:rsidRPr="004B4522">
                              <w:rPr>
                                <w:b/>
                                <w:szCs w:val="20"/>
                                <w:lang w:val="sl-SI"/>
                              </w:rPr>
                              <w:t>FINANČNA UPRAVA RS</w:t>
                            </w:r>
                          </w:p>
                          <w:p w14:paraId="228404B7" w14:textId="77777777" w:rsidR="00521917" w:rsidRPr="004B4522" w:rsidRDefault="00521917" w:rsidP="00BA0DC5">
                            <w:pPr>
                              <w:rPr>
                                <w:b/>
                                <w:szCs w:val="20"/>
                                <w:lang w:val="sl-SI"/>
                              </w:rPr>
                            </w:pPr>
                            <w:r w:rsidRPr="004B4522">
                              <w:rPr>
                                <w:b/>
                                <w:szCs w:val="20"/>
                                <w:lang w:val="sl-SI"/>
                              </w:rPr>
                              <w:t>Generalni finančni urad</w:t>
                            </w:r>
                          </w:p>
                          <w:p w14:paraId="3DB5B0F4" w14:textId="77777777" w:rsidR="00521917" w:rsidRPr="004B4522" w:rsidRDefault="00521917" w:rsidP="00BA0DC5">
                            <w:pPr>
                              <w:rPr>
                                <w:szCs w:val="20"/>
                                <w:lang w:val="sl-SI"/>
                              </w:rPr>
                            </w:pPr>
                            <w:r w:rsidRPr="004B4522">
                              <w:rPr>
                                <w:szCs w:val="20"/>
                                <w:lang w:val="sl-SI"/>
                              </w:rPr>
                              <w:t>Šmartinska cesta 55</w:t>
                            </w:r>
                          </w:p>
                          <w:p w14:paraId="7E525DA0" w14:textId="77777777" w:rsidR="00521917" w:rsidRPr="004B4522" w:rsidRDefault="00521917" w:rsidP="00BA0DC5">
                            <w:pPr>
                              <w:rPr>
                                <w:szCs w:val="20"/>
                                <w:lang w:val="sl-SI"/>
                              </w:rPr>
                            </w:pPr>
                            <w:r w:rsidRPr="004B4522">
                              <w:rPr>
                                <w:szCs w:val="20"/>
                                <w:lang w:val="sl-SI"/>
                              </w:rPr>
                              <w:t>1000 Ljubljana</w:t>
                            </w:r>
                          </w:p>
                          <w:p w14:paraId="38DEACED" w14:textId="77777777" w:rsidR="00521917" w:rsidRPr="004B4522" w:rsidRDefault="00521917" w:rsidP="00BA0DC5">
                            <w:pPr>
                              <w:rPr>
                                <w:szCs w:val="20"/>
                                <w:lang w:val="sl-SI"/>
                              </w:rPr>
                            </w:pPr>
                          </w:p>
                          <w:p w14:paraId="519CC5DB" w14:textId="77777777" w:rsidR="00521917" w:rsidRPr="004B4522" w:rsidRDefault="0075131D" w:rsidP="00BA0DC5">
                            <w:pPr>
                              <w:rPr>
                                <w:szCs w:val="20"/>
                                <w:lang w:val="sl-SI"/>
                              </w:rPr>
                            </w:pPr>
                            <w:hyperlink r:id="rId13" w:history="1">
                              <w:r w:rsidR="00521917" w:rsidRPr="004B4522">
                                <w:rPr>
                                  <w:rStyle w:val="Hiperpovezava"/>
                                  <w:szCs w:val="20"/>
                                  <w:lang w:val="sl-SI"/>
                                </w:rPr>
                                <w:t>gfu.fu@gov.si</w:t>
                              </w:r>
                            </w:hyperlink>
                          </w:p>
                          <w:p w14:paraId="065F4086" w14:textId="77777777" w:rsidR="00521917" w:rsidRPr="003E1C74" w:rsidRDefault="00521917"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B8A72"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" o:allowoverlap="f" filled="f" stroked="f">
                <v:textbox inset="0,0,0,0">
                  <w:txbxContent>
                    <w:p w14:paraId="21505971" w14:textId="77777777" w:rsidR="00521917" w:rsidRPr="004B4522" w:rsidRDefault="00521917" w:rsidP="00BA0DC5">
                      <w:pPr>
                        <w:rPr>
                          <w:b/>
                          <w:szCs w:val="20"/>
                          <w:lang w:val="sl-SI"/>
                        </w:rPr>
                      </w:pPr>
                      <w:r w:rsidRPr="004B4522">
                        <w:rPr>
                          <w:b/>
                          <w:szCs w:val="20"/>
                          <w:lang w:val="sl-SI"/>
                        </w:rPr>
                        <w:t>FINANČNA UPRAVA RS</w:t>
                      </w:r>
                    </w:p>
                    <w:p w14:paraId="228404B7" w14:textId="77777777" w:rsidR="00521917" w:rsidRPr="004B4522" w:rsidRDefault="00521917" w:rsidP="00BA0DC5">
                      <w:pPr>
                        <w:rPr>
                          <w:b/>
                          <w:szCs w:val="20"/>
                          <w:lang w:val="sl-SI"/>
                        </w:rPr>
                      </w:pPr>
                      <w:r w:rsidRPr="004B4522">
                        <w:rPr>
                          <w:b/>
                          <w:szCs w:val="20"/>
                          <w:lang w:val="sl-SI"/>
                        </w:rPr>
                        <w:t>Generalni finančni urad</w:t>
                      </w:r>
                    </w:p>
                    <w:p w14:paraId="3DB5B0F4" w14:textId="77777777" w:rsidR="00521917" w:rsidRPr="004B4522" w:rsidRDefault="00521917" w:rsidP="00BA0DC5">
                      <w:pPr>
                        <w:rPr>
                          <w:szCs w:val="20"/>
                          <w:lang w:val="sl-SI"/>
                        </w:rPr>
                      </w:pPr>
                      <w:r w:rsidRPr="004B4522">
                        <w:rPr>
                          <w:szCs w:val="20"/>
                          <w:lang w:val="sl-SI"/>
                        </w:rPr>
                        <w:t>Šmartinska cesta 55</w:t>
                      </w:r>
                    </w:p>
                    <w:p w14:paraId="7E525DA0" w14:textId="77777777" w:rsidR="00521917" w:rsidRPr="004B4522" w:rsidRDefault="00521917" w:rsidP="00BA0DC5">
                      <w:pPr>
                        <w:rPr>
                          <w:szCs w:val="20"/>
                          <w:lang w:val="sl-SI"/>
                        </w:rPr>
                      </w:pPr>
                      <w:r w:rsidRPr="004B4522">
                        <w:rPr>
                          <w:szCs w:val="20"/>
                          <w:lang w:val="sl-SI"/>
                        </w:rPr>
                        <w:t>1000 Ljubljana</w:t>
                      </w:r>
                    </w:p>
                    <w:p w14:paraId="38DEACED" w14:textId="77777777" w:rsidR="00521917" w:rsidRPr="004B4522" w:rsidRDefault="00521917" w:rsidP="00BA0DC5">
                      <w:pPr>
                        <w:rPr>
                          <w:szCs w:val="20"/>
                          <w:lang w:val="sl-SI"/>
                        </w:rPr>
                      </w:pPr>
                    </w:p>
                    <w:p w14:paraId="519CC5DB" w14:textId="77777777" w:rsidR="00521917" w:rsidRPr="004B4522" w:rsidRDefault="0075131D" w:rsidP="00BA0DC5">
                      <w:pPr>
                        <w:rPr>
                          <w:szCs w:val="20"/>
                          <w:lang w:val="sl-SI"/>
                        </w:rPr>
                      </w:pPr>
                      <w:hyperlink r:id="rId14" w:history="1">
                        <w:r w:rsidR="00521917" w:rsidRPr="004B4522">
                          <w:rPr>
                            <w:rStyle w:val="Hiperpovezava"/>
                            <w:szCs w:val="20"/>
                            <w:lang w:val="sl-SI"/>
                          </w:rPr>
                          <w:t>gfu.fu@gov.si</w:t>
                        </w:r>
                      </w:hyperlink>
                    </w:p>
                    <w:p w14:paraId="065F4086" w14:textId="77777777" w:rsidR="00521917" w:rsidRPr="003E1C74" w:rsidRDefault="00521917" w:rsidP="007D75CF">
                      <w:pPr>
                        <w:rPr>
                          <w:lang w:val="sl-SI"/>
                        </w:rPr>
                      </w:pPr>
                    </w:p>
                  </w:txbxContent>
                </v:textbox>
                <w10:wrap type="topAndBottom" anchorx="page" anchory="page"/>
              </v:shape>
            </w:pict>
          </mc:Fallback>
        </mc:AlternateContent>
      </w:r>
      <w:r w:rsidR="007D75CF" w:rsidRPr="004B525E">
        <w:rPr>
          <w:rFonts w:cs="Arial"/>
        </w:rPr>
        <w:t xml:space="preserve">Številka: </w:t>
      </w:r>
      <w:r w:rsidR="007D75CF" w:rsidRPr="004B525E">
        <w:rPr>
          <w:rFonts w:cs="Arial"/>
        </w:rPr>
        <w:tab/>
      </w:r>
      <w:r w:rsidR="00397864" w:rsidRPr="004B525E">
        <w:rPr>
          <w:rFonts w:cs="Arial"/>
        </w:rPr>
        <w:t>421-161/2021</w:t>
      </w:r>
      <w:r w:rsidRPr="004B525E">
        <w:rPr>
          <w:rFonts w:cs="Arial"/>
        </w:rPr>
        <w:t>/</w:t>
      </w:r>
      <w:r w:rsidR="00CF2FB1" w:rsidRPr="004B525E">
        <w:rPr>
          <w:rFonts w:cs="Arial"/>
        </w:rPr>
        <w:t>3</w:t>
      </w:r>
    </w:p>
    <w:p w14:paraId="55F17F9A" w14:textId="672217CC" w:rsidR="007D75CF" w:rsidRPr="004B525E" w:rsidRDefault="00C250D5" w:rsidP="00DC6A71">
      <w:pPr>
        <w:pStyle w:val="datumtevilka"/>
        <w:rPr>
          <w:rFonts w:cs="Arial"/>
        </w:rPr>
      </w:pPr>
      <w:r w:rsidRPr="00AC4CD0">
        <w:rPr>
          <w:rFonts w:cs="Arial"/>
        </w:rPr>
        <w:t xml:space="preserve">Datum: </w:t>
      </w:r>
      <w:r w:rsidRPr="00AC4CD0">
        <w:rPr>
          <w:rFonts w:cs="Arial"/>
        </w:rPr>
        <w:tab/>
      </w:r>
      <w:r w:rsidR="00AC4CD0" w:rsidRPr="00AC4CD0">
        <w:rPr>
          <w:rFonts w:cs="Arial"/>
        </w:rPr>
        <w:t>14. 9. 2021</w:t>
      </w:r>
    </w:p>
    <w:p w14:paraId="2CB91AAD" w14:textId="77777777" w:rsidR="007D75CF" w:rsidRPr="004B525E" w:rsidRDefault="007D75CF" w:rsidP="007D75CF">
      <w:pPr>
        <w:rPr>
          <w:rFonts w:cs="Arial"/>
          <w:szCs w:val="20"/>
          <w:lang w:val="sl-SI"/>
        </w:rPr>
      </w:pPr>
    </w:p>
    <w:p w14:paraId="54412F9F" w14:textId="61D4E25C" w:rsidR="009204BF" w:rsidRPr="004B525E" w:rsidRDefault="007D75CF" w:rsidP="00BA0DC5">
      <w:pPr>
        <w:pStyle w:val="ZADEVA"/>
        <w:jc w:val="both"/>
        <w:rPr>
          <w:rFonts w:cs="Arial"/>
          <w:szCs w:val="20"/>
          <w:lang w:val="sl-SI"/>
        </w:rPr>
      </w:pPr>
      <w:r w:rsidRPr="004B525E">
        <w:rPr>
          <w:rFonts w:cs="Arial"/>
          <w:szCs w:val="20"/>
          <w:lang w:val="sl-SI"/>
        </w:rPr>
        <w:t xml:space="preserve">Zadeva: </w:t>
      </w:r>
      <w:r w:rsidRPr="004B525E">
        <w:rPr>
          <w:rFonts w:cs="Arial"/>
          <w:szCs w:val="20"/>
          <w:lang w:val="sl-SI"/>
        </w:rPr>
        <w:tab/>
      </w:r>
      <w:r w:rsidR="00397864" w:rsidRPr="004B525E">
        <w:rPr>
          <w:rFonts w:cs="Arial"/>
          <w:szCs w:val="20"/>
          <w:lang w:val="sl-SI"/>
        </w:rPr>
        <w:t>Določanje časa pridobitve pri odmeri dohodnine od dobička iz  kapitala pri odsvojitvi nepremičnine v primeru pridobitve nepremičnine v  okviru komasacije</w:t>
      </w:r>
    </w:p>
    <w:p w14:paraId="63CCB942" w14:textId="2852088B" w:rsidR="00BA0DC5" w:rsidRPr="004B525E" w:rsidRDefault="00BA0DC5" w:rsidP="00BA0DC5">
      <w:pPr>
        <w:pStyle w:val="ZADEVA"/>
        <w:jc w:val="both"/>
        <w:rPr>
          <w:rFonts w:cs="Arial"/>
          <w:b w:val="0"/>
          <w:szCs w:val="20"/>
          <w:lang w:val="sl-SI"/>
        </w:rPr>
      </w:pPr>
      <w:r w:rsidRPr="004B525E">
        <w:rPr>
          <w:rFonts w:cs="Arial"/>
          <w:b w:val="0"/>
          <w:szCs w:val="20"/>
          <w:lang w:val="sl-SI"/>
        </w:rPr>
        <w:t xml:space="preserve">Zveza: </w:t>
      </w:r>
      <w:r w:rsidRPr="004B525E">
        <w:rPr>
          <w:rFonts w:cs="Arial"/>
          <w:b w:val="0"/>
          <w:szCs w:val="20"/>
          <w:lang w:val="sl-SI"/>
        </w:rPr>
        <w:tab/>
        <w:t xml:space="preserve">Vaš dopis </w:t>
      </w:r>
      <w:r w:rsidR="00397864" w:rsidRPr="004B525E">
        <w:rPr>
          <w:rFonts w:cs="Arial"/>
          <w:b w:val="0"/>
          <w:szCs w:val="20"/>
          <w:lang w:val="sl-SI"/>
        </w:rPr>
        <w:t xml:space="preserve">42152-21922/2021-1 </w:t>
      </w:r>
      <w:r w:rsidR="009204BF" w:rsidRPr="004B525E">
        <w:rPr>
          <w:rFonts w:cs="Arial"/>
          <w:b w:val="0"/>
          <w:szCs w:val="20"/>
          <w:lang w:val="sl-SI"/>
        </w:rPr>
        <w:t xml:space="preserve">z dne </w:t>
      </w:r>
      <w:r w:rsidR="00AC6209" w:rsidRPr="004B525E">
        <w:rPr>
          <w:rFonts w:cs="Arial"/>
          <w:b w:val="0"/>
          <w:szCs w:val="20"/>
          <w:lang w:val="sl-SI"/>
        </w:rPr>
        <w:t>2</w:t>
      </w:r>
      <w:r w:rsidR="00397864" w:rsidRPr="004B525E">
        <w:rPr>
          <w:rFonts w:cs="Arial"/>
          <w:b w:val="0"/>
          <w:szCs w:val="20"/>
          <w:lang w:val="sl-SI"/>
        </w:rPr>
        <w:t>9</w:t>
      </w:r>
      <w:r w:rsidR="009204BF" w:rsidRPr="004B525E">
        <w:rPr>
          <w:rFonts w:cs="Arial"/>
          <w:b w:val="0"/>
          <w:szCs w:val="20"/>
          <w:lang w:val="sl-SI"/>
        </w:rPr>
        <w:t xml:space="preserve">. </w:t>
      </w:r>
      <w:r w:rsidR="00397864" w:rsidRPr="004B525E">
        <w:rPr>
          <w:rFonts w:cs="Arial"/>
          <w:b w:val="0"/>
          <w:szCs w:val="20"/>
          <w:lang w:val="sl-SI"/>
        </w:rPr>
        <w:t>6</w:t>
      </w:r>
      <w:r w:rsidR="009204BF" w:rsidRPr="004B525E">
        <w:rPr>
          <w:rFonts w:cs="Arial"/>
          <w:b w:val="0"/>
          <w:szCs w:val="20"/>
          <w:lang w:val="sl-SI"/>
        </w:rPr>
        <w:t>. 202</w:t>
      </w:r>
      <w:r w:rsidR="005471DC" w:rsidRPr="004B525E">
        <w:rPr>
          <w:rFonts w:cs="Arial"/>
          <w:b w:val="0"/>
          <w:szCs w:val="20"/>
          <w:lang w:val="sl-SI"/>
        </w:rPr>
        <w:t>1</w:t>
      </w:r>
    </w:p>
    <w:p w14:paraId="3FEBF24B" w14:textId="77777777" w:rsidR="00BA0DC5" w:rsidRPr="004B525E" w:rsidRDefault="00BA0DC5" w:rsidP="00BA0DC5">
      <w:pPr>
        <w:pStyle w:val="ZADEVA"/>
        <w:jc w:val="both"/>
        <w:rPr>
          <w:rFonts w:cs="Arial"/>
          <w:szCs w:val="20"/>
          <w:lang w:val="sl-SI"/>
        </w:rPr>
      </w:pPr>
    </w:p>
    <w:p w14:paraId="01CD1B51" w14:textId="602032FD" w:rsidR="00397864" w:rsidRPr="004B525E" w:rsidRDefault="00397864" w:rsidP="00F47B8E">
      <w:pPr>
        <w:autoSpaceDE w:val="0"/>
        <w:autoSpaceDN w:val="0"/>
        <w:adjustRightInd w:val="0"/>
        <w:spacing w:line="276" w:lineRule="auto"/>
        <w:jc w:val="both"/>
        <w:rPr>
          <w:rFonts w:cs="Arial"/>
          <w:szCs w:val="20"/>
          <w:lang w:val="sl-SI"/>
        </w:rPr>
      </w:pPr>
    </w:p>
    <w:p w14:paraId="7F2DAE1E" w14:textId="7A332D76" w:rsidR="00397864" w:rsidRPr="004B525E" w:rsidRDefault="00BA0DC5" w:rsidP="00F47B8E">
      <w:pPr>
        <w:autoSpaceDE w:val="0"/>
        <w:autoSpaceDN w:val="0"/>
        <w:adjustRightInd w:val="0"/>
        <w:spacing w:line="276" w:lineRule="auto"/>
        <w:jc w:val="both"/>
        <w:rPr>
          <w:rFonts w:cs="Arial"/>
          <w:szCs w:val="20"/>
          <w:lang w:val="sl-SI"/>
        </w:rPr>
      </w:pPr>
      <w:r w:rsidRPr="004B525E">
        <w:rPr>
          <w:rFonts w:cs="Arial"/>
          <w:szCs w:val="20"/>
          <w:lang w:val="sl-SI"/>
        </w:rPr>
        <w:t>Z naslovnim dopisom ste nas zaprosi</w:t>
      </w:r>
      <w:r w:rsidR="00AC6209" w:rsidRPr="004B525E">
        <w:rPr>
          <w:rFonts w:cs="Arial"/>
          <w:szCs w:val="20"/>
          <w:lang w:val="sl-SI"/>
        </w:rPr>
        <w:t>li,</w:t>
      </w:r>
      <w:r w:rsidR="00397864" w:rsidRPr="004B525E">
        <w:rPr>
          <w:rFonts w:cs="Arial"/>
          <w:szCs w:val="20"/>
          <w:lang w:val="sl-SI"/>
        </w:rPr>
        <w:t xml:space="preserve"> da zaradi </w:t>
      </w:r>
      <w:r w:rsidR="00397864" w:rsidRPr="004B525E">
        <w:rPr>
          <w:rFonts w:cs="Arial"/>
          <w:szCs w:val="20"/>
          <w:lang w:val="sl-SI" w:eastAsia="sl-SI"/>
        </w:rPr>
        <w:t>pravilne razlage zakonskih določb Zakona o dohodnini (</w:t>
      </w:r>
      <w:r w:rsidR="00E94A99" w:rsidRPr="00E94A99">
        <w:rPr>
          <w:rFonts w:cs="Arial"/>
          <w:szCs w:val="20"/>
          <w:lang w:val="sl-SI" w:eastAsia="sl-SI"/>
        </w:rPr>
        <w:t>Uradni list RS, št. 117/06</w:t>
      </w:r>
      <w:r w:rsidR="00E94A99">
        <w:rPr>
          <w:rFonts w:cs="Arial"/>
          <w:szCs w:val="20"/>
          <w:lang w:val="sl-SI" w:eastAsia="sl-SI"/>
        </w:rPr>
        <w:t xml:space="preserve"> in </w:t>
      </w:r>
      <w:proofErr w:type="spellStart"/>
      <w:r w:rsidR="00E94A99">
        <w:rPr>
          <w:rFonts w:cs="Arial"/>
          <w:szCs w:val="20"/>
          <w:lang w:val="sl-SI" w:eastAsia="sl-SI"/>
        </w:rPr>
        <w:t>nasl</w:t>
      </w:r>
      <w:proofErr w:type="spellEnd"/>
      <w:r w:rsidR="00E94A99">
        <w:rPr>
          <w:rFonts w:cs="Arial"/>
          <w:szCs w:val="20"/>
          <w:lang w:val="sl-SI" w:eastAsia="sl-SI"/>
        </w:rPr>
        <w:t xml:space="preserve">.; v nadaljevanju: </w:t>
      </w:r>
      <w:r w:rsidR="00397864" w:rsidRPr="004B525E">
        <w:rPr>
          <w:rFonts w:cs="Arial"/>
          <w:szCs w:val="20"/>
          <w:lang w:val="sl-SI" w:eastAsia="sl-SI"/>
        </w:rPr>
        <w:t>ZDoh</w:t>
      </w:r>
      <w:r w:rsidR="00B347F9" w:rsidRPr="004B525E">
        <w:rPr>
          <w:rFonts w:cs="Arial"/>
          <w:szCs w:val="20"/>
          <w:lang w:val="sl-SI" w:eastAsia="sl-SI"/>
        </w:rPr>
        <w:t>-</w:t>
      </w:r>
      <w:r w:rsidR="00397864" w:rsidRPr="004B525E">
        <w:rPr>
          <w:rFonts w:cs="Arial"/>
          <w:szCs w:val="20"/>
          <w:lang w:val="sl-SI" w:eastAsia="sl-SI"/>
        </w:rPr>
        <w:t xml:space="preserve">2) glede obdavčevanja dobička iz kapitala pri odsvojitvi nepremičnine ter enotnega postopanja finančnih uradov, </w:t>
      </w:r>
      <w:r w:rsidR="00AC6209" w:rsidRPr="004B525E">
        <w:rPr>
          <w:rFonts w:cs="Arial"/>
          <w:szCs w:val="20"/>
          <w:lang w:val="sl-SI"/>
        </w:rPr>
        <w:t>preučimo</w:t>
      </w:r>
      <w:r w:rsidR="00397864" w:rsidRPr="004B525E">
        <w:rPr>
          <w:rFonts w:cs="Arial"/>
          <w:szCs w:val="20"/>
          <w:lang w:val="sl-SI"/>
        </w:rPr>
        <w:t xml:space="preserve"> sodbo Upravnega sodišča Republike Slovenije </w:t>
      </w:r>
      <w:r w:rsidR="00397864" w:rsidRPr="004B525E">
        <w:rPr>
          <w:rFonts w:cs="Arial"/>
          <w:szCs w:val="20"/>
          <w:lang w:val="sl-SI" w:eastAsia="sl-SI"/>
        </w:rPr>
        <w:t>št. I U 608/2020</w:t>
      </w:r>
      <w:r w:rsidR="00FF4FDD">
        <w:rPr>
          <w:rFonts w:cs="Arial"/>
          <w:szCs w:val="20"/>
          <w:lang w:val="sl-SI" w:eastAsia="sl-SI"/>
        </w:rPr>
        <w:t xml:space="preserve"> </w:t>
      </w:r>
      <w:bookmarkStart w:id="0" w:name="_Hlk80263855"/>
      <w:r w:rsidR="00FF4FDD">
        <w:rPr>
          <w:rFonts w:cs="Arial"/>
          <w:szCs w:val="20"/>
          <w:lang w:val="sl-SI" w:eastAsia="sl-SI"/>
        </w:rPr>
        <w:t>z dne 1. 6. 2021</w:t>
      </w:r>
      <w:bookmarkEnd w:id="0"/>
      <w:r w:rsidR="00397864" w:rsidRPr="004B525E">
        <w:rPr>
          <w:rFonts w:cs="Arial"/>
          <w:szCs w:val="20"/>
          <w:lang w:val="sl-SI" w:eastAsia="sl-SI"/>
        </w:rPr>
        <w:t>, ki drugače razlaga določbo 101. člena ZDoh-2 glede določanja časa pridobitve za nepremičnine, ki so bile predmet komasacije.</w:t>
      </w:r>
    </w:p>
    <w:p w14:paraId="6F7CB97C" w14:textId="0AEFDF72" w:rsidR="00397864" w:rsidRDefault="00397864" w:rsidP="00F47B8E">
      <w:pPr>
        <w:autoSpaceDE w:val="0"/>
        <w:autoSpaceDN w:val="0"/>
        <w:adjustRightInd w:val="0"/>
        <w:spacing w:line="276" w:lineRule="auto"/>
        <w:jc w:val="both"/>
        <w:rPr>
          <w:rFonts w:cs="Arial"/>
          <w:szCs w:val="20"/>
          <w:lang w:val="sl-SI"/>
        </w:rPr>
      </w:pPr>
    </w:p>
    <w:p w14:paraId="2F5BC6B9" w14:textId="6A4FAA41" w:rsidR="007F2783" w:rsidRPr="004B525E" w:rsidRDefault="007F2783" w:rsidP="00F47B8E">
      <w:pPr>
        <w:autoSpaceDE w:val="0"/>
        <w:autoSpaceDN w:val="0"/>
        <w:adjustRightInd w:val="0"/>
        <w:spacing w:line="276" w:lineRule="auto"/>
        <w:jc w:val="both"/>
        <w:rPr>
          <w:rFonts w:cs="Arial"/>
          <w:szCs w:val="20"/>
          <w:lang w:val="sl-SI"/>
        </w:rPr>
      </w:pPr>
      <w:r>
        <w:rPr>
          <w:rFonts w:cs="Arial"/>
          <w:szCs w:val="20"/>
          <w:lang w:val="sl-SI"/>
        </w:rPr>
        <w:t>Ministrstvo v nadaljevanju pojasnjuje</w:t>
      </w:r>
      <w:r w:rsidR="00AC4CD0">
        <w:rPr>
          <w:rFonts w:cs="Arial"/>
          <w:szCs w:val="20"/>
          <w:lang w:val="sl-SI"/>
        </w:rPr>
        <w:t>, da je Vlada RS v povezavi z navedeno problematiko podal</w:t>
      </w:r>
      <w:r w:rsidR="000D1F9D">
        <w:rPr>
          <w:rFonts w:cs="Arial"/>
          <w:szCs w:val="20"/>
          <w:lang w:val="sl-SI"/>
        </w:rPr>
        <w:t>a</w:t>
      </w:r>
      <w:r w:rsidR="00AC4CD0">
        <w:rPr>
          <w:rFonts w:cs="Arial"/>
          <w:szCs w:val="20"/>
          <w:lang w:val="sl-SI"/>
        </w:rPr>
        <w:t xml:space="preserve"> svoj odgovor na poslansko pobudo </w:t>
      </w:r>
      <w:r w:rsidR="00AC4CD0" w:rsidRPr="00AC4CD0">
        <w:rPr>
          <w:rFonts w:cs="Arial"/>
          <w:szCs w:val="20"/>
          <w:lang w:val="sl-SI"/>
        </w:rPr>
        <w:t>poslanca mag. Dejana Židana v zvezi z nujno potrebnimi zemljiškimi operacijami (komasacije) in zmotno razlago zakonodaje s strani Ministrstva za finance</w:t>
      </w:r>
      <w:r w:rsidR="00AC4CD0">
        <w:rPr>
          <w:rFonts w:cs="Arial"/>
          <w:szCs w:val="20"/>
          <w:lang w:val="sl-SI"/>
        </w:rPr>
        <w:t xml:space="preserve"> </w:t>
      </w:r>
      <w:r w:rsidR="006A43A9">
        <w:rPr>
          <w:rFonts w:cs="Arial"/>
          <w:szCs w:val="20"/>
          <w:lang w:val="sl-SI"/>
        </w:rPr>
        <w:t>ter</w:t>
      </w:r>
      <w:r w:rsidR="00C57AE4">
        <w:rPr>
          <w:rFonts w:cs="Arial"/>
          <w:szCs w:val="20"/>
          <w:lang w:val="sl-SI"/>
        </w:rPr>
        <w:t xml:space="preserve"> vas z njim seznanjamo </w:t>
      </w:r>
      <w:r w:rsidR="00AC4CD0">
        <w:rPr>
          <w:rFonts w:cs="Arial"/>
          <w:szCs w:val="20"/>
          <w:lang w:val="sl-SI"/>
        </w:rPr>
        <w:t>v nadaljevanju:</w:t>
      </w:r>
    </w:p>
    <w:p w14:paraId="6901F3B9" w14:textId="723B69D7" w:rsidR="007F2783" w:rsidRDefault="007F2783" w:rsidP="00F47B8E">
      <w:pPr>
        <w:spacing w:line="276" w:lineRule="auto"/>
        <w:jc w:val="both"/>
        <w:rPr>
          <w:rFonts w:cs="Arial"/>
          <w:szCs w:val="20"/>
          <w:lang w:val="sl-SI"/>
        </w:rPr>
      </w:pPr>
    </w:p>
    <w:p w14:paraId="0F89E0C7" w14:textId="6280D354" w:rsidR="00AC4CD0" w:rsidRPr="00AC4CD0" w:rsidRDefault="000D1F9D" w:rsidP="00AC4CD0">
      <w:pPr>
        <w:spacing w:line="276" w:lineRule="auto"/>
        <w:jc w:val="both"/>
        <w:rPr>
          <w:rFonts w:cs="Arial"/>
          <w:i/>
          <w:iCs/>
          <w:szCs w:val="20"/>
          <w:lang w:val="sl-SI"/>
        </w:rPr>
      </w:pPr>
      <w:r>
        <w:rPr>
          <w:rFonts w:cs="Arial"/>
          <w:i/>
          <w:iCs/>
          <w:szCs w:val="20"/>
          <w:lang w:val="sl-SI"/>
        </w:rPr>
        <w:t>»</w:t>
      </w:r>
      <w:r w:rsidR="00AC4CD0" w:rsidRPr="00AC4CD0">
        <w:rPr>
          <w:rFonts w:cs="Arial"/>
          <w:i/>
          <w:iCs/>
          <w:szCs w:val="20"/>
          <w:lang w:val="sl-SI"/>
        </w:rPr>
        <w:t xml:space="preserve">Upravno sodišče (v nadaljevanju: sodišče) je v zgoraj navedeni sodbi vezano na konkretno zadevo zavzelo stališče, da razdelitev nepremičnin, ki so bile vključene v komasacijski sklad,  čeprav tudi po mnenju sodišča taka razdelitev spada med obdavčljive odsvojitve kapitala, pri nadaljnji odsvojitvi v komasacijskem postopku pridobljene nepremičnine ne vpliva na čas njene pridobitve, če zavezanec ob razdelitvi prejme nepremičnine v obsegu, ki ustreza vključenim nepremičninam. Sodišče meni, da se v takem primeru za čas pridobitve nepremičnin, pridobljenih z razdelitvijo nepremičnin v komasacijskem skladu, šteje čas pridobitve nepremičnin, ki jih je zavezanec vložil v komasacijski sklad. Po presoji sodišča je namreč treba upoštevati namen komasacij po Zakonu o kmetijskih zemljiščih (Uradni list RS, št. 59/96 in </w:t>
      </w:r>
      <w:proofErr w:type="spellStart"/>
      <w:r w:rsidR="00AC4CD0" w:rsidRPr="00AC4CD0">
        <w:rPr>
          <w:rFonts w:cs="Arial"/>
          <w:i/>
          <w:iCs/>
          <w:szCs w:val="20"/>
          <w:lang w:val="sl-SI"/>
        </w:rPr>
        <w:t>nasl</w:t>
      </w:r>
      <w:proofErr w:type="spellEnd"/>
      <w:r w:rsidR="00AC4CD0" w:rsidRPr="00AC4CD0">
        <w:rPr>
          <w:rFonts w:cs="Arial"/>
          <w:i/>
          <w:iCs/>
          <w:szCs w:val="20"/>
          <w:lang w:val="sl-SI"/>
        </w:rPr>
        <w:t xml:space="preserve">.; v nadaljevanju: ZKZ), ki je pridobitev zaokroženega zemljišča oziroma zložitev razdrobljenih parcel in dejstvo, da  skladno s prvim odstavkom 65. člena ZKZ komasacijski udeleženci prejmejo iz komasacijskega sklada zemljišče približno enake vrednosti, kar pomeni, da ne gre za pridobitev nepremičnine večje vrednosti, kot so vredna zemljišča, ki so bila vključena v komasacijski sklad. Pomembno pa je tudi upoštevati pravno naravo komasacij. Skladno s tretjim odstavkom 56. člena ZKZ se namreč lahko komasacija uvede tudi brez volje lastnika kmetijskega zemljišča. </w:t>
      </w:r>
    </w:p>
    <w:p w14:paraId="3780F8A7" w14:textId="77777777" w:rsidR="00AC4CD0" w:rsidRPr="00AC4CD0" w:rsidRDefault="00AC4CD0" w:rsidP="00AC4CD0">
      <w:pPr>
        <w:spacing w:line="276" w:lineRule="auto"/>
        <w:jc w:val="both"/>
        <w:rPr>
          <w:rFonts w:cs="Arial"/>
          <w:i/>
          <w:iCs/>
          <w:szCs w:val="20"/>
          <w:lang w:val="sl-SI"/>
        </w:rPr>
      </w:pPr>
    </w:p>
    <w:p w14:paraId="69CFE7A5" w14:textId="77777777" w:rsidR="00AC4CD0" w:rsidRPr="00AC4CD0" w:rsidRDefault="00AC4CD0" w:rsidP="00AC4CD0">
      <w:pPr>
        <w:spacing w:line="276" w:lineRule="auto"/>
        <w:jc w:val="both"/>
        <w:rPr>
          <w:rFonts w:cs="Arial"/>
          <w:i/>
          <w:iCs/>
          <w:szCs w:val="20"/>
          <w:lang w:val="sl-SI"/>
        </w:rPr>
      </w:pPr>
      <w:r w:rsidRPr="00AC4CD0">
        <w:rPr>
          <w:rFonts w:cs="Arial"/>
          <w:i/>
          <w:iCs/>
          <w:szCs w:val="20"/>
          <w:lang w:val="sl-SI"/>
        </w:rPr>
        <w:lastRenderedPageBreak/>
        <w:t xml:space="preserve">Vlada v povezavi z navedenim stališčem sodišča ugotavlja, da se sodba navezuje na primer upravne komasacije, ki se lahko uvede tudi proti volji nekaterih od lastnikov v komasaciji zloženih parcel (tj. skladno z 56. členom ZKZ se morajo z upravno komasacijo strinjati lastniki kmetijskih zemljišč, ki imajo v lasti več kot dve tretjini površin kmetijskih zemljišč na predvidenem komasacijskem območju) ter da je bila v okviru komasacijskega postopka pridobljena parcela tako po velikosti, vrednosti in lokaciji skladna parcelam, vloženim v komasacijski sklad. </w:t>
      </w:r>
    </w:p>
    <w:p w14:paraId="67F6A1FF" w14:textId="77777777" w:rsidR="00AC4CD0" w:rsidRPr="00AC4CD0" w:rsidRDefault="00AC4CD0" w:rsidP="00AC4CD0">
      <w:pPr>
        <w:spacing w:line="276" w:lineRule="auto"/>
        <w:jc w:val="both"/>
        <w:rPr>
          <w:rFonts w:cs="Arial"/>
          <w:i/>
          <w:iCs/>
          <w:szCs w:val="20"/>
          <w:lang w:val="sl-SI"/>
        </w:rPr>
      </w:pPr>
    </w:p>
    <w:p w14:paraId="7BB1938B" w14:textId="2F0E37B0" w:rsidR="00AC4CD0" w:rsidRPr="00AC4CD0" w:rsidRDefault="00AC4CD0" w:rsidP="00AC4CD0">
      <w:pPr>
        <w:spacing w:line="276" w:lineRule="auto"/>
        <w:jc w:val="both"/>
        <w:rPr>
          <w:rFonts w:cs="Arial"/>
          <w:i/>
          <w:iCs/>
          <w:szCs w:val="20"/>
          <w:lang w:val="sl-SI"/>
        </w:rPr>
      </w:pPr>
      <w:r w:rsidRPr="00AC4CD0">
        <w:rPr>
          <w:rFonts w:cs="Arial"/>
          <w:i/>
          <w:iCs/>
          <w:szCs w:val="20"/>
          <w:lang w:val="sl-SI"/>
        </w:rPr>
        <w:t>Davčni organ, katerega odločitev je s sodbo odpravljena in mu je zadeva vrnjena v ponovni postopek, je glede na četrti odstavek 64. člena Zakona o upravnem sporu</w:t>
      </w:r>
      <w:r w:rsidR="005D432C">
        <w:rPr>
          <w:rStyle w:val="Sprotnaopomba-sklic"/>
          <w:rFonts w:cs="Arial"/>
          <w:i/>
          <w:iCs/>
          <w:szCs w:val="20"/>
          <w:lang w:val="sl-SI"/>
        </w:rPr>
        <w:footnoteReference w:id="1"/>
      </w:r>
      <w:r w:rsidRPr="00AC4CD0">
        <w:rPr>
          <w:rFonts w:cs="Arial"/>
          <w:i/>
          <w:iCs/>
          <w:szCs w:val="20"/>
          <w:lang w:val="sl-SI"/>
        </w:rPr>
        <w:t xml:space="preserve"> vezan na pravno mnenje sodišča glede uporabe materialnega prava in na njegova stališča, ki se tičejo postopka. Vezanost upravnega organa na stališče sodišča na podlagi stališč sodne prakse ni absolutna, vendar morajo biti pri odstopu od stališča sodišča podani razlogi za takšno odločanje na podlagi načel zakonitosti, kar mora organ navesti v svoji odločitvi.</w:t>
      </w:r>
      <w:r w:rsidR="005D432C">
        <w:rPr>
          <w:rStyle w:val="Sprotnaopomba-sklic"/>
          <w:rFonts w:cs="Arial"/>
          <w:i/>
          <w:iCs/>
          <w:szCs w:val="20"/>
          <w:lang w:val="sl-SI"/>
        </w:rPr>
        <w:footnoteReference w:id="2"/>
      </w:r>
      <w:r w:rsidRPr="00AC4CD0">
        <w:rPr>
          <w:rFonts w:cs="Arial"/>
          <w:i/>
          <w:iCs/>
          <w:szCs w:val="20"/>
          <w:lang w:val="sl-SI"/>
        </w:rPr>
        <w:t xml:space="preserve">  </w:t>
      </w:r>
    </w:p>
    <w:p w14:paraId="66762884" w14:textId="77777777" w:rsidR="00AC4CD0" w:rsidRPr="00AC4CD0" w:rsidRDefault="00AC4CD0" w:rsidP="00AC4CD0">
      <w:pPr>
        <w:spacing w:line="276" w:lineRule="auto"/>
        <w:jc w:val="both"/>
        <w:rPr>
          <w:rFonts w:cs="Arial"/>
          <w:i/>
          <w:iCs/>
          <w:szCs w:val="20"/>
          <w:lang w:val="sl-SI"/>
        </w:rPr>
      </w:pPr>
    </w:p>
    <w:p w14:paraId="5DFD34E1" w14:textId="77777777" w:rsidR="00AC4CD0" w:rsidRPr="00AC4CD0" w:rsidRDefault="00AC4CD0" w:rsidP="00AC4CD0">
      <w:pPr>
        <w:spacing w:line="276" w:lineRule="auto"/>
        <w:jc w:val="both"/>
        <w:rPr>
          <w:rFonts w:cs="Arial"/>
          <w:i/>
          <w:iCs/>
          <w:szCs w:val="20"/>
          <w:lang w:val="sl-SI"/>
        </w:rPr>
      </w:pPr>
      <w:r w:rsidRPr="00AC4CD0">
        <w:rPr>
          <w:rFonts w:cs="Arial"/>
          <w:i/>
          <w:iCs/>
          <w:szCs w:val="20"/>
          <w:lang w:val="sl-SI"/>
        </w:rPr>
        <w:t xml:space="preserve">Vlada sicer ugotavlja, da navedena sodba, po kateri razdelitev nepremičnin v okviru komasacijskega postopka ne vpliva na čas pridobitve kapitala v smislu 101. člena ZDoh-2, odpira nekatera izvedbena vprašanja. Med drugim na primer vprašanja o upoštevanju morebitnega že obdavčenega dobička, doseženega s prometom v okviru komasacijskega postopka, o vrednotenju nepremičnin v posameznih fazah prometa, pa tudi vprašanja o tem, kako v odsotnosti natančnejših zakonskih pravil navedeno stališče sodišča izvajati v primerih, ko recimo posamezni lastnik v komasacijski sklad vloži več parcel z različnimi datumi pridobitve in s tem različnimi obdobji njihovega </w:t>
      </w:r>
      <w:proofErr w:type="spellStart"/>
      <w:r w:rsidRPr="00AC4CD0">
        <w:rPr>
          <w:rFonts w:cs="Arial"/>
          <w:i/>
          <w:iCs/>
          <w:szCs w:val="20"/>
          <w:lang w:val="sl-SI"/>
        </w:rPr>
        <w:t>imetništva</w:t>
      </w:r>
      <w:proofErr w:type="spellEnd"/>
      <w:r w:rsidRPr="00AC4CD0">
        <w:rPr>
          <w:rFonts w:cs="Arial"/>
          <w:i/>
          <w:iCs/>
          <w:szCs w:val="20"/>
          <w:lang w:val="sl-SI"/>
        </w:rPr>
        <w:t xml:space="preserve"> (npr. parcele s 5, 10, 15 in 20 leti </w:t>
      </w:r>
      <w:proofErr w:type="spellStart"/>
      <w:r w:rsidRPr="00AC4CD0">
        <w:rPr>
          <w:rFonts w:cs="Arial"/>
          <w:i/>
          <w:iCs/>
          <w:szCs w:val="20"/>
          <w:lang w:val="sl-SI"/>
        </w:rPr>
        <w:t>imetništva</w:t>
      </w:r>
      <w:proofErr w:type="spellEnd"/>
      <w:r w:rsidRPr="00AC4CD0">
        <w:rPr>
          <w:rFonts w:cs="Arial"/>
          <w:i/>
          <w:iCs/>
          <w:szCs w:val="20"/>
          <w:lang w:val="sl-SI"/>
        </w:rPr>
        <w:t xml:space="preserve">), z razdelitvijo komasacijskega sklada pa pridobil eno novo parcelo, upoštevaje, da je višina stopnje dohodnine od dobičkov iz kapitala oz. upravičenost do nekaterih oprostitev dohodnine od dobička iz kapitala odvisna od obdobja </w:t>
      </w:r>
      <w:proofErr w:type="spellStart"/>
      <w:r w:rsidRPr="00AC4CD0">
        <w:rPr>
          <w:rFonts w:cs="Arial"/>
          <w:i/>
          <w:iCs/>
          <w:szCs w:val="20"/>
          <w:lang w:val="sl-SI"/>
        </w:rPr>
        <w:t>imetništva</w:t>
      </w:r>
      <w:proofErr w:type="spellEnd"/>
      <w:r w:rsidRPr="00AC4CD0">
        <w:rPr>
          <w:rFonts w:cs="Arial"/>
          <w:i/>
          <w:iCs/>
          <w:szCs w:val="20"/>
          <w:lang w:val="sl-SI"/>
        </w:rPr>
        <w:t xml:space="preserve"> kapitala. </w:t>
      </w:r>
    </w:p>
    <w:p w14:paraId="55E28F47" w14:textId="77777777" w:rsidR="00AC4CD0" w:rsidRPr="00AC4CD0" w:rsidRDefault="00AC4CD0" w:rsidP="00AC4CD0">
      <w:pPr>
        <w:spacing w:line="276" w:lineRule="auto"/>
        <w:jc w:val="both"/>
        <w:rPr>
          <w:rFonts w:cs="Arial"/>
          <w:i/>
          <w:iCs/>
          <w:szCs w:val="20"/>
          <w:lang w:val="sl-SI"/>
        </w:rPr>
      </w:pPr>
    </w:p>
    <w:p w14:paraId="15843FA3" w14:textId="2CAC5F0E" w:rsidR="00AC4CD0" w:rsidRPr="00AC4CD0" w:rsidRDefault="00AC4CD0" w:rsidP="00AC4CD0">
      <w:pPr>
        <w:spacing w:line="276" w:lineRule="auto"/>
        <w:jc w:val="both"/>
        <w:rPr>
          <w:rFonts w:cs="Arial"/>
          <w:i/>
          <w:iCs/>
          <w:szCs w:val="20"/>
          <w:lang w:val="sl-SI"/>
        </w:rPr>
      </w:pPr>
      <w:r w:rsidRPr="00AC4CD0">
        <w:rPr>
          <w:rFonts w:cs="Arial"/>
          <w:i/>
          <w:iCs/>
          <w:szCs w:val="20"/>
          <w:lang w:val="sl-SI"/>
        </w:rPr>
        <w:t>Vendar vlada pojasnjuje, da spoštuje sodbe sodišč in da bo navedena sodba Upravnega sodišča tako v konkretnem primeru in tudi v vseh drugih primerih, ki imajo enake lastnosti oziroma značilnosti, ki so pravno določene kot sestavine zakonskega dejanskega stanja, upoštevana.</w:t>
      </w:r>
      <w:r w:rsidR="000D1F9D">
        <w:rPr>
          <w:rFonts w:cs="Arial"/>
          <w:i/>
          <w:iCs/>
          <w:szCs w:val="20"/>
          <w:lang w:val="sl-SI"/>
        </w:rPr>
        <w:t>«</w:t>
      </w:r>
    </w:p>
    <w:sectPr w:rsidR="00AC4CD0" w:rsidRPr="00AC4CD0" w:rsidSect="00C429D0">
      <w:headerReference w:type="default" r:id="rId15"/>
      <w:footerReference w:type="default" r:id="rId16"/>
      <w:headerReference w:type="first" r:id="rId17"/>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095D5" w14:textId="77777777" w:rsidR="0075131D" w:rsidRDefault="0075131D">
      <w:r>
        <w:separator/>
      </w:r>
    </w:p>
  </w:endnote>
  <w:endnote w:type="continuationSeparator" w:id="0">
    <w:p w14:paraId="382BF284" w14:textId="77777777" w:rsidR="0075131D" w:rsidRDefault="0075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E5B1" w14:textId="77777777" w:rsidR="00521917" w:rsidRDefault="00521917">
    <w:pPr>
      <w:pStyle w:val="Noga"/>
      <w:jc w:val="right"/>
    </w:pPr>
    <w:r>
      <w:fldChar w:fldCharType="begin"/>
    </w:r>
    <w:r>
      <w:instrText>PAGE   \* MERGEFORMAT</w:instrText>
    </w:r>
    <w:r>
      <w:fldChar w:fldCharType="separate"/>
    </w:r>
    <w:r w:rsidR="00F327B1" w:rsidRPr="00F327B1">
      <w:rPr>
        <w:noProof/>
        <w:lang w:val="sl-SI"/>
      </w:rPr>
      <w:t>2</w:t>
    </w:r>
    <w:r>
      <w:fldChar w:fldCharType="end"/>
    </w:r>
  </w:p>
  <w:p w14:paraId="79B18958" w14:textId="77777777" w:rsidR="00521917" w:rsidRDefault="005219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1B2A7" w14:textId="77777777" w:rsidR="0075131D" w:rsidRDefault="0075131D">
      <w:r>
        <w:separator/>
      </w:r>
    </w:p>
  </w:footnote>
  <w:footnote w:type="continuationSeparator" w:id="0">
    <w:p w14:paraId="661E5309" w14:textId="77777777" w:rsidR="0075131D" w:rsidRDefault="0075131D">
      <w:r>
        <w:continuationSeparator/>
      </w:r>
    </w:p>
  </w:footnote>
  <w:footnote w:id="1">
    <w:p w14:paraId="0953A8FF" w14:textId="39246AEC" w:rsidR="005D432C" w:rsidRPr="005D432C" w:rsidRDefault="005D432C">
      <w:pPr>
        <w:pStyle w:val="Sprotnaopomba-besedilo"/>
        <w:rPr>
          <w:lang w:val="sl-SI"/>
        </w:rPr>
      </w:pPr>
      <w:r>
        <w:rPr>
          <w:rStyle w:val="Sprotnaopomba-sklic"/>
        </w:rPr>
        <w:footnoteRef/>
      </w:r>
      <w:r>
        <w:t xml:space="preserve"> </w:t>
      </w:r>
      <w:proofErr w:type="spellStart"/>
      <w:r w:rsidRPr="005D432C">
        <w:rPr>
          <w:sz w:val="18"/>
          <w:szCs w:val="18"/>
        </w:rPr>
        <w:t>Uradni</w:t>
      </w:r>
      <w:proofErr w:type="spellEnd"/>
      <w:r w:rsidRPr="005D432C">
        <w:rPr>
          <w:sz w:val="18"/>
          <w:szCs w:val="18"/>
        </w:rPr>
        <w:t xml:space="preserve"> list RS, </w:t>
      </w:r>
      <w:proofErr w:type="spellStart"/>
      <w:r w:rsidRPr="005D432C">
        <w:rPr>
          <w:sz w:val="18"/>
          <w:szCs w:val="18"/>
        </w:rPr>
        <w:t>št</w:t>
      </w:r>
      <w:proofErr w:type="spellEnd"/>
      <w:r w:rsidRPr="005D432C">
        <w:rPr>
          <w:sz w:val="18"/>
          <w:szCs w:val="18"/>
        </w:rPr>
        <w:t xml:space="preserve">. 105/06, 107/09 – </w:t>
      </w:r>
      <w:proofErr w:type="spellStart"/>
      <w:r w:rsidRPr="005D432C">
        <w:rPr>
          <w:sz w:val="18"/>
          <w:szCs w:val="18"/>
        </w:rPr>
        <w:t>odl</w:t>
      </w:r>
      <w:proofErr w:type="spellEnd"/>
      <w:r w:rsidRPr="005D432C">
        <w:rPr>
          <w:sz w:val="18"/>
          <w:szCs w:val="18"/>
        </w:rPr>
        <w:t xml:space="preserve">. US, 62/10, 98/11 – </w:t>
      </w:r>
      <w:proofErr w:type="spellStart"/>
      <w:r w:rsidRPr="005D432C">
        <w:rPr>
          <w:sz w:val="18"/>
          <w:szCs w:val="18"/>
        </w:rPr>
        <w:t>odl</w:t>
      </w:r>
      <w:proofErr w:type="spellEnd"/>
      <w:r w:rsidRPr="005D432C">
        <w:rPr>
          <w:sz w:val="18"/>
          <w:szCs w:val="18"/>
        </w:rPr>
        <w:t>. US, 109/12 in 10/17 – ZPP-E</w:t>
      </w:r>
      <w:r>
        <w:rPr>
          <w:sz w:val="18"/>
          <w:szCs w:val="18"/>
        </w:rPr>
        <w:t>.</w:t>
      </w:r>
    </w:p>
  </w:footnote>
  <w:footnote w:id="2">
    <w:p w14:paraId="4F7B2437" w14:textId="6A6B8043" w:rsidR="005D432C" w:rsidRPr="005D432C" w:rsidRDefault="005D432C">
      <w:pPr>
        <w:pStyle w:val="Sprotnaopomba-besedilo"/>
        <w:rPr>
          <w:sz w:val="18"/>
          <w:szCs w:val="18"/>
          <w:lang w:val="sl-SI"/>
        </w:rPr>
      </w:pPr>
      <w:r w:rsidRPr="005D432C">
        <w:rPr>
          <w:rStyle w:val="Sprotnaopomba-sklic"/>
          <w:sz w:val="18"/>
          <w:szCs w:val="18"/>
        </w:rPr>
        <w:footnoteRef/>
      </w:r>
      <w:r w:rsidRPr="005D432C">
        <w:rPr>
          <w:sz w:val="18"/>
          <w:szCs w:val="18"/>
          <w:lang w:val="sl-SI"/>
        </w:rPr>
        <w:t xml:space="preserve"> </w:t>
      </w:r>
      <w:r w:rsidRPr="005D432C">
        <w:rPr>
          <w:sz w:val="18"/>
          <w:szCs w:val="18"/>
          <w:lang w:val="sl-SI"/>
        </w:rPr>
        <w:t xml:space="preserve">Glej sklep Vrhovnega sodišča X </w:t>
      </w:r>
      <w:proofErr w:type="spellStart"/>
      <w:r w:rsidRPr="005D432C">
        <w:rPr>
          <w:sz w:val="18"/>
          <w:szCs w:val="18"/>
          <w:lang w:val="sl-SI"/>
        </w:rPr>
        <w:t>Ips</w:t>
      </w:r>
      <w:proofErr w:type="spellEnd"/>
      <w:r w:rsidRPr="005D432C">
        <w:rPr>
          <w:sz w:val="18"/>
          <w:szCs w:val="18"/>
          <w:lang w:val="sl-SI"/>
        </w:rPr>
        <w:t xml:space="preserve"> 1095/2004.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4AF6" w14:textId="77777777" w:rsidR="00521917" w:rsidRPr="00110CBD" w:rsidRDefault="0052191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21917" w:rsidRPr="008F3500" w14:paraId="69BA5BF4" w14:textId="77777777">
      <w:trPr>
        <w:cantSplit/>
        <w:trHeight w:hRule="exact" w:val="847"/>
      </w:trPr>
      <w:tc>
        <w:tcPr>
          <w:tcW w:w="567" w:type="dxa"/>
        </w:tcPr>
        <w:p w14:paraId="2BA811A9" w14:textId="77777777" w:rsidR="00521917" w:rsidRPr="008F3500" w:rsidRDefault="00521917"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23BBB26" wp14:editId="588770E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04B4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2D669E7F" w14:textId="77777777" w:rsidR="00521917" w:rsidRPr="008F3500" w:rsidRDefault="00521917"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5F032E6D" wp14:editId="1818E3A4">
          <wp:simplePos x="0" y="0"/>
          <wp:positionH relativeFrom="page">
            <wp:posOffset>0</wp:posOffset>
          </wp:positionH>
          <wp:positionV relativeFrom="page">
            <wp:posOffset>0</wp:posOffset>
          </wp:positionV>
          <wp:extent cx="4321810" cy="1347470"/>
          <wp:effectExtent l="0" t="0" r="2540" b="5080"/>
          <wp:wrapSquare wrapText="bothSides"/>
          <wp:docPr id="20" name="Picture 20" descr="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Župančičeva 3, p.p.644a</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01 369 66 10</w:t>
    </w:r>
  </w:p>
  <w:p w14:paraId="54DB3578" w14:textId="77777777" w:rsidR="00521917" w:rsidRPr="008F3500" w:rsidRDefault="0052191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01 369 66 19</w:t>
    </w:r>
    <w:r w:rsidRPr="008F3500">
      <w:rPr>
        <w:rFonts w:cs="Arial"/>
        <w:sz w:val="16"/>
        <w:lang w:val="sl-SI"/>
      </w:rPr>
      <w:t xml:space="preserve"> </w:t>
    </w:r>
  </w:p>
  <w:p w14:paraId="789F136F" w14:textId="77777777" w:rsidR="00521917" w:rsidRPr="008F3500" w:rsidRDefault="0052191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09B9772C" w14:textId="77777777" w:rsidR="00521917" w:rsidRDefault="0052191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B43AAA">
        <w:rPr>
          <w:rStyle w:val="Hiperpovezava"/>
          <w:rFonts w:cs="Arial"/>
          <w:sz w:val="16"/>
          <w:lang w:val="sl-SI"/>
        </w:rPr>
        <w:t>www.mf.gov.si</w:t>
      </w:r>
    </w:hyperlink>
  </w:p>
  <w:p w14:paraId="2B1D918D" w14:textId="77777777" w:rsidR="00521917" w:rsidRPr="008F3500" w:rsidRDefault="00521917" w:rsidP="00A770A6">
    <w:pPr>
      <w:pStyle w:val="Glava"/>
      <w:tabs>
        <w:tab w:val="clear" w:pos="4320"/>
        <w:tab w:val="clear" w:pos="8640"/>
        <w:tab w:val="left" w:pos="5112"/>
      </w:tabs>
      <w:spacing w:line="240" w:lineRule="exact"/>
      <w:rPr>
        <w:rFonts w:cs="Arial"/>
        <w:sz w:val="16"/>
        <w:lang w:val="sl-SI"/>
      </w:rPr>
    </w:pPr>
  </w:p>
  <w:p w14:paraId="28659B67" w14:textId="77777777" w:rsidR="00521917" w:rsidRDefault="00521917" w:rsidP="00130D3B">
    <w:pPr>
      <w:pStyle w:val="Glava"/>
      <w:tabs>
        <w:tab w:val="clear" w:pos="4320"/>
        <w:tab w:val="left" w:pos="5112"/>
      </w:tabs>
      <w:rPr>
        <w:i/>
        <w:u w:val="single"/>
        <w:lang w:val="sl-SI"/>
      </w:rPr>
    </w:pPr>
    <w:r>
      <w:rPr>
        <w:lang w:val="sl-SI"/>
      </w:rPr>
      <w:tab/>
    </w:r>
    <w:r>
      <w:rPr>
        <w:i/>
        <w:u w:val="single"/>
        <w:lang w:val="sl-SI"/>
      </w:rPr>
      <w:t>Prosimo, da se pri odgovoru</w:t>
    </w:r>
  </w:p>
  <w:p w14:paraId="5D077557" w14:textId="77777777" w:rsidR="00521917" w:rsidRDefault="00521917" w:rsidP="00130D3B">
    <w:pPr>
      <w:pStyle w:val="Glava"/>
      <w:tabs>
        <w:tab w:val="clear" w:pos="4320"/>
        <w:tab w:val="left" w:pos="5112"/>
      </w:tabs>
    </w:pPr>
    <w:r>
      <w:rPr>
        <w:lang w:val="sl-SI"/>
      </w:rPr>
      <w:tab/>
    </w:r>
    <w:r>
      <w:rPr>
        <w:i/>
        <w:u w:val="single"/>
        <w:lang w:val="sl-SI"/>
      </w:rPr>
      <w:t>sklicujete na našo številko.</w:t>
    </w:r>
    <w:r>
      <w:t xml:space="preserve"> </w:t>
    </w:r>
  </w:p>
  <w:p w14:paraId="022D69EB" w14:textId="77777777" w:rsidR="00521917" w:rsidRPr="008F3500" w:rsidRDefault="00521917"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2D3AF9"/>
    <w:multiLevelType w:val="hybridMultilevel"/>
    <w:tmpl w:val="2EF4B2DC"/>
    <w:lvl w:ilvl="0" w:tplc="A84AA1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23A88"/>
    <w:rsid w:val="00031A52"/>
    <w:rsid w:val="000326C5"/>
    <w:rsid w:val="000363BF"/>
    <w:rsid w:val="000407D9"/>
    <w:rsid w:val="00047956"/>
    <w:rsid w:val="000558CE"/>
    <w:rsid w:val="00070816"/>
    <w:rsid w:val="00083AD6"/>
    <w:rsid w:val="00086F99"/>
    <w:rsid w:val="0009410A"/>
    <w:rsid w:val="000A7238"/>
    <w:rsid w:val="000A772D"/>
    <w:rsid w:val="000B7626"/>
    <w:rsid w:val="000D1F9D"/>
    <w:rsid w:val="000F2768"/>
    <w:rsid w:val="000F50DD"/>
    <w:rsid w:val="000F6DFF"/>
    <w:rsid w:val="00103A9E"/>
    <w:rsid w:val="00130D3B"/>
    <w:rsid w:val="001357B2"/>
    <w:rsid w:val="001432DD"/>
    <w:rsid w:val="00144E69"/>
    <w:rsid w:val="00161014"/>
    <w:rsid w:val="0017478F"/>
    <w:rsid w:val="001763EC"/>
    <w:rsid w:val="00177F03"/>
    <w:rsid w:val="0019273F"/>
    <w:rsid w:val="001C0FB5"/>
    <w:rsid w:val="001E702C"/>
    <w:rsid w:val="001F0184"/>
    <w:rsid w:val="00202A77"/>
    <w:rsid w:val="00220012"/>
    <w:rsid w:val="002356D7"/>
    <w:rsid w:val="002660A3"/>
    <w:rsid w:val="00271CE5"/>
    <w:rsid w:val="0027319A"/>
    <w:rsid w:val="00274F76"/>
    <w:rsid w:val="00282020"/>
    <w:rsid w:val="00291235"/>
    <w:rsid w:val="002A2B69"/>
    <w:rsid w:val="002B4CFD"/>
    <w:rsid w:val="002B720F"/>
    <w:rsid w:val="002C28D7"/>
    <w:rsid w:val="002C29F2"/>
    <w:rsid w:val="002D4820"/>
    <w:rsid w:val="002E16BA"/>
    <w:rsid w:val="002E52FE"/>
    <w:rsid w:val="002F31E4"/>
    <w:rsid w:val="003014D8"/>
    <w:rsid w:val="00311B38"/>
    <w:rsid w:val="00351E30"/>
    <w:rsid w:val="00362C5C"/>
    <w:rsid w:val="003636BF"/>
    <w:rsid w:val="003638A9"/>
    <w:rsid w:val="00371442"/>
    <w:rsid w:val="0037445C"/>
    <w:rsid w:val="003845B4"/>
    <w:rsid w:val="0038531B"/>
    <w:rsid w:val="00386AC1"/>
    <w:rsid w:val="00387B1A"/>
    <w:rsid w:val="00393A03"/>
    <w:rsid w:val="003943DF"/>
    <w:rsid w:val="00397864"/>
    <w:rsid w:val="003B1922"/>
    <w:rsid w:val="003B47BE"/>
    <w:rsid w:val="003B7979"/>
    <w:rsid w:val="003B7D78"/>
    <w:rsid w:val="003C18C0"/>
    <w:rsid w:val="003C5EE5"/>
    <w:rsid w:val="003D2F6C"/>
    <w:rsid w:val="003D3833"/>
    <w:rsid w:val="003D4954"/>
    <w:rsid w:val="003E1C74"/>
    <w:rsid w:val="003E35E1"/>
    <w:rsid w:val="003E4CB8"/>
    <w:rsid w:val="003E65A9"/>
    <w:rsid w:val="003F07C7"/>
    <w:rsid w:val="004175A1"/>
    <w:rsid w:val="00435E6A"/>
    <w:rsid w:val="0044015E"/>
    <w:rsid w:val="00450C55"/>
    <w:rsid w:val="00452922"/>
    <w:rsid w:val="0046400B"/>
    <w:rsid w:val="004657EE"/>
    <w:rsid w:val="00467B6D"/>
    <w:rsid w:val="004752A1"/>
    <w:rsid w:val="00483977"/>
    <w:rsid w:val="004B4522"/>
    <w:rsid w:val="004B525E"/>
    <w:rsid w:val="004B68F7"/>
    <w:rsid w:val="004D4077"/>
    <w:rsid w:val="004E3156"/>
    <w:rsid w:val="004E79AE"/>
    <w:rsid w:val="0050078F"/>
    <w:rsid w:val="00506C54"/>
    <w:rsid w:val="00521917"/>
    <w:rsid w:val="005224AF"/>
    <w:rsid w:val="00526246"/>
    <w:rsid w:val="0053283C"/>
    <w:rsid w:val="00546085"/>
    <w:rsid w:val="005471DC"/>
    <w:rsid w:val="00567106"/>
    <w:rsid w:val="00570C8F"/>
    <w:rsid w:val="005747AC"/>
    <w:rsid w:val="00582101"/>
    <w:rsid w:val="00592C3F"/>
    <w:rsid w:val="005A4113"/>
    <w:rsid w:val="005B3E3A"/>
    <w:rsid w:val="005D432C"/>
    <w:rsid w:val="005E1D3C"/>
    <w:rsid w:val="005F7236"/>
    <w:rsid w:val="00601CDC"/>
    <w:rsid w:val="0061782F"/>
    <w:rsid w:val="00621AD6"/>
    <w:rsid w:val="00625AE6"/>
    <w:rsid w:val="00632253"/>
    <w:rsid w:val="00640D0B"/>
    <w:rsid w:val="00642714"/>
    <w:rsid w:val="006448A2"/>
    <w:rsid w:val="006455CE"/>
    <w:rsid w:val="00651289"/>
    <w:rsid w:val="00655841"/>
    <w:rsid w:val="0066008C"/>
    <w:rsid w:val="00663D0C"/>
    <w:rsid w:val="006866C2"/>
    <w:rsid w:val="00692A52"/>
    <w:rsid w:val="006A43A9"/>
    <w:rsid w:val="006B002D"/>
    <w:rsid w:val="006B35C0"/>
    <w:rsid w:val="006B5D0B"/>
    <w:rsid w:val="006B64BE"/>
    <w:rsid w:val="006C0679"/>
    <w:rsid w:val="006D5AC4"/>
    <w:rsid w:val="006F08B0"/>
    <w:rsid w:val="00710077"/>
    <w:rsid w:val="0071784D"/>
    <w:rsid w:val="0071785E"/>
    <w:rsid w:val="00720499"/>
    <w:rsid w:val="007230FD"/>
    <w:rsid w:val="0072427E"/>
    <w:rsid w:val="00733017"/>
    <w:rsid w:val="007339C6"/>
    <w:rsid w:val="00750CCE"/>
    <w:rsid w:val="00750D53"/>
    <w:rsid w:val="0075131D"/>
    <w:rsid w:val="00752888"/>
    <w:rsid w:val="00761043"/>
    <w:rsid w:val="00776ECD"/>
    <w:rsid w:val="00783310"/>
    <w:rsid w:val="007917D6"/>
    <w:rsid w:val="00792D5C"/>
    <w:rsid w:val="0079693C"/>
    <w:rsid w:val="007A4A6D"/>
    <w:rsid w:val="007D1BCF"/>
    <w:rsid w:val="007D38AA"/>
    <w:rsid w:val="007D75CF"/>
    <w:rsid w:val="007E0440"/>
    <w:rsid w:val="007E407F"/>
    <w:rsid w:val="007E6DC5"/>
    <w:rsid w:val="007F2783"/>
    <w:rsid w:val="007F2FA7"/>
    <w:rsid w:val="007F4483"/>
    <w:rsid w:val="007F55F2"/>
    <w:rsid w:val="008000A9"/>
    <w:rsid w:val="008003A5"/>
    <w:rsid w:val="00822A7C"/>
    <w:rsid w:val="00842BB6"/>
    <w:rsid w:val="00851B86"/>
    <w:rsid w:val="00856751"/>
    <w:rsid w:val="008617BE"/>
    <w:rsid w:val="00865EBA"/>
    <w:rsid w:val="00870E28"/>
    <w:rsid w:val="0087565A"/>
    <w:rsid w:val="008779AA"/>
    <w:rsid w:val="0088043C"/>
    <w:rsid w:val="00882CA7"/>
    <w:rsid w:val="00884889"/>
    <w:rsid w:val="008906C9"/>
    <w:rsid w:val="00891578"/>
    <w:rsid w:val="00894E7B"/>
    <w:rsid w:val="008A23CC"/>
    <w:rsid w:val="008A49FA"/>
    <w:rsid w:val="008B4CCF"/>
    <w:rsid w:val="008C5738"/>
    <w:rsid w:val="008C7DE6"/>
    <w:rsid w:val="008D04F0"/>
    <w:rsid w:val="008F0E2A"/>
    <w:rsid w:val="008F179F"/>
    <w:rsid w:val="008F3500"/>
    <w:rsid w:val="009204BF"/>
    <w:rsid w:val="0092123F"/>
    <w:rsid w:val="009241BF"/>
    <w:rsid w:val="00924E3C"/>
    <w:rsid w:val="00926716"/>
    <w:rsid w:val="009378CD"/>
    <w:rsid w:val="00941EF3"/>
    <w:rsid w:val="009612BB"/>
    <w:rsid w:val="00964685"/>
    <w:rsid w:val="009814D2"/>
    <w:rsid w:val="00982C54"/>
    <w:rsid w:val="00991DEF"/>
    <w:rsid w:val="00993831"/>
    <w:rsid w:val="009B1451"/>
    <w:rsid w:val="009C740A"/>
    <w:rsid w:val="009D631F"/>
    <w:rsid w:val="009E7F04"/>
    <w:rsid w:val="009F24B0"/>
    <w:rsid w:val="00A02F1D"/>
    <w:rsid w:val="00A07E14"/>
    <w:rsid w:val="00A12063"/>
    <w:rsid w:val="00A125C5"/>
    <w:rsid w:val="00A2451C"/>
    <w:rsid w:val="00A34D25"/>
    <w:rsid w:val="00A37613"/>
    <w:rsid w:val="00A4583A"/>
    <w:rsid w:val="00A539B6"/>
    <w:rsid w:val="00A578EC"/>
    <w:rsid w:val="00A65EE7"/>
    <w:rsid w:val="00A70133"/>
    <w:rsid w:val="00A711F3"/>
    <w:rsid w:val="00A75DE3"/>
    <w:rsid w:val="00A770A6"/>
    <w:rsid w:val="00A8090B"/>
    <w:rsid w:val="00A813B1"/>
    <w:rsid w:val="00A85669"/>
    <w:rsid w:val="00A90EB5"/>
    <w:rsid w:val="00A940D7"/>
    <w:rsid w:val="00AA192A"/>
    <w:rsid w:val="00AA582F"/>
    <w:rsid w:val="00AB36C4"/>
    <w:rsid w:val="00AC1B89"/>
    <w:rsid w:val="00AC32B2"/>
    <w:rsid w:val="00AC4CD0"/>
    <w:rsid w:val="00AC6209"/>
    <w:rsid w:val="00AD44BA"/>
    <w:rsid w:val="00AE6B0D"/>
    <w:rsid w:val="00AF34D7"/>
    <w:rsid w:val="00B055C4"/>
    <w:rsid w:val="00B07969"/>
    <w:rsid w:val="00B152FE"/>
    <w:rsid w:val="00B16909"/>
    <w:rsid w:val="00B17141"/>
    <w:rsid w:val="00B222DE"/>
    <w:rsid w:val="00B31575"/>
    <w:rsid w:val="00B347F9"/>
    <w:rsid w:val="00B36123"/>
    <w:rsid w:val="00B41BE4"/>
    <w:rsid w:val="00B444A2"/>
    <w:rsid w:val="00B54A03"/>
    <w:rsid w:val="00B64A09"/>
    <w:rsid w:val="00B66661"/>
    <w:rsid w:val="00B67429"/>
    <w:rsid w:val="00B71C58"/>
    <w:rsid w:val="00B77B5C"/>
    <w:rsid w:val="00B8547D"/>
    <w:rsid w:val="00B874A5"/>
    <w:rsid w:val="00B9652E"/>
    <w:rsid w:val="00BA0DC5"/>
    <w:rsid w:val="00BA24E8"/>
    <w:rsid w:val="00BB1CEE"/>
    <w:rsid w:val="00BB2F3C"/>
    <w:rsid w:val="00BB3F08"/>
    <w:rsid w:val="00BE058B"/>
    <w:rsid w:val="00C10D73"/>
    <w:rsid w:val="00C250D5"/>
    <w:rsid w:val="00C35666"/>
    <w:rsid w:val="00C429D0"/>
    <w:rsid w:val="00C43DC5"/>
    <w:rsid w:val="00C47EA7"/>
    <w:rsid w:val="00C52265"/>
    <w:rsid w:val="00C547BF"/>
    <w:rsid w:val="00C55CBA"/>
    <w:rsid w:val="00C5605D"/>
    <w:rsid w:val="00C57AE4"/>
    <w:rsid w:val="00C7291D"/>
    <w:rsid w:val="00C828AE"/>
    <w:rsid w:val="00C92898"/>
    <w:rsid w:val="00CA4340"/>
    <w:rsid w:val="00CB7525"/>
    <w:rsid w:val="00CC612B"/>
    <w:rsid w:val="00CD3311"/>
    <w:rsid w:val="00CD71E9"/>
    <w:rsid w:val="00CE5238"/>
    <w:rsid w:val="00CE7514"/>
    <w:rsid w:val="00CF2FB1"/>
    <w:rsid w:val="00CF47C5"/>
    <w:rsid w:val="00D04605"/>
    <w:rsid w:val="00D16E1E"/>
    <w:rsid w:val="00D23A46"/>
    <w:rsid w:val="00D248DE"/>
    <w:rsid w:val="00D36601"/>
    <w:rsid w:val="00D53C3E"/>
    <w:rsid w:val="00D55457"/>
    <w:rsid w:val="00D56DFC"/>
    <w:rsid w:val="00D71336"/>
    <w:rsid w:val="00D739E7"/>
    <w:rsid w:val="00D76CEF"/>
    <w:rsid w:val="00D83D07"/>
    <w:rsid w:val="00D8521D"/>
    <w:rsid w:val="00D8542D"/>
    <w:rsid w:val="00DA5C5F"/>
    <w:rsid w:val="00DA6197"/>
    <w:rsid w:val="00DB3104"/>
    <w:rsid w:val="00DC0747"/>
    <w:rsid w:val="00DC6A71"/>
    <w:rsid w:val="00DD3EA4"/>
    <w:rsid w:val="00DE16B4"/>
    <w:rsid w:val="00DE2D21"/>
    <w:rsid w:val="00DF165D"/>
    <w:rsid w:val="00DF64AA"/>
    <w:rsid w:val="00E0357D"/>
    <w:rsid w:val="00E14F9C"/>
    <w:rsid w:val="00E2304F"/>
    <w:rsid w:val="00E27BD6"/>
    <w:rsid w:val="00E4356E"/>
    <w:rsid w:val="00E50797"/>
    <w:rsid w:val="00E61480"/>
    <w:rsid w:val="00E731F4"/>
    <w:rsid w:val="00E94A99"/>
    <w:rsid w:val="00EA33B2"/>
    <w:rsid w:val="00EB760F"/>
    <w:rsid w:val="00ED1C3E"/>
    <w:rsid w:val="00ED71F4"/>
    <w:rsid w:val="00EE0530"/>
    <w:rsid w:val="00EE6094"/>
    <w:rsid w:val="00EF24B5"/>
    <w:rsid w:val="00F15C1E"/>
    <w:rsid w:val="00F1771B"/>
    <w:rsid w:val="00F240BB"/>
    <w:rsid w:val="00F327B1"/>
    <w:rsid w:val="00F36ABA"/>
    <w:rsid w:val="00F40655"/>
    <w:rsid w:val="00F413D0"/>
    <w:rsid w:val="00F41F90"/>
    <w:rsid w:val="00F4388C"/>
    <w:rsid w:val="00F46344"/>
    <w:rsid w:val="00F47B8E"/>
    <w:rsid w:val="00F50EFF"/>
    <w:rsid w:val="00F56CF1"/>
    <w:rsid w:val="00F57FED"/>
    <w:rsid w:val="00F6157E"/>
    <w:rsid w:val="00F765CE"/>
    <w:rsid w:val="00F77DA9"/>
    <w:rsid w:val="00F87A44"/>
    <w:rsid w:val="00FA1728"/>
    <w:rsid w:val="00FA5B18"/>
    <w:rsid w:val="00FA659F"/>
    <w:rsid w:val="00FA79AD"/>
    <w:rsid w:val="00FB69E0"/>
    <w:rsid w:val="00FC54B2"/>
    <w:rsid w:val="00FD2853"/>
    <w:rsid w:val="00FD4AF5"/>
    <w:rsid w:val="00FE69FA"/>
    <w:rsid w:val="00FF4FDD"/>
    <w:rsid w:val="00FF576F"/>
    <w:rsid w:val="00FF63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1AFED44"/>
  <w15:docId w15:val="{1826EB5B-BF2F-47D5-B2CA-DBC578CD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character" w:customStyle="1" w:styleId="NogaZnak">
    <w:name w:val="Noga Znak"/>
    <w:link w:val="Noga"/>
    <w:uiPriority w:val="99"/>
    <w:rsid w:val="0087565A"/>
    <w:rPr>
      <w:rFonts w:ascii="Arial" w:hAnsi="Arial"/>
      <w:szCs w:val="24"/>
      <w:lang w:val="en-US" w:eastAsia="en-US"/>
    </w:rPr>
  </w:style>
  <w:style w:type="paragraph" w:styleId="Sprotnaopomba-besedilo">
    <w:name w:val="footnote text"/>
    <w:basedOn w:val="Navaden"/>
    <w:link w:val="Sprotnaopomba-besediloZnak"/>
    <w:semiHidden/>
    <w:unhideWhenUsed/>
    <w:rsid w:val="009241BF"/>
    <w:pPr>
      <w:spacing w:line="240" w:lineRule="auto"/>
    </w:pPr>
    <w:rPr>
      <w:szCs w:val="20"/>
    </w:rPr>
  </w:style>
  <w:style w:type="character" w:customStyle="1" w:styleId="Sprotnaopomba-besediloZnak">
    <w:name w:val="Sprotna opomba - besedilo Znak"/>
    <w:basedOn w:val="Privzetapisavaodstavka"/>
    <w:link w:val="Sprotnaopomba-besedilo"/>
    <w:semiHidden/>
    <w:rsid w:val="009241BF"/>
    <w:rPr>
      <w:rFonts w:ascii="Arial" w:hAnsi="Arial"/>
      <w:lang w:val="en-US" w:eastAsia="en-US"/>
    </w:rPr>
  </w:style>
  <w:style w:type="character" w:styleId="Sprotnaopomba-sklic">
    <w:name w:val="footnote reference"/>
    <w:basedOn w:val="Privzetapisavaodstavka"/>
    <w:semiHidden/>
    <w:unhideWhenUsed/>
    <w:rsid w:val="009241BF"/>
    <w:rPr>
      <w:vertAlign w:val="superscript"/>
    </w:rPr>
  </w:style>
  <w:style w:type="paragraph" w:styleId="Odstavekseznama">
    <w:name w:val="List Paragraph"/>
    <w:basedOn w:val="Navaden"/>
    <w:uiPriority w:val="34"/>
    <w:qFormat/>
    <w:rsid w:val="007F2FA7"/>
    <w:pPr>
      <w:ind w:left="720"/>
      <w:contextualSpacing/>
    </w:pPr>
  </w:style>
  <w:style w:type="paragraph" w:styleId="Besedilooblaka">
    <w:name w:val="Balloon Text"/>
    <w:basedOn w:val="Navaden"/>
    <w:link w:val="BesedilooblakaZnak"/>
    <w:semiHidden/>
    <w:unhideWhenUsed/>
    <w:rsid w:val="002C29F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C29F2"/>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592C3F"/>
    <w:rPr>
      <w:color w:val="605E5C"/>
      <w:shd w:val="clear" w:color="auto" w:fill="E1DFDD"/>
    </w:rPr>
  </w:style>
  <w:style w:type="character" w:styleId="SledenaHiperpovezava">
    <w:name w:val="FollowedHyperlink"/>
    <w:basedOn w:val="Privzetapisavaodstavka"/>
    <w:semiHidden/>
    <w:unhideWhenUsed/>
    <w:rsid w:val="00291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438761">
      <w:bodyDiv w:val="1"/>
      <w:marLeft w:val="0"/>
      <w:marRight w:val="0"/>
      <w:marTop w:val="0"/>
      <w:marBottom w:val="0"/>
      <w:divBdr>
        <w:top w:val="none" w:sz="0" w:space="0" w:color="auto"/>
        <w:left w:val="none" w:sz="0" w:space="0" w:color="auto"/>
        <w:bottom w:val="none" w:sz="0" w:space="0" w:color="auto"/>
        <w:right w:val="none" w:sz="0" w:space="0" w:color="auto"/>
      </w:divBdr>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fu.fu@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fu.fu@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7056F-F5D3-4B8C-8695-451CE79BC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2EBE0-4963-4076-BAC8-4D3BA38F7837}">
  <ds:schemaRefs>
    <ds:schemaRef ds:uri="http://schemas.microsoft.com/sharepoint/events"/>
  </ds:schemaRefs>
</ds:datastoreItem>
</file>

<file path=customXml/itemProps3.xml><?xml version="1.0" encoding="utf-8"?>
<ds:datastoreItem xmlns:ds="http://schemas.openxmlformats.org/officeDocument/2006/customXml" ds:itemID="{897FEE80-0020-48E3-A8A4-37D52A9C2693}">
  <ds:schemaRefs>
    <ds:schemaRef ds:uri="http://schemas.microsoft.com/office/2006/metadata/longProperties"/>
  </ds:schemaRefs>
</ds:datastoreItem>
</file>

<file path=customXml/itemProps4.xml><?xml version="1.0" encoding="utf-8"?>
<ds:datastoreItem xmlns:ds="http://schemas.openxmlformats.org/officeDocument/2006/customXml" ds:itemID="{08226614-8941-47AE-AD80-EB111CF4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508A5E-3590-4080-970E-F153714E6BF4}">
  <ds:schemaRefs>
    <ds:schemaRef ds:uri="http://schemas.openxmlformats.org/officeDocument/2006/bibliography"/>
  </ds:schemaRefs>
</ds:datastoreItem>
</file>

<file path=customXml/itemProps6.xml><?xml version="1.0" encoding="utf-8"?>
<ds:datastoreItem xmlns:ds="http://schemas.openxmlformats.org/officeDocument/2006/customXml" ds:itemID="{B322B20A-44BC-44C0-9A78-1820757B3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4794</CharactersWithSpaces>
  <SharedDoc>false</SharedDoc>
  <HLinks>
    <vt:vector size="6" baseType="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dc:description/>
  <cp:lastModifiedBy>MF12</cp:lastModifiedBy>
  <cp:revision>3</cp:revision>
  <cp:lastPrinted>2010-07-16T08:41:00Z</cp:lastPrinted>
  <dcterms:created xsi:type="dcterms:W3CDTF">2021-09-16T12:42:00Z</dcterms:created>
  <dcterms:modified xsi:type="dcterms:W3CDTF">2021-09-16T12:42:00Z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https://iportal.mf.si/podrocja/davkicarine/interno/_layouts/15/DocIdRedir.aspx?ID=YPDRX2FCMFN4-33-26, YPDRX2FCMFN4-33-26</vt:lpwstr>
  </property>
</Properties>
</file>