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A89EB" w14:textId="101327A1" w:rsidR="00D23FE9" w:rsidRDefault="00D23FE9">
      <w:pPr>
        <w:spacing w:line="1" w:lineRule="exact"/>
      </w:pPr>
    </w:p>
    <w:p w14:paraId="2F19B684" w14:textId="49E402B6" w:rsidR="00D23FE9" w:rsidRDefault="00D23FE9">
      <w:pPr>
        <w:pStyle w:val="Bodytext30"/>
        <w:pBdr>
          <w:top w:val="single" w:sz="0" w:space="0" w:color="9CA8AB"/>
          <w:left w:val="single" w:sz="0" w:space="0" w:color="9CA8AB"/>
          <w:bottom w:val="single" w:sz="0" w:space="0" w:color="9CA8AB"/>
          <w:right w:val="single" w:sz="0" w:space="0" w:color="9CA8AB"/>
        </w:pBdr>
        <w:shd w:val="clear" w:color="auto" w:fill="9CA8AB"/>
      </w:pPr>
    </w:p>
    <w:p w14:paraId="087BBE00" w14:textId="77777777" w:rsidR="00D23FE9" w:rsidRDefault="00B9004E">
      <w:pPr>
        <w:pStyle w:val="Bodytext20"/>
      </w:pPr>
      <w:r>
        <w:rPr>
          <w:rStyle w:val="Bodytext2"/>
        </w:rPr>
        <w:t>Stegne 7, 1001 Ljubljana</w:t>
      </w:r>
    </w:p>
    <w:p w14:paraId="0E34BA87" w14:textId="77777777" w:rsidR="00D23FE9" w:rsidRDefault="00B9004E">
      <w:pPr>
        <w:pStyle w:val="Bodytext20"/>
      </w:pPr>
      <w:r>
        <w:rPr>
          <w:rStyle w:val="Bodytext2"/>
        </w:rPr>
        <w:t>T: 01 583 63 33</w:t>
      </w:r>
    </w:p>
    <w:p w14:paraId="17E48D2F" w14:textId="77777777" w:rsidR="00D23FE9" w:rsidRDefault="00B9004E">
      <w:pPr>
        <w:pStyle w:val="Bodytext20"/>
      </w:pPr>
      <w:r>
        <w:rPr>
          <w:rStyle w:val="Bodytext2"/>
        </w:rPr>
        <w:t>F: 01 511 11 01</w:t>
      </w:r>
    </w:p>
    <w:p w14:paraId="36090A22" w14:textId="77777777" w:rsidR="00D23FE9" w:rsidRDefault="00B9004E">
      <w:pPr>
        <w:pStyle w:val="Bodytext20"/>
        <w:spacing w:after="380"/>
        <w:ind w:left="3140"/>
      </w:pPr>
      <w:proofErr w:type="spellStart"/>
      <w:r>
        <w:rPr>
          <w:rStyle w:val="Bodytext2"/>
        </w:rPr>
        <w:t>gp</w:t>
      </w:r>
      <w:proofErr w:type="spellEnd"/>
      <w:r>
        <w:rPr>
          <w:rStyle w:val="Bodytext2"/>
        </w:rPr>
        <w:t xml:space="preserve">. </w:t>
      </w:r>
      <w:proofErr w:type="spellStart"/>
      <w:r>
        <w:rPr>
          <w:rStyle w:val="Bodytext2"/>
        </w:rPr>
        <w:t>sek@sek-rs</w:t>
      </w:r>
      <w:proofErr w:type="spellEnd"/>
      <w:r>
        <w:rPr>
          <w:rStyle w:val="Bodytext2"/>
        </w:rPr>
        <w:t>. si, http ://www. sek-</w:t>
      </w:r>
      <w:proofErr w:type="spellStart"/>
      <w:r>
        <w:rPr>
          <w:rStyle w:val="Bodytext2"/>
        </w:rPr>
        <w:t>rs</w:t>
      </w:r>
      <w:proofErr w:type="spellEnd"/>
      <w:r>
        <w:rPr>
          <w:rStyle w:val="Bodytext2"/>
        </w:rPr>
        <w:t>. si</w:t>
      </w:r>
    </w:p>
    <w:p w14:paraId="13D68DD3" w14:textId="77777777" w:rsidR="00D23FE9" w:rsidRDefault="00B9004E">
      <w:pPr>
        <w:pStyle w:val="Telobesedila"/>
        <w:spacing w:after="0" w:line="240" w:lineRule="auto"/>
        <w:jc w:val="both"/>
      </w:pPr>
      <w:r>
        <w:rPr>
          <w:rStyle w:val="TelobesedilaZnak"/>
        </w:rPr>
        <w:t>Številka: 0131-4/2020/21</w:t>
      </w:r>
    </w:p>
    <w:p w14:paraId="290B9878" w14:textId="77777777" w:rsidR="00D23FE9" w:rsidRDefault="00B9004E">
      <w:pPr>
        <w:pStyle w:val="Telobesedila"/>
        <w:tabs>
          <w:tab w:val="left" w:pos="922"/>
        </w:tabs>
        <w:spacing w:after="380" w:line="240" w:lineRule="auto"/>
        <w:jc w:val="both"/>
      </w:pPr>
      <w:r>
        <w:rPr>
          <w:rStyle w:val="TelobesedilaZnak"/>
        </w:rPr>
        <w:t>Datum:</w:t>
      </w:r>
      <w:r>
        <w:rPr>
          <w:rStyle w:val="TelobesedilaZnak"/>
        </w:rPr>
        <w:tab/>
        <w:t>29. 10. 2020</w:t>
      </w:r>
    </w:p>
    <w:p w14:paraId="3CE4EBA4" w14:textId="77777777" w:rsidR="00D23FE9" w:rsidRDefault="00B9004E">
      <w:pPr>
        <w:pStyle w:val="Telobesedila"/>
        <w:tabs>
          <w:tab w:val="left" w:pos="936"/>
        </w:tabs>
        <w:spacing w:after="0"/>
        <w:jc w:val="both"/>
      </w:pPr>
      <w:r>
        <w:rPr>
          <w:rStyle w:val="TelobesedilaZnak"/>
        </w:rPr>
        <w:t xml:space="preserve">Svet za elektronske komunikacije </w:t>
      </w:r>
      <w:r>
        <w:rPr>
          <w:rStyle w:val="TelobesedilaZnak"/>
        </w:rPr>
        <w:t>Republike Slovenije (v nadaljevanju: Svet) je na 7. dopisni seji dne 29.</w:t>
      </w:r>
      <w:r>
        <w:rPr>
          <w:rStyle w:val="TelobesedilaZnak"/>
        </w:rPr>
        <w:tab/>
        <w:t>10. 2020 na podlagi določb prvega odstavka 231. člena Zakona o elektronskih</w:t>
      </w:r>
    </w:p>
    <w:p w14:paraId="3530C753" w14:textId="77777777" w:rsidR="00D23FE9" w:rsidRDefault="00B9004E">
      <w:pPr>
        <w:pStyle w:val="Telobesedila"/>
        <w:spacing w:after="580"/>
        <w:jc w:val="both"/>
      </w:pPr>
      <w:r>
        <w:rPr>
          <w:rStyle w:val="TelobesedilaZnak"/>
        </w:rPr>
        <w:t>komunikacijah (Uradni list RS, št.</w:t>
      </w:r>
      <w:hyperlink r:id="rId7" w:history="1">
        <w:r>
          <w:rPr>
            <w:rStyle w:val="TelobesedilaZnak"/>
          </w:rPr>
          <w:t xml:space="preserve"> 109/12,</w:t>
        </w:r>
      </w:hyperlink>
      <w:hyperlink r:id="rId8" w:history="1">
        <w:r>
          <w:rPr>
            <w:rStyle w:val="TelobesedilaZnak"/>
          </w:rPr>
          <w:t xml:space="preserve"> 110/13,</w:t>
        </w:r>
      </w:hyperlink>
      <w:hyperlink r:id="rId9" w:history="1">
        <w:r>
          <w:rPr>
            <w:rStyle w:val="TelobesedilaZnak"/>
          </w:rPr>
          <w:t xml:space="preserve"> 40/14 </w:t>
        </w:r>
      </w:hyperlink>
      <w:r>
        <w:rPr>
          <w:rStyle w:val="TelobesedilaZnak"/>
        </w:rPr>
        <w:t>- ZIN-B,</w:t>
      </w:r>
      <w:hyperlink r:id="rId10" w:history="1">
        <w:r>
          <w:rPr>
            <w:rStyle w:val="TelobesedilaZnak"/>
          </w:rPr>
          <w:t xml:space="preserve"> 54/14 </w:t>
        </w:r>
      </w:hyperlink>
      <w:r>
        <w:rPr>
          <w:rStyle w:val="TelobesedilaZnak"/>
        </w:rPr>
        <w:t xml:space="preserve">- </w:t>
      </w:r>
      <w:proofErr w:type="spellStart"/>
      <w:r>
        <w:rPr>
          <w:rStyle w:val="TelobesedilaZnak"/>
        </w:rPr>
        <w:t>odl</w:t>
      </w:r>
      <w:proofErr w:type="spellEnd"/>
      <w:r>
        <w:rPr>
          <w:rStyle w:val="TelobesedilaZnak"/>
        </w:rPr>
        <w:t>. US,</w:t>
      </w:r>
      <w:hyperlink r:id="rId11" w:history="1">
        <w:r>
          <w:rPr>
            <w:rStyle w:val="TelobesedilaZnak"/>
          </w:rPr>
          <w:t xml:space="preserve"> 81/15 </w:t>
        </w:r>
      </w:hyperlink>
      <w:r>
        <w:rPr>
          <w:rStyle w:val="TelobesedilaZnak"/>
        </w:rPr>
        <w:t>in</w:t>
      </w:r>
      <w:hyperlink r:id="rId12" w:history="1">
        <w:r>
          <w:rPr>
            <w:rStyle w:val="TelobesedilaZnak"/>
          </w:rPr>
          <w:t xml:space="preserve"> 40/17;</w:t>
        </w:r>
      </w:hyperlink>
      <w:r>
        <w:rPr>
          <w:rStyle w:val="TelobesedilaZnak"/>
        </w:rPr>
        <w:t xml:space="preserve"> v nadaljevanju: ZEKom-1C) sprejel nas</w:t>
      </w:r>
      <w:r>
        <w:rPr>
          <w:rStyle w:val="TelobesedilaZnak"/>
        </w:rPr>
        <w:t>lednje</w:t>
      </w:r>
    </w:p>
    <w:p w14:paraId="2B5B7F57" w14:textId="77777777" w:rsidR="00D23FE9" w:rsidRDefault="00B9004E">
      <w:pPr>
        <w:pStyle w:val="Heading10"/>
        <w:keepNext/>
        <w:keepLines/>
      </w:pPr>
      <w:bookmarkStart w:id="0" w:name="bookmark0"/>
      <w:r>
        <w:rPr>
          <w:rStyle w:val="Heading1"/>
          <w:b/>
          <w:bCs/>
        </w:rPr>
        <w:t>Predloge in pripombe v okviru javne obravnave</w:t>
      </w:r>
      <w:r>
        <w:rPr>
          <w:rStyle w:val="Heading1"/>
          <w:b/>
          <w:bCs/>
        </w:rPr>
        <w:br/>
        <w:t>osnutka predloga Zakona o elektronskih</w:t>
      </w:r>
      <w:r>
        <w:rPr>
          <w:rStyle w:val="Heading1"/>
          <w:b/>
          <w:bCs/>
        </w:rPr>
        <w:br/>
        <w:t>komunikacijah (ZEKom-2)</w:t>
      </w:r>
      <w:bookmarkEnd w:id="0"/>
    </w:p>
    <w:p w14:paraId="7030EB51" w14:textId="77777777" w:rsidR="00D23FE9" w:rsidRDefault="00B9004E">
      <w:pPr>
        <w:pStyle w:val="Telobesedila"/>
        <w:jc w:val="both"/>
      </w:pPr>
      <w:r>
        <w:rPr>
          <w:rStyle w:val="TelobesedilaZnak"/>
        </w:rPr>
        <w:t>Spoštovani,</w:t>
      </w:r>
    </w:p>
    <w:p w14:paraId="1FC083E7" w14:textId="77777777" w:rsidR="00D23FE9" w:rsidRDefault="00B9004E">
      <w:pPr>
        <w:pStyle w:val="Telobesedila"/>
        <w:spacing w:after="580"/>
        <w:jc w:val="both"/>
      </w:pPr>
      <w:r>
        <w:rPr>
          <w:rStyle w:val="TelobesedilaZnak"/>
        </w:rPr>
        <w:t>Svet se je seznanil z osnutkom novega Zakona o elektronskih komunikacijah (ZEKom-2, EVA 2019-3130-0004) in opredelitvami Ministr</w:t>
      </w:r>
      <w:r>
        <w:rPr>
          <w:rStyle w:val="TelobesedilaZnak"/>
        </w:rPr>
        <w:t xml:space="preserve">stva za javno upravo do prispevkov iz javnega poziva za predložitev predlogov in pripomb za pripravo osnutka ZEKom-2 iz januarja 2019. Na podlagi opredelitev Svet ugotavlja, da sta od skupaj 12 predlaganih predlogov (št. 0131-3/2019/8 z dne 1.3. 2019, št. </w:t>
      </w:r>
      <w:r>
        <w:rPr>
          <w:rStyle w:val="TelobesedilaZnak"/>
        </w:rPr>
        <w:t>0131-3/2019/30 z dne 2. 12. 2019 in št. 0131-4/2020/1 z dne 28. 1.2020) v osnutku zakona implementirana le dva. Svet se strinja z opredelitvami ministrstva glede nekaterih predlogov, vendar za dva predloga ponovno predlaga njihovo implementacijo z dodatnim</w:t>
      </w:r>
      <w:r>
        <w:rPr>
          <w:rStyle w:val="TelobesedilaZnak"/>
        </w:rPr>
        <w:t>i obrazložitvami. Poleg tega Svet predlaga še tri nove predloge, ki izhajajo iz trenutnega osnutka ZEKom-2.</w:t>
      </w:r>
    </w:p>
    <w:p w14:paraId="379109F6" w14:textId="77777777" w:rsidR="00D23FE9" w:rsidRDefault="00B9004E">
      <w:pPr>
        <w:pStyle w:val="Telobesedila"/>
        <w:spacing w:after="580"/>
        <w:jc w:val="both"/>
      </w:pPr>
      <w:r>
        <w:rPr>
          <w:rStyle w:val="TelobesedilaZnak"/>
          <w:b/>
          <w:bCs/>
          <w:u w:val="single"/>
        </w:rPr>
        <w:t>PREOBLIKOVANI PREDHODNI PREDLOGI</w:t>
      </w:r>
    </w:p>
    <w:p w14:paraId="5238026D" w14:textId="77777777" w:rsidR="00D23FE9" w:rsidRDefault="00B9004E">
      <w:pPr>
        <w:pStyle w:val="Telobesedila"/>
        <w:jc w:val="both"/>
      </w:pPr>
      <w:r>
        <w:rPr>
          <w:rStyle w:val="TelobesedilaZnak"/>
          <w:b/>
          <w:bCs/>
          <w:u w:val="single"/>
        </w:rPr>
        <w:t>ZEKom-2 (člena 183 in 192) Enostaven dostop do splošnih in posebnih pogojev</w:t>
      </w:r>
    </w:p>
    <w:p w14:paraId="49C1E431" w14:textId="77777777" w:rsidR="00D23FE9" w:rsidRDefault="00B9004E">
      <w:pPr>
        <w:pStyle w:val="Telobesedila"/>
        <w:spacing w:after="380"/>
        <w:ind w:left="740"/>
        <w:jc w:val="both"/>
      </w:pPr>
      <w:r>
        <w:rPr>
          <w:rStyle w:val="TelobesedilaZnak"/>
          <w:b/>
          <w:bCs/>
        </w:rPr>
        <w:t>Svet meni, da bi morala naročniška pogo</w:t>
      </w:r>
      <w:r>
        <w:rPr>
          <w:rStyle w:val="TelobesedilaZnak"/>
          <w:b/>
          <w:bCs/>
        </w:rPr>
        <w:t>dba vsebovati tudi povezavo do splošnih in posebnih pogojev, ki bi morala biti veljavna ves čas trajanja naročniškega razmerja.</w:t>
      </w:r>
    </w:p>
    <w:p w14:paraId="2E5C086A" w14:textId="77777777" w:rsidR="00D23FE9" w:rsidRDefault="00B9004E">
      <w:pPr>
        <w:pStyle w:val="Telobesedila"/>
        <w:ind w:left="740"/>
        <w:jc w:val="both"/>
      </w:pPr>
      <w:r w:rsidRPr="00B9004E">
        <w:rPr>
          <w:rStyle w:val="TelobesedilaZnak"/>
          <w:b/>
          <w:bCs/>
          <w:lang w:eastAsia="en-US" w:bidi="en-US"/>
        </w:rPr>
        <w:t xml:space="preserve">Svet predlaga, da bi morali operaterji na svojih spletnih straneh zagotoviti jasen in enostaven dostop do </w:t>
      </w:r>
      <w:r>
        <w:rPr>
          <w:rStyle w:val="TelobesedilaZnak"/>
          <w:b/>
          <w:bCs/>
        </w:rPr>
        <w:t xml:space="preserve">splošnih </w:t>
      </w:r>
      <w:r w:rsidRPr="00B9004E">
        <w:rPr>
          <w:rStyle w:val="TelobesedilaZnak"/>
          <w:b/>
          <w:bCs/>
          <w:lang w:eastAsia="en-US" w:bidi="en-US"/>
        </w:rPr>
        <w:t>in posebnih p</w:t>
      </w:r>
      <w:r w:rsidRPr="00B9004E">
        <w:rPr>
          <w:rStyle w:val="TelobesedilaZnak"/>
          <w:b/>
          <w:bCs/>
          <w:lang w:eastAsia="en-US" w:bidi="en-US"/>
        </w:rPr>
        <w:t xml:space="preserve">ogojev vseh </w:t>
      </w:r>
      <w:r>
        <w:rPr>
          <w:rStyle w:val="TelobesedilaZnak"/>
          <w:b/>
          <w:bCs/>
        </w:rPr>
        <w:t xml:space="preserve">naročniških </w:t>
      </w:r>
      <w:r w:rsidRPr="00B9004E">
        <w:rPr>
          <w:rStyle w:val="TelobesedilaZnak"/>
          <w:b/>
          <w:bCs/>
          <w:lang w:eastAsia="en-US" w:bidi="en-US"/>
        </w:rPr>
        <w:t xml:space="preserve">paketov, ki so </w:t>
      </w:r>
      <w:r w:rsidRPr="00B9004E">
        <w:rPr>
          <w:rStyle w:val="TelobesedilaZnak"/>
          <w:b/>
          <w:bCs/>
          <w:lang w:eastAsia="en-US" w:bidi="en-US"/>
        </w:rPr>
        <w:lastRenderedPageBreak/>
        <w:t>v uporabi.</w:t>
      </w:r>
    </w:p>
    <w:p w14:paraId="1BBB9178" w14:textId="77777777" w:rsidR="00D23FE9" w:rsidRDefault="00B9004E">
      <w:pPr>
        <w:pStyle w:val="Telobesedila"/>
        <w:jc w:val="both"/>
      </w:pPr>
      <w:r w:rsidRPr="00B9004E">
        <w:rPr>
          <w:rStyle w:val="TelobesedilaZnak"/>
          <w:i/>
          <w:iCs/>
          <w:lang w:eastAsia="en-US" w:bidi="en-US"/>
        </w:rPr>
        <w:t>Utemeljitev:</w:t>
      </w:r>
    </w:p>
    <w:p w14:paraId="05C85C99" w14:textId="77777777" w:rsidR="00D23FE9" w:rsidRDefault="00B9004E">
      <w:pPr>
        <w:pStyle w:val="Telobesedila"/>
        <w:jc w:val="both"/>
      </w:pPr>
      <w:r w:rsidRPr="00B9004E">
        <w:rPr>
          <w:rStyle w:val="TelobesedilaZnak"/>
          <w:lang w:eastAsia="en-US" w:bidi="en-US"/>
        </w:rPr>
        <w:t xml:space="preserve">Zakonik v 102. </w:t>
      </w:r>
      <w:r>
        <w:rPr>
          <w:rStyle w:val="TelobesedilaZnak"/>
        </w:rPr>
        <w:t xml:space="preserve">členu </w:t>
      </w:r>
      <w:r w:rsidRPr="00B9004E">
        <w:rPr>
          <w:rStyle w:val="TelobesedilaZnak"/>
          <w:lang w:eastAsia="en-US" w:bidi="en-US"/>
        </w:rPr>
        <w:t xml:space="preserve">definira navajanje glavnih informacij s katerimi je potrebno seznaniti </w:t>
      </w:r>
      <w:r>
        <w:rPr>
          <w:rStyle w:val="TelobesedilaZnak"/>
        </w:rPr>
        <w:t xml:space="preserve">končnega </w:t>
      </w:r>
      <w:r w:rsidRPr="00B9004E">
        <w:rPr>
          <w:rStyle w:val="TelobesedilaZnak"/>
          <w:lang w:eastAsia="en-US" w:bidi="en-US"/>
        </w:rPr>
        <w:t xml:space="preserve">uporabnika pred podpisom pogodbe, kar ureja 182. </w:t>
      </w:r>
      <w:r>
        <w:rPr>
          <w:rStyle w:val="TelobesedilaZnak"/>
        </w:rPr>
        <w:t xml:space="preserve">člen </w:t>
      </w:r>
      <w:r w:rsidRPr="00B9004E">
        <w:rPr>
          <w:rStyle w:val="TelobesedilaZnak"/>
          <w:lang w:eastAsia="en-US" w:bidi="en-US"/>
        </w:rPr>
        <w:t xml:space="preserve">osnutka ZEKom-2. </w:t>
      </w:r>
      <w:r>
        <w:rPr>
          <w:rStyle w:val="TelobesedilaZnak"/>
        </w:rPr>
        <w:t xml:space="preserve">Člen </w:t>
      </w:r>
      <w:r w:rsidRPr="00B9004E">
        <w:rPr>
          <w:rStyle w:val="TelobesedilaZnak"/>
          <w:lang w:eastAsia="en-US" w:bidi="en-US"/>
        </w:rPr>
        <w:t xml:space="preserve">183 definira sestavne dele </w:t>
      </w:r>
      <w:r>
        <w:rPr>
          <w:rStyle w:val="TelobesedilaZnak"/>
        </w:rPr>
        <w:t xml:space="preserve">naročniške </w:t>
      </w:r>
      <w:r w:rsidRPr="00B9004E">
        <w:rPr>
          <w:rStyle w:val="TelobesedilaZnak"/>
          <w:lang w:eastAsia="en-US" w:bidi="en-US"/>
        </w:rPr>
        <w:t xml:space="preserve">pogodbe, kjer </w:t>
      </w:r>
      <w:r>
        <w:rPr>
          <w:rStyle w:val="TelobesedilaZnak"/>
        </w:rPr>
        <w:t xml:space="preserve">točka </w:t>
      </w:r>
      <w:r w:rsidRPr="00B9004E">
        <w:rPr>
          <w:rStyle w:val="TelobesedilaZnak"/>
          <w:lang w:eastAsia="en-US" w:bidi="en-US"/>
        </w:rPr>
        <w:t xml:space="preserve">2 v pogodbo </w:t>
      </w:r>
      <w:r>
        <w:rPr>
          <w:rStyle w:val="TelobesedilaZnak"/>
        </w:rPr>
        <w:t xml:space="preserve">vključuje </w:t>
      </w:r>
      <w:r w:rsidRPr="00B9004E">
        <w:rPr>
          <w:rStyle w:val="TelobesedilaZnak"/>
          <w:lang w:eastAsia="en-US" w:bidi="en-US"/>
        </w:rPr>
        <w:t xml:space="preserve">povzetek pogodbe iz predhodnega </w:t>
      </w:r>
      <w:r>
        <w:rPr>
          <w:rStyle w:val="TelobesedilaZnak"/>
        </w:rPr>
        <w:t xml:space="preserve">člena. </w:t>
      </w:r>
      <w:r w:rsidRPr="00B9004E">
        <w:rPr>
          <w:rStyle w:val="TelobesedilaZnak"/>
          <w:lang w:eastAsia="en-US" w:bidi="en-US"/>
        </w:rPr>
        <w:t xml:space="preserve">Ker se </w:t>
      </w:r>
      <w:r>
        <w:rPr>
          <w:rStyle w:val="TelobesedilaZnak"/>
        </w:rPr>
        <w:t xml:space="preserve">splošni </w:t>
      </w:r>
      <w:r w:rsidRPr="00B9004E">
        <w:rPr>
          <w:rStyle w:val="TelobesedilaZnak"/>
          <w:lang w:eastAsia="en-US" w:bidi="en-US"/>
        </w:rPr>
        <w:t>in posebni pogoji spreminjajo in je pri nekate</w:t>
      </w:r>
      <w:r w:rsidRPr="00B9004E">
        <w:rPr>
          <w:rStyle w:val="TelobesedilaZnak"/>
          <w:lang w:eastAsia="en-US" w:bidi="en-US"/>
        </w:rPr>
        <w:t xml:space="preserve">rih operaterjih dostop do njih </w:t>
      </w:r>
      <w:r>
        <w:rPr>
          <w:rStyle w:val="TelobesedilaZnak"/>
        </w:rPr>
        <w:t xml:space="preserve">otežen, </w:t>
      </w:r>
      <w:r w:rsidRPr="00B9004E">
        <w:rPr>
          <w:rStyle w:val="TelobesedilaZnak"/>
          <w:lang w:eastAsia="en-US" w:bidi="en-US"/>
        </w:rPr>
        <w:t xml:space="preserve">Svet predlaga, da se k obveznemu sestavnemu delu </w:t>
      </w:r>
      <w:r>
        <w:rPr>
          <w:rStyle w:val="TelobesedilaZnak"/>
        </w:rPr>
        <w:t xml:space="preserve">naročniške </w:t>
      </w:r>
      <w:r w:rsidRPr="00B9004E">
        <w:rPr>
          <w:rStyle w:val="TelobesedilaZnak"/>
          <w:lang w:eastAsia="en-US" w:bidi="en-US"/>
        </w:rPr>
        <w:t xml:space="preserve">pogodbe doda </w:t>
      </w:r>
      <w:r>
        <w:rPr>
          <w:rStyle w:val="TelobesedilaZnak"/>
        </w:rPr>
        <w:t xml:space="preserve">še </w:t>
      </w:r>
      <w:r w:rsidRPr="00B9004E">
        <w:rPr>
          <w:rStyle w:val="TelobesedilaZnak"/>
          <w:lang w:eastAsia="en-US" w:bidi="en-US"/>
        </w:rPr>
        <w:t xml:space="preserve">spletno povezavo do aktualnih </w:t>
      </w:r>
      <w:r>
        <w:rPr>
          <w:rStyle w:val="TelobesedilaZnak"/>
        </w:rPr>
        <w:t xml:space="preserve">splošnih </w:t>
      </w:r>
      <w:r w:rsidRPr="00B9004E">
        <w:rPr>
          <w:rStyle w:val="TelobesedilaZnak"/>
          <w:lang w:eastAsia="en-US" w:bidi="en-US"/>
        </w:rPr>
        <w:t xml:space="preserve">in posebnih pogojev, ki mora biti veljavna ves </w:t>
      </w:r>
      <w:r>
        <w:rPr>
          <w:rStyle w:val="TelobesedilaZnak"/>
        </w:rPr>
        <w:t xml:space="preserve">čas </w:t>
      </w:r>
      <w:r w:rsidRPr="00B9004E">
        <w:rPr>
          <w:rStyle w:val="TelobesedilaZnak"/>
          <w:lang w:eastAsia="en-US" w:bidi="en-US"/>
        </w:rPr>
        <w:t xml:space="preserve">trajanja </w:t>
      </w:r>
      <w:r>
        <w:rPr>
          <w:rStyle w:val="TelobesedilaZnak"/>
        </w:rPr>
        <w:t xml:space="preserve">naročniškega </w:t>
      </w:r>
      <w:r w:rsidRPr="00B9004E">
        <w:rPr>
          <w:rStyle w:val="TelobesedilaZnak"/>
          <w:lang w:eastAsia="en-US" w:bidi="en-US"/>
        </w:rPr>
        <w:t>razmerja.</w:t>
      </w:r>
    </w:p>
    <w:p w14:paraId="72950F4E" w14:textId="77777777" w:rsidR="00D23FE9" w:rsidRDefault="00B9004E">
      <w:pPr>
        <w:pStyle w:val="Telobesedila"/>
        <w:jc w:val="both"/>
      </w:pPr>
      <w:proofErr w:type="spellStart"/>
      <w:r w:rsidRPr="00B9004E">
        <w:rPr>
          <w:rStyle w:val="TelobesedilaZnak"/>
          <w:lang w:val="it-IT" w:eastAsia="en-US" w:bidi="en-US"/>
        </w:rPr>
        <w:t>Osnutek</w:t>
      </w:r>
      <w:proofErr w:type="spellEnd"/>
      <w:r w:rsidRPr="00B9004E">
        <w:rPr>
          <w:rStyle w:val="TelobesedilaZnak"/>
          <w:lang w:val="it-IT" w:eastAsia="en-US" w:bidi="en-US"/>
        </w:rPr>
        <w:t xml:space="preserve"> ZEKom-2 v </w:t>
      </w:r>
      <w:r>
        <w:rPr>
          <w:rStyle w:val="TelobesedilaZnak"/>
        </w:rPr>
        <w:t>č</w:t>
      </w:r>
      <w:r>
        <w:rPr>
          <w:rStyle w:val="TelobesedilaZnak"/>
        </w:rPr>
        <w:t xml:space="preserve">lenu </w:t>
      </w:r>
      <w:r w:rsidRPr="00B9004E">
        <w:rPr>
          <w:rStyle w:val="TelobesedilaZnak"/>
          <w:lang w:val="it-IT" w:eastAsia="en-US" w:bidi="en-US"/>
        </w:rPr>
        <w:t xml:space="preserve">192 </w:t>
      </w:r>
      <w:proofErr w:type="spellStart"/>
      <w:r w:rsidRPr="00B9004E">
        <w:rPr>
          <w:rStyle w:val="TelobesedilaZnak"/>
          <w:lang w:val="it-IT" w:eastAsia="en-US" w:bidi="en-US"/>
        </w:rPr>
        <w:t>definira</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preglednost</w:t>
      </w:r>
      <w:proofErr w:type="spellEnd"/>
      <w:r w:rsidRPr="00B9004E">
        <w:rPr>
          <w:rStyle w:val="TelobesedilaZnak"/>
          <w:lang w:val="it-IT" w:eastAsia="en-US" w:bidi="en-US"/>
        </w:rPr>
        <w:t xml:space="preserve"> in </w:t>
      </w:r>
      <w:proofErr w:type="spellStart"/>
      <w:r w:rsidRPr="00B9004E">
        <w:rPr>
          <w:rStyle w:val="TelobesedilaZnak"/>
          <w:lang w:val="it-IT" w:eastAsia="en-US" w:bidi="en-US"/>
        </w:rPr>
        <w:t>objavo</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informacij</w:t>
      </w:r>
      <w:proofErr w:type="spellEnd"/>
      <w:r w:rsidRPr="00B9004E">
        <w:rPr>
          <w:rStyle w:val="TelobesedilaZnak"/>
          <w:lang w:val="it-IT" w:eastAsia="en-US" w:bidi="en-US"/>
        </w:rPr>
        <w:t xml:space="preserve">. V </w:t>
      </w:r>
      <w:proofErr w:type="spellStart"/>
      <w:r w:rsidRPr="00B9004E">
        <w:rPr>
          <w:rStyle w:val="TelobesedilaZnak"/>
          <w:lang w:val="it-IT" w:eastAsia="en-US" w:bidi="en-US"/>
        </w:rPr>
        <w:t>zvezi</w:t>
      </w:r>
      <w:proofErr w:type="spellEnd"/>
      <w:r w:rsidRPr="00B9004E">
        <w:rPr>
          <w:rStyle w:val="TelobesedilaZnak"/>
          <w:lang w:val="it-IT" w:eastAsia="en-US" w:bidi="en-US"/>
        </w:rPr>
        <w:t xml:space="preserve"> s </w:t>
      </w:r>
      <w:proofErr w:type="spellStart"/>
      <w:r w:rsidRPr="00B9004E">
        <w:rPr>
          <w:rStyle w:val="TelobesedilaZnak"/>
          <w:lang w:val="it-IT" w:eastAsia="en-US" w:bidi="en-US"/>
        </w:rPr>
        <w:t>tem</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Svet</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predlaga</w:t>
      </w:r>
      <w:proofErr w:type="spellEnd"/>
      <w:r w:rsidRPr="00B9004E">
        <w:rPr>
          <w:rStyle w:val="TelobesedilaZnak"/>
          <w:lang w:val="it-IT" w:eastAsia="en-US" w:bidi="en-US"/>
        </w:rPr>
        <w:t xml:space="preserve">, da bi morali </w:t>
      </w:r>
      <w:proofErr w:type="spellStart"/>
      <w:r w:rsidRPr="00B9004E">
        <w:rPr>
          <w:rStyle w:val="TelobesedilaZnak"/>
          <w:lang w:val="it-IT" w:eastAsia="en-US" w:bidi="en-US"/>
        </w:rPr>
        <w:t>operaterji</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na</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svojih</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spletnih</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straneh</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zagotoviti</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enostaven</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dostop</w:t>
      </w:r>
      <w:proofErr w:type="spellEnd"/>
      <w:r w:rsidRPr="00B9004E">
        <w:rPr>
          <w:rStyle w:val="TelobesedilaZnak"/>
          <w:lang w:val="it-IT" w:eastAsia="en-US" w:bidi="en-US"/>
        </w:rPr>
        <w:t xml:space="preserve"> do </w:t>
      </w:r>
      <w:r>
        <w:rPr>
          <w:rStyle w:val="TelobesedilaZnak"/>
        </w:rPr>
        <w:t xml:space="preserve">splošnih </w:t>
      </w:r>
      <w:r w:rsidRPr="00B9004E">
        <w:rPr>
          <w:rStyle w:val="TelobesedilaZnak"/>
          <w:lang w:val="it-IT" w:eastAsia="en-US" w:bidi="en-US"/>
        </w:rPr>
        <w:t xml:space="preserve">in </w:t>
      </w:r>
      <w:proofErr w:type="spellStart"/>
      <w:r w:rsidRPr="00B9004E">
        <w:rPr>
          <w:rStyle w:val="TelobesedilaZnak"/>
          <w:lang w:val="it-IT" w:eastAsia="en-US" w:bidi="en-US"/>
        </w:rPr>
        <w:t>posebnih</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pogojev</w:t>
      </w:r>
      <w:proofErr w:type="spellEnd"/>
      <w:r w:rsidRPr="00B9004E">
        <w:rPr>
          <w:rStyle w:val="TelobesedilaZnak"/>
          <w:lang w:val="it-IT" w:eastAsia="en-US" w:bidi="en-US"/>
        </w:rPr>
        <w:t xml:space="preserve"> za </w:t>
      </w:r>
      <w:proofErr w:type="spellStart"/>
      <w:r w:rsidRPr="00B9004E">
        <w:rPr>
          <w:rStyle w:val="TelobesedilaZnak"/>
          <w:lang w:val="it-IT" w:eastAsia="en-US" w:bidi="en-US"/>
        </w:rPr>
        <w:t>vsak</w:t>
      </w:r>
      <w:proofErr w:type="spellEnd"/>
      <w:r w:rsidRPr="00B9004E">
        <w:rPr>
          <w:rStyle w:val="TelobesedilaZnak"/>
          <w:lang w:val="it-IT" w:eastAsia="en-US" w:bidi="en-US"/>
        </w:rPr>
        <w:t xml:space="preserve"> </w:t>
      </w:r>
      <w:r>
        <w:rPr>
          <w:rStyle w:val="TelobesedilaZnak"/>
        </w:rPr>
        <w:t xml:space="preserve">naročniški </w:t>
      </w:r>
      <w:proofErr w:type="spellStart"/>
      <w:r w:rsidRPr="00B9004E">
        <w:rPr>
          <w:rStyle w:val="TelobesedilaZnak"/>
          <w:lang w:val="it-IT" w:eastAsia="en-US" w:bidi="en-US"/>
        </w:rPr>
        <w:t>paket</w:t>
      </w:r>
      <w:proofErr w:type="spellEnd"/>
      <w:r w:rsidRPr="00B9004E">
        <w:rPr>
          <w:rStyle w:val="TelobesedilaZnak"/>
          <w:lang w:val="it-IT" w:eastAsia="en-US" w:bidi="en-US"/>
        </w:rPr>
        <w:t xml:space="preserve">, za </w:t>
      </w:r>
      <w:proofErr w:type="spellStart"/>
      <w:r w:rsidRPr="00B9004E">
        <w:rPr>
          <w:rStyle w:val="TelobesedilaZnak"/>
          <w:lang w:val="it-IT" w:eastAsia="en-US" w:bidi="en-US"/>
        </w:rPr>
        <w:t>katerega</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obstaja</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vsaj</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eno</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aktualno</w:t>
      </w:r>
      <w:proofErr w:type="spellEnd"/>
      <w:r w:rsidRPr="00B9004E">
        <w:rPr>
          <w:rStyle w:val="TelobesedilaZnak"/>
          <w:lang w:val="it-IT" w:eastAsia="en-US" w:bidi="en-US"/>
        </w:rPr>
        <w:t xml:space="preserve"> </w:t>
      </w:r>
      <w:r>
        <w:rPr>
          <w:rStyle w:val="TelobesedilaZnak"/>
        </w:rPr>
        <w:t xml:space="preserve">naročniško </w:t>
      </w:r>
      <w:proofErr w:type="spellStart"/>
      <w:r w:rsidRPr="00B9004E">
        <w:rPr>
          <w:rStyle w:val="TelobesedilaZnak"/>
          <w:lang w:val="it-IT" w:eastAsia="en-US" w:bidi="en-US"/>
        </w:rPr>
        <w:t>razmerje</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Povezava</w:t>
      </w:r>
      <w:proofErr w:type="spellEnd"/>
      <w:r w:rsidRPr="00B9004E">
        <w:rPr>
          <w:rStyle w:val="TelobesedilaZnak"/>
          <w:lang w:val="it-IT" w:eastAsia="en-US" w:bidi="en-US"/>
        </w:rPr>
        <w:t xml:space="preserve"> do </w:t>
      </w:r>
      <w:proofErr w:type="spellStart"/>
      <w:r w:rsidRPr="00B9004E">
        <w:rPr>
          <w:rStyle w:val="TelobesedilaZnak"/>
          <w:lang w:val="it-IT" w:eastAsia="en-US" w:bidi="en-US"/>
        </w:rPr>
        <w:t>pogojev</w:t>
      </w:r>
      <w:proofErr w:type="spellEnd"/>
      <w:r w:rsidRPr="00B9004E">
        <w:rPr>
          <w:rStyle w:val="TelobesedilaZnak"/>
          <w:lang w:val="it-IT" w:eastAsia="en-US" w:bidi="en-US"/>
        </w:rPr>
        <w:t xml:space="preserve"> se </w:t>
      </w:r>
      <w:proofErr w:type="spellStart"/>
      <w:r w:rsidRPr="00B9004E">
        <w:rPr>
          <w:rStyle w:val="TelobesedilaZnak"/>
          <w:lang w:val="it-IT" w:eastAsia="en-US" w:bidi="en-US"/>
        </w:rPr>
        <w:t>lahko</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nahaja</w:t>
      </w:r>
      <w:proofErr w:type="spellEnd"/>
      <w:r w:rsidRPr="00B9004E">
        <w:rPr>
          <w:rStyle w:val="TelobesedilaZnak"/>
          <w:lang w:val="it-IT" w:eastAsia="en-US" w:bidi="en-US"/>
        </w:rPr>
        <w:t xml:space="preserve"> </w:t>
      </w:r>
      <w:proofErr w:type="spellStart"/>
      <w:r w:rsidRPr="00B9004E">
        <w:rPr>
          <w:rStyle w:val="TelobesedilaZnak"/>
          <w:lang w:val="it-IT" w:eastAsia="en-US" w:bidi="en-US"/>
        </w:rPr>
        <w:t>tudi</w:t>
      </w:r>
      <w:proofErr w:type="spellEnd"/>
      <w:r w:rsidRPr="00B9004E">
        <w:rPr>
          <w:rStyle w:val="TelobesedilaZnak"/>
          <w:lang w:val="it-IT" w:eastAsia="en-US" w:bidi="en-US"/>
        </w:rPr>
        <w:t xml:space="preserve"> v </w:t>
      </w:r>
      <w:proofErr w:type="spellStart"/>
      <w:r w:rsidRPr="00B9004E">
        <w:rPr>
          <w:rStyle w:val="TelobesedilaZnak"/>
          <w:lang w:val="it-IT" w:eastAsia="en-US" w:bidi="en-US"/>
        </w:rPr>
        <w:t>okviru</w:t>
      </w:r>
      <w:proofErr w:type="spellEnd"/>
      <w:r w:rsidRPr="00B9004E">
        <w:rPr>
          <w:rStyle w:val="TelobesedilaZnak"/>
          <w:lang w:val="it-IT" w:eastAsia="en-US" w:bidi="en-US"/>
        </w:rPr>
        <w:t xml:space="preserve"> </w:t>
      </w:r>
      <w:r>
        <w:rPr>
          <w:rStyle w:val="TelobesedilaZnak"/>
        </w:rPr>
        <w:t xml:space="preserve">uporabniških </w:t>
      </w:r>
      <w:r w:rsidRPr="00B9004E">
        <w:rPr>
          <w:rStyle w:val="TelobesedilaZnak"/>
          <w:lang w:val="it-IT" w:eastAsia="en-US" w:bidi="en-US"/>
        </w:rPr>
        <w:t xml:space="preserve">strani </w:t>
      </w:r>
      <w:proofErr w:type="spellStart"/>
      <w:r w:rsidRPr="00B9004E">
        <w:rPr>
          <w:rStyle w:val="TelobesedilaZnak"/>
          <w:lang w:val="it-IT" w:eastAsia="en-US" w:bidi="en-US"/>
        </w:rPr>
        <w:t>operaterja</w:t>
      </w:r>
      <w:proofErr w:type="spellEnd"/>
      <w:r w:rsidRPr="00B9004E">
        <w:rPr>
          <w:rStyle w:val="TelobesedilaZnak"/>
          <w:lang w:val="it-IT" w:eastAsia="en-US" w:bidi="en-US"/>
        </w:rPr>
        <w:t>.</w:t>
      </w:r>
    </w:p>
    <w:p w14:paraId="5B79063D" w14:textId="77777777" w:rsidR="00D23FE9" w:rsidRDefault="00B9004E">
      <w:pPr>
        <w:pStyle w:val="Telobesedila"/>
      </w:pPr>
      <w:r>
        <w:rPr>
          <w:rStyle w:val="TelobesedilaZnak"/>
          <w:b/>
          <w:bCs/>
        </w:rPr>
        <w:t xml:space="preserve">ZEKom-2 (člen </w:t>
      </w:r>
      <w:r w:rsidRPr="00B9004E">
        <w:rPr>
          <w:rStyle w:val="TelobesedilaZnak"/>
          <w:b/>
          <w:bCs/>
          <w:lang w:eastAsia="en-US" w:bidi="en-US"/>
        </w:rPr>
        <w:t xml:space="preserve">194): </w:t>
      </w:r>
      <w:r>
        <w:rPr>
          <w:rStyle w:val="TelobesedilaZnak"/>
          <w:b/>
          <w:bCs/>
        </w:rPr>
        <w:t>Nadomestila operaterjev končnim uporabnikom ob nedelovanju ali slabši kakovosti storitev</w:t>
      </w:r>
    </w:p>
    <w:p w14:paraId="4CF1495F" w14:textId="77777777" w:rsidR="00D23FE9" w:rsidRDefault="00B9004E">
      <w:pPr>
        <w:pStyle w:val="Telobesedila"/>
        <w:spacing w:after="0"/>
        <w:ind w:firstLine="740"/>
        <w:jc w:val="both"/>
      </w:pPr>
      <w:r>
        <w:rPr>
          <w:rStyle w:val="TelobesedilaZnak"/>
          <w:b/>
          <w:bCs/>
          <w:i/>
          <w:iCs/>
        </w:rPr>
        <w:t>Svet predlaga, da se točka 4 člena 194 preob</w:t>
      </w:r>
      <w:r>
        <w:rPr>
          <w:rStyle w:val="TelobesedilaZnak"/>
          <w:b/>
          <w:bCs/>
          <w:i/>
          <w:iCs/>
        </w:rPr>
        <w:t>likuje sledeče:</w:t>
      </w:r>
    </w:p>
    <w:p w14:paraId="5F989AF9" w14:textId="77777777" w:rsidR="00D23FE9" w:rsidRDefault="00B9004E">
      <w:pPr>
        <w:pStyle w:val="Telobesedila"/>
        <w:ind w:left="1460"/>
        <w:jc w:val="both"/>
      </w:pPr>
      <w:r>
        <w:rPr>
          <w:rStyle w:val="TelobesedilaZnak"/>
          <w:b/>
          <w:bCs/>
          <w:i/>
          <w:iCs/>
        </w:rPr>
        <w:t>"Agencija izda splošni akt o načinu določanja nadomestil, ki jih operaterji povrnejo svojim končnim uporabnikom ob nedelovanju ali slabši kakovosti delovanja javnih komunikacijskih storitev."</w:t>
      </w:r>
    </w:p>
    <w:p w14:paraId="7C7E3E03" w14:textId="77777777" w:rsidR="00D23FE9" w:rsidRDefault="00B9004E">
      <w:pPr>
        <w:pStyle w:val="Telobesedila"/>
        <w:jc w:val="both"/>
      </w:pPr>
      <w:r>
        <w:rPr>
          <w:rStyle w:val="TelobesedilaZnak"/>
          <w:i/>
          <w:iCs/>
        </w:rPr>
        <w:t>Utemeljitev:</w:t>
      </w:r>
    </w:p>
    <w:p w14:paraId="121DE716" w14:textId="77777777" w:rsidR="00D23FE9" w:rsidRDefault="00B9004E">
      <w:pPr>
        <w:pStyle w:val="Telobesedila"/>
        <w:jc w:val="both"/>
      </w:pPr>
      <w:r>
        <w:rPr>
          <w:rStyle w:val="TelobesedilaZnak"/>
        </w:rPr>
        <w:t>Zakon ZEKom-1C je v 133. členu, toč</w:t>
      </w:r>
      <w:r>
        <w:rPr>
          <w:rStyle w:val="TelobesedilaZnak"/>
        </w:rPr>
        <w:t xml:space="preserve">ki 5 predvidel, da Agencija lahko izda priporočilo o načinu določanja nadomestil, ki jih operaterji povrnejo svojim končnim uporabnikom ob nedelovanju ali slabši kakovosti delovanja javnih komunikacijskih storitev. Namesto izdaje </w:t>
      </w:r>
      <w:proofErr w:type="spellStart"/>
      <w:r>
        <w:rPr>
          <w:rStyle w:val="TelobesedilaZnak"/>
        </w:rPr>
        <w:t>nezavezujočega</w:t>
      </w:r>
      <w:proofErr w:type="spellEnd"/>
      <w:r>
        <w:rPr>
          <w:rStyle w:val="TelobesedilaZnak"/>
        </w:rPr>
        <w:t xml:space="preserve"> priporočila</w:t>
      </w:r>
      <w:r>
        <w:rPr>
          <w:rStyle w:val="TelobesedilaZnak"/>
        </w:rPr>
        <w:t xml:space="preserve"> so operaterji oblikovali </w:t>
      </w:r>
      <w:proofErr w:type="spellStart"/>
      <w:r>
        <w:rPr>
          <w:rStyle w:val="TelobesedilaZnak"/>
        </w:rPr>
        <w:t>Samoregulacijski</w:t>
      </w:r>
      <w:proofErr w:type="spellEnd"/>
      <w:r>
        <w:rPr>
          <w:rStyle w:val="TelobesedilaZnak"/>
        </w:rPr>
        <w:t xml:space="preserve"> kodeks o nadomestilih za nedelovanje ali slabše delovanje javnih komunikacijskih storitev operaterjev javnih komunikacijskih storitev v Republiki Sloveniji (v nadaljevanju: TEKON).</w:t>
      </w:r>
    </w:p>
    <w:p w14:paraId="20370359" w14:textId="77777777" w:rsidR="00D23FE9" w:rsidRDefault="00B9004E">
      <w:pPr>
        <w:pStyle w:val="Telobesedila"/>
        <w:spacing w:after="0"/>
        <w:jc w:val="both"/>
      </w:pPr>
      <w:r>
        <w:rPr>
          <w:rStyle w:val="TelobesedilaZnak"/>
        </w:rPr>
        <w:t>Svet je že v preteklosti predlag</w:t>
      </w:r>
      <w:r>
        <w:rPr>
          <w:rStyle w:val="TelobesedilaZnak"/>
        </w:rPr>
        <w:t>al posodobitev TEKON in tudi v predhodnih predlogih za ZEKom- 2 naštel nekatere njegove pomanjkljivosti, med katerimi so ključne:</w:t>
      </w:r>
    </w:p>
    <w:p w14:paraId="79882454" w14:textId="77777777" w:rsidR="00D23FE9" w:rsidRDefault="00B9004E">
      <w:pPr>
        <w:pStyle w:val="Telobesedila"/>
        <w:numPr>
          <w:ilvl w:val="0"/>
          <w:numId w:val="1"/>
        </w:numPr>
        <w:tabs>
          <w:tab w:val="left" w:pos="918"/>
        </w:tabs>
        <w:ind w:firstLine="740"/>
        <w:jc w:val="both"/>
      </w:pPr>
      <w:r>
        <w:rPr>
          <w:rStyle w:val="TelobesedilaZnak"/>
        </w:rPr>
        <w:t xml:space="preserve">Posodabljanje kodeksa skladno s stanjem na trgih in zakonodajo. TEKON na primer ni bil posodobljen skladno z EU zakonodajo in </w:t>
      </w:r>
      <w:r>
        <w:rPr>
          <w:rStyle w:val="TelobesedilaZnak"/>
        </w:rPr>
        <w:t>Splošnim aktom o storitvah dostopa do interneta in s tem povezanih pravicah končnih uporabnikov. Poleg tega TEKON ne upošteva sprememb v ponujanju konvergenčnih storitev in storitev, ki niso vezane na elektronske komunikacije znotraj istih paketov.</w:t>
      </w:r>
    </w:p>
    <w:p w14:paraId="76E690CA" w14:textId="77777777" w:rsidR="00D23FE9" w:rsidRDefault="00B9004E">
      <w:pPr>
        <w:pStyle w:val="Telobesedila"/>
        <w:numPr>
          <w:ilvl w:val="0"/>
          <w:numId w:val="1"/>
        </w:numPr>
        <w:tabs>
          <w:tab w:val="left" w:pos="915"/>
        </w:tabs>
        <w:spacing w:after="240"/>
        <w:ind w:firstLine="740"/>
        <w:jc w:val="both"/>
      </w:pPr>
      <w:r>
        <w:rPr>
          <w:rStyle w:val="TelobesedilaZnak"/>
        </w:rPr>
        <w:t>Otežen je nadzor nad izvajanjem kodeksa in analiza stanja se ne izvaja. Svet je želel pridobiti rezultate analiz, ki bi jih morali izvesti operaterji v skladu s TEKON, vendar se je izkazalo, da operaterji ne izvajajo ustreznih analiz, kot je bilo predviden</w:t>
      </w:r>
      <w:r>
        <w:rPr>
          <w:rStyle w:val="TelobesedilaZnak"/>
        </w:rPr>
        <w:t>o v skladu s TEKON.</w:t>
      </w:r>
    </w:p>
    <w:p w14:paraId="064D9357" w14:textId="77777777" w:rsidR="00D23FE9" w:rsidRDefault="00B9004E">
      <w:pPr>
        <w:pStyle w:val="Telobesedila"/>
        <w:spacing w:after="520"/>
        <w:jc w:val="both"/>
      </w:pPr>
      <w:r>
        <w:rPr>
          <w:rStyle w:val="TelobesedilaZnak"/>
        </w:rPr>
        <w:lastRenderedPageBreak/>
        <w:t>Zaradi zgornjega Svet predlaga, da bi morala Agencija sprejeti zavezujoč podzakonski akt, ki bi ustrezno obravnaval nadomestila operaterjev končnim uporabnikom ob nedelovanju ali slabši kakovosti storitev.</w:t>
      </w:r>
    </w:p>
    <w:p w14:paraId="691A311E" w14:textId="77777777" w:rsidR="00D23FE9" w:rsidRDefault="00B9004E">
      <w:pPr>
        <w:pStyle w:val="Telobesedila"/>
        <w:spacing w:after="520" w:line="240" w:lineRule="auto"/>
        <w:jc w:val="both"/>
      </w:pPr>
      <w:r>
        <w:rPr>
          <w:rStyle w:val="TelobesedilaZnak"/>
          <w:b/>
          <w:bCs/>
          <w:u w:val="single"/>
        </w:rPr>
        <w:t>NOVI PREDLOGI</w:t>
      </w:r>
    </w:p>
    <w:p w14:paraId="2CDB34CD" w14:textId="77777777" w:rsidR="00D23FE9" w:rsidRDefault="00B9004E">
      <w:pPr>
        <w:pStyle w:val="Telobesedila"/>
        <w:spacing w:after="240" w:line="240" w:lineRule="auto"/>
      </w:pPr>
      <w:r>
        <w:rPr>
          <w:rStyle w:val="TelobesedilaZnak"/>
          <w:b/>
          <w:bCs/>
          <w:u w:val="single"/>
        </w:rPr>
        <w:t>ZEKom-2 (člen 18</w:t>
      </w:r>
      <w:r>
        <w:rPr>
          <w:rStyle w:val="TelobesedilaZnak"/>
          <w:b/>
          <w:bCs/>
          <w:u w:val="single"/>
        </w:rPr>
        <w:t>5, točka 2): Obveščanje uporabnikov o najboljših tarifah</w:t>
      </w:r>
    </w:p>
    <w:p w14:paraId="70855B56" w14:textId="77777777" w:rsidR="00D23FE9" w:rsidRDefault="00B9004E">
      <w:pPr>
        <w:pStyle w:val="Telobesedila"/>
        <w:spacing w:after="240" w:line="240" w:lineRule="auto"/>
        <w:ind w:left="740"/>
        <w:jc w:val="both"/>
      </w:pPr>
      <w:r>
        <w:rPr>
          <w:rStyle w:val="TelobesedilaZnak"/>
          <w:b/>
          <w:bCs/>
        </w:rPr>
        <w:t>Svet predlaga, da se zaradi zagotavljanja maksimalne harmonizacije upošteva tudi zadnji stavek 105. člena, 3. odstavka Zakonika o elektronskih komunikacijah, ki definira, da morajo operaterji končnim</w:t>
      </w:r>
      <w:r>
        <w:rPr>
          <w:rStyle w:val="TelobesedilaZnak"/>
          <w:b/>
          <w:bCs/>
        </w:rPr>
        <w:t xml:space="preserve"> uporabnikom zagotavljati informacije najboljših tarif vsaj enkrat letno.</w:t>
      </w:r>
    </w:p>
    <w:p w14:paraId="470DDB4B" w14:textId="77777777" w:rsidR="00D23FE9" w:rsidRDefault="00B9004E">
      <w:pPr>
        <w:pStyle w:val="Telobesedila"/>
        <w:spacing w:after="320" w:line="240" w:lineRule="auto"/>
        <w:jc w:val="both"/>
      </w:pPr>
      <w:r>
        <w:rPr>
          <w:rStyle w:val="TelobesedilaZnak"/>
          <w:i/>
          <w:iCs/>
        </w:rPr>
        <w:t>Utemeljitev:</w:t>
      </w:r>
    </w:p>
    <w:p w14:paraId="79A29932" w14:textId="77777777" w:rsidR="00D23FE9" w:rsidRDefault="00B9004E">
      <w:pPr>
        <w:pStyle w:val="Telobesedila"/>
        <w:spacing w:after="240" w:line="240" w:lineRule="auto"/>
        <w:jc w:val="both"/>
      </w:pPr>
      <w:r>
        <w:rPr>
          <w:rStyle w:val="TelobesedilaZnak"/>
        </w:rPr>
        <w:t>Zakonik v 105. členu, 3. odstavku definira: " ... Poleg tega ponudniki hkrati potrošnikom svetujejo glede najboljših tarif v zvezi z njihovimi storitvami. Ponudniki konč</w:t>
      </w:r>
      <w:r>
        <w:rPr>
          <w:rStyle w:val="TelobesedilaZnak"/>
        </w:rPr>
        <w:t>nim uporabnikom zagotovijo informacije glede najboljših tarif vsaj enkrat na leto."</w:t>
      </w:r>
    </w:p>
    <w:p w14:paraId="6DDC01E8" w14:textId="77777777" w:rsidR="00D23FE9" w:rsidRDefault="00B9004E">
      <w:pPr>
        <w:pStyle w:val="Telobesedila"/>
        <w:spacing w:after="240" w:line="240" w:lineRule="auto"/>
        <w:jc w:val="both"/>
      </w:pPr>
      <w:r>
        <w:rPr>
          <w:rStyle w:val="TelobesedilaZnak"/>
        </w:rPr>
        <w:t>Osnutek ZEKom-2 v členu 185, točki 2 upošteva dikcijo zgornjega člena Zakonika, vendar izpušča zadnji stavek. Svet predlaga, da se zaradi zagotavljanja maksimalne harmoniza</w:t>
      </w:r>
      <w:r>
        <w:rPr>
          <w:rStyle w:val="TelobesedilaZnak"/>
        </w:rPr>
        <w:t>cije upošteva in implementira predlog Zakonika, tako da bodo operaterji uporabnikom redno oz. vsaj enkrat letno zagotavljali informacije glede najboljših tarif.</w:t>
      </w:r>
    </w:p>
    <w:p w14:paraId="2C420D1B" w14:textId="77777777" w:rsidR="00D23FE9" w:rsidRDefault="00B9004E">
      <w:pPr>
        <w:pStyle w:val="Telobesedila"/>
        <w:spacing w:after="240" w:line="240" w:lineRule="auto"/>
        <w:jc w:val="both"/>
      </w:pPr>
      <w:r>
        <w:rPr>
          <w:rStyle w:val="TelobesedilaZnak"/>
          <w:b/>
          <w:bCs/>
          <w:u w:val="single"/>
        </w:rPr>
        <w:t>ZEKom-2 (člen 220): Piškotki</w:t>
      </w:r>
    </w:p>
    <w:p w14:paraId="7CFD86F8" w14:textId="77777777" w:rsidR="00D23FE9" w:rsidRDefault="00B9004E">
      <w:pPr>
        <w:pStyle w:val="Telobesedila"/>
        <w:spacing w:after="240" w:line="240" w:lineRule="auto"/>
        <w:ind w:left="740"/>
        <w:jc w:val="both"/>
      </w:pPr>
      <w:r>
        <w:rPr>
          <w:rStyle w:val="TelobesedilaZnak"/>
          <w:b/>
          <w:bCs/>
        </w:rPr>
        <w:t xml:space="preserve">Svet predlaga, da se besedo "piškotki" zamenja z drugo tehnološko </w:t>
      </w:r>
      <w:r>
        <w:rPr>
          <w:rStyle w:val="TelobesedilaZnak"/>
          <w:b/>
          <w:bCs/>
        </w:rPr>
        <w:t>nevtralno besedo oz. besedno zvezo, na primer "hranjenje podatkov v terminalski opremi naročnika".</w:t>
      </w:r>
    </w:p>
    <w:p w14:paraId="252FC0D8" w14:textId="77777777" w:rsidR="00D23FE9" w:rsidRDefault="00B9004E">
      <w:pPr>
        <w:pStyle w:val="Telobesedila"/>
        <w:spacing w:after="240" w:line="240" w:lineRule="auto"/>
        <w:jc w:val="both"/>
      </w:pPr>
      <w:r>
        <w:rPr>
          <w:rStyle w:val="TelobesedilaZnak"/>
          <w:i/>
          <w:iCs/>
        </w:rPr>
        <w:t>Utemeljitev:</w:t>
      </w:r>
    </w:p>
    <w:p w14:paraId="3405F5E9" w14:textId="77777777" w:rsidR="00D23FE9" w:rsidRDefault="00B9004E">
      <w:pPr>
        <w:pStyle w:val="Telobesedila"/>
        <w:spacing w:after="0" w:line="240" w:lineRule="auto"/>
        <w:jc w:val="both"/>
      </w:pPr>
      <w:r>
        <w:rPr>
          <w:rStyle w:val="TelobesedilaZnak"/>
        </w:rPr>
        <w:t>Svet se zaveda, da urejanje zadevne problematike glede na obstoječo ureditev spada v ZEKom-</w:t>
      </w:r>
    </w:p>
    <w:p w14:paraId="63B7C482" w14:textId="77777777" w:rsidR="00D23FE9" w:rsidRDefault="00B9004E">
      <w:pPr>
        <w:pStyle w:val="Telobesedila"/>
        <w:spacing w:after="240" w:line="240" w:lineRule="auto"/>
        <w:jc w:val="both"/>
      </w:pPr>
      <w:r>
        <w:rPr>
          <w:rStyle w:val="TelobesedilaZnak"/>
        </w:rPr>
        <w:t xml:space="preserve">2, vendar se zakon ne nanaša na prenos vsebin oz. </w:t>
      </w:r>
      <w:r>
        <w:rPr>
          <w:rStyle w:val="TelobesedilaZnak"/>
        </w:rPr>
        <w:t>na širše področje informacijske družbe. Termin "piškotek" definira specifično tehnološko rešitev, ki se lahko uporablja za različne namene, med drugim tudi za zagotovitev storitev širše informacijske družbe. Tehnološko se lahko člen zaobide z uporabo druge</w:t>
      </w:r>
      <w:r>
        <w:rPr>
          <w:rStyle w:val="TelobesedilaZnak"/>
        </w:rPr>
        <w:t xml:space="preserve"> funkcionalnosti brskalnikov ali odjemalcev, ki jih omogočajo naprednejše (spletne) tehnologije. Zaradi zagotovitve splošnosti zakona in problematike, ki jo ta člen rešuje, Svet zato predlaga uporabo splošnega izraza namesto eksplicitne rešitve - "piškotki</w:t>
      </w:r>
      <w:r>
        <w:rPr>
          <w:rStyle w:val="TelobesedilaZnak"/>
        </w:rPr>
        <w:t>."</w:t>
      </w:r>
    </w:p>
    <w:p w14:paraId="1BFA9967" w14:textId="77777777" w:rsidR="00D23FE9" w:rsidRDefault="00B9004E">
      <w:pPr>
        <w:pStyle w:val="Telobesedila"/>
        <w:spacing w:after="240" w:line="240" w:lineRule="auto"/>
        <w:jc w:val="both"/>
      </w:pPr>
      <w:r>
        <w:rPr>
          <w:rStyle w:val="TelobesedilaZnak"/>
          <w:b/>
          <w:bCs/>
          <w:u w:val="single"/>
        </w:rPr>
        <w:t>ZEKom-2 (člen 272): Priglasitev nujnih in izrednih ukrepov</w:t>
      </w:r>
    </w:p>
    <w:p w14:paraId="77DBC6A7" w14:textId="77777777" w:rsidR="00D23FE9" w:rsidRDefault="00B9004E">
      <w:pPr>
        <w:pStyle w:val="Telobesedila"/>
        <w:spacing w:after="240" w:line="240" w:lineRule="auto"/>
        <w:ind w:firstLine="740"/>
        <w:jc w:val="both"/>
      </w:pPr>
      <w:r>
        <w:rPr>
          <w:rStyle w:val="TelobesedilaZnak"/>
          <w:b/>
          <w:bCs/>
        </w:rPr>
        <w:t>Zaradi lepše rabe slovenskega jezika Svet predlaga redakcijski popravek, da se</w:t>
      </w:r>
    </w:p>
    <w:p w14:paraId="4560E463" w14:textId="77777777" w:rsidR="00D23FE9" w:rsidRDefault="00B9004E">
      <w:pPr>
        <w:pStyle w:val="Telobesedila"/>
        <w:spacing w:after="580" w:line="240" w:lineRule="auto"/>
        <w:ind w:left="720"/>
      </w:pPr>
      <w:proofErr w:type="spellStart"/>
      <w:r w:rsidRPr="00B9004E">
        <w:rPr>
          <w:rStyle w:val="TelobesedilaZnak"/>
          <w:b/>
          <w:bCs/>
          <w:lang w:val="it-IT" w:eastAsia="en-US" w:bidi="en-US"/>
        </w:rPr>
        <w:t>beseda</w:t>
      </w:r>
      <w:proofErr w:type="spellEnd"/>
      <w:r w:rsidRPr="00B9004E">
        <w:rPr>
          <w:rStyle w:val="TelobesedilaZnak"/>
          <w:b/>
          <w:bCs/>
          <w:lang w:val="it-IT" w:eastAsia="en-US" w:bidi="en-US"/>
        </w:rPr>
        <w:t xml:space="preserve"> "</w:t>
      </w:r>
      <w:proofErr w:type="spellStart"/>
      <w:r w:rsidRPr="00B9004E">
        <w:rPr>
          <w:rStyle w:val="TelobesedilaZnak"/>
          <w:b/>
          <w:bCs/>
          <w:lang w:val="it-IT" w:eastAsia="en-US" w:bidi="en-US"/>
        </w:rPr>
        <w:t>notifikacija</w:t>
      </w:r>
      <w:proofErr w:type="spellEnd"/>
      <w:r w:rsidRPr="00B9004E">
        <w:rPr>
          <w:rStyle w:val="TelobesedilaZnak"/>
          <w:b/>
          <w:bCs/>
          <w:lang w:val="it-IT" w:eastAsia="en-US" w:bidi="en-US"/>
        </w:rPr>
        <w:t xml:space="preserve">" </w:t>
      </w:r>
      <w:proofErr w:type="spellStart"/>
      <w:r w:rsidRPr="00B9004E">
        <w:rPr>
          <w:rStyle w:val="TelobesedilaZnak"/>
          <w:b/>
          <w:bCs/>
          <w:lang w:val="it-IT" w:eastAsia="en-US" w:bidi="en-US"/>
        </w:rPr>
        <w:t>zamenja</w:t>
      </w:r>
      <w:proofErr w:type="spellEnd"/>
      <w:r w:rsidRPr="00B9004E">
        <w:rPr>
          <w:rStyle w:val="TelobesedilaZnak"/>
          <w:b/>
          <w:bCs/>
          <w:lang w:val="it-IT" w:eastAsia="en-US" w:bidi="en-US"/>
        </w:rPr>
        <w:t xml:space="preserve"> z </w:t>
      </w:r>
      <w:proofErr w:type="spellStart"/>
      <w:r w:rsidRPr="00B9004E">
        <w:rPr>
          <w:rStyle w:val="TelobesedilaZnak"/>
          <w:b/>
          <w:bCs/>
          <w:lang w:val="it-IT" w:eastAsia="en-US" w:bidi="en-US"/>
        </w:rPr>
        <w:t>ustrezno</w:t>
      </w:r>
      <w:proofErr w:type="spellEnd"/>
      <w:r w:rsidRPr="00B9004E">
        <w:rPr>
          <w:rStyle w:val="TelobesedilaZnak"/>
          <w:b/>
          <w:bCs/>
          <w:lang w:val="it-IT" w:eastAsia="en-US" w:bidi="en-US"/>
        </w:rPr>
        <w:t xml:space="preserve"> </w:t>
      </w:r>
      <w:proofErr w:type="spellStart"/>
      <w:r w:rsidRPr="00B9004E">
        <w:rPr>
          <w:rStyle w:val="TelobesedilaZnak"/>
          <w:b/>
          <w:bCs/>
          <w:lang w:val="it-IT" w:eastAsia="en-US" w:bidi="en-US"/>
        </w:rPr>
        <w:t>slovensko</w:t>
      </w:r>
      <w:proofErr w:type="spellEnd"/>
      <w:r w:rsidRPr="00B9004E">
        <w:rPr>
          <w:rStyle w:val="TelobesedilaZnak"/>
          <w:b/>
          <w:bCs/>
          <w:lang w:val="it-IT" w:eastAsia="en-US" w:bidi="en-US"/>
        </w:rPr>
        <w:t xml:space="preserve"> </w:t>
      </w:r>
      <w:proofErr w:type="spellStart"/>
      <w:r w:rsidRPr="00B9004E">
        <w:rPr>
          <w:rStyle w:val="TelobesedilaZnak"/>
          <w:b/>
          <w:bCs/>
          <w:lang w:val="it-IT" w:eastAsia="en-US" w:bidi="en-US"/>
        </w:rPr>
        <w:t>besedo</w:t>
      </w:r>
      <w:proofErr w:type="spellEnd"/>
      <w:r w:rsidRPr="00B9004E">
        <w:rPr>
          <w:rStyle w:val="TelobesedilaZnak"/>
          <w:b/>
          <w:bCs/>
          <w:lang w:val="it-IT" w:eastAsia="en-US" w:bidi="en-US"/>
        </w:rPr>
        <w:t xml:space="preserve">, </w:t>
      </w:r>
      <w:proofErr w:type="spellStart"/>
      <w:r w:rsidRPr="00B9004E">
        <w:rPr>
          <w:rStyle w:val="TelobesedilaZnak"/>
          <w:b/>
          <w:bCs/>
          <w:lang w:val="it-IT" w:eastAsia="en-US" w:bidi="en-US"/>
        </w:rPr>
        <w:t>na</w:t>
      </w:r>
      <w:proofErr w:type="spellEnd"/>
      <w:r w:rsidRPr="00B9004E">
        <w:rPr>
          <w:rStyle w:val="TelobesedilaZnak"/>
          <w:b/>
          <w:bCs/>
          <w:lang w:val="it-IT" w:eastAsia="en-US" w:bidi="en-US"/>
        </w:rPr>
        <w:t xml:space="preserve"> primer "</w:t>
      </w:r>
      <w:proofErr w:type="spellStart"/>
      <w:r w:rsidRPr="00B9004E">
        <w:rPr>
          <w:rStyle w:val="TelobesedilaZnak"/>
          <w:b/>
          <w:bCs/>
          <w:lang w:val="it-IT" w:eastAsia="en-US" w:bidi="en-US"/>
        </w:rPr>
        <w:t>priglasitev</w:t>
      </w:r>
      <w:proofErr w:type="spellEnd"/>
      <w:r w:rsidRPr="00B9004E">
        <w:rPr>
          <w:rStyle w:val="TelobesedilaZnak"/>
          <w:b/>
          <w:bCs/>
          <w:lang w:val="it-IT" w:eastAsia="en-US" w:bidi="en-US"/>
        </w:rPr>
        <w:t>."</w:t>
      </w:r>
    </w:p>
    <w:p w14:paraId="31267D36" w14:textId="77777777" w:rsidR="00D23FE9" w:rsidRDefault="00B9004E">
      <w:pPr>
        <w:pStyle w:val="Telobesedila"/>
        <w:spacing w:after="720" w:line="240" w:lineRule="auto"/>
      </w:pPr>
      <w:r w:rsidRPr="00B9004E">
        <w:rPr>
          <w:rStyle w:val="TelobesedilaZnak"/>
          <w:lang w:eastAsia="en-US" w:bidi="en-US"/>
        </w:rPr>
        <w:lastRenderedPageBreak/>
        <w:t>Lepo pozdravljeni,</w:t>
      </w:r>
    </w:p>
    <w:p w14:paraId="2C9E52E4" w14:textId="77777777" w:rsidR="00D23FE9" w:rsidRDefault="00B9004E">
      <w:pPr>
        <w:pStyle w:val="Telobesedila"/>
        <w:spacing w:after="0"/>
        <w:jc w:val="center"/>
      </w:pPr>
      <w:r w:rsidRPr="00B9004E">
        <w:rPr>
          <w:rStyle w:val="TelobesedilaZnak"/>
          <w:lang w:eastAsia="en-US" w:bidi="en-US"/>
        </w:rPr>
        <w:t xml:space="preserve">Svet za </w:t>
      </w:r>
      <w:r w:rsidRPr="00B9004E">
        <w:rPr>
          <w:rStyle w:val="TelobesedilaZnak"/>
          <w:lang w:eastAsia="en-US" w:bidi="en-US"/>
        </w:rPr>
        <w:t>elektronske komunikacije</w:t>
      </w:r>
      <w:r w:rsidRPr="00B9004E">
        <w:rPr>
          <w:rStyle w:val="TelobesedilaZnak"/>
          <w:lang w:eastAsia="en-US" w:bidi="en-US"/>
        </w:rPr>
        <w:br/>
        <w:t>Republike Slovenije</w:t>
      </w:r>
    </w:p>
    <w:sectPr w:rsidR="00D23FE9">
      <w:pgSz w:w="12240" w:h="15840"/>
      <w:pgMar w:top="1438" w:right="1403" w:bottom="1368" w:left="1409" w:header="1010" w:footer="9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54BCA" w14:textId="77777777" w:rsidR="00000000" w:rsidRDefault="00B9004E">
      <w:r>
        <w:separator/>
      </w:r>
    </w:p>
  </w:endnote>
  <w:endnote w:type="continuationSeparator" w:id="0">
    <w:p w14:paraId="2D5CF038" w14:textId="77777777" w:rsidR="00000000" w:rsidRDefault="00B9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139C6" w14:textId="77777777" w:rsidR="00D23FE9" w:rsidRDefault="00D23FE9"/>
  </w:footnote>
  <w:footnote w:type="continuationSeparator" w:id="0">
    <w:p w14:paraId="3B287AC5" w14:textId="77777777" w:rsidR="00D23FE9" w:rsidRDefault="00D23F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E5BA7"/>
    <w:multiLevelType w:val="multilevel"/>
    <w:tmpl w:val="BC2ED5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E9"/>
    <w:rsid w:val="00B9004E"/>
    <w:rsid w:val="00D23F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D1A5"/>
  <w15:docId w15:val="{A0964A71-4C0B-407D-8BC0-C048B8F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
    <w:name w:val="Picture caption_"/>
    <w:basedOn w:val="Privzetapisavaodstavka"/>
    <w:link w:val="Picturecaption0"/>
    <w:rPr>
      <w:rFonts w:ascii="Arial" w:eastAsia="Arial" w:hAnsi="Arial" w:cs="Arial"/>
      <w:b/>
      <w:bCs/>
      <w:i w:val="0"/>
      <w:iCs w:val="0"/>
      <w:smallCaps w:val="0"/>
      <w:strike w:val="0"/>
      <w:color w:val="003D77"/>
      <w:sz w:val="44"/>
      <w:szCs w:val="44"/>
      <w:u w:val="none"/>
    </w:rPr>
  </w:style>
  <w:style w:type="character" w:customStyle="1" w:styleId="Bodytext3">
    <w:name w:val="Body text (3)_"/>
    <w:basedOn w:val="Privzetapisavaodstavka"/>
    <w:link w:val="Bodytext30"/>
    <w:rPr>
      <w:rFonts w:ascii="Arial" w:eastAsia="Arial" w:hAnsi="Arial" w:cs="Arial"/>
      <w:b/>
      <w:bCs/>
      <w:i w:val="0"/>
      <w:iCs w:val="0"/>
      <w:smallCaps w:val="0"/>
      <w:strike w:val="0"/>
      <w:color w:val="134269"/>
      <w:sz w:val="15"/>
      <w:szCs w:val="15"/>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color w:val="263180"/>
      <w:sz w:val="14"/>
      <w:szCs w:val="14"/>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2"/>
      <w:szCs w:val="22"/>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36"/>
      <w:szCs w:val="36"/>
      <w:u w:val="none"/>
    </w:rPr>
  </w:style>
  <w:style w:type="paragraph" w:customStyle="1" w:styleId="Picturecaption0">
    <w:name w:val="Picture caption"/>
    <w:basedOn w:val="Navaden"/>
    <w:link w:val="Picturecaption"/>
    <w:pPr>
      <w:jc w:val="center"/>
    </w:pPr>
    <w:rPr>
      <w:rFonts w:ascii="Arial" w:eastAsia="Arial" w:hAnsi="Arial" w:cs="Arial"/>
      <w:b/>
      <w:bCs/>
      <w:color w:val="003D77"/>
      <w:sz w:val="44"/>
      <w:szCs w:val="44"/>
    </w:rPr>
  </w:style>
  <w:style w:type="paragraph" w:customStyle="1" w:styleId="Bodytext30">
    <w:name w:val="Body text (3)"/>
    <w:basedOn w:val="Navaden"/>
    <w:link w:val="Bodytext3"/>
    <w:pPr>
      <w:spacing w:after="100"/>
      <w:jc w:val="center"/>
    </w:pPr>
    <w:rPr>
      <w:rFonts w:ascii="Arial" w:eastAsia="Arial" w:hAnsi="Arial" w:cs="Arial"/>
      <w:b/>
      <w:bCs/>
      <w:color w:val="134269"/>
      <w:sz w:val="15"/>
      <w:szCs w:val="15"/>
    </w:rPr>
  </w:style>
  <w:style w:type="paragraph" w:customStyle="1" w:styleId="Bodytext20">
    <w:name w:val="Body text (2)"/>
    <w:basedOn w:val="Navaden"/>
    <w:link w:val="Bodytext2"/>
    <w:rPr>
      <w:rFonts w:ascii="Times New Roman" w:eastAsia="Times New Roman" w:hAnsi="Times New Roman" w:cs="Times New Roman"/>
      <w:color w:val="263180"/>
      <w:sz w:val="14"/>
      <w:szCs w:val="14"/>
    </w:rPr>
  </w:style>
  <w:style w:type="paragraph" w:styleId="Telobesedila">
    <w:name w:val="Body Text"/>
    <w:basedOn w:val="Navaden"/>
    <w:link w:val="TelobesedilaZnak"/>
    <w:qFormat/>
    <w:pPr>
      <w:spacing w:after="280" w:line="276" w:lineRule="auto"/>
    </w:pPr>
    <w:rPr>
      <w:rFonts w:ascii="Arial" w:eastAsia="Arial" w:hAnsi="Arial" w:cs="Arial"/>
      <w:sz w:val="22"/>
      <w:szCs w:val="22"/>
    </w:rPr>
  </w:style>
  <w:style w:type="paragraph" w:customStyle="1" w:styleId="Heading10">
    <w:name w:val="Heading #1"/>
    <w:basedOn w:val="Navaden"/>
    <w:link w:val="Heading1"/>
    <w:pPr>
      <w:spacing w:after="580" w:line="276" w:lineRule="auto"/>
      <w:jc w:val="center"/>
      <w:outlineLvl w:val="0"/>
    </w:pPr>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40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2-01-4315" TargetMode="External"/><Relationship Id="rId12" Type="http://schemas.openxmlformats.org/officeDocument/2006/relationships/hyperlink" Target="http://www.uradni-list.si/1/objava.jsp?sop=2017-01-2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188" TargetMode="External"/><Relationship Id="rId5" Type="http://schemas.openxmlformats.org/officeDocument/2006/relationships/footnotes" Target="footnotes.xml"/><Relationship Id="rId10" Type="http://schemas.openxmlformats.org/officeDocument/2006/relationships/hyperlink" Target="http://www.uradni-list.si/1/objava.jsp?sop=2014-01-2388" TargetMode="External"/><Relationship Id="rId4" Type="http://schemas.openxmlformats.org/officeDocument/2006/relationships/webSettings" Target="webSettings.xml"/><Relationship Id="rId9" Type="http://schemas.openxmlformats.org/officeDocument/2006/relationships/hyperlink" Target="http://www.uradni-list.si/1/objava.jsp?sop=2014-01-1619"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Zvonka Gabrijel</dc:creator>
  <cp:keywords/>
  <cp:lastModifiedBy>Darko Bulat</cp:lastModifiedBy>
  <cp:revision>2</cp:revision>
  <dcterms:created xsi:type="dcterms:W3CDTF">2021-09-20T12:28:00Z</dcterms:created>
  <dcterms:modified xsi:type="dcterms:W3CDTF">2021-09-20T12:28:00Z</dcterms:modified>
</cp:coreProperties>
</file>