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D9671" w14:textId="77777777" w:rsidR="00E25AB1" w:rsidRDefault="00E25AB1">
      <w:pPr>
        <w:spacing w:line="240" w:lineRule="exact"/>
        <w:rPr>
          <w:sz w:val="19"/>
          <w:szCs w:val="19"/>
        </w:rPr>
      </w:pPr>
    </w:p>
    <w:p w14:paraId="3AA15354" w14:textId="77777777" w:rsidR="00E25AB1" w:rsidRDefault="00E25AB1">
      <w:pPr>
        <w:spacing w:line="240" w:lineRule="exact"/>
        <w:rPr>
          <w:sz w:val="19"/>
          <w:szCs w:val="19"/>
        </w:rPr>
      </w:pPr>
    </w:p>
    <w:p w14:paraId="5A069508" w14:textId="77777777" w:rsidR="00E25AB1" w:rsidRDefault="00E25AB1">
      <w:pPr>
        <w:spacing w:line="240" w:lineRule="exact"/>
        <w:rPr>
          <w:sz w:val="19"/>
          <w:szCs w:val="19"/>
        </w:rPr>
      </w:pPr>
    </w:p>
    <w:p w14:paraId="499033BD" w14:textId="77777777" w:rsidR="00E25AB1" w:rsidRDefault="00E25AB1">
      <w:pPr>
        <w:spacing w:before="19" w:after="19" w:line="240" w:lineRule="exact"/>
        <w:rPr>
          <w:sz w:val="19"/>
          <w:szCs w:val="19"/>
        </w:rPr>
      </w:pPr>
    </w:p>
    <w:p w14:paraId="3C1DBFB7" w14:textId="77777777" w:rsidR="00E25AB1" w:rsidRDefault="00E25AB1">
      <w:pPr>
        <w:spacing w:line="1" w:lineRule="exact"/>
        <w:sectPr w:rsidR="00E25AB1">
          <w:headerReference w:type="even" r:id="rId7"/>
          <w:headerReference w:type="default" r:id="rId8"/>
          <w:footerReference w:type="even" r:id="rId9"/>
          <w:footerReference w:type="default" r:id="rId10"/>
          <w:pgSz w:w="11900" w:h="16840"/>
          <w:pgMar w:top="1450" w:right="1407" w:bottom="2482" w:left="1402" w:header="0" w:footer="3" w:gutter="0"/>
          <w:pgNumType w:start="1"/>
          <w:cols w:space="720"/>
          <w:noEndnote/>
          <w:docGrid w:linePitch="360"/>
        </w:sectPr>
      </w:pPr>
    </w:p>
    <w:p w14:paraId="5C509217" w14:textId="77777777" w:rsidR="00E25AB1" w:rsidRDefault="000C2C54">
      <w:pPr>
        <w:pStyle w:val="Bodytext20"/>
        <w:spacing w:after="0" w:line="254" w:lineRule="auto"/>
        <w:rPr>
          <w:sz w:val="24"/>
          <w:szCs w:val="24"/>
        </w:rPr>
      </w:pPr>
      <w:proofErr w:type="spellStart"/>
      <w:r w:rsidRPr="000C2C54">
        <w:rPr>
          <w:rStyle w:val="Bodytext2"/>
          <w:sz w:val="24"/>
          <w:szCs w:val="24"/>
          <w:lang w:val="it-IT" w:eastAsia="en-US" w:bidi="en-US"/>
        </w:rPr>
        <w:t>Agencija</w:t>
      </w:r>
      <w:proofErr w:type="spellEnd"/>
      <w:r w:rsidRPr="000C2C54">
        <w:rPr>
          <w:rStyle w:val="Bodytext2"/>
          <w:sz w:val="24"/>
          <w:szCs w:val="24"/>
          <w:lang w:val="it-IT" w:eastAsia="en-US" w:bidi="en-US"/>
        </w:rPr>
        <w:t xml:space="preserve"> za </w:t>
      </w:r>
      <w:proofErr w:type="spellStart"/>
      <w:r w:rsidRPr="000C2C54">
        <w:rPr>
          <w:rStyle w:val="Bodytext2"/>
          <w:sz w:val="24"/>
          <w:szCs w:val="24"/>
          <w:lang w:val="it-IT" w:eastAsia="en-US" w:bidi="en-US"/>
        </w:rPr>
        <w:t>komunikacijska</w:t>
      </w:r>
      <w:proofErr w:type="spellEnd"/>
      <w:r w:rsidRPr="000C2C54">
        <w:rPr>
          <w:rStyle w:val="Bodytext2"/>
          <w:sz w:val="24"/>
          <w:szCs w:val="24"/>
          <w:lang w:val="it-IT" w:eastAsia="en-US" w:bidi="en-US"/>
        </w:rPr>
        <w:t xml:space="preserve"> </w:t>
      </w:r>
      <w:r>
        <w:rPr>
          <w:rStyle w:val="Bodytext2"/>
          <w:sz w:val="24"/>
          <w:szCs w:val="24"/>
        </w:rPr>
        <w:t xml:space="preserve">omrežja </w:t>
      </w:r>
      <w:r w:rsidRPr="000C2C54">
        <w:rPr>
          <w:rStyle w:val="Bodytext2"/>
          <w:sz w:val="24"/>
          <w:szCs w:val="24"/>
          <w:lang w:val="it-IT" w:eastAsia="en-US" w:bidi="en-US"/>
        </w:rPr>
        <w:t xml:space="preserve">in </w:t>
      </w:r>
      <w:proofErr w:type="spellStart"/>
      <w:r w:rsidRPr="000C2C54">
        <w:rPr>
          <w:rStyle w:val="Bodytext2"/>
          <w:sz w:val="24"/>
          <w:szCs w:val="24"/>
          <w:lang w:val="it-IT" w:eastAsia="en-US" w:bidi="en-US"/>
        </w:rPr>
        <w:t>storitve</w:t>
      </w:r>
      <w:proofErr w:type="spellEnd"/>
    </w:p>
    <w:p w14:paraId="1A01688E" w14:textId="77777777" w:rsidR="00E25AB1" w:rsidRDefault="000C2C54">
      <w:pPr>
        <w:pStyle w:val="Bodytext20"/>
        <w:spacing w:after="280" w:line="254" w:lineRule="auto"/>
        <w:jc w:val="both"/>
        <w:rPr>
          <w:sz w:val="24"/>
          <w:szCs w:val="24"/>
        </w:rPr>
      </w:pPr>
      <w:proofErr w:type="spellStart"/>
      <w:r w:rsidRPr="000C2C54">
        <w:rPr>
          <w:rStyle w:val="Bodytext2"/>
          <w:sz w:val="24"/>
          <w:szCs w:val="24"/>
          <w:lang w:val="it-IT" w:eastAsia="en-US" w:bidi="en-US"/>
        </w:rPr>
        <w:t>Stegne</w:t>
      </w:r>
      <w:proofErr w:type="spellEnd"/>
      <w:r w:rsidRPr="000C2C54">
        <w:rPr>
          <w:rStyle w:val="Bodytext2"/>
          <w:sz w:val="24"/>
          <w:szCs w:val="24"/>
          <w:lang w:val="it-IT" w:eastAsia="en-US" w:bidi="en-US"/>
        </w:rPr>
        <w:t xml:space="preserve"> 7</w:t>
      </w:r>
    </w:p>
    <w:p w14:paraId="4314CE27" w14:textId="7E554468" w:rsidR="00E25AB1" w:rsidRDefault="000C2C54">
      <w:pPr>
        <w:pStyle w:val="Bodytext20"/>
        <w:spacing w:after="1940"/>
        <w:ind w:right="440"/>
        <w:jc w:val="right"/>
        <w:rPr>
          <w:sz w:val="22"/>
          <w:szCs w:val="22"/>
        </w:rPr>
      </w:pPr>
      <w:r>
        <w:rPr>
          <w:rStyle w:val="Bodytext2"/>
          <w:sz w:val="22"/>
          <w:szCs w:val="22"/>
        </w:rPr>
        <w:t xml:space="preserve">Sežana, </w:t>
      </w:r>
      <w:r w:rsidRPr="000C2C54">
        <w:rPr>
          <w:rStyle w:val="Bodytext2"/>
          <w:sz w:val="22"/>
          <w:szCs w:val="22"/>
          <w:lang w:eastAsia="en-US" w:bidi="en-US"/>
        </w:rPr>
        <w:t>27.10.2020</w:t>
      </w:r>
    </w:p>
    <w:p w14:paraId="10357B59" w14:textId="77777777" w:rsidR="00E25AB1" w:rsidRDefault="000C2C54">
      <w:pPr>
        <w:pStyle w:val="Bodytext20"/>
        <w:spacing w:after="580" w:line="216" w:lineRule="auto"/>
        <w:jc w:val="both"/>
      </w:pPr>
      <w:r w:rsidRPr="000C2C54">
        <w:rPr>
          <w:rStyle w:val="Bodytext2"/>
          <w:b/>
          <w:bCs/>
          <w:lang w:eastAsia="en-US" w:bidi="en-US"/>
        </w:rPr>
        <w:t xml:space="preserve">Zadeva: Pripombe v javni obravnavi osnutka predloga Zakona o </w:t>
      </w:r>
      <w:r>
        <w:rPr>
          <w:rStyle w:val="Bodytext2"/>
          <w:b/>
          <w:bCs/>
        </w:rPr>
        <w:t>elektron</w:t>
      </w:r>
      <w:r>
        <w:rPr>
          <w:rStyle w:val="Bodytext2"/>
          <w:b/>
          <w:bCs/>
        </w:rPr>
        <w:softHyphen/>
        <w:t>skih</w:t>
      </w:r>
      <w:r w:rsidRPr="000C2C54">
        <w:rPr>
          <w:rStyle w:val="Bodytext2"/>
          <w:b/>
          <w:bCs/>
          <w:lang w:eastAsia="en-US" w:bidi="en-US"/>
        </w:rPr>
        <w:t xml:space="preserve"> komunikacijah, </w:t>
      </w:r>
      <w:proofErr w:type="spellStart"/>
      <w:r>
        <w:rPr>
          <w:rStyle w:val="Bodytext2"/>
          <w:b/>
          <w:bCs/>
        </w:rPr>
        <w:t>opr.št</w:t>
      </w:r>
      <w:proofErr w:type="spellEnd"/>
      <w:r>
        <w:rPr>
          <w:rStyle w:val="Bodytext2"/>
          <w:b/>
          <w:bCs/>
        </w:rPr>
        <w:t xml:space="preserve">. </w:t>
      </w:r>
      <w:r w:rsidRPr="000C2C54">
        <w:rPr>
          <w:rStyle w:val="Bodytext2"/>
          <w:b/>
          <w:bCs/>
          <w:lang w:eastAsia="en-US" w:bidi="en-US"/>
        </w:rPr>
        <w:t>007-34/2019, EVA 2019-3130-0004</w:t>
      </w:r>
    </w:p>
    <w:p w14:paraId="6EC9BC40" w14:textId="77777777" w:rsidR="00E25AB1" w:rsidRDefault="000C2C54">
      <w:pPr>
        <w:pStyle w:val="Telobesedila"/>
        <w:spacing w:after="280"/>
        <w:jc w:val="both"/>
      </w:pPr>
      <w:r>
        <w:rPr>
          <w:rStyle w:val="TelobesedilaZnak"/>
        </w:rPr>
        <w:t>Spoštovani,</w:t>
      </w:r>
    </w:p>
    <w:p w14:paraId="4C47E8EC" w14:textId="77777777" w:rsidR="00E25AB1" w:rsidRDefault="000C2C54">
      <w:pPr>
        <w:pStyle w:val="Telobesedila"/>
        <w:spacing w:after="280"/>
        <w:jc w:val="both"/>
      </w:pPr>
      <w:r w:rsidRPr="000C2C54">
        <w:rPr>
          <w:rStyle w:val="TelobesedilaZnak"/>
          <w:lang w:eastAsia="en-US" w:bidi="en-US"/>
        </w:rPr>
        <w:t xml:space="preserve">Spodnje pripombe podajamo kot operater, ki se je z investicijo v </w:t>
      </w:r>
      <w:r>
        <w:rPr>
          <w:rStyle w:val="TelobesedilaZnak"/>
        </w:rPr>
        <w:t xml:space="preserve">višini </w:t>
      </w:r>
      <w:r w:rsidRPr="000C2C54">
        <w:rPr>
          <w:rStyle w:val="TelobesedilaZnak"/>
          <w:lang w:eastAsia="en-US" w:bidi="en-US"/>
        </w:rPr>
        <w:t>191 milijonov EUR usmeril v komercialno iz</w:t>
      </w:r>
      <w:r w:rsidRPr="000C2C54">
        <w:rPr>
          <w:rStyle w:val="TelobesedilaZnak"/>
          <w:lang w:eastAsia="en-US" w:bidi="en-US"/>
        </w:rPr>
        <w:t xml:space="preserve">gradnjo visokozmogljivega ruralnega povsem </w:t>
      </w:r>
      <w:r>
        <w:rPr>
          <w:rStyle w:val="TelobesedilaZnak"/>
        </w:rPr>
        <w:t xml:space="preserve">optičnega omrežja </w:t>
      </w:r>
      <w:r w:rsidRPr="000C2C54">
        <w:rPr>
          <w:rStyle w:val="TelobesedilaZnak"/>
          <w:lang w:eastAsia="en-US" w:bidi="en-US"/>
        </w:rPr>
        <w:t xml:space="preserve">na slovenskem </w:t>
      </w:r>
      <w:r>
        <w:rPr>
          <w:rStyle w:val="TelobesedilaZnak"/>
        </w:rPr>
        <w:t xml:space="preserve">podeželju, </w:t>
      </w:r>
      <w:r w:rsidRPr="000C2C54">
        <w:rPr>
          <w:rStyle w:val="TelobesedilaZnak"/>
          <w:lang w:eastAsia="en-US" w:bidi="en-US"/>
        </w:rPr>
        <w:t xml:space="preserve">odprtega za vse operaterje pod </w:t>
      </w:r>
      <w:proofErr w:type="spellStart"/>
      <w:r w:rsidRPr="000C2C54">
        <w:rPr>
          <w:rStyle w:val="TelobesedilaZnak"/>
          <w:lang w:eastAsia="en-US" w:bidi="en-US"/>
        </w:rPr>
        <w:t>nediskriminatornimi</w:t>
      </w:r>
      <w:proofErr w:type="spellEnd"/>
      <w:r w:rsidRPr="000C2C54">
        <w:rPr>
          <w:rStyle w:val="TelobesedilaZnak"/>
          <w:lang w:eastAsia="en-US" w:bidi="en-US"/>
        </w:rPr>
        <w:t xml:space="preserve"> pogoji. Pri poskusih, da bi </w:t>
      </w:r>
      <w:r>
        <w:rPr>
          <w:rStyle w:val="TelobesedilaZnak"/>
        </w:rPr>
        <w:t xml:space="preserve">čim </w:t>
      </w:r>
      <w:r w:rsidRPr="000C2C54">
        <w:rPr>
          <w:rStyle w:val="TelobesedilaZnak"/>
          <w:lang w:eastAsia="en-US" w:bidi="en-US"/>
        </w:rPr>
        <w:t xml:space="preserve">bolje izkoristili </w:t>
      </w:r>
      <w:r>
        <w:rPr>
          <w:rStyle w:val="TelobesedilaZnak"/>
        </w:rPr>
        <w:t xml:space="preserve">obstoječo </w:t>
      </w:r>
      <w:r w:rsidRPr="000C2C54">
        <w:rPr>
          <w:rStyle w:val="TelobesedilaZnak"/>
          <w:lang w:eastAsia="en-US" w:bidi="en-US"/>
        </w:rPr>
        <w:t xml:space="preserve">infrastrukturo in s tem prihranili denar za izgradnjo </w:t>
      </w:r>
      <w:r>
        <w:rPr>
          <w:rStyle w:val="TelobesedilaZnak"/>
        </w:rPr>
        <w:t xml:space="preserve">čim več </w:t>
      </w:r>
      <w:r w:rsidRPr="000C2C54">
        <w:rPr>
          <w:rStyle w:val="TelobesedilaZnak"/>
          <w:lang w:eastAsia="en-US" w:bidi="en-US"/>
        </w:rPr>
        <w:t xml:space="preserve">ruralnih </w:t>
      </w:r>
      <w:r>
        <w:rPr>
          <w:rStyle w:val="TelobesedilaZnak"/>
        </w:rPr>
        <w:t xml:space="preserve">priključkov, </w:t>
      </w:r>
      <w:r w:rsidRPr="000C2C54">
        <w:rPr>
          <w:rStyle w:val="TelobesedilaZnak"/>
          <w:lang w:eastAsia="en-US" w:bidi="en-US"/>
        </w:rPr>
        <w:t xml:space="preserve">smo naleteli na </w:t>
      </w:r>
      <w:r>
        <w:rPr>
          <w:rStyle w:val="TelobesedilaZnak"/>
        </w:rPr>
        <w:t xml:space="preserve">več praktičnih </w:t>
      </w:r>
      <w:r w:rsidRPr="000C2C54">
        <w:rPr>
          <w:rStyle w:val="TelobesedilaZnak"/>
          <w:lang w:eastAsia="en-US" w:bidi="en-US"/>
        </w:rPr>
        <w:t xml:space="preserve">problemov uporabe </w:t>
      </w:r>
      <w:r>
        <w:rPr>
          <w:rStyle w:val="TelobesedilaZnak"/>
        </w:rPr>
        <w:t xml:space="preserve">obstoječe </w:t>
      </w:r>
      <w:r w:rsidRPr="000C2C54">
        <w:rPr>
          <w:rStyle w:val="TelobesedilaZnak"/>
          <w:lang w:eastAsia="en-US" w:bidi="en-US"/>
        </w:rPr>
        <w:t>zakonodaje.</w:t>
      </w:r>
    </w:p>
    <w:p w14:paraId="7DBF815E" w14:textId="77777777" w:rsidR="00E25AB1" w:rsidRDefault="000C2C54">
      <w:pPr>
        <w:pStyle w:val="Telobesedila"/>
        <w:spacing w:after="880"/>
        <w:jc w:val="both"/>
      </w:pPr>
      <w:r>
        <w:rPr>
          <w:rStyle w:val="TelobesedilaZnak"/>
        </w:rPr>
        <w:t xml:space="preserve">Posledično želimo </w:t>
      </w:r>
      <w:r w:rsidRPr="000C2C54">
        <w:rPr>
          <w:rStyle w:val="TelobesedilaZnak"/>
          <w:lang w:eastAsia="en-US" w:bidi="en-US"/>
        </w:rPr>
        <w:t xml:space="preserve">izkoristiti to javno posvetovanje za konstruktivne predloge, ki lahko bistveno </w:t>
      </w:r>
      <w:r>
        <w:rPr>
          <w:rStyle w:val="TelobesedilaZnak"/>
        </w:rPr>
        <w:t>izbo</w:t>
      </w:r>
      <w:r>
        <w:rPr>
          <w:rStyle w:val="TelobesedilaZnak"/>
        </w:rPr>
        <w:t xml:space="preserve">ljšajo obstoječi </w:t>
      </w:r>
      <w:r w:rsidRPr="000C2C54">
        <w:rPr>
          <w:rStyle w:val="TelobesedilaZnak"/>
          <w:lang w:eastAsia="en-US" w:bidi="en-US"/>
        </w:rPr>
        <w:t xml:space="preserve">investicijski okvir za visokozmogljiva ruralna </w:t>
      </w:r>
      <w:r>
        <w:rPr>
          <w:rStyle w:val="TelobesedilaZnak"/>
        </w:rPr>
        <w:t xml:space="preserve">optična omrežja, </w:t>
      </w:r>
      <w:r w:rsidRPr="000C2C54">
        <w:rPr>
          <w:rStyle w:val="TelobesedilaZnak"/>
          <w:lang w:eastAsia="en-US" w:bidi="en-US"/>
        </w:rPr>
        <w:t xml:space="preserve">ob doslednem </w:t>
      </w:r>
      <w:r>
        <w:rPr>
          <w:rStyle w:val="TelobesedilaZnak"/>
        </w:rPr>
        <w:t xml:space="preserve">upoštevanju </w:t>
      </w:r>
      <w:r w:rsidRPr="000C2C54">
        <w:rPr>
          <w:rStyle w:val="TelobesedilaZnak"/>
          <w:lang w:eastAsia="en-US" w:bidi="en-US"/>
        </w:rPr>
        <w:t xml:space="preserve">ureditve po EECC ter slovenskih sistemskih pravnih </w:t>
      </w:r>
      <w:r>
        <w:rPr>
          <w:rStyle w:val="TelobesedilaZnak"/>
        </w:rPr>
        <w:t>rešitev.</w:t>
      </w:r>
    </w:p>
    <w:p w14:paraId="36D2F8F9" w14:textId="77777777" w:rsidR="00E25AB1" w:rsidRDefault="000C2C54">
      <w:pPr>
        <w:pStyle w:val="Bodytext20"/>
        <w:spacing w:after="320"/>
        <w:jc w:val="both"/>
      </w:pPr>
      <w:r w:rsidRPr="000C2C54">
        <w:rPr>
          <w:rStyle w:val="Bodytext2"/>
          <w:b/>
          <w:bCs/>
          <w:lang w:eastAsia="en-US" w:bidi="en-US"/>
        </w:rPr>
        <w:t xml:space="preserve">V 3. </w:t>
      </w:r>
      <w:r>
        <w:rPr>
          <w:rStyle w:val="Bodytext2"/>
          <w:b/>
          <w:bCs/>
        </w:rPr>
        <w:t xml:space="preserve">členu </w:t>
      </w:r>
      <w:r w:rsidRPr="000C2C54">
        <w:rPr>
          <w:rStyle w:val="Bodytext2"/>
          <w:b/>
          <w:bCs/>
          <w:lang w:eastAsia="en-US" w:bidi="en-US"/>
        </w:rPr>
        <w:t xml:space="preserve">se doda nova 72. </w:t>
      </w:r>
      <w:r>
        <w:rPr>
          <w:rStyle w:val="Bodytext2"/>
          <w:b/>
          <w:bCs/>
        </w:rPr>
        <w:t xml:space="preserve">točka, </w:t>
      </w:r>
      <w:r w:rsidRPr="000C2C54">
        <w:rPr>
          <w:rStyle w:val="Bodytext2"/>
          <w:b/>
          <w:bCs/>
          <w:lang w:eastAsia="en-US" w:bidi="en-US"/>
        </w:rPr>
        <w:t xml:space="preserve">ki se glasi: »Skupna uporaba pomeni pravico operaterja </w:t>
      </w:r>
      <w:r>
        <w:rPr>
          <w:rStyle w:val="Bodytext2"/>
          <w:b/>
          <w:bCs/>
        </w:rPr>
        <w:t xml:space="preserve">omrežja, </w:t>
      </w:r>
      <w:r w:rsidRPr="000C2C54">
        <w:rPr>
          <w:rStyle w:val="Bodytext2"/>
          <w:b/>
          <w:bCs/>
          <w:lang w:eastAsia="en-US" w:bidi="en-US"/>
        </w:rPr>
        <w:t xml:space="preserve">da ta v primeru </w:t>
      </w:r>
      <w:r>
        <w:rPr>
          <w:rStyle w:val="Bodytext2"/>
          <w:b/>
          <w:bCs/>
        </w:rPr>
        <w:t xml:space="preserve">obstoječe </w:t>
      </w:r>
      <w:r w:rsidRPr="000C2C54">
        <w:rPr>
          <w:rStyle w:val="Bodytext2"/>
          <w:b/>
          <w:bCs/>
          <w:lang w:eastAsia="en-US" w:bidi="en-US"/>
        </w:rPr>
        <w:t xml:space="preserve">infrastrukture ali skupne gradnje po </w:t>
      </w:r>
      <w:r>
        <w:rPr>
          <w:rStyle w:val="Bodytext2"/>
          <w:b/>
          <w:bCs/>
        </w:rPr>
        <w:t xml:space="preserve">11.členu </w:t>
      </w:r>
      <w:r w:rsidRPr="000C2C54">
        <w:rPr>
          <w:rStyle w:val="Bodytext2"/>
          <w:b/>
          <w:bCs/>
          <w:lang w:eastAsia="en-US" w:bidi="en-US"/>
        </w:rPr>
        <w:t xml:space="preserve">tega zakona </w:t>
      </w:r>
      <w:r>
        <w:rPr>
          <w:rStyle w:val="Bodytext2"/>
          <w:b/>
          <w:bCs/>
        </w:rPr>
        <w:t xml:space="preserve">uživa </w:t>
      </w:r>
      <w:r w:rsidRPr="000C2C54">
        <w:rPr>
          <w:rStyle w:val="Bodytext2"/>
          <w:b/>
          <w:bCs/>
          <w:lang w:eastAsia="en-US" w:bidi="en-US"/>
        </w:rPr>
        <w:t xml:space="preserve">dostop do </w:t>
      </w:r>
      <w:r>
        <w:rPr>
          <w:rStyle w:val="Bodytext2"/>
          <w:b/>
          <w:bCs/>
        </w:rPr>
        <w:t xml:space="preserve">fizične </w:t>
      </w:r>
      <w:r w:rsidRPr="000C2C54">
        <w:rPr>
          <w:rStyle w:val="Bodytext2"/>
          <w:b/>
          <w:bCs/>
          <w:lang w:eastAsia="en-US" w:bidi="en-US"/>
        </w:rPr>
        <w:t xml:space="preserve">infrastrukture ter vsa </w:t>
      </w:r>
      <w:r>
        <w:rPr>
          <w:rStyle w:val="Bodytext2"/>
          <w:b/>
          <w:bCs/>
        </w:rPr>
        <w:t xml:space="preserve">upravičenja </w:t>
      </w:r>
      <w:r w:rsidRPr="000C2C54">
        <w:rPr>
          <w:rStyle w:val="Bodytext2"/>
          <w:b/>
          <w:bCs/>
          <w:lang w:eastAsia="en-US" w:bidi="en-US"/>
        </w:rPr>
        <w:t xml:space="preserve">iz naslova </w:t>
      </w:r>
      <w:r>
        <w:rPr>
          <w:rStyle w:val="Bodytext2"/>
          <w:b/>
          <w:bCs/>
        </w:rPr>
        <w:t xml:space="preserve">služnosti, </w:t>
      </w:r>
      <w:r w:rsidRPr="000C2C54">
        <w:rPr>
          <w:rStyle w:val="Bodytext2"/>
          <w:b/>
          <w:bCs/>
          <w:lang w:eastAsia="en-US" w:bidi="en-US"/>
        </w:rPr>
        <w:t>ki je po tem zakonu ustanovljena v korist drugega operaterja.«</w:t>
      </w:r>
    </w:p>
    <w:p w14:paraId="56A62BD1" w14:textId="77777777" w:rsidR="00E25AB1" w:rsidRDefault="000C2C54">
      <w:pPr>
        <w:pStyle w:val="Telobesedila"/>
        <w:spacing w:after="260" w:line="298" w:lineRule="auto"/>
        <w:jc w:val="both"/>
      </w:pPr>
      <w:r>
        <w:rPr>
          <w:rStyle w:val="TelobesedilaZnak"/>
        </w:rPr>
        <w:t xml:space="preserve">OBRAZLOŽITEV: </w:t>
      </w:r>
      <w:r w:rsidRPr="000C2C54">
        <w:rPr>
          <w:rStyle w:val="TelobesedilaZnak"/>
          <w:lang w:eastAsia="en-US" w:bidi="en-US"/>
        </w:rPr>
        <w:t>Odsot</w:t>
      </w:r>
      <w:r w:rsidRPr="000C2C54">
        <w:rPr>
          <w:rStyle w:val="TelobesedilaZnak"/>
          <w:lang w:eastAsia="en-US" w:bidi="en-US"/>
        </w:rPr>
        <w:t xml:space="preserve">nost definicije skupne uporabe predstavlja tako </w:t>
      </w:r>
      <w:r>
        <w:rPr>
          <w:rStyle w:val="TelobesedilaZnak"/>
        </w:rPr>
        <w:t xml:space="preserve">praktičen </w:t>
      </w:r>
      <w:r w:rsidRPr="000C2C54">
        <w:rPr>
          <w:rStyle w:val="TelobesedilaZnak"/>
          <w:lang w:eastAsia="en-US" w:bidi="en-US"/>
        </w:rPr>
        <w:t xml:space="preserve">kot tudi </w:t>
      </w:r>
      <w:r>
        <w:rPr>
          <w:rStyle w:val="TelobesedilaZnak"/>
        </w:rPr>
        <w:t xml:space="preserve">teoretičen </w:t>
      </w:r>
      <w:r w:rsidRPr="000C2C54">
        <w:rPr>
          <w:rStyle w:val="TelobesedilaZnak"/>
          <w:lang w:eastAsia="en-US" w:bidi="en-US"/>
        </w:rPr>
        <w:t xml:space="preserve">problem, saj skupna uporaba sploh ni definirana v smislu pravice, </w:t>
      </w:r>
      <w:r>
        <w:rPr>
          <w:rStyle w:val="TelobesedilaZnak"/>
        </w:rPr>
        <w:t xml:space="preserve">temveč </w:t>
      </w:r>
      <w:r w:rsidRPr="000C2C54">
        <w:rPr>
          <w:rStyle w:val="TelobesedilaZnak"/>
          <w:lang w:eastAsia="en-US" w:bidi="en-US"/>
        </w:rPr>
        <w:t xml:space="preserve">jo zakon na drugih mestih opisuje bolj v smislu dejanskega </w:t>
      </w:r>
      <w:r>
        <w:rPr>
          <w:rStyle w:val="TelobesedilaZnak"/>
        </w:rPr>
        <w:t xml:space="preserve">položaja. </w:t>
      </w:r>
      <w:r w:rsidRPr="000C2C54">
        <w:rPr>
          <w:rStyle w:val="TelobesedilaZnak"/>
          <w:lang w:eastAsia="en-US" w:bidi="en-US"/>
        </w:rPr>
        <w:t>Razlog za to je pravno nevtralna ter</w:t>
      </w:r>
      <w:r w:rsidRPr="000C2C54">
        <w:rPr>
          <w:rStyle w:val="TelobesedilaZnak"/>
          <w:lang w:eastAsia="en-US" w:bidi="en-US"/>
        </w:rPr>
        <w:t xml:space="preserve">minologija po pravu EU, ki mora </w:t>
      </w:r>
      <w:r>
        <w:rPr>
          <w:rStyle w:val="TelobesedilaZnak"/>
        </w:rPr>
        <w:t xml:space="preserve">dopuščati različne </w:t>
      </w:r>
      <w:r w:rsidRPr="000C2C54">
        <w:rPr>
          <w:rStyle w:val="TelobesedilaZnak"/>
          <w:lang w:eastAsia="en-US" w:bidi="en-US"/>
        </w:rPr>
        <w:t xml:space="preserve">opcije ustanovitve pravic po kontinentalnih in </w:t>
      </w:r>
      <w:r>
        <w:rPr>
          <w:rStyle w:val="TelobesedilaZnak"/>
        </w:rPr>
        <w:t xml:space="preserve">anglosaških </w:t>
      </w:r>
      <w:r w:rsidRPr="000C2C54">
        <w:rPr>
          <w:rStyle w:val="TelobesedilaZnak"/>
          <w:lang w:eastAsia="en-US" w:bidi="en-US"/>
        </w:rPr>
        <w:t xml:space="preserve">ureditvah. Odsotnost definicije pa postane pravno </w:t>
      </w:r>
      <w:r>
        <w:rPr>
          <w:rStyle w:val="TelobesedilaZnak"/>
        </w:rPr>
        <w:t xml:space="preserve">nevzdržna </w:t>
      </w:r>
      <w:r w:rsidRPr="000C2C54">
        <w:rPr>
          <w:rStyle w:val="TelobesedilaZnak"/>
          <w:lang w:eastAsia="en-US" w:bidi="en-US"/>
        </w:rPr>
        <w:t>pri prenosu v slovenski pravni red, zlasti v primerih, ki so v praksi najbolj pogosti:</w:t>
      </w:r>
      <w:r w:rsidRPr="000C2C54">
        <w:rPr>
          <w:rStyle w:val="TelobesedilaZnak"/>
          <w:lang w:eastAsia="en-US" w:bidi="en-US"/>
        </w:rPr>
        <w:t xml:space="preserve"> ko se izvaja v okviru </w:t>
      </w:r>
      <w:r>
        <w:rPr>
          <w:rStyle w:val="TelobesedilaZnak"/>
        </w:rPr>
        <w:t xml:space="preserve">služnosti, </w:t>
      </w:r>
      <w:r w:rsidRPr="000C2C54">
        <w:rPr>
          <w:rStyle w:val="TelobesedilaZnak"/>
          <w:lang w:eastAsia="en-US" w:bidi="en-US"/>
        </w:rPr>
        <w:t xml:space="preserve">ki jo je pridobil eden izmed </w:t>
      </w:r>
      <w:r>
        <w:rPr>
          <w:rStyle w:val="TelobesedilaZnak"/>
        </w:rPr>
        <w:t xml:space="preserve">udeleženih </w:t>
      </w:r>
      <w:r w:rsidRPr="000C2C54">
        <w:rPr>
          <w:rStyle w:val="TelobesedilaZnak"/>
          <w:lang w:eastAsia="en-US" w:bidi="en-US"/>
        </w:rPr>
        <w:lastRenderedPageBreak/>
        <w:t xml:space="preserve">operaterjev in se razteza na drugega operaterja skladno z osmim odstavkom 25. </w:t>
      </w:r>
      <w:r>
        <w:rPr>
          <w:rStyle w:val="TelobesedilaZnak"/>
        </w:rPr>
        <w:t xml:space="preserve">člena </w:t>
      </w:r>
      <w:r w:rsidRPr="000C2C54">
        <w:rPr>
          <w:rStyle w:val="TelobesedilaZnak"/>
          <w:lang w:eastAsia="en-US" w:bidi="en-US"/>
        </w:rPr>
        <w:t>predloga. Posebej je treba skupno uporaba kot pravico omeniti tudi v kontekstu skupne gradnje, saj</w:t>
      </w:r>
      <w:r w:rsidRPr="000C2C54">
        <w:rPr>
          <w:rStyle w:val="TelobesedilaZnak"/>
          <w:lang w:eastAsia="en-US" w:bidi="en-US"/>
        </w:rPr>
        <w:t xml:space="preserve"> bo tu </w:t>
      </w:r>
      <w:r>
        <w:rPr>
          <w:rStyle w:val="TelobesedilaZnak"/>
        </w:rPr>
        <w:t xml:space="preserve">šlo </w:t>
      </w:r>
      <w:r w:rsidRPr="000C2C54">
        <w:rPr>
          <w:rStyle w:val="TelobesedilaZnak"/>
          <w:lang w:eastAsia="en-US" w:bidi="en-US"/>
        </w:rPr>
        <w:t xml:space="preserve">za </w:t>
      </w:r>
      <w:r>
        <w:rPr>
          <w:rStyle w:val="TelobesedilaZnak"/>
        </w:rPr>
        <w:t xml:space="preserve">še </w:t>
      </w:r>
      <w:r w:rsidRPr="000C2C54">
        <w:rPr>
          <w:rStyle w:val="TelobesedilaZnak"/>
          <w:lang w:eastAsia="en-US" w:bidi="en-US"/>
        </w:rPr>
        <w:t xml:space="preserve">nezgrajeno </w:t>
      </w:r>
      <w:r>
        <w:rPr>
          <w:rStyle w:val="TelobesedilaZnak"/>
        </w:rPr>
        <w:t xml:space="preserve">omrežje, </w:t>
      </w:r>
      <w:r w:rsidRPr="000C2C54">
        <w:rPr>
          <w:rStyle w:val="TelobesedilaZnak"/>
          <w:lang w:eastAsia="en-US" w:bidi="en-US"/>
        </w:rPr>
        <w:t xml:space="preserve">torej v prvi vrsti za pravico do skupne uporabe pravice gradnje, vsebovane v </w:t>
      </w:r>
      <w:r>
        <w:rPr>
          <w:rStyle w:val="TelobesedilaZnak"/>
        </w:rPr>
        <w:t xml:space="preserve">služnosti, šele </w:t>
      </w:r>
      <w:r w:rsidRPr="000C2C54">
        <w:rPr>
          <w:rStyle w:val="TelobesedilaZnak"/>
          <w:lang w:eastAsia="en-US" w:bidi="en-US"/>
        </w:rPr>
        <w:t xml:space="preserve">sekundarno pa tudi elementov </w:t>
      </w:r>
      <w:r>
        <w:rPr>
          <w:rStyle w:val="TelobesedilaZnak"/>
        </w:rPr>
        <w:t>omrežja.</w:t>
      </w:r>
    </w:p>
    <w:p w14:paraId="3FEBD614" w14:textId="77777777" w:rsidR="00E25AB1" w:rsidRDefault="000C2C54">
      <w:pPr>
        <w:pStyle w:val="Bodytext20"/>
        <w:spacing w:after="320"/>
        <w:jc w:val="both"/>
      </w:pPr>
      <w:r w:rsidRPr="000C2C54">
        <w:rPr>
          <w:rStyle w:val="Bodytext2"/>
          <w:b/>
          <w:bCs/>
          <w:lang w:val="it-IT" w:eastAsia="en-US" w:bidi="en-US"/>
        </w:rPr>
        <w:t xml:space="preserve">V 74. </w:t>
      </w:r>
      <w:r>
        <w:rPr>
          <w:rStyle w:val="Bodytext2"/>
          <w:b/>
          <w:bCs/>
        </w:rPr>
        <w:t xml:space="preserve">točki </w:t>
      </w:r>
      <w:r w:rsidRPr="000C2C54">
        <w:rPr>
          <w:rStyle w:val="Bodytext2"/>
          <w:b/>
          <w:bCs/>
          <w:lang w:val="it-IT" w:eastAsia="en-US" w:bidi="en-US"/>
        </w:rPr>
        <w:t xml:space="preserve">3. </w:t>
      </w:r>
      <w:r>
        <w:rPr>
          <w:rStyle w:val="Bodytext2"/>
          <w:b/>
          <w:bCs/>
        </w:rPr>
        <w:t xml:space="preserve">člena </w:t>
      </w:r>
      <w:r w:rsidRPr="000C2C54">
        <w:rPr>
          <w:rStyle w:val="Bodytext2"/>
          <w:b/>
          <w:bCs/>
          <w:lang w:val="it-IT" w:eastAsia="en-US" w:bidi="en-US"/>
        </w:rPr>
        <w:t xml:space="preserve">se v </w:t>
      </w:r>
      <w:proofErr w:type="spellStart"/>
      <w:r w:rsidRPr="000C2C54">
        <w:rPr>
          <w:rStyle w:val="Bodytext2"/>
          <w:b/>
          <w:bCs/>
          <w:lang w:val="it-IT" w:eastAsia="en-US" w:bidi="en-US"/>
        </w:rPr>
        <w:t>definiciji</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stavbne</w:t>
      </w:r>
      <w:proofErr w:type="spellEnd"/>
      <w:r w:rsidRPr="000C2C54">
        <w:rPr>
          <w:rStyle w:val="Bodytext2"/>
          <w:b/>
          <w:bCs/>
          <w:lang w:val="it-IT" w:eastAsia="en-US" w:bidi="en-US"/>
        </w:rPr>
        <w:t xml:space="preserve"> </w:t>
      </w:r>
      <w:r>
        <w:rPr>
          <w:rStyle w:val="Bodytext2"/>
          <w:b/>
          <w:bCs/>
        </w:rPr>
        <w:t xml:space="preserve">fizične </w:t>
      </w:r>
      <w:proofErr w:type="spellStart"/>
      <w:r w:rsidRPr="000C2C54">
        <w:rPr>
          <w:rStyle w:val="Bodytext2"/>
          <w:b/>
          <w:bCs/>
          <w:lang w:val="it-IT" w:eastAsia="en-US" w:bidi="en-US"/>
        </w:rPr>
        <w:t>infrastrukture</w:t>
      </w:r>
      <w:proofErr w:type="spellEnd"/>
      <w:r w:rsidRPr="000C2C54">
        <w:rPr>
          <w:rStyle w:val="Bodytext2"/>
          <w:b/>
          <w:bCs/>
          <w:lang w:val="it-IT" w:eastAsia="en-US" w:bidi="en-US"/>
        </w:rPr>
        <w:t xml:space="preserve"> </w:t>
      </w:r>
      <w:r>
        <w:rPr>
          <w:rStyle w:val="Bodytext2"/>
          <w:b/>
          <w:bCs/>
        </w:rPr>
        <w:t xml:space="preserve">črta </w:t>
      </w:r>
      <w:r w:rsidRPr="000C2C54">
        <w:rPr>
          <w:rStyle w:val="Bodytext2"/>
          <w:b/>
          <w:bCs/>
          <w:lang w:val="it-IT" w:eastAsia="en-US" w:bidi="en-US"/>
        </w:rPr>
        <w:t xml:space="preserve">»v </w:t>
      </w:r>
      <w:proofErr w:type="spellStart"/>
      <w:r w:rsidRPr="000C2C54">
        <w:rPr>
          <w:rStyle w:val="Bodytext2"/>
          <w:b/>
          <w:bCs/>
          <w:lang w:val="it-IT" w:eastAsia="en-US" w:bidi="en-US"/>
        </w:rPr>
        <w:t>stavbi</w:t>
      </w:r>
      <w:proofErr w:type="spellEnd"/>
      <w:r w:rsidRPr="000C2C54">
        <w:rPr>
          <w:rStyle w:val="Bodytext2"/>
          <w:b/>
          <w:bCs/>
          <w:lang w:val="it-IT" w:eastAsia="en-US" w:bidi="en-US"/>
        </w:rPr>
        <w:t>«.</w:t>
      </w:r>
    </w:p>
    <w:p w14:paraId="55809F59" w14:textId="77777777" w:rsidR="00E25AB1" w:rsidRDefault="000C2C54">
      <w:pPr>
        <w:pStyle w:val="Telobesedila"/>
        <w:spacing w:after="260"/>
        <w:jc w:val="both"/>
      </w:pPr>
      <w:r>
        <w:rPr>
          <w:rStyle w:val="TelobesedilaZnak"/>
        </w:rPr>
        <w:t xml:space="preserve">OBRAZLOŽITEV: </w:t>
      </w:r>
      <w:proofErr w:type="spellStart"/>
      <w:r w:rsidRPr="000C2C54">
        <w:rPr>
          <w:rStyle w:val="TelobesedilaZnak"/>
          <w:lang w:val="it-IT" w:eastAsia="en-US" w:bidi="en-US"/>
        </w:rPr>
        <w:t>Razdelilna</w:t>
      </w:r>
      <w:proofErr w:type="spellEnd"/>
      <w:r w:rsidRPr="000C2C54">
        <w:rPr>
          <w:rStyle w:val="TelobesedilaZnak"/>
          <w:lang w:val="it-IT" w:eastAsia="en-US" w:bidi="en-US"/>
        </w:rPr>
        <w:t xml:space="preserve"> </w:t>
      </w:r>
      <w:r>
        <w:rPr>
          <w:rStyle w:val="TelobesedilaZnak"/>
        </w:rPr>
        <w:t xml:space="preserve">točka </w:t>
      </w:r>
      <w:r w:rsidRPr="000C2C54">
        <w:rPr>
          <w:rStyle w:val="TelobesedilaZnak"/>
          <w:lang w:val="it-IT" w:eastAsia="en-US" w:bidi="en-US"/>
        </w:rPr>
        <w:t xml:space="preserve">se ne </w:t>
      </w:r>
      <w:proofErr w:type="spellStart"/>
      <w:r w:rsidRPr="000C2C54">
        <w:rPr>
          <w:rStyle w:val="TelobesedilaZnak"/>
          <w:lang w:val="it-IT" w:eastAsia="en-US" w:bidi="en-US"/>
        </w:rPr>
        <w:t>nahaja</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nujno</w:t>
      </w:r>
      <w:proofErr w:type="spellEnd"/>
      <w:r w:rsidRPr="000C2C54">
        <w:rPr>
          <w:rStyle w:val="TelobesedilaZnak"/>
          <w:lang w:val="it-IT" w:eastAsia="en-US" w:bidi="en-US"/>
        </w:rPr>
        <w:t xml:space="preserve"> v </w:t>
      </w:r>
      <w:proofErr w:type="spellStart"/>
      <w:r w:rsidRPr="000C2C54">
        <w:rPr>
          <w:rStyle w:val="TelobesedilaZnak"/>
          <w:lang w:val="it-IT" w:eastAsia="en-US" w:bidi="en-US"/>
        </w:rPr>
        <w:t>stavbi</w:t>
      </w:r>
      <w:proofErr w:type="spellEnd"/>
      <w:r w:rsidRPr="000C2C54">
        <w:rPr>
          <w:rStyle w:val="TelobesedilaZnak"/>
          <w:lang w:val="it-IT" w:eastAsia="en-US" w:bidi="en-US"/>
        </w:rPr>
        <w:t xml:space="preserve"> (69. </w:t>
      </w:r>
      <w:r>
        <w:rPr>
          <w:rStyle w:val="TelobesedilaZnak"/>
        </w:rPr>
        <w:t xml:space="preserve">točka </w:t>
      </w:r>
      <w:proofErr w:type="spellStart"/>
      <w:r w:rsidRPr="000C2C54">
        <w:rPr>
          <w:rStyle w:val="TelobesedilaZnak"/>
          <w:lang w:val="it-IT" w:eastAsia="en-US" w:bidi="en-US"/>
        </w:rPr>
        <w:t>definicij</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Sprememba</w:t>
      </w:r>
      <w:proofErr w:type="spellEnd"/>
      <w:r w:rsidRPr="000C2C54">
        <w:rPr>
          <w:rStyle w:val="TelobesedilaZnak"/>
          <w:lang w:val="it-IT" w:eastAsia="en-US" w:bidi="en-US"/>
        </w:rPr>
        <w:t xml:space="preserve"> je </w:t>
      </w:r>
      <w:proofErr w:type="spellStart"/>
      <w:r w:rsidRPr="000C2C54">
        <w:rPr>
          <w:rStyle w:val="TelobesedilaZnak"/>
          <w:lang w:val="it-IT" w:eastAsia="en-US" w:bidi="en-US"/>
        </w:rPr>
        <w:t>potrebna</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tudi</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zaradi</w:t>
      </w:r>
      <w:proofErr w:type="spellEnd"/>
      <w:r w:rsidRPr="000C2C54">
        <w:rPr>
          <w:rStyle w:val="TelobesedilaZnak"/>
          <w:lang w:val="it-IT" w:eastAsia="en-US" w:bidi="en-US"/>
        </w:rPr>
        <w:t xml:space="preserve"> </w:t>
      </w:r>
      <w:r>
        <w:rPr>
          <w:rStyle w:val="TelobesedilaZnak"/>
        </w:rPr>
        <w:t xml:space="preserve">združljivosti </w:t>
      </w:r>
      <w:r w:rsidRPr="000C2C54">
        <w:rPr>
          <w:rStyle w:val="TelobesedilaZnak"/>
          <w:lang w:val="it-IT" w:eastAsia="en-US" w:bidi="en-US"/>
        </w:rPr>
        <w:t xml:space="preserve">s </w:t>
      </w:r>
      <w:r>
        <w:rPr>
          <w:rStyle w:val="TelobesedilaZnak"/>
        </w:rPr>
        <w:t xml:space="preserve">Členom </w:t>
      </w:r>
      <w:r w:rsidRPr="000C2C54">
        <w:rPr>
          <w:rStyle w:val="TelobesedilaZnak"/>
          <w:lang w:val="it-IT" w:eastAsia="en-US" w:bidi="en-US"/>
        </w:rPr>
        <w:t>61(3) EECC.</w:t>
      </w:r>
    </w:p>
    <w:p w14:paraId="426DEA41" w14:textId="77777777" w:rsidR="00E25AB1" w:rsidRDefault="000C2C54">
      <w:pPr>
        <w:pStyle w:val="Bodytext20"/>
        <w:spacing w:after="320"/>
        <w:jc w:val="both"/>
      </w:pPr>
      <w:r w:rsidRPr="000C2C54">
        <w:rPr>
          <w:rStyle w:val="Bodytext2"/>
          <w:b/>
          <w:bCs/>
          <w:lang w:val="it-IT" w:eastAsia="en-US" w:bidi="en-US"/>
        </w:rPr>
        <w:t xml:space="preserve">1. </w:t>
      </w:r>
      <w:r>
        <w:rPr>
          <w:rStyle w:val="Bodytext2"/>
          <w:b/>
          <w:bCs/>
        </w:rPr>
        <w:t xml:space="preserve">točka </w:t>
      </w:r>
      <w:proofErr w:type="spellStart"/>
      <w:r w:rsidRPr="000C2C54">
        <w:rPr>
          <w:rStyle w:val="Bodytext2"/>
          <w:b/>
          <w:bCs/>
          <w:lang w:val="it-IT" w:eastAsia="en-US" w:bidi="en-US"/>
        </w:rPr>
        <w:t>tretjega</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odstavka</w:t>
      </w:r>
      <w:proofErr w:type="spellEnd"/>
      <w:r w:rsidRPr="000C2C54">
        <w:rPr>
          <w:rStyle w:val="Bodytext2"/>
          <w:b/>
          <w:bCs/>
          <w:lang w:val="it-IT" w:eastAsia="en-US" w:bidi="en-US"/>
        </w:rPr>
        <w:t xml:space="preserve"> 9. </w:t>
      </w:r>
      <w:r>
        <w:rPr>
          <w:rStyle w:val="Bodytext2"/>
          <w:b/>
          <w:bCs/>
        </w:rPr>
        <w:t xml:space="preserve">člena </w:t>
      </w:r>
      <w:r w:rsidRPr="000C2C54">
        <w:rPr>
          <w:rStyle w:val="Bodytext2"/>
          <w:b/>
          <w:bCs/>
          <w:lang w:val="it-IT" w:eastAsia="en-US" w:bidi="en-US"/>
        </w:rPr>
        <w:t xml:space="preserve">se </w:t>
      </w:r>
      <w:proofErr w:type="spellStart"/>
      <w:r w:rsidRPr="000C2C54">
        <w:rPr>
          <w:rStyle w:val="Bodytext2"/>
          <w:b/>
          <w:bCs/>
          <w:lang w:val="it-IT" w:eastAsia="en-US" w:bidi="en-US"/>
        </w:rPr>
        <w:t>spremeni</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tako</w:t>
      </w:r>
      <w:proofErr w:type="spellEnd"/>
      <w:r w:rsidRPr="000C2C54">
        <w:rPr>
          <w:rStyle w:val="Bodytext2"/>
          <w:b/>
          <w:bCs/>
          <w:lang w:val="it-IT" w:eastAsia="en-US" w:bidi="en-US"/>
        </w:rPr>
        <w:t xml:space="preserve">, da se </w:t>
      </w:r>
      <w:proofErr w:type="spellStart"/>
      <w:r w:rsidRPr="000C2C54">
        <w:rPr>
          <w:rStyle w:val="Bodytext2"/>
          <w:b/>
          <w:bCs/>
          <w:lang w:val="it-IT" w:eastAsia="en-US" w:bidi="en-US"/>
        </w:rPr>
        <w:t>glasi</w:t>
      </w:r>
      <w:proofErr w:type="spellEnd"/>
      <w:r w:rsidRPr="000C2C54">
        <w:rPr>
          <w:rStyle w:val="Bodytext2"/>
          <w:b/>
          <w:bCs/>
          <w:lang w:val="it-IT" w:eastAsia="en-US" w:bidi="en-US"/>
        </w:rPr>
        <w:t>: »</w:t>
      </w:r>
      <w:proofErr w:type="spellStart"/>
      <w:r w:rsidRPr="000C2C54">
        <w:rPr>
          <w:rStyle w:val="Bodytext2"/>
          <w:b/>
          <w:bCs/>
          <w:lang w:val="it-IT" w:eastAsia="en-US" w:bidi="en-US"/>
        </w:rPr>
        <w:t>dograditev</w:t>
      </w:r>
      <w:proofErr w:type="spellEnd"/>
      <w:r w:rsidRPr="000C2C54">
        <w:rPr>
          <w:rStyle w:val="Bodytext2"/>
          <w:b/>
          <w:bCs/>
          <w:lang w:val="it-IT" w:eastAsia="en-US" w:bidi="en-US"/>
        </w:rPr>
        <w:t xml:space="preserve"> in </w:t>
      </w:r>
      <w:proofErr w:type="spellStart"/>
      <w:r w:rsidRPr="000C2C54">
        <w:rPr>
          <w:rStyle w:val="Bodytext2"/>
          <w:b/>
          <w:bCs/>
          <w:lang w:val="it-IT" w:eastAsia="en-US" w:bidi="en-US"/>
        </w:rPr>
        <w:t>nadgraditev</w:t>
      </w:r>
      <w:proofErr w:type="spellEnd"/>
      <w:r w:rsidRPr="000C2C54">
        <w:rPr>
          <w:rStyle w:val="Bodytext2"/>
          <w:b/>
          <w:bCs/>
          <w:lang w:val="it-IT" w:eastAsia="en-US" w:bidi="en-US"/>
        </w:rPr>
        <w:t xml:space="preserve"> </w:t>
      </w:r>
      <w:r>
        <w:rPr>
          <w:rStyle w:val="Bodytext2"/>
          <w:b/>
          <w:bCs/>
        </w:rPr>
        <w:t xml:space="preserve">obstoječih </w:t>
      </w:r>
      <w:proofErr w:type="spellStart"/>
      <w:r w:rsidRPr="000C2C54">
        <w:rPr>
          <w:rStyle w:val="Bodytext2"/>
          <w:b/>
          <w:bCs/>
          <w:lang w:val="it-IT" w:eastAsia="en-US" w:bidi="en-US"/>
        </w:rPr>
        <w:t>komunikacijskih</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objektov</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oziroma</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naprav</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elektronskih</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komunikacijskih</w:t>
      </w:r>
      <w:proofErr w:type="spellEnd"/>
      <w:r w:rsidRPr="000C2C54">
        <w:rPr>
          <w:rStyle w:val="Bodytext2"/>
          <w:b/>
          <w:bCs/>
          <w:lang w:val="it-IT" w:eastAsia="en-US" w:bidi="en-US"/>
        </w:rPr>
        <w:t xml:space="preserve"> </w:t>
      </w:r>
      <w:r>
        <w:rPr>
          <w:rStyle w:val="Bodytext2"/>
          <w:b/>
          <w:bCs/>
        </w:rPr>
        <w:t xml:space="preserve">omrežij </w:t>
      </w:r>
      <w:r w:rsidRPr="000C2C54">
        <w:rPr>
          <w:rStyle w:val="Bodytext2"/>
          <w:b/>
          <w:bCs/>
          <w:lang w:val="it-IT" w:eastAsia="en-US" w:bidi="en-US"/>
        </w:rPr>
        <w:t>(</w:t>
      </w:r>
      <w:proofErr w:type="spellStart"/>
      <w:r w:rsidRPr="000C2C54">
        <w:rPr>
          <w:rStyle w:val="Bodytext2"/>
          <w:b/>
          <w:bCs/>
          <w:lang w:val="it-IT" w:eastAsia="en-US" w:bidi="en-US"/>
        </w:rPr>
        <w:t>npr</w:t>
      </w:r>
      <w:proofErr w:type="spellEnd"/>
      <w:r w:rsidRPr="000C2C54">
        <w:rPr>
          <w:rStyle w:val="Bodytext2"/>
          <w:b/>
          <w:bCs/>
          <w:lang w:val="it-IT" w:eastAsia="en-US" w:bidi="en-US"/>
        </w:rPr>
        <w:t xml:space="preserve">. </w:t>
      </w:r>
      <w:r>
        <w:rPr>
          <w:rStyle w:val="Bodytext2"/>
          <w:b/>
          <w:bCs/>
        </w:rPr>
        <w:t xml:space="preserve">nameščanje </w:t>
      </w:r>
      <w:r w:rsidRPr="000C2C54">
        <w:rPr>
          <w:rStyle w:val="Bodytext2"/>
          <w:b/>
          <w:bCs/>
          <w:lang w:val="it-IT" w:eastAsia="en-US" w:bidi="en-US"/>
        </w:rPr>
        <w:t xml:space="preserve">ali </w:t>
      </w:r>
      <w:proofErr w:type="spellStart"/>
      <w:r w:rsidRPr="000C2C54">
        <w:rPr>
          <w:rStyle w:val="Bodytext2"/>
          <w:b/>
          <w:bCs/>
          <w:lang w:val="it-IT" w:eastAsia="en-US" w:bidi="en-US"/>
        </w:rPr>
        <w:t>zamenjava</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naprav</w:t>
      </w:r>
      <w:proofErr w:type="spellEnd"/>
      <w:r w:rsidRPr="000C2C54">
        <w:rPr>
          <w:rStyle w:val="Bodytext2"/>
          <w:b/>
          <w:bCs/>
          <w:lang w:val="it-IT" w:eastAsia="en-US" w:bidi="en-US"/>
        </w:rPr>
        <w:t xml:space="preserve">, </w:t>
      </w:r>
      <w:r>
        <w:rPr>
          <w:rStyle w:val="Bodytext2"/>
          <w:b/>
          <w:bCs/>
        </w:rPr>
        <w:t xml:space="preserve">vključno </w:t>
      </w:r>
      <w:r w:rsidRPr="000C2C54">
        <w:rPr>
          <w:rStyle w:val="Bodytext2"/>
          <w:b/>
          <w:bCs/>
          <w:lang w:val="it-IT" w:eastAsia="en-US" w:bidi="en-US"/>
        </w:rPr>
        <w:t xml:space="preserve">z </w:t>
      </w:r>
      <w:proofErr w:type="spellStart"/>
      <w:r w:rsidRPr="000C2C54">
        <w:rPr>
          <w:rStyle w:val="Bodytext2"/>
          <w:b/>
          <w:bCs/>
          <w:lang w:val="it-IT" w:eastAsia="en-US" w:bidi="en-US"/>
        </w:rPr>
        <w:t>zamenjavo</w:t>
      </w:r>
      <w:proofErr w:type="spellEnd"/>
      <w:r w:rsidRPr="000C2C54">
        <w:rPr>
          <w:rStyle w:val="Bodytext2"/>
          <w:b/>
          <w:bCs/>
          <w:lang w:val="it-IT" w:eastAsia="en-US" w:bidi="en-US"/>
        </w:rPr>
        <w:t xml:space="preserve"> </w:t>
      </w:r>
      <w:r>
        <w:rPr>
          <w:rStyle w:val="Bodytext2"/>
          <w:b/>
          <w:bCs/>
        </w:rPr>
        <w:t xml:space="preserve">oporišč </w:t>
      </w:r>
      <w:proofErr w:type="spellStart"/>
      <w:r w:rsidRPr="000C2C54">
        <w:rPr>
          <w:rStyle w:val="Bodytext2"/>
          <w:b/>
          <w:bCs/>
          <w:lang w:val="it-IT" w:eastAsia="en-US" w:bidi="en-US"/>
        </w:rPr>
        <w:t>nadzemnih</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linij</w:t>
      </w:r>
      <w:proofErr w:type="spellEnd"/>
      <w:r w:rsidRPr="000C2C54">
        <w:rPr>
          <w:rStyle w:val="Bodytext2"/>
          <w:b/>
          <w:bCs/>
          <w:lang w:val="it-IT" w:eastAsia="en-US" w:bidi="en-US"/>
        </w:rPr>
        <w:t xml:space="preserve">, </w:t>
      </w:r>
      <w:r>
        <w:rPr>
          <w:rStyle w:val="Bodytext2"/>
          <w:b/>
          <w:bCs/>
        </w:rPr>
        <w:t xml:space="preserve">povečanje zmogljivosti </w:t>
      </w:r>
      <w:r>
        <w:rPr>
          <w:rStyle w:val="Bodytext2"/>
          <w:b/>
          <w:bCs/>
          <w:u w:val="single"/>
        </w:rPr>
        <w:t>komunikacijskega omrežja ali pripadajoče infrastrukture,</w:t>
      </w:r>
      <w:r>
        <w:rPr>
          <w:rStyle w:val="Bodytext2"/>
          <w:b/>
          <w:bCs/>
        </w:rPr>
        <w:t xml:space="preserve"> </w:t>
      </w:r>
      <w:proofErr w:type="spellStart"/>
      <w:r>
        <w:rPr>
          <w:rStyle w:val="Bodytext2"/>
          <w:b/>
          <w:bCs/>
        </w:rPr>
        <w:t>uvlečenje</w:t>
      </w:r>
      <w:proofErr w:type="spellEnd"/>
      <w:r>
        <w:rPr>
          <w:rStyle w:val="Bodytext2"/>
          <w:b/>
          <w:bCs/>
        </w:rPr>
        <w:t xml:space="preserve"> komu</w:t>
      </w:r>
      <w:r>
        <w:rPr>
          <w:rStyle w:val="Bodytext2"/>
          <w:b/>
          <w:bCs/>
        </w:rPr>
        <w:t>nikacijskih kablov v obstoječe cevi, rekonstrukcija, prestavitev, zaščita in popravila)</w:t>
      </w:r>
    </w:p>
    <w:p w14:paraId="0DC0A00D" w14:textId="77777777" w:rsidR="00E25AB1" w:rsidRDefault="000C2C54">
      <w:pPr>
        <w:pStyle w:val="Telobesedila"/>
        <w:spacing w:after="260"/>
        <w:jc w:val="both"/>
      </w:pPr>
      <w:r>
        <w:rPr>
          <w:rStyle w:val="TelobesedilaZnak"/>
        </w:rPr>
        <w:t xml:space="preserve">OBRAZLOŽITEV: Povečanje zmogljivosti je treba podrobneje definirati, predvsem pa upoštevati, da pogosto ne bo mogoče povečati zmogljivosti v smislu spremembe omrežja v </w:t>
      </w:r>
      <w:r>
        <w:rPr>
          <w:rStyle w:val="TelobesedilaZnak"/>
        </w:rPr>
        <w:t>visokozmogljivega brez dodajanja pripadajočih infrastrukturnih elementov.</w:t>
      </w:r>
    </w:p>
    <w:p w14:paraId="31C8BD6F" w14:textId="77777777" w:rsidR="00E25AB1" w:rsidRDefault="000C2C54">
      <w:pPr>
        <w:pStyle w:val="Bodytext20"/>
        <w:spacing w:after="0"/>
        <w:jc w:val="both"/>
      </w:pPr>
      <w:r>
        <w:rPr>
          <w:rStyle w:val="Bodytext2"/>
          <w:b/>
          <w:bCs/>
        </w:rPr>
        <w:t>Peti odstavek 11. člena se spremeni tako, da se glasi: »Zavezanec iz prvega in drugega odstavka prejšnjega člena lahko zavrne prošnjo zainteresiranega soinvestitorja iz drugega odsta</w:t>
      </w:r>
      <w:r>
        <w:rPr>
          <w:rStyle w:val="Bodytext2"/>
          <w:b/>
          <w:bCs/>
        </w:rPr>
        <w:t>vka tega člena za dogovor o uskladitvi gradbenih del zaradi postavitve elementov elektronskih komunikacijskih omrežij, če:</w:t>
      </w:r>
    </w:p>
    <w:p w14:paraId="7D181354" w14:textId="77777777" w:rsidR="00E25AB1" w:rsidRDefault="000C2C54">
      <w:pPr>
        <w:pStyle w:val="Bodytext20"/>
        <w:numPr>
          <w:ilvl w:val="0"/>
          <w:numId w:val="1"/>
        </w:numPr>
        <w:tabs>
          <w:tab w:val="left" w:pos="730"/>
        </w:tabs>
        <w:spacing w:after="0"/>
        <w:ind w:left="740" w:hanging="360"/>
        <w:jc w:val="both"/>
      </w:pPr>
      <w:r>
        <w:rPr>
          <w:rStyle w:val="Bodytext2"/>
          <w:b/>
          <w:bCs/>
        </w:rPr>
        <w:t>bi to povzročilo dodatne stroške za prvotno predvidena gradbena dela, vključno s stroški, nastalimi zaradi dodatnih zamud zaradi uskl</w:t>
      </w:r>
      <w:r>
        <w:rPr>
          <w:rStyle w:val="Bodytext2"/>
          <w:b/>
          <w:bCs/>
        </w:rPr>
        <w:t>ajevanja gradbenih del,</w:t>
      </w:r>
    </w:p>
    <w:p w14:paraId="1FAA6CB6" w14:textId="77777777" w:rsidR="00E25AB1" w:rsidRDefault="000C2C54">
      <w:pPr>
        <w:pStyle w:val="Bodytext20"/>
        <w:numPr>
          <w:ilvl w:val="0"/>
          <w:numId w:val="1"/>
        </w:numPr>
        <w:tabs>
          <w:tab w:val="left" w:pos="730"/>
        </w:tabs>
        <w:spacing w:after="260"/>
        <w:ind w:firstLine="380"/>
        <w:jc w:val="both"/>
        <w:sectPr w:rsidR="00E25AB1">
          <w:type w:val="continuous"/>
          <w:pgSz w:w="11900" w:h="16840"/>
          <w:pgMar w:top="1450" w:right="1407" w:bottom="2482" w:left="1402" w:header="0" w:footer="3" w:gutter="0"/>
          <w:cols w:space="720"/>
          <w:noEndnote/>
          <w:docGrid w:linePitch="360"/>
        </w:sectPr>
      </w:pPr>
      <w:r>
        <w:rPr>
          <w:rStyle w:val="Bodytext2"/>
          <w:b/>
          <w:bCs/>
        </w:rPr>
        <w:t>bi to oviralo njegov nadzor nad usklajevanimi deli,</w:t>
      </w:r>
    </w:p>
    <w:p w14:paraId="68194ADF" w14:textId="77777777" w:rsidR="00E25AB1" w:rsidRDefault="000C2C54">
      <w:pPr>
        <w:pStyle w:val="Bodytext20"/>
        <w:numPr>
          <w:ilvl w:val="0"/>
          <w:numId w:val="1"/>
        </w:numPr>
        <w:tabs>
          <w:tab w:val="left" w:pos="730"/>
        </w:tabs>
        <w:spacing w:after="0"/>
        <w:ind w:left="740" w:hanging="360"/>
        <w:jc w:val="both"/>
      </w:pPr>
      <w:r w:rsidRPr="000C2C54">
        <w:rPr>
          <w:rStyle w:val="Bodytext2"/>
          <w:b/>
          <w:bCs/>
          <w:lang w:eastAsia="en-US" w:bidi="en-US"/>
        </w:rPr>
        <w:t xml:space="preserve">je </w:t>
      </w:r>
      <w:r>
        <w:rPr>
          <w:rStyle w:val="Bodytext2"/>
          <w:b/>
          <w:bCs/>
        </w:rPr>
        <w:t xml:space="preserve">prošnja </w:t>
      </w:r>
      <w:r w:rsidRPr="000C2C54">
        <w:rPr>
          <w:rStyle w:val="Bodytext2"/>
          <w:b/>
          <w:bCs/>
          <w:lang w:eastAsia="en-US" w:bidi="en-US"/>
        </w:rPr>
        <w:t xml:space="preserve">za usklajevanje del </w:t>
      </w:r>
      <w:r>
        <w:rPr>
          <w:rStyle w:val="Bodytext2"/>
          <w:b/>
          <w:bCs/>
        </w:rPr>
        <w:t xml:space="preserve">vložena </w:t>
      </w:r>
      <w:r w:rsidRPr="000C2C54">
        <w:rPr>
          <w:rStyle w:val="Bodytext2"/>
          <w:b/>
          <w:bCs/>
          <w:lang w:eastAsia="en-US" w:bidi="en-US"/>
        </w:rPr>
        <w:t xml:space="preserve">manj kot 30 dni pred oddajo vloge za izdajo gradbenega dovoljenja ali manj kot 30 dni pred predvidenim </w:t>
      </w:r>
      <w:r>
        <w:rPr>
          <w:rStyle w:val="Bodytext2"/>
          <w:b/>
          <w:bCs/>
        </w:rPr>
        <w:t xml:space="preserve">začetkom </w:t>
      </w:r>
      <w:r w:rsidRPr="000C2C54">
        <w:rPr>
          <w:rStyle w:val="Bodytext2"/>
          <w:b/>
          <w:bCs/>
          <w:lang w:eastAsia="en-US" w:bidi="en-US"/>
        </w:rPr>
        <w:t>izvaj</w:t>
      </w:r>
      <w:r w:rsidRPr="000C2C54">
        <w:rPr>
          <w:rStyle w:val="Bodytext2"/>
          <w:b/>
          <w:bCs/>
          <w:lang w:eastAsia="en-US" w:bidi="en-US"/>
        </w:rPr>
        <w:t>anja del, kadar gradbeno dovoljenje ni potrebno.</w:t>
      </w:r>
    </w:p>
    <w:p w14:paraId="2D5A352A" w14:textId="77777777" w:rsidR="00E25AB1" w:rsidRDefault="000C2C54">
      <w:pPr>
        <w:pStyle w:val="Bodytext20"/>
        <w:jc w:val="both"/>
      </w:pPr>
      <w:r>
        <w:rPr>
          <w:rStyle w:val="Bodytext2"/>
          <w:b/>
          <w:bCs/>
          <w:u w:val="single"/>
        </w:rPr>
        <w:t>Zavezanec iz prvega in drugega odstavka prejšnjega člena ne sme zavrniti prošnje zainteresiranega soinvestitorja iz razloga, da ta ni pridobil služ</w:t>
      </w:r>
      <w:r>
        <w:rPr>
          <w:rStyle w:val="Bodytext2"/>
          <w:b/>
          <w:bCs/>
          <w:u w:val="single"/>
        </w:rPr>
        <w:softHyphen/>
        <w:t xml:space="preserve">nosti. Za služnost operaterja, ki je na posamezni </w:t>
      </w:r>
      <w:r>
        <w:rPr>
          <w:rStyle w:val="Bodytext2"/>
          <w:b/>
          <w:bCs/>
          <w:u w:val="single"/>
        </w:rPr>
        <w:t>nepremičnini prvi prido</w:t>
      </w:r>
      <w:r>
        <w:rPr>
          <w:rStyle w:val="Bodytext2"/>
          <w:b/>
          <w:bCs/>
          <w:u w:val="single"/>
        </w:rPr>
        <w:softHyphen/>
        <w:t xml:space="preserve">bil služnost ali drugo ustrezno pravico, se pri </w:t>
      </w:r>
      <w:proofErr w:type="spellStart"/>
      <w:r>
        <w:rPr>
          <w:rStyle w:val="Bodytext2"/>
          <w:b/>
          <w:bCs/>
          <w:u w:val="single"/>
        </w:rPr>
        <w:t>skupnji</w:t>
      </w:r>
      <w:proofErr w:type="spellEnd"/>
      <w:r>
        <w:rPr>
          <w:rStyle w:val="Bodytext2"/>
          <w:b/>
          <w:bCs/>
          <w:u w:val="single"/>
        </w:rPr>
        <w:t xml:space="preserve"> gradnji s strani za</w:t>
      </w:r>
      <w:r>
        <w:rPr>
          <w:rStyle w:val="Bodytext2"/>
          <w:b/>
          <w:bCs/>
          <w:u w:val="single"/>
        </w:rPr>
        <w:softHyphen/>
        <w:t>interesiranega soinvestitorja smiselno uporabljajo določbe osmega od</w:t>
      </w:r>
      <w:r>
        <w:rPr>
          <w:rStyle w:val="Bodytext2"/>
          <w:b/>
          <w:bCs/>
          <w:u w:val="single"/>
        </w:rPr>
        <w:softHyphen/>
        <w:t>stavka 25. člena</w:t>
      </w:r>
      <w:r>
        <w:rPr>
          <w:rStyle w:val="Bodytext2"/>
          <w:b/>
          <w:bCs/>
        </w:rPr>
        <w:t>.«</w:t>
      </w:r>
    </w:p>
    <w:p w14:paraId="78B6522A" w14:textId="77777777" w:rsidR="00E25AB1" w:rsidRDefault="000C2C54">
      <w:pPr>
        <w:pStyle w:val="Telobesedila"/>
        <w:spacing w:after="200"/>
        <w:jc w:val="both"/>
      </w:pPr>
      <w:r>
        <w:rPr>
          <w:rStyle w:val="TelobesedilaZnak"/>
        </w:rPr>
        <w:t>OBRAZLOŽITEV: Preprečiti je treba situacijo, ko je mogoče neobstoj s</w:t>
      </w:r>
      <w:r>
        <w:rPr>
          <w:rStyle w:val="TelobesedilaZnak"/>
        </w:rPr>
        <w:t>lužnosti uporabiti kot razlog zavrnitve skupne gradnje zaradi »dodatnih zamud«. Na tej podlagi je namreč lahko navedeni člen v praksi povsem neuporaben, saj lahko operater pridobi služnost, nato pa uporabi neobstoj služnosti drugega operaterja, ki služnost</w:t>
      </w:r>
      <w:r>
        <w:rPr>
          <w:rStyle w:val="TelobesedilaZnak"/>
        </w:rPr>
        <w:t xml:space="preserve">i v tistem trenutku praviloma še ne bo imel, kot izgovor za zavrnitev. V </w:t>
      </w:r>
      <w:r>
        <w:rPr>
          <w:rStyle w:val="TelobesedilaZnak"/>
        </w:rPr>
        <w:lastRenderedPageBreak/>
        <w:t xml:space="preserve">zvezi s tem je potrebno ustrezno napotilo na osmi odstavek 25. člena, ki že zahteva razširitev služnosti na skupno uporabo, pri čemer je treba isto določbo smiselno razširiti tudi na </w:t>
      </w:r>
      <w:r>
        <w:rPr>
          <w:rStyle w:val="TelobesedilaZnak"/>
        </w:rPr>
        <w:t>fazo gradnje, torej na skupno gradnjo.</w:t>
      </w:r>
    </w:p>
    <w:p w14:paraId="057B0129" w14:textId="77777777" w:rsidR="00E25AB1" w:rsidRDefault="000C2C54">
      <w:pPr>
        <w:pStyle w:val="Bodytext20"/>
        <w:jc w:val="both"/>
      </w:pPr>
      <w:r>
        <w:rPr>
          <w:rStyle w:val="Bodytext2"/>
          <w:b/>
          <w:bCs/>
        </w:rPr>
        <w:t xml:space="preserve">Drugi odstavek 15 člena se spremeni tako, da se glasi: »Infrastrukturni operater mora dostop do podatkov </w:t>
      </w:r>
      <w:r>
        <w:rPr>
          <w:rStyle w:val="Bodytext2"/>
          <w:b/>
          <w:bCs/>
          <w:u w:val="single"/>
        </w:rPr>
        <w:t>v obliki in vsebini, kot je zahtevana v prejšnjem členu</w:t>
      </w:r>
      <w:r>
        <w:rPr>
          <w:rStyle w:val="Bodytext2"/>
          <w:b/>
          <w:bCs/>
        </w:rPr>
        <w:t xml:space="preserve"> pod sorazmernimi, </w:t>
      </w:r>
      <w:proofErr w:type="spellStart"/>
      <w:r>
        <w:rPr>
          <w:rStyle w:val="Bodytext2"/>
          <w:b/>
          <w:bCs/>
        </w:rPr>
        <w:t>nediskriminacijskimi</w:t>
      </w:r>
      <w:proofErr w:type="spellEnd"/>
      <w:r>
        <w:rPr>
          <w:rStyle w:val="Bodytext2"/>
          <w:b/>
          <w:bCs/>
        </w:rPr>
        <w:t xml:space="preserve"> in preglednimi po</w:t>
      </w:r>
      <w:r>
        <w:rPr>
          <w:rStyle w:val="Bodytext2"/>
          <w:b/>
          <w:bCs/>
        </w:rPr>
        <w:t>goji odobriti v dveh mesecih od prejema pisne prošnje iz prejšnjega odstavka.«</w:t>
      </w:r>
    </w:p>
    <w:p w14:paraId="5AE82496" w14:textId="77777777" w:rsidR="00E25AB1" w:rsidRDefault="000C2C54">
      <w:pPr>
        <w:pStyle w:val="Telobesedila"/>
        <w:spacing w:after="200" w:line="290" w:lineRule="auto"/>
        <w:jc w:val="both"/>
      </w:pPr>
      <w:r>
        <w:rPr>
          <w:rStyle w:val="TelobesedilaZnak"/>
        </w:rPr>
        <w:t xml:space="preserve">OBRAZLOŽITEV: Razlog je preprečitev, da se za potrebe skupne uporabe oziroma dostopa zagotavljajo manj kvalitetni in manj podrobni podatki kot za potrebe javne evidence, zlasti </w:t>
      </w:r>
      <w:r>
        <w:rPr>
          <w:rStyle w:val="TelobesedilaZnak"/>
        </w:rPr>
        <w:t>v primerih, ko podatki v evidenco še niso vpisani.</w:t>
      </w:r>
    </w:p>
    <w:p w14:paraId="16D06C28" w14:textId="77777777" w:rsidR="00E25AB1" w:rsidRDefault="000C2C54">
      <w:pPr>
        <w:pStyle w:val="Bodytext20"/>
        <w:jc w:val="both"/>
      </w:pPr>
      <w:r>
        <w:rPr>
          <w:rStyle w:val="Bodytext2"/>
          <w:b/>
          <w:bCs/>
        </w:rPr>
        <w:t>Prvi in drugi odstavek 16. člena se spremenita tako, da se glasita: »(1) Varovalni pas sistemov elektronskih komunikacij je zemljiški pas ob komunikacijskih vodih in objektih, v katerem se smejo graditi dr</w:t>
      </w:r>
      <w:r>
        <w:rPr>
          <w:rStyle w:val="Bodytext2"/>
          <w:b/>
          <w:bCs/>
        </w:rPr>
        <w:t>ugi objekti in naprave ter izvajati dela, ki bi lahko vplivala na delovanje elektronskega komunikacijskega omrežja le ob določenih pogojih in na določeni oddaljenosti od vodov in objektov tega omrežja. Varovalni pas ne vpliva na skupno uporabo in skupno gr</w:t>
      </w:r>
      <w:r>
        <w:rPr>
          <w:rStyle w:val="Bodytext2"/>
          <w:b/>
          <w:bCs/>
        </w:rPr>
        <w:t>adnjo elektronskih komunikacijskih omrežij.</w:t>
      </w:r>
    </w:p>
    <w:p w14:paraId="54D1EFF4" w14:textId="77777777" w:rsidR="00E25AB1" w:rsidRDefault="000C2C54">
      <w:pPr>
        <w:pStyle w:val="Bodytext20"/>
        <w:numPr>
          <w:ilvl w:val="0"/>
          <w:numId w:val="2"/>
        </w:numPr>
        <w:tabs>
          <w:tab w:val="left" w:pos="495"/>
        </w:tabs>
        <w:jc w:val="both"/>
      </w:pPr>
      <w:r>
        <w:rPr>
          <w:rStyle w:val="Bodytext2"/>
          <w:b/>
          <w:bCs/>
        </w:rPr>
        <w:t>Širina varovalnega pasu je 0,5 metra od osi komunikacijskega voda.«</w:t>
      </w:r>
    </w:p>
    <w:p w14:paraId="14EF510A" w14:textId="77777777" w:rsidR="00E25AB1" w:rsidRDefault="000C2C54">
      <w:pPr>
        <w:pStyle w:val="Telobesedila"/>
        <w:spacing w:line="240" w:lineRule="auto"/>
        <w:jc w:val="both"/>
        <w:sectPr w:rsidR="00E25AB1">
          <w:headerReference w:type="even" r:id="rId11"/>
          <w:headerReference w:type="default" r:id="rId12"/>
          <w:footerReference w:type="even" r:id="rId13"/>
          <w:footerReference w:type="default" r:id="rId14"/>
          <w:type w:val="continuous"/>
          <w:pgSz w:w="11900" w:h="16840"/>
          <w:pgMar w:top="1450" w:right="1407" w:bottom="2482" w:left="1402" w:header="0" w:footer="3" w:gutter="0"/>
          <w:cols w:space="720"/>
          <w:noEndnote/>
          <w:docGrid w:linePitch="360"/>
        </w:sectPr>
      </w:pPr>
      <w:r>
        <w:rPr>
          <w:rStyle w:val="TelobesedilaZnak"/>
        </w:rPr>
        <w:t>OBRAZLOŽITEV: Varovalni pas ne sme vplivati na skupno uporabo in skupno</w:t>
      </w:r>
    </w:p>
    <w:p w14:paraId="3C04A79A" w14:textId="77777777" w:rsidR="00E25AB1" w:rsidRDefault="000C2C54">
      <w:pPr>
        <w:pStyle w:val="Bodytext40"/>
        <w:pBdr>
          <w:top w:val="single" w:sz="0" w:space="1" w:color="EC1B24"/>
          <w:left w:val="single" w:sz="0" w:space="0" w:color="EC1B24"/>
          <w:bottom w:val="single" w:sz="0" w:space="11" w:color="EC1B24"/>
          <w:right w:val="single" w:sz="0" w:space="0" w:color="EC1B24"/>
        </w:pBdr>
        <w:shd w:val="clear" w:color="auto" w:fill="EC1B24"/>
        <w:spacing w:line="644" w:lineRule="atLeast"/>
        <w:jc w:val="both"/>
      </w:pPr>
      <w:r>
        <w:rPr>
          <w:rStyle w:val="Bodytext4"/>
          <w:rFonts w:ascii="Times New Roman" w:eastAsia="Times New Roman" w:hAnsi="Times New Roman" w:cs="Times New Roman"/>
          <w:b/>
          <w:bCs/>
          <w:color w:val="000000"/>
          <w:sz w:val="28"/>
          <w:szCs w:val="28"/>
          <w:lang w:val="sl-SI" w:eastAsia="sl-SI" w:bidi="sl-SI"/>
        </w:rPr>
        <w:lastRenderedPageBreak/>
        <w:t>S</w:t>
      </w:r>
      <w:r>
        <w:rPr>
          <w:rStyle w:val="Bodytext4"/>
          <w:b/>
          <w:bCs/>
          <w:color w:val="ED1B24"/>
          <w:lang w:val="sl-SI" w:eastAsia="sl-SI" w:bidi="sl-SI"/>
        </w:rPr>
        <w:t xml:space="preserve"> </w:t>
      </w:r>
      <w:r>
        <w:rPr>
          <w:rStyle w:val="Bodytext4"/>
          <w:b/>
          <w:bCs/>
        </w:rPr>
        <w:t>RUNE</w:t>
      </w:r>
    </w:p>
    <w:p w14:paraId="199E96EA" w14:textId="706C3C1B" w:rsidR="00E25AB1" w:rsidRDefault="00E25AB1">
      <w:pPr>
        <w:pStyle w:val="Bodytext30"/>
        <w:pBdr>
          <w:bottom w:val="single" w:sz="4" w:space="0" w:color="auto"/>
        </w:pBdr>
      </w:pPr>
    </w:p>
    <w:p w14:paraId="74104BEC" w14:textId="77777777" w:rsidR="00E25AB1" w:rsidRDefault="000C2C54">
      <w:pPr>
        <w:pStyle w:val="Telobesedila"/>
        <w:spacing w:after="180"/>
        <w:jc w:val="both"/>
      </w:pPr>
      <w:proofErr w:type="spellStart"/>
      <w:r>
        <w:rPr>
          <w:rStyle w:val="TelobesedilaZnak"/>
          <w:lang w:val="en-US" w:eastAsia="en-US" w:bidi="en-US"/>
        </w:rPr>
        <w:t>gradnjo</w:t>
      </w:r>
      <w:proofErr w:type="spellEnd"/>
      <w:r>
        <w:rPr>
          <w:rStyle w:val="TelobesedilaZnak"/>
          <w:lang w:val="en-US" w:eastAsia="en-US" w:bidi="en-US"/>
        </w:rPr>
        <w:t xml:space="preserve"> </w:t>
      </w:r>
      <w:proofErr w:type="spellStart"/>
      <w:r>
        <w:rPr>
          <w:rStyle w:val="TelobesedilaZnak"/>
          <w:lang w:val="en-US" w:eastAsia="en-US" w:bidi="en-US"/>
        </w:rPr>
        <w:t>elektronskih</w:t>
      </w:r>
      <w:proofErr w:type="spellEnd"/>
      <w:r>
        <w:rPr>
          <w:rStyle w:val="TelobesedilaZnak"/>
          <w:lang w:val="en-US" w:eastAsia="en-US" w:bidi="en-US"/>
        </w:rPr>
        <w:t xml:space="preserve"> </w:t>
      </w:r>
      <w:proofErr w:type="spellStart"/>
      <w:r>
        <w:rPr>
          <w:rStyle w:val="TelobesedilaZnak"/>
          <w:lang w:val="en-US" w:eastAsia="en-US" w:bidi="en-US"/>
        </w:rPr>
        <w:t>komunikacijskih</w:t>
      </w:r>
      <w:proofErr w:type="spellEnd"/>
      <w:r>
        <w:rPr>
          <w:rStyle w:val="TelobesedilaZnak"/>
          <w:lang w:val="en-US" w:eastAsia="en-US" w:bidi="en-US"/>
        </w:rPr>
        <w:t xml:space="preserve"> </w:t>
      </w:r>
      <w:r>
        <w:rPr>
          <w:rStyle w:val="TelobesedilaZnak"/>
        </w:rPr>
        <w:t xml:space="preserve">omrežij. </w:t>
      </w:r>
      <w:r w:rsidRPr="000C2C54">
        <w:rPr>
          <w:rStyle w:val="TelobesedilaZnak"/>
          <w:lang w:eastAsia="en-US" w:bidi="en-US"/>
        </w:rPr>
        <w:t xml:space="preserve">Komunikacijskih </w:t>
      </w:r>
      <w:r>
        <w:rPr>
          <w:rStyle w:val="TelobesedilaZnak"/>
        </w:rPr>
        <w:t xml:space="preserve">omrežij namreč </w:t>
      </w:r>
      <w:r w:rsidRPr="000C2C54">
        <w:rPr>
          <w:rStyle w:val="TelobesedilaZnak"/>
          <w:lang w:eastAsia="en-US" w:bidi="en-US"/>
        </w:rPr>
        <w:t xml:space="preserve">ni treba varovati pred drugimi komunikacijskimi </w:t>
      </w:r>
      <w:r>
        <w:rPr>
          <w:rStyle w:val="TelobesedilaZnak"/>
        </w:rPr>
        <w:t xml:space="preserve">omrežji, </w:t>
      </w:r>
      <w:r w:rsidRPr="000C2C54">
        <w:rPr>
          <w:rStyle w:val="TelobesedilaZnak"/>
          <w:lang w:eastAsia="en-US" w:bidi="en-US"/>
        </w:rPr>
        <w:t xml:space="preserve">saj morajo biti elementi slednjih po predpisih med seboj elektromagnetno </w:t>
      </w:r>
      <w:r>
        <w:rPr>
          <w:rStyle w:val="TelobesedilaZnak"/>
        </w:rPr>
        <w:t xml:space="preserve">združljivi. </w:t>
      </w:r>
      <w:r w:rsidRPr="000C2C54">
        <w:rPr>
          <w:rStyle w:val="TelobesedilaZnak"/>
          <w:lang w:eastAsia="en-US" w:bidi="en-US"/>
        </w:rPr>
        <w:t xml:space="preserve">Nadalje je </w:t>
      </w:r>
      <w:r>
        <w:rPr>
          <w:rStyle w:val="TelobesedilaZnak"/>
        </w:rPr>
        <w:t xml:space="preserve">problematična širina </w:t>
      </w:r>
      <w:r w:rsidRPr="000C2C54">
        <w:rPr>
          <w:rStyle w:val="TelobesedilaZnak"/>
          <w:lang w:eastAsia="en-US" w:bidi="en-US"/>
        </w:rPr>
        <w:t>varov</w:t>
      </w:r>
      <w:r w:rsidRPr="000C2C54">
        <w:rPr>
          <w:rStyle w:val="TelobesedilaZnak"/>
          <w:lang w:eastAsia="en-US" w:bidi="en-US"/>
        </w:rPr>
        <w:t xml:space="preserve">alnega pasu, ker se </w:t>
      </w:r>
      <w:r>
        <w:rPr>
          <w:rStyle w:val="TelobesedilaZnak"/>
        </w:rPr>
        <w:t xml:space="preserve">služnost </w:t>
      </w:r>
      <w:r w:rsidRPr="000C2C54">
        <w:rPr>
          <w:rStyle w:val="TelobesedilaZnak"/>
          <w:lang w:eastAsia="en-US" w:bidi="en-US"/>
        </w:rPr>
        <w:t xml:space="preserve">ocenjuje na osnovi </w:t>
      </w:r>
      <w:r>
        <w:rPr>
          <w:rStyle w:val="TelobesedilaZnak"/>
        </w:rPr>
        <w:t xml:space="preserve">površine </w:t>
      </w:r>
      <w:r w:rsidRPr="000C2C54">
        <w:rPr>
          <w:rStyle w:val="TelobesedilaZnak"/>
          <w:lang w:eastAsia="en-US" w:bidi="en-US"/>
        </w:rPr>
        <w:t xml:space="preserve">vplivnega </w:t>
      </w:r>
      <w:r>
        <w:rPr>
          <w:rStyle w:val="TelobesedilaZnak"/>
        </w:rPr>
        <w:t xml:space="preserve">območja. Problematična </w:t>
      </w:r>
      <w:r w:rsidRPr="000C2C54">
        <w:rPr>
          <w:rStyle w:val="TelobesedilaZnak"/>
          <w:lang w:eastAsia="en-US" w:bidi="en-US"/>
        </w:rPr>
        <w:t xml:space="preserve">je </w:t>
      </w:r>
      <w:r>
        <w:rPr>
          <w:rStyle w:val="TelobesedilaZnak"/>
        </w:rPr>
        <w:t xml:space="preserve">določitev </w:t>
      </w:r>
      <w:r w:rsidRPr="000C2C54">
        <w:rPr>
          <w:rStyle w:val="TelobesedilaZnak"/>
          <w:lang w:eastAsia="en-US" w:bidi="en-US"/>
        </w:rPr>
        <w:t xml:space="preserve">takega vplivnega </w:t>
      </w:r>
      <w:r>
        <w:rPr>
          <w:rStyle w:val="TelobesedilaZnak"/>
        </w:rPr>
        <w:t xml:space="preserve">območja </w:t>
      </w:r>
      <w:r w:rsidRPr="000C2C54">
        <w:rPr>
          <w:rStyle w:val="TelobesedilaZnak"/>
          <w:lang w:eastAsia="en-US" w:bidi="en-US"/>
        </w:rPr>
        <w:t xml:space="preserve">v primeru </w:t>
      </w:r>
      <w:r>
        <w:rPr>
          <w:rStyle w:val="TelobesedilaZnak"/>
        </w:rPr>
        <w:t xml:space="preserve">priključkov (priključek </w:t>
      </w:r>
      <w:r w:rsidRPr="000C2C54">
        <w:rPr>
          <w:rStyle w:val="TelobesedilaZnak"/>
          <w:lang w:eastAsia="en-US" w:bidi="en-US"/>
        </w:rPr>
        <w:t xml:space="preserve">se mora zaradi svoje narave </w:t>
      </w:r>
      <w:r>
        <w:rPr>
          <w:rStyle w:val="TelobesedilaZnak"/>
        </w:rPr>
        <w:t xml:space="preserve">približati </w:t>
      </w:r>
      <w:r w:rsidRPr="000C2C54">
        <w:rPr>
          <w:rStyle w:val="TelobesedilaZnak"/>
          <w:lang w:eastAsia="en-US" w:bidi="en-US"/>
        </w:rPr>
        <w:t xml:space="preserve">stavbam, in imeti tako </w:t>
      </w:r>
      <w:r>
        <w:rPr>
          <w:rStyle w:val="TelobesedilaZnak"/>
        </w:rPr>
        <w:t xml:space="preserve">široko </w:t>
      </w:r>
      <w:r w:rsidRPr="000C2C54">
        <w:rPr>
          <w:rStyle w:val="TelobesedilaZnak"/>
          <w:lang w:eastAsia="en-US" w:bidi="en-US"/>
        </w:rPr>
        <w:t xml:space="preserve">vplivno </w:t>
      </w:r>
      <w:r>
        <w:rPr>
          <w:rStyle w:val="TelobesedilaZnak"/>
        </w:rPr>
        <w:t xml:space="preserve">območje </w:t>
      </w:r>
      <w:r w:rsidRPr="000C2C54">
        <w:rPr>
          <w:rStyle w:val="TelobesedilaZnak"/>
          <w:lang w:eastAsia="en-US" w:bidi="en-US"/>
        </w:rPr>
        <w:t>pomeni po</w:t>
      </w:r>
      <w:r w:rsidRPr="000C2C54">
        <w:rPr>
          <w:rStyle w:val="TelobesedilaZnak"/>
          <w:lang w:eastAsia="en-US" w:bidi="en-US"/>
        </w:rPr>
        <w:t xml:space="preserve"> nepotrebnem omejevati pravice lastnikom stavb. </w:t>
      </w:r>
      <w:proofErr w:type="spellStart"/>
      <w:r w:rsidRPr="000C2C54">
        <w:rPr>
          <w:rStyle w:val="TelobesedilaZnak"/>
          <w:lang w:val="it-IT" w:eastAsia="en-US" w:bidi="en-US"/>
        </w:rPr>
        <w:t>Predlagamo</w:t>
      </w:r>
      <w:proofErr w:type="spellEnd"/>
      <w:r w:rsidRPr="000C2C54">
        <w:rPr>
          <w:rStyle w:val="TelobesedilaZnak"/>
          <w:lang w:val="it-IT" w:eastAsia="en-US" w:bidi="en-US"/>
        </w:rPr>
        <w:t xml:space="preserve">, da </w:t>
      </w:r>
      <w:proofErr w:type="gramStart"/>
      <w:r w:rsidRPr="000C2C54">
        <w:rPr>
          <w:rStyle w:val="TelobesedilaZnak"/>
          <w:lang w:val="it-IT" w:eastAsia="en-US" w:bidi="en-US"/>
        </w:rPr>
        <w:t>se</w:t>
      </w:r>
      <w:proofErr w:type="gramEnd"/>
      <w:r w:rsidRPr="000C2C54">
        <w:rPr>
          <w:rStyle w:val="TelobesedilaZnak"/>
          <w:lang w:val="it-IT" w:eastAsia="en-US" w:bidi="en-US"/>
        </w:rPr>
        <w:t xml:space="preserve"> </w:t>
      </w:r>
      <w:proofErr w:type="spellStart"/>
      <w:r w:rsidRPr="000C2C54">
        <w:rPr>
          <w:rStyle w:val="TelobesedilaZnak"/>
          <w:lang w:val="it-IT" w:eastAsia="en-US" w:bidi="en-US"/>
        </w:rPr>
        <w:t>vplivno</w:t>
      </w:r>
      <w:proofErr w:type="spellEnd"/>
      <w:r w:rsidRPr="000C2C54">
        <w:rPr>
          <w:rStyle w:val="TelobesedilaZnak"/>
          <w:lang w:val="it-IT" w:eastAsia="en-US" w:bidi="en-US"/>
        </w:rPr>
        <w:t xml:space="preserve"> </w:t>
      </w:r>
      <w:r>
        <w:rPr>
          <w:rStyle w:val="TelobesedilaZnak"/>
        </w:rPr>
        <w:t xml:space="preserve">območje določi </w:t>
      </w:r>
      <w:r w:rsidRPr="000C2C54">
        <w:rPr>
          <w:rStyle w:val="TelobesedilaZnak"/>
          <w:lang w:val="it-IT" w:eastAsia="en-US" w:bidi="en-US"/>
        </w:rPr>
        <w:t xml:space="preserve">0,5 m od osi </w:t>
      </w:r>
      <w:proofErr w:type="spellStart"/>
      <w:r w:rsidRPr="000C2C54">
        <w:rPr>
          <w:rStyle w:val="TelobesedilaZnak"/>
          <w:lang w:val="it-IT" w:eastAsia="en-US" w:bidi="en-US"/>
        </w:rPr>
        <w:t>komunikacijskega</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voda</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Tudi</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sicer</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kot</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infrastrukturni</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operater</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nismo</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seznanjeni</w:t>
      </w:r>
      <w:proofErr w:type="spellEnd"/>
      <w:r w:rsidRPr="000C2C54">
        <w:rPr>
          <w:rStyle w:val="TelobesedilaZnak"/>
          <w:lang w:val="it-IT" w:eastAsia="en-US" w:bidi="en-US"/>
        </w:rPr>
        <w:t xml:space="preserve"> z </w:t>
      </w:r>
      <w:r>
        <w:rPr>
          <w:rStyle w:val="TelobesedilaZnak"/>
        </w:rPr>
        <w:t xml:space="preserve">empiričnimi </w:t>
      </w:r>
      <w:proofErr w:type="spellStart"/>
      <w:r w:rsidRPr="000C2C54">
        <w:rPr>
          <w:rStyle w:val="TelobesedilaZnak"/>
          <w:lang w:val="it-IT" w:eastAsia="en-US" w:bidi="en-US"/>
        </w:rPr>
        <w:t>dokazi</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na</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potrebo</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po</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tako</w:t>
      </w:r>
      <w:proofErr w:type="spellEnd"/>
      <w:r w:rsidRPr="000C2C54">
        <w:rPr>
          <w:rStyle w:val="TelobesedilaZnak"/>
          <w:lang w:val="it-IT" w:eastAsia="en-US" w:bidi="en-US"/>
        </w:rPr>
        <w:t xml:space="preserve"> </w:t>
      </w:r>
      <w:r>
        <w:rPr>
          <w:rStyle w:val="TelobesedilaZnak"/>
        </w:rPr>
        <w:t xml:space="preserve">širokem </w:t>
      </w:r>
      <w:proofErr w:type="spellStart"/>
      <w:r w:rsidRPr="000C2C54">
        <w:rPr>
          <w:rStyle w:val="TelobesedilaZnak"/>
          <w:lang w:val="it-IT" w:eastAsia="en-US" w:bidi="en-US"/>
        </w:rPr>
        <w:t>pasu</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torej</w:t>
      </w:r>
      <w:proofErr w:type="spellEnd"/>
      <w:r w:rsidRPr="000C2C54">
        <w:rPr>
          <w:rStyle w:val="TelobesedilaZnak"/>
          <w:lang w:val="it-IT" w:eastAsia="en-US" w:bidi="en-US"/>
        </w:rPr>
        <w:t xml:space="preserve"> bi </w:t>
      </w:r>
      <w:proofErr w:type="spellStart"/>
      <w:r w:rsidRPr="000C2C54">
        <w:rPr>
          <w:rStyle w:val="TelobesedilaZnak"/>
          <w:lang w:val="it-IT" w:eastAsia="en-US" w:bidi="en-US"/>
        </w:rPr>
        <w:t>najverjetne</w:t>
      </w:r>
      <w:r w:rsidRPr="000C2C54">
        <w:rPr>
          <w:rStyle w:val="TelobesedilaZnak"/>
          <w:lang w:val="it-IT" w:eastAsia="en-US" w:bidi="en-US"/>
        </w:rPr>
        <w:t>je</w:t>
      </w:r>
      <w:proofErr w:type="spellEnd"/>
      <w:r w:rsidRPr="000C2C54">
        <w:rPr>
          <w:rStyle w:val="TelobesedilaZnak"/>
          <w:lang w:val="it-IT" w:eastAsia="en-US" w:bidi="en-US"/>
        </w:rPr>
        <w:t xml:space="preserve"> </w:t>
      </w:r>
      <w:r>
        <w:rPr>
          <w:rStyle w:val="TelobesedilaZnak"/>
        </w:rPr>
        <w:t xml:space="preserve">šlo </w:t>
      </w:r>
      <w:r w:rsidRPr="000C2C54">
        <w:rPr>
          <w:rStyle w:val="TelobesedilaZnak"/>
          <w:lang w:val="it-IT" w:eastAsia="en-US" w:bidi="en-US"/>
        </w:rPr>
        <w:t xml:space="preserve">za </w:t>
      </w:r>
      <w:proofErr w:type="spellStart"/>
      <w:r w:rsidRPr="000C2C54">
        <w:rPr>
          <w:rStyle w:val="TelobesedilaZnak"/>
          <w:lang w:val="it-IT" w:eastAsia="en-US" w:bidi="en-US"/>
        </w:rPr>
        <w:t>protiustavno</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omejevanje</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lastninske</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pravice</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kakor</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tudi</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svobodne</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gospodarske</w:t>
      </w:r>
      <w:proofErr w:type="spellEnd"/>
      <w:r w:rsidRPr="000C2C54">
        <w:rPr>
          <w:rStyle w:val="TelobesedilaZnak"/>
          <w:lang w:val="it-IT" w:eastAsia="en-US" w:bidi="en-US"/>
        </w:rPr>
        <w:t xml:space="preserve"> </w:t>
      </w:r>
      <w:proofErr w:type="spellStart"/>
      <w:r w:rsidRPr="000C2C54">
        <w:rPr>
          <w:rStyle w:val="TelobesedilaZnak"/>
          <w:lang w:val="it-IT" w:eastAsia="en-US" w:bidi="en-US"/>
        </w:rPr>
        <w:t>pobude</w:t>
      </w:r>
      <w:proofErr w:type="spellEnd"/>
      <w:r w:rsidRPr="000C2C54">
        <w:rPr>
          <w:rStyle w:val="TelobesedilaZnak"/>
          <w:lang w:val="it-IT" w:eastAsia="en-US" w:bidi="en-US"/>
        </w:rPr>
        <w:t>.</w:t>
      </w:r>
    </w:p>
    <w:p w14:paraId="303D906D" w14:textId="77777777" w:rsidR="00E25AB1" w:rsidRDefault="000C2C54">
      <w:pPr>
        <w:pStyle w:val="Bodytext20"/>
        <w:jc w:val="both"/>
      </w:pPr>
      <w:proofErr w:type="spellStart"/>
      <w:r w:rsidRPr="000C2C54">
        <w:rPr>
          <w:rStyle w:val="Bodytext2"/>
          <w:b/>
          <w:bCs/>
          <w:lang w:val="it-IT" w:eastAsia="en-US" w:bidi="en-US"/>
        </w:rPr>
        <w:t>Tretji</w:t>
      </w:r>
      <w:proofErr w:type="spellEnd"/>
      <w:r w:rsidRPr="000C2C54">
        <w:rPr>
          <w:rStyle w:val="Bodytext2"/>
          <w:b/>
          <w:bCs/>
          <w:lang w:val="it-IT" w:eastAsia="en-US" w:bidi="en-US"/>
        </w:rPr>
        <w:t xml:space="preserve"> in </w:t>
      </w:r>
      <w:proofErr w:type="spellStart"/>
      <w:r w:rsidRPr="000C2C54">
        <w:rPr>
          <w:rStyle w:val="Bodytext2"/>
          <w:b/>
          <w:bCs/>
          <w:lang w:val="it-IT" w:eastAsia="en-US" w:bidi="en-US"/>
        </w:rPr>
        <w:t>osmi</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odstavek</w:t>
      </w:r>
      <w:proofErr w:type="spellEnd"/>
      <w:r w:rsidRPr="000C2C54">
        <w:rPr>
          <w:rStyle w:val="Bodytext2"/>
          <w:b/>
          <w:bCs/>
          <w:lang w:val="it-IT" w:eastAsia="en-US" w:bidi="en-US"/>
        </w:rPr>
        <w:t xml:space="preserve"> 25. </w:t>
      </w:r>
      <w:r>
        <w:rPr>
          <w:rStyle w:val="Bodytext2"/>
          <w:b/>
          <w:bCs/>
        </w:rPr>
        <w:t xml:space="preserve">člena </w:t>
      </w:r>
      <w:r w:rsidRPr="000C2C54">
        <w:rPr>
          <w:rStyle w:val="Bodytext2"/>
          <w:b/>
          <w:bCs/>
          <w:lang w:val="it-IT" w:eastAsia="en-US" w:bidi="en-US"/>
        </w:rPr>
        <w:t xml:space="preserve">se </w:t>
      </w:r>
      <w:proofErr w:type="spellStart"/>
      <w:r w:rsidRPr="000C2C54">
        <w:rPr>
          <w:rStyle w:val="Bodytext2"/>
          <w:b/>
          <w:bCs/>
          <w:lang w:val="it-IT" w:eastAsia="en-US" w:bidi="en-US"/>
        </w:rPr>
        <w:t>spremenita</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tako</w:t>
      </w:r>
      <w:proofErr w:type="spellEnd"/>
      <w:r w:rsidRPr="000C2C54">
        <w:rPr>
          <w:rStyle w:val="Bodytext2"/>
          <w:b/>
          <w:bCs/>
          <w:lang w:val="it-IT" w:eastAsia="en-US" w:bidi="en-US"/>
        </w:rPr>
        <w:t>, da se glasita:</w:t>
      </w:r>
    </w:p>
    <w:p w14:paraId="44DA6A75" w14:textId="77777777" w:rsidR="00E25AB1" w:rsidRDefault="000C2C54">
      <w:pPr>
        <w:pStyle w:val="Bodytext20"/>
        <w:numPr>
          <w:ilvl w:val="0"/>
          <w:numId w:val="2"/>
        </w:numPr>
        <w:tabs>
          <w:tab w:val="left" w:pos="519"/>
        </w:tabs>
        <w:jc w:val="both"/>
      </w:pPr>
      <w:r w:rsidRPr="000C2C54">
        <w:rPr>
          <w:rStyle w:val="Bodytext2"/>
          <w:b/>
          <w:bCs/>
          <w:lang w:eastAsia="en-US" w:bidi="en-US"/>
        </w:rPr>
        <w:t xml:space="preserve">Obvezna sestavina pogodbe je </w:t>
      </w:r>
      <w:r>
        <w:rPr>
          <w:rStyle w:val="Bodytext2"/>
          <w:b/>
          <w:bCs/>
        </w:rPr>
        <w:t xml:space="preserve">določilo </w:t>
      </w:r>
      <w:r w:rsidRPr="000C2C54">
        <w:rPr>
          <w:rStyle w:val="Bodytext2"/>
          <w:b/>
          <w:bCs/>
          <w:lang w:eastAsia="en-US" w:bidi="en-US"/>
        </w:rPr>
        <w:t xml:space="preserve">o </w:t>
      </w:r>
      <w:r>
        <w:rPr>
          <w:rStyle w:val="Bodytext2"/>
          <w:b/>
          <w:bCs/>
        </w:rPr>
        <w:t xml:space="preserve">višini </w:t>
      </w:r>
      <w:r w:rsidRPr="000C2C54">
        <w:rPr>
          <w:rStyle w:val="Bodytext2"/>
          <w:b/>
          <w:bCs/>
          <w:lang w:eastAsia="en-US" w:bidi="en-US"/>
        </w:rPr>
        <w:t xml:space="preserve">denarnega nadomestila za </w:t>
      </w:r>
      <w:r>
        <w:rPr>
          <w:rStyle w:val="Bodytext2"/>
          <w:b/>
          <w:bCs/>
        </w:rPr>
        <w:t xml:space="preserve">služnost, </w:t>
      </w:r>
      <w:r w:rsidRPr="000C2C54">
        <w:rPr>
          <w:rStyle w:val="Bodytext2"/>
          <w:b/>
          <w:bCs/>
          <w:lang w:eastAsia="en-US" w:bidi="en-US"/>
        </w:rPr>
        <w:t>v primerih,</w:t>
      </w:r>
      <w:r w:rsidRPr="000C2C54">
        <w:rPr>
          <w:rStyle w:val="Bodytext2"/>
          <w:b/>
          <w:bCs/>
          <w:lang w:eastAsia="en-US" w:bidi="en-US"/>
        </w:rPr>
        <w:t xml:space="preserve"> ki se </w:t>
      </w:r>
      <w:r>
        <w:rPr>
          <w:rStyle w:val="Bodytext2"/>
          <w:b/>
          <w:bCs/>
        </w:rPr>
        <w:t xml:space="preserve">nanašajo </w:t>
      </w:r>
      <w:r w:rsidRPr="000C2C54">
        <w:rPr>
          <w:rStyle w:val="Bodytext2"/>
          <w:b/>
          <w:bCs/>
          <w:lang w:eastAsia="en-US" w:bidi="en-US"/>
        </w:rPr>
        <w:t xml:space="preserve">na omejitev lastninske ali druge stvarne pravice na </w:t>
      </w:r>
      <w:r>
        <w:rPr>
          <w:rStyle w:val="Bodytext2"/>
          <w:b/>
          <w:bCs/>
        </w:rPr>
        <w:t xml:space="preserve">nepremičninah </w:t>
      </w:r>
      <w:r w:rsidRPr="000C2C54">
        <w:rPr>
          <w:rStyle w:val="Bodytext2"/>
          <w:b/>
          <w:bCs/>
          <w:lang w:eastAsia="en-US" w:bidi="en-US"/>
        </w:rPr>
        <w:t xml:space="preserve">pri gradnji, postavitvi, obratovanju ali </w:t>
      </w:r>
      <w:r>
        <w:rPr>
          <w:rStyle w:val="Bodytext2"/>
          <w:b/>
          <w:bCs/>
        </w:rPr>
        <w:t xml:space="preserve">vzdrževanju </w:t>
      </w:r>
      <w:r w:rsidRPr="000C2C54">
        <w:rPr>
          <w:rStyle w:val="Bodytext2"/>
          <w:b/>
          <w:bCs/>
          <w:lang w:eastAsia="en-US" w:bidi="en-US"/>
        </w:rPr>
        <w:t xml:space="preserve">javnih komunikacijskih </w:t>
      </w:r>
      <w:r>
        <w:rPr>
          <w:rStyle w:val="Bodytext2"/>
          <w:b/>
          <w:bCs/>
        </w:rPr>
        <w:t xml:space="preserve">omrežij </w:t>
      </w:r>
      <w:r w:rsidRPr="000C2C54">
        <w:rPr>
          <w:rStyle w:val="Bodytext2"/>
          <w:b/>
          <w:bCs/>
          <w:lang w:eastAsia="en-US" w:bidi="en-US"/>
        </w:rPr>
        <w:t xml:space="preserve">in </w:t>
      </w:r>
      <w:r>
        <w:rPr>
          <w:rStyle w:val="Bodytext2"/>
          <w:b/>
          <w:bCs/>
        </w:rPr>
        <w:t xml:space="preserve">pripadajoče </w:t>
      </w:r>
      <w:r w:rsidRPr="000C2C54">
        <w:rPr>
          <w:rStyle w:val="Bodytext2"/>
          <w:b/>
          <w:bCs/>
          <w:lang w:eastAsia="en-US" w:bidi="en-US"/>
        </w:rPr>
        <w:t xml:space="preserve">infrastrukture iz 21. </w:t>
      </w:r>
      <w:r>
        <w:rPr>
          <w:rStyle w:val="Bodytext2"/>
          <w:b/>
          <w:bCs/>
        </w:rPr>
        <w:t xml:space="preserve">člena </w:t>
      </w:r>
      <w:r w:rsidRPr="000C2C54">
        <w:rPr>
          <w:rStyle w:val="Bodytext2"/>
          <w:b/>
          <w:bCs/>
          <w:lang w:eastAsia="en-US" w:bidi="en-US"/>
        </w:rPr>
        <w:t xml:space="preserve">tega zakona, pa tudi </w:t>
      </w:r>
      <w:r>
        <w:rPr>
          <w:rStyle w:val="Bodytext2"/>
          <w:b/>
          <w:bCs/>
        </w:rPr>
        <w:t xml:space="preserve">določilo </w:t>
      </w:r>
      <w:r w:rsidRPr="000C2C54">
        <w:rPr>
          <w:rStyle w:val="Bodytext2"/>
          <w:b/>
          <w:bCs/>
          <w:lang w:eastAsia="en-US" w:bidi="en-US"/>
        </w:rPr>
        <w:t xml:space="preserve">o </w:t>
      </w:r>
      <w:r>
        <w:rPr>
          <w:rStyle w:val="Bodytext2"/>
          <w:b/>
          <w:bCs/>
        </w:rPr>
        <w:t xml:space="preserve">dopustnosti skupne uporabe </w:t>
      </w:r>
      <w:r>
        <w:rPr>
          <w:rStyle w:val="Bodytext2"/>
          <w:b/>
          <w:bCs/>
          <w:u w:val="single"/>
        </w:rPr>
        <w:t>in skupne gradnje</w:t>
      </w:r>
      <w:r>
        <w:rPr>
          <w:rStyle w:val="Bodytext2"/>
          <w:b/>
          <w:bCs/>
        </w:rPr>
        <w:t xml:space="preserve"> komunikacijskih objektov služnostnega upravičenca z njegove strani ter drugih fizičnih in pravnih oseb, ki zagotavljajo elektronska komunikacijska omrežja, v skladu z določbami tega zakona. Imetnik pravice skupn</w:t>
      </w:r>
      <w:r>
        <w:rPr>
          <w:rStyle w:val="Bodytext2"/>
          <w:b/>
          <w:bCs/>
        </w:rPr>
        <w:t>e uporabe ima v obsegu, ki je potreben za izvajanje skupne uporabe, upravičenja iz prejšnjega člena.</w:t>
      </w:r>
    </w:p>
    <w:p w14:paraId="0A32E193" w14:textId="77777777" w:rsidR="00E25AB1" w:rsidRDefault="000C2C54">
      <w:pPr>
        <w:pStyle w:val="Bodytext20"/>
        <w:numPr>
          <w:ilvl w:val="0"/>
          <w:numId w:val="3"/>
        </w:numPr>
        <w:tabs>
          <w:tab w:val="left" w:pos="505"/>
        </w:tabs>
        <w:jc w:val="both"/>
      </w:pPr>
      <w:r>
        <w:rPr>
          <w:rStyle w:val="Bodytext2"/>
          <w:b/>
          <w:bCs/>
        </w:rPr>
        <w:t>Poleg sestavin, ki jih določa zakon, ki ureja ustanovitev služnosti za potrebe gradnje druge gospodarske javne infrastrukture, je obvezna sestavina pogodbe</w:t>
      </w:r>
      <w:r>
        <w:rPr>
          <w:rStyle w:val="Bodytext2"/>
          <w:b/>
          <w:bCs/>
        </w:rPr>
        <w:t xml:space="preserve"> o ustanovitvi </w:t>
      </w:r>
      <w:r>
        <w:rPr>
          <w:rStyle w:val="Bodytext2"/>
          <w:b/>
          <w:bCs/>
          <w:u w:val="single"/>
        </w:rPr>
        <w:t>vsake služnosti po prvem odstavku tega člena</w:t>
      </w:r>
      <w:r>
        <w:rPr>
          <w:rStyle w:val="Bodytext2"/>
          <w:b/>
          <w:bCs/>
        </w:rPr>
        <w:t xml:space="preserve"> tudi določilo o dopustnosti skupne uporabe </w:t>
      </w:r>
      <w:r>
        <w:rPr>
          <w:rStyle w:val="Bodytext2"/>
          <w:b/>
          <w:bCs/>
          <w:u w:val="single"/>
        </w:rPr>
        <w:t>in skupne gradnje</w:t>
      </w:r>
      <w:r>
        <w:rPr>
          <w:rStyle w:val="Bodytext2"/>
          <w:b/>
          <w:bCs/>
        </w:rPr>
        <w:t xml:space="preserve"> s strani operaterja omrežja. Pri določitvi višine denarnega nadomestila za služnost se upošteva tudi možnost skupne uporabe fizične inf</w:t>
      </w:r>
      <w:r>
        <w:rPr>
          <w:rStyle w:val="Bodytext2"/>
          <w:b/>
          <w:bCs/>
        </w:rPr>
        <w:t>rastrukture s strani operaterjev omrežij.</w:t>
      </w:r>
    </w:p>
    <w:p w14:paraId="5D047A6D" w14:textId="77777777" w:rsidR="00E25AB1" w:rsidRDefault="000C2C54">
      <w:pPr>
        <w:pStyle w:val="Telobesedila"/>
        <w:jc w:val="both"/>
        <w:sectPr w:rsidR="00E25AB1">
          <w:headerReference w:type="even" r:id="rId15"/>
          <w:headerReference w:type="default" r:id="rId16"/>
          <w:footerReference w:type="even" r:id="rId17"/>
          <w:footerReference w:type="default" r:id="rId18"/>
          <w:pgSz w:w="11900" w:h="16840"/>
          <w:pgMar w:top="457" w:right="1407" w:bottom="2017" w:left="1402" w:header="29" w:footer="3" w:gutter="0"/>
          <w:cols w:space="720"/>
          <w:noEndnote/>
          <w:docGrid w:linePitch="360"/>
        </w:sectPr>
      </w:pPr>
      <w:r>
        <w:rPr>
          <w:rStyle w:val="TelobesedilaZnak"/>
        </w:rPr>
        <w:t>OBRAZLOŽITEV: Uporaba služnosti se v primeru skupne uporabe lahko nanaša tudi na čas, ko omrežje oziroma njegovi elementi še niso zgrajeni, oziroma je služnost potrebna za samostojne gradbene posege operaterja, ki je udeležen v skupn</w:t>
      </w:r>
      <w:r>
        <w:rPr>
          <w:rStyle w:val="TelobesedilaZnak"/>
        </w:rPr>
        <w:t>i gradnji skladno z določbami tega zakona. Skladno s tem je bistveno, da se poudari, da se služnost razteza tudi na skupno gradnjo. Hkrati je pomembno poudariti, da gre za vsako služnost, ki se ustanavlja po prvem odstavku tega člena, ne pa za »služnosti z</w:t>
      </w:r>
      <w:r>
        <w:rPr>
          <w:rStyle w:val="TelobesedilaZnak"/>
        </w:rPr>
        <w:t>a potrebe gradnje druge gospodarske javne infrastrukture«, na katere se zakon sklicuje le glede drugih obveznih sestavin. Slednje so namreč</w:t>
      </w:r>
    </w:p>
    <w:p w14:paraId="0FD98004" w14:textId="77777777" w:rsidR="00E25AB1" w:rsidRDefault="000C2C54">
      <w:pPr>
        <w:pStyle w:val="Telobesedila"/>
        <w:spacing w:after="440"/>
        <w:jc w:val="both"/>
      </w:pPr>
      <w:r w:rsidRPr="000C2C54">
        <w:rPr>
          <w:rStyle w:val="TelobesedilaZnak"/>
          <w:lang w:eastAsia="en-US" w:bidi="en-US"/>
        </w:rPr>
        <w:lastRenderedPageBreak/>
        <w:t xml:space="preserve">na podlagi omembe navedenih »drugih« </w:t>
      </w:r>
      <w:r>
        <w:rPr>
          <w:rStyle w:val="TelobesedilaZnak"/>
        </w:rPr>
        <w:t xml:space="preserve">služnosti </w:t>
      </w:r>
      <w:r w:rsidRPr="000C2C54">
        <w:rPr>
          <w:rStyle w:val="TelobesedilaZnak"/>
          <w:lang w:eastAsia="en-US" w:bidi="en-US"/>
        </w:rPr>
        <w:t xml:space="preserve">doslej hoteli </w:t>
      </w:r>
      <w:r>
        <w:rPr>
          <w:rStyle w:val="TelobesedilaZnak"/>
        </w:rPr>
        <w:t xml:space="preserve">napačno </w:t>
      </w:r>
      <w:r w:rsidRPr="000C2C54">
        <w:rPr>
          <w:rStyle w:val="TelobesedilaZnak"/>
          <w:lang w:eastAsia="en-US" w:bidi="en-US"/>
        </w:rPr>
        <w:t xml:space="preserve">ter v </w:t>
      </w:r>
      <w:r>
        <w:rPr>
          <w:rStyle w:val="TelobesedilaZnak"/>
        </w:rPr>
        <w:t xml:space="preserve">očitnem </w:t>
      </w:r>
      <w:r w:rsidRPr="000C2C54">
        <w:rPr>
          <w:rStyle w:val="TelobesedilaZnak"/>
          <w:lang w:eastAsia="en-US" w:bidi="en-US"/>
        </w:rPr>
        <w:t xml:space="preserve">nasprotju z besedno, </w:t>
      </w:r>
      <w:r>
        <w:rPr>
          <w:rStyle w:val="TelobesedilaZnak"/>
        </w:rPr>
        <w:t xml:space="preserve">logično </w:t>
      </w:r>
      <w:r w:rsidRPr="000C2C54">
        <w:rPr>
          <w:rStyle w:val="TelobesedilaZnak"/>
          <w:lang w:eastAsia="en-US" w:bidi="en-US"/>
        </w:rPr>
        <w:t xml:space="preserve">in </w:t>
      </w:r>
      <w:r>
        <w:rPr>
          <w:rStyle w:val="TelobesedilaZnak"/>
        </w:rPr>
        <w:t>t</w:t>
      </w:r>
      <w:r>
        <w:rPr>
          <w:rStyle w:val="TelobesedilaZnak"/>
        </w:rPr>
        <w:t xml:space="preserve">eleološko </w:t>
      </w:r>
      <w:r w:rsidRPr="000C2C54">
        <w:rPr>
          <w:rStyle w:val="TelobesedilaZnak"/>
          <w:lang w:eastAsia="en-US" w:bidi="en-US"/>
        </w:rPr>
        <w:t>razlago poskusili razlagati zakon nekateri operaterji.</w:t>
      </w:r>
    </w:p>
    <w:p w14:paraId="2610D9D2" w14:textId="77777777" w:rsidR="00E25AB1" w:rsidRDefault="000C2C54">
      <w:pPr>
        <w:pStyle w:val="Bodytext20"/>
        <w:jc w:val="both"/>
      </w:pPr>
      <w:proofErr w:type="spellStart"/>
      <w:r w:rsidRPr="000C2C54">
        <w:rPr>
          <w:rStyle w:val="Bodytext2"/>
          <w:b/>
          <w:bCs/>
          <w:lang w:val="it-IT" w:eastAsia="en-US" w:bidi="en-US"/>
        </w:rPr>
        <w:t>Tretji</w:t>
      </w:r>
      <w:proofErr w:type="spellEnd"/>
      <w:r w:rsidRPr="000C2C54">
        <w:rPr>
          <w:rStyle w:val="Bodytext2"/>
          <w:b/>
          <w:bCs/>
          <w:lang w:val="it-IT" w:eastAsia="en-US" w:bidi="en-US"/>
        </w:rPr>
        <w:t xml:space="preserve"> in peti </w:t>
      </w:r>
      <w:proofErr w:type="spellStart"/>
      <w:r w:rsidRPr="000C2C54">
        <w:rPr>
          <w:rStyle w:val="Bodytext2"/>
          <w:b/>
          <w:bCs/>
          <w:lang w:val="it-IT" w:eastAsia="en-US" w:bidi="en-US"/>
        </w:rPr>
        <w:t>odstavek</w:t>
      </w:r>
      <w:proofErr w:type="spellEnd"/>
      <w:r w:rsidRPr="000C2C54">
        <w:rPr>
          <w:rStyle w:val="Bodytext2"/>
          <w:b/>
          <w:bCs/>
          <w:lang w:val="it-IT" w:eastAsia="en-US" w:bidi="en-US"/>
        </w:rPr>
        <w:t xml:space="preserve"> 133. </w:t>
      </w:r>
      <w:r>
        <w:rPr>
          <w:rStyle w:val="Bodytext2"/>
          <w:b/>
          <w:bCs/>
        </w:rPr>
        <w:t xml:space="preserve">člena </w:t>
      </w:r>
      <w:r w:rsidRPr="000C2C54">
        <w:rPr>
          <w:rStyle w:val="Bodytext2"/>
          <w:b/>
          <w:bCs/>
          <w:lang w:val="it-IT" w:eastAsia="en-US" w:bidi="en-US"/>
        </w:rPr>
        <w:t xml:space="preserve">se </w:t>
      </w:r>
      <w:proofErr w:type="spellStart"/>
      <w:r w:rsidRPr="000C2C54">
        <w:rPr>
          <w:rStyle w:val="Bodytext2"/>
          <w:b/>
          <w:bCs/>
          <w:lang w:val="it-IT" w:eastAsia="en-US" w:bidi="en-US"/>
        </w:rPr>
        <w:t>spremenita</w:t>
      </w:r>
      <w:proofErr w:type="spellEnd"/>
      <w:r w:rsidRPr="000C2C54">
        <w:rPr>
          <w:rStyle w:val="Bodytext2"/>
          <w:b/>
          <w:bCs/>
          <w:lang w:val="it-IT" w:eastAsia="en-US" w:bidi="en-US"/>
        </w:rPr>
        <w:t xml:space="preserve"> </w:t>
      </w:r>
      <w:proofErr w:type="spellStart"/>
      <w:r w:rsidRPr="000C2C54">
        <w:rPr>
          <w:rStyle w:val="Bodytext2"/>
          <w:b/>
          <w:bCs/>
          <w:lang w:val="it-IT" w:eastAsia="en-US" w:bidi="en-US"/>
        </w:rPr>
        <w:t>tako</w:t>
      </w:r>
      <w:proofErr w:type="spellEnd"/>
      <w:r w:rsidRPr="000C2C54">
        <w:rPr>
          <w:rStyle w:val="Bodytext2"/>
          <w:b/>
          <w:bCs/>
          <w:lang w:val="it-IT" w:eastAsia="en-US" w:bidi="en-US"/>
        </w:rPr>
        <w:t>, da se glasita:</w:t>
      </w:r>
    </w:p>
    <w:p w14:paraId="6F8101E3" w14:textId="77777777" w:rsidR="00E25AB1" w:rsidRDefault="000C2C54">
      <w:pPr>
        <w:pStyle w:val="Bodytext20"/>
        <w:jc w:val="both"/>
      </w:pPr>
      <w:r w:rsidRPr="000C2C54">
        <w:rPr>
          <w:rStyle w:val="Bodytext2"/>
          <w:b/>
          <w:bCs/>
          <w:lang w:eastAsia="en-US" w:bidi="en-US"/>
        </w:rPr>
        <w:t xml:space="preserve">(3) Skupna uporaba iz tega </w:t>
      </w:r>
      <w:r>
        <w:rPr>
          <w:rStyle w:val="Bodytext2"/>
          <w:b/>
          <w:bCs/>
        </w:rPr>
        <w:t xml:space="preserve">člena </w:t>
      </w:r>
      <w:r w:rsidRPr="000C2C54">
        <w:rPr>
          <w:rStyle w:val="Bodytext2"/>
          <w:b/>
          <w:bCs/>
          <w:lang w:eastAsia="en-US" w:bidi="en-US"/>
        </w:rPr>
        <w:t xml:space="preserve">obsega uporabo lastnine oziroma komunikacijskih objektov, kot so na primer stavbe, vhodi v stavbe in napeljave v njih, drogov, anten, stolpov in drugih podobnih konstrukcij, </w:t>
      </w:r>
      <w:r>
        <w:rPr>
          <w:rStyle w:val="Bodytext2"/>
          <w:b/>
          <w:bCs/>
        </w:rPr>
        <w:t>pa tudi cevnih vodov, kanalov</w:t>
      </w:r>
      <w:r>
        <w:rPr>
          <w:rStyle w:val="Bodytext2"/>
          <w:b/>
          <w:bCs/>
          <w:u w:val="single"/>
        </w:rPr>
        <w:t>, tras,</w:t>
      </w:r>
      <w:r>
        <w:rPr>
          <w:rStyle w:val="Bodytext2"/>
          <w:b/>
          <w:bCs/>
        </w:rPr>
        <w:t xml:space="preserve"> vstopnih jaškov in priključnih omaric, vključ</w:t>
      </w:r>
      <w:r>
        <w:rPr>
          <w:rStyle w:val="Bodytext2"/>
          <w:b/>
          <w:bCs/>
        </w:rPr>
        <w:t xml:space="preserve">no s fizično skupno lokacijo </w:t>
      </w:r>
      <w:r>
        <w:rPr>
          <w:rStyle w:val="Bodytext2"/>
          <w:b/>
          <w:bCs/>
          <w:u w:val="single"/>
        </w:rPr>
        <w:t>in uživanje pravic iz 25.člena tega zakona</w:t>
      </w:r>
      <w:r>
        <w:rPr>
          <w:rStyle w:val="Bodytext2"/>
          <w:b/>
          <w:bCs/>
        </w:rPr>
        <w:t>.</w:t>
      </w:r>
    </w:p>
    <w:p w14:paraId="43324EEF" w14:textId="77777777" w:rsidR="00E25AB1" w:rsidRDefault="000C2C54">
      <w:pPr>
        <w:pStyle w:val="Bodytext20"/>
        <w:jc w:val="both"/>
      </w:pPr>
      <w:r>
        <w:rPr>
          <w:rStyle w:val="Bodytext2"/>
          <w:b/>
          <w:bCs/>
        </w:rPr>
        <w:t>(5) Agencija odloči o ukrepu iz prvega odstavka tega člena na zahtevo operaterja omrežja, če oceni za primerno glede na okoliščine primera pa tudi po uradni dolžnosti. Pri izdaji odlo</w:t>
      </w:r>
      <w:r>
        <w:rPr>
          <w:rStyle w:val="Bodytext2"/>
          <w:b/>
          <w:bCs/>
        </w:rPr>
        <w:t xml:space="preserve">čbe agencija postopa po postopku iz petega odstavka 127. člena tega zakona. </w:t>
      </w:r>
      <w:r>
        <w:rPr>
          <w:rStyle w:val="Bodytext2"/>
          <w:b/>
          <w:bCs/>
          <w:u w:val="single"/>
        </w:rPr>
        <w:t>Agencija v postopku reševanja spora na zahtevo operaterja omrežja izda odločbo, s katero določi pogoje skupne uporabe, ki veljajo za celotno omrežje drugega operaterja.</w:t>
      </w:r>
    </w:p>
    <w:p w14:paraId="7C0B0F32" w14:textId="77777777" w:rsidR="00E25AB1" w:rsidRDefault="000C2C54">
      <w:pPr>
        <w:pStyle w:val="Telobesedila"/>
        <w:jc w:val="both"/>
      </w:pPr>
      <w:r>
        <w:rPr>
          <w:rStyle w:val="TelobesedilaZnak"/>
        </w:rPr>
        <w:t>OBRAZLOŽITE</w:t>
      </w:r>
      <w:r>
        <w:rPr>
          <w:rStyle w:val="TelobesedilaZnak"/>
        </w:rPr>
        <w:t xml:space="preserve">V: Možnost odreditve skupne uporabe trase oziroma služnosti kot pravice je nujna, da se v čim manjši meri obremeni služeče zemljišče, hkrati pa doseže smisel zakonske določbe, ki je prav v delitvi obstoječih pravic uporabe zemljišča med operaterji, ker na </w:t>
      </w:r>
      <w:r>
        <w:rPr>
          <w:rStyle w:val="TelobesedilaZnak"/>
        </w:rPr>
        <w:t>zasebnih zemljiščih praviloma obstajajo prostorske omejitve. Brez navedenih dostavkov se je obstoječa ureditev v praksi izkazala za nezadovoljivo in v praksi neuporabno, saj se skupna uporaba skladno z ureditvijo po Okvirni direktivi, kot je bila dopolnjen</w:t>
      </w:r>
      <w:r>
        <w:rPr>
          <w:rStyle w:val="TelobesedilaZnak"/>
        </w:rPr>
        <w:t>a leta 2019, oziroma zdaj po EECC med drugim odreja prav zaradi omejitev, ki jih predstavljajo služnosti na tujem zemljišču kot izključne stvarne pravice. Za te služnosti je po drugem odstavku 24. člena bistveno, da se z njimi »le v najnujnejšem obsegu mot</w:t>
      </w:r>
      <w:r>
        <w:rPr>
          <w:rStyle w:val="TelobesedilaZnak"/>
        </w:rPr>
        <w:t>i lastnika nepremičnine in obremenjuje služeče zemljišče«. Seveda je motenja najmanj, če se novi vodi uvlečejo v obstoječe cevi, vendar tovrstne kapacitete ni povsod na voljo, na podeželskih območjih pa ponekod niti ni cevne kanalizacije. V teh primerih se</w:t>
      </w:r>
      <w:r>
        <w:rPr>
          <w:rStyle w:val="TelobesedilaZnak"/>
        </w:rPr>
        <w:t xml:space="preserve"> motenje najbolj omeji, če se uporabi ista trasa, kot jo je uporabil prvi operater omrežja, oziroma jo uporabljata dva operaterja, ki gradita istočasno.</w:t>
      </w:r>
    </w:p>
    <w:p w14:paraId="4F52F257" w14:textId="77777777" w:rsidR="00E25AB1" w:rsidRDefault="000C2C54">
      <w:pPr>
        <w:pStyle w:val="Telobesedila"/>
        <w:jc w:val="both"/>
      </w:pPr>
      <w:r>
        <w:rPr>
          <w:rStyle w:val="TelobesedilaZnak"/>
        </w:rPr>
        <w:t>Nadalje pa predlagamo, da se operaterjem omogoči pred Agencijo zahtevati odločbo, s katero se pogoji sk</w:t>
      </w:r>
      <w:r>
        <w:rPr>
          <w:rStyle w:val="TelobesedilaZnak"/>
        </w:rPr>
        <w:t>upne uporabe uredijo celovito, na celotnem omrežju infrastrukturnega operaterja, proti kateremu se postopek vodi, da se prepreči neučinkovito drobljenje postopkov in zavlačevanje s sklicevanjem na različne ovire na različnih območjih oziroma lokacijah.</w:t>
      </w:r>
      <w:r>
        <w:br w:type="page"/>
      </w:r>
    </w:p>
    <w:p w14:paraId="3C27D324" w14:textId="4902FF01" w:rsidR="00E25AB1" w:rsidRDefault="00E25AB1">
      <w:pPr>
        <w:jc w:val="right"/>
        <w:rPr>
          <w:sz w:val="2"/>
          <w:szCs w:val="2"/>
        </w:rPr>
      </w:pPr>
    </w:p>
    <w:sectPr w:rsidR="00E25AB1">
      <w:headerReference w:type="even" r:id="rId19"/>
      <w:headerReference w:type="default" r:id="rId20"/>
      <w:footerReference w:type="even" r:id="rId21"/>
      <w:footerReference w:type="default" r:id="rId22"/>
      <w:pgSz w:w="11900" w:h="16840"/>
      <w:pgMar w:top="1537" w:right="1408" w:bottom="2761" w:left="14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14F0" w14:textId="77777777" w:rsidR="00000000" w:rsidRDefault="000C2C54">
      <w:r>
        <w:separator/>
      </w:r>
    </w:p>
  </w:endnote>
  <w:endnote w:type="continuationSeparator" w:id="0">
    <w:p w14:paraId="67C44836" w14:textId="77777777" w:rsidR="00000000" w:rsidRDefault="000C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C3243" w14:textId="3BC7BF21" w:rsidR="00E25AB1" w:rsidRDefault="00E25AB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53B4F" w14:textId="78FC339F" w:rsidR="00E25AB1" w:rsidRDefault="00E25AB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B308" w14:textId="0653610C" w:rsidR="00E25AB1" w:rsidRDefault="00E25AB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CFFE5" w14:textId="47BEC394" w:rsidR="00E25AB1" w:rsidRDefault="00E25AB1">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AE04" w14:textId="7C61E3C5" w:rsidR="00E25AB1" w:rsidRDefault="00E25AB1">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0F86" w14:textId="526C090E" w:rsidR="00E25AB1" w:rsidRDefault="00E25AB1">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7208" w14:textId="33FF5769" w:rsidR="00E25AB1" w:rsidRDefault="00E25AB1">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C12A" w14:textId="65C923B8" w:rsidR="00E25AB1" w:rsidRDefault="00E25AB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CBC6F" w14:textId="77777777" w:rsidR="00E25AB1" w:rsidRDefault="00E25AB1"/>
  </w:footnote>
  <w:footnote w:type="continuationSeparator" w:id="0">
    <w:p w14:paraId="55418BEA" w14:textId="77777777" w:rsidR="00E25AB1" w:rsidRDefault="00E25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3AC55" w14:textId="0FF3700B" w:rsidR="00E25AB1" w:rsidRDefault="00E25AB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E0759" w14:textId="72302351" w:rsidR="00E25AB1" w:rsidRDefault="00E25AB1">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9CD44" w14:textId="282E4E7B" w:rsidR="00E25AB1" w:rsidRDefault="00E25AB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5D3E" w14:textId="1385928A" w:rsidR="00E25AB1" w:rsidRDefault="00E25AB1">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0660F" w14:textId="77777777" w:rsidR="00E25AB1" w:rsidRDefault="00E25AB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B54D9" w14:textId="77777777" w:rsidR="00E25AB1" w:rsidRDefault="00E25AB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4E524" w14:textId="15A44E1B" w:rsidR="00E25AB1" w:rsidRDefault="00E25AB1">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4E6D" w14:textId="12A73740" w:rsidR="00E25AB1" w:rsidRDefault="00E25AB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7C3D"/>
    <w:multiLevelType w:val="multilevel"/>
    <w:tmpl w:val="EE748A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3027D4"/>
    <w:multiLevelType w:val="multilevel"/>
    <w:tmpl w:val="3A8A457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532A18"/>
    <w:multiLevelType w:val="multilevel"/>
    <w:tmpl w:val="2C2294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B1"/>
    <w:rsid w:val="000C2C54"/>
    <w:rsid w:val="00E25A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2E38"/>
  <w15:docId w15:val="{AB8D9B96-E07E-4104-985D-4F3E9197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bCs/>
      <w:i w:val="0"/>
      <w:iCs w:val="0"/>
      <w:smallCaps w:val="0"/>
      <w:strike w:val="0"/>
      <w:sz w:val="26"/>
      <w:szCs w:val="26"/>
      <w:u w:val="none"/>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Privzetapisavaodstavka"/>
    <w:link w:val="Bodytext40"/>
    <w:rPr>
      <w:rFonts w:ascii="Arial" w:eastAsia="Arial" w:hAnsi="Arial" w:cs="Arial"/>
      <w:b/>
      <w:bCs/>
      <w:i w:val="0"/>
      <w:iCs w:val="0"/>
      <w:smallCaps w:val="0"/>
      <w:strike w:val="0"/>
      <w:color w:val="221F20"/>
      <w:sz w:val="56"/>
      <w:szCs w:val="56"/>
      <w:u w:val="none"/>
      <w:lang w:val="en-US" w:eastAsia="en-US" w:bidi="en-US"/>
    </w:rPr>
  </w:style>
  <w:style w:type="character" w:customStyle="1" w:styleId="Bodytext3">
    <w:name w:val="Body text (3)_"/>
    <w:basedOn w:val="Privzetapisavaodstavka"/>
    <w:link w:val="Bodytext30"/>
    <w:rPr>
      <w:rFonts w:ascii="Verdana" w:eastAsia="Verdana" w:hAnsi="Verdana" w:cs="Verdana"/>
      <w:b w:val="0"/>
      <w:bCs w:val="0"/>
      <w:i w:val="0"/>
      <w:iCs w:val="0"/>
      <w:smallCaps w:val="0"/>
      <w:strike w:val="0"/>
      <w:color w:val="898E92"/>
      <w:sz w:val="16"/>
      <w:szCs w:val="16"/>
      <w:u w:val="none"/>
      <w:lang w:val="en-US" w:eastAsia="en-US" w:bidi="en-US"/>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pPr>
    <w:rPr>
      <w:rFonts w:ascii="Times New Roman" w:eastAsia="Times New Roman" w:hAnsi="Times New Roman" w:cs="Times New Roman"/>
      <w:b/>
      <w:bCs/>
      <w:sz w:val="26"/>
      <w:szCs w:val="26"/>
    </w:rPr>
  </w:style>
  <w:style w:type="paragraph" w:styleId="Telobesedila">
    <w:name w:val="Body Text"/>
    <w:basedOn w:val="Navaden"/>
    <w:link w:val="TelobesedilaZnak"/>
    <w:qFormat/>
    <w:pPr>
      <w:spacing w:after="240" w:line="293" w:lineRule="auto"/>
    </w:pPr>
    <w:rPr>
      <w:rFonts w:ascii="Times New Roman" w:eastAsia="Times New Roman" w:hAnsi="Times New Roman" w:cs="Times New Roman"/>
      <w:sz w:val="22"/>
      <w:szCs w:val="22"/>
    </w:rPr>
  </w:style>
  <w:style w:type="paragraph" w:customStyle="1" w:styleId="Bodytext40">
    <w:name w:val="Body text (4)"/>
    <w:basedOn w:val="Navaden"/>
    <w:link w:val="Bodytext4"/>
    <w:pPr>
      <w:ind w:left="7200"/>
    </w:pPr>
    <w:rPr>
      <w:rFonts w:ascii="Arial" w:eastAsia="Arial" w:hAnsi="Arial" w:cs="Arial"/>
      <w:b/>
      <w:bCs/>
      <w:color w:val="221F20"/>
      <w:sz w:val="56"/>
      <w:szCs w:val="56"/>
      <w:lang w:val="en-US" w:eastAsia="en-US" w:bidi="en-US"/>
    </w:rPr>
  </w:style>
  <w:style w:type="paragraph" w:customStyle="1" w:styleId="Bodytext30">
    <w:name w:val="Body text (3)"/>
    <w:basedOn w:val="Navaden"/>
    <w:link w:val="Bodytext3"/>
    <w:pPr>
      <w:spacing w:after="420" w:line="230" w:lineRule="auto"/>
      <w:jc w:val="right"/>
    </w:pPr>
    <w:rPr>
      <w:rFonts w:ascii="Verdana" w:eastAsia="Verdana" w:hAnsi="Verdana" w:cs="Verdana"/>
      <w:color w:val="898E92"/>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1694</Words>
  <Characters>9662</Characters>
  <Application>Microsoft Office Word</Application>
  <DocSecurity>0</DocSecurity>
  <Lines>80</Lines>
  <Paragraphs>22</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AKOS Pripombe v javni obravnavi - RUNE</dc:title>
  <dc:subject/>
  <dc:creator>tomaz</dc:creator>
  <cp:keywords/>
  <cp:lastModifiedBy>Darko Bulat</cp:lastModifiedBy>
  <cp:revision>2</cp:revision>
  <dcterms:created xsi:type="dcterms:W3CDTF">2021-09-20T12:26:00Z</dcterms:created>
  <dcterms:modified xsi:type="dcterms:W3CDTF">2021-09-20T12:26:00Z</dcterms:modified>
</cp:coreProperties>
</file>