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AE962" w14:textId="77777777" w:rsidR="000B4C86" w:rsidRDefault="002E775A">
      <w:pPr>
        <w:pStyle w:val="Heading10"/>
        <w:keepNext/>
        <w:keepLines/>
        <w:pBdr>
          <w:top w:val="single" w:sz="0" w:space="0" w:color="404748"/>
          <w:left w:val="single" w:sz="0" w:space="0" w:color="404748"/>
          <w:bottom w:val="single" w:sz="0" w:space="7" w:color="404748"/>
          <w:right w:val="single" w:sz="0" w:space="0" w:color="404748"/>
        </w:pBdr>
        <w:shd w:val="clear" w:color="auto" w:fill="404748"/>
        <w:spacing w:after="131"/>
      </w:pPr>
      <w:bookmarkStart w:id="0" w:name="bookmark0"/>
      <w:r>
        <w:rPr>
          <w:rStyle w:val="Heading1"/>
          <w:b/>
          <w:bCs/>
          <w:i/>
          <w:iCs/>
          <w:color w:val="FFFFFF"/>
        </w:rPr>
        <w:t>\Q7</w:t>
      </w:r>
      <w:r>
        <w:rPr>
          <w:rStyle w:val="Heading1"/>
          <w:b/>
          <w:bCs/>
          <w:color w:val="FFFFFF"/>
        </w:rPr>
        <w:t xml:space="preserve"> Pošta Slovenije</w:t>
      </w:r>
      <w:bookmarkEnd w:id="0"/>
    </w:p>
    <w:p w14:paraId="3BC82646" w14:textId="72C86CBF" w:rsidR="000B4C86" w:rsidRDefault="002E775A">
      <w:pPr>
        <w:pStyle w:val="Telobesedila"/>
        <w:spacing w:after="0" w:line="240" w:lineRule="auto"/>
        <w:ind w:left="200"/>
        <w:jc w:val="both"/>
      </w:pPr>
      <w:r>
        <w:rPr>
          <w:rStyle w:val="TelobesedilaZnak"/>
        </w:rPr>
        <w:t>Naša št.: PP3/ /1-20</w:t>
      </w:r>
    </w:p>
    <w:p w14:paraId="087124D3" w14:textId="77777777" w:rsidR="000B4C86" w:rsidRDefault="002E775A">
      <w:pPr>
        <w:pStyle w:val="Telobesedila"/>
        <w:spacing w:after="0" w:line="240" w:lineRule="auto"/>
        <w:ind w:left="200"/>
        <w:jc w:val="both"/>
      </w:pPr>
      <w:r>
        <w:rPr>
          <w:rStyle w:val="TelobesedilaZnak"/>
        </w:rPr>
        <w:t xml:space="preserve">Vaša št.: </w:t>
      </w:r>
      <w:r>
        <w:rPr>
          <w:rStyle w:val="TelobesedilaZnak"/>
        </w:rPr>
        <w:t>007-34/2019-120</w:t>
      </w:r>
    </w:p>
    <w:p w14:paraId="779E5A83" w14:textId="77777777" w:rsidR="000B4C86" w:rsidRDefault="002E775A">
      <w:pPr>
        <w:pStyle w:val="Telobesedila"/>
        <w:spacing w:after="600" w:line="240" w:lineRule="auto"/>
        <w:ind w:left="200"/>
        <w:jc w:val="both"/>
      </w:pPr>
      <w:r>
        <w:rPr>
          <w:rStyle w:val="TelobesedilaZnak"/>
        </w:rPr>
        <w:t>Datum: 29. 10. 2020</w:t>
      </w:r>
    </w:p>
    <w:p w14:paraId="110345B5" w14:textId="77777777" w:rsidR="000B4C86" w:rsidRDefault="002E775A">
      <w:pPr>
        <w:pStyle w:val="Telobesedila"/>
        <w:spacing w:after="0" w:line="259" w:lineRule="auto"/>
        <w:ind w:left="200"/>
        <w:jc w:val="both"/>
      </w:pPr>
      <w:r>
        <w:rPr>
          <w:rStyle w:val="TelobesedilaZnak"/>
        </w:rPr>
        <w:t>Ministrstvo za javno upravo Tržaška 21</w:t>
      </w:r>
    </w:p>
    <w:p w14:paraId="4595FCCE" w14:textId="77777777" w:rsidR="000B4C86" w:rsidRDefault="002E775A">
      <w:pPr>
        <w:pStyle w:val="Telobesedila"/>
        <w:spacing w:line="259" w:lineRule="auto"/>
        <w:ind w:firstLine="200"/>
        <w:jc w:val="both"/>
      </w:pPr>
      <w:r>
        <w:rPr>
          <w:rStyle w:val="TelobesedilaZnak"/>
        </w:rPr>
        <w:t>1000 Ljubljana</w:t>
      </w:r>
    </w:p>
    <w:p w14:paraId="261052B0" w14:textId="77777777" w:rsidR="000B4C86" w:rsidRDefault="002E775A">
      <w:pPr>
        <w:pStyle w:val="Telobesedila"/>
        <w:spacing w:after="740" w:line="240" w:lineRule="auto"/>
        <w:ind w:firstLine="200"/>
        <w:jc w:val="both"/>
        <w:rPr>
          <w:sz w:val="22"/>
          <w:szCs w:val="22"/>
        </w:rPr>
      </w:pPr>
      <w:hyperlink r:id="rId6" w:history="1">
        <w:r>
          <w:rPr>
            <w:rStyle w:val="TelobesedilaZnak"/>
            <w:b/>
            <w:bCs/>
            <w:sz w:val="22"/>
            <w:szCs w:val="22"/>
          </w:rPr>
          <w:t>gp.mju@gov.si</w:t>
        </w:r>
      </w:hyperlink>
    </w:p>
    <w:p w14:paraId="5B40FA56" w14:textId="77777777" w:rsidR="000B4C86" w:rsidRDefault="002E775A">
      <w:pPr>
        <w:pStyle w:val="Telobesedila"/>
        <w:spacing w:line="233" w:lineRule="auto"/>
        <w:jc w:val="both"/>
        <w:rPr>
          <w:sz w:val="22"/>
          <w:szCs w:val="22"/>
        </w:rPr>
      </w:pPr>
      <w:r>
        <w:rPr>
          <w:rStyle w:val="TelobesedilaZnak"/>
          <w:b/>
          <w:bCs/>
          <w:sz w:val="22"/>
          <w:szCs w:val="22"/>
        </w:rPr>
        <w:t>Zadeva: Pripombe na osnutek predloga Zakona o elektronskih komunikacijah (EVA 2019-3130- 0004)</w:t>
      </w:r>
    </w:p>
    <w:p w14:paraId="66D08B42" w14:textId="77777777" w:rsidR="000B4C86" w:rsidRDefault="002E775A">
      <w:pPr>
        <w:pStyle w:val="Telobesedila"/>
        <w:jc w:val="both"/>
      </w:pPr>
      <w:r>
        <w:rPr>
          <w:rStyle w:val="TelobesedilaZnak"/>
        </w:rPr>
        <w:t xml:space="preserve">Ministrstvo za </w:t>
      </w:r>
      <w:r>
        <w:rPr>
          <w:rStyle w:val="TelobesedilaZnak"/>
        </w:rPr>
        <w:t>javno upravo je 28. avgusta 2020 v javno obravnavo predložilo osnutek predloga novega Zakona o elektronskih komunikacijah (ZEKom-2). Pošta Slovenije d. o. o. kot zainteresirana javnost podaja pripombe in predloge, ki so obrazloženi v nadaljevanju.</w:t>
      </w:r>
    </w:p>
    <w:p w14:paraId="697B50E5" w14:textId="77777777" w:rsidR="000B4C86" w:rsidRDefault="002E775A">
      <w:pPr>
        <w:pStyle w:val="Heading20"/>
        <w:keepNext/>
        <w:keepLines/>
        <w:jc w:val="both"/>
      </w:pPr>
      <w:bookmarkStart w:id="1" w:name="bookmark2"/>
      <w:r>
        <w:rPr>
          <w:rStyle w:val="Heading2"/>
          <w:b/>
          <w:bCs/>
          <w:i/>
          <w:iCs/>
        </w:rPr>
        <w:t>K 226. č</w:t>
      </w:r>
      <w:r>
        <w:rPr>
          <w:rStyle w:val="Heading2"/>
          <w:b/>
          <w:bCs/>
          <w:i/>
          <w:iCs/>
        </w:rPr>
        <w:t>lenu (delovanje agencije)</w:t>
      </w:r>
      <w:bookmarkEnd w:id="1"/>
    </w:p>
    <w:p w14:paraId="3ADB4CF0" w14:textId="77777777" w:rsidR="000B4C86" w:rsidRDefault="002E775A">
      <w:pPr>
        <w:pStyle w:val="Telobesedila"/>
        <w:spacing w:line="259" w:lineRule="auto"/>
        <w:jc w:val="both"/>
      </w:pPr>
      <w:r>
        <w:rPr>
          <w:rStyle w:val="TelobesedilaZnak"/>
        </w:rPr>
        <w:t xml:space="preserve">Predlagamo, da se drugi stavek prvega odstavka 226. člena spremeni tako, da se besedna zveza »S </w:t>
      </w:r>
      <w:r>
        <w:rPr>
          <w:rStyle w:val="TelobesedilaZnak"/>
          <w:i/>
          <w:iCs/>
        </w:rPr>
        <w:t>tem...«</w:t>
      </w:r>
      <w:r>
        <w:rPr>
          <w:rStyle w:val="TelobesedilaZnak"/>
        </w:rPr>
        <w:t xml:space="preserve"> nadomesti z besedno zvezo </w:t>
      </w:r>
      <w:r>
        <w:rPr>
          <w:rStyle w:val="TelobesedilaZnak"/>
          <w:i/>
          <w:iCs/>
        </w:rPr>
        <w:t>»Pri tem...«.</w:t>
      </w:r>
    </w:p>
    <w:p w14:paraId="0A2374AC" w14:textId="77777777" w:rsidR="000B4C86" w:rsidRDefault="002E775A">
      <w:pPr>
        <w:pStyle w:val="Telobesedila"/>
        <w:spacing w:after="0" w:line="264" w:lineRule="auto"/>
        <w:jc w:val="both"/>
      </w:pPr>
      <w:r>
        <w:rPr>
          <w:rStyle w:val="TelobesedilaZnak"/>
          <w:u w:val="single"/>
        </w:rPr>
        <w:t>Utemeljitev:</w:t>
      </w:r>
    </w:p>
    <w:p w14:paraId="0D3FAA07" w14:textId="77777777" w:rsidR="000B4C86" w:rsidRDefault="002E775A">
      <w:pPr>
        <w:pStyle w:val="Telobesedila"/>
        <w:spacing w:line="264" w:lineRule="auto"/>
        <w:jc w:val="both"/>
      </w:pPr>
      <w:r>
        <w:rPr>
          <w:rStyle w:val="TelobesedilaZnak"/>
        </w:rPr>
        <w:t>Predlog člena ohranja vsebino 171. člena ZEKom-1, ki navaja, da s tem, ko</w:t>
      </w:r>
      <w:r>
        <w:rPr>
          <w:rStyle w:val="TelobesedilaZnak"/>
        </w:rPr>
        <w:t xml:space="preserve"> Agencija izvaja naloge, ki so določene s tem zakonom in drugimi zakoni s področja njenega delovanja ter na njihovi podlagi sprejetimi podzakonskimi akti, zasleduje razvojne cilje, ki izhajajo iz strateških dokumentov Republike Slovenije s področja njenega</w:t>
      </w:r>
      <w:r>
        <w:rPr>
          <w:rStyle w:val="TelobesedilaZnak"/>
        </w:rPr>
        <w:t xml:space="preserve"> delovanja.</w:t>
      </w:r>
    </w:p>
    <w:p w14:paraId="5E6A8337" w14:textId="77777777" w:rsidR="000B4C86" w:rsidRDefault="002E775A">
      <w:pPr>
        <w:pStyle w:val="Telobesedila"/>
        <w:jc w:val="both"/>
      </w:pPr>
      <w:r>
        <w:rPr>
          <w:rStyle w:val="TelobesedilaZnak"/>
        </w:rPr>
        <w:t>Navedba sama po sebi ni logična niti smiselna. S samim izvrševanjem zakona se ne morejo zasledovati strateški dokumenti Republike Slovenije, saj nobeden izmed njih ni niti naveden niti povzet v samem zakonu. Vsekakor pa je smiselno, kot je tudi</w:t>
      </w:r>
      <w:r>
        <w:rPr>
          <w:rStyle w:val="TelobesedilaZnak"/>
        </w:rPr>
        <w:t xml:space="preserve"> določeno v 248. členu, da Agencija pri pripravi programa dela in finančnega načrta upošteva strateške usmeritve ministrstev, pristojnih za posamezno področje delovanja Agencije - te strateške usmeritve pa bi morale temeljiti na strateških ciljih Republike</w:t>
      </w:r>
      <w:r>
        <w:rPr>
          <w:rStyle w:val="TelobesedilaZnak"/>
        </w:rPr>
        <w:t xml:space="preserve"> Slovenije. Agencija je med drugim regulator trgov s področja svojih pristojnosti in s svojim delovanjem in regulacijo teh trgov bi morala prispevati k doseganju strateških ciljev Republike Slovenije. Na drugi strani pa bi morala biti odgovornost resornih </w:t>
      </w:r>
      <w:r>
        <w:rPr>
          <w:rStyle w:val="TelobesedilaZnak"/>
        </w:rPr>
        <w:t>ministrstev za posamezno področje delovanja Agencije, da pripravljajo in objavljajo strateške/razvojne cilje, ki naj jim sledi tudi Agencija.</w:t>
      </w:r>
    </w:p>
    <w:p w14:paraId="3738C96B" w14:textId="77777777" w:rsidR="000B4C86" w:rsidRDefault="002E775A">
      <w:pPr>
        <w:pStyle w:val="Telobesedila"/>
        <w:jc w:val="both"/>
      </w:pPr>
      <w:r>
        <w:rPr>
          <w:rStyle w:val="TelobesedilaZnak"/>
        </w:rPr>
        <w:t>Med drugim je nejasna politika regulacije Agencije posledica pomanjkanja strateških dokumentov Republike Slovenije</w:t>
      </w:r>
      <w:r>
        <w:rPr>
          <w:rStyle w:val="TelobesedilaZnak"/>
        </w:rPr>
        <w:t xml:space="preserve"> na posameznem področju, ki ga Agencija ureja. Država na področju poštnih storitev nima strateških razvojnih dokumentov, v katerih bi jasno predstavila svojo razvojno vizijo. Posledično je namesto države Agencija tista, ki določa in oblikuje strategijo raz</w:t>
      </w:r>
      <w:r>
        <w:rPr>
          <w:rStyle w:val="TelobesedilaZnak"/>
        </w:rPr>
        <w:t>voja posameznega sektorja.</w:t>
      </w:r>
    </w:p>
    <w:p w14:paraId="1893F20E" w14:textId="77777777" w:rsidR="000B4C86" w:rsidRDefault="002E775A">
      <w:pPr>
        <w:pStyle w:val="Telobesedila"/>
        <w:spacing w:after="180" w:line="264" w:lineRule="auto"/>
        <w:jc w:val="both"/>
      </w:pPr>
      <w:r>
        <w:rPr>
          <w:rStyle w:val="TelobesedilaZnak"/>
        </w:rPr>
        <w:t>Predlagatelja ZEKom-2 zato pozivamo, da spremeni določbo 226. člena, resorna ministrstva pa, da čim prej pripravijo in objavijo strategije razvoja posameznih relevantnih sektorjev s področja delovanja</w:t>
      </w:r>
    </w:p>
    <w:p w14:paraId="7EB9B0F0" w14:textId="7E3EF5A3" w:rsidR="000B4C86" w:rsidRDefault="002E775A">
      <w:pPr>
        <w:pStyle w:val="Bodytext20"/>
        <w:ind w:left="0" w:firstLine="360"/>
      </w:pPr>
      <w:r>
        <w:rPr>
          <w:rStyle w:val="Bodytext2"/>
          <w:b/>
          <w:bCs/>
        </w:rPr>
        <w:t xml:space="preserve">Pošta Slovenije </w:t>
      </w:r>
      <w:proofErr w:type="spellStart"/>
      <w:r>
        <w:rPr>
          <w:rStyle w:val="Bodytext2"/>
          <w:b/>
          <w:bCs/>
        </w:rPr>
        <w:t>d.o.o</w:t>
      </w:r>
      <w:proofErr w:type="spellEnd"/>
      <w:r>
        <w:rPr>
          <w:rStyle w:val="Bodytext2"/>
          <w:b/>
          <w:bCs/>
        </w:rPr>
        <w:t>.</w:t>
      </w:r>
    </w:p>
    <w:p w14:paraId="34C5EDAF" w14:textId="77777777" w:rsidR="000B4C86" w:rsidRDefault="002E775A">
      <w:pPr>
        <w:pStyle w:val="Bodytext20"/>
        <w:ind w:left="360" w:firstLine="0"/>
      </w:pPr>
      <w:r>
        <w:rPr>
          <w:rStyle w:val="Bodytext2"/>
          <w:b/>
          <w:bCs/>
        </w:rPr>
        <w:t xml:space="preserve">Okrožno sodišče v Mariboru. Matična številka družbe: 5881447000. Šifra dejavnosti' 53.100. Predsednik </w:t>
      </w:r>
      <w:proofErr w:type="spellStart"/>
      <w:r>
        <w:rPr>
          <w:rStyle w:val="Bodytext2"/>
          <w:b/>
          <w:bCs/>
        </w:rPr>
        <w:t>nadz</w:t>
      </w:r>
      <w:proofErr w:type="spellEnd"/>
      <w:r>
        <w:rPr>
          <w:rStyle w:val="Bodytext2"/>
          <w:b/>
          <w:bCs/>
        </w:rPr>
        <w:t xml:space="preserve">. sveta: Matjaž </w:t>
      </w:r>
      <w:proofErr w:type="spellStart"/>
      <w:r>
        <w:rPr>
          <w:rStyle w:val="Bodytext2"/>
          <w:b/>
          <w:bCs/>
        </w:rPr>
        <w:t>Šifkovič</w:t>
      </w:r>
      <w:proofErr w:type="spellEnd"/>
      <w:r>
        <w:rPr>
          <w:rStyle w:val="Bodytext2"/>
          <w:b/>
          <w:bCs/>
        </w:rPr>
        <w:t xml:space="preserve"> Osnovni kapital 121.472.482 €. TRR: SI56 0451 5000 1110 867. TRR: SI56 0228 0001 6990 351. TRR: SI56 0312 1100 0930 916.</w:t>
      </w:r>
    </w:p>
    <w:p w14:paraId="283C2E37" w14:textId="77777777" w:rsidR="000B4C86" w:rsidRDefault="002E775A">
      <w:pPr>
        <w:pStyle w:val="Bodytext20"/>
        <w:ind w:left="0" w:firstLine="360"/>
      </w:pPr>
      <w:r>
        <w:rPr>
          <w:rStyle w:val="Bodytext2"/>
          <w:b/>
          <w:bCs/>
        </w:rPr>
        <w:t xml:space="preserve">Id. </w:t>
      </w:r>
      <w:r>
        <w:rPr>
          <w:rStyle w:val="Bodytext2"/>
          <w:b/>
          <w:bCs/>
        </w:rPr>
        <w:t>številka: SI25028022</w:t>
      </w:r>
      <w:r>
        <w:br w:type="page"/>
      </w:r>
    </w:p>
    <w:p w14:paraId="27C5AD14" w14:textId="77777777" w:rsidR="000B4C86" w:rsidRDefault="002E775A">
      <w:pPr>
        <w:pStyle w:val="Telobesedila"/>
        <w:spacing w:after="0" w:line="259" w:lineRule="auto"/>
        <w:jc w:val="both"/>
      </w:pPr>
      <w:r>
        <w:rPr>
          <w:rStyle w:val="TelobesedilaZnak"/>
        </w:rPr>
        <w:lastRenderedPageBreak/>
        <w:t>Agencije, ki jim bo Agencija pri izvajanju svojih nalog na podlagi področnih zakonov ter na njihovi podlagi sprejetimi podzakonskimi akti sledila.</w:t>
      </w:r>
    </w:p>
    <w:p w14:paraId="658D9B79" w14:textId="77777777" w:rsidR="000B4C86" w:rsidRDefault="002E775A">
      <w:pPr>
        <w:pStyle w:val="Telobesedila"/>
        <w:spacing w:line="259" w:lineRule="auto"/>
        <w:jc w:val="both"/>
      </w:pPr>
      <w:r>
        <w:rPr>
          <w:rStyle w:val="TelobesedilaZnak"/>
        </w:rPr>
        <w:t>Ob nujnosti izvedbe gornjega predloga se v ničemer ne posega v neodvisnost delovanja Ag</w:t>
      </w:r>
      <w:r>
        <w:rPr>
          <w:rStyle w:val="TelobesedilaZnak"/>
        </w:rPr>
        <w:t>encije.</w:t>
      </w:r>
    </w:p>
    <w:p w14:paraId="04926E8A" w14:textId="77777777" w:rsidR="000B4C86" w:rsidRDefault="002E775A">
      <w:pPr>
        <w:pStyle w:val="Heading20"/>
        <w:keepNext/>
        <w:keepLines/>
        <w:jc w:val="both"/>
      </w:pPr>
      <w:bookmarkStart w:id="2" w:name="bookmark4"/>
      <w:r>
        <w:rPr>
          <w:rStyle w:val="Heading2"/>
          <w:b/>
          <w:bCs/>
          <w:i/>
          <w:iCs/>
        </w:rPr>
        <w:t>K 247. členu (financiranje agencije)</w:t>
      </w:r>
      <w:bookmarkEnd w:id="2"/>
    </w:p>
    <w:p w14:paraId="00A76819" w14:textId="77777777" w:rsidR="000B4C86" w:rsidRDefault="002E775A">
      <w:pPr>
        <w:pStyle w:val="Telobesedila"/>
        <w:spacing w:after="0" w:line="259" w:lineRule="auto"/>
        <w:jc w:val="both"/>
      </w:pPr>
      <w:r>
        <w:rPr>
          <w:rStyle w:val="TelobesedilaZnak"/>
        </w:rPr>
        <w:t>Predlagamo, da se prvi odstavek 247. člen dopolni tako, da se doda stavek:</w:t>
      </w:r>
    </w:p>
    <w:p w14:paraId="315130E5" w14:textId="77777777" w:rsidR="000B4C86" w:rsidRDefault="002E775A">
      <w:pPr>
        <w:pStyle w:val="Telobesedila"/>
        <w:spacing w:line="259" w:lineRule="auto"/>
        <w:jc w:val="both"/>
      </w:pPr>
      <w:r>
        <w:rPr>
          <w:rStyle w:val="TelobesedilaZnak"/>
          <w:i/>
          <w:iCs/>
        </w:rPr>
        <w:t>»Financiranje posameznega področja delovanja agencije in dela skupnih služb, povezanega s tem področjem, se lahko financira izključno iz</w:t>
      </w:r>
      <w:r>
        <w:rPr>
          <w:rStyle w:val="TelobesedilaZnak"/>
          <w:i/>
          <w:iCs/>
        </w:rPr>
        <w:t xml:space="preserve"> plačil zavezancev tega področja. Ta določba velja tudi za način razporejanja presežka prihodkov nad odhodki agencije.«</w:t>
      </w:r>
    </w:p>
    <w:p w14:paraId="12CD824F" w14:textId="77777777" w:rsidR="000B4C86" w:rsidRDefault="002E775A">
      <w:pPr>
        <w:pStyle w:val="Telobesedila"/>
        <w:spacing w:after="0"/>
        <w:jc w:val="both"/>
      </w:pPr>
      <w:r>
        <w:rPr>
          <w:rStyle w:val="TelobesedilaZnak"/>
          <w:u w:val="single"/>
        </w:rPr>
        <w:t>Utemeljitev:</w:t>
      </w:r>
    </w:p>
    <w:p w14:paraId="710CC9C1" w14:textId="77777777" w:rsidR="000B4C86" w:rsidRDefault="002E775A">
      <w:pPr>
        <w:pStyle w:val="Telobesedila"/>
        <w:jc w:val="both"/>
      </w:pPr>
      <w:r>
        <w:rPr>
          <w:rStyle w:val="TelobesedilaZnak"/>
        </w:rPr>
        <w:t xml:space="preserve">Ne glede na določbo tretjega dostavka 249. člena (sedaj tretji odstavek 190. člena), ki agenciji nalaga vodenje </w:t>
      </w:r>
      <w:r>
        <w:rPr>
          <w:rStyle w:val="TelobesedilaZnak"/>
        </w:rPr>
        <w:t>računovodstva ločeno po področjih svojega urejanja, sedanji način načrtovanja prihodkov in stroškov ter samega financiranja Agencije ni dovolj transparenten, da bi preprečeval morebitno navzkrižno financiranje med posameznimi področji delovanja Agencije. N</w:t>
      </w:r>
      <w:r>
        <w:rPr>
          <w:rStyle w:val="TelobesedilaZnak"/>
        </w:rPr>
        <w:t>iti letno objavljeni PDFN in niti poročila o porabi sredstev v preteklem letu zavezancem ne omogočajo enoznačne povezave med načrtovanimi in porabljenimi sredstvi delovanja Agencije na posameznem področju.</w:t>
      </w:r>
    </w:p>
    <w:p w14:paraId="12A4EA63" w14:textId="77777777" w:rsidR="000B4C86" w:rsidRDefault="002E775A">
      <w:pPr>
        <w:pStyle w:val="Telobesedila"/>
      </w:pPr>
      <w:r>
        <w:rPr>
          <w:rStyle w:val="TelobesedilaZnak"/>
        </w:rPr>
        <w:t>To velja tudi za porabo presežkov prihodkov nad od</w:t>
      </w:r>
      <w:r>
        <w:rPr>
          <w:rStyle w:val="TelobesedilaZnak"/>
        </w:rPr>
        <w:t>hodki Agencije.</w:t>
      </w:r>
    </w:p>
    <w:p w14:paraId="5BC09E2C" w14:textId="77777777" w:rsidR="000B4C86" w:rsidRDefault="002E775A">
      <w:pPr>
        <w:pStyle w:val="Heading20"/>
        <w:keepNext/>
        <w:keepLines/>
      </w:pPr>
      <w:bookmarkStart w:id="3" w:name="bookmark6"/>
      <w:r>
        <w:rPr>
          <w:rStyle w:val="Heading2"/>
          <w:b/>
          <w:bCs/>
          <w:i/>
          <w:iCs/>
        </w:rPr>
        <w:t>K 248. členu (postopek sprejemanja programa dela in finančnega načrta)</w:t>
      </w:r>
      <w:bookmarkEnd w:id="3"/>
    </w:p>
    <w:p w14:paraId="0780DF65" w14:textId="77777777" w:rsidR="000B4C86" w:rsidRDefault="002E775A">
      <w:pPr>
        <w:pStyle w:val="Telobesedila"/>
        <w:spacing w:line="264" w:lineRule="auto"/>
        <w:jc w:val="both"/>
      </w:pPr>
      <w:r>
        <w:rPr>
          <w:rStyle w:val="TelobesedilaZnak"/>
        </w:rPr>
        <w:t xml:space="preserve">Predlagamo, da se prvi odstavek 248. člena spremeni tako, da se v prvem odstavku črta beseda </w:t>
      </w:r>
      <w:r>
        <w:rPr>
          <w:rStyle w:val="TelobesedilaZnak"/>
          <w:i/>
          <w:iCs/>
        </w:rPr>
        <w:t>»lahko«</w:t>
      </w:r>
      <w:r>
        <w:rPr>
          <w:rStyle w:val="TelobesedilaZnak"/>
        </w:rPr>
        <w:t xml:space="preserve"> in se besedilo dopolni z zapisom </w:t>
      </w:r>
      <w:r>
        <w:rPr>
          <w:rStyle w:val="TelobesedilaZnak"/>
          <w:i/>
          <w:iCs/>
        </w:rPr>
        <w:t>»Agencija pri pripravi programa del</w:t>
      </w:r>
      <w:r>
        <w:rPr>
          <w:rStyle w:val="TelobesedilaZnak"/>
          <w:i/>
          <w:iCs/>
        </w:rPr>
        <w:t>a navede, katere načrtovane aktivnosti bodo zasledovale posamezne strateške cilje.«</w:t>
      </w:r>
    </w:p>
    <w:p w14:paraId="7606DE42" w14:textId="77777777" w:rsidR="000B4C86" w:rsidRDefault="002E775A">
      <w:pPr>
        <w:pStyle w:val="Telobesedila"/>
        <w:spacing w:after="0"/>
        <w:jc w:val="both"/>
      </w:pPr>
      <w:r>
        <w:rPr>
          <w:rStyle w:val="TelobesedilaZnak"/>
          <w:u w:val="single"/>
        </w:rPr>
        <w:t>Utemeljitev:</w:t>
      </w:r>
    </w:p>
    <w:p w14:paraId="00898F81" w14:textId="77777777" w:rsidR="000B4C86" w:rsidRDefault="002E775A">
      <w:pPr>
        <w:pStyle w:val="Telobesedila"/>
        <w:jc w:val="both"/>
      </w:pPr>
      <w:r>
        <w:rPr>
          <w:rStyle w:val="TelobesedilaZnak"/>
        </w:rPr>
        <w:t>Agencija je pri svojem delu neodvisna, vsekakor pa ni organ, ki bi imel na podlagi javnega pooblastila pravico oziroma dolžnost oblikovanja nacionalnih strateg</w:t>
      </w:r>
      <w:r>
        <w:rPr>
          <w:rStyle w:val="TelobesedilaZnak"/>
        </w:rPr>
        <w:t>ij. Agencija mora pri izvrševanju svojih, na zakonu oziroma podzakonskih aktih temelječih nalog, slediti strateškim ciljem Republike Slovenije, kar pa je mogoče le, če soji ti znani oziroma podani.</w:t>
      </w:r>
    </w:p>
    <w:p w14:paraId="3852EF5A" w14:textId="77777777" w:rsidR="000B4C86" w:rsidRDefault="002E775A">
      <w:pPr>
        <w:pStyle w:val="Telobesedila"/>
        <w:spacing w:line="264" w:lineRule="auto"/>
        <w:jc w:val="both"/>
      </w:pPr>
      <w:r>
        <w:rPr>
          <w:rStyle w:val="TelobesedilaZnak"/>
        </w:rPr>
        <w:t>Predlog je neposredno povezan s predlogom spremembe 226. č</w:t>
      </w:r>
      <w:r>
        <w:rPr>
          <w:rStyle w:val="TelobesedilaZnak"/>
        </w:rPr>
        <w:t>lena. Celotna obrazložitev k predlogu spremembe 226. člena smiselno velja tudi za 248. člen.</w:t>
      </w:r>
    </w:p>
    <w:p w14:paraId="60B51EF8" w14:textId="0E00BF45" w:rsidR="000B4C86" w:rsidRDefault="002E775A">
      <w:pPr>
        <w:pStyle w:val="Telobesedila"/>
        <w:spacing w:line="240" w:lineRule="auto"/>
        <w:jc w:val="both"/>
      </w:pPr>
      <w:r>
        <w:rPr>
          <w:rStyle w:val="TelobesedilaZnak"/>
        </w:rPr>
        <w:t>Lepo vas pozdravljamo.</w:t>
      </w:r>
    </w:p>
    <w:p w14:paraId="1F71FC25" w14:textId="77777777" w:rsidR="000B4C86" w:rsidRDefault="002E775A">
      <w:pPr>
        <w:pStyle w:val="Telobesedila"/>
        <w:spacing w:after="0" w:line="240" w:lineRule="auto"/>
        <w:jc w:val="both"/>
      </w:pPr>
      <w:r>
        <w:rPr>
          <w:rStyle w:val="TelobesedilaZnak"/>
        </w:rPr>
        <w:t>Pripravila:</w:t>
      </w:r>
    </w:p>
    <w:p w14:paraId="72E2C811" w14:textId="77777777" w:rsidR="000B4C86" w:rsidRDefault="002E775A">
      <w:pPr>
        <w:pStyle w:val="Telobesedila"/>
        <w:spacing w:after="0" w:line="233" w:lineRule="auto"/>
        <w:jc w:val="both"/>
        <w:sectPr w:rsidR="000B4C86">
          <w:footerReference w:type="even" r:id="rId7"/>
          <w:footerReference w:type="default" r:id="rId8"/>
          <w:pgSz w:w="11900" w:h="16840"/>
          <w:pgMar w:top="849" w:right="896" w:bottom="416" w:left="1131" w:header="0" w:footer="3" w:gutter="0"/>
          <w:pgNumType w:start="1"/>
          <w:cols w:space="720"/>
          <w:noEndnote/>
          <w:docGrid w:linePitch="360"/>
        </w:sectPr>
      </w:pPr>
      <w:r>
        <w:rPr>
          <w:rStyle w:val="TelobesedilaZnak"/>
        </w:rPr>
        <w:t xml:space="preserve">mag. </w:t>
      </w:r>
      <w:proofErr w:type="spellStart"/>
      <w:r>
        <w:rPr>
          <w:rStyle w:val="TelobesedilaZnak"/>
        </w:rPr>
        <w:t>Karmpn</w:t>
      </w:r>
      <w:proofErr w:type="spellEnd"/>
      <w:r>
        <w:rPr>
          <w:rStyle w:val="TelobesedilaZnak"/>
        </w:rPr>
        <w:t xml:space="preserve"> Lebe Grajf</w:t>
      </w:r>
    </w:p>
    <w:p w14:paraId="01222FF6" w14:textId="77777777" w:rsidR="000B4C86" w:rsidRDefault="002E775A">
      <w:pPr>
        <w:pStyle w:val="Picturecaption0"/>
        <w:framePr w:w="2587" w:h="293" w:wrap="none" w:vAnchor="text" w:hAnchor="page" w:x="7655" w:y="1495"/>
      </w:pPr>
      <w:r>
        <w:rPr>
          <w:rStyle w:val="Picturecaption"/>
        </w:rPr>
        <w:t>Vinko Filipič, univ. dipl. ekon.</w:t>
      </w:r>
    </w:p>
    <w:p w14:paraId="1796A68B" w14:textId="77777777" w:rsidR="000B4C86" w:rsidRDefault="002E775A">
      <w:pPr>
        <w:pStyle w:val="Picturecaption0"/>
        <w:framePr w:w="1627" w:h="293" w:wrap="none" w:vAnchor="text" w:hAnchor="page" w:x="8111" w:y="1792"/>
      </w:pPr>
      <w:r>
        <w:rPr>
          <w:rStyle w:val="Picturecaption"/>
        </w:rPr>
        <w:t>član poslovodstva</w:t>
      </w:r>
    </w:p>
    <w:p w14:paraId="097FE27D" w14:textId="67E2EA83" w:rsidR="000B4C86" w:rsidRDefault="000B4C86">
      <w:pPr>
        <w:spacing w:line="360" w:lineRule="exact"/>
      </w:pPr>
    </w:p>
    <w:p w14:paraId="0A209909" w14:textId="77777777" w:rsidR="000B4C86" w:rsidRDefault="000B4C86">
      <w:pPr>
        <w:spacing w:line="360" w:lineRule="exact"/>
      </w:pPr>
    </w:p>
    <w:p w14:paraId="1F9BB245" w14:textId="77777777" w:rsidR="000B4C86" w:rsidRDefault="000B4C86">
      <w:pPr>
        <w:spacing w:line="360" w:lineRule="exact"/>
      </w:pPr>
    </w:p>
    <w:p w14:paraId="3312C18B" w14:textId="77777777" w:rsidR="000B4C86" w:rsidRDefault="000B4C86">
      <w:pPr>
        <w:spacing w:line="360" w:lineRule="exact"/>
      </w:pPr>
    </w:p>
    <w:p w14:paraId="7197C3BA" w14:textId="77777777" w:rsidR="000B4C86" w:rsidRDefault="000B4C86">
      <w:pPr>
        <w:spacing w:after="623" w:line="1" w:lineRule="exact"/>
      </w:pPr>
    </w:p>
    <w:p w14:paraId="663CB10A" w14:textId="77777777" w:rsidR="000B4C86" w:rsidRDefault="000B4C86">
      <w:pPr>
        <w:spacing w:line="1" w:lineRule="exact"/>
      </w:pPr>
    </w:p>
    <w:sectPr w:rsidR="000B4C86">
      <w:type w:val="continuous"/>
      <w:pgSz w:w="11900" w:h="16840"/>
      <w:pgMar w:top="1402" w:right="911" w:bottom="299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9935" w14:textId="77777777" w:rsidR="00000000" w:rsidRDefault="002E775A">
      <w:r>
        <w:separator/>
      </w:r>
    </w:p>
  </w:endnote>
  <w:endnote w:type="continuationSeparator" w:id="0">
    <w:p w14:paraId="40CD138F" w14:textId="77777777" w:rsidR="00000000" w:rsidRDefault="002E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DB20A" w14:textId="77E3A1F0" w:rsidR="000B4C86" w:rsidRDefault="000B4C8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C5BA1" w14:textId="77777777" w:rsidR="000B4C86" w:rsidRDefault="000B4C8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CD6F5" w14:textId="77777777" w:rsidR="000B4C86" w:rsidRDefault="000B4C86"/>
  </w:footnote>
  <w:footnote w:type="continuationSeparator" w:id="0">
    <w:p w14:paraId="49482298" w14:textId="77777777" w:rsidR="000B4C86" w:rsidRDefault="000B4C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86"/>
    <w:rsid w:val="000B4C86"/>
    <w:rsid w:val="002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63EC"/>
  <w15:docId w15:val="{2B5F44C2-3A24-4F49-954F-DFF4C482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odytext3">
    <w:name w:val="Body text (3)_"/>
    <w:basedOn w:val="Privzetapisavaodstavka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">
    <w:name w:val="Picture caption_"/>
    <w:basedOn w:val="Privzetapisavaodstavka"/>
    <w:link w:val="Picturecaptio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Privzetapisavaodstavka"/>
    <w:link w:val="Heading10"/>
    <w:rPr>
      <w:rFonts w:ascii="Segoe UI" w:eastAsia="Segoe UI" w:hAnsi="Segoe UI" w:cs="Segoe UI"/>
      <w:b/>
      <w:bCs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TelobesedilaZnak">
    <w:name w:val="Telo besedila Znak"/>
    <w:basedOn w:val="Privzetapisavaodstavka"/>
    <w:link w:val="Telobesedil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Privzetapisavaodstavka"/>
    <w:link w:val="Heading20"/>
    <w:rPr>
      <w:rFonts w:ascii="Segoe UI" w:eastAsia="Segoe UI" w:hAnsi="Segoe UI" w:cs="Segoe U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Privzetapisavaodstavka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Headerorfooter2">
    <w:name w:val="Header or footer (2)_"/>
    <w:basedOn w:val="Privzetapisavaodstav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avaden"/>
    <w:link w:val="Bodytext3"/>
    <w:pPr>
      <w:spacing w:line="259" w:lineRule="auto"/>
    </w:pPr>
    <w:rPr>
      <w:rFonts w:ascii="Segoe UI" w:eastAsia="Segoe UI" w:hAnsi="Segoe UI" w:cs="Segoe UI"/>
      <w:sz w:val="16"/>
      <w:szCs w:val="16"/>
    </w:rPr>
  </w:style>
  <w:style w:type="paragraph" w:customStyle="1" w:styleId="Picturecaption0">
    <w:name w:val="Picture caption"/>
    <w:basedOn w:val="Navaden"/>
    <w:link w:val="Picturecaption"/>
    <w:rPr>
      <w:rFonts w:ascii="Segoe UI" w:eastAsia="Segoe UI" w:hAnsi="Segoe UI" w:cs="Segoe UI"/>
      <w:sz w:val="20"/>
      <w:szCs w:val="20"/>
    </w:rPr>
  </w:style>
  <w:style w:type="paragraph" w:customStyle="1" w:styleId="Heading10">
    <w:name w:val="Heading #1"/>
    <w:basedOn w:val="Navaden"/>
    <w:link w:val="Heading1"/>
    <w:pPr>
      <w:spacing w:after="280"/>
      <w:ind w:right="380"/>
      <w:jc w:val="right"/>
      <w:outlineLvl w:val="0"/>
    </w:pPr>
    <w:rPr>
      <w:rFonts w:ascii="Segoe UI" w:eastAsia="Segoe UI" w:hAnsi="Segoe UI" w:cs="Segoe UI"/>
      <w:b/>
      <w:bCs/>
      <w:color w:val="EBEBEB"/>
      <w:sz w:val="28"/>
      <w:szCs w:val="28"/>
    </w:rPr>
  </w:style>
  <w:style w:type="paragraph" w:styleId="Telobesedila">
    <w:name w:val="Body Text"/>
    <w:basedOn w:val="Navaden"/>
    <w:link w:val="TelobesedilaZnak"/>
    <w:qFormat/>
    <w:pPr>
      <w:spacing w:after="280" w:line="262" w:lineRule="auto"/>
    </w:pPr>
    <w:rPr>
      <w:rFonts w:ascii="Segoe UI" w:eastAsia="Segoe UI" w:hAnsi="Segoe UI" w:cs="Segoe UI"/>
      <w:sz w:val="20"/>
      <w:szCs w:val="20"/>
    </w:rPr>
  </w:style>
  <w:style w:type="paragraph" w:customStyle="1" w:styleId="Heading20">
    <w:name w:val="Heading #2"/>
    <w:basedOn w:val="Navaden"/>
    <w:link w:val="Heading2"/>
    <w:pPr>
      <w:outlineLvl w:val="1"/>
    </w:pPr>
    <w:rPr>
      <w:rFonts w:ascii="Segoe UI" w:eastAsia="Segoe UI" w:hAnsi="Segoe UI" w:cs="Segoe UI"/>
      <w:b/>
      <w:bCs/>
      <w:i/>
      <w:iCs/>
      <w:sz w:val="22"/>
      <w:szCs w:val="22"/>
    </w:rPr>
  </w:style>
  <w:style w:type="paragraph" w:customStyle="1" w:styleId="Bodytext20">
    <w:name w:val="Body text (2)"/>
    <w:basedOn w:val="Navaden"/>
    <w:link w:val="Bodytext2"/>
    <w:pPr>
      <w:spacing w:line="331" w:lineRule="auto"/>
      <w:ind w:left="180" w:firstLine="180"/>
    </w:pPr>
    <w:rPr>
      <w:rFonts w:ascii="Arial" w:eastAsia="Arial" w:hAnsi="Arial" w:cs="Arial"/>
      <w:b/>
      <w:bCs/>
      <w:sz w:val="10"/>
      <w:szCs w:val="10"/>
    </w:rPr>
  </w:style>
  <w:style w:type="paragraph" w:customStyle="1" w:styleId="Headerorfooter20">
    <w:name w:val="Header or footer (2)"/>
    <w:basedOn w:val="Navaden"/>
    <w:link w:val="Headerorfooter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.mju@gov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Darko Bulat</cp:lastModifiedBy>
  <cp:revision>2</cp:revision>
  <dcterms:created xsi:type="dcterms:W3CDTF">2021-09-20T12:24:00Z</dcterms:created>
  <dcterms:modified xsi:type="dcterms:W3CDTF">2021-09-20T12:24:00Z</dcterms:modified>
</cp:coreProperties>
</file>