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F770E8" w14:textId="77777777" w:rsidR="00032323" w:rsidRDefault="00597A93">
      <w:pPr>
        <w:pStyle w:val="Bodytext20"/>
        <w:framePr w:w="2390" w:h="236" w:wrap="none" w:hAnchor="page" w:x="5343" w:y="1191"/>
      </w:pPr>
      <w:r>
        <w:rPr>
          <w:rStyle w:val="Bodytext2"/>
        </w:rPr>
        <w:t xml:space="preserve">f, </w:t>
      </w:r>
      <w:r>
        <w:rPr>
          <w:rStyle w:val="Bodytext2"/>
        </w:rPr>
        <w:t>।</w:t>
      </w:r>
      <w:r>
        <w:rPr>
          <w:rStyle w:val="Bodytext2"/>
        </w:rPr>
        <w:t xml:space="preserve"> ,, j </w:t>
      </w:r>
      <w:r>
        <w:rPr>
          <w:rStyle w:val="Bodytext2"/>
        </w:rPr>
        <w:t>।</w:t>
      </w:r>
      <w:r>
        <w:rPr>
          <w:rStyle w:val="Bodytext2"/>
        </w:rPr>
        <w:t xml:space="preserve"> r; </w:t>
      </w:r>
      <w:r>
        <w:rPr>
          <w:rStyle w:val="Bodytext2"/>
          <w:rFonts w:ascii="Times New Roman" w:eastAsia="Times New Roman" w:hAnsi="Times New Roman" w:cs="Times New Roman"/>
          <w:smallCaps/>
          <w:sz w:val="17"/>
          <w:szCs w:val="17"/>
        </w:rPr>
        <w:t>j</w:t>
      </w:r>
      <w:r>
        <w:rPr>
          <w:rStyle w:val="Bodytext2"/>
        </w:rPr>
        <w:t xml:space="preserve"> i J </w:t>
      </w:r>
      <w:proofErr w:type="spellStart"/>
      <w:r>
        <w:rPr>
          <w:rStyle w:val="Bodytext2"/>
        </w:rPr>
        <w:t>J</w:t>
      </w:r>
      <w:proofErr w:type="spellEnd"/>
      <w:r>
        <w:rPr>
          <w:rStyle w:val="Bodytext2"/>
        </w:rPr>
        <w:t xml:space="preserve"> </w:t>
      </w:r>
      <w:proofErr w:type="spellStart"/>
      <w:r>
        <w:rPr>
          <w:rStyle w:val="Bodytext2"/>
        </w:rPr>
        <w:t>Zn</w:t>
      </w:r>
      <w:proofErr w:type="spellEnd"/>
      <w:r>
        <w:rPr>
          <w:rStyle w:val="Bodytext2"/>
        </w:rPr>
        <w:t xml:space="preserve"> </w:t>
      </w:r>
      <w:r>
        <w:rPr>
          <w:rStyle w:val="Bodytext2"/>
          <w:rFonts w:ascii="Verdana" w:eastAsia="Verdana" w:hAnsi="Verdana" w:cs="Verdana"/>
          <w:i/>
          <w:iCs/>
          <w:sz w:val="17"/>
          <w:szCs w:val="17"/>
        </w:rPr>
        <w:t>• 'w</w:t>
      </w:r>
      <w:r>
        <w:rPr>
          <w:rStyle w:val="Bodytext2"/>
        </w:rPr>
        <w:t xml:space="preserve"> H3 UPRAVO</w:t>
      </w:r>
    </w:p>
    <w:p w14:paraId="41B34906" w14:textId="77777777" w:rsidR="00032323" w:rsidRDefault="00597A93">
      <w:pPr>
        <w:pStyle w:val="Bodytext40"/>
        <w:framePr w:w="2575" w:h="2874" w:wrap="none" w:hAnchor="page" w:x="8511" w:y="-1239"/>
      </w:pPr>
      <w:r>
        <w:rPr>
          <w:rStyle w:val="Bodytext4"/>
          <w:b/>
          <w:bCs/>
        </w:rPr>
        <w:t>A 41</w:t>
      </w:r>
    </w:p>
    <w:p w14:paraId="160555BB" w14:textId="77777777" w:rsidR="00032323" w:rsidRDefault="00597A93">
      <w:pPr>
        <w:pStyle w:val="Heading10"/>
        <w:keepNext/>
        <w:keepLines/>
        <w:framePr w:w="2575" w:h="2874" w:wrap="none" w:hAnchor="page" w:x="8511" w:y="-1239"/>
      </w:pPr>
      <w:bookmarkStart w:id="0" w:name="bookmark0"/>
      <w:r>
        <w:rPr>
          <w:rStyle w:val="Heading1"/>
          <w:b/>
          <w:bCs/>
        </w:rPr>
        <w:t>A</w:t>
      </w:r>
      <w:r>
        <w:rPr>
          <w:rStyle w:val="Heading1"/>
          <w:b/>
          <w:bCs/>
          <w:vertAlign w:val="superscript"/>
        </w:rPr>
        <w:t>1</w:t>
      </w:r>
      <w:bookmarkEnd w:id="0"/>
    </w:p>
    <w:p w14:paraId="65B6A5A6" w14:textId="77777777" w:rsidR="00032323" w:rsidRDefault="00597A93">
      <w:pPr>
        <w:pStyle w:val="Telobesedila"/>
        <w:framePr w:w="2563" w:h="956" w:wrap="none" w:hAnchor="page" w:x="1415" w:y="2078"/>
        <w:spacing w:after="0" w:line="240" w:lineRule="auto"/>
      </w:pPr>
      <w:r>
        <w:rPr>
          <w:rStyle w:val="TelobesedilaZnak"/>
        </w:rPr>
        <w:t>Ministrstvo za javno upravo</w:t>
      </w:r>
    </w:p>
    <w:p w14:paraId="2AFDAC6B" w14:textId="77777777" w:rsidR="00032323" w:rsidRDefault="00597A93">
      <w:pPr>
        <w:pStyle w:val="Telobesedila"/>
        <w:framePr w:w="2563" w:h="956" w:wrap="none" w:hAnchor="page" w:x="1415" w:y="2078"/>
        <w:spacing w:after="260" w:line="240" w:lineRule="auto"/>
      </w:pPr>
      <w:r>
        <w:rPr>
          <w:rStyle w:val="TelobesedilaZnak"/>
        </w:rPr>
        <w:t>Tržaška cesta 21</w:t>
      </w:r>
    </w:p>
    <w:p w14:paraId="60CC59EA" w14:textId="77777777" w:rsidR="00032323" w:rsidRDefault="00597A93">
      <w:pPr>
        <w:pStyle w:val="Telobesedila"/>
        <w:framePr w:w="2563" w:h="956" w:wrap="none" w:hAnchor="page" w:x="1415" w:y="2078"/>
        <w:spacing w:after="140" w:line="240" w:lineRule="auto"/>
      </w:pPr>
      <w:r>
        <w:rPr>
          <w:rStyle w:val="TelobesedilaZnak"/>
        </w:rPr>
        <w:t>1000 Ljubljana</w:t>
      </w:r>
    </w:p>
    <w:p w14:paraId="1AA24612" w14:textId="77777777" w:rsidR="00032323" w:rsidRDefault="00597A93">
      <w:pPr>
        <w:pStyle w:val="Heading20"/>
        <w:keepNext/>
        <w:keepLines/>
        <w:framePr w:w="870" w:h="536" w:wrap="none" w:hAnchor="page" w:x="7319" w:y="2171"/>
        <w:jc w:val="both"/>
      </w:pPr>
      <w:bookmarkStart w:id="1" w:name="bookmark2"/>
      <w:r>
        <w:rPr>
          <w:rStyle w:val="Heading2"/>
        </w:rPr>
        <w:t>2?^</w:t>
      </w:r>
      <w:bookmarkEnd w:id="1"/>
    </w:p>
    <w:p w14:paraId="5E66CEC5" w14:textId="77777777" w:rsidR="00032323" w:rsidRDefault="00597A93">
      <w:pPr>
        <w:pStyle w:val="Bodytext30"/>
        <w:framePr w:w="870" w:h="536" w:wrap="none" w:hAnchor="page" w:x="7319" w:y="2171"/>
      </w:pPr>
      <w:r>
        <w:rPr>
          <w:rStyle w:val="Bodytext3"/>
        </w:rPr>
        <w:t>Sig znak</w:t>
      </w:r>
    </w:p>
    <w:p w14:paraId="2917382E" w14:textId="25136222" w:rsidR="00032323" w:rsidRDefault="00032323">
      <w:pPr>
        <w:spacing w:line="360" w:lineRule="exact"/>
      </w:pPr>
    </w:p>
    <w:p w14:paraId="7AD303AA" w14:textId="77777777" w:rsidR="00032323" w:rsidRDefault="00032323">
      <w:pPr>
        <w:spacing w:line="360" w:lineRule="exact"/>
      </w:pPr>
    </w:p>
    <w:p w14:paraId="0C40917D" w14:textId="77777777" w:rsidR="00032323" w:rsidRDefault="00032323">
      <w:pPr>
        <w:spacing w:line="360" w:lineRule="exact"/>
      </w:pPr>
    </w:p>
    <w:p w14:paraId="241A1E49" w14:textId="77777777" w:rsidR="00032323" w:rsidRDefault="00032323">
      <w:pPr>
        <w:spacing w:line="360" w:lineRule="exact"/>
      </w:pPr>
    </w:p>
    <w:p w14:paraId="1908A100" w14:textId="77777777" w:rsidR="00032323" w:rsidRDefault="00032323">
      <w:pPr>
        <w:spacing w:line="360" w:lineRule="exact"/>
      </w:pPr>
    </w:p>
    <w:p w14:paraId="7B15459A" w14:textId="77777777" w:rsidR="00032323" w:rsidRDefault="00032323">
      <w:pPr>
        <w:spacing w:line="360" w:lineRule="exact"/>
      </w:pPr>
    </w:p>
    <w:p w14:paraId="7A1C2585" w14:textId="77777777" w:rsidR="00032323" w:rsidRDefault="00032323">
      <w:pPr>
        <w:spacing w:line="360" w:lineRule="exact"/>
      </w:pPr>
    </w:p>
    <w:p w14:paraId="24D853D5" w14:textId="77777777" w:rsidR="00032323" w:rsidRDefault="00032323">
      <w:pPr>
        <w:spacing w:after="570" w:line="1" w:lineRule="exact"/>
      </w:pPr>
    </w:p>
    <w:p w14:paraId="1A14D73E" w14:textId="77777777" w:rsidR="00032323" w:rsidRDefault="00032323">
      <w:pPr>
        <w:spacing w:line="1" w:lineRule="exact"/>
        <w:sectPr w:rsidR="00032323">
          <w:headerReference w:type="even" r:id="rId7"/>
          <w:headerReference w:type="default" r:id="rId8"/>
          <w:headerReference w:type="first" r:id="rId9"/>
          <w:pgSz w:w="11900" w:h="17297"/>
          <w:pgMar w:top="1660" w:right="815" w:bottom="333" w:left="383" w:header="0" w:footer="3" w:gutter="0"/>
          <w:pgNumType w:start="1"/>
          <w:cols w:space="720"/>
          <w:noEndnote/>
          <w:titlePg/>
          <w:docGrid w:linePitch="360"/>
        </w:sectPr>
      </w:pPr>
    </w:p>
    <w:p w14:paraId="2C92163A" w14:textId="73A888AB" w:rsidR="00032323" w:rsidRDefault="00032323">
      <w:pPr>
        <w:spacing w:line="1" w:lineRule="exact"/>
      </w:pPr>
    </w:p>
    <w:p w14:paraId="7B6B8B74" w14:textId="77777777" w:rsidR="00032323" w:rsidRDefault="00597A93">
      <w:pPr>
        <w:pStyle w:val="Telobesedila"/>
        <w:spacing w:after="480" w:line="240" w:lineRule="auto"/>
        <w:jc w:val="right"/>
      </w:pPr>
      <w:r>
        <w:rPr>
          <w:rStyle w:val="TelobesedilaZnak"/>
        </w:rPr>
        <w:t>Ljubljana, 28.10.2020</w:t>
      </w:r>
    </w:p>
    <w:p w14:paraId="67D1DFEB" w14:textId="77777777" w:rsidR="00032323" w:rsidRDefault="00597A93">
      <w:pPr>
        <w:pStyle w:val="Telobesedila"/>
        <w:spacing w:line="271" w:lineRule="auto"/>
        <w:jc w:val="both"/>
        <w:rPr>
          <w:sz w:val="16"/>
          <w:szCs w:val="16"/>
        </w:rPr>
      </w:pPr>
      <w:r>
        <w:rPr>
          <w:rStyle w:val="TelobesedilaZnak"/>
          <w:b/>
          <w:bCs/>
          <w:sz w:val="16"/>
          <w:szCs w:val="16"/>
        </w:rPr>
        <w:t xml:space="preserve">ZADEVA: Predlogi družbe Al Slovenija, </w:t>
      </w:r>
      <w:proofErr w:type="spellStart"/>
      <w:r>
        <w:rPr>
          <w:rStyle w:val="TelobesedilaZnak"/>
          <w:b/>
          <w:bCs/>
          <w:sz w:val="16"/>
          <w:szCs w:val="16"/>
        </w:rPr>
        <w:t>d.d</w:t>
      </w:r>
      <w:proofErr w:type="spellEnd"/>
      <w:r>
        <w:rPr>
          <w:rStyle w:val="TelobesedilaZnak"/>
          <w:b/>
          <w:bCs/>
          <w:sz w:val="16"/>
          <w:szCs w:val="16"/>
        </w:rPr>
        <w:t>. k osnutku predloga Zakona o elektronskih komunikacijah (ZEKom-2)</w:t>
      </w:r>
    </w:p>
    <w:p w14:paraId="79882118" w14:textId="77777777" w:rsidR="00032323" w:rsidRDefault="00597A93">
      <w:pPr>
        <w:pStyle w:val="Telobesedila"/>
        <w:spacing w:after="660" w:line="240" w:lineRule="auto"/>
        <w:jc w:val="both"/>
        <w:rPr>
          <w:sz w:val="16"/>
          <w:szCs w:val="16"/>
        </w:rPr>
      </w:pPr>
      <w:r>
        <w:rPr>
          <w:rStyle w:val="TelobesedilaZnak"/>
        </w:rPr>
        <w:t xml:space="preserve">Zveza: </w:t>
      </w:r>
      <w:r>
        <w:rPr>
          <w:rStyle w:val="TelobesedilaZnak"/>
          <w:b/>
          <w:bCs/>
          <w:sz w:val="16"/>
          <w:szCs w:val="16"/>
        </w:rPr>
        <w:t>Poziv naslovnega organa št. 007-34/2019-106</w:t>
      </w:r>
    </w:p>
    <w:p w14:paraId="766A970B" w14:textId="77777777" w:rsidR="00032323" w:rsidRDefault="00597A93">
      <w:pPr>
        <w:pStyle w:val="Telobesedila"/>
        <w:jc w:val="both"/>
      </w:pPr>
      <w:r>
        <w:rPr>
          <w:rStyle w:val="TelobesedilaZnak"/>
        </w:rPr>
        <w:t>Spoštovani,</w:t>
      </w:r>
    </w:p>
    <w:p w14:paraId="72316E9D" w14:textId="77777777" w:rsidR="00032323" w:rsidRDefault="00597A93">
      <w:pPr>
        <w:pStyle w:val="Telobesedila"/>
        <w:spacing w:line="257" w:lineRule="auto"/>
        <w:jc w:val="both"/>
      </w:pPr>
      <w:r>
        <w:rPr>
          <w:rStyle w:val="TelobesedilaZnak"/>
        </w:rPr>
        <w:t xml:space="preserve">v družbi Al Slovenija, </w:t>
      </w:r>
      <w:proofErr w:type="spellStart"/>
      <w:r>
        <w:rPr>
          <w:rStyle w:val="TelobesedilaZnak"/>
        </w:rPr>
        <w:t>d.d</w:t>
      </w:r>
      <w:proofErr w:type="spellEnd"/>
      <w:r>
        <w:rPr>
          <w:rStyle w:val="TelobesedilaZnak"/>
        </w:rPr>
        <w:t xml:space="preserve">., Šmartinska cesta 134b, 1000 </w:t>
      </w:r>
      <w:r>
        <w:rPr>
          <w:rStyle w:val="TelobesedilaZnak"/>
        </w:rPr>
        <w:t>Ljubljana (v nadaljevanju: Al Slovenija) smo preučili osnutek predloga Zakona o elektronskih komunikacijah, s katerim se v slovenski pravni red prenašajo določila Direktive 2018/1972/EU, predlog pa prinaša tudi nekaj korekcij veljavne ureditve, ki so prete</w:t>
      </w:r>
      <w:r>
        <w:rPr>
          <w:rStyle w:val="TelobesedilaZnak"/>
        </w:rPr>
        <w:t xml:space="preserve">žno predvidene zaradi ureditve </w:t>
      </w:r>
      <w:proofErr w:type="spellStart"/>
      <w:r>
        <w:rPr>
          <w:rStyle w:val="TelobesedilaZnak"/>
        </w:rPr>
        <w:t>t.i</w:t>
      </w:r>
      <w:proofErr w:type="spellEnd"/>
      <w:r>
        <w:rPr>
          <w:rStyle w:val="TelobesedilaZnak"/>
        </w:rPr>
        <w:t>. nacionalnih vsebin (specialna ureditev v okviru dopustnosti sekundarne zakonodaje).</w:t>
      </w:r>
    </w:p>
    <w:p w14:paraId="6D6D7358" w14:textId="77777777" w:rsidR="00032323" w:rsidRDefault="00597A93">
      <w:pPr>
        <w:pStyle w:val="Telobesedila"/>
        <w:spacing w:line="257" w:lineRule="auto"/>
        <w:jc w:val="both"/>
      </w:pPr>
      <w:r>
        <w:rPr>
          <w:rStyle w:val="TelobesedilaZnak"/>
        </w:rPr>
        <w:t>Uvodoma pojasnjujemo, da smo v družbi Al Slovenija pripombe na vsebine, kjer so stališča poenotena, podali tudi kot član Gospodarske zbo</w:t>
      </w:r>
      <w:r>
        <w:rPr>
          <w:rStyle w:val="TelobesedilaZnak"/>
        </w:rPr>
        <w:t xml:space="preserve">rnice Slovenije, Sekcije operaterjev elektronskih komunikacij </w:t>
      </w:r>
      <w:r w:rsidRPr="00597A93">
        <w:rPr>
          <w:rStyle w:val="TelobesedilaZnak"/>
          <w:lang w:eastAsia="en-US" w:bidi="en-US"/>
        </w:rPr>
        <w:t xml:space="preserve">(SOEK). </w:t>
      </w:r>
      <w:r>
        <w:rPr>
          <w:rStyle w:val="TelobesedilaZnak"/>
        </w:rPr>
        <w:t>V družbi Al Slovenija podajamo tudi pričujoče lastne pripombe, ki se zaradi specifičnih izkušenj družbe Al Slovenija v glavnem nanašajo na področje gradenj (</w:t>
      </w:r>
      <w:proofErr w:type="spellStart"/>
      <w:r>
        <w:rPr>
          <w:rStyle w:val="TelobesedilaZnak"/>
        </w:rPr>
        <w:t>somvestitorstva</w:t>
      </w:r>
      <w:proofErr w:type="spellEnd"/>
      <w:r>
        <w:rPr>
          <w:rStyle w:val="TelobesedilaZnak"/>
        </w:rPr>
        <w:t>), skupne upor</w:t>
      </w:r>
      <w:r>
        <w:rPr>
          <w:rStyle w:val="TelobesedilaZnak"/>
        </w:rPr>
        <w:t>abe, zagotavljanje konkurence ter nadzorov. Prav tako pa pri določenih vsebinah, ki so podane tudi v skupnem odzivu SOEK, podajamo dodatne predloge dopolnitev m alternativne predloge povsod tam, ko predlagatelj zakona pripomb SOEK ne bi upošteval.</w:t>
      </w:r>
    </w:p>
    <w:p w14:paraId="1AEEEFFB" w14:textId="77777777" w:rsidR="00032323" w:rsidRDefault="00597A93">
      <w:pPr>
        <w:pStyle w:val="Telobesedila"/>
        <w:jc w:val="both"/>
      </w:pPr>
      <w:r>
        <w:rPr>
          <w:rStyle w:val="TelobesedilaZnak"/>
        </w:rPr>
        <w:t>V družbi</w:t>
      </w:r>
      <w:r>
        <w:rPr>
          <w:rStyle w:val="TelobesedilaZnak"/>
        </w:rPr>
        <w:t xml:space="preserve"> Al Slovenija ne nasprotujemo objavi pričujočih pripomb, kjer pa javno objavo prepovedujemo, to ustrezno označujemo.</w:t>
      </w:r>
    </w:p>
    <w:p w14:paraId="5B793125" w14:textId="77777777" w:rsidR="00032323" w:rsidRDefault="00597A93">
      <w:pPr>
        <w:pStyle w:val="Telobesedila"/>
        <w:jc w:val="both"/>
      </w:pPr>
      <w:r>
        <w:rPr>
          <w:rStyle w:val="TelobesedilaZnak"/>
        </w:rPr>
        <w:t>Ugotavljamo, da je predlagatelj zakona s korelacijsko tabelo nekoliko olajšal pregled sprememb osnutka predloga ZEKom-2, a je pri tako obse</w:t>
      </w:r>
      <w:r>
        <w:rPr>
          <w:rStyle w:val="TelobesedilaZnak"/>
        </w:rPr>
        <w:t>žnem dokumentu, ki neposredno vpliva na poslovanje vseh podjetij v panogi, 2 meseca, kolikor traja posvetovanje, odločno prekratek rok za skrbno preučitev vseh posledic in to še v času, ko je zaradi omejitev, ki So posledica epidemije, nemoteno ekipno delo</w:t>
      </w:r>
      <w:r>
        <w:rPr>
          <w:rStyle w:val="TelobesedilaZnak"/>
        </w:rPr>
        <w:t xml:space="preserve"> močno prizadeto (že pri rednih delovnih opravilih, kaj šele pri tako kompleksnem delu, kot je potrebno v primeru pregleda pripomb k povsem novemu temeljnemu zakonu). Kljub mnogim pravočasnim pozivom, ki smo jih naslovili na predlagatelja zakona v okviru G</w:t>
      </w:r>
      <w:r>
        <w:rPr>
          <w:rStyle w:val="TelobesedilaZnak"/>
        </w:rPr>
        <w:t>ZS, da se izvedejo vmesne javne predstavitve posamičnih rešitev, ki jih prinaša novi ZEKom-2, pozivi žal niso bili upoštevani.</w:t>
      </w:r>
    </w:p>
    <w:p w14:paraId="535F44C9" w14:textId="238FEB8E" w:rsidR="00032323" w:rsidRDefault="00597A93">
      <w:pPr>
        <w:pStyle w:val="Telobesedila"/>
        <w:jc w:val="both"/>
      </w:pPr>
      <w:r>
        <w:rPr>
          <w:rStyle w:val="TelobesedilaZnak"/>
        </w:rPr>
        <w:t>Prav tako ugotavljamo, da v zvezi z objavljenim osnutkom predloga ZEKom-2, ki v slovenski pravni red ne prinaša zgolj manjših po</w:t>
      </w:r>
      <w:r>
        <w:rPr>
          <w:rStyle w:val="TelobesedilaZnak"/>
        </w:rPr>
        <w:t>pravkov veljavne ureditve na področju elektronskih komunikacij (sploh na področju zagotavljanja konkurence preko večjega poudarka simetrični regulaciji), predlagatelj zakona ni izvedel nobenega pregleda stanja na slovenskem trgu v smislu presoje, kako je d</w:t>
      </w:r>
      <w:r>
        <w:rPr>
          <w:rStyle w:val="TelobesedilaZnak"/>
        </w:rPr>
        <w:t>osedanja ureditev implementirana preko ZEKom-1 ter nacionalnih strategij, vplivala na razvoj konkurence. Takšen celovit pristop bi omogočil pripravo ustrezne zakonodaje, ki dolgoročno zagotavlja prave instrumente ter pravo razmerje med ukrepi sektorske reg</w:t>
      </w:r>
      <w:r>
        <w:rPr>
          <w:rStyle w:val="TelobesedilaZnak"/>
        </w:rPr>
        <w:t xml:space="preserve">ulacije (določitev operaterja s pomembno tržno močjo), spodbudami za gradnjo in </w:t>
      </w:r>
      <w:proofErr w:type="spellStart"/>
      <w:r>
        <w:rPr>
          <w:rStyle w:val="TelobesedilaZnak"/>
        </w:rPr>
        <w:t>soinvestitorstvo</w:t>
      </w:r>
      <w:proofErr w:type="spellEnd"/>
      <w:r>
        <w:rPr>
          <w:rStyle w:val="TelobesedilaZnak"/>
        </w:rPr>
        <w:t xml:space="preserve"> ter gradnje preko vzvodov državnih pomoči.</w:t>
      </w:r>
    </w:p>
    <w:p w14:paraId="08DEC5E3" w14:textId="77777777" w:rsidR="00032323" w:rsidRDefault="00597A93">
      <w:pPr>
        <w:pStyle w:val="Telobesedila"/>
        <w:spacing w:after="0" w:line="262" w:lineRule="auto"/>
        <w:jc w:val="both"/>
      </w:pPr>
      <w:r>
        <w:rPr>
          <w:rStyle w:val="TelobesedilaZnak"/>
        </w:rPr>
        <w:t>Dosedanjemu nacionalnemu in s strani države koordiniranemu razvoju širokopasovnih storitev v Al Slovenija očitamo te</w:t>
      </w:r>
      <w:r>
        <w:rPr>
          <w:rStyle w:val="TelobesedilaZnak"/>
        </w:rPr>
        <w:t>meljno pomanjkanje vizije in pomanjkanje uglašenosti treh regulatornih stebrov za investicije:</w:t>
      </w:r>
    </w:p>
    <w:p w14:paraId="655A5A66" w14:textId="77777777" w:rsidR="00032323" w:rsidRDefault="00597A93">
      <w:pPr>
        <w:pStyle w:val="Telobesedila"/>
        <w:numPr>
          <w:ilvl w:val="0"/>
          <w:numId w:val="1"/>
        </w:numPr>
        <w:tabs>
          <w:tab w:val="left" w:pos="998"/>
        </w:tabs>
        <w:spacing w:after="0" w:line="262" w:lineRule="auto"/>
        <w:ind w:firstLine="720"/>
        <w:jc w:val="both"/>
      </w:pPr>
      <w:r>
        <w:rPr>
          <w:rStyle w:val="TelobesedilaZnak"/>
        </w:rPr>
        <w:t>delujoče implementacije Direktive 2014/61/EU (</w:t>
      </w:r>
      <w:proofErr w:type="spellStart"/>
      <w:r>
        <w:rPr>
          <w:rStyle w:val="TelobesedilaZnak"/>
        </w:rPr>
        <w:t>t.i</w:t>
      </w:r>
      <w:proofErr w:type="spellEnd"/>
      <w:r>
        <w:rPr>
          <w:rStyle w:val="TelobesedilaZnak"/>
        </w:rPr>
        <w:t xml:space="preserve">. </w:t>
      </w:r>
      <w:r>
        <w:rPr>
          <w:rStyle w:val="TelobesedilaZnak"/>
          <w:lang w:val="en-US" w:eastAsia="en-US" w:bidi="en-US"/>
        </w:rPr>
        <w:t>cost reduction),</w:t>
      </w:r>
    </w:p>
    <w:p w14:paraId="564AD917" w14:textId="77777777" w:rsidR="00032323" w:rsidRDefault="00597A93">
      <w:pPr>
        <w:pStyle w:val="Telobesedila"/>
        <w:numPr>
          <w:ilvl w:val="0"/>
          <w:numId w:val="1"/>
        </w:numPr>
        <w:tabs>
          <w:tab w:val="left" w:pos="1004"/>
        </w:tabs>
        <w:spacing w:after="0" w:line="262" w:lineRule="auto"/>
        <w:ind w:firstLine="720"/>
        <w:jc w:val="both"/>
      </w:pPr>
      <w:r>
        <w:rPr>
          <w:rStyle w:val="TelobesedilaZnak"/>
          <w:lang w:val="en-US" w:eastAsia="en-US" w:bidi="en-US"/>
        </w:rPr>
        <w:t xml:space="preserve">ex </w:t>
      </w:r>
      <w:r>
        <w:rPr>
          <w:rStyle w:val="TelobesedilaZnak"/>
          <w:i/>
          <w:iCs/>
          <w:lang w:val="en-US" w:eastAsia="en-US" w:bidi="en-US"/>
        </w:rPr>
        <w:t>ante</w:t>
      </w:r>
      <w:r>
        <w:rPr>
          <w:rStyle w:val="TelobesedilaZnak"/>
          <w:lang w:val="en-US" w:eastAsia="en-US" w:bidi="en-US"/>
        </w:rPr>
        <w:t xml:space="preserve"> </w:t>
      </w:r>
      <w:r>
        <w:rPr>
          <w:rStyle w:val="TelobesedilaZnak"/>
        </w:rPr>
        <w:t xml:space="preserve">sektorske regulacije </w:t>
      </w:r>
      <w:r>
        <w:rPr>
          <w:rStyle w:val="TelobesedilaZnak"/>
          <w:lang w:val="en-US" w:eastAsia="en-US" w:bidi="en-US"/>
        </w:rPr>
        <w:t>AKOS in</w:t>
      </w:r>
    </w:p>
    <w:p w14:paraId="10771FA0" w14:textId="77777777" w:rsidR="00032323" w:rsidRDefault="00597A93">
      <w:pPr>
        <w:pStyle w:val="Telobesedila"/>
        <w:numPr>
          <w:ilvl w:val="0"/>
          <w:numId w:val="1"/>
        </w:numPr>
        <w:tabs>
          <w:tab w:val="left" w:pos="1004"/>
        </w:tabs>
        <w:spacing w:line="262" w:lineRule="auto"/>
        <w:ind w:firstLine="720"/>
        <w:jc w:val="both"/>
      </w:pPr>
      <w:r>
        <w:rPr>
          <w:rStyle w:val="TelobesedilaZnak"/>
        </w:rPr>
        <w:t>javnih investicij za spodbujanje gradenj.</w:t>
      </w:r>
    </w:p>
    <w:p w14:paraId="4504EF8D" w14:textId="77777777" w:rsidR="00032323" w:rsidRDefault="00597A93">
      <w:pPr>
        <w:pStyle w:val="Telobesedila"/>
        <w:spacing w:line="283" w:lineRule="auto"/>
        <w:jc w:val="both"/>
      </w:pPr>
      <w:r>
        <w:rPr>
          <w:rStyle w:val="TelobesedilaZnak"/>
        </w:rPr>
        <w:t>Po našem mnenj</w:t>
      </w:r>
      <w:r>
        <w:rPr>
          <w:rStyle w:val="TelobesedilaZnak"/>
        </w:rPr>
        <w:t xml:space="preserve">u je ta neuglašenost in neupoštevanje nacionalnih specifik ter potreb trga temeljni problem simetrične in sektorske regulacije. Do enakega stanja lahko pride tudi v konkretnem primeru, če se bo </w:t>
      </w:r>
      <w:r>
        <w:rPr>
          <w:rStyle w:val="TelobesedilaZnak"/>
        </w:rPr>
        <w:lastRenderedPageBreak/>
        <w:t>ZEKom-2 sprejemal samo zato in samo tako, da se prilagodi Dire</w:t>
      </w:r>
      <w:r>
        <w:rPr>
          <w:rStyle w:val="TelobesedilaZnak"/>
        </w:rPr>
        <w:t>ktivi 2018/1972 (EECC).</w:t>
      </w:r>
    </w:p>
    <w:p w14:paraId="6966D76D" w14:textId="77777777" w:rsidR="00032323" w:rsidRDefault="00597A93">
      <w:pPr>
        <w:pStyle w:val="Telobesedila"/>
        <w:jc w:val="both"/>
      </w:pPr>
      <w:r>
        <w:rPr>
          <w:rStyle w:val="TelobesedilaZnak"/>
        </w:rPr>
        <w:t>Navezujoč se na navedeno bi pričakovali ambicioznejši poseg v predpise s področja gradnje, urejanja prostora ter varstva okolja, ki mora biti prilagojeno sektorju elektronskih komunikacij. Na tem področju Slovenija močno šepa, ne sa</w:t>
      </w:r>
      <w:r>
        <w:rPr>
          <w:rStyle w:val="TelobesedilaZnak"/>
        </w:rPr>
        <w:t>mo zaradi relativno poznega prenosa Direktive 2014/61/EU, pač pa tudi zaradi pomanjkanja zavedanja o pomenu problematike, na katero vseskozi operaterji opozarjamo. Na tem mestu bi posebej izpostavili problematiko urejanja prostora, za katero ugotavljamo, d</w:t>
      </w:r>
      <w:r>
        <w:rPr>
          <w:rStyle w:val="TelobesedilaZnak"/>
        </w:rPr>
        <w:t xml:space="preserve">a elektronske komunikacije sploh nimajo nosilca urejanja prostora, kar je svojevrsten fenomen. Kako bomo operaterji glede na vso povezano negativno publiciteto izvajali gradnjo </w:t>
      </w:r>
      <w:proofErr w:type="spellStart"/>
      <w:r>
        <w:rPr>
          <w:rStyle w:val="TelobesedilaZnak"/>
        </w:rPr>
        <w:t>visokohitrostnih</w:t>
      </w:r>
      <w:proofErr w:type="spellEnd"/>
      <w:r>
        <w:rPr>
          <w:rStyle w:val="TelobesedilaZnak"/>
        </w:rPr>
        <w:t xml:space="preserve"> omrežij naslednjih tehnoloških generacij, ne da bi država zavz</w:t>
      </w:r>
      <w:r>
        <w:rPr>
          <w:rStyle w:val="TelobesedilaZnak"/>
        </w:rPr>
        <w:t>ela stališče do tega naslednjega intenzivnega investicijskega cikla, ostaja izjemno pereče vprašanje.</w:t>
      </w:r>
    </w:p>
    <w:p w14:paraId="29635D52" w14:textId="77777777" w:rsidR="00032323" w:rsidRDefault="00597A93">
      <w:pPr>
        <w:pStyle w:val="Telobesedila"/>
        <w:spacing w:line="259" w:lineRule="auto"/>
        <w:jc w:val="both"/>
      </w:pPr>
      <w:r>
        <w:rPr>
          <w:rStyle w:val="TelobesedilaZnak"/>
        </w:rPr>
        <w:t xml:space="preserve">Tako-na </w:t>
      </w:r>
      <w:proofErr w:type="spellStart"/>
      <w:r>
        <w:rPr>
          <w:rStyle w:val="TelobesedilaZnak"/>
        </w:rPr>
        <w:t>cržavm</w:t>
      </w:r>
      <w:proofErr w:type="spellEnd"/>
      <w:r>
        <w:rPr>
          <w:rStyle w:val="TelobesedilaZnak"/>
        </w:rPr>
        <w:t xml:space="preserve"> kot tudi na lokalni ravni je treba zagotoviti participacijo vse infrastrukture, primerne za uporabo pri gradnji </w:t>
      </w:r>
      <w:r>
        <w:rPr>
          <w:rStyle w:val="TelobesedilaZnak"/>
        </w:rPr>
        <w:t>visokozmogljivih omrežij. Če predlagatelj zakona ne bo intenzivno posegel v predpise, katerih nosilec je pretežno Ministrstvo za okolje in prostor, bo problematika ostajala pereča še naprej.</w:t>
      </w:r>
    </w:p>
    <w:p w14:paraId="63FFDBC4" w14:textId="77777777" w:rsidR="00032323" w:rsidRDefault="00597A93">
      <w:pPr>
        <w:pStyle w:val="Telobesedila"/>
        <w:spacing w:line="257" w:lineRule="auto"/>
        <w:jc w:val="both"/>
      </w:pPr>
      <w:r>
        <w:rPr>
          <w:rStyle w:val="TelobesedilaZnak"/>
        </w:rPr>
        <w:t>Na tem mestu bi izpostavili še problem rokov za implementacijo, k</w:t>
      </w:r>
      <w:r>
        <w:rPr>
          <w:rStyle w:val="TelobesedilaZnak"/>
        </w:rPr>
        <w:t xml:space="preserve">i so popolnoma nerealni povsod, kjer moramo operaterji zagotoviti prilagoditve. Tega je gotovo največ na področju varstva potrošnikov ter varnosti omrežij, specifično področje je tudi varstvo konkurence, ki spet popolnoma spreminja državno intervencijo, s </w:t>
      </w:r>
      <w:r>
        <w:rPr>
          <w:rStyle w:val="TelobesedilaZnak"/>
        </w:rPr>
        <w:t xml:space="preserve">katero naj se pospeši prehod v digitalno, </w:t>
      </w:r>
      <w:proofErr w:type="spellStart"/>
      <w:r>
        <w:rPr>
          <w:rStyle w:val="TelobesedilaZnak"/>
        </w:rPr>
        <w:t>gigabitno</w:t>
      </w:r>
      <w:proofErr w:type="spellEnd"/>
      <w:r>
        <w:rPr>
          <w:rStyle w:val="TelobesedilaZnak"/>
        </w:rPr>
        <w:t xml:space="preserve"> družbo (menimo, daje bila implementacija Direktive 2014/61/EC neuspešna, če sodimo po merjenih učinkih, ki so bili predvideni z direktivo).</w:t>
      </w:r>
    </w:p>
    <w:p w14:paraId="699EEB42" w14:textId="77777777" w:rsidR="00032323" w:rsidRDefault="00597A93">
      <w:pPr>
        <w:pStyle w:val="Telobesedila"/>
        <w:spacing w:line="252" w:lineRule="auto"/>
        <w:jc w:val="both"/>
      </w:pPr>
      <w:r>
        <w:rPr>
          <w:rStyle w:val="TelobesedilaZnak"/>
        </w:rPr>
        <w:t>Pri rokih podajamo pripombe v okviru SOEK m tudi v pričujočih pr</w:t>
      </w:r>
      <w:r>
        <w:rPr>
          <w:rStyle w:val="TelobesedilaZnak"/>
        </w:rPr>
        <w:t>ipombah. Predlagatelja zakona oz. zakonodajalca pozivamo, da zagotovi ustrezen čas za implementacijo. Ker gre za pomemben materialni predpis, ki naj ureja področje elektronskih komunikacij vsaj za prihodnje desetletje, menimo, da so roki, ki jih predlagamo</w:t>
      </w:r>
      <w:r>
        <w:rPr>
          <w:rStyle w:val="TelobesedilaZnak"/>
        </w:rPr>
        <w:t>, razumni, upravičeni in pravzaprav nujni. Rok za implementacijo naj se pri operaterjih v splošnem veže na sprejem zadnjega podzakonskega akta, ki je potreben, da se izvede implementacija.</w:t>
      </w:r>
    </w:p>
    <w:p w14:paraId="10B422E3" w14:textId="77777777" w:rsidR="00032323" w:rsidRDefault="00597A93">
      <w:pPr>
        <w:pStyle w:val="Telobesedila"/>
        <w:jc w:val="both"/>
      </w:pPr>
      <w:r>
        <w:rPr>
          <w:rStyle w:val="TelobesedilaZnak"/>
        </w:rPr>
        <w:t>Ni se mogoče ogniti tudi problematiki stroškov, ki bodo potrebni pr</w:t>
      </w:r>
      <w:r>
        <w:rPr>
          <w:rStyle w:val="TelobesedilaZnak"/>
        </w:rPr>
        <w:t>i implementaciji, ki jih ne bi izpostavljali, če ne bi bili znatni. Sem zagotovo sodi zagotovitev sistema javnega alarmiranja, pri katerem nosilec sistema za obveščanje m zagotovil enotne nacionalne ureditve, ki bi bila, če bi bili predlogi operaterjev upo</w:t>
      </w:r>
      <w:r>
        <w:rPr>
          <w:rStyle w:val="TelobesedilaZnak"/>
        </w:rPr>
        <w:t>števani, tudi stroškovno razumnejša.</w:t>
      </w:r>
    </w:p>
    <w:p w14:paraId="69AB251F" w14:textId="77777777" w:rsidR="00032323" w:rsidRDefault="00597A93">
      <w:pPr>
        <w:pStyle w:val="Telobesedila"/>
        <w:spacing w:line="262" w:lineRule="auto"/>
        <w:jc w:val="both"/>
        <w:rPr>
          <w:sz w:val="16"/>
          <w:szCs w:val="16"/>
        </w:rPr>
      </w:pPr>
      <w:r>
        <w:rPr>
          <w:rStyle w:val="TelobesedilaZnak"/>
        </w:rPr>
        <w:t xml:space="preserve">Podrobne pripombe podajamo v okviru SOEK, v nadaljevanju pa podajamo </w:t>
      </w:r>
      <w:r>
        <w:rPr>
          <w:rStyle w:val="TelobesedilaZnak"/>
          <w:b/>
          <w:bCs/>
          <w:sz w:val="16"/>
          <w:szCs w:val="16"/>
        </w:rPr>
        <w:t xml:space="preserve">predlog alternativne ureditve, </w:t>
      </w:r>
      <w:r>
        <w:rPr>
          <w:rStyle w:val="TelobesedilaZnak"/>
        </w:rPr>
        <w:t xml:space="preserve">ki je popoln odmik od trenutnega predloga, a je hkrati popolnoma skladna tudi z EECC. V dokaz </w:t>
      </w:r>
      <w:proofErr w:type="spellStart"/>
      <w:r>
        <w:rPr>
          <w:rStyle w:val="TelobesedilaZnak"/>
        </w:rPr>
        <w:t>trdizvam</w:t>
      </w:r>
      <w:proofErr w:type="spellEnd"/>
      <w:r>
        <w:rPr>
          <w:rStyle w:val="TelobesedilaZnak"/>
        </w:rPr>
        <w:t xml:space="preserve"> prilagamo oceno </w:t>
      </w:r>
      <w:r>
        <w:rPr>
          <w:rStyle w:val="TelobesedilaZnak"/>
        </w:rPr>
        <w:t xml:space="preserve">stroškov ter vse pozive, ki smo jih na nosilca naslovili v nedavni preteklosti. </w:t>
      </w:r>
      <w:r>
        <w:rPr>
          <w:rStyle w:val="TelobesedilaZnak"/>
          <w:b/>
          <w:bCs/>
          <w:sz w:val="16"/>
          <w:szCs w:val="16"/>
        </w:rPr>
        <w:t>Ker gre za poslovne skrivnosti in občutljive podatke, v tem delu ne dovolimo javne objave.</w:t>
      </w:r>
    </w:p>
    <w:p w14:paraId="65BBFB1D" w14:textId="77777777" w:rsidR="00032323" w:rsidRDefault="00597A93">
      <w:pPr>
        <w:pStyle w:val="Telobesedila"/>
        <w:spacing w:after="220"/>
        <w:jc w:val="both"/>
      </w:pPr>
      <w:r>
        <w:rPr>
          <w:rStyle w:val="TelobesedilaZnak"/>
        </w:rPr>
        <w:t>Pri preučitvi predvidenih sprememb ugotavljamo tudi pozitivne premike, kjer bi posebe</w:t>
      </w:r>
      <w:r>
        <w:rPr>
          <w:rStyle w:val="TelobesedilaZnak"/>
        </w:rPr>
        <w:t xml:space="preserve">j izpostavili večjo transparentnost pri objavi individualnih aktov, s katerimi Agencija regulira trg - npr. na področju sektorske </w:t>
      </w:r>
      <w:r w:rsidRPr="00597A93">
        <w:rPr>
          <w:rStyle w:val="TelobesedilaZnak"/>
          <w:lang w:eastAsia="en-US" w:bidi="en-US"/>
        </w:rPr>
        <w:t xml:space="preserve">regulative </w:t>
      </w:r>
      <w:r>
        <w:rPr>
          <w:rStyle w:val="TelobesedilaZnak"/>
        </w:rPr>
        <w:t>(145. člen ZEKom-2). Ugotavljamo tudi, da so v predlagani ureditvi</w:t>
      </w:r>
      <w:r>
        <w:rPr>
          <w:rStyle w:val="TelobesedilaZnak"/>
        </w:rPr>
        <w:br w:type="page"/>
      </w:r>
      <w:r>
        <w:rPr>
          <w:rStyle w:val="TelobesedilaZnak"/>
        </w:rPr>
        <w:lastRenderedPageBreak/>
        <w:t>predvidena orodja za ureditev obstoječe problema</w:t>
      </w:r>
      <w:r>
        <w:rPr>
          <w:rStyle w:val="TelobesedilaZnak"/>
        </w:rPr>
        <w:t>tike, vezane na medomrežno povezovanje in operaterski dostop (smernice v 127. člen ZEKom-2), ki so po našem, mnenju plod preteklih prizadevanj operaterjev.</w:t>
      </w:r>
    </w:p>
    <w:p w14:paraId="779D741A" w14:textId="77777777" w:rsidR="00032323" w:rsidRDefault="00597A93">
      <w:pPr>
        <w:pStyle w:val="Telobesedila"/>
        <w:spacing w:after="440" w:line="257" w:lineRule="auto"/>
        <w:jc w:val="both"/>
      </w:pPr>
      <w:r>
        <w:rPr>
          <w:rStyle w:val="TelobesedilaZnak"/>
        </w:rPr>
        <w:t>Predlagamo, da predlagatelj zakona z vso potrebno skrbnostjo preuči prejete pripombe, upošteva potre</w:t>
      </w:r>
      <w:r>
        <w:rPr>
          <w:rStyle w:val="TelobesedilaZnak"/>
        </w:rPr>
        <w:t>be, ki jih je izrazila panoga, ter brez nepotrebnega hitenja sprejme dolgoročno vzdržen uravnotežen predpis.</w:t>
      </w:r>
    </w:p>
    <w:p w14:paraId="6E7C1136" w14:textId="5D3B7003" w:rsidR="00032323" w:rsidRDefault="00597A93">
      <w:pPr>
        <w:pStyle w:val="Telobesedila"/>
        <w:spacing w:before="300" w:after="0" w:line="240" w:lineRule="auto"/>
        <w:jc w:val="both"/>
      </w:pPr>
      <w:r>
        <w:rPr>
          <w:rStyle w:val="TelobesedilaZnak"/>
        </w:rPr>
        <w:t>Priloge:</w:t>
      </w:r>
    </w:p>
    <w:p w14:paraId="28AD49EB" w14:textId="77777777" w:rsidR="00032323" w:rsidRDefault="00597A93">
      <w:pPr>
        <w:pStyle w:val="Telobesedila"/>
        <w:spacing w:after="0" w:line="240" w:lineRule="auto"/>
        <w:ind w:firstLine="740"/>
        <w:jc w:val="both"/>
      </w:pPr>
      <w:r>
        <w:rPr>
          <w:rStyle w:val="TelobesedilaZnak"/>
        </w:rPr>
        <w:t xml:space="preserve">lx pripombe Al Slovenija, </w:t>
      </w:r>
      <w:proofErr w:type="spellStart"/>
      <w:r>
        <w:rPr>
          <w:rStyle w:val="TelobesedilaZnak"/>
        </w:rPr>
        <w:t>d.d</w:t>
      </w:r>
      <w:proofErr w:type="spellEnd"/>
      <w:r>
        <w:rPr>
          <w:rStyle w:val="TelobesedilaZnak"/>
        </w:rPr>
        <w:t>.</w:t>
      </w:r>
    </w:p>
    <w:p w14:paraId="1AF9753F" w14:textId="4AB55940" w:rsidR="00032323" w:rsidRDefault="00597A93">
      <w:pPr>
        <w:pStyle w:val="Telobesedila"/>
        <w:spacing w:after="0" w:line="240" w:lineRule="auto"/>
        <w:ind w:firstLine="380"/>
        <w:jc w:val="both"/>
        <w:sectPr w:rsidR="00032323">
          <w:type w:val="continuous"/>
          <w:pgSz w:w="11900" w:h="17297"/>
          <w:pgMar w:top="2573" w:right="1342" w:bottom="1193" w:left="1410" w:header="0" w:footer="3" w:gutter="0"/>
          <w:cols w:space="720"/>
          <w:noEndnote/>
          <w:docGrid w:linePitch="360"/>
        </w:sectPr>
      </w:pPr>
      <w:r>
        <w:rPr>
          <w:rStyle w:val="TelobesedilaZnak"/>
        </w:rPr>
        <w:t>- Priloga k 196. členu - POSLOVNA SKRIVNOST</w:t>
      </w:r>
    </w:p>
    <w:p w14:paraId="6F13A031" w14:textId="77777777" w:rsidR="00032323" w:rsidRDefault="00032323">
      <w:pPr>
        <w:spacing w:line="240" w:lineRule="exact"/>
        <w:rPr>
          <w:sz w:val="19"/>
          <w:szCs w:val="19"/>
        </w:rPr>
      </w:pPr>
    </w:p>
    <w:p w14:paraId="5EF55B61" w14:textId="77777777" w:rsidR="00032323" w:rsidRDefault="00032323">
      <w:pPr>
        <w:spacing w:line="240" w:lineRule="exact"/>
        <w:rPr>
          <w:sz w:val="19"/>
          <w:szCs w:val="19"/>
        </w:rPr>
      </w:pPr>
    </w:p>
    <w:p w14:paraId="05BF8184" w14:textId="77777777" w:rsidR="00032323" w:rsidRDefault="00032323">
      <w:pPr>
        <w:spacing w:line="240" w:lineRule="exact"/>
        <w:rPr>
          <w:sz w:val="19"/>
          <w:szCs w:val="19"/>
        </w:rPr>
      </w:pPr>
    </w:p>
    <w:p w14:paraId="1ED8604C" w14:textId="77777777" w:rsidR="00032323" w:rsidRDefault="00032323">
      <w:pPr>
        <w:spacing w:line="240" w:lineRule="exact"/>
        <w:rPr>
          <w:sz w:val="19"/>
          <w:szCs w:val="19"/>
        </w:rPr>
      </w:pPr>
    </w:p>
    <w:p w14:paraId="6DF3180D" w14:textId="77777777" w:rsidR="00032323" w:rsidRDefault="00032323">
      <w:pPr>
        <w:spacing w:line="240" w:lineRule="exact"/>
        <w:rPr>
          <w:sz w:val="19"/>
          <w:szCs w:val="19"/>
        </w:rPr>
      </w:pPr>
    </w:p>
    <w:p w14:paraId="21EE9FC3" w14:textId="77777777" w:rsidR="00032323" w:rsidRDefault="00032323">
      <w:pPr>
        <w:spacing w:line="240" w:lineRule="exact"/>
        <w:rPr>
          <w:sz w:val="19"/>
          <w:szCs w:val="19"/>
        </w:rPr>
      </w:pPr>
    </w:p>
    <w:p w14:paraId="5A73CB30" w14:textId="77777777" w:rsidR="00032323" w:rsidRDefault="00032323">
      <w:pPr>
        <w:spacing w:line="240" w:lineRule="exact"/>
        <w:rPr>
          <w:sz w:val="19"/>
          <w:szCs w:val="19"/>
        </w:rPr>
      </w:pPr>
    </w:p>
    <w:p w14:paraId="2746D7FD" w14:textId="77777777" w:rsidR="00032323" w:rsidRDefault="00032323">
      <w:pPr>
        <w:spacing w:line="240" w:lineRule="exact"/>
        <w:rPr>
          <w:sz w:val="19"/>
          <w:szCs w:val="19"/>
        </w:rPr>
      </w:pPr>
    </w:p>
    <w:p w14:paraId="63D8DFCC" w14:textId="77777777" w:rsidR="00032323" w:rsidRDefault="00032323">
      <w:pPr>
        <w:spacing w:line="240" w:lineRule="exact"/>
        <w:rPr>
          <w:sz w:val="19"/>
          <w:szCs w:val="19"/>
        </w:rPr>
      </w:pPr>
    </w:p>
    <w:p w14:paraId="120E7B9D" w14:textId="77777777" w:rsidR="00032323" w:rsidRDefault="00032323">
      <w:pPr>
        <w:spacing w:line="240" w:lineRule="exact"/>
        <w:rPr>
          <w:sz w:val="19"/>
          <w:szCs w:val="19"/>
        </w:rPr>
      </w:pPr>
    </w:p>
    <w:p w14:paraId="50A8FC18" w14:textId="77777777" w:rsidR="00032323" w:rsidRDefault="00032323">
      <w:pPr>
        <w:spacing w:line="240" w:lineRule="exact"/>
        <w:rPr>
          <w:sz w:val="19"/>
          <w:szCs w:val="19"/>
        </w:rPr>
      </w:pPr>
    </w:p>
    <w:p w14:paraId="7DDBF82F" w14:textId="77777777" w:rsidR="00032323" w:rsidRDefault="00032323">
      <w:pPr>
        <w:spacing w:line="240" w:lineRule="exact"/>
        <w:rPr>
          <w:sz w:val="19"/>
          <w:szCs w:val="19"/>
        </w:rPr>
      </w:pPr>
    </w:p>
    <w:p w14:paraId="7ACD309C" w14:textId="77777777" w:rsidR="00032323" w:rsidRDefault="00032323">
      <w:pPr>
        <w:spacing w:line="240" w:lineRule="exact"/>
        <w:rPr>
          <w:sz w:val="19"/>
          <w:szCs w:val="19"/>
        </w:rPr>
      </w:pPr>
    </w:p>
    <w:p w14:paraId="2CCED585" w14:textId="77777777" w:rsidR="00032323" w:rsidRDefault="00032323">
      <w:pPr>
        <w:spacing w:line="240" w:lineRule="exact"/>
        <w:rPr>
          <w:sz w:val="19"/>
          <w:szCs w:val="19"/>
        </w:rPr>
      </w:pPr>
    </w:p>
    <w:p w14:paraId="15E22B1B" w14:textId="77777777" w:rsidR="00032323" w:rsidRDefault="00032323">
      <w:pPr>
        <w:spacing w:line="240" w:lineRule="exact"/>
        <w:rPr>
          <w:sz w:val="19"/>
          <w:szCs w:val="19"/>
        </w:rPr>
      </w:pPr>
    </w:p>
    <w:p w14:paraId="209C71D8" w14:textId="77777777" w:rsidR="00032323" w:rsidRDefault="00032323">
      <w:pPr>
        <w:spacing w:line="240" w:lineRule="exact"/>
        <w:rPr>
          <w:sz w:val="19"/>
          <w:szCs w:val="19"/>
        </w:rPr>
      </w:pPr>
    </w:p>
    <w:p w14:paraId="2CC82670" w14:textId="77777777" w:rsidR="00032323" w:rsidRDefault="00032323">
      <w:pPr>
        <w:spacing w:line="240" w:lineRule="exact"/>
        <w:rPr>
          <w:sz w:val="19"/>
          <w:szCs w:val="19"/>
        </w:rPr>
      </w:pPr>
    </w:p>
    <w:p w14:paraId="15776EA8" w14:textId="77777777" w:rsidR="00032323" w:rsidRDefault="00032323">
      <w:pPr>
        <w:spacing w:line="240" w:lineRule="exact"/>
        <w:rPr>
          <w:sz w:val="19"/>
          <w:szCs w:val="19"/>
        </w:rPr>
      </w:pPr>
    </w:p>
    <w:p w14:paraId="21DCDFF3" w14:textId="77777777" w:rsidR="00032323" w:rsidRDefault="00032323">
      <w:pPr>
        <w:spacing w:line="240" w:lineRule="exact"/>
        <w:rPr>
          <w:sz w:val="19"/>
          <w:szCs w:val="19"/>
        </w:rPr>
      </w:pPr>
    </w:p>
    <w:p w14:paraId="31883A9B" w14:textId="77777777" w:rsidR="00032323" w:rsidRDefault="00032323">
      <w:pPr>
        <w:spacing w:line="240" w:lineRule="exact"/>
        <w:rPr>
          <w:sz w:val="19"/>
          <w:szCs w:val="19"/>
        </w:rPr>
      </w:pPr>
    </w:p>
    <w:p w14:paraId="523D112B" w14:textId="77777777" w:rsidR="00032323" w:rsidRDefault="00032323">
      <w:pPr>
        <w:spacing w:line="240" w:lineRule="exact"/>
        <w:rPr>
          <w:sz w:val="19"/>
          <w:szCs w:val="19"/>
        </w:rPr>
      </w:pPr>
    </w:p>
    <w:p w14:paraId="0BC875B1" w14:textId="77777777" w:rsidR="00032323" w:rsidRDefault="00032323">
      <w:pPr>
        <w:spacing w:line="240" w:lineRule="exact"/>
        <w:rPr>
          <w:sz w:val="19"/>
          <w:szCs w:val="19"/>
        </w:rPr>
      </w:pPr>
    </w:p>
    <w:p w14:paraId="2457BD53" w14:textId="77777777" w:rsidR="00032323" w:rsidRDefault="00032323">
      <w:pPr>
        <w:spacing w:line="240" w:lineRule="exact"/>
        <w:rPr>
          <w:sz w:val="19"/>
          <w:szCs w:val="19"/>
        </w:rPr>
      </w:pPr>
    </w:p>
    <w:p w14:paraId="5506F191" w14:textId="77777777" w:rsidR="00032323" w:rsidRDefault="00032323">
      <w:pPr>
        <w:spacing w:line="240" w:lineRule="exact"/>
        <w:rPr>
          <w:sz w:val="19"/>
          <w:szCs w:val="19"/>
        </w:rPr>
      </w:pPr>
    </w:p>
    <w:p w14:paraId="066E2E68" w14:textId="77777777" w:rsidR="00032323" w:rsidRDefault="00032323">
      <w:pPr>
        <w:spacing w:line="240" w:lineRule="exact"/>
        <w:rPr>
          <w:sz w:val="19"/>
          <w:szCs w:val="19"/>
        </w:rPr>
      </w:pPr>
    </w:p>
    <w:p w14:paraId="4BF70061" w14:textId="77777777" w:rsidR="00032323" w:rsidRDefault="00032323">
      <w:pPr>
        <w:spacing w:line="240" w:lineRule="exact"/>
        <w:rPr>
          <w:sz w:val="19"/>
          <w:szCs w:val="19"/>
        </w:rPr>
      </w:pPr>
    </w:p>
    <w:p w14:paraId="5DD676B5" w14:textId="77777777" w:rsidR="00032323" w:rsidRDefault="00032323">
      <w:pPr>
        <w:spacing w:line="240" w:lineRule="exact"/>
        <w:rPr>
          <w:sz w:val="19"/>
          <w:szCs w:val="19"/>
        </w:rPr>
      </w:pPr>
    </w:p>
    <w:p w14:paraId="0794E60F" w14:textId="77777777" w:rsidR="00032323" w:rsidRDefault="00032323">
      <w:pPr>
        <w:spacing w:line="240" w:lineRule="exact"/>
        <w:rPr>
          <w:sz w:val="19"/>
          <w:szCs w:val="19"/>
        </w:rPr>
      </w:pPr>
    </w:p>
    <w:p w14:paraId="764A7AED" w14:textId="77777777" w:rsidR="00032323" w:rsidRDefault="00032323">
      <w:pPr>
        <w:spacing w:before="109" w:after="109" w:line="240" w:lineRule="exact"/>
        <w:rPr>
          <w:sz w:val="19"/>
          <w:szCs w:val="19"/>
        </w:rPr>
      </w:pPr>
    </w:p>
    <w:p w14:paraId="225AE01E" w14:textId="77777777" w:rsidR="00032323" w:rsidRDefault="00032323">
      <w:pPr>
        <w:spacing w:line="1" w:lineRule="exact"/>
        <w:sectPr w:rsidR="00032323">
          <w:type w:val="continuous"/>
          <w:pgSz w:w="11900" w:h="17297"/>
          <w:pgMar w:top="3011" w:right="0" w:bottom="290" w:left="0" w:header="0" w:footer="3" w:gutter="0"/>
          <w:cols w:space="720"/>
          <w:noEndnote/>
          <w:docGrid w:linePitch="360"/>
        </w:sectPr>
      </w:pPr>
    </w:p>
    <w:p w14:paraId="1354A8DB" w14:textId="2A2DC1F8" w:rsidR="00032323" w:rsidRDefault="00032323">
      <w:pPr>
        <w:spacing w:after="64" w:line="1" w:lineRule="exact"/>
      </w:pPr>
    </w:p>
    <w:p w14:paraId="31DE97C0" w14:textId="77777777" w:rsidR="00032323" w:rsidRDefault="00032323">
      <w:pPr>
        <w:spacing w:line="1" w:lineRule="exact"/>
      </w:pPr>
    </w:p>
    <w:sectPr w:rsidR="00032323">
      <w:type w:val="continuous"/>
      <w:pgSz w:w="11900" w:h="17297"/>
      <w:pgMar w:top="3011" w:right="1094" w:bottom="290" w:left="35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393A7A" w14:textId="77777777" w:rsidR="00000000" w:rsidRDefault="00597A93">
      <w:r>
        <w:separator/>
      </w:r>
    </w:p>
  </w:endnote>
  <w:endnote w:type="continuationSeparator" w:id="0">
    <w:p w14:paraId="271D18D0" w14:textId="77777777" w:rsidR="00000000" w:rsidRDefault="00597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B3DAEE" w14:textId="77777777" w:rsidR="00032323" w:rsidRDefault="00032323"/>
  </w:footnote>
  <w:footnote w:type="continuationSeparator" w:id="0">
    <w:p w14:paraId="7CDFF4FC" w14:textId="77777777" w:rsidR="00032323" w:rsidRDefault="000323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00D53" w14:textId="47BBC7FF" w:rsidR="00032323" w:rsidRDefault="00032323">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B918B" w14:textId="4FA69B8A" w:rsidR="00032323" w:rsidRDefault="00032323">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168B4" w14:textId="73534999" w:rsidR="00032323" w:rsidRDefault="00032323">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1E54CC"/>
    <w:multiLevelType w:val="multilevel"/>
    <w:tmpl w:val="B470C5C2"/>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323"/>
    <w:rsid w:val="00032323"/>
    <w:rsid w:val="00597A9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B9A17"/>
  <w15:docId w15:val="{76BF2A51-FF07-4A49-89B9-38B9CD230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sl-SI" w:eastAsia="sl-SI" w:bidi="sl-SI"/>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odytext2">
    <w:name w:val="Body text (2)_"/>
    <w:basedOn w:val="Privzetapisavaodstavka"/>
    <w:link w:val="Bodytext20"/>
    <w:rPr>
      <w:rFonts w:ascii="Arial" w:eastAsia="Arial" w:hAnsi="Arial" w:cs="Arial"/>
      <w:b w:val="0"/>
      <w:bCs w:val="0"/>
      <w:i w:val="0"/>
      <w:iCs w:val="0"/>
      <w:smallCaps w:val="0"/>
      <w:strike w:val="0"/>
      <w:sz w:val="15"/>
      <w:szCs w:val="15"/>
      <w:u w:val="none"/>
    </w:rPr>
  </w:style>
  <w:style w:type="character" w:customStyle="1" w:styleId="Bodytext4">
    <w:name w:val="Body text (4)_"/>
    <w:basedOn w:val="Privzetapisavaodstavka"/>
    <w:link w:val="Bodytext40"/>
    <w:rPr>
      <w:rFonts w:ascii="Times New Roman" w:eastAsia="Times New Roman" w:hAnsi="Times New Roman" w:cs="Times New Roman"/>
      <w:b/>
      <w:bCs/>
      <w:i w:val="0"/>
      <w:iCs w:val="0"/>
      <w:smallCaps w:val="0"/>
      <w:strike w:val="0"/>
      <w:w w:val="80"/>
      <w:sz w:val="144"/>
      <w:szCs w:val="144"/>
      <w:u w:val="none"/>
    </w:rPr>
  </w:style>
  <w:style w:type="character" w:customStyle="1" w:styleId="Heading1">
    <w:name w:val="Heading #1_"/>
    <w:basedOn w:val="Privzetapisavaodstavka"/>
    <w:link w:val="Heading10"/>
    <w:rPr>
      <w:rFonts w:ascii="Arial" w:eastAsia="Arial" w:hAnsi="Arial" w:cs="Arial"/>
      <w:b/>
      <w:bCs/>
      <w:i w:val="0"/>
      <w:iCs w:val="0"/>
      <w:smallCaps w:val="0"/>
      <w:strike w:val="0"/>
      <w:sz w:val="270"/>
      <w:szCs w:val="270"/>
      <w:u w:val="none"/>
    </w:rPr>
  </w:style>
  <w:style w:type="character" w:customStyle="1" w:styleId="TelobesedilaZnak">
    <w:name w:val="Telo besedila Znak"/>
    <w:basedOn w:val="Privzetapisavaodstavka"/>
    <w:link w:val="Telobesedila"/>
    <w:rPr>
      <w:rFonts w:ascii="Verdana" w:eastAsia="Verdana" w:hAnsi="Verdana" w:cs="Verdana"/>
      <w:b w:val="0"/>
      <w:bCs w:val="0"/>
      <w:i w:val="0"/>
      <w:iCs w:val="0"/>
      <w:smallCaps w:val="0"/>
      <w:strike w:val="0"/>
      <w:sz w:val="17"/>
      <w:szCs w:val="17"/>
      <w:u w:val="none"/>
    </w:rPr>
  </w:style>
  <w:style w:type="character" w:customStyle="1" w:styleId="Heading2">
    <w:name w:val="Heading #2_"/>
    <w:basedOn w:val="Privzetapisavaodstavka"/>
    <w:link w:val="Heading20"/>
    <w:rPr>
      <w:b w:val="0"/>
      <w:bCs w:val="0"/>
      <w:i w:val="0"/>
      <w:iCs w:val="0"/>
      <w:smallCaps w:val="0"/>
      <w:strike w:val="0"/>
      <w:sz w:val="26"/>
      <w:szCs w:val="26"/>
      <w:u w:val="none"/>
    </w:rPr>
  </w:style>
  <w:style w:type="character" w:customStyle="1" w:styleId="Bodytext3">
    <w:name w:val="Body text (3)_"/>
    <w:basedOn w:val="Privzetapisavaodstavka"/>
    <w:link w:val="Bodytext30"/>
    <w:rPr>
      <w:rFonts w:ascii="Times New Roman" w:eastAsia="Times New Roman" w:hAnsi="Times New Roman" w:cs="Times New Roman"/>
      <w:b w:val="0"/>
      <w:bCs w:val="0"/>
      <w:i w:val="0"/>
      <w:iCs w:val="0"/>
      <w:smallCaps w:val="0"/>
      <w:strike w:val="0"/>
      <w:sz w:val="12"/>
      <w:szCs w:val="12"/>
      <w:u w:val="none"/>
    </w:rPr>
  </w:style>
  <w:style w:type="character" w:customStyle="1" w:styleId="Headerorfooter2">
    <w:name w:val="Header or footer (2)_"/>
    <w:basedOn w:val="Privzetapisavaodstavka"/>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Picturecaption">
    <w:name w:val="Picture caption_"/>
    <w:basedOn w:val="Privzetapisavaodstavka"/>
    <w:link w:val="Picturecaption0"/>
    <w:rPr>
      <w:rFonts w:ascii="Times New Roman" w:eastAsia="Times New Roman" w:hAnsi="Times New Roman" w:cs="Times New Roman"/>
      <w:b/>
      <w:bCs/>
      <w:i w:val="0"/>
      <w:iCs w:val="0"/>
      <w:smallCaps w:val="0"/>
      <w:strike w:val="0"/>
      <w:sz w:val="18"/>
      <w:szCs w:val="18"/>
      <w:u w:val="none"/>
    </w:rPr>
  </w:style>
  <w:style w:type="paragraph" w:customStyle="1" w:styleId="Bodytext20">
    <w:name w:val="Body text (2)"/>
    <w:basedOn w:val="Navaden"/>
    <w:link w:val="Bodytext2"/>
    <w:rPr>
      <w:rFonts w:ascii="Arial" w:eastAsia="Arial" w:hAnsi="Arial" w:cs="Arial"/>
      <w:sz w:val="15"/>
      <w:szCs w:val="15"/>
    </w:rPr>
  </w:style>
  <w:style w:type="paragraph" w:customStyle="1" w:styleId="Bodytext40">
    <w:name w:val="Body text (4)"/>
    <w:basedOn w:val="Navaden"/>
    <w:link w:val="Bodytext4"/>
    <w:pPr>
      <w:jc w:val="center"/>
    </w:pPr>
    <w:rPr>
      <w:rFonts w:ascii="Times New Roman" w:eastAsia="Times New Roman" w:hAnsi="Times New Roman" w:cs="Times New Roman"/>
      <w:b/>
      <w:bCs/>
      <w:w w:val="80"/>
      <w:sz w:val="144"/>
      <w:szCs w:val="144"/>
    </w:rPr>
  </w:style>
  <w:style w:type="paragraph" w:customStyle="1" w:styleId="Heading10">
    <w:name w:val="Heading #1"/>
    <w:basedOn w:val="Navaden"/>
    <w:link w:val="Heading1"/>
    <w:pPr>
      <w:spacing w:line="180" w:lineRule="auto"/>
      <w:jc w:val="right"/>
      <w:outlineLvl w:val="0"/>
    </w:pPr>
    <w:rPr>
      <w:rFonts w:ascii="Arial" w:eastAsia="Arial" w:hAnsi="Arial" w:cs="Arial"/>
      <w:b/>
      <w:bCs/>
      <w:sz w:val="270"/>
      <w:szCs w:val="270"/>
    </w:rPr>
  </w:style>
  <w:style w:type="paragraph" w:styleId="Telobesedila">
    <w:name w:val="Body Text"/>
    <w:basedOn w:val="Navaden"/>
    <w:link w:val="TelobesedilaZnak"/>
    <w:qFormat/>
    <w:pPr>
      <w:spacing w:after="200" w:line="254" w:lineRule="auto"/>
    </w:pPr>
    <w:rPr>
      <w:rFonts w:ascii="Verdana" w:eastAsia="Verdana" w:hAnsi="Verdana" w:cs="Verdana"/>
      <w:sz w:val="17"/>
      <w:szCs w:val="17"/>
    </w:rPr>
  </w:style>
  <w:style w:type="paragraph" w:customStyle="1" w:styleId="Heading20">
    <w:name w:val="Heading #2"/>
    <w:basedOn w:val="Navaden"/>
    <w:link w:val="Heading2"/>
    <w:pPr>
      <w:outlineLvl w:val="1"/>
    </w:pPr>
    <w:rPr>
      <w:sz w:val="26"/>
      <w:szCs w:val="26"/>
    </w:rPr>
  </w:style>
  <w:style w:type="paragraph" w:customStyle="1" w:styleId="Bodytext30">
    <w:name w:val="Body text (3)"/>
    <w:basedOn w:val="Navaden"/>
    <w:link w:val="Bodytext3"/>
    <w:rPr>
      <w:rFonts w:ascii="Times New Roman" w:eastAsia="Times New Roman" w:hAnsi="Times New Roman" w:cs="Times New Roman"/>
      <w:sz w:val="12"/>
      <w:szCs w:val="12"/>
    </w:rPr>
  </w:style>
  <w:style w:type="paragraph" w:customStyle="1" w:styleId="Headerorfooter20">
    <w:name w:val="Header or footer (2)"/>
    <w:basedOn w:val="Navaden"/>
    <w:link w:val="Headerorfooter2"/>
    <w:rPr>
      <w:rFonts w:ascii="Times New Roman" w:eastAsia="Times New Roman" w:hAnsi="Times New Roman" w:cs="Times New Roman"/>
      <w:sz w:val="20"/>
      <w:szCs w:val="20"/>
    </w:rPr>
  </w:style>
  <w:style w:type="paragraph" w:customStyle="1" w:styleId="Picturecaption0">
    <w:name w:val="Picture caption"/>
    <w:basedOn w:val="Navaden"/>
    <w:link w:val="Picturecaption"/>
    <w:pPr>
      <w:spacing w:after="250"/>
    </w:pPr>
    <w:rPr>
      <w:rFonts w:ascii="Times New Roman" w:eastAsia="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1118</Words>
  <Characters>6373</Characters>
  <Application>Microsoft Office Word</Application>
  <DocSecurity>0</DocSecurity>
  <Lines>53</Lines>
  <Paragraphs>14</Paragraphs>
  <ScaleCrop>false</ScaleCrop>
  <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Darko Bulat</cp:lastModifiedBy>
  <cp:revision>2</cp:revision>
  <dcterms:created xsi:type="dcterms:W3CDTF">2021-09-20T10:43:00Z</dcterms:created>
  <dcterms:modified xsi:type="dcterms:W3CDTF">2021-09-20T10:43:00Z</dcterms:modified>
</cp:coreProperties>
</file>