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AD16" w14:textId="77777777" w:rsidR="00EB3DFE" w:rsidRPr="00E372E7" w:rsidRDefault="00EB3DFE" w:rsidP="00EB3DFE">
      <w:pPr>
        <w:pStyle w:val="NaslovTOC"/>
        <w:numPr>
          <w:ilvl w:val="0"/>
          <w:numId w:val="0"/>
        </w:numPr>
        <w:rPr>
          <w:rFonts w:eastAsiaTheme="minorHAnsi"/>
        </w:rPr>
      </w:pPr>
      <w:bookmarkStart w:id="0" w:name="_Toc68776403"/>
      <w:bookmarkStart w:id="1" w:name="_Toc69717869"/>
      <w:r w:rsidRPr="00E372E7">
        <w:rPr>
          <w:rFonts w:eastAsiaTheme="minorHAnsi"/>
        </w:rPr>
        <w:t xml:space="preserve">Digitalna Slovenija </w:t>
      </w:r>
      <w:r w:rsidRPr="00DA3B1E">
        <w:t>2020</w:t>
      </w:r>
      <w:r w:rsidRPr="00E372E7">
        <w:rPr>
          <w:rFonts w:eastAsiaTheme="minorHAnsi"/>
        </w:rPr>
        <w:t xml:space="preserve"> – kratek pregled realizacije</w:t>
      </w:r>
      <w:bookmarkEnd w:id="0"/>
      <w:bookmarkEnd w:id="1"/>
    </w:p>
    <w:p w14:paraId="6148CCB4" w14:textId="77777777" w:rsidR="00EB3DFE" w:rsidRPr="00E372E7" w:rsidRDefault="00EB3DFE" w:rsidP="00EB3DFE">
      <w:pPr>
        <w:spacing w:before="240"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V Digitalni Sloveniji 2020 – Strategija razvoja informacijske družbe do leta 2020 (v nadaljevanju Digitalna Slovenija) je, ki jo je Vlada RS sprejela marca 2016, so bili za spremljanje ciljev strategije sprejeti kazalniki po področjih. Pregled kazalnikov in trenutne vrednosti, z upoštevanjem razvoja in spremembe metodologij, so dodane v nadaljevanju. Ob zaključevanju veljavnosti strategije, dodajamo tudi pregled realizacije ukrepov s komentarji, ki so prispevali k doseganju ciljev in kazalnikov.</w:t>
      </w:r>
    </w:p>
    <w:p w14:paraId="40E1F992"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EastAsia" w:hAnsi="Century Gothic" w:cstheme="minorBidi"/>
          <w:sz w:val="22"/>
          <w:szCs w:val="22"/>
          <w:lang w:val="sl-SI"/>
        </w:rPr>
        <w:t>Po pregledu kazalnikov, ki so prikazani v</w:t>
      </w:r>
      <w:r>
        <w:rPr>
          <w:rFonts w:ascii="Century Gothic" w:eastAsiaTheme="minorEastAsia" w:hAnsi="Century Gothic" w:cstheme="minorBidi"/>
          <w:sz w:val="22"/>
          <w:szCs w:val="22"/>
          <w:lang w:val="sl-SI"/>
        </w:rPr>
        <w:t xml:space="preserve"> spodnjih</w:t>
      </w:r>
      <w:r w:rsidRPr="00E372E7">
        <w:rPr>
          <w:rFonts w:ascii="Century Gothic" w:eastAsiaTheme="minorEastAsia" w:hAnsi="Century Gothic" w:cstheme="minorBidi"/>
          <w:sz w:val="22"/>
          <w:szCs w:val="22"/>
          <w:lang w:val="sl-SI"/>
        </w:rPr>
        <w:t xml:space="preserve"> </w:t>
      </w:r>
      <w:r>
        <w:rPr>
          <w:rFonts w:ascii="Century Gothic" w:eastAsiaTheme="minorEastAsia" w:hAnsi="Century Gothic" w:cstheme="minorBidi"/>
          <w:sz w:val="22"/>
          <w:szCs w:val="22"/>
          <w:lang w:val="sl-SI"/>
        </w:rPr>
        <w:t>Tabelah, po področjih, kjer</w:t>
      </w:r>
      <w:r w:rsidRPr="00E372E7">
        <w:rPr>
          <w:rFonts w:ascii="Century Gothic" w:eastAsiaTheme="minorEastAsia" w:hAnsi="Century Gothic" w:cstheme="minorBidi"/>
          <w:sz w:val="22"/>
          <w:szCs w:val="22"/>
          <w:lang w:val="sl-SI"/>
        </w:rPr>
        <w:t xml:space="preserve"> lahko ugotovimo, da le-ti v večini niso dosegali vrednosti, ki so bile zadane ob sprejemu strategije. Na splošno lahko vidimo padec uvrstitve Slovenije glede na področje meritev Indeksa digitalnega gospodarstva in družbe</w:t>
      </w:r>
      <w:r w:rsidRPr="00E372E7">
        <w:rPr>
          <w:rFonts w:ascii="Century Gothic" w:eastAsiaTheme="minorEastAsia" w:hAnsi="Century Gothic" w:cstheme="minorBidi"/>
          <w:sz w:val="22"/>
          <w:szCs w:val="22"/>
          <w:vertAlign w:val="superscript"/>
          <w:lang w:val="sl-SI"/>
        </w:rPr>
        <w:footnoteReference w:id="1"/>
      </w:r>
      <w:r w:rsidRPr="00E372E7">
        <w:rPr>
          <w:rFonts w:ascii="Century Gothic" w:eastAsiaTheme="minorEastAsia" w:hAnsi="Century Gothic" w:cstheme="minorBidi"/>
          <w:sz w:val="22"/>
          <w:szCs w:val="22"/>
          <w:lang w:val="sl-SI"/>
        </w:rPr>
        <w:t xml:space="preserve"> (</w:t>
      </w:r>
      <w:r w:rsidRPr="00E372E7">
        <w:rPr>
          <w:rFonts w:ascii="Century Gothic" w:eastAsiaTheme="minorEastAsia" w:hAnsi="Century Gothic" w:cstheme="minorBidi"/>
          <w:i/>
          <w:iCs/>
          <w:sz w:val="22"/>
          <w:szCs w:val="22"/>
          <w:lang w:val="sl-SI"/>
        </w:rPr>
        <w:t xml:space="preserve">ang. </w:t>
      </w:r>
      <w:proofErr w:type="spellStart"/>
      <w:r w:rsidRPr="00757E67">
        <w:rPr>
          <w:rFonts w:ascii="Century Gothic" w:eastAsiaTheme="minorEastAsia" w:hAnsi="Century Gothic" w:cstheme="minorBidi"/>
          <w:i/>
          <w:iCs/>
          <w:sz w:val="22"/>
          <w:szCs w:val="22"/>
          <w:lang w:val="sl-SI"/>
        </w:rPr>
        <w:t>Digital</w:t>
      </w:r>
      <w:proofErr w:type="spellEnd"/>
      <w:r w:rsidRPr="00757E67">
        <w:rPr>
          <w:rFonts w:ascii="Century Gothic" w:eastAsiaTheme="minorEastAsia" w:hAnsi="Century Gothic" w:cstheme="minorBidi"/>
          <w:i/>
          <w:iCs/>
          <w:sz w:val="22"/>
          <w:szCs w:val="22"/>
          <w:lang w:val="sl-SI"/>
        </w:rPr>
        <w:t xml:space="preserve"> </w:t>
      </w:r>
      <w:proofErr w:type="spellStart"/>
      <w:r w:rsidRPr="00757E67">
        <w:rPr>
          <w:rFonts w:ascii="Century Gothic" w:eastAsiaTheme="minorEastAsia" w:hAnsi="Century Gothic" w:cstheme="minorBidi"/>
          <w:i/>
          <w:iCs/>
          <w:sz w:val="22"/>
          <w:szCs w:val="22"/>
          <w:lang w:val="sl-SI"/>
        </w:rPr>
        <w:t>economy</w:t>
      </w:r>
      <w:proofErr w:type="spellEnd"/>
      <w:r w:rsidRPr="00757E67">
        <w:rPr>
          <w:rFonts w:ascii="Century Gothic" w:eastAsiaTheme="minorEastAsia" w:hAnsi="Century Gothic" w:cstheme="minorBidi"/>
          <w:i/>
          <w:iCs/>
          <w:sz w:val="22"/>
          <w:szCs w:val="22"/>
          <w:lang w:val="sl-SI"/>
        </w:rPr>
        <w:t xml:space="preserve"> in </w:t>
      </w:r>
      <w:proofErr w:type="spellStart"/>
      <w:r w:rsidRPr="00757E67">
        <w:rPr>
          <w:rFonts w:ascii="Century Gothic" w:eastAsiaTheme="minorEastAsia" w:hAnsi="Century Gothic" w:cstheme="minorBidi"/>
          <w:i/>
          <w:iCs/>
          <w:sz w:val="22"/>
          <w:szCs w:val="22"/>
          <w:lang w:val="sl-SI"/>
        </w:rPr>
        <w:t>Society</w:t>
      </w:r>
      <w:proofErr w:type="spellEnd"/>
      <w:r w:rsidRPr="00757E67">
        <w:rPr>
          <w:rFonts w:ascii="Century Gothic" w:eastAsiaTheme="minorEastAsia" w:hAnsi="Century Gothic" w:cstheme="minorBidi"/>
          <w:i/>
          <w:iCs/>
          <w:sz w:val="22"/>
          <w:szCs w:val="22"/>
          <w:lang w:val="sl-SI"/>
        </w:rPr>
        <w:t xml:space="preserve"> </w:t>
      </w:r>
      <w:proofErr w:type="spellStart"/>
      <w:r w:rsidRPr="00757E67">
        <w:rPr>
          <w:rFonts w:ascii="Century Gothic" w:eastAsiaTheme="minorEastAsia" w:hAnsi="Century Gothic" w:cstheme="minorBidi"/>
          <w:i/>
          <w:iCs/>
          <w:sz w:val="22"/>
          <w:szCs w:val="22"/>
          <w:lang w:val="sl-SI"/>
        </w:rPr>
        <w:t>index</w:t>
      </w:r>
      <w:proofErr w:type="spellEnd"/>
      <w:r w:rsidRPr="00E372E7">
        <w:rPr>
          <w:rFonts w:ascii="Century Gothic" w:eastAsiaTheme="minorEastAsia" w:hAnsi="Century Gothic" w:cstheme="minorBidi"/>
          <w:sz w:val="22"/>
          <w:szCs w:val="22"/>
          <w:lang w:val="sl-SI"/>
        </w:rPr>
        <w:t xml:space="preserve"> - DESI</w:t>
      </w:r>
      <w:r w:rsidRPr="00E372E7">
        <w:rPr>
          <w:rFonts w:ascii="Century Gothic" w:eastAsiaTheme="minorEastAsia" w:hAnsi="Century Gothic" w:cstheme="minorBidi"/>
          <w:sz w:val="22"/>
          <w:szCs w:val="22"/>
          <w:vertAlign w:val="superscript"/>
          <w:lang w:val="sl-SI"/>
        </w:rPr>
        <w:footnoteReference w:id="2"/>
      </w:r>
      <w:r w:rsidRPr="00E372E7">
        <w:rPr>
          <w:rFonts w:ascii="Century Gothic" w:eastAsiaTheme="minorEastAsia" w:hAnsi="Century Gothic" w:cstheme="minorBidi"/>
          <w:sz w:val="22"/>
          <w:szCs w:val="22"/>
          <w:lang w:val="sl-SI"/>
        </w:rPr>
        <w:t>), kjer smo splošno uvrstitev v času od 2014 do 2019 izboljšali za štiri mesta, vendar vidimo stagniranje na področju človeškega kapitala, nazadovanje pri uporabi interneta in pri integraciji digitalne tehnologije. Največji napredek Slovenija izkazuje na področju digitalnih javnih storitev. Iz tega vidimo, da bi bilo smotrno in prav, da se področje nadalje ureja sistemsko in sistematično, saj eno področje vpliva na druga in obratno. Dosedanji parcialni pristop, nam je prinesel nekaj dobrih rešitev, katere pa je potrebno združiti v celoten sistem.</w:t>
      </w:r>
    </w:p>
    <w:tbl>
      <w:tblPr>
        <w:tblStyle w:val="TableGrid1"/>
        <w:tblW w:w="5000" w:type="pct"/>
        <w:jc w:val="center"/>
        <w:tblLook w:val="04A0" w:firstRow="1" w:lastRow="0" w:firstColumn="1" w:lastColumn="0" w:noHBand="0" w:noVBand="1"/>
      </w:tblPr>
      <w:tblGrid>
        <w:gridCol w:w="4493"/>
        <w:gridCol w:w="752"/>
        <w:gridCol w:w="763"/>
        <w:gridCol w:w="763"/>
        <w:gridCol w:w="765"/>
        <w:gridCol w:w="765"/>
        <w:gridCol w:w="761"/>
      </w:tblGrid>
      <w:tr w:rsidR="00EB3DFE" w:rsidRPr="00E372E7" w14:paraId="2CF139DE" w14:textId="77777777" w:rsidTr="00C14549">
        <w:trPr>
          <w:trHeight w:val="397"/>
          <w:jc w:val="center"/>
        </w:trPr>
        <w:tc>
          <w:tcPr>
            <w:tcW w:w="2479" w:type="pct"/>
            <w:vAlign w:val="center"/>
          </w:tcPr>
          <w:p w14:paraId="383035B9"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Tematska področja DESI</w:t>
            </w:r>
          </w:p>
        </w:tc>
        <w:tc>
          <w:tcPr>
            <w:tcW w:w="415" w:type="pct"/>
            <w:vAlign w:val="center"/>
          </w:tcPr>
          <w:p w14:paraId="2C89D253"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2014</w:t>
            </w:r>
          </w:p>
        </w:tc>
        <w:tc>
          <w:tcPr>
            <w:tcW w:w="421" w:type="pct"/>
            <w:vAlign w:val="center"/>
          </w:tcPr>
          <w:p w14:paraId="3E56850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2015</w:t>
            </w:r>
          </w:p>
        </w:tc>
        <w:tc>
          <w:tcPr>
            <w:tcW w:w="421" w:type="pct"/>
            <w:vAlign w:val="center"/>
          </w:tcPr>
          <w:p w14:paraId="183962D0"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2016</w:t>
            </w:r>
          </w:p>
        </w:tc>
        <w:tc>
          <w:tcPr>
            <w:tcW w:w="422" w:type="pct"/>
            <w:vAlign w:val="center"/>
          </w:tcPr>
          <w:p w14:paraId="6C908B2B"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2017</w:t>
            </w:r>
          </w:p>
        </w:tc>
        <w:tc>
          <w:tcPr>
            <w:tcW w:w="422" w:type="pct"/>
            <w:vAlign w:val="center"/>
          </w:tcPr>
          <w:p w14:paraId="0037E703"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2018</w:t>
            </w:r>
          </w:p>
        </w:tc>
        <w:tc>
          <w:tcPr>
            <w:tcW w:w="420" w:type="pct"/>
            <w:vAlign w:val="center"/>
          </w:tcPr>
          <w:p w14:paraId="7BA61143"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2019</w:t>
            </w:r>
          </w:p>
        </w:tc>
      </w:tr>
      <w:tr w:rsidR="00EB3DFE" w:rsidRPr="00E372E7" w14:paraId="1BF07FD0" w14:textId="77777777" w:rsidTr="00C14549">
        <w:trPr>
          <w:trHeight w:val="397"/>
          <w:jc w:val="center"/>
        </w:trPr>
        <w:tc>
          <w:tcPr>
            <w:tcW w:w="2479" w:type="pct"/>
            <w:vAlign w:val="center"/>
          </w:tcPr>
          <w:p w14:paraId="3D45CB8C"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Skupna uvrstitev Slovenije</w:t>
            </w:r>
          </w:p>
        </w:tc>
        <w:tc>
          <w:tcPr>
            <w:tcW w:w="415" w:type="pct"/>
            <w:vAlign w:val="center"/>
          </w:tcPr>
          <w:p w14:paraId="399E81CB"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w:t>
            </w:r>
          </w:p>
        </w:tc>
        <w:tc>
          <w:tcPr>
            <w:tcW w:w="421" w:type="pct"/>
            <w:vAlign w:val="center"/>
          </w:tcPr>
          <w:p w14:paraId="10E60A9C"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18</w:t>
            </w:r>
          </w:p>
        </w:tc>
        <w:tc>
          <w:tcPr>
            <w:tcW w:w="421" w:type="pct"/>
            <w:vAlign w:val="center"/>
          </w:tcPr>
          <w:p w14:paraId="6431CF8C"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18</w:t>
            </w:r>
          </w:p>
        </w:tc>
        <w:tc>
          <w:tcPr>
            <w:tcW w:w="422" w:type="pct"/>
            <w:vAlign w:val="center"/>
          </w:tcPr>
          <w:p w14:paraId="65F415A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c>
          <w:tcPr>
            <w:tcW w:w="422" w:type="pct"/>
            <w:vAlign w:val="center"/>
          </w:tcPr>
          <w:p w14:paraId="5FEED7A5"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15</w:t>
            </w:r>
          </w:p>
        </w:tc>
        <w:tc>
          <w:tcPr>
            <w:tcW w:w="420" w:type="pct"/>
            <w:vAlign w:val="center"/>
          </w:tcPr>
          <w:p w14:paraId="68D3AF14"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r>
      <w:tr w:rsidR="00EB3DFE" w:rsidRPr="00E372E7" w14:paraId="43E14A1A" w14:textId="77777777" w:rsidTr="00C14549">
        <w:trPr>
          <w:trHeight w:val="397"/>
          <w:jc w:val="center"/>
        </w:trPr>
        <w:tc>
          <w:tcPr>
            <w:tcW w:w="2479" w:type="pct"/>
            <w:vAlign w:val="center"/>
          </w:tcPr>
          <w:p w14:paraId="74641777"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PO 2 / 1 Povezljivost</w:t>
            </w:r>
          </w:p>
        </w:tc>
        <w:tc>
          <w:tcPr>
            <w:tcW w:w="415" w:type="pct"/>
            <w:vAlign w:val="center"/>
          </w:tcPr>
          <w:p w14:paraId="3EE52651"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24</w:t>
            </w:r>
          </w:p>
        </w:tc>
        <w:tc>
          <w:tcPr>
            <w:tcW w:w="421" w:type="pct"/>
            <w:vAlign w:val="center"/>
          </w:tcPr>
          <w:p w14:paraId="77FBD574"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w:t>
            </w:r>
          </w:p>
        </w:tc>
        <w:tc>
          <w:tcPr>
            <w:tcW w:w="421" w:type="pct"/>
            <w:vAlign w:val="center"/>
          </w:tcPr>
          <w:p w14:paraId="1338AFCA"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19</w:t>
            </w:r>
          </w:p>
        </w:tc>
        <w:tc>
          <w:tcPr>
            <w:tcW w:w="422" w:type="pct"/>
            <w:vAlign w:val="center"/>
          </w:tcPr>
          <w:p w14:paraId="00BC9A8C"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19</w:t>
            </w:r>
          </w:p>
        </w:tc>
        <w:tc>
          <w:tcPr>
            <w:tcW w:w="422" w:type="pct"/>
            <w:vAlign w:val="center"/>
          </w:tcPr>
          <w:p w14:paraId="5E81AF3F"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w:t>
            </w:r>
          </w:p>
        </w:tc>
        <w:tc>
          <w:tcPr>
            <w:tcW w:w="420" w:type="pct"/>
            <w:vAlign w:val="center"/>
          </w:tcPr>
          <w:p w14:paraId="302CDB2E"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17</w:t>
            </w:r>
          </w:p>
        </w:tc>
      </w:tr>
      <w:tr w:rsidR="00EB3DFE" w:rsidRPr="00E372E7" w14:paraId="607F3766" w14:textId="77777777" w:rsidTr="00C14549">
        <w:trPr>
          <w:trHeight w:val="397"/>
          <w:jc w:val="center"/>
        </w:trPr>
        <w:tc>
          <w:tcPr>
            <w:tcW w:w="2479" w:type="pct"/>
            <w:vAlign w:val="center"/>
          </w:tcPr>
          <w:p w14:paraId="34E4B1D8"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PO 10 / 2 Človeški kapital</w:t>
            </w:r>
          </w:p>
        </w:tc>
        <w:tc>
          <w:tcPr>
            <w:tcW w:w="415" w:type="pct"/>
            <w:vAlign w:val="center"/>
          </w:tcPr>
          <w:p w14:paraId="4487829C"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15</w:t>
            </w:r>
          </w:p>
        </w:tc>
        <w:tc>
          <w:tcPr>
            <w:tcW w:w="421" w:type="pct"/>
            <w:vAlign w:val="center"/>
          </w:tcPr>
          <w:p w14:paraId="1DAA7E07"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c>
          <w:tcPr>
            <w:tcW w:w="421" w:type="pct"/>
            <w:vAlign w:val="center"/>
          </w:tcPr>
          <w:p w14:paraId="30B1A6D7"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13</w:t>
            </w:r>
          </w:p>
        </w:tc>
        <w:tc>
          <w:tcPr>
            <w:tcW w:w="422" w:type="pct"/>
            <w:vAlign w:val="center"/>
          </w:tcPr>
          <w:p w14:paraId="2A5A46D8"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14</w:t>
            </w:r>
          </w:p>
        </w:tc>
        <w:tc>
          <w:tcPr>
            <w:tcW w:w="422" w:type="pct"/>
            <w:vAlign w:val="center"/>
          </w:tcPr>
          <w:p w14:paraId="645CA3E8"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15</w:t>
            </w:r>
          </w:p>
        </w:tc>
        <w:tc>
          <w:tcPr>
            <w:tcW w:w="420" w:type="pct"/>
            <w:vAlign w:val="center"/>
          </w:tcPr>
          <w:p w14:paraId="5108FA8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15</w:t>
            </w:r>
          </w:p>
        </w:tc>
      </w:tr>
      <w:tr w:rsidR="00EB3DFE" w:rsidRPr="00E372E7" w14:paraId="49FD5E0B" w14:textId="77777777" w:rsidTr="00C14549">
        <w:trPr>
          <w:trHeight w:val="397"/>
          <w:jc w:val="center"/>
        </w:trPr>
        <w:tc>
          <w:tcPr>
            <w:tcW w:w="2479" w:type="pct"/>
            <w:vAlign w:val="center"/>
          </w:tcPr>
          <w:p w14:paraId="0B7D2CA8"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PO 2 / 3 Uporaba interneta</w:t>
            </w:r>
          </w:p>
        </w:tc>
        <w:tc>
          <w:tcPr>
            <w:tcW w:w="415" w:type="pct"/>
            <w:vAlign w:val="center"/>
          </w:tcPr>
          <w:p w14:paraId="5C26F26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c>
          <w:tcPr>
            <w:tcW w:w="421" w:type="pct"/>
            <w:vAlign w:val="center"/>
          </w:tcPr>
          <w:p w14:paraId="5D2D932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c>
          <w:tcPr>
            <w:tcW w:w="421" w:type="pct"/>
            <w:vAlign w:val="center"/>
          </w:tcPr>
          <w:p w14:paraId="38727105"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24</w:t>
            </w:r>
          </w:p>
        </w:tc>
        <w:tc>
          <w:tcPr>
            <w:tcW w:w="422" w:type="pct"/>
            <w:vAlign w:val="center"/>
          </w:tcPr>
          <w:p w14:paraId="1966955A"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23</w:t>
            </w:r>
          </w:p>
        </w:tc>
        <w:tc>
          <w:tcPr>
            <w:tcW w:w="422" w:type="pct"/>
            <w:vAlign w:val="center"/>
          </w:tcPr>
          <w:p w14:paraId="0F7C4A95"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23</w:t>
            </w:r>
          </w:p>
        </w:tc>
        <w:tc>
          <w:tcPr>
            <w:tcW w:w="420" w:type="pct"/>
            <w:vAlign w:val="center"/>
          </w:tcPr>
          <w:p w14:paraId="2E45E20A"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21</w:t>
            </w:r>
          </w:p>
        </w:tc>
      </w:tr>
      <w:tr w:rsidR="00EB3DFE" w:rsidRPr="00E372E7" w14:paraId="4474F629" w14:textId="77777777" w:rsidTr="00C14549">
        <w:trPr>
          <w:trHeight w:val="397"/>
          <w:jc w:val="center"/>
        </w:trPr>
        <w:tc>
          <w:tcPr>
            <w:tcW w:w="2479" w:type="pct"/>
            <w:vAlign w:val="center"/>
          </w:tcPr>
          <w:p w14:paraId="180D9F9E"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PO 3 / 4 Integracija digitalne</w:t>
            </w:r>
          </w:p>
          <w:p w14:paraId="5DB13F26"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tehnologije</w:t>
            </w:r>
          </w:p>
        </w:tc>
        <w:tc>
          <w:tcPr>
            <w:tcW w:w="415" w:type="pct"/>
            <w:vAlign w:val="center"/>
          </w:tcPr>
          <w:p w14:paraId="73D06AF8"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18</w:t>
            </w:r>
          </w:p>
        </w:tc>
        <w:tc>
          <w:tcPr>
            <w:tcW w:w="421" w:type="pct"/>
            <w:vAlign w:val="center"/>
          </w:tcPr>
          <w:p w14:paraId="1DA4A7F4"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19</w:t>
            </w:r>
          </w:p>
        </w:tc>
        <w:tc>
          <w:tcPr>
            <w:tcW w:w="421" w:type="pct"/>
            <w:vAlign w:val="center"/>
          </w:tcPr>
          <w:p w14:paraId="50CBF8DB"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11</w:t>
            </w:r>
          </w:p>
        </w:tc>
        <w:tc>
          <w:tcPr>
            <w:tcW w:w="422" w:type="pct"/>
            <w:vAlign w:val="center"/>
          </w:tcPr>
          <w:p w14:paraId="3C16D2C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7</w:t>
            </w:r>
          </w:p>
        </w:tc>
        <w:tc>
          <w:tcPr>
            <w:tcW w:w="422" w:type="pct"/>
            <w:vAlign w:val="center"/>
          </w:tcPr>
          <w:p w14:paraId="52A03737"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8</w:t>
            </w:r>
          </w:p>
        </w:tc>
        <w:tc>
          <w:tcPr>
            <w:tcW w:w="420" w:type="pct"/>
            <w:vAlign w:val="center"/>
          </w:tcPr>
          <w:p w14:paraId="6773118B"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15</w:t>
            </w:r>
          </w:p>
        </w:tc>
      </w:tr>
      <w:tr w:rsidR="00EB3DFE" w:rsidRPr="00E372E7" w14:paraId="5168A122" w14:textId="77777777" w:rsidTr="00C14549">
        <w:trPr>
          <w:trHeight w:val="397"/>
          <w:jc w:val="center"/>
        </w:trPr>
        <w:tc>
          <w:tcPr>
            <w:tcW w:w="2479" w:type="pct"/>
            <w:vAlign w:val="center"/>
          </w:tcPr>
          <w:p w14:paraId="5614559D" w14:textId="77777777" w:rsidR="00EB3DFE" w:rsidRPr="00E372E7" w:rsidRDefault="00EB3DFE" w:rsidP="00C14549">
            <w:pPr>
              <w:spacing w:line="276" w:lineRule="auto"/>
              <w:jc w:val="center"/>
              <w:rPr>
                <w:rFonts w:ascii="Century Gothic" w:hAnsi="Century Gothic"/>
                <w:b/>
                <w:sz w:val="22"/>
                <w:szCs w:val="22"/>
                <w:lang w:val="sl-SI"/>
              </w:rPr>
            </w:pPr>
            <w:r w:rsidRPr="00E372E7">
              <w:rPr>
                <w:rFonts w:ascii="Century Gothic" w:hAnsi="Century Gothic"/>
                <w:b/>
                <w:sz w:val="22"/>
                <w:szCs w:val="22"/>
                <w:lang w:val="sl-SI"/>
              </w:rPr>
              <w:t>PO 11 / 5 Digitalne javne storitve</w:t>
            </w:r>
          </w:p>
        </w:tc>
        <w:tc>
          <w:tcPr>
            <w:tcW w:w="415" w:type="pct"/>
            <w:vAlign w:val="center"/>
          </w:tcPr>
          <w:p w14:paraId="65255641"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20</w:t>
            </w:r>
          </w:p>
        </w:tc>
        <w:tc>
          <w:tcPr>
            <w:tcW w:w="421" w:type="pct"/>
            <w:vAlign w:val="center"/>
          </w:tcPr>
          <w:p w14:paraId="646ADCDE"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19</w:t>
            </w:r>
          </w:p>
        </w:tc>
        <w:tc>
          <w:tcPr>
            <w:tcW w:w="421" w:type="pct"/>
            <w:vAlign w:val="center"/>
          </w:tcPr>
          <w:p w14:paraId="72A82802"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21</w:t>
            </w:r>
          </w:p>
        </w:tc>
        <w:tc>
          <w:tcPr>
            <w:tcW w:w="422" w:type="pct"/>
            <w:vAlign w:val="center"/>
          </w:tcPr>
          <w:p w14:paraId="3813BC21"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c>
          <w:tcPr>
            <w:tcW w:w="422" w:type="pct"/>
            <w:vAlign w:val="center"/>
          </w:tcPr>
          <w:p w14:paraId="68250AF0"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16</w:t>
            </w:r>
          </w:p>
        </w:tc>
        <w:tc>
          <w:tcPr>
            <w:tcW w:w="420" w:type="pct"/>
            <w:vAlign w:val="center"/>
          </w:tcPr>
          <w:p w14:paraId="702187EE" w14:textId="77777777" w:rsidR="00EB3DFE" w:rsidRPr="00E372E7" w:rsidRDefault="00EB3DFE" w:rsidP="00C14549">
            <w:pPr>
              <w:spacing w:line="276" w:lineRule="auto"/>
              <w:jc w:val="center"/>
              <w:rPr>
                <w:rFonts w:ascii="Century Gothic" w:hAnsi="Century Gothic"/>
                <w:sz w:val="22"/>
                <w:szCs w:val="22"/>
                <w:lang w:val="sl-SI"/>
              </w:rPr>
            </w:pPr>
            <w:r w:rsidRPr="00E372E7">
              <w:rPr>
                <w:rFonts w:ascii="Century Gothic" w:hAnsi="Century Gothic"/>
                <w:sz w:val="22"/>
                <w:szCs w:val="22"/>
                <w:lang w:val="sl-SI"/>
              </w:rPr>
              <w:t>14</w:t>
            </w:r>
          </w:p>
        </w:tc>
      </w:tr>
    </w:tbl>
    <w:p w14:paraId="35FA6FF1" w14:textId="77777777" w:rsidR="00EB3DFE" w:rsidRPr="00E372E7" w:rsidRDefault="00EB3DFE" w:rsidP="00EB3DFE">
      <w:pPr>
        <w:spacing w:before="120" w:after="160" w:line="276" w:lineRule="auto"/>
        <w:jc w:val="center"/>
        <w:rPr>
          <w:rFonts w:ascii="Century Gothic" w:eastAsiaTheme="minorHAnsi" w:hAnsi="Century Gothic" w:cstheme="minorBidi"/>
          <w:sz w:val="22"/>
          <w:szCs w:val="22"/>
          <w:lang w:val="sl-SI"/>
        </w:rPr>
      </w:pPr>
      <w:r w:rsidRPr="00E372E7">
        <w:rPr>
          <w:rFonts w:ascii="Century Gothic" w:eastAsiaTheme="minorEastAsia" w:hAnsi="Century Gothic" w:cstheme="minorBidi"/>
          <w:sz w:val="22"/>
          <w:szCs w:val="22"/>
          <w:lang w:val="sl-SI"/>
        </w:rPr>
        <w:t>Tabela 1: Pregled uvrstitve Slovenije, DESI 2014-2019</w:t>
      </w:r>
      <w:r w:rsidRPr="00E372E7">
        <w:rPr>
          <w:rFonts w:ascii="Century Gothic" w:eastAsiaTheme="minorEastAsia" w:hAnsi="Century Gothic" w:cstheme="minorBidi"/>
          <w:sz w:val="22"/>
          <w:szCs w:val="22"/>
          <w:vertAlign w:val="superscript"/>
          <w:lang w:val="sl-SI"/>
        </w:rPr>
        <w:footnoteReference w:id="3"/>
      </w:r>
    </w:p>
    <w:p w14:paraId="63A53B2D"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 xml:space="preserve">Na področju infrastrukture elektronskih komunikacij se ciljem približujemo, največji razkorak v tem delu vidimo pri kazalniku delež gospodinjstev z dostopom hitrosti vsaj 100 Mb/s ali več, kjer krepko zaostajamo za ciljem. Na področju inovativnih podatkovno vodenih storitev se vidi porast uporabe spletnega bančništva, medtem ko v drugih kategorijah še za cilji zaostajamo. Področje digitalnega podjetništva nam pokaže povečano prodajo in nakupovanje preko spleta, nismo pa še polno uporabili </w:t>
      </w:r>
      <w:r w:rsidRPr="00E372E7">
        <w:rPr>
          <w:rFonts w:ascii="Century Gothic" w:eastAsiaTheme="minorHAnsi" w:hAnsi="Century Gothic" w:cstheme="minorBidi"/>
          <w:sz w:val="22"/>
          <w:szCs w:val="22"/>
          <w:lang w:val="sl-SI"/>
        </w:rPr>
        <w:lastRenderedPageBreak/>
        <w:t>vseh možnosti novih internetnih oziroma spletnih storitev. Bolj zaskrbljujoče pa je, da se delež IKT industrije v BDP ne zvišuje, kar bi kazalo na potreben razvoj podjetništva za konkurenčno delovanje na globalnih trgih. Na področju kibernetske varnosti, kot ene izmed ključnih za varno uvajanje digitalnih tehnologij v vsakdanje življenje, se nam kazalniki izboljšujejo, vendar pa je potrebno v tej smeri tudi nadaljevati, saj ciljne vrednosti še niso dosežene, področje pa je vedno bolj izpostavljeno. Zadnje področje zajema širšo družbo in tu vidimo porast uporabe interneta, še vedno pa ne povečujemo zaposlovanja strokovnjakov z IKT področij, kar vpliva tudi na počasnejše uvajanje najnaprednejših tehnologij v širšo družbo in podjetja.</w:t>
      </w:r>
    </w:p>
    <w:tbl>
      <w:tblPr>
        <w:tblStyle w:val="TableGrid1"/>
        <w:tblW w:w="5000" w:type="pct"/>
        <w:tblLayout w:type="fixed"/>
        <w:tblLook w:val="04A0" w:firstRow="1" w:lastRow="0" w:firstColumn="1" w:lastColumn="0" w:noHBand="0" w:noVBand="1"/>
      </w:tblPr>
      <w:tblGrid>
        <w:gridCol w:w="3324"/>
        <w:gridCol w:w="1513"/>
        <w:gridCol w:w="1363"/>
        <w:gridCol w:w="1361"/>
        <w:gridCol w:w="1501"/>
      </w:tblGrid>
      <w:tr w:rsidR="00EB3DFE" w:rsidRPr="00E372E7" w14:paraId="6FE82CA7" w14:textId="77777777" w:rsidTr="00C14549">
        <w:tc>
          <w:tcPr>
            <w:tcW w:w="1834" w:type="pct"/>
            <w:shd w:val="clear" w:color="auto" w:fill="EDEDED" w:themeFill="accent3" w:themeFillTint="33"/>
            <w:vAlign w:val="center"/>
          </w:tcPr>
          <w:p w14:paraId="54DC2A41"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KAZALNIK</w:t>
            </w:r>
          </w:p>
        </w:tc>
        <w:tc>
          <w:tcPr>
            <w:tcW w:w="835" w:type="pct"/>
            <w:shd w:val="clear" w:color="auto" w:fill="EDEDED" w:themeFill="accent3" w:themeFillTint="33"/>
            <w:vAlign w:val="center"/>
          </w:tcPr>
          <w:p w14:paraId="1D4DD196"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2014</w:t>
            </w:r>
          </w:p>
        </w:tc>
        <w:tc>
          <w:tcPr>
            <w:tcW w:w="752" w:type="pct"/>
            <w:shd w:val="clear" w:color="auto" w:fill="EDEDED" w:themeFill="accent3" w:themeFillTint="33"/>
            <w:vAlign w:val="center"/>
          </w:tcPr>
          <w:p w14:paraId="4D6E366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EU-28 2014</w:t>
            </w:r>
          </w:p>
        </w:tc>
        <w:tc>
          <w:tcPr>
            <w:tcW w:w="751" w:type="pct"/>
            <w:shd w:val="clear" w:color="auto" w:fill="EDEDED" w:themeFill="accent3" w:themeFillTint="33"/>
            <w:vAlign w:val="center"/>
          </w:tcPr>
          <w:p w14:paraId="18297E6F"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2020</w:t>
            </w:r>
          </w:p>
        </w:tc>
        <w:tc>
          <w:tcPr>
            <w:tcW w:w="828" w:type="pct"/>
            <w:shd w:val="clear" w:color="auto" w:fill="EDEDED" w:themeFill="accent3" w:themeFillTint="33"/>
            <w:vAlign w:val="center"/>
          </w:tcPr>
          <w:p w14:paraId="0AE4359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Trenutne vrednosti</w:t>
            </w:r>
          </w:p>
        </w:tc>
      </w:tr>
      <w:tr w:rsidR="00EB3DFE" w:rsidRPr="00E372E7" w14:paraId="426BED24" w14:textId="77777777" w:rsidTr="00C14549">
        <w:trPr>
          <w:trHeight w:val="455"/>
        </w:trPr>
        <w:tc>
          <w:tcPr>
            <w:tcW w:w="1834" w:type="pct"/>
            <w:shd w:val="clear" w:color="auto" w:fill="auto"/>
            <w:vAlign w:val="center"/>
          </w:tcPr>
          <w:p w14:paraId="39060438" w14:textId="77777777" w:rsidR="00EB3DFE" w:rsidRPr="00E372E7" w:rsidRDefault="00EB3DFE" w:rsidP="00C14549">
            <w:pPr>
              <w:spacing w:line="276" w:lineRule="auto"/>
              <w:rPr>
                <w:rFonts w:ascii="Century Gothic" w:hAnsi="Century Gothic"/>
                <w:color w:val="222222"/>
                <w:sz w:val="22"/>
                <w:szCs w:val="22"/>
                <w:lang w:val="sl-SI"/>
              </w:rPr>
            </w:pPr>
            <w:r w:rsidRPr="00E372E7">
              <w:rPr>
                <w:rFonts w:ascii="Century Gothic" w:hAnsi="Century Gothic"/>
                <w:sz w:val="22"/>
                <w:szCs w:val="22"/>
                <w:lang w:val="sl-SI"/>
              </w:rPr>
              <w:t>Uspešnost digitalne rasti glede na indeks digitalnega gospodarstva in družbe (DESI)</w:t>
            </w:r>
          </w:p>
        </w:tc>
        <w:tc>
          <w:tcPr>
            <w:tcW w:w="835" w:type="pct"/>
            <w:shd w:val="clear" w:color="auto" w:fill="auto"/>
            <w:vAlign w:val="center"/>
          </w:tcPr>
          <w:p w14:paraId="36DCB46E" w14:textId="77777777" w:rsidR="00EB3DFE" w:rsidRPr="00E372E7" w:rsidRDefault="00EB3DFE" w:rsidP="00C14549">
            <w:pPr>
              <w:spacing w:line="276" w:lineRule="auto"/>
              <w:rPr>
                <w:rFonts w:ascii="Century Gothic" w:hAnsi="Century Gothic"/>
                <w:color w:val="222222"/>
                <w:sz w:val="22"/>
                <w:szCs w:val="22"/>
                <w:lang w:val="sl-SI"/>
              </w:rPr>
            </w:pPr>
            <w:r w:rsidRPr="00E372E7">
              <w:rPr>
                <w:rFonts w:ascii="Century Gothic" w:hAnsi="Century Gothic"/>
                <w:sz w:val="22"/>
                <w:szCs w:val="22"/>
                <w:lang w:val="sl-SI"/>
              </w:rPr>
              <w:t>Nizka uspešnost</w:t>
            </w:r>
          </w:p>
        </w:tc>
        <w:tc>
          <w:tcPr>
            <w:tcW w:w="752" w:type="pct"/>
            <w:shd w:val="clear" w:color="auto" w:fill="auto"/>
            <w:vAlign w:val="center"/>
          </w:tcPr>
          <w:p w14:paraId="4C02C2DE" w14:textId="77777777" w:rsidR="00EB3DFE" w:rsidRPr="00E372E7" w:rsidRDefault="00EB3DFE" w:rsidP="00C14549">
            <w:pPr>
              <w:spacing w:line="276" w:lineRule="auto"/>
              <w:rPr>
                <w:rFonts w:ascii="Century Gothic" w:hAnsi="Century Gothic"/>
                <w:sz w:val="22"/>
                <w:szCs w:val="22"/>
                <w:lang w:val="sl-SI"/>
              </w:rPr>
            </w:pPr>
          </w:p>
        </w:tc>
        <w:tc>
          <w:tcPr>
            <w:tcW w:w="751" w:type="pct"/>
            <w:shd w:val="clear" w:color="auto" w:fill="auto"/>
            <w:vAlign w:val="center"/>
          </w:tcPr>
          <w:p w14:paraId="20FA8F80"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Srednja ali visoka uspešnost</w:t>
            </w:r>
          </w:p>
        </w:tc>
        <w:tc>
          <w:tcPr>
            <w:tcW w:w="828" w:type="pct"/>
            <w:vAlign w:val="center"/>
          </w:tcPr>
          <w:p w14:paraId="475FD49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Nizka uspešnost</w:t>
            </w:r>
          </w:p>
        </w:tc>
      </w:tr>
      <w:tr w:rsidR="00EB3DFE" w:rsidRPr="00E372E7" w14:paraId="57376B4C" w14:textId="77777777" w:rsidTr="00C14549">
        <w:tc>
          <w:tcPr>
            <w:tcW w:w="1834" w:type="pct"/>
            <w:shd w:val="clear" w:color="auto" w:fill="FFFFFF" w:themeFill="background1"/>
            <w:vAlign w:val="center"/>
          </w:tcPr>
          <w:p w14:paraId="417545B6"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Uvrstitev glede na DESI (mesto v EU28)</w:t>
            </w:r>
          </w:p>
        </w:tc>
        <w:tc>
          <w:tcPr>
            <w:tcW w:w="835" w:type="pct"/>
            <w:shd w:val="clear" w:color="auto" w:fill="FFFFFF" w:themeFill="background1"/>
            <w:vAlign w:val="center"/>
          </w:tcPr>
          <w:p w14:paraId="4B00237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20</w:t>
            </w:r>
          </w:p>
        </w:tc>
        <w:tc>
          <w:tcPr>
            <w:tcW w:w="752" w:type="pct"/>
            <w:shd w:val="clear" w:color="auto" w:fill="FFFFFF" w:themeFill="background1"/>
            <w:vAlign w:val="center"/>
          </w:tcPr>
          <w:p w14:paraId="5F5D8FF4" w14:textId="77777777" w:rsidR="00EB3DFE" w:rsidRPr="00E372E7" w:rsidRDefault="00EB3DFE" w:rsidP="00C14549">
            <w:pPr>
              <w:spacing w:line="276" w:lineRule="auto"/>
              <w:rPr>
                <w:rFonts w:ascii="Century Gothic" w:hAnsi="Century Gothic"/>
                <w:sz w:val="22"/>
                <w:szCs w:val="22"/>
                <w:lang w:val="sl-SI"/>
              </w:rPr>
            </w:pPr>
          </w:p>
        </w:tc>
        <w:tc>
          <w:tcPr>
            <w:tcW w:w="751" w:type="pct"/>
            <w:shd w:val="clear" w:color="auto" w:fill="FFFFFF" w:themeFill="background1"/>
            <w:vAlign w:val="center"/>
          </w:tcPr>
          <w:p w14:paraId="236869E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12</w:t>
            </w:r>
          </w:p>
        </w:tc>
        <w:tc>
          <w:tcPr>
            <w:tcW w:w="828" w:type="pct"/>
            <w:shd w:val="clear" w:color="auto" w:fill="FFFFFF" w:themeFill="background1"/>
            <w:vAlign w:val="center"/>
          </w:tcPr>
          <w:p w14:paraId="77B433E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16</w:t>
            </w:r>
          </w:p>
        </w:tc>
      </w:tr>
    </w:tbl>
    <w:p w14:paraId="041C28BE" w14:textId="77777777" w:rsidR="00EB3DFE" w:rsidRPr="006C7B55" w:rsidRDefault="00EB3DFE" w:rsidP="00EB3DFE">
      <w:pPr>
        <w:spacing w:before="120" w:after="160" w:line="276" w:lineRule="auto"/>
        <w:jc w:val="center"/>
        <w:rPr>
          <w:rFonts w:ascii="Century Gothic" w:eastAsiaTheme="minorHAnsi" w:hAnsi="Century Gothic" w:cstheme="minorBidi"/>
          <w:bCs/>
          <w:szCs w:val="20"/>
          <w:lang w:val="sl-SI"/>
        </w:rPr>
      </w:pPr>
      <w:r w:rsidRPr="006C7B55">
        <w:rPr>
          <w:rFonts w:ascii="Century Gothic" w:eastAsiaTheme="minorHAnsi" w:hAnsi="Century Gothic" w:cstheme="minorBidi"/>
          <w:bCs/>
          <w:szCs w:val="20"/>
          <w:lang w:val="sl-SI"/>
        </w:rPr>
        <w:t>Tabela 2: Digitalna rast - splošno</w:t>
      </w:r>
    </w:p>
    <w:tbl>
      <w:tblPr>
        <w:tblStyle w:val="TableGrid1"/>
        <w:tblW w:w="5000" w:type="pct"/>
        <w:tblLayout w:type="fixed"/>
        <w:tblLook w:val="04A0" w:firstRow="1" w:lastRow="0" w:firstColumn="1" w:lastColumn="0" w:noHBand="0" w:noVBand="1"/>
      </w:tblPr>
      <w:tblGrid>
        <w:gridCol w:w="3324"/>
        <w:gridCol w:w="1513"/>
        <w:gridCol w:w="1363"/>
        <w:gridCol w:w="1361"/>
        <w:gridCol w:w="1501"/>
      </w:tblGrid>
      <w:tr w:rsidR="00EB3DFE" w:rsidRPr="00E372E7" w14:paraId="2EB958CF" w14:textId="77777777" w:rsidTr="00C14549">
        <w:tc>
          <w:tcPr>
            <w:tcW w:w="1834" w:type="pct"/>
            <w:shd w:val="clear" w:color="auto" w:fill="EDEDED" w:themeFill="accent3" w:themeFillTint="33"/>
            <w:vAlign w:val="center"/>
          </w:tcPr>
          <w:p w14:paraId="4753A43D"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KAZALNIK</w:t>
            </w:r>
          </w:p>
        </w:tc>
        <w:tc>
          <w:tcPr>
            <w:tcW w:w="835" w:type="pct"/>
            <w:shd w:val="clear" w:color="auto" w:fill="EDEDED" w:themeFill="accent3" w:themeFillTint="33"/>
            <w:vAlign w:val="center"/>
          </w:tcPr>
          <w:p w14:paraId="6ED0A03C"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2014</w:t>
            </w:r>
          </w:p>
        </w:tc>
        <w:tc>
          <w:tcPr>
            <w:tcW w:w="752" w:type="pct"/>
            <w:shd w:val="clear" w:color="auto" w:fill="EDEDED" w:themeFill="accent3" w:themeFillTint="33"/>
            <w:vAlign w:val="center"/>
          </w:tcPr>
          <w:p w14:paraId="54A00319"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EU-28 2014</w:t>
            </w:r>
          </w:p>
        </w:tc>
        <w:tc>
          <w:tcPr>
            <w:tcW w:w="751" w:type="pct"/>
            <w:shd w:val="clear" w:color="auto" w:fill="EDEDED" w:themeFill="accent3" w:themeFillTint="33"/>
            <w:vAlign w:val="center"/>
          </w:tcPr>
          <w:p w14:paraId="19A3C61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2020</w:t>
            </w:r>
          </w:p>
        </w:tc>
        <w:tc>
          <w:tcPr>
            <w:tcW w:w="828" w:type="pct"/>
            <w:shd w:val="clear" w:color="auto" w:fill="EDEDED" w:themeFill="accent3" w:themeFillTint="33"/>
            <w:vAlign w:val="center"/>
          </w:tcPr>
          <w:p w14:paraId="3AF39C2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Trenutne vrednosti</w:t>
            </w:r>
          </w:p>
        </w:tc>
      </w:tr>
      <w:tr w:rsidR="00EB3DFE" w:rsidRPr="00E372E7" w14:paraId="12E13C02" w14:textId="77777777" w:rsidTr="00C14549">
        <w:tc>
          <w:tcPr>
            <w:tcW w:w="1834" w:type="pct"/>
            <w:shd w:val="clear" w:color="auto" w:fill="auto"/>
            <w:vAlign w:val="center"/>
          </w:tcPr>
          <w:p w14:paraId="1790C73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gospodinjstev z možnostjo širokopasovnega dostopa</w:t>
            </w:r>
          </w:p>
        </w:tc>
        <w:tc>
          <w:tcPr>
            <w:tcW w:w="835" w:type="pct"/>
            <w:shd w:val="clear" w:color="auto" w:fill="auto"/>
            <w:vAlign w:val="center"/>
          </w:tcPr>
          <w:p w14:paraId="2837E79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color w:val="222222"/>
                <w:sz w:val="22"/>
                <w:szCs w:val="22"/>
                <w:lang w:val="sl-SI"/>
              </w:rPr>
              <w:t>75 %</w:t>
            </w:r>
          </w:p>
        </w:tc>
        <w:tc>
          <w:tcPr>
            <w:tcW w:w="752" w:type="pct"/>
            <w:shd w:val="clear" w:color="auto" w:fill="auto"/>
            <w:vAlign w:val="center"/>
          </w:tcPr>
          <w:p w14:paraId="03BC7ECD"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78</w:t>
            </w:r>
          </w:p>
        </w:tc>
        <w:tc>
          <w:tcPr>
            <w:tcW w:w="751" w:type="pct"/>
            <w:shd w:val="clear" w:color="auto" w:fill="auto"/>
            <w:vAlign w:val="center"/>
          </w:tcPr>
          <w:p w14:paraId="7159240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100 %</w:t>
            </w:r>
          </w:p>
        </w:tc>
        <w:tc>
          <w:tcPr>
            <w:tcW w:w="828" w:type="pct"/>
            <w:vAlign w:val="center"/>
          </w:tcPr>
          <w:p w14:paraId="03C7610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98 % (DESI, 1a1)</w:t>
            </w:r>
          </w:p>
        </w:tc>
      </w:tr>
      <w:tr w:rsidR="00EB3DFE" w:rsidRPr="00E372E7" w14:paraId="25526FE7" w14:textId="77777777" w:rsidTr="00C14549">
        <w:trPr>
          <w:trHeight w:val="327"/>
        </w:trPr>
        <w:tc>
          <w:tcPr>
            <w:tcW w:w="1834" w:type="pct"/>
            <w:vAlign w:val="center"/>
          </w:tcPr>
          <w:p w14:paraId="65C7C7A1" w14:textId="77777777" w:rsidR="00EB3DFE" w:rsidRPr="00E372E7" w:rsidRDefault="00EB3DFE" w:rsidP="00C14549">
            <w:pPr>
              <w:spacing w:line="276" w:lineRule="auto"/>
              <w:rPr>
                <w:rFonts w:ascii="Century Gothic" w:hAnsi="Century Gothic"/>
                <w:color w:val="222222"/>
                <w:sz w:val="22"/>
                <w:szCs w:val="22"/>
                <w:lang w:val="sl-SI"/>
              </w:rPr>
            </w:pPr>
            <w:r w:rsidRPr="00E372E7">
              <w:rPr>
                <w:rFonts w:ascii="Century Gothic" w:hAnsi="Century Gothic"/>
                <w:color w:val="222222"/>
                <w:sz w:val="22"/>
                <w:szCs w:val="22"/>
                <w:lang w:val="sl-SI"/>
              </w:rPr>
              <w:t>Delež gospodinjstev z dostopom do interneta od doma</w:t>
            </w:r>
          </w:p>
        </w:tc>
        <w:tc>
          <w:tcPr>
            <w:tcW w:w="835" w:type="pct"/>
            <w:vAlign w:val="center"/>
          </w:tcPr>
          <w:p w14:paraId="3C426074" w14:textId="77777777" w:rsidR="00EB3DFE" w:rsidRPr="00E372E7" w:rsidRDefault="00EB3DFE" w:rsidP="00C14549">
            <w:pPr>
              <w:spacing w:line="276" w:lineRule="auto"/>
              <w:rPr>
                <w:rFonts w:ascii="Century Gothic" w:hAnsi="Century Gothic"/>
                <w:color w:val="222222"/>
                <w:sz w:val="22"/>
                <w:szCs w:val="22"/>
                <w:lang w:val="sl-SI"/>
              </w:rPr>
            </w:pPr>
            <w:r w:rsidRPr="00E372E7">
              <w:rPr>
                <w:rFonts w:ascii="Century Gothic" w:hAnsi="Century Gothic"/>
                <w:color w:val="222222"/>
                <w:sz w:val="22"/>
                <w:szCs w:val="22"/>
                <w:lang w:val="sl-SI"/>
              </w:rPr>
              <w:t>77 %</w:t>
            </w:r>
          </w:p>
        </w:tc>
        <w:tc>
          <w:tcPr>
            <w:tcW w:w="752" w:type="pct"/>
            <w:vAlign w:val="center"/>
          </w:tcPr>
          <w:p w14:paraId="597B0A5F" w14:textId="77777777" w:rsidR="00EB3DFE" w:rsidRPr="00E372E7" w:rsidRDefault="00EB3DFE" w:rsidP="00C14549">
            <w:pPr>
              <w:spacing w:line="276" w:lineRule="auto"/>
              <w:rPr>
                <w:rFonts w:ascii="Century Gothic" w:hAnsi="Century Gothic"/>
                <w:color w:val="222222"/>
                <w:sz w:val="22"/>
                <w:szCs w:val="22"/>
                <w:lang w:val="sl-SI"/>
              </w:rPr>
            </w:pPr>
            <w:r w:rsidRPr="00E372E7">
              <w:rPr>
                <w:rFonts w:ascii="Century Gothic" w:hAnsi="Century Gothic"/>
                <w:color w:val="222222"/>
                <w:sz w:val="22"/>
                <w:szCs w:val="22"/>
                <w:lang w:val="sl-SI"/>
              </w:rPr>
              <w:t>81%</w:t>
            </w:r>
          </w:p>
        </w:tc>
        <w:tc>
          <w:tcPr>
            <w:tcW w:w="751" w:type="pct"/>
            <w:vAlign w:val="center"/>
          </w:tcPr>
          <w:p w14:paraId="6049BC3F"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100 %</w:t>
            </w:r>
          </w:p>
        </w:tc>
        <w:tc>
          <w:tcPr>
            <w:tcW w:w="828" w:type="pct"/>
            <w:vAlign w:val="center"/>
          </w:tcPr>
          <w:p w14:paraId="07C79FA5"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89 % (SURS)</w:t>
            </w:r>
          </w:p>
          <w:p w14:paraId="10443FDB"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90 % EU-27</w:t>
            </w:r>
          </w:p>
        </w:tc>
      </w:tr>
      <w:tr w:rsidR="00EB3DFE" w:rsidRPr="00E372E7" w14:paraId="7B50FD6C" w14:textId="77777777" w:rsidTr="00C14549">
        <w:trPr>
          <w:trHeight w:val="283"/>
        </w:trPr>
        <w:tc>
          <w:tcPr>
            <w:tcW w:w="1834" w:type="pct"/>
            <w:vAlign w:val="center"/>
          </w:tcPr>
          <w:p w14:paraId="669BC55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color w:val="222222"/>
                <w:sz w:val="22"/>
                <w:szCs w:val="22"/>
                <w:lang w:val="sl-SI"/>
              </w:rPr>
              <w:t>Delež gospodinjstev z možnostjo širokopasovnega dostopa hitrosti vsaj 100 Mb/s</w:t>
            </w:r>
          </w:p>
        </w:tc>
        <w:tc>
          <w:tcPr>
            <w:tcW w:w="835" w:type="pct"/>
            <w:vAlign w:val="center"/>
          </w:tcPr>
          <w:p w14:paraId="00EF4F7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color w:val="222222"/>
                <w:sz w:val="22"/>
                <w:szCs w:val="22"/>
                <w:lang w:val="sl-SI"/>
              </w:rPr>
              <w:t>-</w:t>
            </w:r>
          </w:p>
        </w:tc>
        <w:tc>
          <w:tcPr>
            <w:tcW w:w="752" w:type="pct"/>
            <w:vAlign w:val="center"/>
          </w:tcPr>
          <w:p w14:paraId="77C83110"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color w:val="222222"/>
                <w:sz w:val="22"/>
                <w:szCs w:val="22"/>
                <w:lang w:val="sl-SI"/>
              </w:rPr>
              <w:t>-</w:t>
            </w:r>
          </w:p>
        </w:tc>
        <w:tc>
          <w:tcPr>
            <w:tcW w:w="751" w:type="pct"/>
            <w:vAlign w:val="center"/>
          </w:tcPr>
          <w:p w14:paraId="560F32C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96 %</w:t>
            </w:r>
          </w:p>
        </w:tc>
        <w:tc>
          <w:tcPr>
            <w:tcW w:w="828" w:type="pct"/>
            <w:vAlign w:val="center"/>
          </w:tcPr>
          <w:p w14:paraId="201C5E0E"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86 % (DESI 1c1)</w:t>
            </w:r>
          </w:p>
        </w:tc>
      </w:tr>
      <w:tr w:rsidR="00EB3DFE" w:rsidRPr="00E372E7" w14:paraId="014DB648" w14:textId="77777777" w:rsidTr="00C14549">
        <w:tc>
          <w:tcPr>
            <w:tcW w:w="1834" w:type="pct"/>
            <w:vAlign w:val="center"/>
          </w:tcPr>
          <w:p w14:paraId="6D171D3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gospodinjstev z dostopom hitrosti vsaj 100 Mb/s ali več</w:t>
            </w:r>
          </w:p>
        </w:tc>
        <w:tc>
          <w:tcPr>
            <w:tcW w:w="835" w:type="pct"/>
            <w:vAlign w:val="center"/>
          </w:tcPr>
          <w:p w14:paraId="2AC94A29"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5 %</w:t>
            </w:r>
          </w:p>
        </w:tc>
        <w:tc>
          <w:tcPr>
            <w:tcW w:w="752" w:type="pct"/>
            <w:vAlign w:val="center"/>
          </w:tcPr>
          <w:p w14:paraId="072EC5C3"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9 %</w:t>
            </w:r>
          </w:p>
        </w:tc>
        <w:tc>
          <w:tcPr>
            <w:tcW w:w="751" w:type="pct"/>
            <w:vAlign w:val="center"/>
          </w:tcPr>
          <w:p w14:paraId="28658C8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60 %</w:t>
            </w:r>
          </w:p>
        </w:tc>
        <w:tc>
          <w:tcPr>
            <w:tcW w:w="828" w:type="pct"/>
            <w:vAlign w:val="center"/>
          </w:tcPr>
          <w:p w14:paraId="5ACCE3D8"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16 % (DESI 1d2)</w:t>
            </w:r>
          </w:p>
        </w:tc>
      </w:tr>
    </w:tbl>
    <w:p w14:paraId="1D568F59" w14:textId="77777777" w:rsidR="00EB3DFE" w:rsidRPr="006C7B55" w:rsidRDefault="00EB3DFE" w:rsidP="00EB3DFE">
      <w:pPr>
        <w:spacing w:before="120" w:after="160" w:line="276" w:lineRule="auto"/>
        <w:jc w:val="center"/>
        <w:rPr>
          <w:rFonts w:ascii="Century Gothic" w:eastAsiaTheme="minorHAnsi" w:hAnsi="Century Gothic" w:cstheme="minorBidi"/>
          <w:bCs/>
          <w:szCs w:val="20"/>
          <w:lang w:val="sl-SI"/>
        </w:rPr>
      </w:pPr>
      <w:r w:rsidRPr="006C7B55">
        <w:rPr>
          <w:rFonts w:ascii="Century Gothic" w:eastAsiaTheme="minorHAnsi" w:hAnsi="Century Gothic" w:cstheme="minorBidi"/>
          <w:bCs/>
          <w:szCs w:val="20"/>
          <w:lang w:val="sl-SI"/>
        </w:rPr>
        <w:t>Tabela 3: Širokopasovna in druga infrastruktura elektronskih komunikacij</w:t>
      </w:r>
    </w:p>
    <w:p w14:paraId="1CC5FCBD" w14:textId="77777777" w:rsidR="00EB3DFE" w:rsidRDefault="00EB3DFE" w:rsidP="00EB3DFE">
      <w:pPr>
        <w:spacing w:after="160" w:line="276" w:lineRule="auto"/>
        <w:jc w:val="both"/>
        <w:rPr>
          <w:rFonts w:ascii="Century Gothic" w:eastAsiaTheme="minorHAnsi" w:hAnsi="Century Gothic" w:cstheme="minorBidi"/>
          <w:b/>
          <w:sz w:val="22"/>
          <w:szCs w:val="22"/>
          <w:lang w:val="sl-SI"/>
        </w:rPr>
      </w:pPr>
    </w:p>
    <w:tbl>
      <w:tblPr>
        <w:tblStyle w:val="TableGrid1"/>
        <w:tblW w:w="5000" w:type="pct"/>
        <w:tblLayout w:type="fixed"/>
        <w:tblLook w:val="04A0" w:firstRow="1" w:lastRow="0" w:firstColumn="1" w:lastColumn="0" w:noHBand="0" w:noVBand="1"/>
      </w:tblPr>
      <w:tblGrid>
        <w:gridCol w:w="3324"/>
        <w:gridCol w:w="1513"/>
        <w:gridCol w:w="1363"/>
        <w:gridCol w:w="1361"/>
        <w:gridCol w:w="1501"/>
      </w:tblGrid>
      <w:tr w:rsidR="00EB3DFE" w:rsidRPr="00E372E7" w14:paraId="53FE6E8C" w14:textId="77777777" w:rsidTr="00C14549">
        <w:tc>
          <w:tcPr>
            <w:tcW w:w="1834" w:type="pct"/>
            <w:shd w:val="clear" w:color="auto" w:fill="EDEDED" w:themeFill="accent3" w:themeFillTint="33"/>
            <w:vAlign w:val="center"/>
          </w:tcPr>
          <w:p w14:paraId="727D8E8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KAZALNIK</w:t>
            </w:r>
          </w:p>
        </w:tc>
        <w:tc>
          <w:tcPr>
            <w:tcW w:w="835" w:type="pct"/>
            <w:shd w:val="clear" w:color="auto" w:fill="EDEDED" w:themeFill="accent3" w:themeFillTint="33"/>
            <w:vAlign w:val="center"/>
          </w:tcPr>
          <w:p w14:paraId="55D0B0A8"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2014</w:t>
            </w:r>
          </w:p>
        </w:tc>
        <w:tc>
          <w:tcPr>
            <w:tcW w:w="752" w:type="pct"/>
            <w:shd w:val="clear" w:color="auto" w:fill="EDEDED" w:themeFill="accent3" w:themeFillTint="33"/>
            <w:vAlign w:val="center"/>
          </w:tcPr>
          <w:p w14:paraId="421611B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EU-28 2014</w:t>
            </w:r>
          </w:p>
        </w:tc>
        <w:tc>
          <w:tcPr>
            <w:tcW w:w="751" w:type="pct"/>
            <w:shd w:val="clear" w:color="auto" w:fill="EDEDED" w:themeFill="accent3" w:themeFillTint="33"/>
            <w:vAlign w:val="center"/>
          </w:tcPr>
          <w:p w14:paraId="63B1AC6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2020</w:t>
            </w:r>
          </w:p>
        </w:tc>
        <w:tc>
          <w:tcPr>
            <w:tcW w:w="828" w:type="pct"/>
            <w:shd w:val="clear" w:color="auto" w:fill="EDEDED" w:themeFill="accent3" w:themeFillTint="33"/>
            <w:vAlign w:val="center"/>
          </w:tcPr>
          <w:p w14:paraId="322F19D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Trenutne vrednosti</w:t>
            </w:r>
          </w:p>
        </w:tc>
      </w:tr>
      <w:tr w:rsidR="00EB3DFE" w:rsidRPr="00E372E7" w14:paraId="2031B181" w14:textId="77777777" w:rsidTr="00C14549">
        <w:tc>
          <w:tcPr>
            <w:tcW w:w="1834" w:type="pct"/>
            <w:vAlign w:val="center"/>
          </w:tcPr>
          <w:p w14:paraId="62E3C1D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so v zadnjih 12 mesecih uporabljali spletne strani javnih ustanov</w:t>
            </w:r>
          </w:p>
        </w:tc>
        <w:tc>
          <w:tcPr>
            <w:tcW w:w="835" w:type="pct"/>
            <w:vAlign w:val="center"/>
          </w:tcPr>
          <w:p w14:paraId="5690D5F5"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53 %</w:t>
            </w:r>
          </w:p>
        </w:tc>
        <w:tc>
          <w:tcPr>
            <w:tcW w:w="752" w:type="pct"/>
            <w:vAlign w:val="center"/>
          </w:tcPr>
          <w:p w14:paraId="0D6D0B5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47 %</w:t>
            </w:r>
          </w:p>
        </w:tc>
        <w:tc>
          <w:tcPr>
            <w:tcW w:w="751" w:type="pct"/>
            <w:vAlign w:val="center"/>
          </w:tcPr>
          <w:p w14:paraId="2B58112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60 %</w:t>
            </w:r>
          </w:p>
        </w:tc>
        <w:tc>
          <w:tcPr>
            <w:tcW w:w="828" w:type="pct"/>
            <w:vAlign w:val="center"/>
          </w:tcPr>
          <w:p w14:paraId="6C978A4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53 % (SURS)</w:t>
            </w:r>
          </w:p>
          <w:p w14:paraId="0CA139C3"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53 % EU-27</w:t>
            </w:r>
          </w:p>
        </w:tc>
      </w:tr>
      <w:tr w:rsidR="00EB3DFE" w:rsidRPr="00E372E7" w14:paraId="45844F71" w14:textId="77777777" w:rsidTr="00C14549">
        <w:tc>
          <w:tcPr>
            <w:tcW w:w="1834" w:type="pct"/>
            <w:vAlign w:val="center"/>
          </w:tcPr>
          <w:p w14:paraId="2D73562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lastRenderedPageBreak/>
              <w:t>Delež podjetij (z 10 ali več zaposlenimi osebami in brez podjetij finančnega sektorja), ki najemajo storitve računalništva v oblaku</w:t>
            </w:r>
          </w:p>
        </w:tc>
        <w:tc>
          <w:tcPr>
            <w:tcW w:w="835" w:type="pct"/>
            <w:vAlign w:val="center"/>
          </w:tcPr>
          <w:p w14:paraId="3CBD5AD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15 %</w:t>
            </w:r>
          </w:p>
        </w:tc>
        <w:tc>
          <w:tcPr>
            <w:tcW w:w="752" w:type="pct"/>
            <w:vAlign w:val="center"/>
          </w:tcPr>
          <w:p w14:paraId="475355F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18 %</w:t>
            </w:r>
          </w:p>
        </w:tc>
        <w:tc>
          <w:tcPr>
            <w:tcW w:w="751" w:type="pct"/>
            <w:vAlign w:val="center"/>
          </w:tcPr>
          <w:p w14:paraId="6316508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20 %</w:t>
            </w:r>
          </w:p>
        </w:tc>
        <w:tc>
          <w:tcPr>
            <w:tcW w:w="828" w:type="pct"/>
            <w:vAlign w:val="center"/>
          </w:tcPr>
          <w:p w14:paraId="6A1C3CC8"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26 %</w:t>
            </w:r>
            <w:r w:rsidRPr="00E372E7">
              <w:rPr>
                <w:rFonts w:ascii="Century Gothic" w:hAnsi="Century Gothic"/>
                <w:b/>
                <w:bCs/>
                <w:sz w:val="22"/>
                <w:szCs w:val="22"/>
                <w:vertAlign w:val="superscript"/>
                <w:lang w:val="sl-SI"/>
              </w:rPr>
              <w:footnoteReference w:id="4"/>
            </w:r>
            <w:r w:rsidRPr="00E372E7">
              <w:rPr>
                <w:rFonts w:ascii="Century Gothic" w:hAnsi="Century Gothic"/>
                <w:b/>
                <w:bCs/>
                <w:sz w:val="22"/>
                <w:szCs w:val="22"/>
                <w:lang w:val="sl-SI"/>
              </w:rPr>
              <w:t xml:space="preserve"> (SURS)</w:t>
            </w:r>
          </w:p>
          <w:p w14:paraId="5854BA8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24 % EU-27</w:t>
            </w:r>
          </w:p>
        </w:tc>
      </w:tr>
      <w:tr w:rsidR="00EB3DFE" w:rsidRPr="00E372E7" w14:paraId="7DC200C8" w14:textId="77777777" w:rsidTr="00C14549">
        <w:tc>
          <w:tcPr>
            <w:tcW w:w="1834" w:type="pct"/>
            <w:vAlign w:val="center"/>
          </w:tcPr>
          <w:p w14:paraId="7FE874B1"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so v zadnjih treh mesecih uporabile spletno bančništvo</w:t>
            </w:r>
          </w:p>
        </w:tc>
        <w:tc>
          <w:tcPr>
            <w:tcW w:w="835" w:type="pct"/>
            <w:vAlign w:val="center"/>
          </w:tcPr>
          <w:p w14:paraId="13D1B7E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32 %</w:t>
            </w:r>
          </w:p>
        </w:tc>
        <w:tc>
          <w:tcPr>
            <w:tcW w:w="752" w:type="pct"/>
            <w:vAlign w:val="center"/>
          </w:tcPr>
          <w:p w14:paraId="6F89718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44 %</w:t>
            </w:r>
          </w:p>
        </w:tc>
        <w:tc>
          <w:tcPr>
            <w:tcW w:w="751" w:type="pct"/>
            <w:vAlign w:val="center"/>
          </w:tcPr>
          <w:p w14:paraId="06D57355"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44 %</w:t>
            </w:r>
          </w:p>
        </w:tc>
        <w:tc>
          <w:tcPr>
            <w:tcW w:w="828" w:type="pct"/>
            <w:vAlign w:val="center"/>
          </w:tcPr>
          <w:p w14:paraId="45B64059"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47 %(SURS)</w:t>
            </w:r>
          </w:p>
          <w:p w14:paraId="7BCF6035"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55 % EU-27</w:t>
            </w:r>
          </w:p>
          <w:p w14:paraId="5DAAD533"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53 % (3c1 DESI)</w:t>
            </w:r>
            <w:r w:rsidRPr="00E372E7">
              <w:rPr>
                <w:rFonts w:ascii="Century Gothic" w:hAnsi="Century Gothic"/>
                <w:b/>
                <w:bCs/>
                <w:sz w:val="22"/>
                <w:szCs w:val="22"/>
                <w:vertAlign w:val="superscript"/>
                <w:lang w:val="sl-SI"/>
              </w:rPr>
              <w:footnoteReference w:id="5"/>
            </w:r>
          </w:p>
        </w:tc>
      </w:tr>
    </w:tbl>
    <w:p w14:paraId="16A4F125" w14:textId="77777777" w:rsidR="00EB3DFE" w:rsidRPr="006C7B55" w:rsidRDefault="00EB3DFE" w:rsidP="00EB3DFE">
      <w:pPr>
        <w:spacing w:before="120" w:after="160" w:line="276" w:lineRule="auto"/>
        <w:jc w:val="center"/>
        <w:rPr>
          <w:rFonts w:ascii="Century Gothic" w:eastAsiaTheme="minorHAnsi" w:hAnsi="Century Gothic" w:cstheme="minorBidi"/>
          <w:bCs/>
          <w:szCs w:val="20"/>
          <w:lang w:val="sl-SI"/>
        </w:rPr>
      </w:pPr>
      <w:r>
        <w:rPr>
          <w:rFonts w:ascii="Century Gothic" w:eastAsiaTheme="minorHAnsi" w:hAnsi="Century Gothic" w:cstheme="minorBidi"/>
          <w:bCs/>
          <w:szCs w:val="20"/>
          <w:lang w:val="sl-SI"/>
        </w:rPr>
        <w:t>Tabela 4: Inovativne podatkovno vodene storitve</w:t>
      </w:r>
    </w:p>
    <w:tbl>
      <w:tblPr>
        <w:tblStyle w:val="TableGrid1"/>
        <w:tblW w:w="5000" w:type="pct"/>
        <w:tblLayout w:type="fixed"/>
        <w:tblLook w:val="04A0" w:firstRow="1" w:lastRow="0" w:firstColumn="1" w:lastColumn="0" w:noHBand="0" w:noVBand="1"/>
      </w:tblPr>
      <w:tblGrid>
        <w:gridCol w:w="3324"/>
        <w:gridCol w:w="1513"/>
        <w:gridCol w:w="1363"/>
        <w:gridCol w:w="1361"/>
        <w:gridCol w:w="1501"/>
      </w:tblGrid>
      <w:tr w:rsidR="00EB3DFE" w:rsidRPr="00E372E7" w14:paraId="04873E46" w14:textId="77777777" w:rsidTr="00C14549">
        <w:tc>
          <w:tcPr>
            <w:tcW w:w="1834" w:type="pct"/>
            <w:shd w:val="clear" w:color="auto" w:fill="EDEDED" w:themeFill="accent3" w:themeFillTint="33"/>
            <w:vAlign w:val="center"/>
          </w:tcPr>
          <w:p w14:paraId="50C3CEE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KAZALNIK</w:t>
            </w:r>
          </w:p>
        </w:tc>
        <w:tc>
          <w:tcPr>
            <w:tcW w:w="835" w:type="pct"/>
            <w:shd w:val="clear" w:color="auto" w:fill="EDEDED" w:themeFill="accent3" w:themeFillTint="33"/>
            <w:vAlign w:val="center"/>
          </w:tcPr>
          <w:p w14:paraId="02E5C2E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2014</w:t>
            </w:r>
          </w:p>
        </w:tc>
        <w:tc>
          <w:tcPr>
            <w:tcW w:w="752" w:type="pct"/>
            <w:shd w:val="clear" w:color="auto" w:fill="EDEDED" w:themeFill="accent3" w:themeFillTint="33"/>
            <w:vAlign w:val="center"/>
          </w:tcPr>
          <w:p w14:paraId="4371B303"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EU-28 2014</w:t>
            </w:r>
          </w:p>
        </w:tc>
        <w:tc>
          <w:tcPr>
            <w:tcW w:w="751" w:type="pct"/>
            <w:shd w:val="clear" w:color="auto" w:fill="EDEDED" w:themeFill="accent3" w:themeFillTint="33"/>
            <w:vAlign w:val="center"/>
          </w:tcPr>
          <w:p w14:paraId="7BED574D"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2020</w:t>
            </w:r>
          </w:p>
        </w:tc>
        <w:tc>
          <w:tcPr>
            <w:tcW w:w="828" w:type="pct"/>
            <w:shd w:val="clear" w:color="auto" w:fill="EDEDED" w:themeFill="accent3" w:themeFillTint="33"/>
            <w:vAlign w:val="center"/>
          </w:tcPr>
          <w:p w14:paraId="5B3B1451"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Trenutne vrednosti</w:t>
            </w:r>
          </w:p>
        </w:tc>
      </w:tr>
      <w:tr w:rsidR="00EB3DFE" w:rsidRPr="00E372E7" w14:paraId="5F25A1B5" w14:textId="77777777" w:rsidTr="00C14549">
        <w:tc>
          <w:tcPr>
            <w:tcW w:w="1834" w:type="pct"/>
            <w:shd w:val="clear" w:color="auto" w:fill="auto"/>
            <w:vAlign w:val="center"/>
          </w:tcPr>
          <w:p w14:paraId="536CA48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sektorja IKT v gospodarstvu kot delež BDP</w:t>
            </w:r>
          </w:p>
        </w:tc>
        <w:tc>
          <w:tcPr>
            <w:tcW w:w="835" w:type="pct"/>
            <w:shd w:val="clear" w:color="auto" w:fill="auto"/>
            <w:vAlign w:val="center"/>
          </w:tcPr>
          <w:p w14:paraId="09F173A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3,59 %</w:t>
            </w:r>
          </w:p>
        </w:tc>
        <w:tc>
          <w:tcPr>
            <w:tcW w:w="752" w:type="pct"/>
            <w:shd w:val="clear" w:color="auto" w:fill="auto"/>
            <w:vAlign w:val="center"/>
          </w:tcPr>
          <w:p w14:paraId="0EEE19D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w:t>
            </w:r>
          </w:p>
        </w:tc>
        <w:tc>
          <w:tcPr>
            <w:tcW w:w="751" w:type="pct"/>
            <w:shd w:val="clear" w:color="auto" w:fill="auto"/>
            <w:vAlign w:val="center"/>
          </w:tcPr>
          <w:p w14:paraId="5F614C7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7 %</w:t>
            </w:r>
          </w:p>
        </w:tc>
        <w:tc>
          <w:tcPr>
            <w:tcW w:w="828" w:type="pct"/>
            <w:vAlign w:val="center"/>
          </w:tcPr>
          <w:p w14:paraId="32BEDCB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3, 68 %</w:t>
            </w:r>
            <w:r w:rsidRPr="00E372E7">
              <w:rPr>
                <w:rFonts w:ascii="Century Gothic" w:hAnsi="Century Gothic"/>
                <w:b/>
                <w:bCs/>
                <w:sz w:val="22"/>
                <w:szCs w:val="22"/>
                <w:vertAlign w:val="superscript"/>
                <w:lang w:val="sl-SI"/>
              </w:rPr>
              <w:footnoteReference w:id="6"/>
            </w:r>
          </w:p>
        </w:tc>
      </w:tr>
      <w:tr w:rsidR="00EB3DFE" w:rsidRPr="00E372E7" w14:paraId="119CC806" w14:textId="77777777" w:rsidTr="00C14549">
        <w:tc>
          <w:tcPr>
            <w:tcW w:w="1834" w:type="pct"/>
            <w:shd w:val="clear" w:color="auto" w:fill="auto"/>
            <w:vAlign w:val="center"/>
          </w:tcPr>
          <w:p w14:paraId="41B97F0F"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Letna rast deleža sektorja IKT v gospodarstvu kot deleža BDP</w:t>
            </w:r>
          </w:p>
        </w:tc>
        <w:tc>
          <w:tcPr>
            <w:tcW w:w="835" w:type="pct"/>
            <w:shd w:val="clear" w:color="auto" w:fill="auto"/>
            <w:vAlign w:val="center"/>
          </w:tcPr>
          <w:p w14:paraId="044C484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xml:space="preserve"> 0,03 %</w:t>
            </w:r>
          </w:p>
        </w:tc>
        <w:tc>
          <w:tcPr>
            <w:tcW w:w="752" w:type="pct"/>
            <w:shd w:val="clear" w:color="auto" w:fill="auto"/>
            <w:vAlign w:val="center"/>
          </w:tcPr>
          <w:p w14:paraId="7D7D9FD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w:t>
            </w:r>
          </w:p>
        </w:tc>
        <w:tc>
          <w:tcPr>
            <w:tcW w:w="751" w:type="pct"/>
            <w:shd w:val="clear" w:color="auto" w:fill="auto"/>
            <w:vAlign w:val="center"/>
          </w:tcPr>
          <w:p w14:paraId="576AB37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0,6 %</w:t>
            </w:r>
          </w:p>
        </w:tc>
        <w:tc>
          <w:tcPr>
            <w:tcW w:w="828" w:type="pct"/>
            <w:vAlign w:val="center"/>
          </w:tcPr>
          <w:p w14:paraId="3374599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0,09 %</w:t>
            </w:r>
          </w:p>
        </w:tc>
      </w:tr>
      <w:tr w:rsidR="00EB3DFE" w:rsidRPr="00E372E7" w14:paraId="0D80209C" w14:textId="77777777" w:rsidTr="00C14549">
        <w:tc>
          <w:tcPr>
            <w:tcW w:w="1834" w:type="pct"/>
            <w:shd w:val="clear" w:color="auto" w:fill="auto"/>
            <w:vAlign w:val="center"/>
          </w:tcPr>
          <w:p w14:paraId="46B2586F"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so v zadnjih 12 mesecih opravili nakup blaga ali storitev prek spleta</w:t>
            </w:r>
          </w:p>
        </w:tc>
        <w:tc>
          <w:tcPr>
            <w:tcW w:w="835" w:type="pct"/>
            <w:shd w:val="clear" w:color="auto" w:fill="auto"/>
            <w:vAlign w:val="center"/>
          </w:tcPr>
          <w:p w14:paraId="42F77463"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37 %</w:t>
            </w:r>
          </w:p>
        </w:tc>
        <w:tc>
          <w:tcPr>
            <w:tcW w:w="752" w:type="pct"/>
            <w:shd w:val="clear" w:color="auto" w:fill="auto"/>
            <w:vAlign w:val="center"/>
          </w:tcPr>
          <w:p w14:paraId="2A38E08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50 %</w:t>
            </w:r>
          </w:p>
        </w:tc>
        <w:tc>
          <w:tcPr>
            <w:tcW w:w="751" w:type="pct"/>
            <w:shd w:val="clear" w:color="auto" w:fill="auto"/>
            <w:vAlign w:val="center"/>
          </w:tcPr>
          <w:p w14:paraId="630B0185"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60 %</w:t>
            </w:r>
          </w:p>
        </w:tc>
        <w:tc>
          <w:tcPr>
            <w:tcW w:w="828" w:type="pct"/>
            <w:vAlign w:val="center"/>
          </w:tcPr>
          <w:p w14:paraId="38464108"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56 % (SURS)</w:t>
            </w:r>
          </w:p>
          <w:p w14:paraId="7A39911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60 % EU-27</w:t>
            </w:r>
          </w:p>
        </w:tc>
      </w:tr>
      <w:tr w:rsidR="00EB3DFE" w:rsidRPr="00E372E7" w14:paraId="43A01A37" w14:textId="77777777" w:rsidTr="00C14549">
        <w:tc>
          <w:tcPr>
            <w:tcW w:w="1834" w:type="pct"/>
            <w:shd w:val="clear" w:color="auto" w:fill="auto"/>
            <w:vAlign w:val="center"/>
          </w:tcPr>
          <w:p w14:paraId="076FC0E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so v zadnjih 12 mesecih opravili nakup blaga ali storitev prek spleta pri prodajalcih iz drugih držav EU</w:t>
            </w:r>
          </w:p>
        </w:tc>
        <w:tc>
          <w:tcPr>
            <w:tcW w:w="835" w:type="pct"/>
            <w:shd w:val="clear" w:color="auto" w:fill="auto"/>
            <w:vAlign w:val="center"/>
          </w:tcPr>
          <w:p w14:paraId="6547917D"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18 %</w:t>
            </w:r>
          </w:p>
        </w:tc>
        <w:tc>
          <w:tcPr>
            <w:tcW w:w="752" w:type="pct"/>
            <w:shd w:val="clear" w:color="auto" w:fill="auto"/>
            <w:vAlign w:val="center"/>
          </w:tcPr>
          <w:p w14:paraId="05A55E20"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15 %</w:t>
            </w:r>
          </w:p>
        </w:tc>
        <w:tc>
          <w:tcPr>
            <w:tcW w:w="751" w:type="pct"/>
            <w:shd w:val="clear" w:color="auto" w:fill="auto"/>
            <w:vAlign w:val="center"/>
          </w:tcPr>
          <w:p w14:paraId="3418B2D0"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20 %</w:t>
            </w:r>
          </w:p>
        </w:tc>
        <w:tc>
          <w:tcPr>
            <w:tcW w:w="828" w:type="pct"/>
            <w:vAlign w:val="center"/>
          </w:tcPr>
          <w:p w14:paraId="3290B07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45 % (SURS)</w:t>
            </w:r>
          </w:p>
          <w:p w14:paraId="73CE124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35 % EU-27</w:t>
            </w:r>
          </w:p>
        </w:tc>
      </w:tr>
      <w:tr w:rsidR="00EB3DFE" w:rsidRPr="00E372E7" w14:paraId="4AF1BF84" w14:textId="77777777" w:rsidTr="00C14549">
        <w:tc>
          <w:tcPr>
            <w:tcW w:w="1834" w:type="pct"/>
            <w:shd w:val="clear" w:color="auto" w:fill="auto"/>
            <w:vAlign w:val="center"/>
          </w:tcPr>
          <w:p w14:paraId="701A8386"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podjetij (z vsaj 10 zaposlenih oseb in brez podjetij finančnega sektorja), ki so prejemala naročila prek spletnih strani ali prek računalniške izmenjave podatkov v dogovorjenem formatu (op. kjer gre za prodajo med podjetij –stara metodologija)</w:t>
            </w:r>
          </w:p>
        </w:tc>
        <w:tc>
          <w:tcPr>
            <w:tcW w:w="835" w:type="pct"/>
            <w:shd w:val="clear" w:color="auto" w:fill="auto"/>
            <w:vAlign w:val="center"/>
          </w:tcPr>
          <w:p w14:paraId="443499D3"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18 %</w:t>
            </w:r>
          </w:p>
        </w:tc>
        <w:tc>
          <w:tcPr>
            <w:tcW w:w="752" w:type="pct"/>
            <w:shd w:val="clear" w:color="auto" w:fill="auto"/>
            <w:vAlign w:val="center"/>
          </w:tcPr>
          <w:p w14:paraId="30FE0E1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18 %</w:t>
            </w:r>
          </w:p>
        </w:tc>
        <w:tc>
          <w:tcPr>
            <w:tcW w:w="751" w:type="pct"/>
            <w:shd w:val="clear" w:color="auto" w:fill="auto"/>
            <w:vAlign w:val="center"/>
          </w:tcPr>
          <w:p w14:paraId="1D6F6B6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20 %</w:t>
            </w:r>
          </w:p>
        </w:tc>
        <w:tc>
          <w:tcPr>
            <w:tcW w:w="828" w:type="pct"/>
            <w:vAlign w:val="center"/>
          </w:tcPr>
          <w:p w14:paraId="567879EE"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25 % (SURS)</w:t>
            </w:r>
          </w:p>
          <w:p w14:paraId="66EA70AE"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20 % EU-27</w:t>
            </w:r>
          </w:p>
        </w:tc>
      </w:tr>
      <w:tr w:rsidR="00EB3DFE" w:rsidRPr="00E372E7" w14:paraId="0AE3CB1A" w14:textId="77777777" w:rsidTr="00C14549">
        <w:tc>
          <w:tcPr>
            <w:tcW w:w="1834" w:type="pct"/>
            <w:shd w:val="clear" w:color="auto" w:fill="auto"/>
            <w:vAlign w:val="center"/>
          </w:tcPr>
          <w:p w14:paraId="374D11E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lastRenderedPageBreak/>
              <w:t>Delež podjetij (z vsaj 10 zaposlenih oseb in brez podjetij finančnega sektorja), ki so prodajala izdelke ali storitve ali prejemala naročila zanje prek spletnih strani</w:t>
            </w:r>
          </w:p>
        </w:tc>
        <w:tc>
          <w:tcPr>
            <w:tcW w:w="835" w:type="pct"/>
            <w:shd w:val="clear" w:color="auto" w:fill="auto"/>
            <w:vAlign w:val="center"/>
          </w:tcPr>
          <w:p w14:paraId="22B4BAC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14 %</w:t>
            </w:r>
          </w:p>
        </w:tc>
        <w:tc>
          <w:tcPr>
            <w:tcW w:w="752" w:type="pct"/>
            <w:shd w:val="clear" w:color="auto" w:fill="auto"/>
            <w:vAlign w:val="center"/>
          </w:tcPr>
          <w:p w14:paraId="0A6E9221"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14 %</w:t>
            </w:r>
          </w:p>
        </w:tc>
        <w:tc>
          <w:tcPr>
            <w:tcW w:w="751" w:type="pct"/>
            <w:shd w:val="clear" w:color="auto" w:fill="auto"/>
            <w:vAlign w:val="center"/>
          </w:tcPr>
          <w:p w14:paraId="4EE8BF0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20 %</w:t>
            </w:r>
          </w:p>
        </w:tc>
        <w:tc>
          <w:tcPr>
            <w:tcW w:w="828" w:type="pct"/>
            <w:vAlign w:val="center"/>
          </w:tcPr>
          <w:p w14:paraId="51F61F0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21 % (SURS)</w:t>
            </w:r>
          </w:p>
          <w:p w14:paraId="6A10359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16 % EU-27</w:t>
            </w:r>
          </w:p>
        </w:tc>
      </w:tr>
      <w:tr w:rsidR="00EB3DFE" w:rsidRPr="00E372E7" w14:paraId="320188EC" w14:textId="77777777" w:rsidTr="00C14549">
        <w:trPr>
          <w:trHeight w:val="322"/>
        </w:trPr>
        <w:tc>
          <w:tcPr>
            <w:tcW w:w="1834" w:type="pct"/>
            <w:shd w:val="clear" w:color="auto" w:fill="auto"/>
            <w:vAlign w:val="center"/>
          </w:tcPr>
          <w:p w14:paraId="5FF36C9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podjetij (z vsaj 10 zaposlenih oseb), ki imajo spletno stran</w:t>
            </w:r>
          </w:p>
        </w:tc>
        <w:tc>
          <w:tcPr>
            <w:tcW w:w="835" w:type="pct"/>
            <w:shd w:val="clear" w:color="auto" w:fill="auto"/>
            <w:vAlign w:val="center"/>
          </w:tcPr>
          <w:p w14:paraId="189A26B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84 %</w:t>
            </w:r>
          </w:p>
        </w:tc>
        <w:tc>
          <w:tcPr>
            <w:tcW w:w="752" w:type="pct"/>
            <w:shd w:val="clear" w:color="auto" w:fill="auto"/>
            <w:vAlign w:val="center"/>
          </w:tcPr>
          <w:p w14:paraId="6CCBFAFE"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74 %</w:t>
            </w:r>
          </w:p>
        </w:tc>
        <w:tc>
          <w:tcPr>
            <w:tcW w:w="751" w:type="pct"/>
            <w:shd w:val="clear" w:color="auto" w:fill="auto"/>
            <w:vAlign w:val="center"/>
          </w:tcPr>
          <w:p w14:paraId="6868CB2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90 %</w:t>
            </w:r>
          </w:p>
        </w:tc>
        <w:tc>
          <w:tcPr>
            <w:tcW w:w="828" w:type="pct"/>
            <w:vAlign w:val="center"/>
          </w:tcPr>
          <w:p w14:paraId="17473C3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83 % (SURS)</w:t>
            </w:r>
          </w:p>
          <w:p w14:paraId="22DDCCAB"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77 % EU-27</w:t>
            </w:r>
          </w:p>
        </w:tc>
      </w:tr>
      <w:tr w:rsidR="00EB3DFE" w:rsidRPr="00E372E7" w14:paraId="2AAD66A6" w14:textId="77777777" w:rsidTr="00C14549">
        <w:tc>
          <w:tcPr>
            <w:tcW w:w="1834" w:type="pct"/>
            <w:shd w:val="clear" w:color="auto" w:fill="auto"/>
            <w:vAlign w:val="center"/>
          </w:tcPr>
          <w:p w14:paraId="7FEEA68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podjetij (z vsaj 10 zaposlenih oseb), ki uporabljajo družbene medije</w:t>
            </w:r>
          </w:p>
        </w:tc>
        <w:tc>
          <w:tcPr>
            <w:tcW w:w="835" w:type="pct"/>
            <w:shd w:val="clear" w:color="auto" w:fill="auto"/>
            <w:vAlign w:val="center"/>
          </w:tcPr>
          <w:p w14:paraId="0177F00D"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39 %</w:t>
            </w:r>
          </w:p>
        </w:tc>
        <w:tc>
          <w:tcPr>
            <w:tcW w:w="752" w:type="pct"/>
            <w:shd w:val="clear" w:color="auto" w:fill="auto"/>
            <w:vAlign w:val="center"/>
          </w:tcPr>
          <w:p w14:paraId="7140D63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36 %</w:t>
            </w:r>
          </w:p>
        </w:tc>
        <w:tc>
          <w:tcPr>
            <w:tcW w:w="751" w:type="pct"/>
            <w:shd w:val="clear" w:color="auto" w:fill="auto"/>
            <w:vAlign w:val="center"/>
          </w:tcPr>
          <w:p w14:paraId="5F663433"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50 %</w:t>
            </w:r>
          </w:p>
        </w:tc>
        <w:tc>
          <w:tcPr>
            <w:tcW w:w="828" w:type="pct"/>
            <w:vAlign w:val="center"/>
          </w:tcPr>
          <w:p w14:paraId="6EED6D7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50 % (SURS)</w:t>
            </w:r>
          </w:p>
          <w:p w14:paraId="258CEEAF" w14:textId="77777777" w:rsidR="00EB3DFE" w:rsidRPr="00E372E7" w:rsidRDefault="00EB3DFE" w:rsidP="00C14549">
            <w:pPr>
              <w:spacing w:line="276" w:lineRule="auto"/>
              <w:rPr>
                <w:rFonts w:ascii="Century Gothic" w:hAnsi="Century Gothic"/>
                <w:b/>
                <w:sz w:val="22"/>
                <w:szCs w:val="22"/>
                <w:highlight w:val="yellow"/>
                <w:lang w:val="sl-SI"/>
              </w:rPr>
            </w:pPr>
            <w:r w:rsidRPr="00E372E7">
              <w:rPr>
                <w:rFonts w:ascii="Century Gothic" w:hAnsi="Century Gothic"/>
                <w:b/>
                <w:sz w:val="22"/>
                <w:szCs w:val="22"/>
                <w:lang w:val="sl-SI"/>
              </w:rPr>
              <w:t>50 % EU-27</w:t>
            </w:r>
          </w:p>
        </w:tc>
      </w:tr>
      <w:tr w:rsidR="00EB3DFE" w:rsidRPr="00E372E7" w14:paraId="787126AB" w14:textId="77777777" w:rsidTr="00C14549">
        <w:tc>
          <w:tcPr>
            <w:tcW w:w="1834" w:type="pct"/>
            <w:shd w:val="clear" w:color="auto" w:fill="auto"/>
            <w:vAlign w:val="center"/>
          </w:tcPr>
          <w:p w14:paraId="5947B530"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podjetij (z vsaj 10 zaposlenih oseb), ki plačujejo za oglaševanje na internetu</w:t>
            </w:r>
          </w:p>
        </w:tc>
        <w:tc>
          <w:tcPr>
            <w:tcW w:w="835" w:type="pct"/>
            <w:shd w:val="clear" w:color="auto" w:fill="auto"/>
            <w:vAlign w:val="center"/>
          </w:tcPr>
          <w:p w14:paraId="2EFEC5D6"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22 %</w:t>
            </w:r>
          </w:p>
        </w:tc>
        <w:tc>
          <w:tcPr>
            <w:tcW w:w="752" w:type="pct"/>
            <w:shd w:val="clear" w:color="auto" w:fill="auto"/>
            <w:vAlign w:val="center"/>
          </w:tcPr>
          <w:p w14:paraId="7EF85C95"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25 %</w:t>
            </w:r>
          </w:p>
        </w:tc>
        <w:tc>
          <w:tcPr>
            <w:tcW w:w="751" w:type="pct"/>
            <w:shd w:val="clear" w:color="auto" w:fill="auto"/>
            <w:vAlign w:val="center"/>
          </w:tcPr>
          <w:p w14:paraId="1904C90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30 %</w:t>
            </w:r>
          </w:p>
        </w:tc>
        <w:tc>
          <w:tcPr>
            <w:tcW w:w="828" w:type="pct"/>
            <w:vAlign w:val="center"/>
          </w:tcPr>
          <w:p w14:paraId="67A0BF9F"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27 % (SURS)</w:t>
            </w:r>
          </w:p>
          <w:p w14:paraId="1CE42BCD"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22 % EU-27</w:t>
            </w:r>
            <w:r w:rsidRPr="00E372E7">
              <w:rPr>
                <w:rFonts w:ascii="Century Gothic" w:hAnsi="Century Gothic"/>
                <w:b/>
                <w:bCs/>
                <w:sz w:val="22"/>
                <w:szCs w:val="22"/>
                <w:vertAlign w:val="superscript"/>
                <w:lang w:val="sl-SI"/>
              </w:rPr>
              <w:footnoteReference w:id="7"/>
            </w:r>
          </w:p>
        </w:tc>
      </w:tr>
    </w:tbl>
    <w:p w14:paraId="27E56E1A" w14:textId="77777777" w:rsidR="00EB3DFE" w:rsidRPr="006C7B55" w:rsidRDefault="00EB3DFE" w:rsidP="00EB3DFE">
      <w:pPr>
        <w:spacing w:before="120" w:after="160" w:line="276" w:lineRule="auto"/>
        <w:jc w:val="center"/>
        <w:rPr>
          <w:rFonts w:ascii="Century Gothic" w:eastAsiaTheme="minorHAnsi" w:hAnsi="Century Gothic" w:cstheme="minorBidi"/>
          <w:bCs/>
          <w:szCs w:val="20"/>
          <w:lang w:val="sl-SI"/>
        </w:rPr>
      </w:pPr>
      <w:r>
        <w:rPr>
          <w:rFonts w:ascii="Century Gothic" w:eastAsiaTheme="minorHAnsi" w:hAnsi="Century Gothic" w:cstheme="minorBidi"/>
          <w:bCs/>
          <w:szCs w:val="20"/>
          <w:lang w:val="sl-SI"/>
        </w:rPr>
        <w:t>Tabela 5: Digitalno podjetništvo</w:t>
      </w:r>
    </w:p>
    <w:tbl>
      <w:tblPr>
        <w:tblStyle w:val="TableGrid1"/>
        <w:tblW w:w="5000" w:type="pct"/>
        <w:tblLayout w:type="fixed"/>
        <w:tblLook w:val="04A0" w:firstRow="1" w:lastRow="0" w:firstColumn="1" w:lastColumn="0" w:noHBand="0" w:noVBand="1"/>
      </w:tblPr>
      <w:tblGrid>
        <w:gridCol w:w="3324"/>
        <w:gridCol w:w="1513"/>
        <w:gridCol w:w="1363"/>
        <w:gridCol w:w="1361"/>
        <w:gridCol w:w="1501"/>
      </w:tblGrid>
      <w:tr w:rsidR="00EB3DFE" w:rsidRPr="00E372E7" w14:paraId="7EBEFDE2" w14:textId="77777777" w:rsidTr="00C14549">
        <w:tc>
          <w:tcPr>
            <w:tcW w:w="1834" w:type="pct"/>
            <w:shd w:val="clear" w:color="auto" w:fill="EDEDED" w:themeFill="accent3" w:themeFillTint="33"/>
            <w:vAlign w:val="center"/>
          </w:tcPr>
          <w:p w14:paraId="27BD983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KAZALNIK</w:t>
            </w:r>
          </w:p>
        </w:tc>
        <w:tc>
          <w:tcPr>
            <w:tcW w:w="835" w:type="pct"/>
            <w:shd w:val="clear" w:color="auto" w:fill="EDEDED" w:themeFill="accent3" w:themeFillTint="33"/>
            <w:vAlign w:val="center"/>
          </w:tcPr>
          <w:p w14:paraId="2F85355F"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2014</w:t>
            </w:r>
          </w:p>
        </w:tc>
        <w:tc>
          <w:tcPr>
            <w:tcW w:w="752" w:type="pct"/>
            <w:shd w:val="clear" w:color="auto" w:fill="EDEDED" w:themeFill="accent3" w:themeFillTint="33"/>
            <w:vAlign w:val="center"/>
          </w:tcPr>
          <w:p w14:paraId="245D4A9D"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EU-28 2014</w:t>
            </w:r>
          </w:p>
        </w:tc>
        <w:tc>
          <w:tcPr>
            <w:tcW w:w="751" w:type="pct"/>
            <w:shd w:val="clear" w:color="auto" w:fill="EDEDED" w:themeFill="accent3" w:themeFillTint="33"/>
            <w:vAlign w:val="center"/>
          </w:tcPr>
          <w:p w14:paraId="2A043F5B"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2020</w:t>
            </w:r>
          </w:p>
        </w:tc>
        <w:tc>
          <w:tcPr>
            <w:tcW w:w="828" w:type="pct"/>
            <w:shd w:val="clear" w:color="auto" w:fill="EDEDED" w:themeFill="accent3" w:themeFillTint="33"/>
            <w:vAlign w:val="center"/>
          </w:tcPr>
          <w:p w14:paraId="7FFF431F"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Trenutne vrednosti</w:t>
            </w:r>
          </w:p>
        </w:tc>
      </w:tr>
      <w:tr w:rsidR="00EB3DFE" w:rsidRPr="00E372E7" w14:paraId="43F95BDA" w14:textId="77777777" w:rsidTr="00C14549">
        <w:tc>
          <w:tcPr>
            <w:tcW w:w="1834" w:type="pct"/>
            <w:shd w:val="clear" w:color="auto" w:fill="auto"/>
            <w:vAlign w:val="center"/>
          </w:tcPr>
          <w:p w14:paraId="001ED099"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rednih uporabnikov interneta v starosti 16−74 let, ki je v zadnjih 12 mesecih izdelalo varnostne kopije zasebnih podatkov iz svojega računalnika</w:t>
            </w:r>
          </w:p>
        </w:tc>
        <w:tc>
          <w:tcPr>
            <w:tcW w:w="835" w:type="pct"/>
            <w:shd w:val="clear" w:color="auto" w:fill="auto"/>
            <w:vAlign w:val="center"/>
          </w:tcPr>
          <w:p w14:paraId="39353D0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49 %</w:t>
            </w:r>
            <w:r w:rsidRPr="00E372E7">
              <w:rPr>
                <w:rFonts w:ascii="Century Gothic" w:hAnsi="Century Gothic"/>
                <w:sz w:val="22"/>
                <w:szCs w:val="22"/>
                <w:vertAlign w:val="superscript"/>
                <w:lang w:val="sl-SI"/>
              </w:rPr>
              <w:footnoteReference w:id="8"/>
            </w:r>
          </w:p>
        </w:tc>
        <w:tc>
          <w:tcPr>
            <w:tcW w:w="752" w:type="pct"/>
            <w:shd w:val="clear" w:color="auto" w:fill="auto"/>
            <w:vAlign w:val="center"/>
          </w:tcPr>
          <w:p w14:paraId="4A73C96E"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55 %</w:t>
            </w:r>
          </w:p>
        </w:tc>
        <w:tc>
          <w:tcPr>
            <w:tcW w:w="751" w:type="pct"/>
            <w:shd w:val="clear" w:color="auto" w:fill="auto"/>
            <w:vAlign w:val="center"/>
          </w:tcPr>
          <w:p w14:paraId="5703618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70 %</w:t>
            </w:r>
          </w:p>
        </w:tc>
        <w:tc>
          <w:tcPr>
            <w:tcW w:w="828" w:type="pct"/>
            <w:vAlign w:val="center"/>
          </w:tcPr>
          <w:p w14:paraId="37C1F08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52 %</w:t>
            </w:r>
            <w:r w:rsidRPr="00E372E7">
              <w:rPr>
                <w:rFonts w:ascii="Century Gothic" w:hAnsi="Century Gothic"/>
                <w:b/>
                <w:bCs/>
                <w:sz w:val="22"/>
                <w:szCs w:val="22"/>
                <w:vertAlign w:val="superscript"/>
                <w:lang w:val="sl-SI"/>
              </w:rPr>
              <w:footnoteReference w:id="9"/>
            </w:r>
            <w:r w:rsidRPr="00E372E7">
              <w:rPr>
                <w:rFonts w:ascii="Century Gothic" w:hAnsi="Century Gothic"/>
                <w:b/>
                <w:bCs/>
                <w:sz w:val="22"/>
                <w:szCs w:val="22"/>
                <w:lang w:val="sl-SI"/>
              </w:rPr>
              <w:t xml:space="preserve"> (SURS)</w:t>
            </w:r>
          </w:p>
          <w:p w14:paraId="26346AFE"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53 % EU-27</w:t>
            </w:r>
          </w:p>
        </w:tc>
      </w:tr>
      <w:tr w:rsidR="00EB3DFE" w:rsidRPr="00E372E7" w14:paraId="78F96A78" w14:textId="77777777" w:rsidTr="00C14549">
        <w:tc>
          <w:tcPr>
            <w:tcW w:w="1834" w:type="pct"/>
            <w:shd w:val="clear" w:color="auto" w:fill="auto"/>
            <w:vAlign w:val="center"/>
          </w:tcPr>
          <w:p w14:paraId="5045A245"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podjetji (z vsaj 10 zaposlenimi osebami), ki imajo formalno določeno strategijo za varno uporabo informacijsko-komunikacijske opreme (IKT)</w:t>
            </w:r>
          </w:p>
        </w:tc>
        <w:tc>
          <w:tcPr>
            <w:tcW w:w="835" w:type="pct"/>
            <w:shd w:val="clear" w:color="auto" w:fill="auto"/>
            <w:vAlign w:val="center"/>
          </w:tcPr>
          <w:p w14:paraId="1A6F165F"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35 %</w:t>
            </w:r>
          </w:p>
        </w:tc>
        <w:tc>
          <w:tcPr>
            <w:tcW w:w="752" w:type="pct"/>
            <w:shd w:val="clear" w:color="auto" w:fill="auto"/>
            <w:vAlign w:val="center"/>
          </w:tcPr>
          <w:p w14:paraId="32BA042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32 %</w:t>
            </w:r>
          </w:p>
        </w:tc>
        <w:tc>
          <w:tcPr>
            <w:tcW w:w="751" w:type="pct"/>
            <w:shd w:val="clear" w:color="auto" w:fill="auto"/>
            <w:vAlign w:val="center"/>
          </w:tcPr>
          <w:p w14:paraId="253EAE4E"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50 %</w:t>
            </w:r>
          </w:p>
        </w:tc>
        <w:tc>
          <w:tcPr>
            <w:tcW w:w="828" w:type="pct"/>
            <w:vAlign w:val="center"/>
          </w:tcPr>
          <w:p w14:paraId="70B1A12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35 % (SURS)</w:t>
            </w:r>
            <w:r w:rsidRPr="00E372E7">
              <w:rPr>
                <w:rFonts w:ascii="Century Gothic" w:hAnsi="Century Gothic"/>
                <w:b/>
                <w:bCs/>
                <w:sz w:val="22"/>
                <w:szCs w:val="22"/>
                <w:vertAlign w:val="superscript"/>
                <w:lang w:val="sl-SI"/>
              </w:rPr>
              <w:footnoteReference w:id="10"/>
            </w:r>
          </w:p>
          <w:p w14:paraId="6980458F"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33 % EU-27</w:t>
            </w:r>
          </w:p>
        </w:tc>
      </w:tr>
      <w:tr w:rsidR="00EB3DFE" w:rsidRPr="00E372E7" w14:paraId="3B0ABBA4" w14:textId="77777777" w:rsidTr="00C14549">
        <w:trPr>
          <w:trHeight w:val="809"/>
        </w:trPr>
        <w:tc>
          <w:tcPr>
            <w:tcW w:w="1834" w:type="pct"/>
            <w:shd w:val="clear" w:color="auto" w:fill="auto"/>
            <w:vAlign w:val="center"/>
          </w:tcPr>
          <w:p w14:paraId="13767089"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xml:space="preserve">Delež podjetji (z vsaj 10 zaposlenimi osebami), ki </w:t>
            </w:r>
            <w:r w:rsidRPr="00E372E7">
              <w:rPr>
                <w:rFonts w:ascii="Century Gothic" w:hAnsi="Century Gothic"/>
                <w:sz w:val="22"/>
                <w:szCs w:val="22"/>
                <w:lang w:val="sl-SI"/>
              </w:rPr>
              <w:lastRenderedPageBreak/>
              <w:t>imajo formalno določeno strategijo za varno uporabo informacijsko-komunikacijske opreme (IKT) in so jo določili oziroma pregledali v zadnjih 12 mesecih</w:t>
            </w:r>
          </w:p>
        </w:tc>
        <w:tc>
          <w:tcPr>
            <w:tcW w:w="835" w:type="pct"/>
            <w:shd w:val="clear" w:color="auto" w:fill="auto"/>
            <w:vAlign w:val="center"/>
          </w:tcPr>
          <w:p w14:paraId="41C803D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lastRenderedPageBreak/>
              <w:t>27 %</w:t>
            </w:r>
          </w:p>
        </w:tc>
        <w:tc>
          <w:tcPr>
            <w:tcW w:w="752" w:type="pct"/>
            <w:shd w:val="clear" w:color="auto" w:fill="auto"/>
            <w:vAlign w:val="center"/>
          </w:tcPr>
          <w:p w14:paraId="3147772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19 %</w:t>
            </w:r>
          </w:p>
        </w:tc>
        <w:tc>
          <w:tcPr>
            <w:tcW w:w="751" w:type="pct"/>
            <w:shd w:val="clear" w:color="auto" w:fill="auto"/>
            <w:vAlign w:val="center"/>
          </w:tcPr>
          <w:p w14:paraId="1DB2707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45 %</w:t>
            </w:r>
          </w:p>
        </w:tc>
        <w:tc>
          <w:tcPr>
            <w:tcW w:w="828" w:type="pct"/>
            <w:vAlign w:val="center"/>
          </w:tcPr>
          <w:p w14:paraId="6191CE56"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26 % (SURS)</w:t>
            </w:r>
            <w:r w:rsidRPr="00E372E7">
              <w:rPr>
                <w:rFonts w:ascii="Century Gothic" w:hAnsi="Century Gothic"/>
                <w:b/>
                <w:bCs/>
                <w:sz w:val="22"/>
                <w:szCs w:val="22"/>
                <w:vertAlign w:val="superscript"/>
                <w:lang w:val="sl-SI"/>
              </w:rPr>
              <w:footnoteReference w:id="11"/>
            </w:r>
          </w:p>
          <w:p w14:paraId="31A5A72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lastRenderedPageBreak/>
              <w:t>24 % EU-27</w:t>
            </w:r>
          </w:p>
        </w:tc>
      </w:tr>
    </w:tbl>
    <w:p w14:paraId="25CD6410" w14:textId="77777777" w:rsidR="00EB3DFE" w:rsidRPr="006C7B55" w:rsidRDefault="00EB3DFE" w:rsidP="00EB3DFE">
      <w:pPr>
        <w:spacing w:before="120" w:after="160" w:line="276" w:lineRule="auto"/>
        <w:jc w:val="center"/>
        <w:rPr>
          <w:rFonts w:ascii="Century Gothic" w:eastAsiaTheme="minorHAnsi" w:hAnsi="Century Gothic" w:cstheme="minorBidi"/>
          <w:bCs/>
          <w:szCs w:val="20"/>
          <w:lang w:val="sl-SI"/>
        </w:rPr>
      </w:pPr>
      <w:r>
        <w:rPr>
          <w:rFonts w:ascii="Century Gothic" w:eastAsiaTheme="minorHAnsi" w:hAnsi="Century Gothic" w:cstheme="minorBidi"/>
          <w:bCs/>
          <w:szCs w:val="20"/>
          <w:lang w:val="sl-SI"/>
        </w:rPr>
        <w:lastRenderedPageBreak/>
        <w:t>Tabela 6: Kibernetska varnost</w:t>
      </w:r>
    </w:p>
    <w:tbl>
      <w:tblPr>
        <w:tblStyle w:val="TableGrid1"/>
        <w:tblW w:w="5000" w:type="pct"/>
        <w:tblLayout w:type="fixed"/>
        <w:tblLook w:val="04A0" w:firstRow="1" w:lastRow="0" w:firstColumn="1" w:lastColumn="0" w:noHBand="0" w:noVBand="1"/>
      </w:tblPr>
      <w:tblGrid>
        <w:gridCol w:w="3324"/>
        <w:gridCol w:w="1513"/>
        <w:gridCol w:w="1363"/>
        <w:gridCol w:w="1361"/>
        <w:gridCol w:w="1501"/>
      </w:tblGrid>
      <w:tr w:rsidR="00EB3DFE" w:rsidRPr="00E372E7" w14:paraId="09D38E74" w14:textId="77777777" w:rsidTr="00C14549">
        <w:tc>
          <w:tcPr>
            <w:tcW w:w="1834" w:type="pct"/>
            <w:shd w:val="clear" w:color="auto" w:fill="EDEDED" w:themeFill="accent3" w:themeFillTint="33"/>
            <w:vAlign w:val="center"/>
          </w:tcPr>
          <w:p w14:paraId="5384795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KAZALNIK</w:t>
            </w:r>
          </w:p>
        </w:tc>
        <w:tc>
          <w:tcPr>
            <w:tcW w:w="835" w:type="pct"/>
            <w:shd w:val="clear" w:color="auto" w:fill="EDEDED" w:themeFill="accent3" w:themeFillTint="33"/>
            <w:vAlign w:val="center"/>
          </w:tcPr>
          <w:p w14:paraId="1C304CBC"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2014</w:t>
            </w:r>
          </w:p>
        </w:tc>
        <w:tc>
          <w:tcPr>
            <w:tcW w:w="752" w:type="pct"/>
            <w:shd w:val="clear" w:color="auto" w:fill="EDEDED" w:themeFill="accent3" w:themeFillTint="33"/>
            <w:vAlign w:val="center"/>
          </w:tcPr>
          <w:p w14:paraId="03FC966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EU-28 2014</w:t>
            </w:r>
          </w:p>
        </w:tc>
        <w:tc>
          <w:tcPr>
            <w:tcW w:w="751" w:type="pct"/>
            <w:shd w:val="clear" w:color="auto" w:fill="EDEDED" w:themeFill="accent3" w:themeFillTint="33"/>
            <w:vAlign w:val="center"/>
          </w:tcPr>
          <w:p w14:paraId="0C219EB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SI 2020</w:t>
            </w:r>
          </w:p>
        </w:tc>
        <w:tc>
          <w:tcPr>
            <w:tcW w:w="828" w:type="pct"/>
            <w:shd w:val="clear" w:color="auto" w:fill="EDEDED" w:themeFill="accent3" w:themeFillTint="33"/>
            <w:vAlign w:val="center"/>
          </w:tcPr>
          <w:p w14:paraId="00D1C086"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Trenutne vrednosti</w:t>
            </w:r>
          </w:p>
        </w:tc>
      </w:tr>
      <w:tr w:rsidR="00EB3DFE" w:rsidRPr="00E372E7" w14:paraId="341E646A" w14:textId="77777777" w:rsidTr="00C14549">
        <w:tc>
          <w:tcPr>
            <w:tcW w:w="1834" w:type="pct"/>
            <w:vAlign w:val="center"/>
          </w:tcPr>
          <w:p w14:paraId="140CAD5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so v zadnjih 3 mesecih uporabljale internet vsaj 1-krat na teden (redni uporabniki interneta)</w:t>
            </w:r>
          </w:p>
        </w:tc>
        <w:tc>
          <w:tcPr>
            <w:tcW w:w="835" w:type="pct"/>
            <w:vAlign w:val="center"/>
          </w:tcPr>
          <w:p w14:paraId="4562C699"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68 %</w:t>
            </w:r>
          </w:p>
        </w:tc>
        <w:tc>
          <w:tcPr>
            <w:tcW w:w="752" w:type="pct"/>
            <w:vAlign w:val="center"/>
          </w:tcPr>
          <w:p w14:paraId="7969B18F"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75 %</w:t>
            </w:r>
          </w:p>
        </w:tc>
        <w:tc>
          <w:tcPr>
            <w:tcW w:w="751" w:type="pct"/>
            <w:vAlign w:val="center"/>
          </w:tcPr>
          <w:p w14:paraId="66CDB88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75 %</w:t>
            </w:r>
          </w:p>
        </w:tc>
        <w:tc>
          <w:tcPr>
            <w:tcW w:w="828" w:type="pct"/>
            <w:vAlign w:val="center"/>
          </w:tcPr>
          <w:p w14:paraId="7D2CFD5D"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83 % (SURS)</w:t>
            </w:r>
          </w:p>
          <w:p w14:paraId="4200CF5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86 % EU-27</w:t>
            </w:r>
          </w:p>
        </w:tc>
      </w:tr>
      <w:tr w:rsidR="00EB3DFE" w:rsidRPr="00E372E7" w14:paraId="09ED4178" w14:textId="77777777" w:rsidTr="00C14549">
        <w:tc>
          <w:tcPr>
            <w:tcW w:w="1834" w:type="pct"/>
            <w:vAlign w:val="center"/>
          </w:tcPr>
          <w:p w14:paraId="0CFF185E"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so v zadnjih 3 mesecih uporabljale internet skoraj vsak dan (pogosti uporabniki interneta)</w:t>
            </w:r>
          </w:p>
        </w:tc>
        <w:tc>
          <w:tcPr>
            <w:tcW w:w="835" w:type="pct"/>
            <w:vAlign w:val="center"/>
          </w:tcPr>
          <w:p w14:paraId="31568A2B"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58 %</w:t>
            </w:r>
          </w:p>
        </w:tc>
        <w:tc>
          <w:tcPr>
            <w:tcW w:w="752" w:type="pct"/>
            <w:vAlign w:val="center"/>
          </w:tcPr>
          <w:p w14:paraId="5FFF5A0D"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65 %</w:t>
            </w:r>
          </w:p>
        </w:tc>
        <w:tc>
          <w:tcPr>
            <w:tcW w:w="751" w:type="pct"/>
            <w:vAlign w:val="center"/>
          </w:tcPr>
          <w:p w14:paraId="622E9B0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70 %</w:t>
            </w:r>
          </w:p>
        </w:tc>
        <w:tc>
          <w:tcPr>
            <w:tcW w:w="828" w:type="pct"/>
            <w:vAlign w:val="center"/>
          </w:tcPr>
          <w:p w14:paraId="30FE7AD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74 % (SURS)</w:t>
            </w:r>
          </w:p>
          <w:p w14:paraId="2DBB6A6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77 % EU-27</w:t>
            </w:r>
          </w:p>
        </w:tc>
      </w:tr>
      <w:tr w:rsidR="00EB3DFE" w:rsidRPr="00E372E7" w14:paraId="1A1E012D" w14:textId="77777777" w:rsidTr="00C14549">
        <w:tc>
          <w:tcPr>
            <w:tcW w:w="1834" w:type="pct"/>
            <w:vAlign w:val="center"/>
          </w:tcPr>
          <w:p w14:paraId="6DF5427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ki še nikoli niso uporabljale interneta</w:t>
            </w:r>
          </w:p>
        </w:tc>
        <w:tc>
          <w:tcPr>
            <w:tcW w:w="835" w:type="pct"/>
            <w:vAlign w:val="center"/>
          </w:tcPr>
          <w:p w14:paraId="750430C3"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24 %</w:t>
            </w:r>
          </w:p>
        </w:tc>
        <w:tc>
          <w:tcPr>
            <w:tcW w:w="752" w:type="pct"/>
            <w:vAlign w:val="center"/>
          </w:tcPr>
          <w:p w14:paraId="3CCF9F2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18 %</w:t>
            </w:r>
          </w:p>
        </w:tc>
        <w:tc>
          <w:tcPr>
            <w:tcW w:w="751" w:type="pct"/>
            <w:vAlign w:val="center"/>
          </w:tcPr>
          <w:p w14:paraId="04196DD1"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&lt; 15 %</w:t>
            </w:r>
          </w:p>
        </w:tc>
        <w:tc>
          <w:tcPr>
            <w:tcW w:w="828" w:type="pct"/>
            <w:vAlign w:val="center"/>
          </w:tcPr>
          <w:p w14:paraId="5E96ABD0"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13 % (SURS)</w:t>
            </w:r>
          </w:p>
          <w:p w14:paraId="554A2FF1" w14:textId="77777777" w:rsidR="00EB3DFE" w:rsidRPr="00E372E7" w:rsidRDefault="00EB3DFE" w:rsidP="00C14549">
            <w:pPr>
              <w:spacing w:line="276" w:lineRule="auto"/>
              <w:rPr>
                <w:rFonts w:ascii="Century Gothic" w:hAnsi="Century Gothic"/>
                <w:b/>
                <w:sz w:val="22"/>
                <w:szCs w:val="22"/>
                <w:highlight w:val="yellow"/>
                <w:lang w:val="sl-SI"/>
              </w:rPr>
            </w:pPr>
            <w:r w:rsidRPr="00E372E7">
              <w:rPr>
                <w:rFonts w:ascii="Century Gothic" w:hAnsi="Century Gothic"/>
                <w:b/>
                <w:sz w:val="22"/>
                <w:szCs w:val="22"/>
                <w:lang w:val="sl-SI"/>
              </w:rPr>
              <w:t>10 % EU-27</w:t>
            </w:r>
          </w:p>
        </w:tc>
      </w:tr>
      <w:tr w:rsidR="00EB3DFE" w:rsidRPr="00E372E7" w14:paraId="5A4D9A25" w14:textId="77777777" w:rsidTr="00C14549">
        <w:tc>
          <w:tcPr>
            <w:tcW w:w="1834" w:type="pct"/>
            <w:vAlign w:val="center"/>
          </w:tcPr>
          <w:p w14:paraId="0C1FDFE9"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z vsaj osnovnim računalniškim znanjem</w:t>
            </w:r>
            <w:r w:rsidRPr="00E372E7">
              <w:rPr>
                <w:rFonts w:ascii="Century Gothic" w:hAnsi="Century Gothic"/>
                <w:sz w:val="22"/>
                <w:szCs w:val="22"/>
                <w:vertAlign w:val="superscript"/>
                <w:lang w:val="sl-SI"/>
              </w:rPr>
              <w:footnoteReference w:id="12"/>
            </w:r>
          </w:p>
          <w:p w14:paraId="3DDDA8D7"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z vsaj osnovnimi digitalnimi znanji in spretnostmi</w:t>
            </w:r>
          </w:p>
          <w:p w14:paraId="7BA3069C" w14:textId="77777777" w:rsidR="00EB3DFE" w:rsidRPr="00E372E7" w:rsidRDefault="00EB3DFE" w:rsidP="00C14549">
            <w:pPr>
              <w:spacing w:line="276" w:lineRule="auto"/>
              <w:rPr>
                <w:rFonts w:ascii="Century Gothic" w:hAnsi="Century Gothic"/>
                <w:sz w:val="22"/>
                <w:szCs w:val="22"/>
                <w:lang w:val="sl-SI"/>
              </w:rPr>
            </w:pPr>
          </w:p>
        </w:tc>
        <w:tc>
          <w:tcPr>
            <w:tcW w:w="835" w:type="pct"/>
            <w:vAlign w:val="center"/>
          </w:tcPr>
          <w:p w14:paraId="38418BF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56 %</w:t>
            </w:r>
          </w:p>
          <w:p w14:paraId="45A2DE17" w14:textId="77777777" w:rsidR="00EB3DFE" w:rsidRPr="00E372E7" w:rsidRDefault="00EB3DFE" w:rsidP="00C14549">
            <w:pPr>
              <w:spacing w:line="276" w:lineRule="auto"/>
              <w:rPr>
                <w:rFonts w:ascii="Century Gothic" w:hAnsi="Century Gothic"/>
                <w:sz w:val="22"/>
                <w:szCs w:val="22"/>
                <w:lang w:val="sl-SI"/>
              </w:rPr>
            </w:pPr>
          </w:p>
          <w:p w14:paraId="142EF90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51 %</w:t>
            </w:r>
            <w:r w:rsidRPr="00E372E7">
              <w:rPr>
                <w:rFonts w:ascii="Century Gothic" w:hAnsi="Century Gothic"/>
                <w:sz w:val="22"/>
                <w:szCs w:val="22"/>
                <w:vertAlign w:val="superscript"/>
                <w:lang w:val="sl-SI"/>
              </w:rPr>
              <w:footnoteReference w:id="13"/>
            </w:r>
          </w:p>
        </w:tc>
        <w:tc>
          <w:tcPr>
            <w:tcW w:w="752" w:type="pct"/>
            <w:vAlign w:val="center"/>
          </w:tcPr>
          <w:p w14:paraId="6913CE11"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59 %</w:t>
            </w:r>
          </w:p>
          <w:p w14:paraId="37D5442F" w14:textId="77777777" w:rsidR="00EB3DFE" w:rsidRPr="00E372E7" w:rsidRDefault="00EB3DFE" w:rsidP="00C14549">
            <w:pPr>
              <w:spacing w:line="276" w:lineRule="auto"/>
              <w:rPr>
                <w:rFonts w:ascii="Century Gothic" w:hAnsi="Century Gothic"/>
                <w:sz w:val="22"/>
                <w:szCs w:val="22"/>
                <w:lang w:val="sl-SI"/>
              </w:rPr>
            </w:pPr>
          </w:p>
          <w:p w14:paraId="0BA5890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54 %</w:t>
            </w:r>
          </w:p>
        </w:tc>
        <w:tc>
          <w:tcPr>
            <w:tcW w:w="751" w:type="pct"/>
            <w:vAlign w:val="center"/>
          </w:tcPr>
          <w:p w14:paraId="6886B618"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60 %</w:t>
            </w:r>
          </w:p>
          <w:p w14:paraId="1304ADC8" w14:textId="77777777" w:rsidR="00EB3DFE" w:rsidRPr="00E372E7" w:rsidRDefault="00EB3DFE" w:rsidP="00C14549">
            <w:pPr>
              <w:spacing w:line="276" w:lineRule="auto"/>
              <w:rPr>
                <w:rFonts w:ascii="Century Gothic" w:hAnsi="Century Gothic"/>
                <w:sz w:val="22"/>
                <w:szCs w:val="22"/>
                <w:lang w:val="sl-SI"/>
              </w:rPr>
            </w:pPr>
          </w:p>
          <w:p w14:paraId="358B9D2F" w14:textId="77777777" w:rsidR="00EB3DFE" w:rsidRPr="00E372E7" w:rsidRDefault="00EB3DFE" w:rsidP="00C14549">
            <w:pPr>
              <w:spacing w:line="276" w:lineRule="auto"/>
              <w:rPr>
                <w:rFonts w:ascii="Century Gothic" w:hAnsi="Century Gothic"/>
                <w:sz w:val="22"/>
                <w:szCs w:val="22"/>
                <w:lang w:val="sl-SI"/>
              </w:rPr>
            </w:pPr>
          </w:p>
        </w:tc>
        <w:tc>
          <w:tcPr>
            <w:tcW w:w="828" w:type="pct"/>
            <w:vAlign w:val="center"/>
          </w:tcPr>
          <w:p w14:paraId="4819F182" w14:textId="77777777" w:rsidR="00EB3DFE" w:rsidRPr="00E372E7" w:rsidRDefault="00EB3DFE" w:rsidP="00C14549">
            <w:pPr>
              <w:spacing w:line="276" w:lineRule="auto"/>
              <w:rPr>
                <w:rFonts w:ascii="Century Gothic" w:hAnsi="Century Gothic"/>
                <w:b/>
                <w:sz w:val="22"/>
                <w:szCs w:val="22"/>
                <w:lang w:val="sl-SI"/>
              </w:rPr>
            </w:pPr>
          </w:p>
          <w:p w14:paraId="2652F579" w14:textId="77777777" w:rsidR="00EB3DFE" w:rsidRPr="00E372E7" w:rsidRDefault="00EB3DFE" w:rsidP="00C14549">
            <w:pPr>
              <w:spacing w:line="276" w:lineRule="auto"/>
              <w:rPr>
                <w:rFonts w:ascii="Century Gothic" w:hAnsi="Century Gothic"/>
                <w:b/>
                <w:sz w:val="22"/>
                <w:szCs w:val="22"/>
                <w:lang w:val="sl-SI"/>
              </w:rPr>
            </w:pPr>
          </w:p>
          <w:p w14:paraId="579FF65A"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bCs/>
                <w:sz w:val="22"/>
                <w:szCs w:val="22"/>
                <w:lang w:val="sl-SI"/>
              </w:rPr>
              <w:t>55 % (SURS)</w:t>
            </w:r>
            <w:r w:rsidRPr="00E372E7">
              <w:rPr>
                <w:rFonts w:ascii="Century Gothic" w:hAnsi="Century Gothic"/>
                <w:b/>
                <w:bCs/>
                <w:sz w:val="22"/>
                <w:szCs w:val="22"/>
                <w:vertAlign w:val="superscript"/>
                <w:lang w:val="sl-SI"/>
              </w:rPr>
              <w:footnoteReference w:id="14"/>
            </w:r>
          </w:p>
          <w:p w14:paraId="2EBABAE8"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56 % EU-27</w:t>
            </w:r>
          </w:p>
          <w:p w14:paraId="4CA11273" w14:textId="77777777" w:rsidR="00EB3DFE" w:rsidRPr="00E372E7" w:rsidRDefault="00EB3DFE" w:rsidP="00C14549">
            <w:pPr>
              <w:spacing w:line="276" w:lineRule="auto"/>
              <w:rPr>
                <w:rFonts w:ascii="Century Gothic" w:hAnsi="Century Gothic"/>
                <w:b/>
                <w:sz w:val="22"/>
                <w:szCs w:val="22"/>
                <w:lang w:val="sl-SI"/>
              </w:rPr>
            </w:pPr>
          </w:p>
        </w:tc>
      </w:tr>
      <w:tr w:rsidR="00EB3DFE" w:rsidRPr="00001D77" w14:paraId="4B433366" w14:textId="77777777" w:rsidTr="00C14549">
        <w:tc>
          <w:tcPr>
            <w:tcW w:w="1834" w:type="pct"/>
            <w:vAlign w:val="center"/>
          </w:tcPr>
          <w:p w14:paraId="6E1F6B8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Delež posameznikov v starosti 16–74 let s srednjo ali visoko stopnjo računalniškega znanja</w:t>
            </w:r>
          </w:p>
        </w:tc>
        <w:tc>
          <w:tcPr>
            <w:tcW w:w="835" w:type="pct"/>
            <w:vAlign w:val="center"/>
          </w:tcPr>
          <w:p w14:paraId="466C53E9"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52 %</w:t>
            </w:r>
          </w:p>
        </w:tc>
        <w:tc>
          <w:tcPr>
            <w:tcW w:w="752" w:type="pct"/>
            <w:vAlign w:val="center"/>
          </w:tcPr>
          <w:p w14:paraId="44DBEAE2"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51 %</w:t>
            </w:r>
          </w:p>
        </w:tc>
        <w:tc>
          <w:tcPr>
            <w:tcW w:w="751" w:type="pct"/>
            <w:vAlign w:val="center"/>
          </w:tcPr>
          <w:p w14:paraId="43CEC6C1"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 55 %</w:t>
            </w:r>
          </w:p>
        </w:tc>
        <w:tc>
          <w:tcPr>
            <w:tcW w:w="828" w:type="pct"/>
            <w:vAlign w:val="center"/>
          </w:tcPr>
          <w:p w14:paraId="6EABAE1B"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se ne spremlja več v takšni obliki</w:t>
            </w:r>
          </w:p>
        </w:tc>
      </w:tr>
      <w:tr w:rsidR="00EB3DFE" w:rsidRPr="00E372E7" w14:paraId="24A47B63" w14:textId="77777777" w:rsidTr="00C14549">
        <w:tc>
          <w:tcPr>
            <w:tcW w:w="1834" w:type="pct"/>
            <w:vAlign w:val="center"/>
          </w:tcPr>
          <w:p w14:paraId="6C17B7FA"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lastRenderedPageBreak/>
              <w:t>Delež podjetij (nad 10 zaposlenih), ki ima zaposlene strokovnjake za IKT</w:t>
            </w:r>
          </w:p>
        </w:tc>
        <w:tc>
          <w:tcPr>
            <w:tcW w:w="835" w:type="pct"/>
            <w:vAlign w:val="center"/>
          </w:tcPr>
          <w:p w14:paraId="64F9EF8C"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20 %</w:t>
            </w:r>
          </w:p>
        </w:tc>
        <w:tc>
          <w:tcPr>
            <w:tcW w:w="752" w:type="pct"/>
            <w:vAlign w:val="center"/>
          </w:tcPr>
          <w:p w14:paraId="6367C644"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20 %</w:t>
            </w:r>
          </w:p>
        </w:tc>
        <w:tc>
          <w:tcPr>
            <w:tcW w:w="751" w:type="pct"/>
            <w:vAlign w:val="center"/>
          </w:tcPr>
          <w:p w14:paraId="1F2E1AF0"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sz w:val="22"/>
                <w:szCs w:val="22"/>
                <w:lang w:val="sl-SI"/>
              </w:rPr>
              <w:t>&gt; 20 %</w:t>
            </w:r>
          </w:p>
        </w:tc>
        <w:tc>
          <w:tcPr>
            <w:tcW w:w="828" w:type="pct"/>
            <w:vAlign w:val="center"/>
          </w:tcPr>
          <w:p w14:paraId="46CC22CF"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18 % (SURS)</w:t>
            </w:r>
          </w:p>
          <w:p w14:paraId="20602CD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19 % EU-27</w:t>
            </w:r>
          </w:p>
        </w:tc>
      </w:tr>
    </w:tbl>
    <w:p w14:paraId="551E4B8C" w14:textId="77777777" w:rsidR="00EB3DFE" w:rsidRPr="006C7B55" w:rsidRDefault="00EB3DFE" w:rsidP="00EB3DFE">
      <w:pPr>
        <w:spacing w:before="120" w:after="160" w:line="276" w:lineRule="auto"/>
        <w:jc w:val="center"/>
        <w:rPr>
          <w:rFonts w:ascii="Century Gothic" w:eastAsiaTheme="minorHAnsi" w:hAnsi="Century Gothic" w:cstheme="minorBidi"/>
          <w:szCs w:val="20"/>
          <w:lang w:val="sl-SI"/>
        </w:rPr>
      </w:pPr>
      <w:r>
        <w:rPr>
          <w:rFonts w:ascii="Century Gothic" w:eastAsiaTheme="minorHAnsi" w:hAnsi="Century Gothic" w:cstheme="minorBidi"/>
          <w:szCs w:val="20"/>
          <w:lang w:val="sl-SI"/>
        </w:rPr>
        <w:t>Tabela 7: Vključujoča digitalna družba</w:t>
      </w:r>
    </w:p>
    <w:p w14:paraId="064517C0" w14:textId="77777777" w:rsidR="00EB3DFE" w:rsidRPr="00E372E7" w:rsidRDefault="00EB3DFE" w:rsidP="00EB3DFE">
      <w:pPr>
        <w:spacing w:before="120" w:after="160" w:line="276" w:lineRule="auto"/>
        <w:rPr>
          <w:rFonts w:ascii="Century Gothic" w:eastAsiaTheme="minorHAnsi" w:hAnsi="Century Gothic" w:cstheme="minorBidi"/>
          <w:sz w:val="22"/>
          <w:szCs w:val="22"/>
          <w:lang w:val="sl-SI"/>
        </w:rPr>
      </w:pPr>
      <w:r>
        <w:rPr>
          <w:rFonts w:ascii="Century Gothic" w:eastAsiaTheme="minorHAnsi" w:hAnsi="Century Gothic" w:cstheme="minorBidi"/>
          <w:sz w:val="22"/>
          <w:szCs w:val="22"/>
          <w:lang w:val="sl-SI"/>
        </w:rPr>
        <w:t xml:space="preserve">Za zgornje tabel velja naslednja opomba - </w:t>
      </w:r>
      <w:r w:rsidRPr="00E372E7">
        <w:rPr>
          <w:rFonts w:ascii="Century Gothic" w:eastAsiaTheme="minorHAnsi" w:hAnsi="Century Gothic" w:cstheme="minorBidi"/>
          <w:sz w:val="22"/>
          <w:szCs w:val="22"/>
          <w:lang w:val="sl-SI"/>
        </w:rPr>
        <w:t>pri nekaterih kazalnikih je prišlo do odmika od ciljne vrednosti tudi zaradi spremembe metodologije in/ali strukture v družbi in številu podjetij</w:t>
      </w:r>
    </w:p>
    <w:p w14:paraId="23ACC4B8"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Poleg kazalnikov, so bili v strategiji določeni splošni cilji Digitalne Slovenije 2020, ki so vezani na prednostna področja ukrepanja. Prednostna področja so naslednja:</w:t>
      </w:r>
    </w:p>
    <w:p w14:paraId="36038183" w14:textId="77777777" w:rsidR="00EB3DFE" w:rsidRPr="00E372E7" w:rsidRDefault="00EB3DFE" w:rsidP="00EB3DFE">
      <w:pPr>
        <w:numPr>
          <w:ilvl w:val="0"/>
          <w:numId w:val="2"/>
        </w:num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širokopasovna in druga infrastruktura elektronskih komunikacij,</w:t>
      </w:r>
    </w:p>
    <w:p w14:paraId="3F8C610C" w14:textId="77777777" w:rsidR="00EB3DFE" w:rsidRPr="00E372E7" w:rsidRDefault="00EB3DFE" w:rsidP="00EB3DFE">
      <w:pPr>
        <w:numPr>
          <w:ilvl w:val="0"/>
          <w:numId w:val="2"/>
        </w:num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inovativne podatkovno vodene storitve,</w:t>
      </w:r>
    </w:p>
    <w:p w14:paraId="0773D6C4" w14:textId="77777777" w:rsidR="00EB3DFE" w:rsidRPr="00E372E7" w:rsidRDefault="00EB3DFE" w:rsidP="00EB3DFE">
      <w:pPr>
        <w:numPr>
          <w:ilvl w:val="0"/>
          <w:numId w:val="2"/>
        </w:num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digitalno podjetništvo,</w:t>
      </w:r>
    </w:p>
    <w:p w14:paraId="0202C2AC" w14:textId="77777777" w:rsidR="00EB3DFE" w:rsidRPr="00E372E7" w:rsidRDefault="00EB3DFE" w:rsidP="00EB3DFE">
      <w:pPr>
        <w:numPr>
          <w:ilvl w:val="0"/>
          <w:numId w:val="2"/>
        </w:num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kibernetska varnost,</w:t>
      </w:r>
    </w:p>
    <w:p w14:paraId="3EF2ED11" w14:textId="77777777" w:rsidR="00EB3DFE" w:rsidRPr="00E372E7" w:rsidRDefault="00EB3DFE" w:rsidP="00EB3DFE">
      <w:pPr>
        <w:numPr>
          <w:ilvl w:val="0"/>
          <w:numId w:val="2"/>
        </w:num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vključujoča informacijska družba.</w:t>
      </w:r>
    </w:p>
    <w:p w14:paraId="087D81F1"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Pri preglednici strateških ciljev in realiziranih ukrepov, so bili dodani tudi ukrepi, ki v prvotnem dokumentu Strategija Slovenije 2020 niso bili zajeti, vendar pa so posamezni resorji ocenili, da so prispevali k doseganju zadanih ciljev. Ker gre za izredno dinamično področje, je sam namen Digitalne Slovenije že od samega začetka, da se spremljajo trendi in dodajajo novi ukrepi zagotovo upravičen, sej je ključno, da se sledi zadanim ciljem. Podatke za pregled realizacije so prispevali številni resorji in njihovi organi v sestavi, kakor tudi številne neodvisne institucije, ki pa imajo ključno vlogo pri doseganju ciljev na tem področju.</w:t>
      </w:r>
    </w:p>
    <w:p w14:paraId="51EEC015"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Krovni pregled realizacije ukrepov nam pokaže, da je uspešnost 55%. Ob tem velja dodati, da jih je še dodatnih 28% v izvajanju, kar pomeni, da bodo izvedeni, vendar bodo zaključeni po letu 2020, večinoma 2023, kar je skladno s črpanjem evropskim sredstev, še posebej Sklada za raziskave in razvoj (v nadaljevanju ESRR). Ob upoštevanju ukrepov, ki so v izvajanju, pa bo realizacija 83%, kar kaže na to, da so bili ukrepi realno zastavljeni in tako v večini tudi realizirani. Spodaj v preglednici 2 je prikazan krovni pregled uspešnosti realizacije Digitalne Slovenije v številkah in odstotkih.</w:t>
      </w:r>
    </w:p>
    <w:p w14:paraId="4F4BD50C" w14:textId="77777777" w:rsidR="00EB3DFE" w:rsidRPr="00E372E7" w:rsidRDefault="00EB3DFE" w:rsidP="00EB3DFE">
      <w:pPr>
        <w:spacing w:after="160" w:line="276" w:lineRule="auto"/>
        <w:jc w:val="both"/>
        <w:rPr>
          <w:rFonts w:ascii="Century Gothic" w:eastAsiaTheme="minorHAnsi" w:hAnsi="Century Gothic" w:cstheme="minorBidi"/>
          <w:b/>
          <w:sz w:val="22"/>
          <w:szCs w:val="22"/>
          <w:lang w:val="sl-SI"/>
        </w:rPr>
      </w:pPr>
      <w:r w:rsidRPr="00E372E7">
        <w:rPr>
          <w:rFonts w:ascii="Century Gothic" w:eastAsiaTheme="minorHAnsi" w:hAnsi="Century Gothic" w:cstheme="minorBidi"/>
          <w:b/>
          <w:sz w:val="22"/>
          <w:szCs w:val="22"/>
          <w:lang w:val="sl-SI"/>
        </w:rPr>
        <w:t>Preglednica 2: Krovni pregled realizacije vseh ukrepov strategije v številkah in odstotkih</w:t>
      </w:r>
    </w:p>
    <w:tbl>
      <w:tblPr>
        <w:tblStyle w:val="Tabelamrea"/>
        <w:tblW w:w="0" w:type="auto"/>
        <w:jc w:val="center"/>
        <w:tblLook w:val="04A0" w:firstRow="1" w:lastRow="0" w:firstColumn="1" w:lastColumn="0" w:noHBand="0" w:noVBand="1"/>
      </w:tblPr>
      <w:tblGrid>
        <w:gridCol w:w="2834"/>
        <w:gridCol w:w="907"/>
        <w:gridCol w:w="1602"/>
      </w:tblGrid>
      <w:tr w:rsidR="00EB3DFE" w:rsidRPr="00E372E7" w14:paraId="372731F0" w14:textId="77777777" w:rsidTr="00C14549">
        <w:trPr>
          <w:jc w:val="center"/>
        </w:trPr>
        <w:tc>
          <w:tcPr>
            <w:tcW w:w="0" w:type="auto"/>
            <w:vAlign w:val="center"/>
          </w:tcPr>
          <w:p w14:paraId="2B390B05" w14:textId="77777777" w:rsidR="00EB3DFE" w:rsidRPr="00E372E7" w:rsidRDefault="00EB3DFE" w:rsidP="00C14549">
            <w:pPr>
              <w:spacing w:after="160" w:line="276" w:lineRule="auto"/>
              <w:rPr>
                <w:rFonts w:ascii="Century Gothic" w:eastAsiaTheme="minorHAnsi" w:hAnsi="Century Gothic" w:cstheme="minorBidi"/>
                <w:b/>
                <w:sz w:val="22"/>
                <w:szCs w:val="22"/>
                <w:lang w:val="sl-SI"/>
              </w:rPr>
            </w:pPr>
            <w:r w:rsidRPr="00E372E7">
              <w:rPr>
                <w:rFonts w:ascii="Century Gothic" w:eastAsiaTheme="minorHAnsi" w:hAnsi="Century Gothic" w:cstheme="minorBidi"/>
                <w:b/>
                <w:sz w:val="22"/>
                <w:szCs w:val="22"/>
                <w:lang w:val="sl-SI"/>
              </w:rPr>
              <w:t>Kategorija</w:t>
            </w:r>
          </w:p>
        </w:tc>
        <w:tc>
          <w:tcPr>
            <w:tcW w:w="0" w:type="auto"/>
            <w:vAlign w:val="center"/>
          </w:tcPr>
          <w:p w14:paraId="46689A9A" w14:textId="77777777" w:rsidR="00EB3DFE" w:rsidRPr="00E372E7" w:rsidRDefault="00EB3DFE" w:rsidP="00C14549">
            <w:pPr>
              <w:spacing w:after="160" w:line="276" w:lineRule="auto"/>
              <w:rPr>
                <w:rFonts w:ascii="Century Gothic" w:eastAsiaTheme="minorHAnsi" w:hAnsi="Century Gothic" w:cstheme="minorBidi"/>
                <w:b/>
                <w:sz w:val="22"/>
                <w:szCs w:val="22"/>
                <w:lang w:val="sl-SI"/>
              </w:rPr>
            </w:pPr>
            <w:r w:rsidRPr="00E372E7">
              <w:rPr>
                <w:rFonts w:ascii="Century Gothic" w:eastAsiaTheme="minorHAnsi" w:hAnsi="Century Gothic" w:cstheme="minorBidi"/>
                <w:b/>
                <w:sz w:val="22"/>
                <w:szCs w:val="22"/>
                <w:lang w:val="sl-SI"/>
              </w:rPr>
              <w:t>Število</w:t>
            </w:r>
          </w:p>
        </w:tc>
        <w:tc>
          <w:tcPr>
            <w:tcW w:w="0" w:type="auto"/>
            <w:vAlign w:val="center"/>
          </w:tcPr>
          <w:p w14:paraId="35FFF357" w14:textId="77777777" w:rsidR="00EB3DFE" w:rsidRPr="00E372E7" w:rsidRDefault="00EB3DFE" w:rsidP="00C14549">
            <w:pPr>
              <w:spacing w:after="160" w:line="276" w:lineRule="auto"/>
              <w:rPr>
                <w:rFonts w:ascii="Century Gothic" w:eastAsiaTheme="minorHAnsi" w:hAnsi="Century Gothic" w:cstheme="minorBidi"/>
                <w:b/>
                <w:sz w:val="22"/>
                <w:szCs w:val="22"/>
                <w:lang w:val="sl-SI"/>
              </w:rPr>
            </w:pPr>
            <w:r w:rsidRPr="00E372E7">
              <w:rPr>
                <w:rFonts w:ascii="Century Gothic" w:eastAsiaTheme="minorHAnsi" w:hAnsi="Century Gothic" w:cstheme="minorBidi"/>
                <w:b/>
                <w:sz w:val="22"/>
                <w:szCs w:val="22"/>
                <w:lang w:val="sl-SI"/>
              </w:rPr>
              <w:t>Odstotek (%)</w:t>
            </w:r>
          </w:p>
        </w:tc>
      </w:tr>
      <w:tr w:rsidR="00EB3DFE" w:rsidRPr="00E372E7" w14:paraId="3778D48A" w14:textId="77777777" w:rsidTr="00C14549">
        <w:trPr>
          <w:jc w:val="center"/>
        </w:trPr>
        <w:tc>
          <w:tcPr>
            <w:tcW w:w="0" w:type="auto"/>
            <w:vAlign w:val="center"/>
          </w:tcPr>
          <w:p w14:paraId="75B39C26"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hAnsi="Century Gothic"/>
                <w:bCs/>
                <w:sz w:val="22"/>
                <w:szCs w:val="22"/>
                <w:lang w:val="sl-SI"/>
              </w:rPr>
              <w:t>Št. vseh ukrepov</w:t>
            </w:r>
          </w:p>
        </w:tc>
        <w:tc>
          <w:tcPr>
            <w:tcW w:w="0" w:type="auto"/>
            <w:vAlign w:val="center"/>
          </w:tcPr>
          <w:p w14:paraId="067A6774"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60</w:t>
            </w:r>
          </w:p>
        </w:tc>
        <w:tc>
          <w:tcPr>
            <w:tcW w:w="0" w:type="auto"/>
            <w:vAlign w:val="center"/>
          </w:tcPr>
          <w:p w14:paraId="20DF742E"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100</w:t>
            </w:r>
          </w:p>
        </w:tc>
      </w:tr>
      <w:tr w:rsidR="00EB3DFE" w:rsidRPr="00E372E7" w14:paraId="05CEACD0" w14:textId="77777777" w:rsidTr="00C14549">
        <w:trPr>
          <w:jc w:val="center"/>
        </w:trPr>
        <w:tc>
          <w:tcPr>
            <w:tcW w:w="0" w:type="auto"/>
            <w:vAlign w:val="center"/>
          </w:tcPr>
          <w:p w14:paraId="317E8514"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hAnsi="Century Gothic"/>
                <w:bCs/>
                <w:sz w:val="22"/>
                <w:szCs w:val="22"/>
                <w:lang w:val="sl-SI"/>
              </w:rPr>
              <w:t>Realizirani</w:t>
            </w:r>
          </w:p>
        </w:tc>
        <w:tc>
          <w:tcPr>
            <w:tcW w:w="0" w:type="auto"/>
            <w:vAlign w:val="center"/>
          </w:tcPr>
          <w:p w14:paraId="5DC42D06"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33</w:t>
            </w:r>
          </w:p>
        </w:tc>
        <w:tc>
          <w:tcPr>
            <w:tcW w:w="0" w:type="auto"/>
            <w:vAlign w:val="center"/>
          </w:tcPr>
          <w:p w14:paraId="4A003A70"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55</w:t>
            </w:r>
          </w:p>
        </w:tc>
      </w:tr>
      <w:tr w:rsidR="00EB3DFE" w:rsidRPr="00E372E7" w14:paraId="5A615AFB" w14:textId="77777777" w:rsidTr="00C14549">
        <w:trPr>
          <w:jc w:val="center"/>
        </w:trPr>
        <w:tc>
          <w:tcPr>
            <w:tcW w:w="0" w:type="auto"/>
            <w:vAlign w:val="center"/>
          </w:tcPr>
          <w:p w14:paraId="64C85E09"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hAnsi="Century Gothic"/>
                <w:bCs/>
                <w:sz w:val="22"/>
                <w:szCs w:val="22"/>
                <w:lang w:val="sl-SI"/>
              </w:rPr>
              <w:t>Nerealizirani</w:t>
            </w:r>
          </w:p>
        </w:tc>
        <w:tc>
          <w:tcPr>
            <w:tcW w:w="0" w:type="auto"/>
            <w:vAlign w:val="center"/>
          </w:tcPr>
          <w:p w14:paraId="75CC5B21"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27</w:t>
            </w:r>
          </w:p>
        </w:tc>
        <w:tc>
          <w:tcPr>
            <w:tcW w:w="0" w:type="auto"/>
            <w:vAlign w:val="center"/>
          </w:tcPr>
          <w:p w14:paraId="3BD0F55A"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45</w:t>
            </w:r>
          </w:p>
        </w:tc>
      </w:tr>
      <w:tr w:rsidR="00EB3DFE" w:rsidRPr="00E372E7" w14:paraId="528B97AB" w14:textId="77777777" w:rsidTr="00C14549">
        <w:trPr>
          <w:jc w:val="center"/>
        </w:trPr>
        <w:tc>
          <w:tcPr>
            <w:tcW w:w="0" w:type="auto"/>
            <w:vAlign w:val="center"/>
          </w:tcPr>
          <w:p w14:paraId="63EC2E7E"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hAnsi="Century Gothic"/>
                <w:bCs/>
                <w:sz w:val="22"/>
                <w:szCs w:val="22"/>
                <w:lang w:val="sl-SI"/>
              </w:rPr>
              <w:t>Nerealizirani – v izvajanju</w:t>
            </w:r>
          </w:p>
        </w:tc>
        <w:tc>
          <w:tcPr>
            <w:tcW w:w="0" w:type="auto"/>
            <w:vAlign w:val="center"/>
          </w:tcPr>
          <w:p w14:paraId="76C07368"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17</w:t>
            </w:r>
          </w:p>
        </w:tc>
        <w:tc>
          <w:tcPr>
            <w:tcW w:w="0" w:type="auto"/>
            <w:vAlign w:val="center"/>
          </w:tcPr>
          <w:p w14:paraId="5018629A" w14:textId="77777777" w:rsidR="00EB3DFE" w:rsidRPr="007F5AB2" w:rsidRDefault="00EB3DFE" w:rsidP="00C14549">
            <w:pPr>
              <w:spacing w:after="160" w:line="276" w:lineRule="auto"/>
              <w:rPr>
                <w:rFonts w:ascii="Century Gothic" w:eastAsiaTheme="minorHAnsi" w:hAnsi="Century Gothic" w:cstheme="minorBidi"/>
                <w:bCs/>
                <w:sz w:val="22"/>
                <w:szCs w:val="22"/>
                <w:lang w:val="sl-SI"/>
              </w:rPr>
            </w:pPr>
            <w:r w:rsidRPr="007F5AB2">
              <w:rPr>
                <w:rFonts w:ascii="Century Gothic" w:eastAsiaTheme="minorHAnsi" w:hAnsi="Century Gothic" w:cstheme="minorBidi"/>
                <w:bCs/>
                <w:sz w:val="22"/>
                <w:szCs w:val="22"/>
                <w:lang w:val="sl-SI"/>
              </w:rPr>
              <w:t>28</w:t>
            </w:r>
          </w:p>
        </w:tc>
      </w:tr>
    </w:tbl>
    <w:p w14:paraId="50466046" w14:textId="77777777" w:rsidR="00EB3DFE" w:rsidRPr="00E372E7" w:rsidRDefault="00EB3DFE" w:rsidP="00EB3DFE">
      <w:pPr>
        <w:spacing w:before="120"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lastRenderedPageBreak/>
        <w:t>Pregled realizacije ukrepov po petih prednostnih področjih pa nam pokaže podrobnejši področni pregled. Najboljša realizacija je na področje kibernetske varnosti, kjer bodo ob zaključku ukrepa v izvajanju, realizirani vsi ukrepi, torej 100%. Najslabša realizacija je na področju digitalnega podjetništva, kjer je realizacija samo 22% in tudi ob upoštevanju ukrepov v izvajanju, ne bo presegla 48%. Na tem področju bo v prihodnje potrebno temeljito preveriti, kje je razlog za neuspešnost in postaviti nove oziroma druge ukrepe za prihodnje obdobje, saj gre za pomembno področje, kjer je digitalna transformacija ključnega pomena.</w:t>
      </w:r>
    </w:p>
    <w:p w14:paraId="36E83F83"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Tudi na področju prepoznavanja prednosti uporabe in poznavanja novih tehnologij, pristopov, poslovnih procesov/modelov ipd. bo v prihodnje potrebno okrepiti in prilagoditi aktivnosti, saj je realizacija samo 42%. V tem segmentu so namreč predvideni ukrepi za promocijo in ozaveščanje celotne slovenske družbe, kar je pomembno tako z vidika prihodnjih, novih, kompetenc, kakor tudi z vidika vključevanja vseh skupin prebivalstva v novodobne priložnosti ki jih tehnologije ponujajo.</w:t>
      </w:r>
    </w:p>
    <w:p w14:paraId="06D95584" w14:textId="77777777" w:rsidR="00EB3DFE" w:rsidRPr="00E372E7" w:rsidRDefault="00EB3DFE" w:rsidP="00EB3DFE">
      <w:pPr>
        <w:spacing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 xml:space="preserve">Podobni sta pri realizaciji področij infrastruktura elektronskih komunikacij in inovativne podatkovne storitve, kjer je realizacija 75% oziroma 67%. Na področju infrastrukture ostaja odprt manjši del in sicer pokrivanje področij, kjer ni izražen dovoljšni tržni interes za gradnjo ustrezne infrastrukture. Na področju podatkovno vodenih storitev pa z uvajanjem novih tehnologij raste tudi potreba in zahteva po večjem številu storitev, ki temeljijo na podatkih in omogočajo lažje upravljanje s podatki in kreiranje novih storitev za podjetja in državljane. Takšne storitve predstavljajo časovne in ekonomične prihranke. </w:t>
      </w:r>
    </w:p>
    <w:p w14:paraId="5AB26305" w14:textId="77777777" w:rsidR="00EB3DFE" w:rsidRPr="00E372E7" w:rsidRDefault="00EB3DFE" w:rsidP="00EB3DFE">
      <w:pPr>
        <w:spacing w:after="160" w:line="276" w:lineRule="auto"/>
        <w:jc w:val="both"/>
        <w:rPr>
          <w:rFonts w:ascii="Century Gothic" w:eastAsiaTheme="minorHAnsi" w:hAnsi="Century Gothic" w:cstheme="minorBidi"/>
          <w:b/>
          <w:sz w:val="22"/>
          <w:szCs w:val="22"/>
          <w:lang w:val="sl-SI"/>
        </w:rPr>
      </w:pPr>
      <w:r w:rsidRPr="00E372E7">
        <w:rPr>
          <w:rFonts w:ascii="Century Gothic" w:eastAsiaTheme="minorHAnsi" w:hAnsi="Century Gothic" w:cstheme="minorBidi"/>
          <w:b/>
          <w:sz w:val="22"/>
          <w:szCs w:val="22"/>
          <w:lang w:val="sl-SI"/>
        </w:rPr>
        <w:t>Preglednica 3: Pregled realizacije ukrepov po prednostnih področjih v številkah in odstotkih</w:t>
      </w:r>
    </w:p>
    <w:tbl>
      <w:tblPr>
        <w:tblStyle w:val="TableGrid1"/>
        <w:tblW w:w="0" w:type="auto"/>
        <w:tblLook w:val="04A0" w:firstRow="1" w:lastRow="0" w:firstColumn="1" w:lastColumn="0" w:noHBand="0" w:noVBand="1"/>
      </w:tblPr>
      <w:tblGrid>
        <w:gridCol w:w="1375"/>
        <w:gridCol w:w="864"/>
        <w:gridCol w:w="929"/>
        <w:gridCol w:w="1007"/>
        <w:gridCol w:w="929"/>
        <w:gridCol w:w="1188"/>
        <w:gridCol w:w="929"/>
        <w:gridCol w:w="912"/>
        <w:gridCol w:w="929"/>
      </w:tblGrid>
      <w:tr w:rsidR="00EB3DFE" w:rsidRPr="003905BC" w14:paraId="17C383B3" w14:textId="77777777" w:rsidTr="00C14549">
        <w:tc>
          <w:tcPr>
            <w:tcW w:w="0" w:type="auto"/>
            <w:vAlign w:val="center"/>
          </w:tcPr>
          <w:p w14:paraId="088DAE41" w14:textId="77777777" w:rsidR="00EB3DFE" w:rsidRPr="00E372E7" w:rsidRDefault="00EB3DFE" w:rsidP="00C14549">
            <w:pPr>
              <w:spacing w:line="276" w:lineRule="auto"/>
              <w:rPr>
                <w:rFonts w:ascii="Century Gothic" w:hAnsi="Century Gothic"/>
                <w:b/>
                <w:sz w:val="22"/>
                <w:szCs w:val="22"/>
                <w:lang w:val="sl-SI"/>
              </w:rPr>
            </w:pPr>
            <w:bookmarkStart w:id="2" w:name="_Hlk68774984"/>
            <w:r w:rsidRPr="00E372E7">
              <w:rPr>
                <w:rFonts w:ascii="Century Gothic" w:hAnsi="Century Gothic"/>
                <w:b/>
                <w:sz w:val="22"/>
                <w:szCs w:val="22"/>
                <w:lang w:val="sl-SI"/>
              </w:rPr>
              <w:t>Področje</w:t>
            </w:r>
          </w:p>
        </w:tc>
        <w:tc>
          <w:tcPr>
            <w:tcW w:w="0" w:type="auto"/>
            <w:vAlign w:val="center"/>
          </w:tcPr>
          <w:p w14:paraId="3E62BB9F" w14:textId="77777777" w:rsidR="00EB3DFE" w:rsidRPr="00E372E7" w:rsidRDefault="00EB3DFE" w:rsidP="00C14549">
            <w:pPr>
              <w:spacing w:line="276" w:lineRule="auto"/>
              <w:rPr>
                <w:rFonts w:ascii="Century Gothic" w:hAnsi="Century Gothic"/>
                <w:sz w:val="22"/>
                <w:szCs w:val="22"/>
                <w:lang w:val="sl-SI"/>
              </w:rPr>
            </w:pPr>
            <w:r w:rsidRPr="00E372E7">
              <w:rPr>
                <w:rFonts w:ascii="Century Gothic" w:hAnsi="Century Gothic"/>
                <w:b/>
                <w:sz w:val="22"/>
                <w:szCs w:val="22"/>
                <w:lang w:val="sl-SI"/>
              </w:rPr>
              <w:t>Št.</w:t>
            </w:r>
            <w:r>
              <w:rPr>
                <w:rFonts w:ascii="Century Gothic" w:hAnsi="Century Gothic"/>
                <w:b/>
                <w:sz w:val="22"/>
                <w:szCs w:val="22"/>
                <w:lang w:val="sl-SI"/>
              </w:rPr>
              <w:t xml:space="preserve"> </w:t>
            </w:r>
            <w:r w:rsidRPr="00E372E7">
              <w:rPr>
                <w:rFonts w:ascii="Century Gothic" w:hAnsi="Century Gothic"/>
                <w:b/>
                <w:sz w:val="22"/>
                <w:szCs w:val="22"/>
                <w:lang w:val="sl-SI"/>
              </w:rPr>
              <w:t>vseh ukrepov</w:t>
            </w:r>
          </w:p>
        </w:tc>
        <w:tc>
          <w:tcPr>
            <w:tcW w:w="0" w:type="auto"/>
            <w:vAlign w:val="center"/>
          </w:tcPr>
          <w:p w14:paraId="6CC48B97" w14:textId="77777777" w:rsidR="00EB3DFE" w:rsidRPr="00E372E7" w:rsidRDefault="00EB3DFE" w:rsidP="00C14549">
            <w:pPr>
              <w:spacing w:line="276" w:lineRule="auto"/>
              <w:rPr>
                <w:rFonts w:ascii="Century Gothic" w:hAnsi="Century Gothic"/>
                <w:sz w:val="22"/>
                <w:szCs w:val="22"/>
                <w:lang w:val="sl-SI"/>
              </w:rPr>
            </w:pPr>
            <w:r>
              <w:rPr>
                <w:rFonts w:ascii="Century Gothic" w:hAnsi="Century Gothic"/>
                <w:b/>
                <w:sz w:val="22"/>
                <w:szCs w:val="22"/>
                <w:lang w:val="sl-SI"/>
              </w:rPr>
              <w:t>Odstotek</w:t>
            </w:r>
          </w:p>
        </w:tc>
        <w:tc>
          <w:tcPr>
            <w:tcW w:w="0" w:type="auto"/>
            <w:vAlign w:val="center"/>
          </w:tcPr>
          <w:p w14:paraId="4B2C0EF9" w14:textId="77777777" w:rsidR="00EB3DFE" w:rsidRPr="003905BC" w:rsidRDefault="00EB3DFE" w:rsidP="00C14549">
            <w:pPr>
              <w:spacing w:line="276" w:lineRule="auto"/>
              <w:rPr>
                <w:rFonts w:ascii="Century Gothic" w:hAnsi="Century Gothic"/>
                <w:b/>
                <w:bCs/>
                <w:sz w:val="22"/>
                <w:szCs w:val="22"/>
                <w:lang w:val="sl-SI"/>
              </w:rPr>
            </w:pPr>
            <w:r w:rsidRPr="003905BC">
              <w:rPr>
                <w:rFonts w:ascii="Century Gothic" w:hAnsi="Century Gothic"/>
                <w:b/>
                <w:bCs/>
                <w:sz w:val="22"/>
                <w:szCs w:val="22"/>
                <w:lang w:val="sl-SI"/>
              </w:rPr>
              <w:t>Realizirani</w:t>
            </w:r>
          </w:p>
        </w:tc>
        <w:tc>
          <w:tcPr>
            <w:tcW w:w="0" w:type="auto"/>
            <w:vAlign w:val="center"/>
          </w:tcPr>
          <w:p w14:paraId="74474EAE" w14:textId="77777777" w:rsidR="00EB3DFE" w:rsidRPr="003905BC" w:rsidRDefault="00EB3DFE" w:rsidP="00C14549">
            <w:pPr>
              <w:spacing w:line="276" w:lineRule="auto"/>
              <w:rPr>
                <w:rFonts w:ascii="Century Gothic" w:hAnsi="Century Gothic"/>
                <w:b/>
                <w:bCs/>
                <w:sz w:val="22"/>
                <w:szCs w:val="22"/>
                <w:lang w:val="sl-SI"/>
              </w:rPr>
            </w:pPr>
            <w:r w:rsidRPr="003905BC">
              <w:rPr>
                <w:rFonts w:ascii="Century Gothic" w:hAnsi="Century Gothic"/>
                <w:b/>
                <w:bCs/>
                <w:sz w:val="22"/>
                <w:szCs w:val="22"/>
                <w:lang w:val="sl-SI"/>
              </w:rPr>
              <w:t>Odstote</w:t>
            </w:r>
            <w:r>
              <w:rPr>
                <w:rFonts w:ascii="Century Gothic" w:hAnsi="Century Gothic"/>
                <w:b/>
                <w:bCs/>
                <w:sz w:val="22"/>
                <w:szCs w:val="22"/>
                <w:lang w:val="sl-SI"/>
              </w:rPr>
              <w:t>k</w:t>
            </w:r>
          </w:p>
        </w:tc>
        <w:tc>
          <w:tcPr>
            <w:tcW w:w="0" w:type="auto"/>
            <w:vAlign w:val="center"/>
          </w:tcPr>
          <w:p w14:paraId="6EA25C73" w14:textId="77777777" w:rsidR="00EB3DFE" w:rsidRPr="003905BC" w:rsidRDefault="00EB3DFE" w:rsidP="00C14549">
            <w:pPr>
              <w:spacing w:line="276" w:lineRule="auto"/>
              <w:rPr>
                <w:rFonts w:ascii="Century Gothic" w:hAnsi="Century Gothic"/>
                <w:b/>
                <w:bCs/>
                <w:sz w:val="22"/>
                <w:szCs w:val="22"/>
                <w:lang w:val="sl-SI"/>
              </w:rPr>
            </w:pPr>
            <w:r w:rsidRPr="003905BC">
              <w:rPr>
                <w:rFonts w:ascii="Century Gothic" w:hAnsi="Century Gothic"/>
                <w:b/>
                <w:bCs/>
                <w:sz w:val="22"/>
                <w:szCs w:val="22"/>
                <w:lang w:val="sl-SI"/>
              </w:rPr>
              <w:t>Nerealizirani</w:t>
            </w:r>
          </w:p>
        </w:tc>
        <w:tc>
          <w:tcPr>
            <w:tcW w:w="0" w:type="auto"/>
            <w:vAlign w:val="center"/>
          </w:tcPr>
          <w:p w14:paraId="65C18FB3" w14:textId="77777777" w:rsidR="00EB3DFE" w:rsidRPr="003905BC" w:rsidRDefault="00EB3DFE" w:rsidP="00C14549">
            <w:pPr>
              <w:spacing w:line="276" w:lineRule="auto"/>
              <w:rPr>
                <w:rFonts w:ascii="Century Gothic" w:hAnsi="Century Gothic"/>
                <w:b/>
                <w:bCs/>
                <w:sz w:val="22"/>
                <w:szCs w:val="22"/>
                <w:lang w:val="sl-SI"/>
              </w:rPr>
            </w:pPr>
            <w:r>
              <w:rPr>
                <w:rFonts w:ascii="Century Gothic" w:hAnsi="Century Gothic"/>
                <w:b/>
                <w:bCs/>
                <w:sz w:val="22"/>
                <w:szCs w:val="22"/>
                <w:lang w:val="sl-SI"/>
              </w:rPr>
              <w:t>Odstotek</w:t>
            </w:r>
          </w:p>
        </w:tc>
        <w:tc>
          <w:tcPr>
            <w:tcW w:w="0" w:type="auto"/>
            <w:vAlign w:val="center"/>
          </w:tcPr>
          <w:p w14:paraId="4DB2C3D5" w14:textId="77777777" w:rsidR="00EB3DFE" w:rsidRPr="003905BC" w:rsidRDefault="00EB3DFE" w:rsidP="00C14549">
            <w:pPr>
              <w:spacing w:line="276" w:lineRule="auto"/>
              <w:rPr>
                <w:rFonts w:ascii="Century Gothic" w:hAnsi="Century Gothic"/>
                <w:b/>
                <w:bCs/>
                <w:sz w:val="22"/>
                <w:szCs w:val="22"/>
                <w:lang w:val="sl-SI"/>
              </w:rPr>
            </w:pPr>
            <w:r>
              <w:rPr>
                <w:rFonts w:ascii="Century Gothic" w:hAnsi="Century Gothic"/>
                <w:b/>
                <w:bCs/>
                <w:sz w:val="22"/>
                <w:szCs w:val="22"/>
                <w:lang w:val="sl-SI"/>
              </w:rPr>
              <w:t>V izvajanju</w:t>
            </w:r>
          </w:p>
        </w:tc>
        <w:tc>
          <w:tcPr>
            <w:tcW w:w="0" w:type="auto"/>
            <w:vAlign w:val="center"/>
          </w:tcPr>
          <w:p w14:paraId="5E0F9B3E" w14:textId="77777777" w:rsidR="00EB3DFE" w:rsidRPr="003905BC" w:rsidRDefault="00EB3DFE" w:rsidP="00C14549">
            <w:pPr>
              <w:spacing w:line="276" w:lineRule="auto"/>
              <w:rPr>
                <w:rFonts w:ascii="Century Gothic" w:hAnsi="Century Gothic"/>
                <w:b/>
                <w:bCs/>
                <w:sz w:val="22"/>
                <w:szCs w:val="22"/>
                <w:lang w:val="sl-SI"/>
              </w:rPr>
            </w:pPr>
            <w:r>
              <w:rPr>
                <w:rFonts w:ascii="Century Gothic" w:hAnsi="Century Gothic"/>
                <w:b/>
                <w:bCs/>
                <w:sz w:val="22"/>
                <w:szCs w:val="22"/>
                <w:lang w:val="sl-SI"/>
              </w:rPr>
              <w:t>Odstotek</w:t>
            </w:r>
          </w:p>
        </w:tc>
      </w:tr>
      <w:tr w:rsidR="00EB3DFE" w:rsidRPr="00E372E7" w14:paraId="7E40AE51" w14:textId="77777777" w:rsidTr="00C14549">
        <w:tc>
          <w:tcPr>
            <w:tcW w:w="0" w:type="auto"/>
            <w:vAlign w:val="center"/>
          </w:tcPr>
          <w:p w14:paraId="42A02C44"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Širokopasovna in druga infrastruktura elektronskih komunikacij</w:t>
            </w:r>
          </w:p>
        </w:tc>
        <w:tc>
          <w:tcPr>
            <w:tcW w:w="0" w:type="auto"/>
            <w:vAlign w:val="center"/>
          </w:tcPr>
          <w:p w14:paraId="15CEF610" w14:textId="77777777" w:rsidR="00EB3DFE" w:rsidRPr="003905BC" w:rsidRDefault="00EB3DFE" w:rsidP="00C14549">
            <w:pPr>
              <w:spacing w:line="276" w:lineRule="auto"/>
              <w:rPr>
                <w:rFonts w:ascii="Century Gothic" w:hAnsi="Century Gothic"/>
                <w:bCs/>
                <w:sz w:val="22"/>
                <w:szCs w:val="22"/>
                <w:lang w:val="sl-SI"/>
              </w:rPr>
            </w:pPr>
            <w:r w:rsidRPr="003905BC">
              <w:rPr>
                <w:rFonts w:ascii="Century Gothic" w:hAnsi="Century Gothic"/>
                <w:bCs/>
                <w:sz w:val="22"/>
                <w:szCs w:val="22"/>
                <w:lang w:val="sl-SI"/>
              </w:rPr>
              <w:t>12</w:t>
            </w:r>
          </w:p>
        </w:tc>
        <w:tc>
          <w:tcPr>
            <w:tcW w:w="0" w:type="auto"/>
            <w:vAlign w:val="center"/>
          </w:tcPr>
          <w:p w14:paraId="3FC2709F" w14:textId="77777777" w:rsidR="00EB3DFE" w:rsidRPr="003905BC" w:rsidRDefault="00EB3DFE" w:rsidP="00C14549">
            <w:pPr>
              <w:spacing w:line="276" w:lineRule="auto"/>
              <w:rPr>
                <w:rFonts w:ascii="Century Gothic" w:hAnsi="Century Gothic"/>
                <w:bCs/>
                <w:sz w:val="22"/>
                <w:szCs w:val="22"/>
                <w:lang w:val="sl-SI"/>
              </w:rPr>
            </w:pPr>
            <w:r w:rsidRPr="003905BC">
              <w:rPr>
                <w:rFonts w:ascii="Century Gothic" w:hAnsi="Century Gothic"/>
                <w:bCs/>
                <w:sz w:val="22"/>
                <w:szCs w:val="22"/>
                <w:lang w:val="sl-SI"/>
              </w:rPr>
              <w:t>100%</w:t>
            </w:r>
          </w:p>
        </w:tc>
        <w:tc>
          <w:tcPr>
            <w:tcW w:w="0" w:type="auto"/>
            <w:vAlign w:val="center"/>
          </w:tcPr>
          <w:p w14:paraId="21674F11"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9</w:t>
            </w:r>
          </w:p>
        </w:tc>
        <w:tc>
          <w:tcPr>
            <w:tcW w:w="0" w:type="auto"/>
            <w:vAlign w:val="center"/>
          </w:tcPr>
          <w:p w14:paraId="135107B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75%</w:t>
            </w:r>
          </w:p>
        </w:tc>
        <w:tc>
          <w:tcPr>
            <w:tcW w:w="0" w:type="auto"/>
            <w:vAlign w:val="center"/>
          </w:tcPr>
          <w:p w14:paraId="26A17E00"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3</w:t>
            </w:r>
          </w:p>
        </w:tc>
        <w:tc>
          <w:tcPr>
            <w:tcW w:w="0" w:type="auto"/>
            <w:vAlign w:val="center"/>
          </w:tcPr>
          <w:p w14:paraId="1C6B984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25%</w:t>
            </w:r>
          </w:p>
        </w:tc>
        <w:tc>
          <w:tcPr>
            <w:tcW w:w="0" w:type="auto"/>
            <w:vAlign w:val="center"/>
          </w:tcPr>
          <w:p w14:paraId="66BD79D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2</w:t>
            </w:r>
          </w:p>
        </w:tc>
        <w:tc>
          <w:tcPr>
            <w:tcW w:w="0" w:type="auto"/>
            <w:vAlign w:val="center"/>
          </w:tcPr>
          <w:p w14:paraId="0DF800BB"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15%</w:t>
            </w:r>
          </w:p>
        </w:tc>
      </w:tr>
      <w:tr w:rsidR="00EB3DFE" w:rsidRPr="00E372E7" w14:paraId="1E1D2C86" w14:textId="77777777" w:rsidTr="00C14549">
        <w:tc>
          <w:tcPr>
            <w:tcW w:w="0" w:type="auto"/>
            <w:vAlign w:val="center"/>
          </w:tcPr>
          <w:p w14:paraId="126C55F6"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Inovativne podatkovno vodene storitve</w:t>
            </w:r>
          </w:p>
        </w:tc>
        <w:tc>
          <w:tcPr>
            <w:tcW w:w="0" w:type="auto"/>
            <w:vAlign w:val="center"/>
          </w:tcPr>
          <w:p w14:paraId="612A6DA5"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15</w:t>
            </w:r>
          </w:p>
        </w:tc>
        <w:tc>
          <w:tcPr>
            <w:tcW w:w="0" w:type="auto"/>
            <w:vAlign w:val="center"/>
          </w:tcPr>
          <w:p w14:paraId="33BD4462" w14:textId="77777777" w:rsidR="00EB3DFE" w:rsidRPr="003905BC" w:rsidRDefault="00EB3DFE" w:rsidP="00C14549">
            <w:pPr>
              <w:spacing w:line="276" w:lineRule="auto"/>
              <w:rPr>
                <w:rFonts w:ascii="Century Gothic" w:hAnsi="Century Gothic"/>
                <w:bCs/>
                <w:sz w:val="22"/>
                <w:szCs w:val="22"/>
                <w:lang w:val="sl-SI"/>
              </w:rPr>
            </w:pPr>
            <w:r w:rsidRPr="003905BC">
              <w:rPr>
                <w:rFonts w:ascii="Century Gothic" w:hAnsi="Century Gothic"/>
                <w:bCs/>
                <w:sz w:val="22"/>
                <w:szCs w:val="22"/>
                <w:lang w:val="sl-SI"/>
              </w:rPr>
              <w:t>100%</w:t>
            </w:r>
          </w:p>
        </w:tc>
        <w:tc>
          <w:tcPr>
            <w:tcW w:w="0" w:type="auto"/>
            <w:vAlign w:val="center"/>
          </w:tcPr>
          <w:p w14:paraId="7EF53D9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10</w:t>
            </w:r>
          </w:p>
        </w:tc>
        <w:tc>
          <w:tcPr>
            <w:tcW w:w="0" w:type="auto"/>
            <w:vAlign w:val="center"/>
          </w:tcPr>
          <w:p w14:paraId="2148A977"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67%</w:t>
            </w:r>
          </w:p>
        </w:tc>
        <w:tc>
          <w:tcPr>
            <w:tcW w:w="0" w:type="auto"/>
            <w:vAlign w:val="center"/>
          </w:tcPr>
          <w:p w14:paraId="7B9A0B60"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5</w:t>
            </w:r>
          </w:p>
        </w:tc>
        <w:tc>
          <w:tcPr>
            <w:tcW w:w="0" w:type="auto"/>
            <w:vAlign w:val="center"/>
          </w:tcPr>
          <w:p w14:paraId="5FB3573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33%</w:t>
            </w:r>
          </w:p>
        </w:tc>
        <w:tc>
          <w:tcPr>
            <w:tcW w:w="0" w:type="auto"/>
            <w:vAlign w:val="center"/>
          </w:tcPr>
          <w:p w14:paraId="7E259DD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2</w:t>
            </w:r>
          </w:p>
        </w:tc>
        <w:tc>
          <w:tcPr>
            <w:tcW w:w="0" w:type="auto"/>
            <w:vAlign w:val="center"/>
          </w:tcPr>
          <w:p w14:paraId="0425182D"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14%</w:t>
            </w:r>
          </w:p>
        </w:tc>
      </w:tr>
      <w:tr w:rsidR="00EB3DFE" w:rsidRPr="00E372E7" w14:paraId="12CD3FC1" w14:textId="77777777" w:rsidTr="00C14549">
        <w:tc>
          <w:tcPr>
            <w:tcW w:w="0" w:type="auto"/>
            <w:vAlign w:val="center"/>
          </w:tcPr>
          <w:p w14:paraId="6041D0AB"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lastRenderedPageBreak/>
              <w:t>Digitalno podjetništvo</w:t>
            </w:r>
          </w:p>
        </w:tc>
        <w:tc>
          <w:tcPr>
            <w:tcW w:w="0" w:type="auto"/>
            <w:vAlign w:val="center"/>
          </w:tcPr>
          <w:p w14:paraId="57EF0E9B"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14</w:t>
            </w:r>
          </w:p>
        </w:tc>
        <w:tc>
          <w:tcPr>
            <w:tcW w:w="0" w:type="auto"/>
            <w:vAlign w:val="center"/>
          </w:tcPr>
          <w:p w14:paraId="09102C06" w14:textId="77777777" w:rsidR="00EB3DFE" w:rsidRPr="003905BC" w:rsidRDefault="00EB3DFE" w:rsidP="00C14549">
            <w:pPr>
              <w:spacing w:line="276" w:lineRule="auto"/>
              <w:rPr>
                <w:rFonts w:ascii="Century Gothic" w:hAnsi="Century Gothic"/>
                <w:bCs/>
                <w:sz w:val="22"/>
                <w:szCs w:val="22"/>
                <w:lang w:val="sl-SI"/>
              </w:rPr>
            </w:pPr>
            <w:r w:rsidRPr="003905BC">
              <w:rPr>
                <w:rFonts w:ascii="Century Gothic" w:hAnsi="Century Gothic"/>
                <w:bCs/>
                <w:sz w:val="22"/>
                <w:szCs w:val="22"/>
                <w:lang w:val="sl-SI"/>
              </w:rPr>
              <w:t>100%</w:t>
            </w:r>
          </w:p>
        </w:tc>
        <w:tc>
          <w:tcPr>
            <w:tcW w:w="0" w:type="auto"/>
            <w:vAlign w:val="center"/>
          </w:tcPr>
          <w:p w14:paraId="4C75A23E"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3</w:t>
            </w:r>
          </w:p>
        </w:tc>
        <w:tc>
          <w:tcPr>
            <w:tcW w:w="0" w:type="auto"/>
            <w:vAlign w:val="center"/>
          </w:tcPr>
          <w:p w14:paraId="57DE09FA"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22%</w:t>
            </w:r>
          </w:p>
        </w:tc>
        <w:tc>
          <w:tcPr>
            <w:tcW w:w="0" w:type="auto"/>
            <w:vAlign w:val="center"/>
          </w:tcPr>
          <w:p w14:paraId="7C319368"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11</w:t>
            </w:r>
          </w:p>
        </w:tc>
        <w:tc>
          <w:tcPr>
            <w:tcW w:w="0" w:type="auto"/>
            <w:vAlign w:val="center"/>
          </w:tcPr>
          <w:p w14:paraId="14F109F3"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78%</w:t>
            </w:r>
          </w:p>
        </w:tc>
        <w:tc>
          <w:tcPr>
            <w:tcW w:w="0" w:type="auto"/>
            <w:vAlign w:val="center"/>
          </w:tcPr>
          <w:p w14:paraId="7E176AD8"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6</w:t>
            </w:r>
          </w:p>
        </w:tc>
        <w:tc>
          <w:tcPr>
            <w:tcW w:w="0" w:type="auto"/>
            <w:vAlign w:val="center"/>
          </w:tcPr>
          <w:p w14:paraId="636AC9D1"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26%</w:t>
            </w:r>
          </w:p>
        </w:tc>
      </w:tr>
      <w:tr w:rsidR="00EB3DFE" w:rsidRPr="00E372E7" w14:paraId="5792C3C4" w14:textId="77777777" w:rsidTr="00C14549">
        <w:tc>
          <w:tcPr>
            <w:tcW w:w="0" w:type="auto"/>
            <w:vAlign w:val="center"/>
          </w:tcPr>
          <w:p w14:paraId="67138702"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Kibernetska varnost</w:t>
            </w:r>
          </w:p>
        </w:tc>
        <w:tc>
          <w:tcPr>
            <w:tcW w:w="0" w:type="auto"/>
            <w:vAlign w:val="center"/>
          </w:tcPr>
          <w:p w14:paraId="732F44E5"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7</w:t>
            </w:r>
          </w:p>
        </w:tc>
        <w:tc>
          <w:tcPr>
            <w:tcW w:w="0" w:type="auto"/>
            <w:vAlign w:val="center"/>
          </w:tcPr>
          <w:p w14:paraId="7772F7FA" w14:textId="77777777" w:rsidR="00EB3DFE" w:rsidRPr="003905BC" w:rsidRDefault="00EB3DFE" w:rsidP="00C14549">
            <w:pPr>
              <w:spacing w:line="276" w:lineRule="auto"/>
              <w:rPr>
                <w:rFonts w:ascii="Century Gothic" w:hAnsi="Century Gothic"/>
                <w:bCs/>
                <w:sz w:val="22"/>
                <w:szCs w:val="22"/>
                <w:lang w:val="sl-SI"/>
              </w:rPr>
            </w:pPr>
            <w:r w:rsidRPr="003905BC">
              <w:rPr>
                <w:rFonts w:ascii="Century Gothic" w:hAnsi="Century Gothic"/>
                <w:bCs/>
                <w:sz w:val="22"/>
                <w:szCs w:val="22"/>
                <w:lang w:val="sl-SI"/>
              </w:rPr>
              <w:t>100%</w:t>
            </w:r>
          </w:p>
        </w:tc>
        <w:tc>
          <w:tcPr>
            <w:tcW w:w="0" w:type="auto"/>
            <w:vAlign w:val="center"/>
          </w:tcPr>
          <w:p w14:paraId="10A03C84"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6</w:t>
            </w:r>
          </w:p>
        </w:tc>
        <w:tc>
          <w:tcPr>
            <w:tcW w:w="0" w:type="auto"/>
            <w:vAlign w:val="center"/>
          </w:tcPr>
          <w:p w14:paraId="6E3E4FD1"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86%</w:t>
            </w:r>
          </w:p>
        </w:tc>
        <w:tc>
          <w:tcPr>
            <w:tcW w:w="0" w:type="auto"/>
            <w:vAlign w:val="center"/>
          </w:tcPr>
          <w:p w14:paraId="67890A25"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w:t>
            </w:r>
          </w:p>
        </w:tc>
        <w:tc>
          <w:tcPr>
            <w:tcW w:w="0" w:type="auto"/>
            <w:vAlign w:val="center"/>
          </w:tcPr>
          <w:p w14:paraId="0F572C26"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14%</w:t>
            </w:r>
          </w:p>
        </w:tc>
        <w:tc>
          <w:tcPr>
            <w:tcW w:w="0" w:type="auto"/>
            <w:vAlign w:val="center"/>
          </w:tcPr>
          <w:p w14:paraId="1E456734"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w:t>
            </w:r>
          </w:p>
        </w:tc>
        <w:tc>
          <w:tcPr>
            <w:tcW w:w="0" w:type="auto"/>
            <w:vAlign w:val="center"/>
          </w:tcPr>
          <w:p w14:paraId="6794EE9C"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14%</w:t>
            </w:r>
          </w:p>
        </w:tc>
      </w:tr>
      <w:tr w:rsidR="00EB3DFE" w:rsidRPr="00E372E7" w14:paraId="52AE6438" w14:textId="77777777" w:rsidTr="00C14549">
        <w:tc>
          <w:tcPr>
            <w:tcW w:w="0" w:type="auto"/>
            <w:vAlign w:val="center"/>
          </w:tcPr>
          <w:p w14:paraId="346D2207" w14:textId="77777777" w:rsidR="00EB3DFE" w:rsidRPr="00E372E7" w:rsidRDefault="00EB3DFE" w:rsidP="00C14549">
            <w:pPr>
              <w:spacing w:line="276" w:lineRule="auto"/>
              <w:rPr>
                <w:rFonts w:ascii="Century Gothic" w:hAnsi="Century Gothic"/>
                <w:b/>
                <w:sz w:val="22"/>
                <w:szCs w:val="22"/>
                <w:lang w:val="sl-SI"/>
              </w:rPr>
            </w:pPr>
            <w:r w:rsidRPr="00E372E7">
              <w:rPr>
                <w:rFonts w:ascii="Century Gothic" w:hAnsi="Century Gothic"/>
                <w:b/>
                <w:sz w:val="22"/>
                <w:szCs w:val="22"/>
                <w:lang w:val="sl-SI"/>
              </w:rPr>
              <w:t>Vključujoča informacijska družba</w:t>
            </w:r>
          </w:p>
        </w:tc>
        <w:tc>
          <w:tcPr>
            <w:tcW w:w="0" w:type="auto"/>
            <w:vAlign w:val="center"/>
          </w:tcPr>
          <w:p w14:paraId="59BF28A1"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12</w:t>
            </w:r>
          </w:p>
        </w:tc>
        <w:tc>
          <w:tcPr>
            <w:tcW w:w="0" w:type="auto"/>
            <w:vAlign w:val="center"/>
          </w:tcPr>
          <w:p w14:paraId="15868A46" w14:textId="77777777" w:rsidR="00EB3DFE" w:rsidRPr="003905BC" w:rsidRDefault="00EB3DFE" w:rsidP="00C14549">
            <w:pPr>
              <w:spacing w:line="276" w:lineRule="auto"/>
              <w:rPr>
                <w:rFonts w:ascii="Century Gothic" w:hAnsi="Century Gothic"/>
                <w:bCs/>
                <w:sz w:val="22"/>
                <w:szCs w:val="22"/>
                <w:lang w:val="sl-SI"/>
              </w:rPr>
            </w:pPr>
            <w:r w:rsidRPr="003905BC">
              <w:rPr>
                <w:rFonts w:ascii="Century Gothic" w:hAnsi="Century Gothic"/>
                <w:bCs/>
                <w:sz w:val="22"/>
                <w:szCs w:val="22"/>
                <w:lang w:val="sl-SI"/>
              </w:rPr>
              <w:t>100%</w:t>
            </w:r>
          </w:p>
        </w:tc>
        <w:tc>
          <w:tcPr>
            <w:tcW w:w="0" w:type="auto"/>
            <w:vAlign w:val="center"/>
          </w:tcPr>
          <w:p w14:paraId="6573547A"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5</w:t>
            </w:r>
          </w:p>
        </w:tc>
        <w:tc>
          <w:tcPr>
            <w:tcW w:w="0" w:type="auto"/>
            <w:vAlign w:val="center"/>
          </w:tcPr>
          <w:p w14:paraId="147CBD3D"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42%</w:t>
            </w:r>
          </w:p>
        </w:tc>
        <w:tc>
          <w:tcPr>
            <w:tcW w:w="0" w:type="auto"/>
            <w:vAlign w:val="center"/>
          </w:tcPr>
          <w:p w14:paraId="10749CBD"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7</w:t>
            </w:r>
          </w:p>
        </w:tc>
        <w:tc>
          <w:tcPr>
            <w:tcW w:w="0" w:type="auto"/>
            <w:vAlign w:val="center"/>
          </w:tcPr>
          <w:p w14:paraId="64ADAE63"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58%</w:t>
            </w:r>
          </w:p>
        </w:tc>
        <w:tc>
          <w:tcPr>
            <w:tcW w:w="0" w:type="auto"/>
            <w:vAlign w:val="center"/>
          </w:tcPr>
          <w:p w14:paraId="760800DA"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6</w:t>
            </w:r>
          </w:p>
        </w:tc>
        <w:tc>
          <w:tcPr>
            <w:tcW w:w="0" w:type="auto"/>
            <w:vAlign w:val="center"/>
          </w:tcPr>
          <w:p w14:paraId="2C1592D3" w14:textId="77777777" w:rsidR="00EB3DFE" w:rsidRPr="003905BC" w:rsidRDefault="00EB3DFE" w:rsidP="00C14549">
            <w:pPr>
              <w:spacing w:line="276" w:lineRule="auto"/>
              <w:rPr>
                <w:rFonts w:ascii="Century Gothic" w:hAnsi="Century Gothic"/>
                <w:bCs/>
                <w:sz w:val="22"/>
                <w:szCs w:val="22"/>
                <w:lang w:val="sl-SI"/>
              </w:rPr>
            </w:pPr>
            <w:r>
              <w:rPr>
                <w:rFonts w:ascii="Century Gothic" w:hAnsi="Century Gothic"/>
                <w:bCs/>
                <w:sz w:val="22"/>
                <w:szCs w:val="22"/>
                <w:lang w:val="sl-SI"/>
              </w:rPr>
              <w:t>50%</w:t>
            </w:r>
          </w:p>
        </w:tc>
      </w:tr>
    </w:tbl>
    <w:bookmarkEnd w:id="2"/>
    <w:p w14:paraId="6212EBF9" w14:textId="09D61E8B" w:rsidR="00EB3DFE" w:rsidRPr="00EB3DFE" w:rsidRDefault="00EB3DFE" w:rsidP="00EB3DFE">
      <w:pPr>
        <w:spacing w:before="120" w:after="160" w:line="276" w:lineRule="auto"/>
        <w:jc w:val="both"/>
        <w:rPr>
          <w:rFonts w:ascii="Century Gothic" w:eastAsiaTheme="minorHAnsi" w:hAnsi="Century Gothic" w:cstheme="minorBidi"/>
          <w:sz w:val="22"/>
          <w:szCs w:val="22"/>
          <w:lang w:val="sl-SI"/>
        </w:rPr>
      </w:pPr>
      <w:r w:rsidRPr="00E372E7">
        <w:rPr>
          <w:rFonts w:ascii="Century Gothic" w:eastAsiaTheme="minorHAnsi" w:hAnsi="Century Gothic" w:cstheme="minorBidi"/>
          <w:sz w:val="22"/>
          <w:szCs w:val="22"/>
          <w:lang w:val="sl-SI"/>
        </w:rPr>
        <w:t>V nadaljevanju sledi pregled doseženih ciljev in realiziranih ukrepov po vseh petih prednostnih področjih. Ob vsakem strateškem cilju je podana krajša obrazložitev, kaj je bilo doseženo oziroma kaj ostaja odprto za prihodnje izzive. Ob ukrepih pa je prav tako navedeno ali so bili realizirani, ali so še v izvajanju ali pa v celoti niso bili realizirani v predvidenem obdobju.</w:t>
      </w:r>
    </w:p>
    <w:sectPr w:rsidR="00EB3DFE" w:rsidRPr="00EB3DFE" w:rsidSect="001526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91AB" w14:textId="77777777" w:rsidR="00164AC5" w:rsidRDefault="00164AC5" w:rsidP="008367D5">
      <w:pPr>
        <w:spacing w:line="240" w:lineRule="auto"/>
      </w:pPr>
      <w:r>
        <w:separator/>
      </w:r>
    </w:p>
  </w:endnote>
  <w:endnote w:type="continuationSeparator" w:id="0">
    <w:p w14:paraId="1E096E8F" w14:textId="77777777" w:rsidR="00164AC5" w:rsidRDefault="00164AC5" w:rsidP="00836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3289B" w14:textId="77777777" w:rsidR="00164AC5" w:rsidRDefault="00164AC5" w:rsidP="008367D5">
      <w:pPr>
        <w:spacing w:line="240" w:lineRule="auto"/>
      </w:pPr>
      <w:r>
        <w:separator/>
      </w:r>
    </w:p>
  </w:footnote>
  <w:footnote w:type="continuationSeparator" w:id="0">
    <w:p w14:paraId="2F22F244" w14:textId="77777777" w:rsidR="00164AC5" w:rsidRDefault="00164AC5" w:rsidP="008367D5">
      <w:pPr>
        <w:spacing w:line="240" w:lineRule="auto"/>
      </w:pPr>
      <w:r>
        <w:continuationSeparator/>
      </w:r>
    </w:p>
  </w:footnote>
  <w:footnote w:id="1">
    <w:p w14:paraId="0AF3A626" w14:textId="77777777" w:rsidR="00EB3DFE" w:rsidRPr="007F5AB2" w:rsidRDefault="00EB3DFE" w:rsidP="00EB3DFE">
      <w:pPr>
        <w:pStyle w:val="Sprotnaopomba-besedilo"/>
        <w:rPr>
          <w:rFonts w:ascii="Century Gothic" w:hAnsi="Century Gothic"/>
          <w:sz w:val="18"/>
          <w:szCs w:val="18"/>
        </w:rPr>
      </w:pPr>
      <w:r w:rsidRPr="007F5AB2">
        <w:rPr>
          <w:rStyle w:val="Sprotnaopomba-sklic"/>
          <w:rFonts w:ascii="Century Gothic" w:hAnsi="Century Gothic"/>
          <w:sz w:val="18"/>
          <w:szCs w:val="18"/>
        </w:rPr>
        <w:footnoteRef/>
      </w:r>
      <w:r w:rsidRPr="007F5AB2">
        <w:rPr>
          <w:rFonts w:ascii="Century Gothic" w:hAnsi="Century Gothic"/>
          <w:sz w:val="18"/>
          <w:szCs w:val="18"/>
        </w:rPr>
        <w:t xml:space="preserve"> DESI je </w:t>
      </w:r>
      <w:proofErr w:type="spellStart"/>
      <w:r w:rsidRPr="007F5AB2">
        <w:rPr>
          <w:rFonts w:ascii="Century Gothic" w:hAnsi="Century Gothic"/>
          <w:sz w:val="18"/>
          <w:szCs w:val="18"/>
        </w:rPr>
        <w:t>kompozitni</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indeks</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ki</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povzema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pomembne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indikatorje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doseganja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digitalnega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napredka</w:t>
      </w:r>
      <w:proofErr w:type="spellEnd"/>
      <w:r w:rsidRPr="007F5AB2">
        <w:rPr>
          <w:rFonts w:ascii="Century Gothic" w:hAnsi="Century Gothic"/>
          <w:sz w:val="18"/>
          <w:szCs w:val="18"/>
        </w:rPr>
        <w:t xml:space="preserve"> in </w:t>
      </w:r>
      <w:proofErr w:type="spellStart"/>
      <w:r w:rsidRPr="007F5AB2">
        <w:rPr>
          <w:rFonts w:ascii="Century Gothic" w:hAnsi="Century Gothic"/>
          <w:sz w:val="18"/>
          <w:szCs w:val="18"/>
        </w:rPr>
        <w:t>spremlja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razvoj</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držav</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članic</w:t>
      </w:r>
      <w:proofErr w:type="spellEnd"/>
      <w:r w:rsidRPr="007F5AB2">
        <w:rPr>
          <w:rFonts w:ascii="Century Gothic" w:hAnsi="Century Gothic"/>
          <w:sz w:val="18"/>
          <w:szCs w:val="18"/>
        </w:rPr>
        <w:t xml:space="preserve"> EU </w:t>
      </w:r>
      <w:proofErr w:type="spellStart"/>
      <w:r w:rsidRPr="007F5AB2">
        <w:rPr>
          <w:rFonts w:ascii="Century Gothic" w:hAnsi="Century Gothic"/>
          <w:sz w:val="18"/>
          <w:szCs w:val="18"/>
        </w:rPr>
        <w:t>na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področju</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digitalne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konkurenčnosti</w:t>
      </w:r>
      <w:proofErr w:type="spellEnd"/>
      <w:r w:rsidRPr="007F5AB2">
        <w:rPr>
          <w:rFonts w:ascii="Century Gothic" w:hAnsi="Century Gothic"/>
          <w:sz w:val="18"/>
          <w:szCs w:val="18"/>
        </w:rPr>
        <w:t>.</w:t>
      </w:r>
    </w:p>
  </w:footnote>
  <w:footnote w:id="2">
    <w:p w14:paraId="4039A87E" w14:textId="77777777" w:rsidR="00EB3DFE" w:rsidRPr="007F5AB2" w:rsidRDefault="00EB3DFE" w:rsidP="00EB3DFE">
      <w:pPr>
        <w:pStyle w:val="Sprotnaopomba-besedilo"/>
        <w:rPr>
          <w:rFonts w:ascii="Century Gothic" w:hAnsi="Century Gothic"/>
          <w:sz w:val="18"/>
          <w:szCs w:val="18"/>
        </w:rPr>
      </w:pPr>
      <w:r w:rsidRPr="007F5AB2">
        <w:rPr>
          <w:rStyle w:val="Sprotnaopomba-sklic"/>
          <w:rFonts w:ascii="Century Gothic" w:hAnsi="Century Gothic"/>
          <w:sz w:val="18"/>
          <w:szCs w:val="18"/>
        </w:rPr>
        <w:footnoteRef/>
      </w:r>
      <w:r w:rsidRPr="007F5AB2">
        <w:rPr>
          <w:rFonts w:ascii="Century Gothic" w:hAnsi="Century Gothic"/>
          <w:sz w:val="18"/>
          <w:szCs w:val="18"/>
        </w:rPr>
        <w:t xml:space="preserve"> </w:t>
      </w:r>
      <w:proofErr w:type="spellStart"/>
      <w:r w:rsidRPr="007F5AB2">
        <w:rPr>
          <w:rFonts w:ascii="Century Gothic" w:hAnsi="Century Gothic"/>
          <w:sz w:val="18"/>
          <w:szCs w:val="18"/>
        </w:rPr>
        <w:t>Indeks</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digitalne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ekonomije</w:t>
      </w:r>
      <w:proofErr w:type="spellEnd"/>
      <w:r w:rsidRPr="007F5AB2">
        <w:rPr>
          <w:rFonts w:ascii="Century Gothic" w:hAnsi="Century Gothic"/>
          <w:sz w:val="18"/>
          <w:szCs w:val="18"/>
        </w:rPr>
        <w:t xml:space="preserve"> in </w:t>
      </w:r>
      <w:proofErr w:type="spellStart"/>
      <w:r w:rsidRPr="007F5AB2">
        <w:rPr>
          <w:rFonts w:ascii="Century Gothic" w:hAnsi="Century Gothic"/>
          <w:sz w:val="18"/>
          <w:szCs w:val="18"/>
        </w:rPr>
        <w:t>družbe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Slovenija</w:t>
      </w:r>
      <w:proofErr w:type="spellEnd"/>
      <w:r w:rsidRPr="007F5AB2">
        <w:rPr>
          <w:rFonts w:ascii="Century Gothic" w:hAnsi="Century Gothic"/>
          <w:sz w:val="18"/>
          <w:szCs w:val="18"/>
        </w:rPr>
        <w:t xml:space="preserve"> 2019, </w:t>
      </w:r>
      <w:proofErr w:type="spellStart"/>
      <w:r w:rsidRPr="007F5AB2">
        <w:rPr>
          <w:rFonts w:ascii="Century Gothic" w:hAnsi="Century Gothic"/>
          <w:sz w:val="18"/>
          <w:szCs w:val="18"/>
        </w:rPr>
        <w:t>Evropska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komisija</w:t>
      </w:r>
      <w:proofErr w:type="spellEnd"/>
      <w:r w:rsidRPr="007F5AB2">
        <w:rPr>
          <w:rFonts w:ascii="Century Gothic" w:hAnsi="Century Gothic"/>
          <w:sz w:val="18"/>
          <w:szCs w:val="18"/>
        </w:rPr>
        <w:t xml:space="preserve"> - </w:t>
      </w:r>
      <w:hyperlink r:id="rId1" w:history="1">
        <w:r w:rsidRPr="007F5AB2">
          <w:rPr>
            <w:rStyle w:val="Hiperpovezava"/>
            <w:rFonts w:ascii="Century Gothic" w:hAnsi="Century Gothic"/>
            <w:sz w:val="18"/>
            <w:szCs w:val="18"/>
          </w:rPr>
          <w:t>https://ec.europa.eu/digital-single-market/en/news/digital-economy-and-society-index-desi-2019</w:t>
        </w:r>
      </w:hyperlink>
      <w:r w:rsidRPr="007F5AB2">
        <w:rPr>
          <w:rFonts w:ascii="Century Gothic" w:hAnsi="Century Gothic"/>
          <w:sz w:val="18"/>
          <w:szCs w:val="18"/>
        </w:rPr>
        <w:t xml:space="preserve"> </w:t>
      </w:r>
    </w:p>
  </w:footnote>
  <w:footnote w:id="3">
    <w:p w14:paraId="7F01B573" w14:textId="77777777" w:rsidR="00EB3DFE" w:rsidRPr="00282CE3" w:rsidRDefault="00EB3DFE" w:rsidP="00EB3DFE">
      <w:pPr>
        <w:pStyle w:val="Sprotnaopomba-besedilo"/>
        <w:rPr>
          <w:sz w:val="16"/>
          <w:szCs w:val="16"/>
        </w:rPr>
      </w:pPr>
      <w:r w:rsidRPr="007F5AB2">
        <w:rPr>
          <w:rStyle w:val="Sprotnaopomba-sklic"/>
          <w:rFonts w:ascii="Century Gothic" w:hAnsi="Century Gothic"/>
          <w:sz w:val="18"/>
          <w:szCs w:val="18"/>
        </w:rPr>
        <w:footnoteRef/>
      </w:r>
      <w:r w:rsidRPr="007F5AB2">
        <w:rPr>
          <w:rFonts w:ascii="Century Gothic" w:hAnsi="Century Gothic"/>
          <w:sz w:val="18"/>
          <w:szCs w:val="18"/>
        </w:rPr>
        <w:t xml:space="preserve"> </w:t>
      </w:r>
      <w:proofErr w:type="spellStart"/>
      <w:r w:rsidRPr="007F5AB2">
        <w:rPr>
          <w:rFonts w:ascii="Century Gothic" w:hAnsi="Century Gothic"/>
          <w:sz w:val="18"/>
          <w:szCs w:val="18"/>
        </w:rPr>
        <w:t>Indek</w:t>
      </w:r>
      <w:r>
        <w:rPr>
          <w:rFonts w:ascii="Century Gothic" w:hAnsi="Century Gothic"/>
          <w:sz w:val="18"/>
          <w:szCs w:val="18"/>
        </w:rPr>
        <w:t>s</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digitalnega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gospodarstva</w:t>
      </w:r>
      <w:proofErr w:type="spellEnd"/>
      <w:r w:rsidRPr="007F5AB2">
        <w:rPr>
          <w:rFonts w:ascii="Century Gothic" w:hAnsi="Century Gothic"/>
          <w:sz w:val="18"/>
          <w:szCs w:val="18"/>
        </w:rPr>
        <w:t xml:space="preserve"> in </w:t>
      </w:r>
      <w:proofErr w:type="spellStart"/>
      <w:r w:rsidRPr="007F5AB2">
        <w:rPr>
          <w:rFonts w:ascii="Century Gothic" w:hAnsi="Century Gothic"/>
          <w:sz w:val="18"/>
          <w:szCs w:val="18"/>
        </w:rPr>
        <w:t>družbe</w:t>
      </w:r>
      <w:proofErr w:type="spellEnd"/>
      <w:r w:rsidRPr="007F5AB2">
        <w:rPr>
          <w:rFonts w:ascii="Century Gothic" w:hAnsi="Century Gothic"/>
          <w:sz w:val="18"/>
          <w:szCs w:val="18"/>
        </w:rPr>
        <w:t xml:space="preserve">, DESI, </w:t>
      </w:r>
      <w:proofErr w:type="spellStart"/>
      <w:r w:rsidRPr="007F5AB2">
        <w:rPr>
          <w:rFonts w:ascii="Century Gothic" w:hAnsi="Century Gothic"/>
          <w:sz w:val="18"/>
          <w:szCs w:val="18"/>
        </w:rPr>
        <w:t>Slovenija</w:t>
      </w:r>
      <w:proofErr w:type="spellEnd"/>
      <w:r w:rsidRPr="007F5AB2">
        <w:rPr>
          <w:rFonts w:ascii="Century Gothic" w:hAnsi="Century Gothic"/>
          <w:sz w:val="18"/>
          <w:szCs w:val="18"/>
        </w:rPr>
        <w:t xml:space="preserve"> 2014-2019, </w:t>
      </w:r>
      <w:proofErr w:type="spellStart"/>
      <w:r w:rsidRPr="007F5AB2">
        <w:rPr>
          <w:rFonts w:ascii="Century Gothic" w:hAnsi="Century Gothic"/>
          <w:sz w:val="18"/>
          <w:szCs w:val="18"/>
        </w:rPr>
        <w:t>Evropska</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komisija</w:t>
      </w:r>
      <w:proofErr w:type="spellEnd"/>
      <w:r w:rsidRPr="007F5AB2">
        <w:rPr>
          <w:rFonts w:ascii="Century Gothic" w:hAnsi="Century Gothic"/>
          <w:sz w:val="18"/>
          <w:szCs w:val="18"/>
        </w:rPr>
        <w:t xml:space="preserve"> -  </w:t>
      </w:r>
      <w:hyperlink r:id="rId2" w:history="1">
        <w:r w:rsidRPr="007F5AB2">
          <w:rPr>
            <w:rStyle w:val="Hiperpovezava"/>
            <w:rFonts w:ascii="Century Gothic" w:hAnsi="Century Gothic"/>
            <w:sz w:val="18"/>
            <w:szCs w:val="18"/>
          </w:rPr>
          <w:t>https://ec.europa.eu/digital-single-market/en/desi</w:t>
        </w:r>
      </w:hyperlink>
      <w:r w:rsidRPr="007F5AB2">
        <w:rPr>
          <w:rFonts w:ascii="Century Gothic" w:hAnsi="Century Gothic"/>
          <w:sz w:val="18"/>
          <w:szCs w:val="18"/>
        </w:rPr>
        <w:t xml:space="preserve">; </w:t>
      </w:r>
      <w:proofErr w:type="spellStart"/>
      <w:r w:rsidRPr="007F5AB2">
        <w:rPr>
          <w:rFonts w:ascii="Century Gothic" w:hAnsi="Century Gothic"/>
          <w:sz w:val="18"/>
          <w:szCs w:val="18"/>
        </w:rPr>
        <w:t>zaradi</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spremembe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indikatorjev</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prihaja</w:t>
      </w:r>
      <w:proofErr w:type="spellEnd"/>
      <w:r w:rsidRPr="007F5AB2">
        <w:rPr>
          <w:rFonts w:ascii="Century Gothic" w:hAnsi="Century Gothic"/>
          <w:sz w:val="18"/>
          <w:szCs w:val="18"/>
        </w:rPr>
        <w:t xml:space="preserve"> do </w:t>
      </w:r>
      <w:proofErr w:type="spellStart"/>
      <w:r w:rsidRPr="007F5AB2">
        <w:rPr>
          <w:rFonts w:ascii="Century Gothic" w:hAnsi="Century Gothic"/>
          <w:sz w:val="18"/>
          <w:szCs w:val="18"/>
        </w:rPr>
        <w:t>sprememb</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uvrstitev</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Slovenije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zato</w:t>
      </w:r>
      <w:proofErr w:type="spellEnd"/>
      <w:r w:rsidRPr="007F5AB2">
        <w:rPr>
          <w:rFonts w:ascii="Century Gothic" w:hAnsi="Century Gothic"/>
          <w:sz w:val="18"/>
          <w:szCs w:val="18"/>
        </w:rPr>
        <w:t xml:space="preserve"> so </w:t>
      </w:r>
      <w:proofErr w:type="spellStart"/>
      <w:r w:rsidRPr="007F5AB2">
        <w:rPr>
          <w:rFonts w:ascii="Century Gothic" w:hAnsi="Century Gothic"/>
          <w:sz w:val="18"/>
          <w:szCs w:val="18"/>
        </w:rPr>
        <w:t>lahko</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končne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uvrstitve</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različne</w:t>
      </w:r>
      <w:proofErr w:type="spellEnd"/>
      <w:r w:rsidRPr="007F5AB2">
        <w:rPr>
          <w:rFonts w:ascii="Century Gothic" w:hAnsi="Century Gothic"/>
          <w:sz w:val="18"/>
          <w:szCs w:val="18"/>
        </w:rPr>
        <w:t xml:space="preserve"> in je </w:t>
      </w:r>
      <w:proofErr w:type="spellStart"/>
      <w:r w:rsidRPr="007F5AB2">
        <w:rPr>
          <w:rFonts w:ascii="Century Gothic" w:hAnsi="Century Gothic"/>
          <w:sz w:val="18"/>
          <w:szCs w:val="18"/>
        </w:rPr>
        <w:t>težko</w:t>
      </w:r>
      <w:proofErr w:type="spellEnd"/>
      <w:r w:rsidRPr="007F5AB2">
        <w:rPr>
          <w:rFonts w:ascii="Century Gothic" w:hAnsi="Century Gothic"/>
          <w:sz w:val="18"/>
          <w:szCs w:val="18"/>
        </w:rPr>
        <w:t xml:space="preserve"> </w:t>
      </w:r>
      <w:proofErr w:type="spellStart"/>
      <w:r w:rsidRPr="007F5AB2">
        <w:rPr>
          <w:rFonts w:ascii="Century Gothic" w:hAnsi="Century Gothic"/>
          <w:sz w:val="18"/>
          <w:szCs w:val="18"/>
        </w:rPr>
        <w:t>primerljivo</w:t>
      </w:r>
      <w:proofErr w:type="spellEnd"/>
      <w:r w:rsidRPr="007F5AB2">
        <w:rPr>
          <w:rFonts w:ascii="Century Gothic" w:hAnsi="Century Gothic"/>
          <w:sz w:val="18"/>
          <w:szCs w:val="18"/>
        </w:rPr>
        <w:t xml:space="preserve"> po </w:t>
      </w:r>
      <w:proofErr w:type="spellStart"/>
      <w:r w:rsidRPr="007F5AB2">
        <w:rPr>
          <w:rFonts w:ascii="Century Gothic" w:hAnsi="Century Gothic"/>
          <w:sz w:val="18"/>
          <w:szCs w:val="18"/>
        </w:rPr>
        <w:t>letih</w:t>
      </w:r>
      <w:proofErr w:type="spellEnd"/>
      <w:r>
        <w:rPr>
          <w:sz w:val="16"/>
          <w:szCs w:val="16"/>
        </w:rPr>
        <w:t xml:space="preserve"> </w:t>
      </w:r>
    </w:p>
  </w:footnote>
  <w:footnote w:id="4">
    <w:p w14:paraId="7F9AE825"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2018.</w:t>
      </w:r>
    </w:p>
  </w:footnote>
  <w:footnote w:id="5">
    <w:p w14:paraId="74C8DEE1"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2018 in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delež</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uporabnikov</w:t>
      </w:r>
      <w:proofErr w:type="spellEnd"/>
      <w:r w:rsidRPr="00EB3DFE">
        <w:rPr>
          <w:rFonts w:ascii="Century Gothic" w:hAnsi="Century Gothic"/>
          <w:sz w:val="18"/>
          <w:szCs w:val="18"/>
          <w:lang w:val="it-IT"/>
        </w:rPr>
        <w:t xml:space="preserve"> e-</w:t>
      </w:r>
      <w:proofErr w:type="spellStart"/>
      <w:r w:rsidRPr="00EB3DFE">
        <w:rPr>
          <w:rFonts w:ascii="Century Gothic" w:hAnsi="Century Gothic"/>
          <w:sz w:val="18"/>
          <w:szCs w:val="18"/>
          <w:lang w:val="it-IT"/>
        </w:rPr>
        <w:t>bančništva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med</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rednimi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uporabniki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interneta</w:t>
      </w:r>
      <w:proofErr w:type="spellEnd"/>
      <w:r w:rsidRPr="00EB3DFE">
        <w:rPr>
          <w:rFonts w:ascii="Century Gothic" w:hAnsi="Century Gothic"/>
          <w:sz w:val="18"/>
          <w:szCs w:val="18"/>
          <w:lang w:val="it-IT"/>
        </w:rPr>
        <w:t xml:space="preserve"> (v EU-27: 61 %). V </w:t>
      </w:r>
      <w:proofErr w:type="spellStart"/>
      <w:r w:rsidRPr="00EB3DFE">
        <w:rPr>
          <w:rFonts w:ascii="Century Gothic" w:hAnsi="Century Gothic"/>
          <w:sz w:val="18"/>
          <w:szCs w:val="18"/>
          <w:lang w:val="it-IT"/>
        </w:rPr>
        <w:t>letu</w:t>
      </w:r>
      <w:proofErr w:type="spellEnd"/>
      <w:r w:rsidRPr="00EB3DFE">
        <w:rPr>
          <w:rFonts w:ascii="Century Gothic" w:hAnsi="Century Gothic"/>
          <w:sz w:val="18"/>
          <w:szCs w:val="18"/>
          <w:lang w:val="it-IT"/>
        </w:rPr>
        <w:t xml:space="preserve"> 2019 je e-</w:t>
      </w:r>
      <w:proofErr w:type="spellStart"/>
      <w:r w:rsidRPr="00EB3DFE">
        <w:rPr>
          <w:rFonts w:ascii="Century Gothic" w:hAnsi="Century Gothic"/>
          <w:sz w:val="18"/>
          <w:szCs w:val="18"/>
          <w:lang w:val="it-IT"/>
        </w:rPr>
        <w:t>bančništvo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uporabljalo</w:t>
      </w:r>
      <w:proofErr w:type="spellEnd"/>
      <w:r w:rsidRPr="00EB3DFE">
        <w:rPr>
          <w:rFonts w:ascii="Century Gothic" w:hAnsi="Century Gothic"/>
          <w:sz w:val="18"/>
          <w:szCs w:val="18"/>
          <w:lang w:val="it-IT"/>
        </w:rPr>
        <w:t xml:space="preserve"> 57 % </w:t>
      </w:r>
      <w:proofErr w:type="spellStart"/>
      <w:r w:rsidRPr="00EB3DFE">
        <w:rPr>
          <w:rFonts w:ascii="Century Gothic" w:hAnsi="Century Gothic"/>
          <w:sz w:val="18"/>
          <w:szCs w:val="18"/>
          <w:lang w:val="it-IT"/>
        </w:rPr>
        <w:t>rednih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uporabnikov</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interneta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starih</w:t>
      </w:r>
      <w:proofErr w:type="spellEnd"/>
      <w:r w:rsidRPr="00EB3DFE">
        <w:rPr>
          <w:rFonts w:ascii="Century Gothic" w:hAnsi="Century Gothic"/>
          <w:sz w:val="18"/>
          <w:szCs w:val="18"/>
          <w:lang w:val="it-IT"/>
        </w:rPr>
        <w:t xml:space="preserve"> 16–74 </w:t>
      </w:r>
      <w:proofErr w:type="spellStart"/>
      <w:r w:rsidRPr="00EB3DFE">
        <w:rPr>
          <w:rFonts w:ascii="Century Gothic" w:hAnsi="Century Gothic"/>
          <w:sz w:val="18"/>
          <w:szCs w:val="18"/>
          <w:lang w:val="it-IT"/>
        </w:rPr>
        <w:t>let</w:t>
      </w:r>
      <w:proofErr w:type="spellEnd"/>
      <w:r w:rsidRPr="00EB3DFE">
        <w:rPr>
          <w:rFonts w:ascii="Century Gothic" w:hAnsi="Century Gothic"/>
          <w:sz w:val="18"/>
          <w:szCs w:val="18"/>
          <w:lang w:val="it-IT"/>
        </w:rPr>
        <w:t xml:space="preserve"> (v EU-27: 64 %).</w:t>
      </w:r>
    </w:p>
  </w:footnote>
  <w:footnote w:id="6">
    <w:p w14:paraId="591B5F4A" w14:textId="77777777" w:rsidR="00EB3DFE" w:rsidRPr="00EB3DFE" w:rsidRDefault="00EB3DFE" w:rsidP="00EB3DFE">
      <w:pPr>
        <w:pStyle w:val="Sprotnaopomba-besedilo"/>
        <w:rPr>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2017. </w:t>
      </w:r>
      <w:proofErr w:type="spellStart"/>
      <w:r w:rsidRPr="00EB3DFE">
        <w:rPr>
          <w:rFonts w:ascii="Century Gothic" w:hAnsi="Century Gothic"/>
          <w:sz w:val="18"/>
          <w:szCs w:val="18"/>
          <w:lang w:val="it-IT"/>
        </w:rPr>
        <w:t>Vir</w:t>
      </w:r>
      <w:proofErr w:type="spellEnd"/>
      <w:r w:rsidRPr="00EB3DFE">
        <w:rPr>
          <w:rFonts w:ascii="Century Gothic" w:hAnsi="Century Gothic"/>
          <w:sz w:val="18"/>
          <w:szCs w:val="18"/>
          <w:lang w:val="it-IT"/>
        </w:rPr>
        <w:t xml:space="preserve"> Eurostat.</w:t>
      </w:r>
    </w:p>
  </w:footnote>
  <w:footnote w:id="7">
    <w:p w14:paraId="0A2375F9" w14:textId="77777777" w:rsidR="00EB3DFE" w:rsidRPr="00EB3DFE" w:rsidRDefault="00EB3DFE" w:rsidP="00EB3DFE">
      <w:pPr>
        <w:pStyle w:val="Sprotnaopomba-besedilo"/>
        <w:rPr>
          <w:rFonts w:ascii="Century Gothic" w:hAnsi="Century Gothic"/>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Slovenijo</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2019 in za EU-27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2018.</w:t>
      </w:r>
    </w:p>
  </w:footnote>
  <w:footnote w:id="8">
    <w:p w14:paraId="0D718E01"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2015.</w:t>
      </w:r>
    </w:p>
  </w:footnote>
  <w:footnote w:id="9">
    <w:p w14:paraId="586166D9"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2019. </w:t>
      </w:r>
      <w:proofErr w:type="spellStart"/>
      <w:r w:rsidRPr="00EB3DFE">
        <w:rPr>
          <w:rFonts w:ascii="Century Gothic" w:hAnsi="Century Gothic"/>
          <w:sz w:val="18"/>
          <w:szCs w:val="18"/>
          <w:lang w:val="it-IT"/>
        </w:rPr>
        <w:t>Kazalnik</w:t>
      </w:r>
      <w:proofErr w:type="spellEnd"/>
      <w:r w:rsidRPr="00EB3DFE">
        <w:rPr>
          <w:rFonts w:ascii="Century Gothic" w:hAnsi="Century Gothic"/>
          <w:sz w:val="18"/>
          <w:szCs w:val="18"/>
          <w:lang w:val="it-IT"/>
        </w:rPr>
        <w:t xml:space="preserve"> se je </w:t>
      </w:r>
      <w:proofErr w:type="spellStart"/>
      <w:r w:rsidRPr="00EB3DFE">
        <w:rPr>
          <w:rFonts w:ascii="Century Gothic" w:hAnsi="Century Gothic"/>
          <w:sz w:val="18"/>
          <w:szCs w:val="18"/>
          <w:lang w:val="it-IT"/>
        </w:rPr>
        <w:t>spremenil</w:t>
      </w:r>
      <w:proofErr w:type="spellEnd"/>
      <w:r w:rsidRPr="00EB3DFE">
        <w:rPr>
          <w:rFonts w:ascii="Century Gothic" w:hAnsi="Century Gothic"/>
          <w:sz w:val="18"/>
          <w:szCs w:val="18"/>
          <w:lang w:val="it-IT"/>
        </w:rPr>
        <w:t xml:space="preserve"> v </w:t>
      </w:r>
      <w:proofErr w:type="spellStart"/>
      <w:r w:rsidRPr="00EB3DFE">
        <w:rPr>
          <w:rFonts w:ascii="Century Gothic" w:hAnsi="Century Gothic"/>
          <w:sz w:val="18"/>
          <w:szCs w:val="18"/>
          <w:lang w:val="it-IT"/>
        </w:rPr>
        <w:t>letu</w:t>
      </w:r>
      <w:proofErr w:type="spellEnd"/>
      <w:r w:rsidRPr="00EB3DFE">
        <w:rPr>
          <w:rFonts w:ascii="Century Gothic" w:hAnsi="Century Gothic"/>
          <w:sz w:val="18"/>
          <w:szCs w:val="18"/>
          <w:lang w:val="it-IT"/>
        </w:rPr>
        <w:t xml:space="preserve"> 2019 in </w:t>
      </w:r>
      <w:proofErr w:type="gramStart"/>
      <w:r w:rsidRPr="00EB3DFE">
        <w:rPr>
          <w:rFonts w:ascii="Century Gothic" w:hAnsi="Century Gothic"/>
          <w:sz w:val="18"/>
          <w:szCs w:val="18"/>
          <w:lang w:val="it-IT"/>
        </w:rPr>
        <w:t>se</w:t>
      </w:r>
      <w:proofErr w:type="gram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posameznike</w:t>
      </w:r>
      <w:proofErr w:type="spellEnd"/>
      <w:r w:rsidRPr="00EB3DFE">
        <w:rPr>
          <w:rFonts w:ascii="Century Gothic" w:hAnsi="Century Gothic"/>
          <w:sz w:val="18"/>
          <w:szCs w:val="18"/>
          <w:lang w:val="it-IT"/>
        </w:rPr>
        <w:t xml:space="preserve">, stare 16–74 </w:t>
      </w:r>
      <w:proofErr w:type="spellStart"/>
      <w:r w:rsidRPr="00EB3DFE">
        <w:rPr>
          <w:rFonts w:ascii="Century Gothic" w:hAnsi="Century Gothic"/>
          <w:sz w:val="18"/>
          <w:szCs w:val="18"/>
          <w:lang w:val="it-IT"/>
        </w:rPr>
        <w:t>let</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ki</w:t>
      </w:r>
      <w:proofErr w:type="spellEnd"/>
      <w:r w:rsidRPr="00EB3DFE">
        <w:rPr>
          <w:rFonts w:ascii="Century Gothic" w:hAnsi="Century Gothic"/>
          <w:sz w:val="18"/>
          <w:szCs w:val="18"/>
          <w:lang w:val="it-IT"/>
        </w:rPr>
        <w:t xml:space="preserve"> so </w:t>
      </w:r>
      <w:proofErr w:type="spellStart"/>
      <w:r w:rsidRPr="00EB3DFE">
        <w:rPr>
          <w:rFonts w:ascii="Century Gothic" w:hAnsi="Century Gothic"/>
          <w:sz w:val="18"/>
          <w:szCs w:val="18"/>
          <w:lang w:val="it-IT"/>
        </w:rPr>
        <w:t>uporabljali</w:t>
      </w:r>
      <w:proofErr w:type="spellEnd"/>
      <w:r w:rsidRPr="00EB3DFE">
        <w:rPr>
          <w:rFonts w:ascii="Century Gothic" w:hAnsi="Century Gothic"/>
          <w:sz w:val="18"/>
          <w:szCs w:val="18"/>
          <w:lang w:val="it-IT"/>
        </w:rPr>
        <w:t xml:space="preserve"> internet v </w:t>
      </w:r>
      <w:proofErr w:type="spellStart"/>
      <w:r w:rsidRPr="00EB3DFE">
        <w:rPr>
          <w:rFonts w:ascii="Century Gothic" w:hAnsi="Century Gothic"/>
          <w:sz w:val="18"/>
          <w:szCs w:val="18"/>
          <w:lang w:val="it-IT"/>
        </w:rPr>
        <w:t>zadnjih</w:t>
      </w:r>
      <w:proofErr w:type="spellEnd"/>
      <w:r w:rsidRPr="00EB3DFE">
        <w:rPr>
          <w:rFonts w:ascii="Century Gothic" w:hAnsi="Century Gothic"/>
          <w:sz w:val="18"/>
          <w:szCs w:val="18"/>
          <w:lang w:val="it-IT"/>
        </w:rPr>
        <w:t xml:space="preserve"> 12 </w:t>
      </w:r>
      <w:proofErr w:type="spellStart"/>
      <w:r w:rsidRPr="00EB3DFE">
        <w:rPr>
          <w:rFonts w:ascii="Century Gothic" w:hAnsi="Century Gothic"/>
          <w:sz w:val="18"/>
          <w:szCs w:val="18"/>
          <w:lang w:val="it-IT"/>
        </w:rPr>
        <w:t>mesecih</w:t>
      </w:r>
      <w:proofErr w:type="spellEnd"/>
      <w:r w:rsidRPr="00EB3DFE">
        <w:rPr>
          <w:rFonts w:ascii="Century Gothic" w:hAnsi="Century Gothic"/>
          <w:sz w:val="18"/>
          <w:szCs w:val="18"/>
          <w:lang w:val="it-IT"/>
        </w:rPr>
        <w:t xml:space="preserve"> in </w:t>
      </w:r>
      <w:proofErr w:type="spellStart"/>
      <w:r w:rsidRPr="00EB3DFE">
        <w:rPr>
          <w:rFonts w:ascii="Century Gothic" w:hAnsi="Century Gothic"/>
          <w:sz w:val="18"/>
          <w:szCs w:val="18"/>
          <w:lang w:val="it-IT"/>
        </w:rPr>
        <w:t>izdelali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varnostne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kopije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svojih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podatkov</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npr</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zasebnih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dokumentov</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fotografij</w:t>
      </w:r>
      <w:proofErr w:type="spellEnd"/>
      <w:r w:rsidRPr="00EB3DFE">
        <w:rPr>
          <w:rFonts w:ascii="Century Gothic" w:hAnsi="Century Gothic"/>
          <w:sz w:val="18"/>
          <w:szCs w:val="18"/>
          <w:lang w:val="it-IT"/>
        </w:rPr>
        <w:t xml:space="preserve">) in </w:t>
      </w:r>
      <w:proofErr w:type="spellStart"/>
      <w:r w:rsidRPr="00EB3DFE">
        <w:rPr>
          <w:rFonts w:ascii="Century Gothic" w:hAnsi="Century Gothic"/>
          <w:sz w:val="18"/>
          <w:szCs w:val="18"/>
          <w:lang w:val="it-IT"/>
        </w:rPr>
        <w:t>jih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shranili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zunanje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medije</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shranjevanje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npr</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zunanji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trdi</w:t>
      </w:r>
      <w:proofErr w:type="spellEnd"/>
      <w:r w:rsidRPr="00EB3DFE">
        <w:rPr>
          <w:rFonts w:ascii="Century Gothic" w:hAnsi="Century Gothic"/>
          <w:sz w:val="18"/>
          <w:szCs w:val="18"/>
          <w:lang w:val="it-IT"/>
        </w:rPr>
        <w:t xml:space="preserve"> disk, USB-</w:t>
      </w:r>
      <w:proofErr w:type="spellStart"/>
      <w:r w:rsidRPr="00EB3DFE">
        <w:rPr>
          <w:rFonts w:ascii="Century Gothic" w:hAnsi="Century Gothic"/>
          <w:sz w:val="18"/>
          <w:szCs w:val="18"/>
          <w:lang w:val="it-IT"/>
        </w:rPr>
        <w:t>ključ</w:t>
      </w:r>
      <w:proofErr w:type="spellEnd"/>
      <w:r w:rsidRPr="00EB3DFE">
        <w:rPr>
          <w:rFonts w:ascii="Century Gothic" w:hAnsi="Century Gothic"/>
          <w:sz w:val="18"/>
          <w:szCs w:val="18"/>
          <w:lang w:val="it-IT"/>
        </w:rPr>
        <w:t xml:space="preserve">) ali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prostor</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hrambo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podatkov</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internetu</w:t>
      </w:r>
      <w:proofErr w:type="spellEnd"/>
      <w:r w:rsidRPr="00EB3DFE">
        <w:rPr>
          <w:rFonts w:ascii="Century Gothic" w:hAnsi="Century Gothic"/>
          <w:sz w:val="18"/>
          <w:szCs w:val="18"/>
          <w:lang w:val="it-IT"/>
        </w:rPr>
        <w:t>.</w:t>
      </w:r>
    </w:p>
  </w:footnote>
  <w:footnote w:id="10">
    <w:p w14:paraId="2BB36C4C"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Kazalnik</w:t>
      </w:r>
      <w:proofErr w:type="spellEnd"/>
      <w:r w:rsidRPr="00EB3DFE">
        <w:rPr>
          <w:rFonts w:ascii="Century Gothic" w:hAnsi="Century Gothic"/>
          <w:sz w:val="18"/>
          <w:szCs w:val="18"/>
          <w:lang w:val="it-IT"/>
        </w:rPr>
        <w:t xml:space="preserve"> se je </w:t>
      </w:r>
      <w:proofErr w:type="spellStart"/>
      <w:r w:rsidRPr="00EB3DFE">
        <w:rPr>
          <w:rFonts w:ascii="Century Gothic" w:hAnsi="Century Gothic"/>
          <w:sz w:val="18"/>
          <w:szCs w:val="18"/>
          <w:lang w:val="it-IT"/>
        </w:rPr>
        <w:t>spremenil</w:t>
      </w:r>
      <w:proofErr w:type="spellEnd"/>
      <w:r w:rsidRPr="00EB3DFE">
        <w:rPr>
          <w:rFonts w:ascii="Century Gothic" w:hAnsi="Century Gothic"/>
          <w:sz w:val="18"/>
          <w:szCs w:val="18"/>
          <w:lang w:val="it-IT"/>
        </w:rPr>
        <w:t xml:space="preserve"> v </w:t>
      </w:r>
      <w:proofErr w:type="spellStart"/>
      <w:r w:rsidRPr="00EB3DFE">
        <w:rPr>
          <w:rFonts w:ascii="Century Gothic" w:hAnsi="Century Gothic"/>
          <w:sz w:val="18"/>
          <w:szCs w:val="18"/>
          <w:lang w:val="it-IT"/>
        </w:rPr>
        <w:t>letu</w:t>
      </w:r>
      <w:proofErr w:type="spellEnd"/>
      <w:r w:rsidRPr="00EB3DFE">
        <w:rPr>
          <w:rFonts w:ascii="Century Gothic" w:hAnsi="Century Gothic"/>
          <w:sz w:val="18"/>
          <w:szCs w:val="18"/>
          <w:lang w:val="it-IT"/>
        </w:rPr>
        <w:t xml:space="preserve"> 2019 in </w:t>
      </w:r>
      <w:proofErr w:type="gramStart"/>
      <w:r w:rsidRPr="00EB3DFE">
        <w:rPr>
          <w:rFonts w:ascii="Century Gothic" w:hAnsi="Century Gothic"/>
          <w:sz w:val="18"/>
          <w:szCs w:val="18"/>
          <w:lang w:val="it-IT"/>
        </w:rPr>
        <w:t>se</w:t>
      </w:r>
      <w:proofErr w:type="gram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podjetja</w:t>
      </w:r>
      <w:proofErr w:type="spellEnd"/>
      <w:r w:rsidRPr="00EB3DFE">
        <w:rPr>
          <w:rFonts w:ascii="Century Gothic" w:hAnsi="Century Gothic"/>
          <w:sz w:val="18"/>
          <w:szCs w:val="18"/>
          <w:lang w:val="it-IT"/>
        </w:rPr>
        <w:t xml:space="preserve"> (z </w:t>
      </w:r>
      <w:proofErr w:type="spellStart"/>
      <w:r w:rsidRPr="00EB3DFE">
        <w:rPr>
          <w:rFonts w:ascii="Century Gothic" w:hAnsi="Century Gothic"/>
          <w:sz w:val="18"/>
          <w:szCs w:val="18"/>
          <w:lang w:val="it-IT"/>
        </w:rPr>
        <w:t>vsaj</w:t>
      </w:r>
      <w:proofErr w:type="spellEnd"/>
      <w:r w:rsidRPr="00EB3DFE">
        <w:rPr>
          <w:rFonts w:ascii="Century Gothic" w:hAnsi="Century Gothic"/>
          <w:sz w:val="18"/>
          <w:szCs w:val="18"/>
          <w:lang w:val="it-IT"/>
        </w:rPr>
        <w:t xml:space="preserve"> 10 </w:t>
      </w:r>
      <w:proofErr w:type="spellStart"/>
      <w:r w:rsidRPr="00EB3DFE">
        <w:rPr>
          <w:rFonts w:ascii="Century Gothic" w:hAnsi="Century Gothic"/>
          <w:sz w:val="18"/>
          <w:szCs w:val="18"/>
          <w:lang w:val="it-IT"/>
        </w:rPr>
        <w:t>zaposlenimi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imajo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dokument</w:t>
      </w:r>
      <w:proofErr w:type="spellEnd"/>
      <w:r w:rsidRPr="00EB3DFE">
        <w:rPr>
          <w:rFonts w:ascii="Century Gothic" w:hAnsi="Century Gothic"/>
          <w:sz w:val="18"/>
          <w:szCs w:val="18"/>
          <w:lang w:val="it-IT"/>
        </w:rPr>
        <w:t xml:space="preserve">(e) o </w:t>
      </w:r>
      <w:proofErr w:type="spellStart"/>
      <w:r w:rsidRPr="00EB3DFE">
        <w:rPr>
          <w:rFonts w:ascii="Century Gothic" w:hAnsi="Century Gothic"/>
          <w:sz w:val="18"/>
          <w:szCs w:val="18"/>
          <w:lang w:val="it-IT"/>
        </w:rPr>
        <w:t>varnostnih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ukrepih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praksah</w:t>
      </w:r>
      <w:proofErr w:type="spellEnd"/>
      <w:r w:rsidRPr="00EB3DFE">
        <w:rPr>
          <w:rFonts w:ascii="Century Gothic" w:hAnsi="Century Gothic"/>
          <w:sz w:val="18"/>
          <w:szCs w:val="18"/>
          <w:lang w:val="it-IT"/>
        </w:rPr>
        <w:t xml:space="preserve"> ali </w:t>
      </w:r>
      <w:proofErr w:type="spellStart"/>
      <w:r w:rsidRPr="00EB3DFE">
        <w:rPr>
          <w:rFonts w:ascii="Century Gothic" w:hAnsi="Century Gothic"/>
          <w:sz w:val="18"/>
          <w:szCs w:val="18"/>
          <w:lang w:val="it-IT"/>
        </w:rPr>
        <w:t>postopkih</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varno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uporabo</w:t>
      </w:r>
      <w:proofErr w:type="spellEnd"/>
      <w:r w:rsidRPr="00EB3DFE">
        <w:rPr>
          <w:rFonts w:ascii="Century Gothic" w:hAnsi="Century Gothic"/>
          <w:sz w:val="18"/>
          <w:szCs w:val="18"/>
          <w:lang w:val="it-IT"/>
        </w:rPr>
        <w:t xml:space="preserve"> IKT v </w:t>
      </w:r>
      <w:proofErr w:type="spellStart"/>
      <w:r w:rsidRPr="00EB3DFE">
        <w:rPr>
          <w:rFonts w:ascii="Century Gothic" w:hAnsi="Century Gothic"/>
          <w:sz w:val="18"/>
          <w:szCs w:val="18"/>
          <w:lang w:val="it-IT"/>
        </w:rPr>
        <w:t>podjetju</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vzpostavljeno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politiko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varovanja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informacij</w:t>
      </w:r>
      <w:proofErr w:type="spellEnd"/>
      <w:r w:rsidRPr="00EB3DFE">
        <w:rPr>
          <w:rFonts w:ascii="Century Gothic" w:hAnsi="Century Gothic"/>
          <w:sz w:val="18"/>
          <w:szCs w:val="18"/>
          <w:lang w:val="it-IT"/>
        </w:rPr>
        <w:t>).</w:t>
      </w:r>
    </w:p>
  </w:footnote>
  <w:footnote w:id="11">
    <w:p w14:paraId="1D4E74CE" w14:textId="77777777" w:rsidR="00EB3DFE" w:rsidRPr="00EB3DFE" w:rsidRDefault="00EB3DFE" w:rsidP="00EB3DFE">
      <w:pPr>
        <w:pStyle w:val="Sprotnaopomba-besedilo"/>
        <w:rPr>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Kazalnik</w:t>
      </w:r>
      <w:proofErr w:type="spellEnd"/>
      <w:r w:rsidRPr="00EB3DFE">
        <w:rPr>
          <w:rFonts w:ascii="Century Gothic" w:hAnsi="Century Gothic"/>
          <w:sz w:val="18"/>
          <w:szCs w:val="18"/>
          <w:lang w:val="it-IT"/>
        </w:rPr>
        <w:t xml:space="preserve"> se je </w:t>
      </w:r>
      <w:proofErr w:type="spellStart"/>
      <w:r w:rsidRPr="00EB3DFE">
        <w:rPr>
          <w:rFonts w:ascii="Century Gothic" w:hAnsi="Century Gothic"/>
          <w:sz w:val="18"/>
          <w:szCs w:val="18"/>
          <w:lang w:val="it-IT"/>
        </w:rPr>
        <w:t>spremenil</w:t>
      </w:r>
      <w:proofErr w:type="spellEnd"/>
      <w:r w:rsidRPr="00EB3DFE">
        <w:rPr>
          <w:rFonts w:ascii="Century Gothic" w:hAnsi="Century Gothic"/>
          <w:sz w:val="18"/>
          <w:szCs w:val="18"/>
          <w:lang w:val="it-IT"/>
        </w:rPr>
        <w:t xml:space="preserve"> v </w:t>
      </w:r>
      <w:proofErr w:type="spellStart"/>
      <w:r w:rsidRPr="00EB3DFE">
        <w:rPr>
          <w:rFonts w:ascii="Century Gothic" w:hAnsi="Century Gothic"/>
          <w:sz w:val="18"/>
          <w:szCs w:val="18"/>
          <w:lang w:val="it-IT"/>
        </w:rPr>
        <w:t>letu</w:t>
      </w:r>
      <w:proofErr w:type="spellEnd"/>
      <w:r w:rsidRPr="00EB3DFE">
        <w:rPr>
          <w:rFonts w:ascii="Century Gothic" w:hAnsi="Century Gothic"/>
          <w:sz w:val="18"/>
          <w:szCs w:val="18"/>
          <w:lang w:val="it-IT"/>
        </w:rPr>
        <w:t xml:space="preserve"> 2019 in </w:t>
      </w:r>
      <w:proofErr w:type="gramStart"/>
      <w:r w:rsidRPr="00EB3DFE">
        <w:rPr>
          <w:rFonts w:ascii="Century Gothic" w:hAnsi="Century Gothic"/>
          <w:sz w:val="18"/>
          <w:szCs w:val="18"/>
          <w:lang w:val="it-IT"/>
        </w:rPr>
        <w:t>se</w:t>
      </w:r>
      <w:proofErr w:type="gram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podjetja</w:t>
      </w:r>
      <w:proofErr w:type="spellEnd"/>
      <w:r w:rsidRPr="00EB3DFE">
        <w:rPr>
          <w:rFonts w:ascii="Century Gothic" w:hAnsi="Century Gothic"/>
          <w:sz w:val="18"/>
          <w:szCs w:val="18"/>
          <w:lang w:val="it-IT"/>
        </w:rPr>
        <w:t xml:space="preserve"> (z </w:t>
      </w:r>
      <w:proofErr w:type="spellStart"/>
      <w:r w:rsidRPr="00EB3DFE">
        <w:rPr>
          <w:rFonts w:ascii="Century Gothic" w:hAnsi="Century Gothic"/>
          <w:sz w:val="18"/>
          <w:szCs w:val="18"/>
          <w:lang w:val="it-IT"/>
        </w:rPr>
        <w:t>vsaj</w:t>
      </w:r>
      <w:proofErr w:type="spellEnd"/>
      <w:r w:rsidRPr="00EB3DFE">
        <w:rPr>
          <w:rFonts w:ascii="Century Gothic" w:hAnsi="Century Gothic"/>
          <w:sz w:val="18"/>
          <w:szCs w:val="18"/>
          <w:lang w:val="it-IT"/>
        </w:rPr>
        <w:t xml:space="preserve"> 10 </w:t>
      </w:r>
      <w:proofErr w:type="spellStart"/>
      <w:r w:rsidRPr="00EB3DFE">
        <w:rPr>
          <w:rFonts w:ascii="Century Gothic" w:hAnsi="Century Gothic"/>
          <w:sz w:val="18"/>
          <w:szCs w:val="18"/>
          <w:lang w:val="it-IT"/>
        </w:rPr>
        <w:t>zaposlenimi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imajo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dokument</w:t>
      </w:r>
      <w:proofErr w:type="spellEnd"/>
      <w:r w:rsidRPr="00EB3DFE">
        <w:rPr>
          <w:rFonts w:ascii="Century Gothic" w:hAnsi="Century Gothic"/>
          <w:sz w:val="18"/>
          <w:szCs w:val="18"/>
          <w:lang w:val="it-IT"/>
        </w:rPr>
        <w:t xml:space="preserve">(e) o </w:t>
      </w:r>
      <w:proofErr w:type="spellStart"/>
      <w:r w:rsidRPr="00EB3DFE">
        <w:rPr>
          <w:rFonts w:ascii="Century Gothic" w:hAnsi="Century Gothic"/>
          <w:sz w:val="18"/>
          <w:szCs w:val="18"/>
          <w:lang w:val="it-IT"/>
        </w:rPr>
        <w:t>varnostnih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ukrepih</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praksah</w:t>
      </w:r>
      <w:proofErr w:type="spellEnd"/>
      <w:r w:rsidRPr="00EB3DFE">
        <w:rPr>
          <w:rFonts w:ascii="Century Gothic" w:hAnsi="Century Gothic"/>
          <w:sz w:val="18"/>
          <w:szCs w:val="18"/>
          <w:lang w:val="it-IT"/>
        </w:rPr>
        <w:t xml:space="preserve"> ali </w:t>
      </w:r>
      <w:proofErr w:type="spellStart"/>
      <w:r w:rsidRPr="00EB3DFE">
        <w:rPr>
          <w:rFonts w:ascii="Century Gothic" w:hAnsi="Century Gothic"/>
          <w:sz w:val="18"/>
          <w:szCs w:val="18"/>
          <w:lang w:val="it-IT"/>
        </w:rPr>
        <w:t>postopkih</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varno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uporabo</w:t>
      </w:r>
      <w:proofErr w:type="spellEnd"/>
      <w:r w:rsidRPr="00EB3DFE">
        <w:rPr>
          <w:rFonts w:ascii="Century Gothic" w:hAnsi="Century Gothic"/>
          <w:sz w:val="18"/>
          <w:szCs w:val="18"/>
          <w:lang w:val="it-IT"/>
        </w:rPr>
        <w:t xml:space="preserve"> IKT v </w:t>
      </w:r>
      <w:proofErr w:type="spellStart"/>
      <w:r w:rsidRPr="00EB3DFE">
        <w:rPr>
          <w:rFonts w:ascii="Century Gothic" w:hAnsi="Century Gothic"/>
          <w:sz w:val="18"/>
          <w:szCs w:val="18"/>
          <w:lang w:val="it-IT"/>
        </w:rPr>
        <w:t>podjetju</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vzpostavljeno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politiko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varovanja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informacij</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ki</w:t>
      </w:r>
      <w:proofErr w:type="spellEnd"/>
      <w:r w:rsidRPr="00EB3DFE">
        <w:rPr>
          <w:rFonts w:ascii="Century Gothic" w:hAnsi="Century Gothic"/>
          <w:sz w:val="18"/>
          <w:szCs w:val="18"/>
          <w:lang w:val="it-IT"/>
        </w:rPr>
        <w:t xml:space="preserve"> so te </w:t>
      </w:r>
      <w:proofErr w:type="spellStart"/>
      <w:r w:rsidRPr="00EB3DFE">
        <w:rPr>
          <w:rFonts w:ascii="Century Gothic" w:hAnsi="Century Gothic"/>
          <w:sz w:val="18"/>
          <w:szCs w:val="18"/>
          <w:lang w:val="it-IT"/>
        </w:rPr>
        <w:t>dokumente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določili</w:t>
      </w:r>
      <w:proofErr w:type="spellEnd"/>
      <w:r w:rsidRPr="00EB3DFE">
        <w:rPr>
          <w:rFonts w:ascii="Century Gothic" w:hAnsi="Century Gothic"/>
          <w:sz w:val="18"/>
          <w:szCs w:val="18"/>
          <w:lang w:val="it-IT"/>
        </w:rPr>
        <w:t xml:space="preserve"> ali </w:t>
      </w:r>
      <w:proofErr w:type="spellStart"/>
      <w:r w:rsidRPr="00EB3DFE">
        <w:rPr>
          <w:rFonts w:ascii="Century Gothic" w:hAnsi="Century Gothic"/>
          <w:sz w:val="18"/>
          <w:szCs w:val="18"/>
          <w:lang w:val="it-IT"/>
        </w:rPr>
        <w:t>posodobili</w:t>
      </w:r>
      <w:proofErr w:type="spellEnd"/>
      <w:r w:rsidRPr="00EB3DFE">
        <w:rPr>
          <w:rFonts w:ascii="Century Gothic" w:hAnsi="Century Gothic"/>
          <w:sz w:val="18"/>
          <w:szCs w:val="18"/>
          <w:lang w:val="it-IT"/>
        </w:rPr>
        <w:t xml:space="preserve"> v </w:t>
      </w:r>
      <w:proofErr w:type="spellStart"/>
      <w:r w:rsidRPr="00EB3DFE">
        <w:rPr>
          <w:rFonts w:ascii="Century Gothic" w:hAnsi="Century Gothic"/>
          <w:sz w:val="18"/>
          <w:szCs w:val="18"/>
          <w:lang w:val="it-IT"/>
        </w:rPr>
        <w:t>zadnjih</w:t>
      </w:r>
      <w:proofErr w:type="spellEnd"/>
      <w:r w:rsidRPr="00EB3DFE">
        <w:rPr>
          <w:rFonts w:ascii="Century Gothic" w:hAnsi="Century Gothic"/>
          <w:sz w:val="18"/>
          <w:szCs w:val="18"/>
          <w:lang w:val="it-IT"/>
        </w:rPr>
        <w:t xml:space="preserve"> 12 </w:t>
      </w:r>
      <w:proofErr w:type="spellStart"/>
      <w:r w:rsidRPr="00EB3DFE">
        <w:rPr>
          <w:rFonts w:ascii="Century Gothic" w:hAnsi="Century Gothic"/>
          <w:sz w:val="18"/>
          <w:szCs w:val="18"/>
          <w:lang w:val="it-IT"/>
        </w:rPr>
        <w:t>mesecih</w:t>
      </w:r>
      <w:proofErr w:type="spellEnd"/>
      <w:r w:rsidRPr="00EB3DFE">
        <w:rPr>
          <w:rFonts w:ascii="Century Gothic" w:hAnsi="Century Gothic"/>
          <w:sz w:val="18"/>
          <w:szCs w:val="18"/>
          <w:lang w:val="it-IT"/>
        </w:rPr>
        <w:t>.</w:t>
      </w:r>
    </w:p>
  </w:footnote>
  <w:footnote w:id="12">
    <w:p w14:paraId="65E3CA77"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Kazalniki</w:t>
      </w:r>
      <w:proofErr w:type="spellEnd"/>
      <w:r w:rsidRPr="00EB3DFE">
        <w:rPr>
          <w:rFonts w:ascii="Century Gothic" w:hAnsi="Century Gothic"/>
          <w:sz w:val="18"/>
          <w:szCs w:val="18"/>
          <w:lang w:val="it-IT"/>
        </w:rPr>
        <w:t xml:space="preserve"> o e-</w:t>
      </w:r>
      <w:proofErr w:type="spellStart"/>
      <w:r w:rsidRPr="00EB3DFE">
        <w:rPr>
          <w:rFonts w:ascii="Century Gothic" w:hAnsi="Century Gothic"/>
          <w:sz w:val="18"/>
          <w:szCs w:val="18"/>
          <w:lang w:val="it-IT"/>
        </w:rPr>
        <w:t>spretnostih</w:t>
      </w:r>
      <w:proofErr w:type="spellEnd"/>
      <w:r w:rsidRPr="00EB3DFE">
        <w:rPr>
          <w:rFonts w:ascii="Century Gothic" w:hAnsi="Century Gothic"/>
          <w:sz w:val="18"/>
          <w:szCs w:val="18"/>
          <w:lang w:val="it-IT"/>
        </w:rPr>
        <w:t xml:space="preserve"> so se </w:t>
      </w:r>
      <w:proofErr w:type="spellStart"/>
      <w:r w:rsidRPr="00EB3DFE">
        <w:rPr>
          <w:rFonts w:ascii="Century Gothic" w:hAnsi="Century Gothic"/>
          <w:sz w:val="18"/>
          <w:szCs w:val="18"/>
          <w:lang w:val="it-IT"/>
        </w:rPr>
        <w:t>revidirali</w:t>
      </w:r>
      <w:proofErr w:type="spellEnd"/>
      <w:r w:rsidRPr="00EB3DFE">
        <w:rPr>
          <w:rFonts w:ascii="Century Gothic" w:hAnsi="Century Gothic"/>
          <w:sz w:val="18"/>
          <w:szCs w:val="18"/>
          <w:lang w:val="it-IT"/>
        </w:rPr>
        <w:t xml:space="preserve"> v </w:t>
      </w:r>
      <w:proofErr w:type="spellStart"/>
      <w:r w:rsidRPr="00EB3DFE">
        <w:rPr>
          <w:rFonts w:ascii="Century Gothic" w:hAnsi="Century Gothic"/>
          <w:sz w:val="18"/>
          <w:szCs w:val="18"/>
          <w:lang w:val="it-IT"/>
        </w:rPr>
        <w:t>letu</w:t>
      </w:r>
      <w:proofErr w:type="spellEnd"/>
      <w:r w:rsidRPr="00EB3DFE">
        <w:rPr>
          <w:rFonts w:ascii="Century Gothic" w:hAnsi="Century Gothic"/>
          <w:sz w:val="18"/>
          <w:szCs w:val="18"/>
          <w:lang w:val="it-IT"/>
        </w:rPr>
        <w:t xml:space="preserve"> 2015 in </w:t>
      </w:r>
      <w:proofErr w:type="spellStart"/>
      <w:r w:rsidRPr="00EB3DFE">
        <w:rPr>
          <w:rFonts w:ascii="Century Gothic" w:hAnsi="Century Gothic"/>
          <w:sz w:val="18"/>
          <w:szCs w:val="18"/>
          <w:lang w:val="it-IT"/>
        </w:rPr>
        <w:t>nadomestili</w:t>
      </w:r>
      <w:proofErr w:type="spellEnd"/>
      <w:r w:rsidRPr="00EB3DFE">
        <w:rPr>
          <w:rFonts w:ascii="Century Gothic" w:hAnsi="Century Gothic"/>
          <w:sz w:val="18"/>
          <w:szCs w:val="18"/>
          <w:lang w:val="it-IT"/>
        </w:rPr>
        <w:t xml:space="preserve"> s </w:t>
      </w:r>
      <w:proofErr w:type="spellStart"/>
      <w:r w:rsidRPr="00EB3DFE">
        <w:rPr>
          <w:rFonts w:ascii="Century Gothic" w:hAnsi="Century Gothic"/>
          <w:sz w:val="18"/>
          <w:szCs w:val="18"/>
          <w:lang w:val="it-IT"/>
        </w:rPr>
        <w:t>kazalnikom</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digitalne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spretnosti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ga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sestavljajo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informacijske</w:t>
      </w:r>
      <w:proofErr w:type="spellEnd"/>
      <w:r w:rsidRPr="00EB3DFE">
        <w:rPr>
          <w:rFonts w:ascii="Century Gothic" w:hAnsi="Century Gothic"/>
          <w:sz w:val="18"/>
          <w:szCs w:val="18"/>
          <w:lang w:val="it-IT"/>
        </w:rPr>
        <w:t xml:space="preserve"> e-</w:t>
      </w:r>
      <w:proofErr w:type="spellStart"/>
      <w:r w:rsidRPr="00EB3DFE">
        <w:rPr>
          <w:rFonts w:ascii="Century Gothic" w:hAnsi="Century Gothic"/>
          <w:sz w:val="18"/>
          <w:szCs w:val="18"/>
          <w:lang w:val="it-IT"/>
        </w:rPr>
        <w:t>spretnosti</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komunikacijske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spretnosti</w:t>
      </w:r>
      <w:proofErr w:type="spellEnd"/>
      <w:r w:rsidRPr="00EB3DFE">
        <w:rPr>
          <w:rFonts w:ascii="Century Gothic" w:hAnsi="Century Gothic"/>
          <w:sz w:val="18"/>
          <w:szCs w:val="18"/>
          <w:lang w:val="it-IT"/>
        </w:rPr>
        <w:t>, e-</w:t>
      </w:r>
      <w:proofErr w:type="spellStart"/>
      <w:r w:rsidRPr="00EB3DFE">
        <w:rPr>
          <w:rFonts w:ascii="Century Gothic" w:hAnsi="Century Gothic"/>
          <w:sz w:val="18"/>
          <w:szCs w:val="18"/>
          <w:lang w:val="it-IT"/>
        </w:rPr>
        <w:t>spretnosti</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reševanje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problemov</w:t>
      </w:r>
      <w:proofErr w:type="spellEnd"/>
      <w:r w:rsidRPr="00EB3DFE">
        <w:rPr>
          <w:rFonts w:ascii="Century Gothic" w:hAnsi="Century Gothic"/>
          <w:sz w:val="18"/>
          <w:szCs w:val="18"/>
          <w:lang w:val="it-IT"/>
        </w:rPr>
        <w:t>, e-</w:t>
      </w:r>
      <w:proofErr w:type="spellStart"/>
      <w:r w:rsidRPr="00EB3DFE">
        <w:rPr>
          <w:rFonts w:ascii="Century Gothic" w:hAnsi="Century Gothic"/>
          <w:sz w:val="18"/>
          <w:szCs w:val="18"/>
          <w:lang w:val="it-IT"/>
        </w:rPr>
        <w:t>spretnosti</w:t>
      </w:r>
      <w:proofErr w:type="spellEnd"/>
      <w:r w:rsidRPr="00EB3DFE">
        <w:rPr>
          <w:rFonts w:ascii="Century Gothic" w:hAnsi="Century Gothic"/>
          <w:sz w:val="18"/>
          <w:szCs w:val="18"/>
          <w:lang w:val="it-IT"/>
        </w:rPr>
        <w:t xml:space="preserve"> za </w:t>
      </w:r>
      <w:proofErr w:type="spellStart"/>
      <w:r w:rsidRPr="00EB3DFE">
        <w:rPr>
          <w:rFonts w:ascii="Century Gothic" w:hAnsi="Century Gothic"/>
          <w:sz w:val="18"/>
          <w:szCs w:val="18"/>
          <w:lang w:val="it-IT"/>
        </w:rPr>
        <w:t>uporabo</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programske</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opreme</w:t>
      </w:r>
      <w:proofErr w:type="spellEnd"/>
      <w:r w:rsidRPr="00EB3DFE">
        <w:rPr>
          <w:rFonts w:ascii="Century Gothic" w:hAnsi="Century Gothic"/>
          <w:sz w:val="18"/>
          <w:szCs w:val="18"/>
          <w:lang w:val="it-IT"/>
        </w:rPr>
        <w:t xml:space="preserve">. </w:t>
      </w:r>
    </w:p>
  </w:footnote>
  <w:footnote w:id="13">
    <w:p w14:paraId="6EDB29F1" w14:textId="77777777" w:rsidR="00EB3DFE" w:rsidRPr="00EB3DFE" w:rsidRDefault="00EB3DFE" w:rsidP="00EB3DFE">
      <w:pPr>
        <w:pStyle w:val="Sprotnaopomba-besedilo"/>
        <w:rPr>
          <w:rFonts w:ascii="Century Gothic" w:hAnsi="Century Gothic"/>
          <w:sz w:val="18"/>
          <w:szCs w:val="18"/>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Podatka</w:t>
      </w:r>
      <w:proofErr w:type="spellEnd"/>
      <w:r w:rsidRPr="00EB3DFE">
        <w:rPr>
          <w:rFonts w:ascii="Century Gothic" w:hAnsi="Century Gothic"/>
          <w:sz w:val="18"/>
          <w:szCs w:val="18"/>
          <w:lang w:val="it-IT"/>
        </w:rPr>
        <w:t xml:space="preserve"> za SI in EU-27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2015.</w:t>
      </w:r>
    </w:p>
  </w:footnote>
  <w:footnote w:id="14">
    <w:p w14:paraId="68E50646" w14:textId="77777777" w:rsidR="00EB3DFE" w:rsidRPr="00EB3DFE" w:rsidRDefault="00EB3DFE" w:rsidP="00EB3DFE">
      <w:pPr>
        <w:pStyle w:val="Sprotnaopomba-besedilo"/>
        <w:rPr>
          <w:lang w:val="it-IT"/>
        </w:rPr>
      </w:pPr>
      <w:r w:rsidRPr="007F5AB2">
        <w:rPr>
          <w:rStyle w:val="Sprotnaopomba-sklic"/>
          <w:rFonts w:ascii="Century Gothic" w:hAnsi="Century Gothic"/>
          <w:sz w:val="18"/>
          <w:szCs w:val="18"/>
        </w:rPr>
        <w:footnoteRef/>
      </w:r>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Podatek</w:t>
      </w:r>
      <w:proofErr w:type="spellEnd"/>
      <w:r w:rsidRPr="00EB3DFE">
        <w:rPr>
          <w:rFonts w:ascii="Century Gothic" w:hAnsi="Century Gothic"/>
          <w:sz w:val="18"/>
          <w:szCs w:val="18"/>
          <w:lang w:val="it-IT"/>
        </w:rPr>
        <w:t xml:space="preserve"> se </w:t>
      </w:r>
      <w:proofErr w:type="spellStart"/>
      <w:r w:rsidRPr="00EB3DFE">
        <w:rPr>
          <w:rFonts w:ascii="Century Gothic" w:hAnsi="Century Gothic"/>
          <w:sz w:val="18"/>
          <w:szCs w:val="18"/>
          <w:lang w:val="it-IT"/>
        </w:rPr>
        <w:t>nanaša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na</w:t>
      </w:r>
      <w:proofErr w:type="spellEnd"/>
      <w:r w:rsidRPr="00EB3DFE">
        <w:rPr>
          <w:rFonts w:ascii="Century Gothic" w:hAnsi="Century Gothic"/>
          <w:sz w:val="18"/>
          <w:szCs w:val="18"/>
          <w:lang w:val="it-IT"/>
        </w:rPr>
        <w:t xml:space="preserve"> </w:t>
      </w:r>
      <w:proofErr w:type="spellStart"/>
      <w:r w:rsidRPr="00EB3DFE">
        <w:rPr>
          <w:rFonts w:ascii="Century Gothic" w:hAnsi="Century Gothic"/>
          <w:sz w:val="18"/>
          <w:szCs w:val="18"/>
          <w:lang w:val="it-IT"/>
        </w:rPr>
        <w:t>leto</w:t>
      </w:r>
      <w:proofErr w:type="spellEnd"/>
      <w:r w:rsidRPr="00EB3DFE">
        <w:rPr>
          <w:rFonts w:ascii="Century Gothic" w:hAnsi="Century Gothic"/>
          <w:sz w:val="18"/>
          <w:szCs w:val="18"/>
          <w:lang w:val="it-IT"/>
        </w:rPr>
        <w:t xml:space="preserve"> 2019</w:t>
      </w:r>
      <w:r w:rsidRPr="00EB3DFE">
        <w:rPr>
          <w:rFonts w:ascii="Century Gothic" w:hAnsi="Century Gothic"/>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00BA" w14:textId="1CFE44DB" w:rsidR="00EB3DFE" w:rsidRDefault="00EB3DFE">
    <w:pPr>
      <w:pStyle w:val="Glava"/>
    </w:pPr>
    <w:r w:rsidRPr="00EB3DFE">
      <w:rPr>
        <w:noProof/>
      </w:rPr>
      <w:drawing>
        <wp:inline distT="0" distB="0" distL="0" distR="0" wp14:anchorId="61A454C2" wp14:editId="57ADDF35">
          <wp:extent cx="2341076" cy="436245"/>
          <wp:effectExtent l="0" t="0" r="2540" b="1905"/>
          <wp:docPr id="2051" name="Picture 3"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Logotip Ministrstva za javno upravo"/>
                  <pic:cNvPicPr>
                    <a:picLocks noChangeAspect="1" noChangeArrowheads="1"/>
                  </pic:cNvPicPr>
                </pic:nvPicPr>
                <pic:blipFill>
                  <a:blip r:embed="rId1" cstate="print"/>
                  <a:srcRect/>
                  <a:stretch>
                    <a:fillRect/>
                  </a:stretch>
                </pic:blipFill>
                <pic:spPr bwMode="auto">
                  <a:xfrm>
                    <a:off x="0" y="0"/>
                    <a:ext cx="2368417" cy="4413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F5589"/>
    <w:multiLevelType w:val="hybridMultilevel"/>
    <w:tmpl w:val="72709378"/>
    <w:lvl w:ilvl="0" w:tplc="1102FDE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278730A8"/>
    <w:multiLevelType w:val="hybridMultilevel"/>
    <w:tmpl w:val="AB021A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8F171ED"/>
    <w:multiLevelType w:val="hybridMultilevel"/>
    <w:tmpl w:val="22C42ACA"/>
    <w:lvl w:ilvl="0" w:tplc="29F8781A">
      <w:start w:val="2019"/>
      <w:numFmt w:val="decimal"/>
      <w:lvlText w:val="%1"/>
      <w:lvlJc w:val="left"/>
      <w:pPr>
        <w:ind w:left="500" w:hanging="420"/>
      </w:pPr>
      <w:rPr>
        <w:rFonts w:hint="default"/>
      </w:rPr>
    </w:lvl>
    <w:lvl w:ilvl="1" w:tplc="04240019" w:tentative="1">
      <w:start w:val="1"/>
      <w:numFmt w:val="lowerLetter"/>
      <w:lvlText w:val="%2."/>
      <w:lvlJc w:val="left"/>
      <w:pPr>
        <w:ind w:left="1160" w:hanging="360"/>
      </w:pPr>
    </w:lvl>
    <w:lvl w:ilvl="2" w:tplc="0424001B" w:tentative="1">
      <w:start w:val="1"/>
      <w:numFmt w:val="lowerRoman"/>
      <w:lvlText w:val="%3."/>
      <w:lvlJc w:val="right"/>
      <w:pPr>
        <w:ind w:left="1880" w:hanging="180"/>
      </w:pPr>
    </w:lvl>
    <w:lvl w:ilvl="3" w:tplc="0424000F" w:tentative="1">
      <w:start w:val="1"/>
      <w:numFmt w:val="decimal"/>
      <w:lvlText w:val="%4."/>
      <w:lvlJc w:val="left"/>
      <w:pPr>
        <w:ind w:left="2600" w:hanging="360"/>
      </w:pPr>
    </w:lvl>
    <w:lvl w:ilvl="4" w:tplc="04240019" w:tentative="1">
      <w:start w:val="1"/>
      <w:numFmt w:val="lowerLetter"/>
      <w:lvlText w:val="%5."/>
      <w:lvlJc w:val="left"/>
      <w:pPr>
        <w:ind w:left="3320" w:hanging="360"/>
      </w:pPr>
    </w:lvl>
    <w:lvl w:ilvl="5" w:tplc="0424001B" w:tentative="1">
      <w:start w:val="1"/>
      <w:numFmt w:val="lowerRoman"/>
      <w:lvlText w:val="%6."/>
      <w:lvlJc w:val="right"/>
      <w:pPr>
        <w:ind w:left="4040" w:hanging="180"/>
      </w:pPr>
    </w:lvl>
    <w:lvl w:ilvl="6" w:tplc="0424000F" w:tentative="1">
      <w:start w:val="1"/>
      <w:numFmt w:val="decimal"/>
      <w:lvlText w:val="%7."/>
      <w:lvlJc w:val="left"/>
      <w:pPr>
        <w:ind w:left="4760" w:hanging="360"/>
      </w:pPr>
    </w:lvl>
    <w:lvl w:ilvl="7" w:tplc="04240019" w:tentative="1">
      <w:start w:val="1"/>
      <w:numFmt w:val="lowerLetter"/>
      <w:lvlText w:val="%8."/>
      <w:lvlJc w:val="left"/>
      <w:pPr>
        <w:ind w:left="5480" w:hanging="360"/>
      </w:pPr>
    </w:lvl>
    <w:lvl w:ilvl="8" w:tplc="0424001B" w:tentative="1">
      <w:start w:val="1"/>
      <w:numFmt w:val="lowerRoman"/>
      <w:lvlText w:val="%9."/>
      <w:lvlJc w:val="right"/>
      <w:pPr>
        <w:ind w:left="6200" w:hanging="180"/>
      </w:pPr>
    </w:lvl>
  </w:abstractNum>
  <w:abstractNum w:abstractNumId="3" w15:restartNumberingAfterBreak="0">
    <w:nsid w:val="2BD37407"/>
    <w:multiLevelType w:val="hybridMultilevel"/>
    <w:tmpl w:val="E1AC2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903FB"/>
    <w:multiLevelType w:val="hybridMultilevel"/>
    <w:tmpl w:val="2520966E"/>
    <w:lvl w:ilvl="0" w:tplc="04240001">
      <w:start w:val="1"/>
      <w:numFmt w:val="bullet"/>
      <w:lvlText w:val=""/>
      <w:lvlJc w:val="left"/>
      <w:pPr>
        <w:ind w:left="1077" w:hanging="360"/>
      </w:pPr>
      <w:rPr>
        <w:rFonts w:ascii="Symbol" w:hAnsi="Symbol" w:hint="default"/>
      </w:rPr>
    </w:lvl>
    <w:lvl w:ilvl="1" w:tplc="04240003">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 w15:restartNumberingAfterBreak="0">
    <w:nsid w:val="3DAF2D84"/>
    <w:multiLevelType w:val="hybridMultilevel"/>
    <w:tmpl w:val="C17C5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832E43"/>
    <w:multiLevelType w:val="hybridMultilevel"/>
    <w:tmpl w:val="19C62C2C"/>
    <w:lvl w:ilvl="0" w:tplc="04240001">
      <w:start w:val="1"/>
      <w:numFmt w:val="bullet"/>
      <w:lvlText w:val=""/>
      <w:lvlJc w:val="left"/>
      <w:pPr>
        <w:ind w:left="769" w:hanging="360"/>
      </w:pPr>
      <w:rPr>
        <w:rFonts w:ascii="Symbol" w:hAnsi="Symbol" w:hint="default"/>
      </w:rPr>
    </w:lvl>
    <w:lvl w:ilvl="1" w:tplc="04240003">
      <w:start w:val="1"/>
      <w:numFmt w:val="bullet"/>
      <w:lvlText w:val="o"/>
      <w:lvlJc w:val="left"/>
      <w:pPr>
        <w:ind w:left="1489" w:hanging="360"/>
      </w:pPr>
      <w:rPr>
        <w:rFonts w:ascii="Courier New" w:hAnsi="Courier New" w:cs="Courier New" w:hint="default"/>
      </w:rPr>
    </w:lvl>
    <w:lvl w:ilvl="2" w:tplc="04240005">
      <w:start w:val="1"/>
      <w:numFmt w:val="bullet"/>
      <w:lvlText w:val=""/>
      <w:lvlJc w:val="left"/>
      <w:pPr>
        <w:ind w:left="2209" w:hanging="360"/>
      </w:pPr>
      <w:rPr>
        <w:rFonts w:ascii="Wingdings" w:hAnsi="Wingdings" w:hint="default"/>
      </w:rPr>
    </w:lvl>
    <w:lvl w:ilvl="3" w:tplc="04240001">
      <w:start w:val="1"/>
      <w:numFmt w:val="bullet"/>
      <w:lvlText w:val=""/>
      <w:lvlJc w:val="left"/>
      <w:pPr>
        <w:ind w:left="2929" w:hanging="360"/>
      </w:pPr>
      <w:rPr>
        <w:rFonts w:ascii="Symbol" w:hAnsi="Symbol" w:hint="default"/>
      </w:rPr>
    </w:lvl>
    <w:lvl w:ilvl="4" w:tplc="04240003">
      <w:start w:val="1"/>
      <w:numFmt w:val="bullet"/>
      <w:lvlText w:val="o"/>
      <w:lvlJc w:val="left"/>
      <w:pPr>
        <w:ind w:left="3649" w:hanging="360"/>
      </w:pPr>
      <w:rPr>
        <w:rFonts w:ascii="Courier New" w:hAnsi="Courier New" w:cs="Courier New" w:hint="default"/>
      </w:rPr>
    </w:lvl>
    <w:lvl w:ilvl="5" w:tplc="04240005">
      <w:start w:val="1"/>
      <w:numFmt w:val="bullet"/>
      <w:lvlText w:val=""/>
      <w:lvlJc w:val="left"/>
      <w:pPr>
        <w:ind w:left="4369" w:hanging="360"/>
      </w:pPr>
      <w:rPr>
        <w:rFonts w:ascii="Wingdings" w:hAnsi="Wingdings" w:hint="default"/>
      </w:rPr>
    </w:lvl>
    <w:lvl w:ilvl="6" w:tplc="04240001">
      <w:start w:val="1"/>
      <w:numFmt w:val="bullet"/>
      <w:lvlText w:val=""/>
      <w:lvlJc w:val="left"/>
      <w:pPr>
        <w:ind w:left="5089" w:hanging="360"/>
      </w:pPr>
      <w:rPr>
        <w:rFonts w:ascii="Symbol" w:hAnsi="Symbol" w:hint="default"/>
      </w:rPr>
    </w:lvl>
    <w:lvl w:ilvl="7" w:tplc="04240003">
      <w:start w:val="1"/>
      <w:numFmt w:val="bullet"/>
      <w:lvlText w:val="o"/>
      <w:lvlJc w:val="left"/>
      <w:pPr>
        <w:ind w:left="5809" w:hanging="360"/>
      </w:pPr>
      <w:rPr>
        <w:rFonts w:ascii="Courier New" w:hAnsi="Courier New" w:cs="Courier New" w:hint="default"/>
      </w:rPr>
    </w:lvl>
    <w:lvl w:ilvl="8" w:tplc="04240005">
      <w:start w:val="1"/>
      <w:numFmt w:val="bullet"/>
      <w:lvlText w:val=""/>
      <w:lvlJc w:val="left"/>
      <w:pPr>
        <w:ind w:left="6529" w:hanging="360"/>
      </w:pPr>
      <w:rPr>
        <w:rFonts w:ascii="Wingdings" w:hAnsi="Wingdings" w:hint="default"/>
      </w:rPr>
    </w:lvl>
  </w:abstractNum>
  <w:abstractNum w:abstractNumId="7" w15:restartNumberingAfterBreak="0">
    <w:nsid w:val="46C416B6"/>
    <w:multiLevelType w:val="hybridMultilevel"/>
    <w:tmpl w:val="141CE956"/>
    <w:lvl w:ilvl="0" w:tplc="04240001">
      <w:start w:val="1"/>
      <w:numFmt w:val="bullet"/>
      <w:lvlText w:val=""/>
      <w:lvlJc w:val="left"/>
      <w:pPr>
        <w:ind w:left="440" w:hanging="360"/>
      </w:pPr>
      <w:rPr>
        <w:rFonts w:ascii="Symbol" w:hAnsi="Symbol" w:hint="default"/>
      </w:rPr>
    </w:lvl>
    <w:lvl w:ilvl="1" w:tplc="04240003" w:tentative="1">
      <w:start w:val="1"/>
      <w:numFmt w:val="bullet"/>
      <w:lvlText w:val="o"/>
      <w:lvlJc w:val="left"/>
      <w:pPr>
        <w:ind w:left="1160" w:hanging="360"/>
      </w:pPr>
      <w:rPr>
        <w:rFonts w:ascii="Courier New" w:hAnsi="Courier New" w:cs="Courier New" w:hint="default"/>
      </w:rPr>
    </w:lvl>
    <w:lvl w:ilvl="2" w:tplc="04240005" w:tentative="1">
      <w:start w:val="1"/>
      <w:numFmt w:val="bullet"/>
      <w:lvlText w:val=""/>
      <w:lvlJc w:val="left"/>
      <w:pPr>
        <w:ind w:left="1880" w:hanging="360"/>
      </w:pPr>
      <w:rPr>
        <w:rFonts w:ascii="Wingdings" w:hAnsi="Wingdings" w:hint="default"/>
      </w:rPr>
    </w:lvl>
    <w:lvl w:ilvl="3" w:tplc="04240001" w:tentative="1">
      <w:start w:val="1"/>
      <w:numFmt w:val="bullet"/>
      <w:lvlText w:val=""/>
      <w:lvlJc w:val="left"/>
      <w:pPr>
        <w:ind w:left="2600" w:hanging="360"/>
      </w:pPr>
      <w:rPr>
        <w:rFonts w:ascii="Symbol" w:hAnsi="Symbol" w:hint="default"/>
      </w:rPr>
    </w:lvl>
    <w:lvl w:ilvl="4" w:tplc="04240003" w:tentative="1">
      <w:start w:val="1"/>
      <w:numFmt w:val="bullet"/>
      <w:lvlText w:val="o"/>
      <w:lvlJc w:val="left"/>
      <w:pPr>
        <w:ind w:left="3320" w:hanging="360"/>
      </w:pPr>
      <w:rPr>
        <w:rFonts w:ascii="Courier New" w:hAnsi="Courier New" w:cs="Courier New" w:hint="default"/>
      </w:rPr>
    </w:lvl>
    <w:lvl w:ilvl="5" w:tplc="04240005" w:tentative="1">
      <w:start w:val="1"/>
      <w:numFmt w:val="bullet"/>
      <w:lvlText w:val=""/>
      <w:lvlJc w:val="left"/>
      <w:pPr>
        <w:ind w:left="4040" w:hanging="360"/>
      </w:pPr>
      <w:rPr>
        <w:rFonts w:ascii="Wingdings" w:hAnsi="Wingdings" w:hint="default"/>
      </w:rPr>
    </w:lvl>
    <w:lvl w:ilvl="6" w:tplc="04240001" w:tentative="1">
      <w:start w:val="1"/>
      <w:numFmt w:val="bullet"/>
      <w:lvlText w:val=""/>
      <w:lvlJc w:val="left"/>
      <w:pPr>
        <w:ind w:left="4760" w:hanging="360"/>
      </w:pPr>
      <w:rPr>
        <w:rFonts w:ascii="Symbol" w:hAnsi="Symbol" w:hint="default"/>
      </w:rPr>
    </w:lvl>
    <w:lvl w:ilvl="7" w:tplc="04240003" w:tentative="1">
      <w:start w:val="1"/>
      <w:numFmt w:val="bullet"/>
      <w:lvlText w:val="o"/>
      <w:lvlJc w:val="left"/>
      <w:pPr>
        <w:ind w:left="5480" w:hanging="360"/>
      </w:pPr>
      <w:rPr>
        <w:rFonts w:ascii="Courier New" w:hAnsi="Courier New" w:cs="Courier New" w:hint="default"/>
      </w:rPr>
    </w:lvl>
    <w:lvl w:ilvl="8" w:tplc="04240005" w:tentative="1">
      <w:start w:val="1"/>
      <w:numFmt w:val="bullet"/>
      <w:lvlText w:val=""/>
      <w:lvlJc w:val="left"/>
      <w:pPr>
        <w:ind w:left="6200" w:hanging="360"/>
      </w:pPr>
      <w:rPr>
        <w:rFonts w:ascii="Wingdings" w:hAnsi="Wingdings" w:hint="default"/>
      </w:rPr>
    </w:lvl>
  </w:abstractNum>
  <w:abstractNum w:abstractNumId="8" w15:restartNumberingAfterBreak="0">
    <w:nsid w:val="53A2481A"/>
    <w:multiLevelType w:val="multilevel"/>
    <w:tmpl w:val="81B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A459E"/>
    <w:multiLevelType w:val="hybridMultilevel"/>
    <w:tmpl w:val="1C4C12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0D723B"/>
    <w:multiLevelType w:val="hybridMultilevel"/>
    <w:tmpl w:val="0088E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F24A49"/>
    <w:multiLevelType w:val="hybridMultilevel"/>
    <w:tmpl w:val="8D2C50DE"/>
    <w:lvl w:ilvl="0" w:tplc="B22CEF14">
      <w:start w:val="1"/>
      <w:numFmt w:val="ordinal"/>
      <w:pStyle w:val="NaslovTOC"/>
      <w:lvlText w:val="5.%1"/>
      <w:lvlJc w:val="left"/>
      <w:pPr>
        <w:ind w:left="100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2" w15:restartNumberingAfterBreak="0">
    <w:nsid w:val="6D2A3F7E"/>
    <w:multiLevelType w:val="hybridMultilevel"/>
    <w:tmpl w:val="F1CA9124"/>
    <w:lvl w:ilvl="0" w:tplc="04240001">
      <w:start w:val="1"/>
      <w:numFmt w:val="bullet"/>
      <w:lvlText w:val=""/>
      <w:lvlJc w:val="left"/>
      <w:pPr>
        <w:ind w:left="907" w:hanging="360"/>
      </w:pPr>
      <w:rPr>
        <w:rFonts w:ascii="Symbol" w:hAnsi="Symbol" w:hint="default"/>
      </w:rPr>
    </w:lvl>
    <w:lvl w:ilvl="1" w:tplc="04240003" w:tentative="1">
      <w:start w:val="1"/>
      <w:numFmt w:val="bullet"/>
      <w:lvlText w:val="o"/>
      <w:lvlJc w:val="left"/>
      <w:pPr>
        <w:ind w:left="1627" w:hanging="360"/>
      </w:pPr>
      <w:rPr>
        <w:rFonts w:ascii="Courier New" w:hAnsi="Courier New" w:cs="Courier New" w:hint="default"/>
      </w:rPr>
    </w:lvl>
    <w:lvl w:ilvl="2" w:tplc="04240005" w:tentative="1">
      <w:start w:val="1"/>
      <w:numFmt w:val="bullet"/>
      <w:lvlText w:val=""/>
      <w:lvlJc w:val="left"/>
      <w:pPr>
        <w:ind w:left="2347" w:hanging="360"/>
      </w:pPr>
      <w:rPr>
        <w:rFonts w:ascii="Wingdings" w:hAnsi="Wingdings" w:hint="default"/>
      </w:rPr>
    </w:lvl>
    <w:lvl w:ilvl="3" w:tplc="04240001" w:tentative="1">
      <w:start w:val="1"/>
      <w:numFmt w:val="bullet"/>
      <w:lvlText w:val=""/>
      <w:lvlJc w:val="left"/>
      <w:pPr>
        <w:ind w:left="3067" w:hanging="360"/>
      </w:pPr>
      <w:rPr>
        <w:rFonts w:ascii="Symbol" w:hAnsi="Symbol" w:hint="default"/>
      </w:rPr>
    </w:lvl>
    <w:lvl w:ilvl="4" w:tplc="04240003" w:tentative="1">
      <w:start w:val="1"/>
      <w:numFmt w:val="bullet"/>
      <w:lvlText w:val="o"/>
      <w:lvlJc w:val="left"/>
      <w:pPr>
        <w:ind w:left="3787" w:hanging="360"/>
      </w:pPr>
      <w:rPr>
        <w:rFonts w:ascii="Courier New" w:hAnsi="Courier New" w:cs="Courier New" w:hint="default"/>
      </w:rPr>
    </w:lvl>
    <w:lvl w:ilvl="5" w:tplc="04240005" w:tentative="1">
      <w:start w:val="1"/>
      <w:numFmt w:val="bullet"/>
      <w:lvlText w:val=""/>
      <w:lvlJc w:val="left"/>
      <w:pPr>
        <w:ind w:left="4507" w:hanging="360"/>
      </w:pPr>
      <w:rPr>
        <w:rFonts w:ascii="Wingdings" w:hAnsi="Wingdings" w:hint="default"/>
      </w:rPr>
    </w:lvl>
    <w:lvl w:ilvl="6" w:tplc="04240001" w:tentative="1">
      <w:start w:val="1"/>
      <w:numFmt w:val="bullet"/>
      <w:lvlText w:val=""/>
      <w:lvlJc w:val="left"/>
      <w:pPr>
        <w:ind w:left="5227" w:hanging="360"/>
      </w:pPr>
      <w:rPr>
        <w:rFonts w:ascii="Symbol" w:hAnsi="Symbol" w:hint="default"/>
      </w:rPr>
    </w:lvl>
    <w:lvl w:ilvl="7" w:tplc="04240003" w:tentative="1">
      <w:start w:val="1"/>
      <w:numFmt w:val="bullet"/>
      <w:lvlText w:val="o"/>
      <w:lvlJc w:val="left"/>
      <w:pPr>
        <w:ind w:left="5947" w:hanging="360"/>
      </w:pPr>
      <w:rPr>
        <w:rFonts w:ascii="Courier New" w:hAnsi="Courier New" w:cs="Courier New" w:hint="default"/>
      </w:rPr>
    </w:lvl>
    <w:lvl w:ilvl="8" w:tplc="04240005" w:tentative="1">
      <w:start w:val="1"/>
      <w:numFmt w:val="bullet"/>
      <w:lvlText w:val=""/>
      <w:lvlJc w:val="left"/>
      <w:pPr>
        <w:ind w:left="6667" w:hanging="360"/>
      </w:pPr>
      <w:rPr>
        <w:rFonts w:ascii="Wingdings" w:hAnsi="Wingdings" w:hint="default"/>
      </w:rPr>
    </w:lvl>
  </w:abstractNum>
  <w:abstractNum w:abstractNumId="13" w15:restartNumberingAfterBreak="0">
    <w:nsid w:val="78F359DA"/>
    <w:multiLevelType w:val="hybridMultilevel"/>
    <w:tmpl w:val="89701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DB5542F"/>
    <w:multiLevelType w:val="hybridMultilevel"/>
    <w:tmpl w:val="D33E8BB0"/>
    <w:lvl w:ilvl="0" w:tplc="0424000F">
      <w:start w:val="1"/>
      <w:numFmt w:val="decimal"/>
      <w:lvlText w:val="%1."/>
      <w:lvlJc w:val="left"/>
      <w:pPr>
        <w:ind w:left="1437" w:hanging="360"/>
      </w:p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num w:numId="1">
    <w:abstractNumId w:val="9"/>
  </w:num>
  <w:num w:numId="2">
    <w:abstractNumId w:val="4"/>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14"/>
  </w:num>
  <w:num w:numId="9">
    <w:abstractNumId w:val="13"/>
  </w:num>
  <w:num w:numId="10">
    <w:abstractNumId w:val="3"/>
  </w:num>
  <w:num w:numId="11">
    <w:abstractNumId w:val="5"/>
  </w:num>
  <w:num w:numId="12">
    <w:abstractNumId w:val="12"/>
  </w:num>
  <w:num w:numId="13">
    <w:abstractNumId w:val="7"/>
  </w:num>
  <w:num w:numId="14">
    <w:abstractNumId w:val="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EB"/>
    <w:rsid w:val="00001D77"/>
    <w:rsid w:val="00003CD7"/>
    <w:rsid w:val="0001385B"/>
    <w:rsid w:val="00026363"/>
    <w:rsid w:val="000343E8"/>
    <w:rsid w:val="00051C66"/>
    <w:rsid w:val="00052B3D"/>
    <w:rsid w:val="000711E3"/>
    <w:rsid w:val="000738E2"/>
    <w:rsid w:val="00081702"/>
    <w:rsid w:val="0008765E"/>
    <w:rsid w:val="000972E5"/>
    <w:rsid w:val="000C4209"/>
    <w:rsid w:val="000C463E"/>
    <w:rsid w:val="000C6276"/>
    <w:rsid w:val="000D20C5"/>
    <w:rsid w:val="000D2CD0"/>
    <w:rsid w:val="000D4396"/>
    <w:rsid w:val="000D51B1"/>
    <w:rsid w:val="000E2783"/>
    <w:rsid w:val="000E3BA4"/>
    <w:rsid w:val="000E5C28"/>
    <w:rsid w:val="000E782D"/>
    <w:rsid w:val="00101F73"/>
    <w:rsid w:val="00102B27"/>
    <w:rsid w:val="00105752"/>
    <w:rsid w:val="00107028"/>
    <w:rsid w:val="00111BEC"/>
    <w:rsid w:val="00126480"/>
    <w:rsid w:val="0013509E"/>
    <w:rsid w:val="001415E9"/>
    <w:rsid w:val="00142459"/>
    <w:rsid w:val="0015134F"/>
    <w:rsid w:val="00152655"/>
    <w:rsid w:val="001554CB"/>
    <w:rsid w:val="00164AC5"/>
    <w:rsid w:val="00164F14"/>
    <w:rsid w:val="00170759"/>
    <w:rsid w:val="00171A35"/>
    <w:rsid w:val="00172EF2"/>
    <w:rsid w:val="00180A2D"/>
    <w:rsid w:val="0018285B"/>
    <w:rsid w:val="00191E41"/>
    <w:rsid w:val="00196699"/>
    <w:rsid w:val="001C3D97"/>
    <w:rsid w:val="001C5775"/>
    <w:rsid w:val="001D1B1C"/>
    <w:rsid w:val="001E0577"/>
    <w:rsid w:val="001E7E9C"/>
    <w:rsid w:val="001F2181"/>
    <w:rsid w:val="001F50D5"/>
    <w:rsid w:val="00200A21"/>
    <w:rsid w:val="002362D9"/>
    <w:rsid w:val="002508EE"/>
    <w:rsid w:val="00250A6B"/>
    <w:rsid w:val="002551D6"/>
    <w:rsid w:val="00267400"/>
    <w:rsid w:val="00272923"/>
    <w:rsid w:val="00273E31"/>
    <w:rsid w:val="00275F4E"/>
    <w:rsid w:val="00282CE3"/>
    <w:rsid w:val="00286504"/>
    <w:rsid w:val="00295CCA"/>
    <w:rsid w:val="002A091F"/>
    <w:rsid w:val="002A3DD6"/>
    <w:rsid w:val="002A657E"/>
    <w:rsid w:val="002B7731"/>
    <w:rsid w:val="002C6117"/>
    <w:rsid w:val="002D338E"/>
    <w:rsid w:val="002F4205"/>
    <w:rsid w:val="002F4828"/>
    <w:rsid w:val="00302AD7"/>
    <w:rsid w:val="003032C0"/>
    <w:rsid w:val="00303E5E"/>
    <w:rsid w:val="00304945"/>
    <w:rsid w:val="00305C81"/>
    <w:rsid w:val="0031073C"/>
    <w:rsid w:val="0031493C"/>
    <w:rsid w:val="003164AF"/>
    <w:rsid w:val="003213F4"/>
    <w:rsid w:val="003439E2"/>
    <w:rsid w:val="00371589"/>
    <w:rsid w:val="003762FA"/>
    <w:rsid w:val="00381F68"/>
    <w:rsid w:val="00392980"/>
    <w:rsid w:val="003A5607"/>
    <w:rsid w:val="003A5DD6"/>
    <w:rsid w:val="003B4DC1"/>
    <w:rsid w:val="003C5306"/>
    <w:rsid w:val="003E05DF"/>
    <w:rsid w:val="003E1824"/>
    <w:rsid w:val="003F6907"/>
    <w:rsid w:val="00401D80"/>
    <w:rsid w:val="00406462"/>
    <w:rsid w:val="00426301"/>
    <w:rsid w:val="00440174"/>
    <w:rsid w:val="004451C2"/>
    <w:rsid w:val="00457215"/>
    <w:rsid w:val="00461B3C"/>
    <w:rsid w:val="0047217D"/>
    <w:rsid w:val="00482451"/>
    <w:rsid w:val="004877B4"/>
    <w:rsid w:val="0049734C"/>
    <w:rsid w:val="00497B64"/>
    <w:rsid w:val="004A4534"/>
    <w:rsid w:val="004B005C"/>
    <w:rsid w:val="004B2E7A"/>
    <w:rsid w:val="004C0A88"/>
    <w:rsid w:val="004C0A8C"/>
    <w:rsid w:val="004D18CC"/>
    <w:rsid w:val="004E135F"/>
    <w:rsid w:val="004E4829"/>
    <w:rsid w:val="004E5D55"/>
    <w:rsid w:val="004E6B06"/>
    <w:rsid w:val="004E6F87"/>
    <w:rsid w:val="004F3534"/>
    <w:rsid w:val="00510CEB"/>
    <w:rsid w:val="00514F98"/>
    <w:rsid w:val="00517BB8"/>
    <w:rsid w:val="00526142"/>
    <w:rsid w:val="005309DD"/>
    <w:rsid w:val="00530F01"/>
    <w:rsid w:val="0054027D"/>
    <w:rsid w:val="005423CD"/>
    <w:rsid w:val="005433E4"/>
    <w:rsid w:val="00543A37"/>
    <w:rsid w:val="00550CE3"/>
    <w:rsid w:val="005624A8"/>
    <w:rsid w:val="00563A70"/>
    <w:rsid w:val="00563F79"/>
    <w:rsid w:val="0056425B"/>
    <w:rsid w:val="00564F71"/>
    <w:rsid w:val="00570148"/>
    <w:rsid w:val="00573757"/>
    <w:rsid w:val="0057797D"/>
    <w:rsid w:val="005800AB"/>
    <w:rsid w:val="00580AE6"/>
    <w:rsid w:val="005838FD"/>
    <w:rsid w:val="00585137"/>
    <w:rsid w:val="005A1440"/>
    <w:rsid w:val="005A173D"/>
    <w:rsid w:val="005A4A4D"/>
    <w:rsid w:val="005C46FB"/>
    <w:rsid w:val="005C495D"/>
    <w:rsid w:val="005C4AAF"/>
    <w:rsid w:val="005C735C"/>
    <w:rsid w:val="005C7775"/>
    <w:rsid w:val="005D309D"/>
    <w:rsid w:val="005D57B2"/>
    <w:rsid w:val="005E4AFA"/>
    <w:rsid w:val="005F22F4"/>
    <w:rsid w:val="005F5D71"/>
    <w:rsid w:val="006114B3"/>
    <w:rsid w:val="00612A7F"/>
    <w:rsid w:val="00617888"/>
    <w:rsid w:val="00630D8A"/>
    <w:rsid w:val="0063443B"/>
    <w:rsid w:val="00641EF5"/>
    <w:rsid w:val="00643256"/>
    <w:rsid w:val="00654968"/>
    <w:rsid w:val="0066285F"/>
    <w:rsid w:val="00667923"/>
    <w:rsid w:val="006712B3"/>
    <w:rsid w:val="00676FA3"/>
    <w:rsid w:val="00680FEA"/>
    <w:rsid w:val="006820F1"/>
    <w:rsid w:val="006853E9"/>
    <w:rsid w:val="00696216"/>
    <w:rsid w:val="006B4305"/>
    <w:rsid w:val="006B61AD"/>
    <w:rsid w:val="006B653D"/>
    <w:rsid w:val="006C49CD"/>
    <w:rsid w:val="006D17C3"/>
    <w:rsid w:val="006D2E9D"/>
    <w:rsid w:val="006D5961"/>
    <w:rsid w:val="006D6A93"/>
    <w:rsid w:val="006D7D6D"/>
    <w:rsid w:val="006E1AC6"/>
    <w:rsid w:val="006E38F8"/>
    <w:rsid w:val="006E6F02"/>
    <w:rsid w:val="006E78AE"/>
    <w:rsid w:val="00700DEA"/>
    <w:rsid w:val="00701D2A"/>
    <w:rsid w:val="007117BE"/>
    <w:rsid w:val="00713195"/>
    <w:rsid w:val="00720972"/>
    <w:rsid w:val="00730556"/>
    <w:rsid w:val="007315A2"/>
    <w:rsid w:val="00732452"/>
    <w:rsid w:val="007343C6"/>
    <w:rsid w:val="0074064F"/>
    <w:rsid w:val="00752F4E"/>
    <w:rsid w:val="007539C6"/>
    <w:rsid w:val="00796CD9"/>
    <w:rsid w:val="007A2CC1"/>
    <w:rsid w:val="007A5C4D"/>
    <w:rsid w:val="007B6BF6"/>
    <w:rsid w:val="007F07B8"/>
    <w:rsid w:val="007F0DB3"/>
    <w:rsid w:val="007F572D"/>
    <w:rsid w:val="007F7C5D"/>
    <w:rsid w:val="0081050C"/>
    <w:rsid w:val="008156F3"/>
    <w:rsid w:val="008169A8"/>
    <w:rsid w:val="00827B5B"/>
    <w:rsid w:val="00832841"/>
    <w:rsid w:val="00834D87"/>
    <w:rsid w:val="0083515A"/>
    <w:rsid w:val="008367D5"/>
    <w:rsid w:val="008372F6"/>
    <w:rsid w:val="00845EDE"/>
    <w:rsid w:val="00851B04"/>
    <w:rsid w:val="00853538"/>
    <w:rsid w:val="008612AA"/>
    <w:rsid w:val="00862E7C"/>
    <w:rsid w:val="00874F45"/>
    <w:rsid w:val="008901EC"/>
    <w:rsid w:val="00892EFA"/>
    <w:rsid w:val="008A0604"/>
    <w:rsid w:val="008A4288"/>
    <w:rsid w:val="008A497B"/>
    <w:rsid w:val="008B31FD"/>
    <w:rsid w:val="008B6BD8"/>
    <w:rsid w:val="008C47A2"/>
    <w:rsid w:val="008C4D09"/>
    <w:rsid w:val="008D2D05"/>
    <w:rsid w:val="008D2ED0"/>
    <w:rsid w:val="008D2EF1"/>
    <w:rsid w:val="008E7C3D"/>
    <w:rsid w:val="008F10AC"/>
    <w:rsid w:val="008F14D9"/>
    <w:rsid w:val="008F6295"/>
    <w:rsid w:val="00915101"/>
    <w:rsid w:val="0091708F"/>
    <w:rsid w:val="00917152"/>
    <w:rsid w:val="00920C12"/>
    <w:rsid w:val="009219C4"/>
    <w:rsid w:val="00923E91"/>
    <w:rsid w:val="00926ADB"/>
    <w:rsid w:val="009350FD"/>
    <w:rsid w:val="009527EC"/>
    <w:rsid w:val="00980986"/>
    <w:rsid w:val="00983B4E"/>
    <w:rsid w:val="00990E3B"/>
    <w:rsid w:val="009956BA"/>
    <w:rsid w:val="009A332E"/>
    <w:rsid w:val="009B3DD3"/>
    <w:rsid w:val="009B57FB"/>
    <w:rsid w:val="009B667A"/>
    <w:rsid w:val="009C1F45"/>
    <w:rsid w:val="009C538A"/>
    <w:rsid w:val="009D46E2"/>
    <w:rsid w:val="009E3C35"/>
    <w:rsid w:val="009F2E19"/>
    <w:rsid w:val="009F40E2"/>
    <w:rsid w:val="00A01185"/>
    <w:rsid w:val="00A02E0F"/>
    <w:rsid w:val="00A07D7A"/>
    <w:rsid w:val="00A176A1"/>
    <w:rsid w:val="00A20BBA"/>
    <w:rsid w:val="00A20C45"/>
    <w:rsid w:val="00A248C6"/>
    <w:rsid w:val="00A3075A"/>
    <w:rsid w:val="00A36FF6"/>
    <w:rsid w:val="00A47CD9"/>
    <w:rsid w:val="00A52F10"/>
    <w:rsid w:val="00A55035"/>
    <w:rsid w:val="00A576D5"/>
    <w:rsid w:val="00A66C47"/>
    <w:rsid w:val="00A67AF4"/>
    <w:rsid w:val="00A746CB"/>
    <w:rsid w:val="00A76F0F"/>
    <w:rsid w:val="00A85EF9"/>
    <w:rsid w:val="00A905BF"/>
    <w:rsid w:val="00A9102A"/>
    <w:rsid w:val="00AA0A4C"/>
    <w:rsid w:val="00AA2AB6"/>
    <w:rsid w:val="00AB35D0"/>
    <w:rsid w:val="00AB408D"/>
    <w:rsid w:val="00AB5DEF"/>
    <w:rsid w:val="00AB6AB8"/>
    <w:rsid w:val="00AC7200"/>
    <w:rsid w:val="00AE2CBB"/>
    <w:rsid w:val="00AF2C0B"/>
    <w:rsid w:val="00B05017"/>
    <w:rsid w:val="00B12BA9"/>
    <w:rsid w:val="00B13D46"/>
    <w:rsid w:val="00B23E09"/>
    <w:rsid w:val="00B2404A"/>
    <w:rsid w:val="00B2512B"/>
    <w:rsid w:val="00B254B3"/>
    <w:rsid w:val="00B27DFF"/>
    <w:rsid w:val="00B50300"/>
    <w:rsid w:val="00B51B68"/>
    <w:rsid w:val="00B57441"/>
    <w:rsid w:val="00B757C5"/>
    <w:rsid w:val="00B94EC5"/>
    <w:rsid w:val="00B955D8"/>
    <w:rsid w:val="00BA78EC"/>
    <w:rsid w:val="00BC66F8"/>
    <w:rsid w:val="00BD58FC"/>
    <w:rsid w:val="00BD739E"/>
    <w:rsid w:val="00BE5A6F"/>
    <w:rsid w:val="00BF5D4F"/>
    <w:rsid w:val="00C013A0"/>
    <w:rsid w:val="00C10AA8"/>
    <w:rsid w:val="00C26B2D"/>
    <w:rsid w:val="00C31994"/>
    <w:rsid w:val="00C45C61"/>
    <w:rsid w:val="00C56993"/>
    <w:rsid w:val="00C670FA"/>
    <w:rsid w:val="00C70C71"/>
    <w:rsid w:val="00C721A2"/>
    <w:rsid w:val="00C8044C"/>
    <w:rsid w:val="00C87F82"/>
    <w:rsid w:val="00C924B1"/>
    <w:rsid w:val="00CA42BB"/>
    <w:rsid w:val="00CB048C"/>
    <w:rsid w:val="00CB418C"/>
    <w:rsid w:val="00CB62EA"/>
    <w:rsid w:val="00CD57C5"/>
    <w:rsid w:val="00CE5DBB"/>
    <w:rsid w:val="00CF13BB"/>
    <w:rsid w:val="00CF3326"/>
    <w:rsid w:val="00D21B4E"/>
    <w:rsid w:val="00D26AB1"/>
    <w:rsid w:val="00D35DB0"/>
    <w:rsid w:val="00D525BA"/>
    <w:rsid w:val="00D55268"/>
    <w:rsid w:val="00D64825"/>
    <w:rsid w:val="00D64D13"/>
    <w:rsid w:val="00D7149A"/>
    <w:rsid w:val="00D730EC"/>
    <w:rsid w:val="00D80081"/>
    <w:rsid w:val="00D96614"/>
    <w:rsid w:val="00DB46A8"/>
    <w:rsid w:val="00DD3E20"/>
    <w:rsid w:val="00DD7D76"/>
    <w:rsid w:val="00DF6E56"/>
    <w:rsid w:val="00DF74A0"/>
    <w:rsid w:val="00E1104B"/>
    <w:rsid w:val="00E17291"/>
    <w:rsid w:val="00E20DB3"/>
    <w:rsid w:val="00E319E6"/>
    <w:rsid w:val="00E36311"/>
    <w:rsid w:val="00E42E9B"/>
    <w:rsid w:val="00E53A7C"/>
    <w:rsid w:val="00E54CF4"/>
    <w:rsid w:val="00E551A2"/>
    <w:rsid w:val="00E61C49"/>
    <w:rsid w:val="00E6387B"/>
    <w:rsid w:val="00E6522D"/>
    <w:rsid w:val="00E82CB9"/>
    <w:rsid w:val="00E8537C"/>
    <w:rsid w:val="00E916E2"/>
    <w:rsid w:val="00E9236F"/>
    <w:rsid w:val="00E93453"/>
    <w:rsid w:val="00E9614F"/>
    <w:rsid w:val="00EB3DFE"/>
    <w:rsid w:val="00ED23BF"/>
    <w:rsid w:val="00ED50D0"/>
    <w:rsid w:val="00ED66D7"/>
    <w:rsid w:val="00EF0407"/>
    <w:rsid w:val="00EF6347"/>
    <w:rsid w:val="00F00189"/>
    <w:rsid w:val="00F00AD5"/>
    <w:rsid w:val="00F04371"/>
    <w:rsid w:val="00F06F53"/>
    <w:rsid w:val="00F10E36"/>
    <w:rsid w:val="00F14DFA"/>
    <w:rsid w:val="00F33CC3"/>
    <w:rsid w:val="00F36575"/>
    <w:rsid w:val="00F408FC"/>
    <w:rsid w:val="00F44534"/>
    <w:rsid w:val="00F44C4D"/>
    <w:rsid w:val="00F53055"/>
    <w:rsid w:val="00F55348"/>
    <w:rsid w:val="00F630CB"/>
    <w:rsid w:val="00F7076A"/>
    <w:rsid w:val="00F76050"/>
    <w:rsid w:val="00F83C75"/>
    <w:rsid w:val="00F95191"/>
    <w:rsid w:val="00FA0663"/>
    <w:rsid w:val="00FA2BC1"/>
    <w:rsid w:val="00FB6297"/>
    <w:rsid w:val="00FC0D24"/>
    <w:rsid w:val="00FD06C9"/>
    <w:rsid w:val="00FD4387"/>
    <w:rsid w:val="00FE4E01"/>
    <w:rsid w:val="00FE6301"/>
    <w:rsid w:val="00FE7CEC"/>
    <w:rsid w:val="00FF44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0EEB"/>
  <w15:chartTrackingRefBased/>
  <w15:docId w15:val="{C758C50F-5619-4164-A3AB-5C017688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3DFE"/>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EB3D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
    <w:basedOn w:val="Navaden"/>
    <w:link w:val="OdstavekseznamaZnak"/>
    <w:uiPriority w:val="34"/>
    <w:qFormat/>
    <w:rsid w:val="00510CEB"/>
    <w:pPr>
      <w:ind w:left="720"/>
      <w:contextualSpacing/>
    </w:pPr>
  </w:style>
  <w:style w:type="table" w:styleId="Tabelamrea">
    <w:name w:val="Table Grid"/>
    <w:basedOn w:val="Navadnatabela"/>
    <w:uiPriority w:val="39"/>
    <w:rsid w:val="00510CEB"/>
    <w:pPr>
      <w:spacing w:after="0" w:line="240" w:lineRule="auto"/>
    </w:pPr>
    <w:rPr>
      <w:rFonts w:ascii="Arial" w:eastAsia="Times New Roman" w:hAnsi="Arial" w:cs="Arial"/>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10CEB"/>
  </w:style>
  <w:style w:type="character" w:styleId="Hiperpovezava">
    <w:name w:val="Hyperlink"/>
    <w:basedOn w:val="Privzetapisavaodstavka"/>
    <w:uiPriority w:val="99"/>
    <w:unhideWhenUsed/>
    <w:rsid w:val="007F07B8"/>
    <w:rPr>
      <w:color w:val="0563C1" w:themeColor="hyperlink"/>
      <w:u w:val="single"/>
    </w:rPr>
  </w:style>
  <w:style w:type="character" w:customStyle="1" w:styleId="Nerazreenaomemba1">
    <w:name w:val="Nerazrešena omemba1"/>
    <w:basedOn w:val="Privzetapisavaodstavka"/>
    <w:uiPriority w:val="99"/>
    <w:semiHidden/>
    <w:unhideWhenUsed/>
    <w:rsid w:val="007F07B8"/>
    <w:rPr>
      <w:color w:val="605E5C"/>
      <w:shd w:val="clear" w:color="auto" w:fill="E1DFDD"/>
    </w:rPr>
  </w:style>
  <w:style w:type="paragraph" w:styleId="Besedilooblaka">
    <w:name w:val="Balloon Text"/>
    <w:basedOn w:val="Navaden"/>
    <w:link w:val="BesedilooblakaZnak"/>
    <w:uiPriority w:val="99"/>
    <w:semiHidden/>
    <w:unhideWhenUsed/>
    <w:rsid w:val="0057797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797D"/>
    <w:rPr>
      <w:rFonts w:ascii="Segoe UI" w:hAnsi="Segoe UI" w:cs="Segoe UI"/>
      <w:sz w:val="18"/>
      <w:szCs w:val="18"/>
    </w:rPr>
  </w:style>
  <w:style w:type="paragraph" w:customStyle="1" w:styleId="indent-1">
    <w:name w:val="indent-1"/>
    <w:basedOn w:val="Navaden"/>
    <w:rsid w:val="002A3DD6"/>
    <w:pPr>
      <w:spacing w:before="100" w:beforeAutospacing="1" w:after="100" w:afterAutospacing="1" w:line="240" w:lineRule="auto"/>
    </w:pPr>
    <w:rPr>
      <w:rFonts w:ascii="Times New Roman" w:hAnsi="Times New Roman"/>
      <w:sz w:val="24"/>
      <w:lang w:eastAsia="sl-SI"/>
    </w:rPr>
  </w:style>
  <w:style w:type="paragraph" w:customStyle="1" w:styleId="indent-2">
    <w:name w:val="indent-2"/>
    <w:basedOn w:val="Navaden"/>
    <w:rsid w:val="002A3DD6"/>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C6276"/>
    <w:pPr>
      <w:spacing w:before="100" w:beforeAutospacing="1" w:after="100" w:afterAutospacing="1" w:line="240" w:lineRule="auto"/>
    </w:pPr>
    <w:rPr>
      <w:rFonts w:ascii="Times New Roman" w:hAnsi="Times New Roman"/>
      <w:sz w:val="24"/>
      <w:lang w:eastAsia="sl-SI"/>
    </w:rPr>
  </w:style>
  <w:style w:type="paragraph" w:styleId="Pripombabesedilo">
    <w:name w:val="annotation text"/>
    <w:basedOn w:val="Navaden"/>
    <w:link w:val="PripombabesediloZnak"/>
    <w:uiPriority w:val="99"/>
    <w:semiHidden/>
    <w:unhideWhenUsed/>
    <w:rsid w:val="00F76050"/>
    <w:pPr>
      <w:spacing w:line="240" w:lineRule="auto"/>
    </w:pPr>
    <w:rPr>
      <w:szCs w:val="20"/>
    </w:rPr>
  </w:style>
  <w:style w:type="character" w:customStyle="1" w:styleId="PripombabesediloZnak">
    <w:name w:val="Pripomba – besedilo Znak"/>
    <w:basedOn w:val="Privzetapisavaodstavka"/>
    <w:link w:val="Pripombabesedilo"/>
    <w:uiPriority w:val="99"/>
    <w:semiHidden/>
    <w:rsid w:val="00F76050"/>
    <w:rPr>
      <w:sz w:val="20"/>
      <w:szCs w:val="20"/>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
    <w:basedOn w:val="Privzetapisavaodstavka"/>
    <w:link w:val="Odstavekseznama"/>
    <w:uiPriority w:val="34"/>
    <w:locked/>
    <w:rsid w:val="00543A37"/>
  </w:style>
  <w:style w:type="character" w:styleId="Pripombasklic">
    <w:name w:val="annotation reference"/>
    <w:basedOn w:val="Privzetapisavaodstavka"/>
    <w:uiPriority w:val="99"/>
    <w:semiHidden/>
    <w:unhideWhenUsed/>
    <w:rsid w:val="0047217D"/>
    <w:rPr>
      <w:sz w:val="16"/>
      <w:szCs w:val="16"/>
    </w:rPr>
  </w:style>
  <w:style w:type="paragraph" w:styleId="Zadevapripombe">
    <w:name w:val="annotation subject"/>
    <w:basedOn w:val="Pripombabesedilo"/>
    <w:next w:val="Pripombabesedilo"/>
    <w:link w:val="ZadevapripombeZnak"/>
    <w:uiPriority w:val="99"/>
    <w:semiHidden/>
    <w:unhideWhenUsed/>
    <w:rsid w:val="0047217D"/>
    <w:rPr>
      <w:b/>
      <w:bCs/>
    </w:rPr>
  </w:style>
  <w:style w:type="character" w:customStyle="1" w:styleId="ZadevapripombeZnak">
    <w:name w:val="Zadeva pripombe Znak"/>
    <w:basedOn w:val="PripombabesediloZnak"/>
    <w:link w:val="Zadevapripombe"/>
    <w:uiPriority w:val="99"/>
    <w:semiHidden/>
    <w:rsid w:val="0047217D"/>
    <w:rPr>
      <w:b/>
      <w:bCs/>
      <w:sz w:val="20"/>
      <w:szCs w:val="20"/>
    </w:rPr>
  </w:style>
  <w:style w:type="paragraph" w:styleId="Sprotnaopomba-besedilo">
    <w:name w:val="footnote text"/>
    <w:basedOn w:val="Navaden"/>
    <w:link w:val="Sprotnaopomba-besediloZnak"/>
    <w:uiPriority w:val="99"/>
    <w:unhideWhenUsed/>
    <w:rsid w:val="008367D5"/>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8367D5"/>
    <w:rPr>
      <w:sz w:val="20"/>
      <w:szCs w:val="20"/>
    </w:rPr>
  </w:style>
  <w:style w:type="character" w:styleId="Sprotnaopomba-sklic">
    <w:name w:val="footnote reference"/>
    <w:basedOn w:val="Privzetapisavaodstavka"/>
    <w:uiPriority w:val="99"/>
    <w:unhideWhenUsed/>
    <w:rsid w:val="008367D5"/>
    <w:rPr>
      <w:vertAlign w:val="superscript"/>
    </w:rPr>
  </w:style>
  <w:style w:type="table" w:customStyle="1" w:styleId="TableGrid1">
    <w:name w:val="Table Grid1"/>
    <w:basedOn w:val="Navadnatabela"/>
    <w:next w:val="Tabelamrea"/>
    <w:uiPriority w:val="59"/>
    <w:rsid w:val="00EB3DFE"/>
    <w:pPr>
      <w:spacing w:after="0" w:line="240" w:lineRule="auto"/>
    </w:pPr>
    <w:rPr>
      <w:rFonts w:ascii="Arial" w:eastAsia="Times New Roman" w:hAnsi="Arial" w:cs="Arial"/>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EB3DFE"/>
    <w:rPr>
      <w:rFonts w:asciiTheme="majorHAnsi" w:eastAsiaTheme="majorEastAsia" w:hAnsiTheme="majorHAnsi" w:cstheme="majorBidi"/>
      <w:color w:val="2F5496" w:themeColor="accent1" w:themeShade="BF"/>
      <w:sz w:val="32"/>
      <w:szCs w:val="32"/>
      <w:lang w:val="en-US"/>
    </w:rPr>
  </w:style>
  <w:style w:type="paragraph" w:styleId="NaslovTOC">
    <w:name w:val="TOC Heading"/>
    <w:aliases w:val="Naslov  2"/>
    <w:basedOn w:val="Naslov1"/>
    <w:next w:val="Navaden"/>
    <w:autoRedefine/>
    <w:uiPriority w:val="39"/>
    <w:unhideWhenUsed/>
    <w:qFormat/>
    <w:rsid w:val="00EB3DFE"/>
    <w:pPr>
      <w:numPr>
        <w:numId w:val="16"/>
      </w:numPr>
      <w:shd w:val="clear" w:color="auto" w:fill="FFD966" w:themeFill="accent4" w:themeFillTint="99"/>
      <w:spacing w:after="240" w:line="259" w:lineRule="auto"/>
      <w:ind w:left="641" w:hanging="357"/>
      <w:outlineLvl w:val="9"/>
    </w:pPr>
    <w:rPr>
      <w:rFonts w:ascii="Century Gothic" w:hAnsi="Century Gothic"/>
      <w:b/>
      <w:color w:val="auto"/>
      <w:sz w:val="26"/>
      <w:lang w:val="sl-SI"/>
    </w:rPr>
  </w:style>
  <w:style w:type="paragraph" w:styleId="Glava">
    <w:name w:val="header"/>
    <w:basedOn w:val="Navaden"/>
    <w:link w:val="GlavaZnak"/>
    <w:uiPriority w:val="99"/>
    <w:unhideWhenUsed/>
    <w:rsid w:val="00EB3DFE"/>
    <w:pPr>
      <w:tabs>
        <w:tab w:val="center" w:pos="4536"/>
        <w:tab w:val="right" w:pos="9072"/>
      </w:tabs>
      <w:spacing w:line="240" w:lineRule="auto"/>
    </w:pPr>
  </w:style>
  <w:style w:type="character" w:customStyle="1" w:styleId="GlavaZnak">
    <w:name w:val="Glava Znak"/>
    <w:basedOn w:val="Privzetapisavaodstavka"/>
    <w:link w:val="Glava"/>
    <w:uiPriority w:val="99"/>
    <w:rsid w:val="00EB3DFE"/>
    <w:rPr>
      <w:rFonts w:ascii="Arial" w:eastAsia="Times New Roman" w:hAnsi="Arial" w:cs="Times New Roman"/>
      <w:sz w:val="20"/>
      <w:szCs w:val="24"/>
      <w:lang w:val="en-US"/>
    </w:rPr>
  </w:style>
  <w:style w:type="paragraph" w:styleId="Noga">
    <w:name w:val="footer"/>
    <w:basedOn w:val="Navaden"/>
    <w:link w:val="NogaZnak"/>
    <w:uiPriority w:val="99"/>
    <w:unhideWhenUsed/>
    <w:rsid w:val="00EB3DFE"/>
    <w:pPr>
      <w:tabs>
        <w:tab w:val="center" w:pos="4536"/>
        <w:tab w:val="right" w:pos="9072"/>
      </w:tabs>
      <w:spacing w:line="240" w:lineRule="auto"/>
    </w:pPr>
  </w:style>
  <w:style w:type="character" w:customStyle="1" w:styleId="NogaZnak">
    <w:name w:val="Noga Znak"/>
    <w:basedOn w:val="Privzetapisavaodstavka"/>
    <w:link w:val="Noga"/>
    <w:uiPriority w:val="99"/>
    <w:rsid w:val="00EB3DFE"/>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26043">
      <w:bodyDiv w:val="1"/>
      <w:marLeft w:val="0"/>
      <w:marRight w:val="0"/>
      <w:marTop w:val="0"/>
      <w:marBottom w:val="0"/>
      <w:divBdr>
        <w:top w:val="none" w:sz="0" w:space="0" w:color="auto"/>
        <w:left w:val="none" w:sz="0" w:space="0" w:color="auto"/>
        <w:bottom w:val="none" w:sz="0" w:space="0" w:color="auto"/>
        <w:right w:val="none" w:sz="0" w:space="0" w:color="auto"/>
      </w:divBdr>
      <w:divsChild>
        <w:div w:id="1767385695">
          <w:marLeft w:val="0"/>
          <w:marRight w:val="0"/>
          <w:marTop w:val="0"/>
          <w:marBottom w:val="0"/>
          <w:divBdr>
            <w:top w:val="none" w:sz="0" w:space="0" w:color="auto"/>
            <w:left w:val="none" w:sz="0" w:space="0" w:color="auto"/>
            <w:bottom w:val="none" w:sz="0" w:space="0" w:color="auto"/>
            <w:right w:val="none" w:sz="0" w:space="0" w:color="auto"/>
          </w:divBdr>
          <w:divsChild>
            <w:div w:id="1474131709">
              <w:marLeft w:val="0"/>
              <w:marRight w:val="0"/>
              <w:marTop w:val="0"/>
              <w:marBottom w:val="0"/>
              <w:divBdr>
                <w:top w:val="none" w:sz="0" w:space="0" w:color="auto"/>
                <w:left w:val="none" w:sz="0" w:space="0" w:color="auto"/>
                <w:bottom w:val="none" w:sz="0" w:space="0" w:color="auto"/>
                <w:right w:val="none" w:sz="0" w:space="0" w:color="auto"/>
              </w:divBdr>
              <w:divsChild>
                <w:div w:id="1192841641">
                  <w:marLeft w:val="0"/>
                  <w:marRight w:val="0"/>
                  <w:marTop w:val="0"/>
                  <w:marBottom w:val="0"/>
                  <w:divBdr>
                    <w:top w:val="none" w:sz="0" w:space="0" w:color="auto"/>
                    <w:left w:val="none" w:sz="0" w:space="0" w:color="auto"/>
                    <w:bottom w:val="none" w:sz="0" w:space="0" w:color="auto"/>
                    <w:right w:val="none" w:sz="0" w:space="0" w:color="auto"/>
                  </w:divBdr>
                  <w:divsChild>
                    <w:div w:id="785394686">
                      <w:marLeft w:val="0"/>
                      <w:marRight w:val="0"/>
                      <w:marTop w:val="0"/>
                      <w:marBottom w:val="0"/>
                      <w:divBdr>
                        <w:top w:val="none" w:sz="0" w:space="0" w:color="auto"/>
                        <w:left w:val="none" w:sz="0" w:space="0" w:color="auto"/>
                        <w:bottom w:val="none" w:sz="0" w:space="0" w:color="auto"/>
                        <w:right w:val="none" w:sz="0" w:space="0" w:color="auto"/>
                      </w:divBdr>
                      <w:divsChild>
                        <w:div w:id="915941944">
                          <w:marLeft w:val="0"/>
                          <w:marRight w:val="0"/>
                          <w:marTop w:val="0"/>
                          <w:marBottom w:val="0"/>
                          <w:divBdr>
                            <w:top w:val="none" w:sz="0" w:space="0" w:color="auto"/>
                            <w:left w:val="none" w:sz="0" w:space="0" w:color="auto"/>
                            <w:bottom w:val="none" w:sz="0" w:space="0" w:color="auto"/>
                            <w:right w:val="none" w:sz="0" w:space="0" w:color="auto"/>
                          </w:divBdr>
                          <w:divsChild>
                            <w:div w:id="1838382637">
                              <w:marLeft w:val="0"/>
                              <w:marRight w:val="0"/>
                              <w:marTop w:val="0"/>
                              <w:marBottom w:val="0"/>
                              <w:divBdr>
                                <w:top w:val="none" w:sz="0" w:space="0" w:color="auto"/>
                                <w:left w:val="none" w:sz="0" w:space="0" w:color="auto"/>
                                <w:bottom w:val="none" w:sz="0" w:space="0" w:color="auto"/>
                                <w:right w:val="none" w:sz="0" w:space="0" w:color="auto"/>
                              </w:divBdr>
                              <w:divsChild>
                                <w:div w:id="16197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1267">
      <w:bodyDiv w:val="1"/>
      <w:marLeft w:val="0"/>
      <w:marRight w:val="0"/>
      <w:marTop w:val="0"/>
      <w:marBottom w:val="0"/>
      <w:divBdr>
        <w:top w:val="none" w:sz="0" w:space="0" w:color="auto"/>
        <w:left w:val="none" w:sz="0" w:space="0" w:color="auto"/>
        <w:bottom w:val="none" w:sz="0" w:space="0" w:color="auto"/>
        <w:right w:val="none" w:sz="0" w:space="0" w:color="auto"/>
      </w:divBdr>
    </w:div>
    <w:div w:id="1725526621">
      <w:bodyDiv w:val="1"/>
      <w:marLeft w:val="0"/>
      <w:marRight w:val="0"/>
      <w:marTop w:val="0"/>
      <w:marBottom w:val="0"/>
      <w:divBdr>
        <w:top w:val="none" w:sz="0" w:space="0" w:color="auto"/>
        <w:left w:val="none" w:sz="0" w:space="0" w:color="auto"/>
        <w:bottom w:val="none" w:sz="0" w:space="0" w:color="auto"/>
        <w:right w:val="none" w:sz="0" w:space="0" w:color="auto"/>
      </w:divBdr>
    </w:div>
    <w:div w:id="2087025089">
      <w:bodyDiv w:val="1"/>
      <w:marLeft w:val="0"/>
      <w:marRight w:val="0"/>
      <w:marTop w:val="0"/>
      <w:marBottom w:val="0"/>
      <w:divBdr>
        <w:top w:val="none" w:sz="0" w:space="0" w:color="auto"/>
        <w:left w:val="none" w:sz="0" w:space="0" w:color="auto"/>
        <w:bottom w:val="none" w:sz="0" w:space="0" w:color="auto"/>
        <w:right w:val="none" w:sz="0" w:space="0" w:color="auto"/>
      </w:divBdr>
      <w:divsChild>
        <w:div w:id="1665935860">
          <w:marLeft w:val="0"/>
          <w:marRight w:val="0"/>
          <w:marTop w:val="0"/>
          <w:marBottom w:val="0"/>
          <w:divBdr>
            <w:top w:val="none" w:sz="0" w:space="0" w:color="auto"/>
            <w:left w:val="none" w:sz="0" w:space="0" w:color="auto"/>
            <w:bottom w:val="none" w:sz="0" w:space="0" w:color="auto"/>
            <w:right w:val="none" w:sz="0" w:space="0" w:color="auto"/>
          </w:divBdr>
          <w:divsChild>
            <w:div w:id="1358386942">
              <w:marLeft w:val="0"/>
              <w:marRight w:val="0"/>
              <w:marTop w:val="0"/>
              <w:marBottom w:val="0"/>
              <w:divBdr>
                <w:top w:val="none" w:sz="0" w:space="0" w:color="auto"/>
                <w:left w:val="none" w:sz="0" w:space="0" w:color="auto"/>
                <w:bottom w:val="none" w:sz="0" w:space="0" w:color="auto"/>
                <w:right w:val="none" w:sz="0" w:space="0" w:color="auto"/>
              </w:divBdr>
              <w:divsChild>
                <w:div w:id="1657997431">
                  <w:marLeft w:val="0"/>
                  <w:marRight w:val="0"/>
                  <w:marTop w:val="0"/>
                  <w:marBottom w:val="0"/>
                  <w:divBdr>
                    <w:top w:val="none" w:sz="0" w:space="0" w:color="auto"/>
                    <w:left w:val="none" w:sz="0" w:space="0" w:color="auto"/>
                    <w:bottom w:val="none" w:sz="0" w:space="0" w:color="auto"/>
                    <w:right w:val="none" w:sz="0" w:space="0" w:color="auto"/>
                  </w:divBdr>
                  <w:divsChild>
                    <w:div w:id="971256227">
                      <w:marLeft w:val="0"/>
                      <w:marRight w:val="0"/>
                      <w:marTop w:val="0"/>
                      <w:marBottom w:val="0"/>
                      <w:divBdr>
                        <w:top w:val="none" w:sz="0" w:space="0" w:color="auto"/>
                        <w:left w:val="none" w:sz="0" w:space="0" w:color="auto"/>
                        <w:bottom w:val="none" w:sz="0" w:space="0" w:color="auto"/>
                        <w:right w:val="none" w:sz="0" w:space="0" w:color="auto"/>
                      </w:divBdr>
                      <w:divsChild>
                        <w:div w:id="1175997704">
                          <w:marLeft w:val="0"/>
                          <w:marRight w:val="0"/>
                          <w:marTop w:val="0"/>
                          <w:marBottom w:val="0"/>
                          <w:divBdr>
                            <w:top w:val="none" w:sz="0" w:space="0" w:color="auto"/>
                            <w:left w:val="none" w:sz="0" w:space="0" w:color="auto"/>
                            <w:bottom w:val="none" w:sz="0" w:space="0" w:color="auto"/>
                            <w:right w:val="none" w:sz="0" w:space="0" w:color="auto"/>
                          </w:divBdr>
                          <w:divsChild>
                            <w:div w:id="170144386">
                              <w:marLeft w:val="0"/>
                              <w:marRight w:val="0"/>
                              <w:marTop w:val="0"/>
                              <w:marBottom w:val="0"/>
                              <w:divBdr>
                                <w:top w:val="none" w:sz="0" w:space="0" w:color="auto"/>
                                <w:left w:val="none" w:sz="0" w:space="0" w:color="auto"/>
                                <w:bottom w:val="none" w:sz="0" w:space="0" w:color="auto"/>
                                <w:right w:val="none" w:sz="0" w:space="0" w:color="auto"/>
                              </w:divBdr>
                              <w:divsChild>
                                <w:div w:id="19794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desi" TargetMode="External"/><Relationship Id="rId1" Type="http://schemas.openxmlformats.org/officeDocument/2006/relationships/hyperlink" Target="https://ec.europa.eu/digital-single-market/en/news/digital-economy-and-society-index-desi-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AB67B4-6C75-406A-9F56-B9C82BE9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1835</Words>
  <Characters>10462</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Jerina</dc:creator>
  <cp:keywords/>
  <dc:description/>
  <cp:lastModifiedBy>Polona Jerina</cp:lastModifiedBy>
  <cp:revision>3</cp:revision>
  <cp:lastPrinted>2020-01-15T10:27:00Z</cp:lastPrinted>
  <dcterms:created xsi:type="dcterms:W3CDTF">2021-05-20T12:08:00Z</dcterms:created>
  <dcterms:modified xsi:type="dcterms:W3CDTF">2021-05-20T12:34:00Z</dcterms:modified>
</cp:coreProperties>
</file>