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F9135" w14:textId="77777777" w:rsidR="00C41332" w:rsidRDefault="00345C7B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                                        </w:t>
      </w:r>
      <w:r>
        <w:rPr>
          <w:b/>
          <w:sz w:val="28"/>
        </w:rPr>
        <w:t xml:space="preserve">ORGANIGRAM organiziranosti kompetenčnega centra za širokopasovno infrastrukturo – BCO </w:t>
      </w:r>
    </w:p>
    <w:p w14:paraId="719010FC" w14:textId="55680194" w:rsidR="00C41332" w:rsidRDefault="00345C7B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8C1F41" wp14:editId="1AFA13F7">
            <wp:simplePos x="0" y="0"/>
            <wp:positionH relativeFrom="page">
              <wp:posOffset>33528</wp:posOffset>
            </wp:positionH>
            <wp:positionV relativeFrom="page">
              <wp:posOffset>1493520</wp:posOffset>
            </wp:positionV>
            <wp:extent cx="10619232" cy="6019800"/>
            <wp:effectExtent l="0" t="0" r="0" b="0"/>
            <wp:wrapTopAndBottom/>
            <wp:docPr id="8238" name="Picture 8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" name="Picture 8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19232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EE891F4" w14:textId="77777777" w:rsidR="00C41332" w:rsidRDefault="00345C7B">
      <w:pPr>
        <w:numPr>
          <w:ilvl w:val="0"/>
          <w:numId w:val="1"/>
        </w:numPr>
        <w:ind w:hanging="214"/>
      </w:pPr>
      <w:r>
        <w:rPr>
          <w:b/>
        </w:rPr>
        <w:lastRenderedPageBreak/>
        <w:t xml:space="preserve">nivo - </w:t>
      </w:r>
      <w:proofErr w:type="spellStart"/>
      <w:r>
        <w:rPr>
          <w:b/>
        </w:rPr>
        <w:t>Broadband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rPr>
          <w:b/>
        </w:rPr>
        <w:t>Competence</w:t>
      </w:r>
      <w:proofErr w:type="spellEnd"/>
      <w:r>
        <w:rPr>
          <w:b/>
        </w:rPr>
        <w:t xml:space="preserve"> Office – </w:t>
      </w:r>
      <w:proofErr w:type="spellStart"/>
      <w:r>
        <w:rPr>
          <w:b/>
        </w:rPr>
        <w:t>Support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Facility</w:t>
      </w:r>
      <w:proofErr w:type="spellEnd"/>
      <w:r>
        <w:rPr>
          <w:b/>
        </w:rPr>
        <w:t xml:space="preserve"> </w:t>
      </w:r>
      <w:r>
        <w:t xml:space="preserve">na  evropskem nivoju </w:t>
      </w:r>
      <w:r>
        <w:t>držav</w:t>
      </w:r>
      <w:r>
        <w:t xml:space="preserve">am </w:t>
      </w:r>
      <w:r>
        <w:t>članic</w:t>
      </w:r>
      <w:r>
        <w:t xml:space="preserve">am EU ponuja </w:t>
      </w:r>
      <w:r>
        <w:t>storitve, rešitev in</w:t>
      </w:r>
      <w:r>
        <w:t xml:space="preserve"> primere dobrih praks na </w:t>
      </w:r>
      <w:r>
        <w:t>področju širokopasovne infrastrukture.</w:t>
      </w:r>
      <w:r>
        <w:t xml:space="preserve">  </w:t>
      </w:r>
    </w:p>
    <w:p w14:paraId="7B340199" w14:textId="77777777" w:rsidR="00C41332" w:rsidRDefault="00345C7B">
      <w:pPr>
        <w:spacing w:after="0" w:line="259" w:lineRule="auto"/>
        <w:ind w:left="0" w:firstLine="0"/>
        <w:jc w:val="left"/>
      </w:pPr>
      <w:r>
        <w:t xml:space="preserve"> </w:t>
      </w:r>
    </w:p>
    <w:p w14:paraId="152E411F" w14:textId="77777777" w:rsidR="00C41332" w:rsidRDefault="00345C7B">
      <w:pPr>
        <w:numPr>
          <w:ilvl w:val="0"/>
          <w:numId w:val="1"/>
        </w:numPr>
        <w:spacing w:after="5" w:line="249" w:lineRule="auto"/>
        <w:ind w:hanging="214"/>
      </w:pPr>
      <w:r>
        <w:rPr>
          <w:b/>
        </w:rPr>
        <w:t>nivo</w:t>
      </w:r>
      <w:r>
        <w:t xml:space="preserve"> </w:t>
      </w:r>
      <w:r>
        <w:t>–</w:t>
      </w:r>
      <w:r>
        <w:t xml:space="preserve"> AKOS sodeluje z BCO Slovenija, kot podpora ponujanju storitev in </w:t>
      </w:r>
      <w:r>
        <w:t>rešitev za končne deležnike in lokalne skupnosti.</w:t>
      </w:r>
      <w:r>
        <w:t xml:space="preserve"> </w:t>
      </w:r>
    </w:p>
    <w:p w14:paraId="2A850387" w14:textId="77777777" w:rsidR="00C41332" w:rsidRDefault="00345C7B">
      <w:pPr>
        <w:spacing w:after="0" w:line="259" w:lineRule="auto"/>
        <w:ind w:left="0" w:firstLine="0"/>
        <w:jc w:val="left"/>
      </w:pPr>
      <w:r>
        <w:t xml:space="preserve"> </w:t>
      </w:r>
    </w:p>
    <w:p w14:paraId="4BE50D89" w14:textId="77777777" w:rsidR="00C41332" w:rsidRDefault="00345C7B">
      <w:pPr>
        <w:numPr>
          <w:ilvl w:val="0"/>
          <w:numId w:val="1"/>
        </w:numPr>
        <w:ind w:hanging="214"/>
      </w:pPr>
      <w:r>
        <w:rPr>
          <w:b/>
        </w:rPr>
        <w:t>nivo</w:t>
      </w:r>
      <w:r>
        <w:t xml:space="preserve"> </w:t>
      </w:r>
      <w:r>
        <w:t>–</w:t>
      </w:r>
      <w:r>
        <w:t xml:space="preserve"> Vsi BCO-</w:t>
      </w:r>
      <w:r>
        <w:t>ji držav članic sodelujejo m</w:t>
      </w:r>
      <w:r>
        <w:t>ed seboj in hkrati z BCO</w:t>
      </w:r>
      <w:r>
        <w:t xml:space="preserve">-SF, pri izmenjavi dobrih praks </w:t>
      </w:r>
      <w:r>
        <w:t>na področju širokopasovne infrastrukture in storitev.</w:t>
      </w:r>
      <w:r>
        <w:t xml:space="preserve"> </w:t>
      </w:r>
    </w:p>
    <w:p w14:paraId="2D452327" w14:textId="77777777" w:rsidR="00C41332" w:rsidRDefault="00345C7B">
      <w:pPr>
        <w:spacing w:after="0" w:line="259" w:lineRule="auto"/>
        <w:ind w:left="0" w:firstLine="0"/>
        <w:jc w:val="left"/>
      </w:pPr>
      <w:r>
        <w:t xml:space="preserve"> </w:t>
      </w:r>
    </w:p>
    <w:p w14:paraId="5062559A" w14:textId="77777777" w:rsidR="00C41332" w:rsidRDefault="00345C7B">
      <w:pPr>
        <w:numPr>
          <w:ilvl w:val="0"/>
          <w:numId w:val="1"/>
        </w:numPr>
        <w:spacing w:after="5" w:line="249" w:lineRule="auto"/>
        <w:ind w:hanging="214"/>
      </w:pPr>
      <w:r>
        <w:rPr>
          <w:b/>
        </w:rPr>
        <w:t>nivo</w:t>
      </w:r>
      <w:r>
        <w:t xml:space="preserve"> </w:t>
      </w:r>
      <w:r>
        <w:t>–</w:t>
      </w:r>
      <w:r>
        <w:t xml:space="preserve"> Navaja regije v Republiki Sloveniji, ki jih bo posamezni BCO izvajalec pokrival v okviru svojih aktivnosti. BCO Slovenija bo preko infor</w:t>
      </w:r>
      <w:r>
        <w:t xml:space="preserve">macij na spletni strani MJU </w:t>
      </w:r>
      <w:hyperlink r:id="rId6">
        <w:r>
          <w:rPr>
            <w:color w:val="0563C1"/>
            <w:u w:val="single" w:color="0563C1"/>
          </w:rPr>
          <w:t>http://www.mju.gov.si/si/delovna_podrocja/informacijska_druzba/kompetencni_cente</w:t>
        </w:r>
        <w:r>
          <w:rPr>
            <w:color w:val="0563C1"/>
            <w:u w:val="single" w:color="0563C1"/>
          </w:rPr>
          <w:t>r_za_sirokopasovno_infrastrukturo_bco_slovenija/</w:t>
        </w:r>
      </w:hyperlink>
      <w:hyperlink r:id="rId7">
        <w:r>
          <w:t xml:space="preserve"> </w:t>
        </w:r>
      </w:hyperlink>
      <w:r>
        <w:t xml:space="preserve">in </w:t>
      </w:r>
      <w:r>
        <w:t>preko delavnic, organiziranih na celotnem območju celotn</w:t>
      </w:r>
      <w:r>
        <w:t xml:space="preserve">e Republike Slovenije, seznanjal vse regije v Slovenije o novostih na področju izvedbe širokopasovne </w:t>
      </w:r>
      <w:r>
        <w:t xml:space="preserve">infrastrukture. </w:t>
      </w:r>
    </w:p>
    <w:p w14:paraId="677AC4E4" w14:textId="77777777" w:rsidR="00C41332" w:rsidRDefault="00345C7B">
      <w:pPr>
        <w:spacing w:after="0" w:line="259" w:lineRule="auto"/>
        <w:ind w:left="0" w:firstLine="0"/>
        <w:jc w:val="left"/>
      </w:pPr>
      <w:r>
        <w:t xml:space="preserve"> </w:t>
      </w:r>
    </w:p>
    <w:p w14:paraId="6BE057C3" w14:textId="77777777" w:rsidR="00C41332" w:rsidRDefault="00345C7B">
      <w:pPr>
        <w:numPr>
          <w:ilvl w:val="0"/>
          <w:numId w:val="1"/>
        </w:numPr>
        <w:spacing w:after="1" w:line="239" w:lineRule="auto"/>
        <w:ind w:hanging="214"/>
      </w:pPr>
      <w:r>
        <w:rPr>
          <w:b/>
        </w:rPr>
        <w:t>nivo</w:t>
      </w:r>
      <w:r>
        <w:t xml:space="preserve"> </w:t>
      </w:r>
      <w:r>
        <w:t>–</w:t>
      </w:r>
      <w:r>
        <w:t xml:space="preserve"> MJU, kot BCO Slovenija je v okviru javnega poziva pozval </w:t>
      </w:r>
      <w:r>
        <w:t>podjetja, inštitucije, deležnike k sodelovanju. Iz javnega poziva sledi,</w:t>
      </w:r>
      <w:r>
        <w:t xml:space="preserve"> d</w:t>
      </w:r>
      <w:r>
        <w:t xml:space="preserve">a so se pozivu k sodelovanju lahko odzvali </w:t>
      </w:r>
      <w:r>
        <w:t>vsi, ki že do sedaj kakorkoli ponujajo storitve in rešitve, ki so predmet nalog BCO Slovenija. Deležniki, ki so izrazili inte</w:t>
      </w:r>
      <w:r>
        <w:t>res za sodelovanje z BCO Slovenija prevzamejo aktivnosti v sklopu aktivnosti BCO Slove</w:t>
      </w:r>
      <w:r>
        <w:t>nija in postanejo BCO izva</w:t>
      </w:r>
      <w:r>
        <w:t xml:space="preserve">jalci. Aktivnosti BCO izvajalcev zajemajo področja, </w:t>
      </w:r>
      <w:r>
        <w:t xml:space="preserve">ki so jih opisali v odzivu na javni poziv BCO Slovenija (6 nivo). </w:t>
      </w:r>
      <w:r>
        <w:rPr>
          <w:b/>
        </w:rPr>
        <w:t xml:space="preserve"> </w:t>
      </w:r>
    </w:p>
    <w:p w14:paraId="1893B420" w14:textId="77777777" w:rsidR="00C41332" w:rsidRDefault="00345C7B">
      <w:pPr>
        <w:spacing w:after="0" w:line="259" w:lineRule="auto"/>
        <w:ind w:left="0" w:firstLine="0"/>
        <w:jc w:val="left"/>
      </w:pPr>
      <w:r>
        <w:t xml:space="preserve"> </w:t>
      </w:r>
    </w:p>
    <w:p w14:paraId="7571F2D5" w14:textId="77777777" w:rsidR="00C41332" w:rsidRDefault="00345C7B">
      <w:pPr>
        <w:numPr>
          <w:ilvl w:val="0"/>
          <w:numId w:val="1"/>
        </w:numPr>
        <w:spacing w:after="5" w:line="249" w:lineRule="auto"/>
        <w:ind w:hanging="214"/>
      </w:pPr>
      <w:r>
        <w:rPr>
          <w:b/>
        </w:rPr>
        <w:t>nivo</w:t>
      </w:r>
      <w:r>
        <w:t xml:space="preserve"> </w:t>
      </w:r>
      <w:r>
        <w:t>–</w:t>
      </w:r>
      <w:r>
        <w:t xml:space="preserve"> </w:t>
      </w:r>
      <w:r>
        <w:rPr>
          <w:b/>
        </w:rPr>
        <w:t>BCO izvajalci</w:t>
      </w:r>
      <w:r>
        <w:t xml:space="preserve"> - podjetja oz. institucije, ki so izrazili </w:t>
      </w:r>
      <w:r>
        <w:t xml:space="preserve">interes za sodelovanje z BCO Slovenija in aktivnosti, ki jih bodo izvajali v posamezni regiji RS, navedeni v 5-em nivoju organigrama:  </w:t>
      </w:r>
    </w:p>
    <w:p w14:paraId="2F7DD2F6" w14:textId="77777777" w:rsidR="00C41332" w:rsidRDefault="00345C7B">
      <w:pPr>
        <w:numPr>
          <w:ilvl w:val="1"/>
          <w:numId w:val="1"/>
        </w:numPr>
        <w:spacing w:after="35"/>
        <w:ind w:hanging="360"/>
      </w:pPr>
      <w:proofErr w:type="spellStart"/>
      <w:r>
        <w:rPr>
          <w:b/>
        </w:rPr>
        <w:t>Eurocon</w:t>
      </w:r>
      <w:proofErr w:type="spellEnd"/>
      <w:r>
        <w:rPr>
          <w:b/>
        </w:rPr>
        <w:t xml:space="preserve"> d.o.o., Dunajska cesta 159, 1000 Ljubljana</w:t>
      </w:r>
      <w:r>
        <w:t>, ki  je svetovalno podjetje z 10-</w:t>
      </w:r>
      <w:r>
        <w:t>letnimi izkušnjami s področja svetov</w:t>
      </w:r>
      <w:r>
        <w:t>anja podjetjem in lokalnim skupnostim pri razvoju širokopasovnega omrežja na podeželju. Aktivno deluje</w:t>
      </w:r>
      <w:r>
        <w:t>j</w:t>
      </w:r>
      <w:r>
        <w:t xml:space="preserve">o v Sloveniji in širši regiji, prav tako so udeleženi v številne aktivnosti in </w:t>
      </w:r>
      <w:r>
        <w:t xml:space="preserve">pobude na EU ravni. Podjetje se ukvarja s tremi osnovnimi dejavnostmi, to </w:t>
      </w:r>
      <w:r>
        <w:t xml:space="preserve">je kot: </w:t>
      </w:r>
    </w:p>
    <w:p w14:paraId="0912EB55" w14:textId="77777777" w:rsidR="00C41332" w:rsidRDefault="00345C7B">
      <w:pPr>
        <w:numPr>
          <w:ilvl w:val="3"/>
          <w:numId w:val="2"/>
        </w:numPr>
        <w:ind w:hanging="425"/>
      </w:pPr>
      <w:r>
        <w:t>Center odličnosti PPP4Broadband</w:t>
      </w:r>
      <w:r>
        <w:t xml:space="preserve">, v sklopu katerega:  </w:t>
      </w:r>
    </w:p>
    <w:p w14:paraId="35DAC5B1" w14:textId="77777777" w:rsidR="00C41332" w:rsidRDefault="00345C7B">
      <w:pPr>
        <w:numPr>
          <w:ilvl w:val="3"/>
          <w:numId w:val="2"/>
        </w:numPr>
        <w:spacing w:after="38"/>
        <w:ind w:hanging="425"/>
      </w:pPr>
      <w:r>
        <w:t>Je konzorcij več partnerjev (zasebne in javne organizacije), ki imajo ključne kompetence na področju gradnje širokopasovnih omrežij na podeželju ter vzpostavljanja javno –</w:t>
      </w:r>
      <w:r>
        <w:t xml:space="preserve"> zasebnih partnerstev.</w:t>
      </w:r>
      <w:r>
        <w:t xml:space="preserve"> Konzorcij na podlagi sodelovanja z ostalimi evropskimi </w:t>
      </w:r>
      <w:r>
        <w:t>partnerji zagotavlja kompetence za področje JV Evrope</w:t>
      </w:r>
      <w:r>
        <w:t xml:space="preserve">;  </w:t>
      </w:r>
    </w:p>
    <w:p w14:paraId="24DED86A" w14:textId="77777777" w:rsidR="00C41332" w:rsidRDefault="00345C7B">
      <w:pPr>
        <w:numPr>
          <w:ilvl w:val="3"/>
          <w:numId w:val="2"/>
        </w:numPr>
        <w:ind w:hanging="425"/>
      </w:pPr>
      <w:r>
        <w:t>C</w:t>
      </w:r>
      <w:r>
        <w:t xml:space="preserve">enter odličnosti </w:t>
      </w:r>
      <w:r>
        <w:t xml:space="preserve">zagotavlja:  </w:t>
      </w:r>
    </w:p>
    <w:p w14:paraId="14212E6E" w14:textId="77777777" w:rsidR="00C41332" w:rsidRDefault="00345C7B">
      <w:pPr>
        <w:numPr>
          <w:ilvl w:val="3"/>
          <w:numId w:val="2"/>
        </w:numPr>
        <w:spacing w:after="108"/>
        <w:ind w:hanging="425"/>
      </w:pPr>
      <w:r>
        <w:t>Razvito orodje za pomoč lokalnim skupnostim –</w:t>
      </w:r>
      <w:r>
        <w:t xml:space="preserve"> 9 modelov javno-</w:t>
      </w:r>
      <w:r>
        <w:t xml:space="preserve">zasebnega partnerstva, ki vsebujejo navodila, osnutke </w:t>
      </w:r>
      <w:r>
        <w:t>dokumentov in finančne tabele glede celotnega postopka JZP za gradnjo širokopasovne infrastrukture na območjih, kjer ni tržne</w:t>
      </w:r>
      <w:r>
        <w:t xml:space="preserve">ga interesa;  </w:t>
      </w:r>
    </w:p>
    <w:p w14:paraId="57FEF638" w14:textId="77777777" w:rsidR="00C41332" w:rsidRDefault="00345C7B">
      <w:pPr>
        <w:numPr>
          <w:ilvl w:val="3"/>
          <w:numId w:val="2"/>
        </w:numPr>
        <w:ind w:hanging="425"/>
      </w:pPr>
      <w:r>
        <w:lastRenderedPageBreak/>
        <w:t xml:space="preserve">Svetovanje lokalnim skupnostim </w:t>
      </w:r>
      <w:r>
        <w:t>–</w:t>
      </w:r>
      <w:r>
        <w:t xml:space="preserve"> </w:t>
      </w:r>
      <w:r>
        <w:t>kako pripraviti konkreten pro</w:t>
      </w:r>
      <w:r>
        <w:t xml:space="preserve">jekt (Načrt razvoja, </w:t>
      </w:r>
      <w:r>
        <w:t>kartiranje</w:t>
      </w:r>
      <w:r>
        <w:t xml:space="preserve">, finančna dokumentacija, razpisna dokumentacija za izbor izvajalca, …); </w:t>
      </w:r>
      <w:r>
        <w:t xml:space="preserve"> </w:t>
      </w:r>
    </w:p>
    <w:p w14:paraId="6B38AE63" w14:textId="77777777" w:rsidR="00C41332" w:rsidRDefault="00345C7B">
      <w:pPr>
        <w:numPr>
          <w:ilvl w:val="3"/>
          <w:numId w:val="2"/>
        </w:numPr>
        <w:spacing w:after="77" w:line="249" w:lineRule="auto"/>
        <w:ind w:hanging="425"/>
      </w:pPr>
      <w:r>
        <w:t>Kontaktna točka za lokalne skupnosti –</w:t>
      </w:r>
      <w:r>
        <w:t xml:space="preserve"> stiki z nacionalnim regulatorjem in ministrstvi;  </w:t>
      </w:r>
    </w:p>
    <w:p w14:paraId="78870951" w14:textId="77777777" w:rsidR="00C41332" w:rsidRDefault="00345C7B">
      <w:pPr>
        <w:numPr>
          <w:ilvl w:val="3"/>
          <w:numId w:val="2"/>
        </w:numPr>
        <w:spacing w:after="38"/>
        <w:ind w:hanging="425"/>
      </w:pPr>
      <w:r>
        <w:t xml:space="preserve">Mednarodno sodelovanje </w:t>
      </w:r>
      <w:r>
        <w:t>–</w:t>
      </w:r>
      <w:r>
        <w:t xml:space="preserve"> </w:t>
      </w:r>
      <w:r>
        <w:t>imamo dostop do 9 drugih centrov od</w:t>
      </w:r>
      <w:r>
        <w:t xml:space="preserve">ličnosti (Srbija, Češka, Slovaška, Makedonija, Madžarska, Avstrija, Bolgarija, Romunija in Grčija, ki vsak v svoji državi združuje znanja s področja širokopasovnih omrežij. </w:t>
      </w:r>
      <w:r>
        <w:t xml:space="preserve"> </w:t>
      </w:r>
    </w:p>
    <w:p w14:paraId="6F7D6448" w14:textId="77777777" w:rsidR="00C41332" w:rsidRDefault="00345C7B">
      <w:pPr>
        <w:numPr>
          <w:ilvl w:val="3"/>
          <w:numId w:val="2"/>
        </w:numPr>
        <w:spacing w:after="77" w:line="249" w:lineRule="auto"/>
        <w:ind w:hanging="425"/>
      </w:pPr>
      <w:r>
        <w:t xml:space="preserve">Na nacionalnem in lokalnem nivoju podjetje skrbi za:   </w:t>
      </w:r>
    </w:p>
    <w:p w14:paraId="387D01BD" w14:textId="77777777" w:rsidR="00C41332" w:rsidRDefault="00345C7B">
      <w:pPr>
        <w:numPr>
          <w:ilvl w:val="3"/>
          <w:numId w:val="2"/>
        </w:numPr>
        <w:ind w:hanging="425"/>
      </w:pPr>
      <w:r>
        <w:t>Pripravo načrta razvoja š</w:t>
      </w:r>
      <w:r>
        <w:t xml:space="preserve">irokopasovnih omrežij v lokalnih skupnostih; </w:t>
      </w:r>
      <w:r>
        <w:t xml:space="preserve"> </w:t>
      </w:r>
    </w:p>
    <w:p w14:paraId="2EB87293" w14:textId="77777777" w:rsidR="00C41332" w:rsidRDefault="00345C7B">
      <w:pPr>
        <w:numPr>
          <w:ilvl w:val="3"/>
          <w:numId w:val="2"/>
        </w:numPr>
        <w:spacing w:after="81"/>
        <w:ind w:hanging="425"/>
      </w:pPr>
      <w:r>
        <w:t xml:space="preserve">Pripravo </w:t>
      </w:r>
      <w:r>
        <w:t>razpisne dokumentacije za izbiro izvajalca gradnje širokopasovnega omrežja</w:t>
      </w:r>
      <w:r>
        <w:t xml:space="preserve">;  </w:t>
      </w:r>
    </w:p>
    <w:p w14:paraId="75102CBE" w14:textId="77777777" w:rsidR="00C41332" w:rsidRDefault="00345C7B">
      <w:pPr>
        <w:numPr>
          <w:ilvl w:val="3"/>
          <w:numId w:val="2"/>
        </w:numPr>
        <w:spacing w:after="78"/>
        <w:ind w:hanging="425"/>
      </w:pPr>
      <w:r>
        <w:t>Oblikovanje javno zasebnih partnerstev za gradnjo širokopasovnih omrežij, svetovanje pri vodenju konkurenčnega dialoga</w:t>
      </w:r>
      <w:r>
        <w:t xml:space="preserve">;  </w:t>
      </w:r>
    </w:p>
    <w:p w14:paraId="08916FD6" w14:textId="77777777" w:rsidR="00C41332" w:rsidRDefault="00345C7B">
      <w:pPr>
        <w:numPr>
          <w:ilvl w:val="3"/>
          <w:numId w:val="2"/>
        </w:numPr>
        <w:ind w:hanging="425"/>
      </w:pPr>
      <w:r>
        <w:t xml:space="preserve">Pripravo </w:t>
      </w:r>
      <w:r>
        <w:t xml:space="preserve">projektne in investicijske dokumentacije za izgradnjo širokopasovnih omrežij (študije izvedljivosti, investicijski programi, </w:t>
      </w:r>
    </w:p>
    <w:p w14:paraId="4E7C0D21" w14:textId="77777777" w:rsidR="00C41332" w:rsidRDefault="00345C7B">
      <w:pPr>
        <w:spacing w:after="103" w:line="249" w:lineRule="auto"/>
        <w:ind w:left="2530"/>
      </w:pPr>
      <w:r>
        <w:t xml:space="preserve">ipd.);  </w:t>
      </w:r>
    </w:p>
    <w:p w14:paraId="08108129" w14:textId="77777777" w:rsidR="00C41332" w:rsidRDefault="00345C7B">
      <w:pPr>
        <w:numPr>
          <w:ilvl w:val="3"/>
          <w:numId w:val="2"/>
        </w:numPr>
        <w:spacing w:after="107"/>
        <w:ind w:hanging="425"/>
      </w:pPr>
      <w:r>
        <w:t>Pripravo in izvedbo javnih posvetovanj za lokal</w:t>
      </w:r>
      <w:r>
        <w:t>ne skupnosti, operaterje, državne ustanove, ipd. s področja gradn</w:t>
      </w:r>
      <w:r>
        <w:t>je širokopasovnih omrežij na podeželju</w:t>
      </w:r>
      <w:r>
        <w:t xml:space="preserve">;  </w:t>
      </w:r>
    </w:p>
    <w:p w14:paraId="7C37B105" w14:textId="77777777" w:rsidR="00C41332" w:rsidRDefault="00345C7B">
      <w:pPr>
        <w:numPr>
          <w:ilvl w:val="3"/>
          <w:numId w:val="2"/>
        </w:numPr>
        <w:spacing w:after="80"/>
        <w:ind w:hanging="425"/>
      </w:pPr>
      <w:r>
        <w:t>Svetovanje lokalnim skupnostim pri iskanju ustreznih rešitev na področjih belih lis</w:t>
      </w:r>
      <w:r>
        <w:t xml:space="preserve">;  </w:t>
      </w:r>
    </w:p>
    <w:p w14:paraId="7F8F16AE" w14:textId="77777777" w:rsidR="00C41332" w:rsidRDefault="00345C7B">
      <w:pPr>
        <w:numPr>
          <w:ilvl w:val="3"/>
          <w:numId w:val="2"/>
        </w:numPr>
        <w:ind w:hanging="425"/>
      </w:pPr>
      <w:r>
        <w:t>Seznanitev lokalnih skupnosti s projektom WIFI4EU, redno obveščanje o novostih in pomoč lokalnim skupnostim pri prijavi</w:t>
      </w:r>
      <w:r>
        <w:t xml:space="preserve">;  </w:t>
      </w:r>
    </w:p>
    <w:p w14:paraId="2F6619CE" w14:textId="77777777" w:rsidR="00C41332" w:rsidRDefault="00345C7B">
      <w:pPr>
        <w:numPr>
          <w:ilvl w:val="3"/>
          <w:numId w:val="2"/>
        </w:numPr>
        <w:spacing w:after="75" w:line="249" w:lineRule="auto"/>
        <w:ind w:hanging="425"/>
      </w:pPr>
      <w:r>
        <w:t>za t</w:t>
      </w:r>
      <w:r>
        <w:t xml:space="preserve">elekomunikacijske operaterje podjetje:  </w:t>
      </w:r>
    </w:p>
    <w:p w14:paraId="7AF8D2C4" w14:textId="77777777" w:rsidR="00C41332" w:rsidRDefault="00345C7B">
      <w:pPr>
        <w:numPr>
          <w:ilvl w:val="3"/>
          <w:numId w:val="2"/>
        </w:numPr>
        <w:spacing w:after="77" w:line="249" w:lineRule="auto"/>
        <w:ind w:hanging="425"/>
      </w:pPr>
      <w:r>
        <w:t xml:space="preserve">pripravlja projektne dokumentacije za prijavljanje na javne razpise;  </w:t>
      </w:r>
    </w:p>
    <w:p w14:paraId="36BAAEBA" w14:textId="77777777" w:rsidR="00C41332" w:rsidRDefault="00345C7B">
      <w:pPr>
        <w:numPr>
          <w:ilvl w:val="3"/>
          <w:numId w:val="2"/>
        </w:numPr>
        <w:spacing w:after="78"/>
        <w:ind w:hanging="425"/>
      </w:pPr>
      <w:r>
        <w:t xml:space="preserve">nudi strokovno podporo pri pogajanjih z lokalnimi oblastmi v fazi izvedbe postopka konkurenčnega dialoga; </w:t>
      </w:r>
      <w:r>
        <w:t xml:space="preserve"> </w:t>
      </w:r>
    </w:p>
    <w:p w14:paraId="32CDE36C" w14:textId="77777777" w:rsidR="00C41332" w:rsidRDefault="00345C7B">
      <w:pPr>
        <w:numPr>
          <w:ilvl w:val="3"/>
          <w:numId w:val="2"/>
        </w:numPr>
        <w:ind w:hanging="425"/>
      </w:pPr>
      <w:r>
        <w:t>nudi izobraževanje in usposabljanje glede izvajanja širokopasovnih projektov na podeželju.</w:t>
      </w:r>
      <w:r>
        <w:t xml:space="preserve"> </w:t>
      </w:r>
    </w:p>
    <w:p w14:paraId="1F9A7583" w14:textId="77777777" w:rsidR="00C41332" w:rsidRDefault="00345C7B">
      <w:pPr>
        <w:spacing w:after="12" w:line="259" w:lineRule="auto"/>
        <w:ind w:left="0" w:firstLine="0"/>
        <w:jc w:val="left"/>
      </w:pPr>
      <w:r>
        <w:t xml:space="preserve"> </w:t>
      </w:r>
    </w:p>
    <w:p w14:paraId="039ADCD0" w14:textId="77777777" w:rsidR="00C41332" w:rsidRDefault="00345C7B">
      <w:pPr>
        <w:numPr>
          <w:ilvl w:val="1"/>
          <w:numId w:val="1"/>
        </w:numPr>
        <w:spacing w:after="24" w:line="259" w:lineRule="auto"/>
        <w:ind w:hanging="360"/>
      </w:pPr>
      <w:r>
        <w:rPr>
          <w:b/>
        </w:rPr>
        <w:t xml:space="preserve">Telekom Slovenije, </w:t>
      </w:r>
      <w:proofErr w:type="spellStart"/>
      <w:r>
        <w:rPr>
          <w:b/>
        </w:rPr>
        <w:t>d.d</w:t>
      </w:r>
      <w:proofErr w:type="spellEnd"/>
      <w:r>
        <w:rPr>
          <w:b/>
        </w:rPr>
        <w:t xml:space="preserve">. Cigaletova 15, 1000 Ljubljana, </w:t>
      </w:r>
      <w:r>
        <w:t>katerega dejavnost obsega:</w:t>
      </w:r>
      <w:r>
        <w:rPr>
          <w:b/>
        </w:rPr>
        <w:t xml:space="preserve"> </w:t>
      </w:r>
    </w:p>
    <w:p w14:paraId="6715D035" w14:textId="77777777" w:rsidR="00C41332" w:rsidRDefault="00345C7B">
      <w:pPr>
        <w:numPr>
          <w:ilvl w:val="2"/>
          <w:numId w:val="4"/>
        </w:numPr>
        <w:spacing w:after="5" w:line="249" w:lineRule="auto"/>
        <w:ind w:hanging="360"/>
      </w:pPr>
      <w:r>
        <w:t xml:space="preserve">fiksne in mobilne komunikacije; </w:t>
      </w:r>
    </w:p>
    <w:p w14:paraId="4AE16761" w14:textId="77777777" w:rsidR="00C41332" w:rsidRDefault="00345C7B">
      <w:pPr>
        <w:numPr>
          <w:ilvl w:val="2"/>
          <w:numId w:val="4"/>
        </w:numPr>
        <w:spacing w:after="5" w:line="249" w:lineRule="auto"/>
        <w:ind w:hanging="360"/>
      </w:pPr>
      <w:r>
        <w:t xml:space="preserve">digitalne in televizijske vsebine in storitve; </w:t>
      </w:r>
    </w:p>
    <w:p w14:paraId="4447E42E" w14:textId="77777777" w:rsidR="00C41332" w:rsidRDefault="00345C7B">
      <w:pPr>
        <w:numPr>
          <w:ilvl w:val="2"/>
          <w:numId w:val="4"/>
        </w:numPr>
        <w:ind w:hanging="360"/>
      </w:pPr>
      <w:r>
        <w:t>m</w:t>
      </w:r>
      <w:r>
        <w:t>ultimedijske storitve in digitalno oglaševanje;</w:t>
      </w:r>
      <w:r>
        <w:t xml:space="preserve"> </w:t>
      </w:r>
    </w:p>
    <w:p w14:paraId="1509A0CA" w14:textId="77777777" w:rsidR="00C41332" w:rsidRDefault="00345C7B">
      <w:pPr>
        <w:numPr>
          <w:ilvl w:val="2"/>
          <w:numId w:val="4"/>
        </w:numPr>
        <w:spacing w:after="5" w:line="249" w:lineRule="auto"/>
        <w:ind w:hanging="360"/>
      </w:pPr>
      <w:r>
        <w:t>sistemsko integracijo in storitve v oblaku;</w:t>
      </w:r>
      <w:r>
        <w:rPr>
          <w:b/>
        </w:rPr>
        <w:t xml:space="preserve"> </w:t>
      </w:r>
    </w:p>
    <w:p w14:paraId="2D6A2453" w14:textId="77777777" w:rsidR="00C41332" w:rsidRDefault="00345C7B">
      <w:pPr>
        <w:numPr>
          <w:ilvl w:val="2"/>
          <w:numId w:val="4"/>
        </w:numPr>
        <w:spacing w:after="5" w:line="249" w:lineRule="auto"/>
        <w:ind w:hanging="360"/>
      </w:pPr>
      <w:r>
        <w:t>razvoj in implementacijo rešitev za upravljanje poslovnih</w:t>
      </w:r>
      <w:r>
        <w:t xml:space="preserve"> vsebin in odnosov ter orodij za vodenje in spremljanje </w:t>
      </w:r>
      <w:r>
        <w:t>poslovanja;</w:t>
      </w:r>
      <w:r>
        <w:rPr>
          <w:b/>
        </w:rPr>
        <w:t xml:space="preserve"> </w:t>
      </w:r>
    </w:p>
    <w:p w14:paraId="5C004DCE" w14:textId="77777777" w:rsidR="00C41332" w:rsidRDefault="00345C7B">
      <w:pPr>
        <w:numPr>
          <w:ilvl w:val="2"/>
          <w:numId w:val="4"/>
        </w:numPr>
        <w:ind w:hanging="360"/>
      </w:pPr>
      <w:r>
        <w:t>gradnjo in vzdrževanje telekomunikacijskih omrežij;</w:t>
      </w:r>
      <w:r>
        <w:rPr>
          <w:b/>
        </w:rPr>
        <w:t xml:space="preserve"> </w:t>
      </w:r>
    </w:p>
    <w:p w14:paraId="12B5C6E2" w14:textId="77777777" w:rsidR="00C41332" w:rsidRDefault="00345C7B">
      <w:pPr>
        <w:spacing w:after="9" w:line="259" w:lineRule="auto"/>
        <w:ind w:left="1080" w:firstLine="0"/>
        <w:jc w:val="left"/>
      </w:pPr>
      <w:r>
        <w:rPr>
          <w:b/>
        </w:rPr>
        <w:t xml:space="preserve"> </w:t>
      </w:r>
    </w:p>
    <w:p w14:paraId="629B86EB" w14:textId="77777777" w:rsidR="00C41332" w:rsidRDefault="00345C7B">
      <w:pPr>
        <w:numPr>
          <w:ilvl w:val="1"/>
          <w:numId w:val="1"/>
        </w:numPr>
        <w:spacing w:after="5" w:line="249" w:lineRule="auto"/>
        <w:ind w:hanging="360"/>
      </w:pPr>
      <w:r>
        <w:rPr>
          <w:b/>
        </w:rPr>
        <w:lastRenderedPageBreak/>
        <w:t xml:space="preserve">Podjetje A1 Slovenija, </w:t>
      </w:r>
      <w:proofErr w:type="spellStart"/>
      <w:r>
        <w:rPr>
          <w:b/>
        </w:rPr>
        <w:t>d.d</w:t>
      </w:r>
      <w:proofErr w:type="spellEnd"/>
      <w:r>
        <w:rPr>
          <w:b/>
        </w:rPr>
        <w:t xml:space="preserve">. Šmartinska 134b, 1000 Ljubljana, </w:t>
      </w:r>
      <w:r>
        <w:t>ki lahko s svojo ponudbo kot partner aktivno sodeluje v BCO Slovenija.</w:t>
      </w:r>
      <w:r>
        <w:rPr>
          <w:b/>
        </w:rPr>
        <w:t xml:space="preserve"> </w:t>
      </w:r>
    </w:p>
    <w:p w14:paraId="0393D5C4" w14:textId="77777777" w:rsidR="00C41332" w:rsidRDefault="00345C7B">
      <w:pPr>
        <w:spacing w:after="12" w:line="259" w:lineRule="auto"/>
        <w:ind w:left="360" w:firstLine="0"/>
        <w:jc w:val="left"/>
      </w:pPr>
      <w:r>
        <w:t xml:space="preserve"> </w:t>
      </w:r>
    </w:p>
    <w:p w14:paraId="597C855C" w14:textId="77777777" w:rsidR="00C41332" w:rsidRDefault="00345C7B">
      <w:pPr>
        <w:numPr>
          <w:ilvl w:val="1"/>
          <w:numId w:val="1"/>
        </w:numPr>
        <w:ind w:hanging="360"/>
      </w:pPr>
      <w:r>
        <w:rPr>
          <w:b/>
        </w:rPr>
        <w:t xml:space="preserve">Podjetje </w:t>
      </w:r>
      <w:proofErr w:type="spellStart"/>
      <w:r>
        <w:rPr>
          <w:b/>
        </w:rPr>
        <w:t>Vahta</w:t>
      </w:r>
      <w:proofErr w:type="spellEnd"/>
      <w:r>
        <w:rPr>
          <w:b/>
        </w:rPr>
        <w:t>, telekomunikacije in nove tehnologije,</w:t>
      </w:r>
      <w:r>
        <w:rPr>
          <w:b/>
        </w:rPr>
        <w:t xml:space="preserve"> d.o.o., Gorjansko 32, 6223 Komen, </w:t>
      </w:r>
      <w:r>
        <w:t>je</w:t>
      </w:r>
      <w:r>
        <w:rPr>
          <w:b/>
        </w:rPr>
        <w:t xml:space="preserve"> </w:t>
      </w:r>
      <w:r>
        <w:t>aktivno na področju širokopasovnih omrežij na podeželju že od leta 2007. Podjetje s svojimi aktivnostmi deluje na lokalnem, državnem in evropskem nivoju. V Sloveniji so začeli pri izvedbi e</w:t>
      </w:r>
      <w:r>
        <w:t>-</w:t>
      </w:r>
      <w:r>
        <w:t xml:space="preserve">točk, sodelovali </w:t>
      </w:r>
    </w:p>
    <w:p w14:paraId="19150D5D" w14:textId="77777777" w:rsidR="00C41332" w:rsidRDefault="00345C7B">
      <w:pPr>
        <w:ind w:left="730"/>
      </w:pPr>
      <w:r>
        <w:t>pri projek</w:t>
      </w:r>
      <w:r>
        <w:t xml:space="preserve">tih OŠO, pri projektu IR optika in več drugih. Trenutno razvijajo projekt RUNE, ki bo zagotovil odprto širokopasovno povezljivost 131 tisoč </w:t>
      </w:r>
      <w:r>
        <w:t xml:space="preserve">slovenskim gospodinjstvom. </w:t>
      </w:r>
    </w:p>
    <w:p w14:paraId="57AE74B0" w14:textId="77777777" w:rsidR="00C41332" w:rsidRDefault="00345C7B">
      <w:pPr>
        <w:spacing w:after="9" w:line="259" w:lineRule="auto"/>
        <w:ind w:left="720" w:firstLine="0"/>
        <w:jc w:val="left"/>
      </w:pPr>
      <w:r>
        <w:t xml:space="preserve"> </w:t>
      </w:r>
    </w:p>
    <w:p w14:paraId="5ABF5DDA" w14:textId="77777777" w:rsidR="00C41332" w:rsidRDefault="00345C7B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t>Razvojna agencija Jugovzhodne Slovenije</w:t>
      </w:r>
      <w:r>
        <w:t xml:space="preserve"> </w:t>
      </w:r>
      <w:r>
        <w:t xml:space="preserve">(Razvojni center Novo mesto, Svetovanje in razvoj, d.o.o.), ki izvaja razvojne naloge v javnem interesu kot </w:t>
      </w:r>
    </w:p>
    <w:p w14:paraId="7A804CD5" w14:textId="77777777" w:rsidR="00C41332" w:rsidRDefault="00345C7B">
      <w:pPr>
        <w:spacing w:after="5" w:line="249" w:lineRule="auto"/>
        <w:ind w:left="730"/>
      </w:pPr>
      <w:r>
        <w:t xml:space="preserve">so: </w:t>
      </w:r>
    </w:p>
    <w:p w14:paraId="27108303" w14:textId="77777777" w:rsidR="00C41332" w:rsidRDefault="00345C7B">
      <w:pPr>
        <w:spacing w:after="2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7ED8D7" w14:textId="77777777" w:rsidR="00C41332" w:rsidRDefault="00345C7B">
      <w:pPr>
        <w:numPr>
          <w:ilvl w:val="2"/>
          <w:numId w:val="3"/>
        </w:numPr>
        <w:spacing w:after="5" w:line="249" w:lineRule="auto"/>
        <w:ind w:hanging="346"/>
      </w:pPr>
      <w:r>
        <w:rPr>
          <w:rFonts w:ascii="Times New Roman" w:eastAsia="Times New Roman" w:hAnsi="Times New Roman" w:cs="Times New Roman"/>
          <w:sz w:val="24"/>
        </w:rPr>
        <w:t>p</w:t>
      </w:r>
      <w:r>
        <w:t xml:space="preserve">ripravljanje, usklajevanje, spremljanje in vrednotenje regionalnega razvojnega programa (RRP), </w:t>
      </w:r>
    </w:p>
    <w:p w14:paraId="00518647" w14:textId="77777777" w:rsidR="00C41332" w:rsidRDefault="00345C7B">
      <w:pPr>
        <w:numPr>
          <w:ilvl w:val="2"/>
          <w:numId w:val="3"/>
        </w:numPr>
        <w:spacing w:after="5" w:line="249" w:lineRule="auto"/>
        <w:ind w:hanging="346"/>
      </w:pPr>
      <w:r>
        <w:t xml:space="preserve">pripravljanje dogovorov za razvoj regije, </w:t>
      </w:r>
    </w:p>
    <w:p w14:paraId="529900EC" w14:textId="77777777" w:rsidR="00C41332" w:rsidRDefault="00345C7B">
      <w:pPr>
        <w:numPr>
          <w:ilvl w:val="2"/>
          <w:numId w:val="3"/>
        </w:numPr>
        <w:spacing w:after="5" w:line="249" w:lineRule="auto"/>
        <w:ind w:hanging="346"/>
      </w:pPr>
      <w:r>
        <w:t xml:space="preserve">razvijanje in izvajanje regijskih projektov,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 sodelovanje </w:t>
      </w:r>
      <w:r>
        <w:t>pri izvajanju postopkov javnih razpisov, javnih naročil in javno</w:t>
      </w:r>
      <w:r>
        <w:t xml:space="preserve">-zasebnega partnerstva. </w:t>
      </w:r>
    </w:p>
    <w:p w14:paraId="52C5413D" w14:textId="77777777" w:rsidR="00C41332" w:rsidRDefault="00345C7B">
      <w:pPr>
        <w:spacing w:after="2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64B1C6" w14:textId="77777777" w:rsidR="00C41332" w:rsidRDefault="00345C7B">
      <w:pPr>
        <w:spacing w:after="0" w:line="259" w:lineRule="auto"/>
        <w:ind w:left="0" w:right="3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>Tehnično in administrativno podpira</w:t>
      </w:r>
      <w:r>
        <w:t xml:space="preserve">jo delovanje organov regije (Svet regije </w:t>
      </w:r>
      <w:r>
        <w:t>–</w:t>
      </w:r>
      <w:r>
        <w:t xml:space="preserve"> </w:t>
      </w:r>
      <w:r>
        <w:t>21 občin</w:t>
      </w:r>
      <w:r>
        <w:t>, Razvojni sve</w:t>
      </w:r>
      <w:r>
        <w:t xml:space="preserve">t regije </w:t>
      </w:r>
      <w:r>
        <w:t>–</w:t>
      </w:r>
      <w:r>
        <w:t xml:space="preserve"> </w:t>
      </w:r>
      <w:r>
        <w:t xml:space="preserve">21 občin + 11 nevladnih organizacij + 21 </w:t>
      </w:r>
    </w:p>
    <w:p w14:paraId="5604F95B" w14:textId="77777777" w:rsidR="00C41332" w:rsidRDefault="00345C7B">
      <w:pPr>
        <w:ind w:left="718"/>
      </w:pPr>
      <w:r>
        <w:t>članov gospodarstva + 1 območno partnerstvo</w:t>
      </w:r>
      <w:r>
        <w:t xml:space="preserve"> , </w:t>
      </w:r>
      <w:r>
        <w:t>Regijska razvojna mreža –</w:t>
      </w:r>
      <w:r>
        <w:t xml:space="preserve"> </w:t>
      </w:r>
      <w:r>
        <w:t>21 članov</w:t>
      </w:r>
      <w:r>
        <w:t xml:space="preserve"> in </w:t>
      </w:r>
      <w:r>
        <w:t>Območno razvojno pa</w:t>
      </w:r>
      <w:r>
        <w:t xml:space="preserve">rtnerstvo </w:t>
      </w:r>
      <w:proofErr w:type="spellStart"/>
      <w:r>
        <w:t>Pokolpje</w:t>
      </w:r>
      <w:proofErr w:type="spellEnd"/>
      <w:r>
        <w:t xml:space="preserve"> </w:t>
      </w:r>
      <w:r>
        <w:t>–</w:t>
      </w:r>
      <w:r>
        <w:t xml:space="preserve"> </w:t>
      </w:r>
      <w:r>
        <w:t>18 članov</w:t>
      </w:r>
      <w:r>
        <w:t xml:space="preserve">). </w:t>
      </w:r>
    </w:p>
    <w:p w14:paraId="17DEFECA" w14:textId="77777777" w:rsidR="00C41332" w:rsidRDefault="00345C7B">
      <w:pPr>
        <w:spacing w:after="0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E13FFB" w14:textId="77777777" w:rsidR="00C41332" w:rsidRDefault="00345C7B">
      <w:pPr>
        <w:ind w:left="718"/>
      </w:pPr>
      <w:r>
        <w:t xml:space="preserve">V </w:t>
      </w:r>
      <w:r>
        <w:t>okviru regionalnega razvoja obvešča</w:t>
      </w:r>
      <w:r>
        <w:t>jo</w:t>
      </w:r>
      <w:r>
        <w:t>, splošno svetuje</w:t>
      </w:r>
      <w:r>
        <w:t xml:space="preserve">jo, popisujejo projektne ideje ter usmerjajo razvojne partnerje v regiji pri oblikovanju, prijavah </w:t>
      </w:r>
      <w:r>
        <w:t>na razpise in izvedbah regijskih projektov. Hkrati omogoča</w:t>
      </w:r>
      <w:r>
        <w:t xml:space="preserve">jo prenos znanj in dobrih praks regionalnega </w:t>
      </w:r>
      <w:r>
        <w:t>razvoja ter nudij</w:t>
      </w:r>
      <w:r>
        <w:t>o pomoč pri izvajanju regijskih finančnih shem skladnega regionalnega razvoja.</w:t>
      </w:r>
      <w:r>
        <w:t xml:space="preserve"> </w:t>
      </w:r>
    </w:p>
    <w:p w14:paraId="3C606DA8" w14:textId="77777777" w:rsidR="00C41332" w:rsidRDefault="00345C7B">
      <w:pPr>
        <w:spacing w:after="0" w:line="259" w:lineRule="auto"/>
        <w:ind w:left="708" w:firstLine="0"/>
        <w:jc w:val="left"/>
      </w:pPr>
      <w:r>
        <w:t xml:space="preserve"> </w:t>
      </w:r>
    </w:p>
    <w:p w14:paraId="5A5B87F8" w14:textId="77777777" w:rsidR="00C41332" w:rsidRDefault="00345C7B">
      <w:pPr>
        <w:ind w:left="718"/>
      </w:pPr>
      <w:r>
        <w:t>Ena od nalog je tudi koordinacija konzorcija 8. občin, katere so uspeli povezati znotraj regije, kot tudi zunaj nje (v konzorcij vključena tudi Občina Kostan</w:t>
      </w:r>
      <w:r>
        <w:t>jevica). Spremljali in preučili so sprejete strateške dokumente na področju elektronskih komunikacij (Digitalna Slovenija 2020) in obveščali občine o vseh potrebnih korakih, kateri morajo biti opravljeni, da bi bili pravoč</w:t>
      </w:r>
      <w:r>
        <w:t xml:space="preserve">asno pripravljeni na javni razpis </w:t>
      </w:r>
      <w:r>
        <w:t xml:space="preserve">pristojnega ministrstva za sofinanciranje </w:t>
      </w:r>
      <w:r>
        <w:t>gradnje širokopasovnih omrežij. Novelirali so osem načrtov razvoja širokopasovnega omrežja, skladno z vsemi objavljenimi razpoložljivimi podatki. Sočasno so potekala tudi usklajevanja za vključitev vseh občin v pro</w:t>
      </w:r>
      <w:r>
        <w:t>jekt Rune, preko katerega se bodo gradila omrežja s pomočjo sredstev Evropskega naložbenega sklada.</w:t>
      </w:r>
      <w:r>
        <w:t xml:space="preserve"> </w:t>
      </w:r>
    </w:p>
    <w:p w14:paraId="047C08F1" w14:textId="77777777" w:rsidR="00C41332" w:rsidRDefault="00345C7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6FC2D8" w14:textId="77777777" w:rsidR="00C41332" w:rsidRDefault="00345C7B">
      <w:pPr>
        <w:ind w:left="718"/>
      </w:pPr>
      <w:r>
        <w:t>Ker želi</w:t>
      </w:r>
      <w:r>
        <w:t>j</w:t>
      </w:r>
      <w:r>
        <w:t>o tudi v prihodnje obveščati državljane, lokalne skupnosti, operaterje elektronskih komunikacij in druge zainteresirane deležnike v zvezi s sofinanciranjem gradnje širokopasovne infrastrukture na belih lisah, v zvezi s projektom vzpostavitve brezžičnih toč</w:t>
      </w:r>
      <w:r>
        <w:t>k (WiFi4E</w:t>
      </w:r>
      <w:r>
        <w:t xml:space="preserve">U) pa tudi v zvezi z drugimi </w:t>
      </w:r>
      <w:r>
        <w:t xml:space="preserve">projekti gradnje širokopasovne infrastrukture, želijo </w:t>
      </w:r>
      <w:r>
        <w:t>sodelovati v Kompet</w:t>
      </w:r>
      <w:r>
        <w:t>enčnem centru za širokopasovno infrastrukturo (BCO Slovenija).</w:t>
      </w:r>
      <w:r>
        <w:rPr>
          <w:b/>
        </w:rPr>
        <w:t xml:space="preserve"> </w:t>
      </w:r>
    </w:p>
    <w:p w14:paraId="4B92A246" w14:textId="77777777" w:rsidR="00C41332" w:rsidRDefault="00345C7B">
      <w:pPr>
        <w:spacing w:after="12" w:line="259" w:lineRule="auto"/>
        <w:ind w:left="360" w:firstLine="0"/>
        <w:jc w:val="left"/>
      </w:pPr>
      <w:r>
        <w:rPr>
          <w:b/>
        </w:rPr>
        <w:lastRenderedPageBreak/>
        <w:t xml:space="preserve"> </w:t>
      </w:r>
    </w:p>
    <w:p w14:paraId="53682E0C" w14:textId="77777777" w:rsidR="00C41332" w:rsidRDefault="00345C7B">
      <w:pPr>
        <w:numPr>
          <w:ilvl w:val="1"/>
          <w:numId w:val="1"/>
        </w:numPr>
        <w:spacing w:after="33" w:line="249" w:lineRule="auto"/>
        <w:ind w:hanging="360"/>
      </w:pPr>
      <w:r>
        <w:rPr>
          <w:b/>
        </w:rPr>
        <w:t xml:space="preserve">Razvojna agencija Savinjske regije, </w:t>
      </w:r>
      <w:r>
        <w:t xml:space="preserve">ki vidi svojo vlogo v okviru sodelovanja z </w:t>
      </w:r>
      <w:r>
        <w:t>BCO Slovenija predvsem v</w:t>
      </w:r>
      <w:r>
        <w:rPr>
          <w:b/>
        </w:rPr>
        <w:t xml:space="preserve">: </w:t>
      </w:r>
    </w:p>
    <w:p w14:paraId="5EBB5B4C" w14:textId="77777777" w:rsidR="00C41332" w:rsidRDefault="00345C7B">
      <w:pPr>
        <w:numPr>
          <w:ilvl w:val="2"/>
          <w:numId w:val="5"/>
        </w:numPr>
        <w:ind w:hanging="286"/>
      </w:pPr>
      <w:r>
        <w:t xml:space="preserve">seznanjanju  17 </w:t>
      </w:r>
      <w:r>
        <w:t xml:space="preserve">občin Savinjske regije </w:t>
      </w:r>
      <w:r>
        <w:t xml:space="preserve"> </w:t>
      </w:r>
      <w:r>
        <w:t xml:space="preserve">o načrtih za gradnjo širokopasovne </w:t>
      </w:r>
      <w:r>
        <w:t xml:space="preserve">infrastrukture na belih lisah; </w:t>
      </w:r>
    </w:p>
    <w:p w14:paraId="54AA63C0" w14:textId="77777777" w:rsidR="00C41332" w:rsidRDefault="00345C7B">
      <w:pPr>
        <w:numPr>
          <w:ilvl w:val="2"/>
          <w:numId w:val="5"/>
        </w:numPr>
        <w:ind w:hanging="286"/>
      </w:pPr>
      <w:r>
        <w:t>pomoč lokalnim skupnostim pri pripravi prijave na javni razpis;</w:t>
      </w:r>
      <w:r>
        <w:t xml:space="preserve"> </w:t>
      </w:r>
    </w:p>
    <w:p w14:paraId="27C1A13B" w14:textId="77777777" w:rsidR="00C41332" w:rsidRDefault="00345C7B">
      <w:pPr>
        <w:numPr>
          <w:ilvl w:val="2"/>
          <w:numId w:val="5"/>
        </w:numPr>
        <w:ind w:hanging="286"/>
      </w:pPr>
      <w:r>
        <w:t>reševanje odprtih vprašanj v zvezi z gradnjo širokopasovn</w:t>
      </w:r>
      <w:r>
        <w:t>e infrastrukture na belih lisah.</w:t>
      </w:r>
      <w:r>
        <w:rPr>
          <w:b/>
        </w:rPr>
        <w:t xml:space="preserve"> </w:t>
      </w:r>
    </w:p>
    <w:p w14:paraId="4A531E2A" w14:textId="77777777" w:rsidR="00C41332" w:rsidRDefault="00345C7B">
      <w:pPr>
        <w:spacing w:after="12" w:line="259" w:lineRule="auto"/>
        <w:ind w:left="0" w:firstLine="0"/>
        <w:jc w:val="left"/>
      </w:pPr>
      <w:r>
        <w:t xml:space="preserve"> </w:t>
      </w:r>
    </w:p>
    <w:p w14:paraId="71B900E7" w14:textId="77777777" w:rsidR="00C41332" w:rsidRDefault="00345C7B">
      <w:pPr>
        <w:numPr>
          <w:ilvl w:val="1"/>
          <w:numId w:val="1"/>
        </w:numPr>
        <w:ind w:hanging="360"/>
      </w:pPr>
      <w:proofErr w:type="spellStart"/>
      <w:r>
        <w:rPr>
          <w:b/>
        </w:rPr>
        <w:t>Elmitel</w:t>
      </w:r>
      <w:proofErr w:type="spellEnd"/>
      <w:r>
        <w:rPr>
          <w:b/>
        </w:rPr>
        <w:t xml:space="preserve"> d.o.o., Orehovci 1a, 9250 Gornja Radgona, </w:t>
      </w:r>
      <w:r>
        <w:t xml:space="preserve">ki lahko kot partner </w:t>
      </w:r>
      <w:r>
        <w:t xml:space="preserve">v BCO Slovenija pokrije področje od Maribora do skrajnega </w:t>
      </w:r>
      <w:proofErr w:type="spellStart"/>
      <w:r>
        <w:t>vzhodaseverovzhoda</w:t>
      </w:r>
      <w:proofErr w:type="spellEnd"/>
      <w:r>
        <w:t xml:space="preserve"> Slovenije </w:t>
      </w:r>
      <w:r>
        <w:t>z rešitvami in</w:t>
      </w:r>
      <w:r>
        <w:t xml:space="preserve"> </w:t>
      </w:r>
      <w:r>
        <w:t>storitvami na področju širokopasovne infrastruk</w:t>
      </w:r>
      <w:r>
        <w:t>ture in WiFi4EU;</w:t>
      </w:r>
      <w:r>
        <w:rPr>
          <w:b/>
        </w:rPr>
        <w:t xml:space="preserve"> </w:t>
      </w:r>
    </w:p>
    <w:p w14:paraId="6164A157" w14:textId="77777777" w:rsidR="00C41332" w:rsidRDefault="00345C7B">
      <w:pPr>
        <w:spacing w:after="0" w:line="259" w:lineRule="auto"/>
        <w:ind w:left="0" w:firstLine="0"/>
        <w:jc w:val="left"/>
      </w:pPr>
      <w:r>
        <w:t xml:space="preserve"> </w:t>
      </w:r>
    </w:p>
    <w:p w14:paraId="6C8E7785" w14:textId="77777777" w:rsidR="00C41332" w:rsidRDefault="00345C7B">
      <w:pPr>
        <w:spacing w:after="5" w:line="249" w:lineRule="auto"/>
        <w:ind w:left="718"/>
      </w:pPr>
      <w:r>
        <w:t xml:space="preserve">Menimo, da vsa podjetja oz. institucije lahko tvorno sodelujejo v sklopu aktivnosti BCO Slovenija. Zato jih nameravamo v kratkem vse zainteresirane </w:t>
      </w:r>
      <w:r>
        <w:t xml:space="preserve">deležnike </w:t>
      </w:r>
      <w:r>
        <w:t xml:space="preserve">povabiti </w:t>
      </w:r>
      <w:r>
        <w:t>na sestanek, kjer bi predstavili vlogo in aktivnosti BCO Slovenija in</w:t>
      </w:r>
      <w:r>
        <w:t xml:space="preserve"> izmenjali izkušnje ter pr</w:t>
      </w:r>
      <w:r>
        <w:t xml:space="preserve">edvsem prediskutirali njihovo potencialno vlogo pri konkretnih projektih. Na primer: </w:t>
      </w:r>
      <w:r>
        <w:t>vlogo pri projektu GOŠO in projektu WiFi4EU.</w:t>
      </w:r>
      <w:r>
        <w:rPr>
          <w:b/>
        </w:rPr>
        <w:t xml:space="preserve"> </w:t>
      </w:r>
    </w:p>
    <w:sectPr w:rsidR="00C41332">
      <w:pgSz w:w="16838" w:h="11906" w:orient="landscape"/>
      <w:pgMar w:top="1462" w:right="1413" w:bottom="149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F303A"/>
    <w:multiLevelType w:val="hybridMultilevel"/>
    <w:tmpl w:val="B48E46B2"/>
    <w:lvl w:ilvl="0" w:tplc="6FF8F7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0CC2C">
      <w:start w:val="1"/>
      <w:numFmt w:val="bullet"/>
      <w:lvlText w:val="o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E71DE">
      <w:start w:val="1"/>
      <w:numFmt w:val="bullet"/>
      <w:lvlRestart w:val="0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08B92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C3886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A7A1E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80F3C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A4E6C2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20A5A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A1C4E"/>
    <w:multiLevelType w:val="hybridMultilevel"/>
    <w:tmpl w:val="3C10BD58"/>
    <w:lvl w:ilvl="0" w:tplc="4C026A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EDE38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EDECE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40D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44A4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F0E0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2A11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2A0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CC0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67615"/>
    <w:multiLevelType w:val="hybridMultilevel"/>
    <w:tmpl w:val="849AA4F6"/>
    <w:lvl w:ilvl="0" w:tplc="F9B402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43932">
      <w:start w:val="1"/>
      <w:numFmt w:val="bullet"/>
      <w:lvlText w:val="o"/>
      <w:lvlJc w:val="left"/>
      <w:pPr>
        <w:ind w:left="1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2813A">
      <w:start w:val="1"/>
      <w:numFmt w:val="bullet"/>
      <w:lvlText w:val="▪"/>
      <w:lvlJc w:val="left"/>
      <w:pPr>
        <w:ind w:left="1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02014">
      <w:start w:val="1"/>
      <w:numFmt w:val="bullet"/>
      <w:lvlRestart w:val="0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C812">
      <w:start w:val="1"/>
      <w:numFmt w:val="bullet"/>
      <w:lvlText w:val="o"/>
      <w:lvlJc w:val="left"/>
      <w:pPr>
        <w:ind w:left="3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8449E">
      <w:start w:val="1"/>
      <w:numFmt w:val="bullet"/>
      <w:lvlText w:val="▪"/>
      <w:lvlJc w:val="left"/>
      <w:pPr>
        <w:ind w:left="3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49F7C">
      <w:start w:val="1"/>
      <w:numFmt w:val="bullet"/>
      <w:lvlText w:val="•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414E0">
      <w:start w:val="1"/>
      <w:numFmt w:val="bullet"/>
      <w:lvlText w:val="o"/>
      <w:lvlJc w:val="left"/>
      <w:pPr>
        <w:ind w:left="5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42C4C">
      <w:start w:val="1"/>
      <w:numFmt w:val="bullet"/>
      <w:lvlText w:val="▪"/>
      <w:lvlJc w:val="left"/>
      <w:pPr>
        <w:ind w:left="5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811614"/>
    <w:multiLevelType w:val="hybridMultilevel"/>
    <w:tmpl w:val="6644AB5A"/>
    <w:lvl w:ilvl="0" w:tplc="18FCC3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23D90">
      <w:start w:val="1"/>
      <w:numFmt w:val="bullet"/>
      <w:lvlText w:val="o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85122">
      <w:start w:val="1"/>
      <w:numFmt w:val="bullet"/>
      <w:lvlRestart w:val="0"/>
      <w:lvlText w:val="•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60324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E465C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20F6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09056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EFC7A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A7608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C3D94"/>
    <w:multiLevelType w:val="hybridMultilevel"/>
    <w:tmpl w:val="4EE62014"/>
    <w:lvl w:ilvl="0" w:tplc="135620C8">
      <w:start w:val="1"/>
      <w:numFmt w:val="decimal"/>
      <w:lvlText w:val="%1"/>
      <w:lvlJc w:val="left"/>
      <w:pPr>
        <w:ind w:left="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C365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8A5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8EE9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83DF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8039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CED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09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A5DB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32"/>
    <w:rsid w:val="00345C7B"/>
    <w:rsid w:val="00BC3060"/>
    <w:rsid w:val="00C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DB33"/>
  <w15:docId w15:val="{26FC8C2D-1A9B-4742-B2B0-442CE42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ju.gov.si/si/delovna_podrocja/informacijska_druzba/kompetencni_center_za_sirokopasovno_infrastrukturo_bco_sloven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ju.gov.si/si/delovna_podrocja/informacijska_druzba/kompetencni_center_za_sirokopasovno_infrastrukturo_bco_slovenij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Vojković</dc:creator>
  <cp:keywords/>
  <cp:lastModifiedBy>Mitja Kobe</cp:lastModifiedBy>
  <cp:revision>3</cp:revision>
  <dcterms:created xsi:type="dcterms:W3CDTF">2021-09-22T06:53:00Z</dcterms:created>
  <dcterms:modified xsi:type="dcterms:W3CDTF">2021-09-22T06:56:00Z</dcterms:modified>
</cp:coreProperties>
</file>