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50A8F8D0" w:rsidR="006A389E" w:rsidRPr="00C86416" w:rsidRDefault="00DE16FD" w:rsidP="006A389E">
      <w:pPr>
        <w:pStyle w:val="Heading2"/>
        <w:jc w:val="right"/>
        <w:rPr>
          <w:color w:val="365F91" w:themeColor="accent1" w:themeShade="BF"/>
          <w:sz w:val="32"/>
          <w:lang w:val="sl-SI"/>
        </w:rPr>
      </w:pPr>
      <w:r>
        <w:rPr>
          <w:color w:val="365F91" w:themeColor="accent1" w:themeShade="BF"/>
          <w:sz w:val="32"/>
          <w:lang w:val="sl-SI"/>
        </w:rPr>
        <w:t>April</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Pr="00C86416"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7D3EB268" w14:textId="66A298B3"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DE16FD">
        <w:rPr>
          <w:color w:val="365F91" w:themeColor="accent1" w:themeShade="BF"/>
          <w:sz w:val="32"/>
          <w:szCs w:val="32"/>
          <w:lang w:val="sl-SI"/>
        </w:rPr>
        <w:t>marec</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222E70FD"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4F76AC" w:rsidRPr="00B921DA">
        <w:rPr>
          <w:b/>
          <w:bCs/>
          <w:lang w:val="sl-SI"/>
        </w:rPr>
        <w:t>20</w:t>
      </w:r>
      <w:r w:rsidR="004F76AC">
        <w:rPr>
          <w:b/>
          <w:bCs/>
          <w:lang w:val="sl-SI"/>
        </w:rPr>
        <w:t>25</w:t>
      </w:r>
      <w:r w:rsidR="004F76AC" w:rsidRPr="00B921DA">
        <w:rPr>
          <w:b/>
          <w:bCs/>
          <w:lang w:val="sl-SI"/>
        </w:rPr>
        <w:t xml:space="preserve"> </w:t>
      </w:r>
      <w:r w:rsidR="00E855E6" w:rsidRPr="00B921DA">
        <w:rPr>
          <w:b/>
          <w:bCs/>
          <w:lang w:val="sl-SI"/>
        </w:rPr>
        <w:t xml:space="preserve">v višini </w:t>
      </w:r>
      <w:r w:rsidR="004F76AC">
        <w:rPr>
          <w:b/>
          <w:bCs/>
          <w:lang w:val="sl-SI"/>
        </w:rPr>
        <w:t>1,9</w:t>
      </w:r>
      <w:r w:rsidR="00E855E6" w:rsidRPr="00B921DA">
        <w:rPr>
          <w:b/>
          <w:bCs/>
          <w:lang w:val="sl-SI"/>
        </w:rPr>
        <w:t xml:space="preserve"> %</w:t>
      </w:r>
      <w:r w:rsidR="00E17EC7" w:rsidRPr="00B921DA">
        <w:rPr>
          <w:b/>
          <w:bCs/>
          <w:lang w:val="sl-SI"/>
        </w:rPr>
        <w:t>)</w:t>
      </w:r>
      <w:r w:rsidR="00E855E6" w:rsidRPr="00B921DA">
        <w:rPr>
          <w:b/>
          <w:bCs/>
          <w:lang w:val="sl-SI"/>
        </w:rPr>
        <w:t>.</w:t>
      </w:r>
    </w:p>
    <w:p w14:paraId="694F44B4" w14:textId="5F6C4BCD"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v obliki enkratnih transferjev</w:t>
      </w:r>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2DCF35F1"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r w:rsidR="00097076">
        <w:rPr>
          <w:lang w:val="sl-SI"/>
        </w:rPr>
        <w:t>,</w:t>
      </w:r>
      <w:r w:rsidR="006A389E" w:rsidRPr="00B921DA">
        <w:rPr>
          <w:lang w:val="sl-SI"/>
        </w:rPr>
        <w:t xml:space="preserve"> 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7781D837" w:rsidR="006A389E" w:rsidRPr="00C86416" w:rsidRDefault="0021001C" w:rsidP="006A389E">
      <w:pPr>
        <w:pStyle w:val="BodyText"/>
        <w:rPr>
          <w:lang w:val="sl-SI"/>
        </w:rPr>
      </w:pPr>
      <w:r>
        <w:rPr>
          <w:b/>
          <w:bCs/>
          <w:lang w:val="sl-SI"/>
        </w:rPr>
        <w:t>V</w:t>
      </w:r>
      <w:r w:rsidR="006A389E" w:rsidRPr="00C86416">
        <w:rPr>
          <w:b/>
          <w:bCs/>
          <w:lang w:val="sl-SI"/>
        </w:rPr>
        <w:t xml:space="preserve"> </w:t>
      </w:r>
      <w:r w:rsidR="00DE16FD">
        <w:rPr>
          <w:b/>
          <w:bCs/>
          <w:lang w:val="sl-SI"/>
        </w:rPr>
        <w:t>marcu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A44736">
        <w:rPr>
          <w:b/>
          <w:bCs/>
          <w:lang w:val="sl-SI"/>
        </w:rPr>
        <w:t>šestih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6538CE">
        <w:rPr>
          <w:b/>
          <w:bCs/>
          <w:lang w:val="sl-SI"/>
        </w:rPr>
        <w:t xml:space="preserve"> </w:t>
      </w:r>
      <w:r w:rsidR="00D57284" w:rsidRPr="00C86416">
        <w:rPr>
          <w:b/>
          <w:bCs/>
          <w:lang w:val="sl-SI"/>
        </w:rPr>
        <w:t>plačilo prispevkov (4 ali več otrok),</w:t>
      </w:r>
      <w:r w:rsidR="0038610B">
        <w:rPr>
          <w:b/>
          <w:bCs/>
          <w:lang w:val="sl-SI"/>
        </w:rPr>
        <w:t xml:space="preserve"> </w:t>
      </w:r>
      <w:r w:rsidR="001111B5">
        <w:rPr>
          <w:b/>
          <w:bCs/>
          <w:lang w:val="sl-SI"/>
        </w:rPr>
        <w:t xml:space="preserve">pomoč ob rojstvu otroka, </w:t>
      </w:r>
      <w:r w:rsidR="00723F3F">
        <w:rPr>
          <w:b/>
          <w:bCs/>
          <w:lang w:val="sl-SI"/>
        </w:rPr>
        <w:t xml:space="preserve">štipendije sklada, </w:t>
      </w:r>
      <w:r w:rsidR="0038610B">
        <w:rPr>
          <w:b/>
          <w:bCs/>
          <w:lang w:val="sl-SI"/>
        </w:rPr>
        <w:t xml:space="preserve">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4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38610B" w:rsidRPr="000C1CA9">
        <w:rPr>
          <w:lang w:val="sl-SI"/>
        </w:rPr>
        <w:t xml:space="preserve"> </w:t>
      </w:r>
      <w:r w:rsidR="003B509A">
        <w:rPr>
          <w:lang w:val="sl-SI"/>
        </w:rPr>
        <w:t xml:space="preserve">dodatek za veliko družino, </w:t>
      </w:r>
      <w:r w:rsidR="006F7A9B" w:rsidRPr="000C1CA9">
        <w:rPr>
          <w:lang w:val="sl-SI"/>
        </w:rPr>
        <w:t xml:space="preserve">rejnine, </w:t>
      </w:r>
      <w:r w:rsidR="008619D0" w:rsidRPr="000C1CA9">
        <w:rPr>
          <w:lang w:val="sl-SI"/>
        </w:rPr>
        <w:t>starševski dodatek</w:t>
      </w:r>
      <w:r w:rsidR="006F7A9B" w:rsidRPr="000C1CA9">
        <w:rPr>
          <w:lang w:val="sl-SI"/>
        </w:rPr>
        <w:t xml:space="preserve">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7B6999">
        <w:rPr>
          <w:b/>
          <w:bCs/>
          <w:lang w:val="sl-SI"/>
        </w:rPr>
        <w:t>treh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7B6999">
        <w:rPr>
          <w:b/>
          <w:bCs/>
          <w:lang w:val="sl-SI"/>
        </w:rPr>
        <w:t>osmih</w:t>
      </w:r>
      <w:r w:rsidR="002859AF">
        <w:rPr>
          <w:b/>
          <w:bCs/>
          <w:lang w:val="sl-SI"/>
        </w:rPr>
        <w:t xml:space="preserve"> 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1B54DD">
        <w:rPr>
          <w:lang w:val="sl-SI"/>
        </w:rPr>
        <w:t xml:space="preserve">dodatek za veliko družino, </w:t>
      </w:r>
      <w:r w:rsidR="00B72DE4" w:rsidRPr="00C86416">
        <w:rPr>
          <w:lang w:val="sl-SI"/>
        </w:rPr>
        <w:t>plačilo prispevkov (4 ali več otrok)</w:t>
      </w:r>
      <w:r w:rsidR="00B72DE4">
        <w:rPr>
          <w:lang w:val="sl-SI"/>
        </w:rPr>
        <w:t xml:space="preserve">, </w:t>
      </w:r>
      <w:r w:rsidR="007B6999">
        <w:rPr>
          <w:lang w:val="sl-SI"/>
        </w:rPr>
        <w:t xml:space="preserve">pomoč ob rojstvu otroka, </w:t>
      </w:r>
      <w:r w:rsidR="006538CE">
        <w:rPr>
          <w:lang w:val="sl-SI"/>
        </w:rPr>
        <w:t xml:space="preserve">rejnine, </w:t>
      </w:r>
      <w:r w:rsidR="00497393" w:rsidRPr="00C86416">
        <w:rPr>
          <w:lang w:val="sl-SI"/>
        </w:rPr>
        <w:t>starševski dodatek</w:t>
      </w:r>
      <w:r w:rsidR="001B54DD">
        <w:rPr>
          <w:lang w:val="sl-SI"/>
        </w:rPr>
        <w:t>, štipendije sklada,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218AF5E1" w:rsidR="00CD7D68" w:rsidRPr="00C86416" w:rsidRDefault="006A389E" w:rsidP="006A389E">
      <w:pPr>
        <w:pStyle w:val="BodyText"/>
        <w:rPr>
          <w:lang w:val="sl-SI"/>
        </w:rPr>
      </w:pPr>
      <w:r w:rsidRPr="00C86416">
        <w:rPr>
          <w:b/>
          <w:bCs/>
          <w:lang w:val="sl-SI"/>
        </w:rPr>
        <w:t xml:space="preserve">Pri </w:t>
      </w:r>
      <w:r w:rsidR="005D6C61">
        <w:rPr>
          <w:b/>
          <w:bCs/>
          <w:lang w:val="sl-SI"/>
        </w:rPr>
        <w:t xml:space="preserve">sedmih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C713EA">
        <w:rPr>
          <w:b/>
          <w:bCs/>
          <w:lang w:val="sl-SI"/>
        </w:rPr>
        <w:t>marcu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 xml:space="preserve">osebna </w:t>
      </w:r>
      <w:r w:rsidRPr="00C86416">
        <w:rPr>
          <w:lang w:val="sl-SI"/>
        </w:rPr>
        <w:lastRenderedPageBreak/>
        <w:t>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pravici</w:t>
      </w:r>
      <w:r w:rsidR="005D6C61">
        <w:rPr>
          <w:lang w:val="sl-SI"/>
        </w:rPr>
        <w:t xml:space="preserve"> </w:t>
      </w:r>
      <w:r w:rsidR="00F14CCC">
        <w:rPr>
          <w:lang w:val="sl-SI"/>
        </w:rPr>
        <w:t>posmrt</w:t>
      </w:r>
      <w:r w:rsidR="000C1CA9">
        <w:rPr>
          <w:lang w:val="sl-SI"/>
        </w:rPr>
        <w:t>n</w:t>
      </w:r>
      <w:r w:rsidR="00F14CCC">
        <w:rPr>
          <w:lang w:val="sl-SI"/>
        </w:rPr>
        <w:t xml:space="preserve">ine in pogrebnine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805869">
        <w:rPr>
          <w:lang w:val="sl-SI"/>
        </w:rPr>
        <w:t xml:space="preserve">pa </w:t>
      </w:r>
      <w:r w:rsidRPr="00C86416">
        <w:rPr>
          <w:lang w:val="sl-SI"/>
        </w:rPr>
        <w:t>niso dokončni, saj je ti pravici mogoče uveljavljati še 1 leto po smrti osebe.</w:t>
      </w:r>
      <w:r w:rsidR="0021001C">
        <w:rPr>
          <w:lang w:val="sl-SI"/>
        </w:rPr>
        <w:t xml:space="preserve"> </w:t>
      </w:r>
    </w:p>
    <w:p w14:paraId="452DDE70" w14:textId="7109CA0B"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FB309B">
        <w:rPr>
          <w:b/>
          <w:bCs/>
          <w:lang w:val="sl-SI"/>
        </w:rPr>
        <w:t>štirih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FB309B">
        <w:rPr>
          <w:b/>
          <w:bCs/>
          <w:lang w:val="sl-SI"/>
        </w:rPr>
        <w:t>marcu</w:t>
      </w:r>
      <w:r w:rsidR="00AE724A">
        <w:rPr>
          <w:b/>
          <w:bCs/>
          <w:lang w:val="sl-SI"/>
        </w:rPr>
        <w:t xml:space="preserve">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osebna asistenca/komunikacijski dodatek</w:t>
      </w:r>
      <w:r w:rsidR="00FB309B">
        <w:rPr>
          <w:lang w:val="sl-SI"/>
        </w:rPr>
        <w:t xml:space="preserve"> in</w:t>
      </w:r>
      <w:r w:rsidRPr="00B921DA">
        <w:rPr>
          <w:lang w:val="sl-SI"/>
        </w:rPr>
        <w:t xml:space="preserve"> </w:t>
      </w:r>
      <w:r w:rsidR="003B791D" w:rsidRPr="00B921DA">
        <w:rPr>
          <w:lang w:val="sl-SI"/>
        </w:rPr>
        <w:t>osebna asistenca</w:t>
      </w:r>
      <w:r w:rsidR="00AE724A">
        <w:rPr>
          <w:lang w:val="sl-SI"/>
        </w:rPr>
        <w:t xml:space="preserve"> </w:t>
      </w:r>
      <w:r w:rsidR="00C36417" w:rsidRPr="00B921DA">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5808A7" w:rsidRPr="00B921DA">
        <w:rPr>
          <w:lang w:val="sl-SI"/>
        </w:rPr>
        <w:t xml:space="preserve">Podatki za pogrebnine in posmrtnine še niso dokončni.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 xml:space="preserve">ah: </w:t>
      </w:r>
      <w:r w:rsidRPr="00041218">
        <w:rPr>
          <w:b/>
          <w:bCs/>
          <w:lang w:val="sl-SI"/>
        </w:rPr>
        <w:t>oprostit</w:t>
      </w:r>
      <w:r w:rsidR="00F06C09">
        <w:rPr>
          <w:b/>
          <w:bCs/>
          <w:lang w:val="sl-SI"/>
        </w:rPr>
        <w:t>e</w:t>
      </w:r>
      <w:r w:rsidR="006B0992">
        <w:rPr>
          <w:b/>
          <w:bCs/>
          <w:lang w:val="sl-SI"/>
        </w:rPr>
        <w:t>v</w:t>
      </w:r>
      <w:r w:rsidRPr="00041218">
        <w:rPr>
          <w:b/>
          <w:bCs/>
          <w:lang w:val="sl-SI"/>
        </w:rPr>
        <w:t xml:space="preserve"> plačila </w:t>
      </w:r>
      <w:r w:rsidR="00B02332" w:rsidRPr="00041218">
        <w:rPr>
          <w:b/>
          <w:bCs/>
          <w:lang w:val="sl-SI"/>
        </w:rPr>
        <w:t>socialnovarstvenih</w:t>
      </w:r>
      <w:r w:rsidRPr="00041218">
        <w:rPr>
          <w:b/>
          <w:bCs/>
          <w:lang w:val="sl-SI"/>
        </w:rPr>
        <w:t xml:space="preserve"> storitev</w:t>
      </w:r>
      <w:r w:rsidR="00AE724A" w:rsidRPr="00041218">
        <w:rPr>
          <w:b/>
          <w:bCs/>
          <w:lang w:val="sl-SI"/>
        </w:rPr>
        <w:t xml:space="preserve">, </w:t>
      </w:r>
      <w:r w:rsidR="00FB309B" w:rsidRPr="00FB309B">
        <w:rPr>
          <w:b/>
          <w:bCs/>
          <w:lang w:val="sl-SI"/>
        </w:rPr>
        <w:t>dodatek za nego otroka,</w:t>
      </w:r>
      <w:r w:rsidR="00FB309B">
        <w:rPr>
          <w:lang w:val="sl-SI"/>
        </w:rPr>
        <w:t xml:space="preserve"> </w:t>
      </w:r>
      <w:r w:rsidR="00AE724A" w:rsidRPr="00041218">
        <w:rPr>
          <w:b/>
          <w:bCs/>
          <w:lang w:val="sl-SI"/>
        </w:rPr>
        <w:t>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 plačil</w:t>
      </w:r>
      <w:r w:rsidR="00F06C09">
        <w:rPr>
          <w:b/>
          <w:bCs/>
          <w:lang w:val="sl-SI"/>
        </w:rPr>
        <w:t>o</w:t>
      </w:r>
      <w:r w:rsidR="00AE724A" w:rsidRPr="00041218">
        <w:rPr>
          <w:b/>
          <w:bCs/>
          <w:lang w:val="sl-SI"/>
        </w:rPr>
        <w:t xml:space="preserve"> prispevka za osnovno zdravstveno zavarovanje in pravic</w:t>
      </w:r>
      <w:r w:rsidR="00F06C09">
        <w:rPr>
          <w:b/>
          <w:bCs/>
          <w:lang w:val="sl-SI"/>
        </w:rPr>
        <w:t>a</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68DA49AB" w:rsidR="00D80BA2" w:rsidRDefault="006A389E" w:rsidP="006A389E">
      <w:pPr>
        <w:pStyle w:val="BodyText"/>
        <w:rPr>
          <w:b/>
          <w:bCs/>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w:t>
      </w:r>
      <w:r w:rsidRPr="00B921DA">
        <w:rPr>
          <w:b/>
          <w:lang w:val="sl-SI"/>
        </w:rPr>
        <w:t>vplival</w:t>
      </w:r>
      <w:r w:rsidR="00B52521" w:rsidRPr="00B921DA">
        <w:rPr>
          <w:b/>
          <w:lang w:val="sl-SI"/>
        </w:rPr>
        <w:t>e</w:t>
      </w:r>
      <w:r w:rsidR="002F34C0">
        <w:rPr>
          <w:b/>
          <w:lang w:val="sl-SI"/>
        </w:rPr>
        <w:t xml:space="preserve"> </w:t>
      </w:r>
      <w:r w:rsidR="00B52521" w:rsidRPr="00B921DA">
        <w:rPr>
          <w:b/>
          <w:lang w:val="sl-SI"/>
        </w:rPr>
        <w:t xml:space="preserve">poplave </w:t>
      </w:r>
      <w:r w:rsidR="002F34C0">
        <w:rPr>
          <w:b/>
          <w:lang w:val="sl-SI"/>
        </w:rPr>
        <w:t>(</w:t>
      </w:r>
      <w:r w:rsidR="00B52521" w:rsidRPr="00B921DA">
        <w:rPr>
          <w:b/>
          <w:lang w:val="sl-SI"/>
        </w:rPr>
        <w:t xml:space="preserve">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853D2D">
        <w:rPr>
          <w:lang w:val="sl-SI"/>
        </w:rPr>
        <w:t>marcu</w:t>
      </w:r>
      <w:r w:rsidR="00DE17EF">
        <w:rPr>
          <w:lang w:val="sl-SI"/>
        </w:rPr>
        <w:t xml:space="preserve"> </w:t>
      </w:r>
      <w:r w:rsidR="00101D9D">
        <w:rPr>
          <w:lang w:val="sl-SI"/>
        </w:rPr>
        <w:t xml:space="preserve">2025 </w:t>
      </w:r>
      <w:r w:rsidR="00DE17EF">
        <w:rPr>
          <w:lang w:val="sl-SI"/>
        </w:rPr>
        <w:t xml:space="preserve">so bili izdatki medletno višji pri </w:t>
      </w:r>
      <w:r w:rsidR="00853D2D">
        <w:rPr>
          <w:lang w:val="sl-SI"/>
        </w:rPr>
        <w:t>subvenciji najemnine</w:t>
      </w:r>
      <w:r w:rsidR="00D80BA2">
        <w:rPr>
          <w:lang w:val="sl-SI"/>
        </w:rPr>
        <w:t xml:space="preserve">. </w:t>
      </w:r>
    </w:p>
    <w:p w14:paraId="4160D766" w14:textId="7660ACD1" w:rsidR="006A389E" w:rsidRPr="00C86416" w:rsidRDefault="00BC340B" w:rsidP="006A389E">
      <w:pPr>
        <w:pStyle w:val="BodyText"/>
        <w:rPr>
          <w:lang w:val="sl-SI"/>
        </w:rPr>
      </w:pPr>
      <w:r>
        <w:rPr>
          <w:b/>
          <w:bCs/>
          <w:lang w:val="sl-SI"/>
        </w:rPr>
        <w:t xml:space="preserve">V mesecu </w:t>
      </w:r>
      <w:r w:rsidR="00FB309B">
        <w:rPr>
          <w:b/>
          <w:bCs/>
          <w:lang w:val="sl-SI"/>
        </w:rPr>
        <w:t>marcu</w:t>
      </w:r>
      <w:r>
        <w:rPr>
          <w:b/>
          <w:bCs/>
          <w:lang w:val="sl-SI"/>
        </w:rPr>
        <w:t xml:space="preserve"> je bilo š</w:t>
      </w:r>
      <w:r w:rsidRPr="00C86416">
        <w:rPr>
          <w:b/>
          <w:bCs/>
          <w:lang w:val="sl-SI"/>
        </w:rPr>
        <w:t xml:space="preserve">tevilo upravičencev medletno </w:t>
      </w:r>
      <w:r w:rsidR="00E71E35">
        <w:rPr>
          <w:b/>
          <w:bCs/>
          <w:lang w:val="sl-SI"/>
        </w:rPr>
        <w:t>nižje</w:t>
      </w:r>
      <w:r>
        <w:rPr>
          <w:b/>
          <w:bCs/>
          <w:lang w:val="sl-SI"/>
        </w:rPr>
        <w:t xml:space="preserve"> </w:t>
      </w:r>
      <w:r w:rsidR="002F34C0">
        <w:rPr>
          <w:b/>
          <w:bCs/>
          <w:lang w:val="sl-SI"/>
        </w:rPr>
        <w:t xml:space="preserve">za </w:t>
      </w:r>
      <w:r w:rsidR="00AD4E66">
        <w:rPr>
          <w:b/>
          <w:bCs/>
          <w:lang w:val="sl-SI"/>
        </w:rPr>
        <w:t xml:space="preserve">izredna denarna pomoč </w:t>
      </w:r>
      <w:r w:rsidR="00E71E35">
        <w:rPr>
          <w:b/>
          <w:bCs/>
          <w:lang w:val="sl-SI"/>
        </w:rPr>
        <w:t>-</w:t>
      </w:r>
      <w:r w:rsidR="00AD4E66">
        <w:rPr>
          <w:b/>
          <w:bCs/>
          <w:lang w:val="sl-SI"/>
        </w:rPr>
        <w:t>1</w:t>
      </w:r>
      <w:r w:rsidR="00E71E35">
        <w:rPr>
          <w:b/>
          <w:bCs/>
          <w:lang w:val="sl-SI"/>
        </w:rPr>
        <w:t>0</w:t>
      </w:r>
      <w:r w:rsidR="00AD4E66">
        <w:rPr>
          <w:b/>
          <w:bCs/>
          <w:lang w:val="sl-SI"/>
        </w:rPr>
        <w:t>,</w:t>
      </w:r>
      <w:r w:rsidR="00E71E35">
        <w:rPr>
          <w:b/>
          <w:bCs/>
          <w:lang w:val="sl-SI"/>
        </w:rPr>
        <w:t>2</w:t>
      </w:r>
      <w:r w:rsidR="00AD4E66">
        <w:rPr>
          <w:b/>
          <w:bCs/>
          <w:lang w:val="sl-SI"/>
        </w:rPr>
        <w:t> %</w:t>
      </w:r>
      <w:r w:rsidR="00553A98">
        <w:rPr>
          <w:b/>
          <w:bCs/>
          <w:lang w:val="sl-SI"/>
        </w:rPr>
        <w:t xml:space="preserve">, </w:t>
      </w:r>
      <w:r w:rsidR="00AD4E66" w:rsidRPr="00C86416">
        <w:rPr>
          <w:b/>
          <w:bCs/>
          <w:lang w:val="sl-SI"/>
        </w:rPr>
        <w:t>subvencij</w:t>
      </w:r>
      <w:r w:rsidR="00AD4E66">
        <w:rPr>
          <w:b/>
          <w:bCs/>
          <w:lang w:val="sl-SI"/>
        </w:rPr>
        <w:t>a</w:t>
      </w:r>
      <w:r w:rsidR="00AD4E66" w:rsidRPr="00C86416">
        <w:rPr>
          <w:b/>
          <w:bCs/>
          <w:lang w:val="sl-SI"/>
        </w:rPr>
        <w:t xml:space="preserve"> najemnin</w:t>
      </w:r>
      <w:r w:rsidR="00AD4E66">
        <w:rPr>
          <w:b/>
          <w:bCs/>
          <w:lang w:val="sl-SI"/>
        </w:rPr>
        <w:t xml:space="preserve">e -0,3 % in </w:t>
      </w:r>
      <w:r>
        <w:rPr>
          <w:b/>
          <w:bCs/>
          <w:lang w:val="sl-SI"/>
        </w:rPr>
        <w:t xml:space="preserve">denarna </w:t>
      </w:r>
      <w:r w:rsidR="00AD4E66">
        <w:rPr>
          <w:b/>
          <w:bCs/>
          <w:lang w:val="sl-SI"/>
        </w:rPr>
        <w:t xml:space="preserve">socialna </w:t>
      </w:r>
      <w:r>
        <w:rPr>
          <w:b/>
          <w:bCs/>
          <w:lang w:val="sl-SI"/>
        </w:rPr>
        <w:t>pomoč -</w:t>
      </w:r>
      <w:r w:rsidR="00AD4E66">
        <w:rPr>
          <w:b/>
          <w:bCs/>
          <w:lang w:val="sl-SI"/>
        </w:rPr>
        <w:t>2,7</w:t>
      </w:r>
      <w:r>
        <w:rPr>
          <w:b/>
          <w:bCs/>
          <w:lang w:val="sl-SI"/>
        </w:rPr>
        <w:t xml:space="preserve"> %.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r w:rsidR="00327BB0" w:rsidRPr="00041218">
        <w:rPr>
          <w:lang w:val="sl-SI"/>
        </w:rPr>
        <w:t xml:space="preserve"> %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 xml:space="preserve">. </w:t>
      </w:r>
      <w:r w:rsidR="0041229C">
        <w:rPr>
          <w:lang w:val="sl-SI"/>
        </w:rPr>
        <w:t xml:space="preserve">V </w:t>
      </w:r>
      <w:r w:rsidR="00553A98">
        <w:rPr>
          <w:lang w:val="sl-SI"/>
        </w:rPr>
        <w:t>marcu</w:t>
      </w:r>
      <w:r w:rsidR="0041229C" w:rsidRPr="0041229C">
        <w:rPr>
          <w:lang w:val="sl-SI"/>
        </w:rPr>
        <w:t xml:space="preserve"> 2025 je bilo do denarne socialne pomoči upravičenih </w:t>
      </w:r>
      <w:r w:rsidRPr="0041229C">
        <w:rPr>
          <w:lang w:val="sl-SI"/>
        </w:rPr>
        <w:t>71.</w:t>
      </w:r>
      <w:r w:rsidR="00907DC5">
        <w:rPr>
          <w:lang w:val="sl-SI"/>
        </w:rPr>
        <w:t>930</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 xml:space="preserve">najnižje </w:t>
      </w:r>
      <w:r w:rsidR="007F69FF" w:rsidRPr="008A3E47">
        <w:rPr>
          <w:lang w:val="sl-SI"/>
        </w:rPr>
        <w:t>v zadnjih osmih letih</w:t>
      </w:r>
      <w:r w:rsidR="00CD060C" w:rsidRPr="008A3E47">
        <w:rPr>
          <w:lang w:val="sl-SI"/>
        </w:rPr>
        <w:t xml:space="preserve"> </w:t>
      </w:r>
      <w:r w:rsidR="007F69FF" w:rsidRPr="008A3E47">
        <w:rPr>
          <w:lang w:val="sl-SI"/>
        </w:rPr>
        <w:t xml:space="preserve">in nižje </w:t>
      </w:r>
      <w:r w:rsidR="001E5FCF" w:rsidRPr="008A3E47">
        <w:rPr>
          <w:lang w:val="sl-SI"/>
        </w:rPr>
        <w:t xml:space="preserve">kot </w:t>
      </w:r>
      <w:r w:rsidR="00A4711C" w:rsidRPr="008A3E47">
        <w:rPr>
          <w:lang w:val="sl-SI"/>
        </w:rPr>
        <w:t>v letu 2018</w:t>
      </w:r>
      <w:r w:rsidR="001F62C1" w:rsidRPr="008A3E47">
        <w:rPr>
          <w:lang w:val="sl-SI"/>
        </w:rPr>
        <w:t>,</w:t>
      </w:r>
      <w:r w:rsidR="00A4711C" w:rsidRPr="008A3E47">
        <w:rPr>
          <w:lang w:val="sl-SI"/>
        </w:rPr>
        <w:t xml:space="preserve"> pred</w:t>
      </w:r>
      <w:r w:rsidR="00AD73A4" w:rsidRPr="008A3E47">
        <w:rPr>
          <w:lang w:val="sl-SI"/>
        </w:rPr>
        <w:t>e</w:t>
      </w:r>
      <w:r w:rsidR="00A4711C" w:rsidRPr="008A3E47">
        <w:rPr>
          <w:lang w:val="sl-SI"/>
        </w:rPr>
        <w:t xml:space="preserve">n se je </w:t>
      </w:r>
      <w:r w:rsidR="00FF2D63" w:rsidRPr="008A3E47">
        <w:rPr>
          <w:lang w:val="sl-SI"/>
        </w:rPr>
        <w:t xml:space="preserve">OZMD </w:t>
      </w:r>
      <w:r w:rsidR="00A4711C" w:rsidRPr="008A3E47">
        <w:rPr>
          <w:lang w:val="sl-SI"/>
        </w:rPr>
        <w:t>povišal za 30</w:t>
      </w:r>
      <w:r w:rsidR="007F69FF" w:rsidRPr="008A3E47">
        <w:rPr>
          <w:lang w:val="sl-SI"/>
        </w:rPr>
        <w:t xml:space="preserve"> </w:t>
      </w:r>
      <w:r w:rsidR="00A4711C" w:rsidRPr="008A3E47">
        <w:rPr>
          <w:lang w:val="sl-SI"/>
        </w:rPr>
        <w:t>odstotko</w:t>
      </w:r>
      <w:r w:rsidR="001F62C1" w:rsidRPr="008A3E47">
        <w:rPr>
          <w:lang w:val="sl-SI"/>
        </w:rPr>
        <w:t>v</w:t>
      </w:r>
      <w:r w:rsidR="00CD060C" w:rsidRPr="008A3E47">
        <w:rPr>
          <w:lang w:val="sl-SI"/>
        </w:rPr>
        <w:t xml:space="preserve"> (</w:t>
      </w:r>
      <w:r w:rsidR="008463D2" w:rsidRPr="008A3E47">
        <w:rPr>
          <w:lang w:val="sl-SI"/>
        </w:rPr>
        <w:t>S</w:t>
      </w:r>
      <w:r w:rsidR="00CD060C" w:rsidRPr="008A3E47">
        <w:rPr>
          <w:lang w:val="sl-SI"/>
        </w:rPr>
        <w:t xml:space="preserve">lika 2 v </w:t>
      </w:r>
      <w:r w:rsidR="00D80BA2" w:rsidRPr="008A3E47">
        <w:rPr>
          <w:lang w:val="sl-SI"/>
        </w:rPr>
        <w:t>S</w:t>
      </w:r>
      <w:r w:rsidR="00CD060C" w:rsidRPr="008A3E47">
        <w:rPr>
          <w:lang w:val="sl-SI"/>
        </w:rPr>
        <w:t>tatistični prilogi)</w:t>
      </w:r>
      <w:r w:rsidR="00A4711C" w:rsidRPr="008A3E47">
        <w:rPr>
          <w:lang w:val="sl-SI"/>
        </w:rPr>
        <w:t xml:space="preserve">. </w:t>
      </w:r>
      <w:r w:rsidR="00A4711C" w:rsidRPr="008A3E47">
        <w:rPr>
          <w:b/>
          <w:bCs/>
          <w:lang w:val="sl-SI"/>
        </w:rPr>
        <w:t xml:space="preserve">V </w:t>
      </w:r>
      <w:r w:rsidR="003C74B4" w:rsidRPr="008A3E47">
        <w:rPr>
          <w:b/>
          <w:bCs/>
          <w:lang w:val="sl-SI"/>
        </w:rPr>
        <w:t xml:space="preserve">marcu </w:t>
      </w:r>
      <w:r w:rsidRPr="008A3E47">
        <w:rPr>
          <w:b/>
          <w:bCs/>
          <w:lang w:val="sl-SI"/>
        </w:rPr>
        <w:t xml:space="preserve">2025 </w:t>
      </w:r>
      <w:r w:rsidR="001F62C1" w:rsidRPr="008A3E47">
        <w:rPr>
          <w:b/>
          <w:bCs/>
          <w:lang w:val="sl-SI"/>
        </w:rPr>
        <w:t>je bilo</w:t>
      </w:r>
      <w:r w:rsidR="00A4711C" w:rsidRPr="008A3E47">
        <w:rPr>
          <w:b/>
          <w:bCs/>
          <w:lang w:val="sl-SI"/>
        </w:rPr>
        <w:t xml:space="preserve"> med upravičenc</w:t>
      </w:r>
      <w:r w:rsidR="001F62C1" w:rsidRPr="008A3E47">
        <w:rPr>
          <w:b/>
          <w:bCs/>
          <w:lang w:val="sl-SI"/>
        </w:rPr>
        <w:t>i</w:t>
      </w:r>
      <w:r w:rsidR="00A4711C" w:rsidRPr="008A3E47">
        <w:rPr>
          <w:b/>
          <w:bCs/>
          <w:lang w:val="sl-SI"/>
        </w:rPr>
        <w:t xml:space="preserve"> do denarne socialne pom</w:t>
      </w:r>
      <w:r w:rsidR="001F62C1" w:rsidRPr="008A3E47">
        <w:rPr>
          <w:b/>
          <w:bCs/>
          <w:lang w:val="sl-SI"/>
        </w:rPr>
        <w:t>oči</w:t>
      </w:r>
      <w:r w:rsidR="006A389E" w:rsidRPr="008A3E47">
        <w:rPr>
          <w:b/>
          <w:bCs/>
          <w:lang w:val="sl-SI"/>
        </w:rPr>
        <w:t xml:space="preserve"> </w:t>
      </w:r>
      <w:r w:rsidR="00DA39E8" w:rsidRPr="008A3E47">
        <w:rPr>
          <w:b/>
          <w:bCs/>
          <w:lang w:val="sl-SI"/>
        </w:rPr>
        <w:t>1</w:t>
      </w:r>
      <w:r w:rsidR="003C74B4" w:rsidRPr="008A3E47">
        <w:rPr>
          <w:b/>
          <w:bCs/>
          <w:lang w:val="sl-SI"/>
        </w:rPr>
        <w:t>8,9</w:t>
      </w:r>
      <w:r w:rsidR="000C01F7" w:rsidRPr="008A3E47">
        <w:rPr>
          <w:b/>
          <w:bCs/>
          <w:lang w:val="sl-SI"/>
        </w:rPr>
        <w:t xml:space="preserve"> tisoč</w:t>
      </w:r>
      <w:r w:rsidR="00E36213" w:rsidRPr="008A3E47">
        <w:rPr>
          <w:b/>
          <w:bCs/>
          <w:lang w:val="sl-SI"/>
        </w:rPr>
        <w:t xml:space="preserve"> </w:t>
      </w:r>
      <w:r w:rsidR="006A389E" w:rsidRPr="008A3E47">
        <w:rPr>
          <w:b/>
          <w:bCs/>
          <w:lang w:val="sl-SI"/>
        </w:rPr>
        <w:t>registrirano brezposelnih</w:t>
      </w:r>
      <w:r w:rsidR="00CE2D8E" w:rsidRPr="008A3E47">
        <w:rPr>
          <w:b/>
          <w:bCs/>
          <w:lang w:val="sl-SI"/>
        </w:rPr>
        <w:t xml:space="preserve"> (</w:t>
      </w:r>
      <w:r w:rsidR="00CB71E4" w:rsidRPr="008A3E47">
        <w:rPr>
          <w:b/>
          <w:bCs/>
          <w:lang w:val="sl-SI"/>
        </w:rPr>
        <w:t>26,</w:t>
      </w:r>
      <w:r w:rsidR="00F5241C">
        <w:rPr>
          <w:b/>
          <w:bCs/>
          <w:lang w:val="sl-SI"/>
        </w:rPr>
        <w:t>3</w:t>
      </w:r>
      <w:r w:rsidR="00CB71E4" w:rsidRPr="008A3E47">
        <w:rPr>
          <w:b/>
          <w:bCs/>
          <w:lang w:val="sl-SI"/>
        </w:rPr>
        <w:t> </w:t>
      </w:r>
      <w:r w:rsidR="00CE2D8E" w:rsidRPr="008A3E47">
        <w:rPr>
          <w:b/>
          <w:bCs/>
          <w:lang w:val="sl-SI"/>
        </w:rPr>
        <w:t>% od vseh upravičencev denarne socialne pomoči</w:t>
      </w:r>
      <w:r w:rsidR="00A03C9C" w:rsidRPr="008A3E47">
        <w:rPr>
          <w:b/>
          <w:bCs/>
          <w:lang w:val="sl-SI"/>
        </w:rPr>
        <w:t>, oz.</w:t>
      </w:r>
      <w:r w:rsidR="00350D82" w:rsidRPr="008A3E47">
        <w:rPr>
          <w:b/>
          <w:bCs/>
          <w:lang w:val="sl-SI"/>
        </w:rPr>
        <w:t xml:space="preserve"> </w:t>
      </w:r>
      <w:r w:rsidR="003C74B4" w:rsidRPr="008A3E47">
        <w:rPr>
          <w:b/>
          <w:bCs/>
          <w:lang w:val="sl-SI"/>
        </w:rPr>
        <w:t>41,3</w:t>
      </w:r>
      <w:r w:rsidR="00D35167" w:rsidRPr="008A3E47">
        <w:rPr>
          <w:b/>
          <w:bCs/>
          <w:lang w:val="sl-SI"/>
        </w:rPr>
        <w:t xml:space="preserve"> </w:t>
      </w:r>
      <w:r w:rsidR="00350D82" w:rsidRPr="008A3E47">
        <w:rPr>
          <w:b/>
          <w:bCs/>
          <w:lang w:val="sl-SI"/>
        </w:rPr>
        <w:t xml:space="preserve">% od vseh </w:t>
      </w:r>
      <w:r w:rsidR="00A03C9C" w:rsidRPr="008A3E47">
        <w:rPr>
          <w:b/>
          <w:bCs/>
          <w:lang w:val="sl-SI"/>
        </w:rPr>
        <w:t xml:space="preserve">registriranih </w:t>
      </w:r>
      <w:r w:rsidR="00350D82" w:rsidRPr="008A3E47">
        <w:rPr>
          <w:b/>
          <w:bCs/>
          <w:lang w:val="sl-SI"/>
        </w:rPr>
        <w:t>brezposelni</w:t>
      </w:r>
      <w:r w:rsidR="00A03C9C" w:rsidRPr="008A3E47">
        <w:rPr>
          <w:b/>
          <w:bCs/>
          <w:lang w:val="sl-SI"/>
        </w:rPr>
        <w:t>h</w:t>
      </w:r>
      <w:r w:rsidR="00CE2D8E" w:rsidRPr="008A3E47">
        <w:rPr>
          <w:b/>
          <w:bCs/>
          <w:lang w:val="sl-SI"/>
        </w:rPr>
        <w:t>)</w:t>
      </w:r>
      <w:r w:rsidR="00CA0383" w:rsidRPr="008A3E47">
        <w:rPr>
          <w:b/>
          <w:bCs/>
          <w:lang w:val="sl-SI"/>
        </w:rPr>
        <w:t xml:space="preserve"> </w:t>
      </w:r>
      <w:r w:rsidR="00CA0383" w:rsidRPr="008A3E47">
        <w:rPr>
          <w:lang w:val="sl-SI"/>
        </w:rPr>
        <w:t>(Tabela</w:t>
      </w:r>
      <w:r w:rsidR="00F5241C">
        <w:rPr>
          <w:lang w:val="sl-SI"/>
        </w:rPr>
        <w:t> </w:t>
      </w:r>
      <w:r w:rsidR="00CA0383" w:rsidRPr="008A3E47">
        <w:rPr>
          <w:lang w:val="sl-SI"/>
        </w:rPr>
        <w:t xml:space="preserve">2 v </w:t>
      </w:r>
      <w:r w:rsidR="00D80BA2" w:rsidRPr="008A3E47">
        <w:rPr>
          <w:lang w:val="sl-SI"/>
        </w:rPr>
        <w:t>S</w:t>
      </w:r>
      <w:r w:rsidR="00CA0383" w:rsidRPr="008A3E47">
        <w:rPr>
          <w:lang w:val="sl-SI"/>
        </w:rPr>
        <w:t>tatistični prilogi)</w:t>
      </w:r>
      <w:r w:rsidR="006A389E" w:rsidRPr="008A3E47">
        <w:rPr>
          <w:lang w:val="sl-SI"/>
        </w:rPr>
        <w:t xml:space="preserve">. </w:t>
      </w:r>
      <w:r w:rsidR="00DA39E8" w:rsidRPr="008A3E47">
        <w:rPr>
          <w:b/>
          <w:bCs/>
          <w:lang w:val="sl-SI"/>
        </w:rPr>
        <w:t>Na</w:t>
      </w:r>
      <w:r w:rsidR="006A389E" w:rsidRPr="008A3E47">
        <w:rPr>
          <w:b/>
          <w:bCs/>
          <w:lang w:val="sl-SI"/>
        </w:rPr>
        <w:t>jveč registrirano brezposelnih oseb, ki so prejemali DSP</w:t>
      </w:r>
      <w:r w:rsidR="00CB71E4" w:rsidRPr="008A3E47">
        <w:rPr>
          <w:b/>
          <w:bCs/>
          <w:lang w:val="sl-SI"/>
        </w:rPr>
        <w:t>,</w:t>
      </w:r>
      <w:r w:rsidR="006A389E" w:rsidRPr="008A3E47">
        <w:rPr>
          <w:b/>
          <w:bCs/>
          <w:lang w:val="sl-SI"/>
        </w:rPr>
        <w:t xml:space="preserve"> je bilo starih </w:t>
      </w:r>
      <w:r w:rsidR="001E5FCF" w:rsidRPr="008A3E47">
        <w:rPr>
          <w:b/>
          <w:bCs/>
          <w:lang w:val="sl-SI"/>
        </w:rPr>
        <w:t>35-44</w:t>
      </w:r>
      <w:r w:rsidR="006A389E" w:rsidRPr="008A3E47">
        <w:rPr>
          <w:b/>
          <w:bCs/>
          <w:lang w:val="sl-SI"/>
        </w:rPr>
        <w:t xml:space="preserve"> let, največji delež registrirano brezposelnih med upravičenci do DSP pa je bilo v starostni skupini 26-</w:t>
      </w:r>
      <w:r w:rsidR="00B02332" w:rsidRPr="008A3E47">
        <w:rPr>
          <w:b/>
          <w:bCs/>
          <w:lang w:val="sl-SI"/>
        </w:rPr>
        <w:t>34</w:t>
      </w:r>
      <w:r w:rsidR="007F69FF" w:rsidRPr="008A3E47">
        <w:rPr>
          <w:b/>
          <w:bCs/>
          <w:lang w:val="sl-SI"/>
        </w:rPr>
        <w:t xml:space="preserve"> let</w:t>
      </w:r>
      <w:r w:rsidR="00B02332" w:rsidRPr="008A3E47">
        <w:rPr>
          <w:b/>
          <w:bCs/>
          <w:lang w:val="sl-SI"/>
        </w:rPr>
        <w:t xml:space="preserve"> </w:t>
      </w:r>
      <w:r w:rsidR="001E5FCF" w:rsidRPr="008A3E47">
        <w:rPr>
          <w:b/>
          <w:bCs/>
          <w:lang w:val="sl-SI"/>
        </w:rPr>
        <w:t>(</w:t>
      </w:r>
      <w:r w:rsidR="0014218F" w:rsidRPr="008A3E47">
        <w:rPr>
          <w:b/>
          <w:bCs/>
          <w:lang w:val="sl-SI"/>
        </w:rPr>
        <w:t>49,2</w:t>
      </w:r>
      <w:r w:rsidR="00B02332" w:rsidRPr="008A3E47">
        <w:rPr>
          <w:b/>
          <w:bCs/>
          <w:lang w:val="sl-SI"/>
        </w:rPr>
        <w:t>%</w:t>
      </w:r>
      <w:r w:rsidR="001E5FCF" w:rsidRPr="008A3E47">
        <w:rPr>
          <w:b/>
          <w:bCs/>
          <w:lang w:val="sl-SI"/>
        </w:rPr>
        <w:t>)</w:t>
      </w:r>
      <w:r w:rsidR="00E21A6A" w:rsidRPr="008A3E47">
        <w:rPr>
          <w:lang w:val="sl-SI"/>
        </w:rPr>
        <w:t xml:space="preserve"> </w:t>
      </w:r>
      <w:r w:rsidR="006A389E" w:rsidRPr="008A3E47">
        <w:rPr>
          <w:lang w:val="sl-SI"/>
        </w:rPr>
        <w:t>(</w:t>
      </w:r>
      <w:r w:rsidR="008463D2" w:rsidRPr="008A3E47">
        <w:rPr>
          <w:lang w:val="sl-SI"/>
        </w:rPr>
        <w:t>T</w:t>
      </w:r>
      <w:r w:rsidR="006A389E" w:rsidRPr="008A3E47">
        <w:rPr>
          <w:lang w:val="sl-SI"/>
        </w:rPr>
        <w:t xml:space="preserve">abela 1 v </w:t>
      </w:r>
      <w:r w:rsidR="00D80BA2" w:rsidRPr="008A3E47">
        <w:rPr>
          <w:lang w:val="sl-SI"/>
        </w:rPr>
        <w:t>S</w:t>
      </w:r>
      <w:r w:rsidR="006A389E" w:rsidRPr="008A3E47">
        <w:rPr>
          <w:lang w:val="sl-SI"/>
        </w:rPr>
        <w:t xml:space="preserve">tatistični prilogi). </w:t>
      </w:r>
      <w:r w:rsidR="0075663B" w:rsidRPr="008A3E47">
        <w:rPr>
          <w:b/>
          <w:bCs/>
          <w:lang w:val="sl-SI"/>
        </w:rPr>
        <w:t xml:space="preserve">V </w:t>
      </w:r>
      <w:r w:rsidR="00B549F6" w:rsidRPr="008A3E47">
        <w:rPr>
          <w:b/>
          <w:bCs/>
          <w:lang w:val="sl-SI"/>
        </w:rPr>
        <w:t>marcu</w:t>
      </w:r>
      <w:r w:rsidR="0075663B" w:rsidRPr="008A3E47">
        <w:rPr>
          <w:b/>
          <w:bCs/>
          <w:lang w:val="sl-SI"/>
        </w:rPr>
        <w:t xml:space="preserve"> 202</w:t>
      </w:r>
      <w:r w:rsidR="00E90D90" w:rsidRPr="008A3E47">
        <w:rPr>
          <w:b/>
          <w:bCs/>
          <w:lang w:val="sl-SI"/>
        </w:rPr>
        <w:t>5</w:t>
      </w:r>
      <w:r w:rsidR="0075663B" w:rsidRPr="008A3E47">
        <w:rPr>
          <w:b/>
          <w:bCs/>
          <w:lang w:val="sl-SI"/>
        </w:rPr>
        <w:t xml:space="preserve"> </w:t>
      </w:r>
      <w:r w:rsidR="008559CD" w:rsidRPr="008A3E47">
        <w:rPr>
          <w:b/>
          <w:bCs/>
          <w:lang w:val="sl-SI"/>
        </w:rPr>
        <w:t xml:space="preserve">je bilo </w:t>
      </w:r>
      <w:r w:rsidR="0075663B" w:rsidRPr="008A3E47">
        <w:rPr>
          <w:b/>
          <w:bCs/>
          <w:lang w:val="sl-SI"/>
        </w:rPr>
        <w:t>povprečn</w:t>
      </w:r>
      <w:r w:rsidR="008559CD" w:rsidRPr="008A3E47">
        <w:rPr>
          <w:b/>
          <w:bCs/>
          <w:lang w:val="sl-SI"/>
        </w:rPr>
        <w:t>o</w:t>
      </w:r>
      <w:r w:rsidR="0075663B" w:rsidRPr="008A3E47">
        <w:rPr>
          <w:b/>
          <w:bCs/>
          <w:lang w:val="sl-SI"/>
        </w:rPr>
        <w:t xml:space="preserve"> število upravičencev do izredne denarne socialne</w:t>
      </w:r>
      <w:r w:rsidR="0075663B" w:rsidRPr="00C86416">
        <w:rPr>
          <w:b/>
          <w:bCs/>
          <w:lang w:val="sl-SI"/>
        </w:rPr>
        <w:t xml:space="preserve"> pomoči</w:t>
      </w:r>
      <w:r w:rsidR="00CB71E4">
        <w:rPr>
          <w:b/>
          <w:bCs/>
          <w:lang w:val="sl-SI"/>
        </w:rPr>
        <w:t xml:space="preserve"> </w:t>
      </w:r>
      <w:r w:rsidR="00D6236E">
        <w:rPr>
          <w:b/>
          <w:bCs/>
          <w:lang w:val="sl-SI"/>
        </w:rPr>
        <w:t>10</w:t>
      </w:r>
      <w:r w:rsidR="000D6BF5">
        <w:rPr>
          <w:b/>
          <w:bCs/>
          <w:lang w:val="sl-SI"/>
        </w:rPr>
        <w:t>.</w:t>
      </w:r>
      <w:r w:rsidR="00B549F6">
        <w:rPr>
          <w:b/>
          <w:bCs/>
          <w:lang w:val="sl-SI"/>
        </w:rPr>
        <w:t>302</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D6236E">
        <w:rPr>
          <w:b/>
          <w:bCs/>
          <w:lang w:val="sl-SI"/>
        </w:rPr>
        <w:t>negativna (</w:t>
      </w:r>
      <w:r w:rsidR="00350708" w:rsidRPr="00C86416">
        <w:rPr>
          <w:b/>
          <w:bCs/>
          <w:lang w:val="sl-SI"/>
        </w:rPr>
        <w:t>-</w:t>
      </w:r>
      <w:r w:rsidR="00B549F6">
        <w:rPr>
          <w:b/>
          <w:bCs/>
          <w:lang w:val="sl-SI"/>
        </w:rPr>
        <w:t>10</w:t>
      </w:r>
      <w:r w:rsidR="00D6236E">
        <w:rPr>
          <w:b/>
          <w:bCs/>
          <w:lang w:val="sl-SI"/>
        </w:rPr>
        <w:t>.</w:t>
      </w:r>
      <w:r w:rsidR="00B549F6">
        <w:rPr>
          <w:b/>
          <w:bCs/>
          <w:lang w:val="sl-SI"/>
        </w:rPr>
        <w:t>2</w:t>
      </w:r>
      <w:r w:rsidR="00350708" w:rsidRPr="00C86416">
        <w:rPr>
          <w:b/>
          <w:bCs/>
          <w:lang w:val="sl-SI"/>
        </w:rPr>
        <w:t xml:space="preserve"> %</w:t>
      </w:r>
      <w:r w:rsidR="00D6236E">
        <w:rPr>
          <w:b/>
          <w:bCs/>
          <w:lang w:val="sl-SI"/>
        </w:rPr>
        <w:t>)</w:t>
      </w:r>
      <w:r w:rsidR="00954CB8" w:rsidRPr="00C86416">
        <w:rPr>
          <w:b/>
          <w:bCs/>
          <w:lang w:val="sl-SI"/>
        </w:rPr>
        <w:t>.</w:t>
      </w:r>
      <w:r w:rsidR="00954CB8" w:rsidRPr="00C86416">
        <w:rPr>
          <w:lang w:val="sl-SI"/>
        </w:rPr>
        <w:t xml:space="preserve"> </w:t>
      </w:r>
      <w:r w:rsidR="006D06D0" w:rsidRPr="006D06D0">
        <w:rPr>
          <w:lang w:val="sl-SI"/>
        </w:rPr>
        <w:t xml:space="preserve">To je posledica zmanjšanja števila </w:t>
      </w:r>
      <w:r w:rsidR="006D06D0">
        <w:rPr>
          <w:lang w:val="sl-SI"/>
        </w:rPr>
        <w:t>upravičencev</w:t>
      </w:r>
      <w:r w:rsidR="006D06D0" w:rsidRPr="006D06D0">
        <w:rPr>
          <w:lang w:val="sl-SI"/>
        </w:rPr>
        <w:t xml:space="preserve">, ki so jih </w:t>
      </w:r>
      <w:r w:rsidR="006D06D0" w:rsidRPr="00B55516">
        <w:rPr>
          <w:lang w:val="sl-SI"/>
        </w:rPr>
        <w:t xml:space="preserve">prizadele </w:t>
      </w:r>
      <w:r w:rsidR="00B55516" w:rsidRPr="00B55516">
        <w:rPr>
          <w:lang w:val="sl-SI"/>
        </w:rPr>
        <w:t xml:space="preserve">poplave. </w:t>
      </w:r>
      <w:r w:rsidR="00E90D90">
        <w:rPr>
          <w:lang w:val="sl-SI"/>
        </w:rPr>
        <w:t>M</w:t>
      </w:r>
      <w:r w:rsidR="008559CD" w:rsidRPr="00B55516">
        <w:rPr>
          <w:lang w:val="sl-SI"/>
        </w:rPr>
        <w:t>esečno</w:t>
      </w:r>
      <w:r w:rsidR="006D06D0" w:rsidRPr="00B55516">
        <w:rPr>
          <w:lang w:val="sl-SI"/>
        </w:rPr>
        <w:t xml:space="preserve"> število upravičencev do najemnine v </w:t>
      </w:r>
      <w:r w:rsidR="000D6BF5">
        <w:rPr>
          <w:lang w:val="sl-SI"/>
        </w:rPr>
        <w:t>marcu</w:t>
      </w:r>
      <w:r w:rsidR="008559CD" w:rsidRPr="00B55516">
        <w:rPr>
          <w:lang w:val="sl-SI"/>
        </w:rPr>
        <w:t xml:space="preserve"> znašalo</w:t>
      </w:r>
      <w:r w:rsidR="006D06D0" w:rsidRPr="00B55516">
        <w:rPr>
          <w:lang w:val="sl-SI"/>
        </w:rPr>
        <w:t xml:space="preserve"> 13,</w:t>
      </w:r>
      <w:r w:rsidR="00C92E52">
        <w:rPr>
          <w:lang w:val="sl-SI"/>
        </w:rPr>
        <w:t>1</w:t>
      </w:r>
      <w:r w:rsidR="006D06D0" w:rsidRPr="00B55516">
        <w:rPr>
          <w:lang w:val="sl-SI"/>
        </w:rPr>
        <w:t xml:space="preserve"> tisoč. </w:t>
      </w:r>
      <w:r w:rsidR="000551A4" w:rsidRPr="00B55516">
        <w:rPr>
          <w:lang w:val="sl-SI"/>
        </w:rPr>
        <w:t>M</w:t>
      </w:r>
      <w:r w:rsidR="00B077AA" w:rsidRPr="00B55516">
        <w:rPr>
          <w:lang w:val="sl-SI"/>
        </w:rPr>
        <w:t>edletn</w:t>
      </w:r>
      <w:r w:rsidR="000551A4" w:rsidRPr="00B55516">
        <w:rPr>
          <w:lang w:val="sl-SI"/>
        </w:rPr>
        <w:t>a</w:t>
      </w:r>
      <w:r w:rsidR="00B077AA" w:rsidRPr="00B55516">
        <w:rPr>
          <w:lang w:val="sl-SI"/>
        </w:rPr>
        <w:t xml:space="preserve"> </w:t>
      </w:r>
      <w:r w:rsidR="006D06D0" w:rsidRPr="00B55516">
        <w:rPr>
          <w:lang w:val="sl-SI"/>
        </w:rPr>
        <w:t xml:space="preserve">povprečna </w:t>
      </w:r>
      <w:r w:rsidR="006A389E" w:rsidRPr="00B55516">
        <w:rPr>
          <w:lang w:val="sl-SI"/>
        </w:rPr>
        <w:t>stopnja rasti števila upravičencev do subvencije najemnine</w:t>
      </w:r>
      <w:r w:rsidR="000551A4" w:rsidRPr="00B55516">
        <w:rPr>
          <w:lang w:val="sl-SI"/>
        </w:rPr>
        <w:t>, ki je odvisna od dohodkovnega položaja</w:t>
      </w:r>
      <w:r w:rsidR="000551A4" w:rsidRPr="00C86416">
        <w:rPr>
          <w:lang w:val="sl-SI"/>
        </w:rPr>
        <w:t xml:space="preserve"> upravičencev, </w:t>
      </w:r>
      <w:r w:rsidR="004138A3" w:rsidRPr="00C86416">
        <w:rPr>
          <w:lang w:val="sl-SI"/>
        </w:rPr>
        <w:t>je bil</w:t>
      </w:r>
      <w:r w:rsidR="00617807" w:rsidRPr="00C86416">
        <w:rPr>
          <w:lang w:val="sl-SI"/>
        </w:rPr>
        <w:t>a</w:t>
      </w:r>
      <w:r w:rsidR="004138A3" w:rsidRPr="00C86416">
        <w:rPr>
          <w:lang w:val="sl-SI"/>
        </w:rPr>
        <w:t xml:space="preserve"> </w:t>
      </w:r>
      <w:r w:rsidR="00E90D90">
        <w:rPr>
          <w:lang w:val="sl-SI"/>
        </w:rPr>
        <w:t xml:space="preserve">rahlo </w:t>
      </w:r>
      <w:r w:rsidR="00C92E52">
        <w:rPr>
          <w:lang w:val="sl-SI"/>
        </w:rPr>
        <w:t>negativna -</w:t>
      </w:r>
      <w:r w:rsidR="00E90D90">
        <w:rPr>
          <w:lang w:val="sl-SI"/>
        </w:rPr>
        <w:t>0,</w:t>
      </w:r>
      <w:r w:rsidR="00E64BA4">
        <w:rPr>
          <w:lang w:val="sl-SI"/>
        </w:rPr>
        <w:t>7</w:t>
      </w:r>
      <w:r w:rsidR="007429B7" w:rsidRPr="00C86416">
        <w:rPr>
          <w:lang w:val="sl-SI"/>
        </w:rPr>
        <w:t> %</w:t>
      </w:r>
      <w:r w:rsidR="004138A3" w:rsidRPr="00C86416">
        <w:rPr>
          <w:lang w:val="sl-SI"/>
        </w:rPr>
        <w:t>.</w:t>
      </w:r>
    </w:p>
    <w:p w14:paraId="3B343F8B" w14:textId="5884FFC8" w:rsidR="006A389E" w:rsidRPr="00C86416" w:rsidRDefault="00617807" w:rsidP="006A389E">
      <w:pPr>
        <w:pStyle w:val="BodyText"/>
        <w:rPr>
          <w:lang w:val="sl-SI"/>
        </w:rPr>
      </w:pPr>
      <w:r w:rsidRPr="00C86416">
        <w:rPr>
          <w:b/>
          <w:bCs/>
          <w:lang w:val="sl-SI"/>
        </w:rPr>
        <w:t>Š</w:t>
      </w:r>
      <w:r w:rsidR="003934D7" w:rsidRPr="00C86416">
        <w:rPr>
          <w:b/>
          <w:bCs/>
          <w:lang w:val="sl-SI"/>
        </w:rPr>
        <w:t>tevilo upravičencev do denarnega nadomestila za brezposelnost</w:t>
      </w:r>
      <w:r w:rsidRPr="00C86416">
        <w:rPr>
          <w:b/>
          <w:bCs/>
          <w:lang w:val="sl-SI"/>
        </w:rPr>
        <w:t xml:space="preserve"> je bilo </w:t>
      </w:r>
      <w:r w:rsidR="00E63142">
        <w:rPr>
          <w:b/>
          <w:bCs/>
          <w:lang w:val="sl-SI"/>
        </w:rPr>
        <w:t xml:space="preserve">v povprečju v letu 2024 </w:t>
      </w:r>
      <w:r w:rsidR="00A94F4F">
        <w:rPr>
          <w:b/>
          <w:bCs/>
          <w:lang w:val="sl-SI"/>
        </w:rPr>
        <w:t>14.291</w:t>
      </w:r>
      <w:r w:rsidR="00E63142">
        <w:rPr>
          <w:b/>
          <w:bCs/>
          <w:lang w:val="sl-SI"/>
        </w:rPr>
        <w:t xml:space="preserve">. </w:t>
      </w:r>
      <w:r w:rsidR="00A94F4F">
        <w:rPr>
          <w:b/>
          <w:bCs/>
          <w:lang w:val="sl-SI"/>
        </w:rPr>
        <w:t>M</w:t>
      </w:r>
      <w:r w:rsidRPr="00C86416">
        <w:rPr>
          <w:b/>
          <w:bCs/>
          <w:lang w:val="sl-SI"/>
        </w:rPr>
        <w:t>edletno</w:t>
      </w:r>
      <w:r w:rsidR="00CD1500">
        <w:rPr>
          <w:b/>
          <w:bCs/>
          <w:lang w:val="sl-SI"/>
        </w:rPr>
        <w:t xml:space="preserve"> je bilo</w:t>
      </w:r>
      <w:r w:rsidRPr="00C86416">
        <w:rPr>
          <w:b/>
          <w:bCs/>
          <w:lang w:val="sl-SI"/>
        </w:rPr>
        <w:t xml:space="preserve"> </w:t>
      </w:r>
      <w:r w:rsidR="007F19C3">
        <w:rPr>
          <w:b/>
          <w:bCs/>
          <w:lang w:val="sl-SI"/>
        </w:rPr>
        <w:t xml:space="preserve">višje </w:t>
      </w:r>
      <w:r w:rsidRPr="00C86416">
        <w:rPr>
          <w:b/>
          <w:bCs/>
          <w:lang w:val="sl-SI"/>
        </w:rPr>
        <w:t xml:space="preserve">za </w:t>
      </w:r>
      <w:r w:rsidR="00A94F4F">
        <w:rPr>
          <w:b/>
          <w:bCs/>
          <w:lang w:val="sl-SI"/>
        </w:rPr>
        <w:t>2,4</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 Po</w:t>
      </w:r>
      <w:r w:rsidR="00E63142" w:rsidRPr="00B921DA">
        <w:rPr>
          <w:lang w:val="sl-SI"/>
        </w:rPr>
        <w:t xml:space="preserve"> februar</w:t>
      </w:r>
      <w:r w:rsidR="00CD1500" w:rsidRPr="00B921DA">
        <w:rPr>
          <w:lang w:val="sl-SI"/>
        </w:rPr>
        <w:t>ju</w:t>
      </w:r>
      <w:r w:rsidR="00E63142" w:rsidRPr="00B921DA">
        <w:rPr>
          <w:lang w:val="sl-SI"/>
        </w:rPr>
        <w:t xml:space="preserve"> 2021</w:t>
      </w:r>
      <w:r w:rsidR="006A389E" w:rsidRPr="00B921DA">
        <w:rPr>
          <w:lang w:val="sl-SI"/>
        </w:rPr>
        <w:t xml:space="preserve"> </w:t>
      </w:r>
      <w:r w:rsidR="00E63142" w:rsidRPr="00B921DA">
        <w:rPr>
          <w:lang w:val="sl-SI"/>
        </w:rPr>
        <w:t xml:space="preserve">do leta 2024 </w:t>
      </w:r>
      <w:r w:rsidR="006A389E" w:rsidRPr="00B921DA">
        <w:rPr>
          <w:lang w:val="sl-SI"/>
        </w:rPr>
        <w:t>pa je</w:t>
      </w:r>
      <w:r w:rsidR="00CC797B" w:rsidRPr="00B921DA">
        <w:rPr>
          <w:lang w:val="sl-SI"/>
        </w:rPr>
        <w:t xml:space="preserve"> bila</w:t>
      </w:r>
      <w:r w:rsidR="006A389E" w:rsidRPr="00B921DA">
        <w:rPr>
          <w:lang w:val="sl-SI"/>
        </w:rPr>
        <w:t xml:space="preserve"> negativna (</w:t>
      </w:r>
      <w:r w:rsidR="008463D2">
        <w:rPr>
          <w:lang w:val="sl-SI"/>
        </w:rPr>
        <w:t>S</w:t>
      </w:r>
      <w:r w:rsidR="006A389E" w:rsidRPr="00B921DA">
        <w:rPr>
          <w:lang w:val="sl-SI"/>
        </w:rPr>
        <w:t xml:space="preserve">lika 6 v </w:t>
      </w:r>
      <w:r w:rsidR="00D80BA2">
        <w:rPr>
          <w:lang w:val="sl-SI"/>
        </w:rPr>
        <w:t>S</w:t>
      </w:r>
      <w:r w:rsidR="006A389E" w:rsidRPr="00B921DA">
        <w:rPr>
          <w:lang w:val="sl-SI"/>
        </w:rPr>
        <w:t xml:space="preserve">tatistični prilogi).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r w:rsidR="00A94F4F" w:rsidRPr="00B921DA">
        <w:rPr>
          <w:lang w:val="sl-SI"/>
        </w:rPr>
        <w:t>2,4</w:t>
      </w:r>
      <w:r w:rsidRPr="00B921DA">
        <w:rPr>
          <w:lang w:val="sl-SI"/>
        </w:rPr>
        <w:t xml:space="preserve"> %</w:t>
      </w:r>
      <w:r w:rsidR="006A389E" w:rsidRPr="00B921DA">
        <w:rPr>
          <w:lang w:val="sl-SI"/>
        </w:rPr>
        <w:t xml:space="preserve"> (</w:t>
      </w:r>
      <w:r w:rsidR="008463D2">
        <w:rPr>
          <w:lang w:val="sl-SI"/>
        </w:rPr>
        <w:t>T</w:t>
      </w:r>
      <w:r w:rsidR="006A389E" w:rsidRPr="00B921DA">
        <w:rPr>
          <w:lang w:val="sl-SI"/>
        </w:rPr>
        <w:t xml:space="preserve">abela 4). </w:t>
      </w:r>
      <w:r w:rsidR="0014218F">
        <w:rPr>
          <w:lang w:val="sl-SI"/>
        </w:rPr>
        <w:t xml:space="preserve">V februarju </w:t>
      </w:r>
      <w:r w:rsidR="00C507E2">
        <w:rPr>
          <w:lang w:val="sl-SI"/>
        </w:rPr>
        <w:t xml:space="preserve">je bila </w:t>
      </w:r>
      <w:r w:rsidR="0014218F">
        <w:rPr>
          <w:lang w:val="sl-SI"/>
        </w:rPr>
        <w:t>medletna rast</w:t>
      </w:r>
      <w:r w:rsidR="00D731AD">
        <w:rPr>
          <w:lang w:val="sl-SI"/>
        </w:rPr>
        <w:t xml:space="preserve"> </w:t>
      </w:r>
      <w:r w:rsidR="0014218F">
        <w:rPr>
          <w:lang w:val="sl-SI"/>
        </w:rPr>
        <w:t xml:space="preserve">rahlo negativna (-0,3%). </w:t>
      </w:r>
      <w:r w:rsidR="006A389E" w:rsidRPr="00B921DA">
        <w:rPr>
          <w:lang w:val="sl-SI"/>
        </w:rPr>
        <w:t xml:space="preserve">Upravičencev do </w:t>
      </w:r>
      <w:r w:rsidR="00AB2057" w:rsidRPr="00B921DA">
        <w:rPr>
          <w:lang w:val="sl-SI"/>
        </w:rPr>
        <w:t xml:space="preserve">denarnega </w:t>
      </w:r>
      <w:r w:rsidR="006A389E" w:rsidRPr="00B921DA">
        <w:rPr>
          <w:lang w:val="sl-SI"/>
        </w:rPr>
        <w:t xml:space="preserve">nadomestila je bilo v </w:t>
      </w:r>
      <w:r w:rsidR="00C3390B">
        <w:rPr>
          <w:lang w:val="sl-SI"/>
        </w:rPr>
        <w:t>februarju</w:t>
      </w:r>
      <w:r w:rsidR="00867120">
        <w:rPr>
          <w:lang w:val="sl-SI"/>
        </w:rPr>
        <w:t xml:space="preserve"> </w:t>
      </w:r>
      <w:r w:rsidR="00CB2931" w:rsidRPr="00B921DA">
        <w:rPr>
          <w:lang w:val="sl-SI"/>
        </w:rPr>
        <w:t>202</w:t>
      </w:r>
      <w:r w:rsidR="00867120">
        <w:rPr>
          <w:lang w:val="sl-SI"/>
        </w:rPr>
        <w:t xml:space="preserve">5 </w:t>
      </w:r>
      <w:r w:rsidR="008C5F59" w:rsidRPr="00B921DA">
        <w:rPr>
          <w:lang w:val="sl-SI"/>
        </w:rPr>
        <w:t>1</w:t>
      </w:r>
      <w:r w:rsidR="00867120">
        <w:rPr>
          <w:lang w:val="sl-SI"/>
        </w:rPr>
        <w:t>6</w:t>
      </w:r>
      <w:r w:rsidR="00245436">
        <w:rPr>
          <w:lang w:val="sl-SI"/>
        </w:rPr>
        <w:t>,</w:t>
      </w:r>
      <w:r w:rsidR="00C3390B">
        <w:rPr>
          <w:lang w:val="sl-SI"/>
        </w:rPr>
        <w:t>6</w:t>
      </w:r>
      <w:r w:rsidR="006A389E" w:rsidRPr="00B921DA">
        <w:rPr>
          <w:lang w:val="sl-SI"/>
        </w:rPr>
        <w:t xml:space="preserve"> tisoč</w:t>
      </w:r>
      <w:r w:rsidR="00896312" w:rsidRPr="00B921DA">
        <w:rPr>
          <w:lang w:val="sl-SI"/>
        </w:rPr>
        <w:t xml:space="preserve"> (</w:t>
      </w:r>
      <w:r w:rsidR="00867120">
        <w:rPr>
          <w:lang w:val="sl-SI"/>
        </w:rPr>
        <w:t>3</w:t>
      </w:r>
      <w:r w:rsidR="00F5241C">
        <w:rPr>
          <w:lang w:val="sl-SI"/>
        </w:rPr>
        <w:t>4</w:t>
      </w:r>
      <w:r w:rsidR="00896312" w:rsidRPr="00B921DA">
        <w:rPr>
          <w:lang w:val="sl-SI"/>
        </w:rPr>
        <w:t>,</w:t>
      </w:r>
      <w:r w:rsidR="00F5241C">
        <w:rPr>
          <w:lang w:val="sl-SI"/>
        </w:rPr>
        <w:t>4</w:t>
      </w:r>
      <w:r w:rsidR="001057E3">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5E201C">
        <w:rPr>
          <w:lang w:val="sl-SI"/>
        </w:rPr>
        <w:t>februarju</w:t>
      </w:r>
      <w:r w:rsidR="00896312" w:rsidRPr="00B921DA">
        <w:rPr>
          <w:lang w:val="sl-SI"/>
        </w:rPr>
        <w:t>)</w:t>
      </w:r>
      <w:r w:rsidR="001230B0" w:rsidRPr="00B921DA">
        <w:rPr>
          <w:lang w:val="sl-SI"/>
        </w:rPr>
        <w:t>.</w:t>
      </w:r>
      <w:r w:rsidR="003256B5" w:rsidRPr="00C86416">
        <w:rPr>
          <w:lang w:val="sl-SI"/>
        </w:rPr>
        <w:t xml:space="preserve"> </w:t>
      </w:r>
      <w:r w:rsidR="00867120">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lastRenderedPageBreak/>
        <w:t>Letno usklajevanje transferjev</w:t>
      </w:r>
    </w:p>
    <w:p w14:paraId="04735046" w14:textId="5825616F"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0D6BF5">
        <w:rPr>
          <w:b/>
          <w:bCs/>
          <w:lang w:val="sl-SI"/>
        </w:rPr>
        <w:t> </w:t>
      </w:r>
      <w:r w:rsidRPr="00C86416">
        <w:rPr>
          <w:b/>
          <w:bCs/>
          <w:lang w:val="sl-SI"/>
        </w:rPr>
        <w:t>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0456579E" w14:textId="77777777" w:rsidR="00400C06" w:rsidRPr="00C86416" w:rsidRDefault="00400C06">
      <w:pPr>
        <w:rPr>
          <w:b/>
          <w:bCs/>
          <w:sz w:val="22"/>
          <w:lang w:val="sl-SI"/>
        </w:rPr>
      </w:pPr>
    </w:p>
    <w:p w14:paraId="5CF552C1" w14:textId="77777777" w:rsidR="00C836BE" w:rsidRDefault="00C836BE">
      <w:pPr>
        <w:rPr>
          <w:b/>
          <w:bCs/>
          <w:sz w:val="22"/>
          <w:lang w:val="sl-SI"/>
        </w:rPr>
      </w:pPr>
      <w:r>
        <w:rPr>
          <w:b/>
          <w:bCs/>
          <w:lang w:val="sl-SI"/>
        </w:rPr>
        <w:br w:type="page"/>
      </w:r>
    </w:p>
    <w:p w14:paraId="6CDD27B5" w14:textId="062BE4CD" w:rsidR="00DD0211" w:rsidRPr="00C86416" w:rsidRDefault="00DD0211" w:rsidP="00DD0211">
      <w:pPr>
        <w:pStyle w:val="BodyText"/>
        <w:rPr>
          <w:b/>
          <w:bCs/>
          <w:lang w:val="sl-SI"/>
        </w:rPr>
      </w:pPr>
      <w:r w:rsidRPr="00C86416">
        <w:rPr>
          <w:b/>
          <w:bCs/>
          <w:lang w:val="sl-SI"/>
        </w:rPr>
        <w:lastRenderedPageBreak/>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53"/>
        <w:gridCol w:w="1135"/>
        <w:gridCol w:w="1419"/>
        <w:gridCol w:w="1278"/>
        <w:gridCol w:w="1323"/>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33577C14" w:rsidR="006A389E" w:rsidRPr="00C86416" w:rsidRDefault="00D731AD" w:rsidP="00DD0211">
      <w:pPr>
        <w:pStyle w:val="BodyText"/>
        <w:rPr>
          <w:lang w:val="sl-SI"/>
        </w:rPr>
      </w:pPr>
      <w:r w:rsidRPr="00C86416">
        <w:rPr>
          <w:noProof/>
          <w:lang w:val="sl-SI"/>
        </w:rPr>
        <w:lastRenderedPageBreak/>
        <mc:AlternateContent>
          <mc:Choice Requires="wps">
            <w:drawing>
              <wp:anchor distT="0" distB="0" distL="114300" distR="114300" simplePos="0" relativeHeight="251658240" behindDoc="0" locked="0" layoutInCell="1" allowOverlap="1" wp14:anchorId="2EBD398E" wp14:editId="4D8AC31E">
                <wp:simplePos x="0" y="0"/>
                <wp:positionH relativeFrom="margin">
                  <wp:posOffset>-384175</wp:posOffset>
                </wp:positionH>
                <wp:positionV relativeFrom="page">
                  <wp:posOffset>438785</wp:posOffset>
                </wp:positionV>
                <wp:extent cx="6971665" cy="9150985"/>
                <wp:effectExtent l="0" t="0" r="19685" b="120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15098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8"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398E" id="_x0000_t202" coordsize="21600,21600" o:spt="202" path="m,l,21600r21600,l21600,xe">
                <v:stroke joinstyle="miter"/>
                <v:path gradientshapeok="t" o:connecttype="rect"/>
              </v:shapetype>
              <v:shape id="Text Box 2" o:spid="_x0000_s1026" type="#_x0000_t202" style="position:absolute;left:0;text-align:left;margin-left:-30.25pt;margin-top:34.55pt;width:548.95pt;height:7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s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w:t>
                      </w:r>
                      <w:proofErr w:type="gramStart"/>
                      <w:r>
                        <w:rPr>
                          <w:b/>
                          <w:bCs/>
                          <w:sz w:val="18"/>
                          <w:szCs w:val="18"/>
                          <w:lang w:val="sl-SI"/>
                        </w:rPr>
                        <w:t>TRANSFERJEV</w:t>
                      </w:r>
                      <w:proofErr w:type="gramEnd"/>
                      <w:r>
                        <w:rPr>
                          <w:b/>
                          <w:bCs/>
                          <w:sz w:val="18"/>
                          <w:szCs w:val="18"/>
                          <w:lang w:val="sl-SI"/>
                        </w:rPr>
                        <w:t xml:space="preserve">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proofErr w:type="gramStart"/>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proofErr w:type="gramEnd"/>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10"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wrap type="topAndBottom" anchorx="margin" anchory="page"/>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78FA3F33"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0115697C" w:rsidR="00C86416" w:rsidRPr="00C86416" w:rsidRDefault="0046557D" w:rsidP="00C86416">
      <w:pPr>
        <w:pStyle w:val="BodyText"/>
        <w:rPr>
          <w:lang w:val="sl-SI"/>
        </w:rPr>
      </w:pPr>
      <w:r>
        <w:rPr>
          <w:noProof/>
        </w:rPr>
        <w:drawing>
          <wp:inline distT="0" distB="0" distL="0" distR="0" wp14:anchorId="2D7C7D09" wp14:editId="6D82A720">
            <wp:extent cx="5760000" cy="32976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60000" cy="3297600"/>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416"/>
        <w:gridCol w:w="1540"/>
        <w:gridCol w:w="3462"/>
      </w:tblGrid>
      <w:tr w:rsidR="0046557D" w:rsidRPr="00A50FCB" w14:paraId="19E66D9D"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CCD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F05C3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0E1FC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Povprečno mesečno število upravičencev v 1000</w:t>
            </w:r>
            <w:r w:rsidRPr="00041218">
              <w:rPr>
                <w:rFonts w:eastAsia="Arial" w:cs="Arial"/>
                <w:b/>
                <w:color w:val="000000"/>
                <w:sz w:val="18"/>
                <w:szCs w:val="18"/>
                <w:vertAlign w:val="superscript"/>
                <w:lang w:val="sl-SI"/>
              </w:rPr>
              <w:t>*</w:t>
            </w:r>
          </w:p>
        </w:tc>
      </w:tr>
      <w:tr w:rsidR="0046557D" w:rsidRPr="00B4430F" w14:paraId="220F4E5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7E2B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1A003"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44D8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21,4</w:t>
            </w:r>
          </w:p>
        </w:tc>
      </w:tr>
      <w:tr w:rsidR="0046557D" w:rsidRPr="00B4430F" w14:paraId="1EC8138B"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798E"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74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7F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327,3</w:t>
            </w:r>
          </w:p>
        </w:tc>
      </w:tr>
      <w:tr w:rsidR="0046557D" w:rsidRPr="00B4430F" w14:paraId="16E20991"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28AC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882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F8E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72,1</w:t>
            </w:r>
          </w:p>
        </w:tc>
      </w:tr>
      <w:tr w:rsidR="0046557D" w:rsidRPr="00B4430F" w14:paraId="15A70A5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B5C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4C51"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7BBF"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4,3</w:t>
            </w:r>
          </w:p>
        </w:tc>
      </w:tr>
      <w:tr w:rsidR="0046557D" w:rsidRPr="00B4430F" w14:paraId="4E8BCFD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41E5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CEA0B"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53D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77,1</w:t>
            </w:r>
          </w:p>
        </w:tc>
      </w:tr>
      <w:tr w:rsidR="0046557D" w:rsidRPr="00B4430F" w14:paraId="1F7BD79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830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984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DBD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14,3</w:t>
            </w:r>
          </w:p>
        </w:tc>
      </w:tr>
      <w:tr w:rsidR="0046557D" w:rsidRPr="00B4430F" w14:paraId="394F1E0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B74E"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A1F2D"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AD44A"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8,0</w:t>
            </w:r>
          </w:p>
        </w:tc>
      </w:tr>
      <w:tr w:rsidR="0046557D" w:rsidRPr="00B4430F" w14:paraId="44A8B57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07C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F0A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FEB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25,8</w:t>
            </w:r>
          </w:p>
        </w:tc>
      </w:tr>
      <w:tr w:rsidR="0046557D" w:rsidRPr="00B4430F" w14:paraId="1891B94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610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593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6088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9,2</w:t>
            </w:r>
          </w:p>
        </w:tc>
      </w:tr>
      <w:tr w:rsidR="0046557D" w:rsidRPr="00B4430F" w14:paraId="52182AA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708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BAC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8F0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15,2</w:t>
            </w:r>
          </w:p>
        </w:tc>
      </w:tr>
      <w:tr w:rsidR="0046557D" w:rsidRPr="00B4430F" w14:paraId="522A553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03D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5FBC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971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13,1</w:t>
            </w:r>
          </w:p>
        </w:tc>
      </w:tr>
      <w:tr w:rsidR="0046557D" w:rsidRPr="00B4430F" w14:paraId="09EADA8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2E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7A9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07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w:t>
            </w:r>
          </w:p>
        </w:tc>
      </w:tr>
      <w:tr w:rsidR="0046557D" w:rsidRPr="00B4430F" w14:paraId="013B2B6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E04E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FB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A4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7,4</w:t>
            </w:r>
          </w:p>
        </w:tc>
      </w:tr>
      <w:tr w:rsidR="0046557D" w:rsidRPr="00B4430F" w14:paraId="4B816EE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EF1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4BA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57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9,8</w:t>
            </w:r>
          </w:p>
        </w:tc>
      </w:tr>
      <w:tr w:rsidR="0046557D" w:rsidRPr="00B4430F" w14:paraId="00E09C4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87DF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613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24C9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33,6</w:t>
            </w:r>
          </w:p>
        </w:tc>
      </w:tr>
      <w:tr w:rsidR="0046557D" w:rsidRPr="00B4430F" w14:paraId="7A92974A"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78FA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74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DD3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2,4</w:t>
            </w:r>
          </w:p>
        </w:tc>
      </w:tr>
      <w:tr w:rsidR="0046557D" w:rsidRPr="00B4430F" w14:paraId="0B13DF4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2EBF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2525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D2F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17,0</w:t>
            </w:r>
          </w:p>
        </w:tc>
      </w:tr>
      <w:tr w:rsidR="0046557D" w:rsidRPr="00B4430F" w14:paraId="47B22FA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209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A46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42A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5804DF8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BA5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3003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C1D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27B73D2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D4A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9EC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E1F6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6BB0491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11A4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A7A0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81C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41E5D63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204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CFA9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E0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0,5</w:t>
            </w:r>
          </w:p>
        </w:tc>
      </w:tr>
      <w:tr w:rsidR="0046557D" w:rsidRPr="00B4430F" w14:paraId="422944C8"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0D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BF54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D0BC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2,2</w:t>
            </w:r>
          </w:p>
        </w:tc>
      </w:tr>
      <w:tr w:rsidR="0046557D" w:rsidRPr="00B4430F" w14:paraId="2F36818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9A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FDE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2E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0,3</w:t>
            </w:r>
          </w:p>
        </w:tc>
      </w:tr>
      <w:tr w:rsidR="0046557D" w:rsidRPr="00B4430F" w14:paraId="5D0593B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5190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DF5D"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A0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0,6</w:t>
            </w:r>
          </w:p>
        </w:tc>
      </w:tr>
      <w:tr w:rsidR="0046557D" w:rsidRPr="00B4430F" w14:paraId="65697B0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8A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3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E7B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r>
      <w:tr w:rsidR="0046557D" w:rsidRPr="00B4430F" w14:paraId="3B8963B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693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D4A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D89B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58,4</w:t>
            </w:r>
          </w:p>
        </w:tc>
      </w:tr>
      <w:tr w:rsidR="0046557D" w:rsidRPr="00B4430F" w14:paraId="2F65420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01D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113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33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58,8</w:t>
            </w:r>
          </w:p>
        </w:tc>
      </w:tr>
      <w:tr w:rsidR="0046557D" w:rsidRPr="00B4430F" w14:paraId="2DC99CA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0D9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A5962"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3E4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88,5</w:t>
            </w:r>
          </w:p>
        </w:tc>
      </w:tr>
      <w:tr w:rsidR="0046557D" w:rsidRPr="00B4430F" w14:paraId="2D5C4BA0"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8AE412" w14:textId="5545741C"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vertAlign w:val="superscript"/>
                <w:lang w:val="sl-SI"/>
              </w:rPr>
              <w:t>*</w:t>
            </w:r>
            <w:r w:rsidRPr="0081184A">
              <w:rPr>
                <w:rFonts w:eastAsia="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r w:rsidRPr="0081184A">
              <w:rPr>
                <w:rFonts w:eastAsia="Arial" w:cs="Arial"/>
                <w:color w:val="000000"/>
                <w:sz w:val="22"/>
                <w:szCs w:val="22"/>
                <w:lang w:val="sl-SI"/>
              </w:rPr>
              <w:t>.</w:t>
            </w:r>
          </w:p>
        </w:tc>
      </w:tr>
      <w:tr w:rsidR="0046557D" w:rsidRPr="00B4430F" w14:paraId="21B24253"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CDFEB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lang w:val="sl-SI"/>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362C372F">
            <wp:extent cx="5760000" cy="3560400"/>
            <wp:effectExtent l="0" t="0" r="0" b="254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760000" cy="3560400"/>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3004"/>
        <w:gridCol w:w="2081"/>
        <w:gridCol w:w="4333"/>
      </w:tblGrid>
      <w:tr w:rsidR="00D16F0C" w:rsidRPr="00A50FCB" w14:paraId="4F951FC3" w14:textId="77777777" w:rsidTr="00573468">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FCE4B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DECD3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73B289"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Povprečni letni znesek na prebivalca (EUR)</w:t>
            </w:r>
            <w:r w:rsidRPr="00D16F0C">
              <w:rPr>
                <w:rFonts w:ascii="Arial" w:eastAsia="Arial" w:hAnsi="Arial" w:cs="Arial"/>
                <w:b/>
                <w:color w:val="000000"/>
                <w:sz w:val="22"/>
                <w:szCs w:val="22"/>
                <w:vertAlign w:val="superscript"/>
                <w:lang w:val="it-IT"/>
              </w:rPr>
              <w:t>*</w:t>
            </w:r>
          </w:p>
        </w:tc>
      </w:tr>
      <w:tr w:rsidR="00D16F0C" w14:paraId="6930DB64"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06E8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E1AF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C9C3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727,3</w:t>
            </w:r>
          </w:p>
        </w:tc>
      </w:tr>
      <w:tr w:rsidR="00D16F0C" w14:paraId="4A0D0085"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D72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03DE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449B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722,5</w:t>
            </w:r>
          </w:p>
        </w:tc>
      </w:tr>
      <w:tr w:rsidR="00D16F0C" w14:paraId="5FEC7A8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9BEA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368A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1B43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703,8</w:t>
            </w:r>
          </w:p>
        </w:tc>
      </w:tr>
      <w:tr w:rsidR="00D16F0C" w14:paraId="43316A5C"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4616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8C11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597E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680,2</w:t>
            </w:r>
          </w:p>
        </w:tc>
      </w:tr>
      <w:tr w:rsidR="00D16F0C" w14:paraId="650DEE5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CA256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0A0CC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8194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662,3</w:t>
            </w:r>
          </w:p>
        </w:tc>
      </w:tr>
      <w:tr w:rsidR="00D16F0C" w14:paraId="0BA442C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5E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42DD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F9C1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649,4</w:t>
            </w:r>
          </w:p>
        </w:tc>
      </w:tr>
      <w:tr w:rsidR="00D16F0C" w14:paraId="2C7321AC"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1872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AE7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19DE5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628,6</w:t>
            </w:r>
          </w:p>
        </w:tc>
      </w:tr>
      <w:tr w:rsidR="00D16F0C" w14:paraId="220734B6"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F7F3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FBED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11F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609,6</w:t>
            </w:r>
          </w:p>
        </w:tc>
      </w:tr>
      <w:tr w:rsidR="00D16F0C" w14:paraId="26B72721"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7DF22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E7E7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6174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594,2</w:t>
            </w:r>
          </w:p>
        </w:tc>
      </w:tr>
      <w:tr w:rsidR="00D16F0C" w14:paraId="736C57CD"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E2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1571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6D66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588,9</w:t>
            </w:r>
          </w:p>
        </w:tc>
      </w:tr>
      <w:tr w:rsidR="00D16F0C" w14:paraId="4F609524"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155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Goriška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EA2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299B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572,7</w:t>
            </w:r>
          </w:p>
        </w:tc>
      </w:tr>
      <w:tr w:rsidR="00D16F0C" w14:paraId="783ABDC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669B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31B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8B1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558,4</w:t>
            </w:r>
          </w:p>
        </w:tc>
      </w:tr>
      <w:tr w:rsidR="00D16F0C" w14:paraId="71019274" w14:textId="77777777" w:rsidTr="00573468">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08E5F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Skupni znesek je izračunan iz trenutno razpoložljivih podatkov. Transferji iz naslova osebne asistence v izračune niso vključeni.; </w:t>
            </w:r>
          </w:p>
        </w:tc>
      </w:tr>
      <w:tr w:rsidR="00D16F0C" w14:paraId="4861ECEE" w14:textId="77777777" w:rsidTr="00573468">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45C6A2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151" w:type="pct"/>
        <w:jc w:val="center"/>
        <w:tblLook w:val="0420" w:firstRow="1" w:lastRow="0" w:firstColumn="0" w:lastColumn="0" w:noHBand="0" w:noVBand="1"/>
      </w:tblPr>
      <w:tblGrid>
        <w:gridCol w:w="1301"/>
        <w:gridCol w:w="2602"/>
        <w:gridCol w:w="1279"/>
        <w:gridCol w:w="1201"/>
        <w:gridCol w:w="1067"/>
        <w:gridCol w:w="1201"/>
        <w:gridCol w:w="1067"/>
      </w:tblGrid>
      <w:tr w:rsidR="0005650E" w:rsidRPr="001A1872" w14:paraId="75CC3EA9" w14:textId="77777777" w:rsidTr="00746BEE">
        <w:trPr>
          <w:tblHeader/>
          <w:jc w:val="center"/>
        </w:trPr>
        <w:tc>
          <w:tcPr>
            <w:tcW w:w="79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0F9A7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bookmarkStart w:id="10" w:name="_Hlk182314391"/>
            <w:r w:rsidRPr="001A1872">
              <w:rPr>
                <w:rFonts w:ascii="Arial" w:eastAsia="Arial" w:hAnsi="Arial" w:cs="Arial"/>
                <w:b/>
                <w:color w:val="000000"/>
                <w:sz w:val="20"/>
                <w:szCs w:val="20"/>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A4F5C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75F45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2BF80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Skupni znesek 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D84FD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Medletna rast (%) I-III 25/I-III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7C80D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Znesek v mesecu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68853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Medletna rast (%) III 25/III 24</w:t>
            </w:r>
          </w:p>
        </w:tc>
      </w:tr>
      <w:tr w:rsidR="0005650E" w:rsidRPr="001A1872" w14:paraId="1E14CEF7"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8CE0D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9B67B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E67A6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F2674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17.742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701E6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4B1D9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A672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w:t>
            </w:r>
          </w:p>
        </w:tc>
      </w:tr>
      <w:tr w:rsidR="0005650E" w:rsidRPr="001A1872" w14:paraId="2AB49C9A"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4944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82FC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1A1872">
              <w:rPr>
                <w:rFonts w:ascii="Arial" w:eastAsia="Arial" w:hAnsi="Arial" w:cs="Arial"/>
                <w:b/>
                <w:color w:val="000000"/>
                <w:sz w:val="20"/>
                <w:szCs w:val="20"/>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D6E3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9D8B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1.004.505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AFEA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82C4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351.572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770F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3,0</w:t>
            </w:r>
          </w:p>
        </w:tc>
      </w:tr>
      <w:tr w:rsidR="0005650E" w:rsidRPr="001A1872" w14:paraId="0716B419"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88B9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13E2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9836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3EE1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1.626.199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123F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CDB0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542.227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C370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-4,9</w:t>
            </w:r>
          </w:p>
        </w:tc>
      </w:tr>
      <w:tr w:rsidR="0005650E" w:rsidRPr="001A1872" w14:paraId="0CAAF03E"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7E64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AA27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7733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EEF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1.875.220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EC4E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5F60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655.727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CC91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0,7</w:t>
            </w:r>
          </w:p>
        </w:tc>
      </w:tr>
      <w:tr w:rsidR="0005650E" w:rsidRPr="001A1872" w14:paraId="66C3C3CE"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F244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ED87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B3E51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8673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3.188.175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D7EE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950E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1.045.871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1C5F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-4,4</w:t>
            </w:r>
          </w:p>
        </w:tc>
      </w:tr>
      <w:tr w:rsidR="0005650E" w:rsidRPr="001A1872" w14:paraId="2004E737"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BAF7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67AB0" w14:textId="36C68D69"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D767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7C7B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5.316.818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4BE5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634A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2.215.846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E642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32,8</w:t>
            </w:r>
          </w:p>
        </w:tc>
      </w:tr>
      <w:tr w:rsidR="0005650E" w:rsidRPr="001A1872" w14:paraId="169ED297"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26E18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7BD6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19267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4FF6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8.265.415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27661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45F5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2.774.110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B58E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5,8</w:t>
            </w:r>
          </w:p>
        </w:tc>
      </w:tr>
      <w:tr w:rsidR="0005650E" w:rsidRPr="001A1872" w14:paraId="3510BCD8"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1AC9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61BFA" w14:textId="3BD058BC"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Dodatek za veliko družino</w:t>
            </w:r>
            <w:r w:rsidR="00AD5127" w:rsidRPr="001A187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C35D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A41C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15.805.830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A9D3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D9DE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149.456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02BE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-15,7</w:t>
            </w:r>
          </w:p>
        </w:tc>
      </w:tr>
      <w:tr w:rsidR="0005650E" w:rsidRPr="001A1872" w14:paraId="6CFA9709"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297D5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BA486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784A1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BE664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30.224.410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66DEE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8127D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10.311.281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2559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4,7</w:t>
            </w:r>
          </w:p>
        </w:tc>
      </w:tr>
      <w:tr w:rsidR="0005650E" w:rsidRPr="001A1872" w14:paraId="794F0F8E"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126E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E8F3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7F66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4E90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67.585.270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D2F1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4C5B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22.741.487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121E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-5,0</w:t>
            </w:r>
          </w:p>
        </w:tc>
      </w:tr>
      <w:tr w:rsidR="0005650E" w:rsidRPr="001A1872" w14:paraId="215ABCF3"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14BCF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A2054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B2564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5C76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94.179.211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0796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DAE2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31.444.764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F945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9,7</w:t>
            </w:r>
          </w:p>
        </w:tc>
      </w:tr>
      <w:tr w:rsidR="0005650E" w:rsidRPr="001A1872" w14:paraId="3A1DE319"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F8CF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FE601" w14:textId="78ED6139"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Posmrtnine</w:t>
            </w:r>
            <w:r w:rsidRPr="001A1872">
              <w:rPr>
                <w:rFonts w:ascii="Arial" w:eastAsia="Arial" w:hAnsi="Arial" w:cs="Arial"/>
                <w:b/>
                <w:color w:val="000000"/>
                <w:sz w:val="20"/>
                <w:szCs w:val="20"/>
                <w:vertAlign w:val="superscript"/>
              </w:rPr>
              <w:t>**</w:t>
            </w:r>
            <w:r w:rsidR="00AD5127" w:rsidRPr="001A187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77B0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753A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236.137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1B3B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76EB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64.004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F4B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-29,8</w:t>
            </w:r>
          </w:p>
        </w:tc>
      </w:tr>
      <w:tr w:rsidR="0005650E" w:rsidRPr="001A1872" w14:paraId="2989998A"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E03C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3F75B" w14:textId="08BFE09B"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Pogrebnine</w:t>
            </w:r>
            <w:r w:rsidR="00AD5127" w:rsidRPr="001A1872">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546E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ED2A7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386.962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1D87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5A158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107.394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90D8C" w14:textId="4821423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-31,2</w:t>
            </w:r>
          </w:p>
        </w:tc>
      </w:tr>
      <w:tr w:rsidR="0005650E" w:rsidRPr="001A1872" w14:paraId="61BC6B0D"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4095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73003" w14:textId="3826EAA0"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1A1872">
              <w:rPr>
                <w:rFonts w:ascii="Arial" w:eastAsia="Arial" w:hAnsi="Arial" w:cs="Arial"/>
                <w:b/>
                <w:color w:val="000000"/>
                <w:sz w:val="20"/>
                <w:szCs w:val="20"/>
                <w:lang w:val="it-IT"/>
              </w:rPr>
              <w:t>Dodatek za pomoč in postrežbo</w:t>
            </w:r>
            <w:r w:rsidR="00AD5127" w:rsidRPr="00EC2908">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9C20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53F5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399.877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BBA4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72A0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133.315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4841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2,0</w:t>
            </w:r>
          </w:p>
        </w:tc>
      </w:tr>
      <w:tr w:rsidR="0005650E" w:rsidRPr="001A1872" w14:paraId="0DD9186F"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63C5D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A779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AC08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7A0C9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1.013.385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4199D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B8255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343.517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DA96A" w14:textId="2334AEB6"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7,3</w:t>
            </w:r>
          </w:p>
        </w:tc>
      </w:tr>
      <w:tr w:rsidR="0005650E" w:rsidRPr="001A1872" w14:paraId="637E0387"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B146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A37C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A223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F3A7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4.427.820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2168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7478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1.492.086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0FED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5,1</w:t>
            </w:r>
          </w:p>
        </w:tc>
      </w:tr>
      <w:tr w:rsidR="0005650E" w:rsidRPr="001A1872" w14:paraId="5A9B238D"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5A486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997D8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7073B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4E42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5.432.427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101A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A70C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1.805.936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5C38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4,8</w:t>
            </w:r>
          </w:p>
        </w:tc>
      </w:tr>
      <w:tr w:rsidR="0005650E" w:rsidRPr="001A1872" w14:paraId="35B0C158"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FCEB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8F01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F2DA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7E35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14.668.752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A7CB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F641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5.008.675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F26D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1,2</w:t>
            </w:r>
          </w:p>
        </w:tc>
      </w:tr>
      <w:tr w:rsidR="0005650E" w:rsidRPr="001A1872" w14:paraId="76E6727E"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6274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4CE41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1A1872">
              <w:rPr>
                <w:rFonts w:ascii="Arial" w:eastAsia="Arial" w:hAnsi="Arial" w:cs="Arial"/>
                <w:b/>
                <w:color w:val="000000"/>
                <w:sz w:val="20"/>
                <w:szCs w:val="20"/>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D753B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B496F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19.841.201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F32D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1EC1D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6.556.822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FF3D7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14,3</w:t>
            </w:r>
          </w:p>
        </w:tc>
      </w:tr>
      <w:tr w:rsidR="0005650E" w:rsidRPr="001A1872" w14:paraId="0105EB83"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351A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0FDB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315B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557C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57.593.113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5A45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E942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19.691.987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6108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7,3</w:t>
            </w:r>
          </w:p>
        </w:tc>
      </w:tr>
      <w:tr w:rsidR="0005650E" w:rsidRPr="001A1872" w14:paraId="78D3BBA2"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89E7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4E71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32662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8699B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6.554.000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5269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65CEB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2.190.107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7F8E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1,4</w:t>
            </w:r>
          </w:p>
        </w:tc>
      </w:tr>
      <w:tr w:rsidR="0005650E" w:rsidRPr="001A1872" w14:paraId="03E70CBC"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2254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CA5C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18C4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563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8.145.277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8599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0E49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2.441.496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D872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-3,9</w:t>
            </w:r>
          </w:p>
        </w:tc>
      </w:tr>
      <w:tr w:rsidR="0005650E" w:rsidRPr="001A1872" w14:paraId="476E6B92" w14:textId="77777777" w:rsidTr="00746BEE">
        <w:trPr>
          <w:jc w:val="center"/>
        </w:trPr>
        <w:tc>
          <w:tcPr>
            <w:tcW w:w="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03DC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F891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2BD46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7F8BF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60.814.863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287C4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35C1C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20.763.285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802C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-1,2</w:t>
            </w:r>
          </w:p>
        </w:tc>
      </w:tr>
      <w:tr w:rsidR="0005650E" w:rsidRPr="001A1872" w14:paraId="1049A532" w14:textId="77777777" w:rsidTr="00746BEE">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221A87D" w14:textId="6D85DCFC"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1A1872">
              <w:rPr>
                <w:rFonts w:ascii="Arial" w:eastAsia="Arial" w:hAnsi="Arial" w:cs="Arial"/>
                <w:color w:val="000000"/>
                <w:sz w:val="20"/>
                <w:szCs w:val="20"/>
                <w:vertAlign w:val="superscript"/>
              </w:rPr>
              <w:t>*</w:t>
            </w:r>
            <w:r w:rsidRPr="001A1872">
              <w:rPr>
                <w:rFonts w:ascii="Arial" w:eastAsia="Arial" w:hAnsi="Arial" w:cs="Arial"/>
                <w:color w:val="000000"/>
                <w:sz w:val="20"/>
                <w:szCs w:val="20"/>
              </w:rPr>
              <w:t xml:space="preserve">Dodatek za veliko družino se izplačuje enkrat letno. Podatek za zadnji mesec je odraz vlog zaradi sprememb št. otrok med letom in je zelo variabilen.; </w:t>
            </w:r>
            <w:r w:rsidRPr="001A1872">
              <w:rPr>
                <w:rFonts w:ascii="Arial" w:eastAsia="Arial" w:hAnsi="Arial" w:cs="Arial"/>
                <w:color w:val="000000"/>
                <w:sz w:val="20"/>
                <w:szCs w:val="20"/>
                <w:vertAlign w:val="superscript"/>
              </w:rPr>
              <w:t>**</w:t>
            </w:r>
            <w:r w:rsidRPr="001A1872">
              <w:rPr>
                <w:rFonts w:ascii="Arial" w:eastAsia="Arial" w:hAnsi="Arial" w:cs="Arial"/>
                <w:color w:val="000000"/>
                <w:sz w:val="20"/>
                <w:szCs w:val="20"/>
              </w:rPr>
              <w:t xml:space="preserve">Pravica dodatek za pomoč in postrežbo ni samostojna, dodeljuje se v okviru varstvenega dodatka ali denarne socialne pomoči.; </w:t>
            </w:r>
            <w:r w:rsidRPr="001A1872">
              <w:rPr>
                <w:rFonts w:ascii="Arial" w:eastAsia="Arial" w:hAnsi="Arial" w:cs="Arial"/>
                <w:color w:val="000000"/>
                <w:sz w:val="20"/>
                <w:szCs w:val="20"/>
                <w:vertAlign w:val="superscript"/>
              </w:rPr>
              <w:t>***</w:t>
            </w:r>
            <w:r w:rsidRPr="001A1872">
              <w:rPr>
                <w:rFonts w:ascii="Arial" w:eastAsia="Arial" w:hAnsi="Arial" w:cs="Arial"/>
                <w:color w:val="000000"/>
                <w:sz w:val="20"/>
                <w:szCs w:val="20"/>
              </w:rPr>
              <w:t>Podatki niso dokončni, saj je ti pravici možno uveljavljati še eno leto po smrti osebe.</w:t>
            </w:r>
          </w:p>
        </w:tc>
      </w:tr>
    </w:tbl>
    <w:p w14:paraId="4BC7DB7B" w14:textId="77777777" w:rsidR="0005650E" w:rsidRDefault="0005650E"/>
    <w:tbl>
      <w:tblPr>
        <w:tblW w:w="4523" w:type="pct"/>
        <w:jc w:val="center"/>
        <w:tblLook w:val="0420" w:firstRow="1" w:lastRow="0" w:firstColumn="0" w:lastColumn="0" w:noHBand="0" w:noVBand="1"/>
      </w:tblPr>
      <w:tblGrid>
        <w:gridCol w:w="3028"/>
        <w:gridCol w:w="1201"/>
        <w:gridCol w:w="1577"/>
        <w:gridCol w:w="1201"/>
        <w:gridCol w:w="1513"/>
      </w:tblGrid>
      <w:tr w:rsidR="0005650E" w:rsidRPr="001A1872" w14:paraId="040536C7" w14:textId="77777777" w:rsidTr="00EC2908">
        <w:trPr>
          <w:tblHeader/>
          <w:jc w:val="center"/>
        </w:trPr>
        <w:tc>
          <w:tcPr>
            <w:tcW w:w="177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53244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A3FC6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216ED3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Medletna rast (%) I-II 25/I-II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97ED4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7614B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Medletna rast (%) II 25/II 24</w:t>
            </w:r>
          </w:p>
        </w:tc>
      </w:tr>
      <w:tr w:rsidR="0005650E" w:rsidRPr="001A1872" w14:paraId="31F93E09" w14:textId="77777777" w:rsidTr="00EC2908">
        <w:trPr>
          <w:jc w:val="center"/>
        </w:trPr>
        <w:tc>
          <w:tcPr>
            <w:tcW w:w="177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132DA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CB7D2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30.525.795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8DAD1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37313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15.493.289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67D23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-1,0</w:t>
            </w:r>
          </w:p>
        </w:tc>
      </w:tr>
      <w:tr w:rsidR="0005650E" w:rsidRPr="001A1872" w14:paraId="0DE33BB5" w14:textId="77777777" w:rsidTr="00EC2908">
        <w:trPr>
          <w:jc w:val="center"/>
        </w:trPr>
        <w:tc>
          <w:tcPr>
            <w:tcW w:w="17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DAAD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1116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86.193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5F8A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0329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45.723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2DA7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-34,3</w:t>
            </w:r>
          </w:p>
        </w:tc>
      </w:tr>
      <w:bookmarkEnd w:id="10"/>
    </w:tbl>
    <w:p w14:paraId="15408A70" w14:textId="77777777" w:rsidR="001A1872" w:rsidRDefault="001A1872" w:rsidP="00C86416">
      <w:pPr>
        <w:pStyle w:val="BodyText"/>
        <w:rPr>
          <w:b/>
          <w:bCs/>
          <w:lang w:val="sl-SI"/>
        </w:rPr>
      </w:pPr>
    </w:p>
    <w:p w14:paraId="24E15357" w14:textId="77777777" w:rsidR="001A1872" w:rsidRDefault="001A1872">
      <w:pPr>
        <w:rPr>
          <w:b/>
          <w:bCs/>
          <w:sz w:val="22"/>
          <w:lang w:val="sl-SI"/>
        </w:rPr>
      </w:pPr>
      <w:r>
        <w:rPr>
          <w:b/>
          <w:bCs/>
          <w:lang w:val="sl-SI"/>
        </w:rPr>
        <w:br w:type="page"/>
      </w:r>
    </w:p>
    <w:p w14:paraId="76BF4957" w14:textId="680BB9BC"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226" w:type="pct"/>
        <w:jc w:val="center"/>
        <w:tblLook w:val="0420" w:firstRow="1" w:lastRow="0" w:firstColumn="0" w:lastColumn="0" w:noHBand="0" w:noVBand="1"/>
      </w:tblPr>
      <w:tblGrid>
        <w:gridCol w:w="1504"/>
        <w:gridCol w:w="2602"/>
        <w:gridCol w:w="1279"/>
        <w:gridCol w:w="1234"/>
        <w:gridCol w:w="1195"/>
        <w:gridCol w:w="945"/>
        <w:gridCol w:w="1085"/>
      </w:tblGrid>
      <w:tr w:rsidR="00731734" w:rsidRPr="00731734" w14:paraId="7EE84DE5" w14:textId="77777777" w:rsidTr="00731734">
        <w:trPr>
          <w:tblHeader/>
          <w:jc w:val="center"/>
        </w:trPr>
        <w:tc>
          <w:tcPr>
            <w:tcW w:w="87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51D2F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bookmarkStart w:id="11" w:name="_Hlk182314660"/>
            <w:r w:rsidRPr="00731734">
              <w:rPr>
                <w:rFonts w:ascii="Arial" w:eastAsia="Arial" w:hAnsi="Arial" w:cs="Arial"/>
                <w:b/>
                <w:color w:val="000000"/>
                <w:sz w:val="20"/>
                <w:szCs w:val="20"/>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170C9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4B0C4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227FD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Povprečno število I-III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90487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Medletna rast (%) I-III 25/I-III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387E0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Število v mesecu 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48B8D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Medletna rast (%) III 25/III 24</w:t>
            </w:r>
          </w:p>
        </w:tc>
      </w:tr>
      <w:tr w:rsidR="00731734" w:rsidRPr="00731734" w14:paraId="02808BED"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14E1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1CB00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Vinjete</w:t>
            </w:r>
            <w:r w:rsidRPr="00731734">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99CBD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2CF18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39E73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68CEE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723A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w:t>
            </w:r>
          </w:p>
        </w:tc>
      </w:tr>
      <w:tr w:rsidR="00731734" w:rsidRPr="00731734" w14:paraId="54AB19FA"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4C20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4C34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731734">
              <w:rPr>
                <w:rFonts w:ascii="Arial" w:eastAsia="Arial" w:hAnsi="Arial" w:cs="Arial"/>
                <w:b/>
                <w:color w:val="000000"/>
                <w:sz w:val="20"/>
                <w:szCs w:val="20"/>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4CD9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F0BC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4359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91A0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86A8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-4,4</w:t>
            </w:r>
          </w:p>
        </w:tc>
      </w:tr>
      <w:tr w:rsidR="00731734" w:rsidRPr="00731734" w14:paraId="22E8F794"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0655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D569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BF7C0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4FF1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AEF3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7722D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80452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-3,0</w:t>
            </w:r>
          </w:p>
        </w:tc>
      </w:tr>
      <w:tr w:rsidR="00731734" w:rsidRPr="00731734" w14:paraId="36576578"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EB48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01E4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7042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63A8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2.325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F62D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0D02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2.224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EBC3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-8,1</w:t>
            </w:r>
          </w:p>
        </w:tc>
      </w:tr>
      <w:tr w:rsidR="00731734" w:rsidRPr="00731734" w14:paraId="11377B0D"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DC7E1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DF105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3232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8CD4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17565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58EB2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1.505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207F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-1,7</w:t>
            </w:r>
          </w:p>
        </w:tc>
      </w:tr>
      <w:tr w:rsidR="00731734" w:rsidRPr="00731734" w14:paraId="38787D55"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854A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5381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633A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98C2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7.867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7ED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554B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8.324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0F30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-3,9</w:t>
            </w:r>
          </w:p>
        </w:tc>
      </w:tr>
      <w:tr w:rsidR="00731734" w:rsidRPr="00731734" w14:paraId="7E4E80CB"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CF04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AE22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Krajši delovni čas</w:t>
            </w:r>
            <w:r w:rsidRPr="00731734">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D2F6D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557BE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15.449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E9A1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B44E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15.546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ED06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1,9</w:t>
            </w:r>
          </w:p>
        </w:tc>
      </w:tr>
      <w:tr w:rsidR="00731734" w:rsidRPr="00731734" w14:paraId="53D2BB2F"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FE97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CBF5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64F0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22C7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20.812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F925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CE7C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20.658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543B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3,7</w:t>
            </w:r>
          </w:p>
        </w:tc>
      </w:tr>
      <w:tr w:rsidR="00731734" w:rsidRPr="00731734" w14:paraId="1E7F1B5A"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3EAC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2423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Dodatek za veliko družino</w:t>
            </w:r>
            <w:r w:rsidRPr="00731734">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3DA4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78BD0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30.689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80E5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4B92F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52331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-17,4</w:t>
            </w:r>
          </w:p>
        </w:tc>
      </w:tr>
      <w:tr w:rsidR="00731734" w:rsidRPr="00731734" w14:paraId="3DD6362E"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91A4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29DD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1ED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200D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83.314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7E13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1CD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83.541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B6B7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11,2</w:t>
            </w:r>
          </w:p>
        </w:tc>
      </w:tr>
      <w:tr w:rsidR="00731734" w:rsidRPr="00731734" w14:paraId="6091B6BC"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E9520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FDF10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1367E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555F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87.743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FD12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798A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88.195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B78C6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-2,2</w:t>
            </w:r>
          </w:p>
        </w:tc>
      </w:tr>
      <w:tr w:rsidR="00731734" w:rsidRPr="00731734" w14:paraId="0C15DB23"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C456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F6AF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Otroški dodatek</w:t>
            </w:r>
            <w:r w:rsidRPr="00731734">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76AC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9625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322.945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D6C1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927D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322.395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B443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-2,2</w:t>
            </w:r>
          </w:p>
        </w:tc>
      </w:tr>
      <w:tr w:rsidR="00731734" w:rsidRPr="00731734" w14:paraId="7718856E"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8494A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4864D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51B4E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967E4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73AA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17F0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39E3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-33,9</w:t>
            </w:r>
          </w:p>
        </w:tc>
      </w:tr>
      <w:tr w:rsidR="00731734" w:rsidRPr="00731734" w14:paraId="1BA7B7CD"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3BFA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D443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EA8D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FBC5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EC4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9B43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253D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-32,7</w:t>
            </w:r>
          </w:p>
        </w:tc>
      </w:tr>
      <w:tr w:rsidR="00731734" w:rsidRPr="00731734" w14:paraId="296053B7"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42F2A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6335C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731734">
              <w:rPr>
                <w:rFonts w:ascii="Arial" w:eastAsia="Arial" w:hAnsi="Arial" w:cs="Arial"/>
                <w:b/>
                <w:color w:val="000000"/>
                <w:sz w:val="20"/>
                <w:szCs w:val="20"/>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12CF9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B3760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4BD8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A7674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316E4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0,7</w:t>
            </w:r>
          </w:p>
        </w:tc>
      </w:tr>
      <w:tr w:rsidR="00731734" w:rsidRPr="00731734" w14:paraId="6B06E1B5"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8569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FBBA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E977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560B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BED9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6EB5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1.293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00E0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2,5</w:t>
            </w:r>
          </w:p>
        </w:tc>
      </w:tr>
      <w:tr w:rsidR="00731734" w:rsidRPr="00731734" w14:paraId="4650649F"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0DBB5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7CEE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8F11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B5342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1.856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DA1B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2C20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1.864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95AE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5,3</w:t>
            </w:r>
          </w:p>
        </w:tc>
      </w:tr>
      <w:tr w:rsidR="00731734" w:rsidRPr="00731734" w14:paraId="42060158"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0FD6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649D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Osebna asistenca</w:t>
            </w:r>
            <w:r w:rsidRPr="00731734">
              <w:rPr>
                <w:rFonts w:ascii="Arial" w:eastAsia="Arial" w:hAnsi="Arial" w:cs="Arial"/>
                <w:b/>
                <w:color w:val="000000"/>
                <w:sz w:val="20"/>
                <w:szCs w:val="20"/>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C56E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F084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4.397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C76C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4E5D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4.407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147A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3,4</w:t>
            </w:r>
          </w:p>
        </w:tc>
      </w:tr>
      <w:tr w:rsidR="00731734" w:rsidRPr="00731734" w14:paraId="63D64820"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6E719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8D23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731734">
              <w:rPr>
                <w:rFonts w:ascii="Arial" w:eastAsia="Arial" w:hAnsi="Arial" w:cs="Arial"/>
                <w:b/>
                <w:color w:val="000000"/>
                <w:sz w:val="20"/>
                <w:szCs w:val="20"/>
                <w:lang w:val="it-IT"/>
              </w:rPr>
              <w:t>Oprostitve plačila socialno varstvenih storitev</w:t>
            </w:r>
            <w:r w:rsidRPr="00731734">
              <w:rPr>
                <w:rFonts w:ascii="Arial" w:eastAsia="Arial" w:hAnsi="Arial" w:cs="Arial"/>
                <w:b/>
                <w:color w:val="000000"/>
                <w:sz w:val="20"/>
                <w:szCs w:val="20"/>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76A8C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6D29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8.097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97F9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1699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8.039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C077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-0,6</w:t>
            </w:r>
          </w:p>
        </w:tc>
      </w:tr>
      <w:tr w:rsidR="00731734" w:rsidRPr="00731734" w14:paraId="63E8F88E"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9D7C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8CE0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5CF3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B72E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9.876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406C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4A14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9.860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B5E2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-5,0</w:t>
            </w:r>
          </w:p>
        </w:tc>
      </w:tr>
      <w:tr w:rsidR="00731734" w:rsidRPr="00731734" w14:paraId="29C6535F"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94445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0F896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16807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4C405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25.780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CF69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9BCB8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25.796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CC6E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-0,1</w:t>
            </w:r>
          </w:p>
        </w:tc>
      </w:tr>
      <w:tr w:rsidR="00731734" w:rsidRPr="00731734" w14:paraId="4FE043C8"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92EB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2F09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731734">
              <w:rPr>
                <w:rFonts w:ascii="Arial" w:eastAsia="Arial" w:hAnsi="Arial" w:cs="Arial"/>
                <w:b/>
                <w:color w:val="000000"/>
                <w:sz w:val="20"/>
                <w:szCs w:val="20"/>
                <w:lang w:val="it-IT"/>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481D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6A6D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58.111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A8E3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EE29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58.360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6C7E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-2,2</w:t>
            </w:r>
          </w:p>
        </w:tc>
      </w:tr>
      <w:tr w:rsidR="00731734" w:rsidRPr="00731734" w14:paraId="48DCACCD"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953F7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AFF8E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731734">
              <w:rPr>
                <w:rFonts w:ascii="Arial" w:eastAsia="Arial" w:hAnsi="Arial" w:cs="Arial"/>
                <w:b/>
                <w:color w:val="000000"/>
                <w:sz w:val="20"/>
                <w:szCs w:val="20"/>
                <w:lang w:val="it-IT"/>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ED168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70E7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58.498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3C78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94E2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58.730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48AB3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-2,3</w:t>
            </w:r>
          </w:p>
        </w:tc>
      </w:tr>
      <w:tr w:rsidR="00731734" w:rsidRPr="00731734" w14:paraId="1802D6C5"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E162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5B72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0483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EE874"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10.302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883C1"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3663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9.325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63E5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-10,2</w:t>
            </w:r>
          </w:p>
        </w:tc>
      </w:tr>
      <w:tr w:rsidR="00731734" w:rsidRPr="00731734" w14:paraId="609AF026"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5EF6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DFFD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D72A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4B223"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13.131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29C0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915B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13.145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3889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-0,7</w:t>
            </w:r>
          </w:p>
        </w:tc>
      </w:tr>
      <w:tr w:rsidR="00731734" w:rsidRPr="00731734" w14:paraId="7E67553F" w14:textId="77777777" w:rsidTr="00731734">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BDAF7"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C048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798B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AC29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71.930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7A2BA"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A6FD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72.255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0923F"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-2,5</w:t>
            </w:r>
          </w:p>
        </w:tc>
      </w:tr>
      <w:tr w:rsidR="00731734" w:rsidRPr="00731734" w14:paraId="3B364A39" w14:textId="77777777" w:rsidTr="00731734">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D3E545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rPr>
            </w:pPr>
            <w:r w:rsidRPr="00731734">
              <w:rPr>
                <w:rFonts w:ascii="Arial" w:eastAsia="Arial" w:hAnsi="Arial" w:cs="Arial"/>
                <w:color w:val="000000"/>
                <w:sz w:val="20"/>
                <w:szCs w:val="20"/>
                <w:vertAlign w:val="superscript"/>
              </w:rPr>
              <w:t>*</w:t>
            </w:r>
            <w:r w:rsidRPr="00731734">
              <w:rPr>
                <w:rFonts w:ascii="Arial" w:eastAsia="Arial" w:hAnsi="Arial" w:cs="Arial"/>
                <w:color w:val="000000"/>
                <w:sz w:val="20"/>
                <w:szCs w:val="20"/>
              </w:rPr>
              <w:t xml:space="preserve">Število upravičencev je izračunano kot vsota po mesecih.; </w:t>
            </w:r>
            <w:r w:rsidRPr="00731734">
              <w:rPr>
                <w:rFonts w:ascii="Arial" w:eastAsia="Arial" w:hAnsi="Arial" w:cs="Arial"/>
                <w:color w:val="000000"/>
                <w:sz w:val="20"/>
                <w:szCs w:val="20"/>
                <w:vertAlign w:val="superscript"/>
              </w:rPr>
              <w:t>**</w:t>
            </w:r>
            <w:r w:rsidRPr="00731734">
              <w:rPr>
                <w:rFonts w:ascii="Arial" w:eastAsia="Arial" w:hAnsi="Arial" w:cs="Arial"/>
                <w:color w:val="000000"/>
                <w:sz w:val="20"/>
                <w:szCs w:val="20"/>
              </w:rPr>
              <w:t xml:space="preserve">Prikazano je število otrok.; </w:t>
            </w:r>
          </w:p>
        </w:tc>
      </w:tr>
    </w:tbl>
    <w:p w14:paraId="21C42433" w14:textId="77777777" w:rsidR="00731734" w:rsidRDefault="00731734"/>
    <w:tbl>
      <w:tblPr>
        <w:tblW w:w="4406" w:type="pct"/>
        <w:jc w:val="center"/>
        <w:tblLook w:val="0420" w:firstRow="1" w:lastRow="0" w:firstColumn="0" w:lastColumn="0" w:noHBand="0" w:noVBand="1"/>
      </w:tblPr>
      <w:tblGrid>
        <w:gridCol w:w="2876"/>
        <w:gridCol w:w="812"/>
        <w:gridCol w:w="1956"/>
        <w:gridCol w:w="812"/>
        <w:gridCol w:w="1843"/>
      </w:tblGrid>
      <w:tr w:rsidR="00731734" w:rsidRPr="00731734" w14:paraId="3CCD0624" w14:textId="77777777" w:rsidTr="00EC2908">
        <w:trPr>
          <w:tblHeader/>
          <w:jc w:val="center"/>
        </w:trPr>
        <w:tc>
          <w:tcPr>
            <w:tcW w:w="173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CA4486"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B39E0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C221C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Medletna rast (%) I-II 25/I-II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9586DD"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63840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731734">
              <w:rPr>
                <w:rFonts w:ascii="Arial" w:eastAsia="Arial" w:hAnsi="Arial" w:cs="Arial"/>
                <w:b/>
                <w:color w:val="000000"/>
                <w:sz w:val="20"/>
                <w:szCs w:val="20"/>
              </w:rPr>
              <w:t>Medletna rast (%) II 25/II 24</w:t>
            </w:r>
          </w:p>
        </w:tc>
      </w:tr>
      <w:tr w:rsidR="00731734" w:rsidRPr="00731734" w14:paraId="6184562B" w14:textId="77777777" w:rsidTr="00EC2908">
        <w:trPr>
          <w:jc w:val="center"/>
        </w:trPr>
        <w:tc>
          <w:tcPr>
            <w:tcW w:w="1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7167C0"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5EDF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16.619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705EE"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9B563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16.915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46BB19"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-0,3</w:t>
            </w:r>
          </w:p>
        </w:tc>
      </w:tr>
      <w:tr w:rsidR="00731734" w:rsidRPr="00731734" w14:paraId="4FFDA7E2" w14:textId="77777777" w:rsidTr="00EC2908">
        <w:trPr>
          <w:jc w:val="center"/>
        </w:trPr>
        <w:tc>
          <w:tcPr>
            <w:tcW w:w="1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A9048"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731734">
              <w:rPr>
                <w:rFonts w:ascii="Arial" w:eastAsia="Arial" w:hAnsi="Arial" w:cs="Arial"/>
                <w:b/>
                <w:color w:val="000000"/>
                <w:sz w:val="20"/>
                <w:szCs w:val="20"/>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D9C5"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83C92"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89D5B"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247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9909C" w14:textId="77777777" w:rsidR="00731734" w:rsidRPr="00731734" w:rsidRDefault="00731734"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731734">
              <w:rPr>
                <w:rFonts w:ascii="Arial" w:eastAsia="Arial" w:hAnsi="Arial" w:cs="Arial"/>
                <w:color w:val="000000"/>
                <w:sz w:val="20"/>
                <w:szCs w:val="20"/>
              </w:rPr>
              <w:t>-32,9</w:t>
            </w:r>
          </w:p>
        </w:tc>
      </w:tr>
    </w:tbl>
    <w:p w14:paraId="36E04F5B" w14:textId="77777777" w:rsidR="0005650E" w:rsidRDefault="0005650E"/>
    <w:bookmarkEnd w:id="11"/>
    <w:p w14:paraId="28624B07" w14:textId="77777777" w:rsidR="00746BEE" w:rsidRDefault="00746BEE" w:rsidP="0005650E">
      <w:pPr>
        <w:rPr>
          <w:b/>
          <w:bCs/>
          <w:lang w:val="sl-SI"/>
        </w:rPr>
      </w:pPr>
    </w:p>
    <w:p w14:paraId="38768DB1" w14:textId="77777777" w:rsidR="00746BEE" w:rsidRDefault="00746BEE">
      <w:pPr>
        <w:rPr>
          <w:b/>
          <w:bCs/>
          <w:lang w:val="sl-SI"/>
        </w:rPr>
      </w:pPr>
      <w:r>
        <w:rPr>
          <w:b/>
          <w:bCs/>
          <w:lang w:val="sl-SI"/>
        </w:rPr>
        <w:br w:type="page"/>
      </w:r>
    </w:p>
    <w:p w14:paraId="50201341" w14:textId="5DE5157F" w:rsidR="00C86416" w:rsidRPr="0005650E" w:rsidRDefault="00C86416" w:rsidP="0005650E">
      <w:pPr>
        <w:rPr>
          <w:b/>
          <w:bCs/>
          <w:sz w:val="22"/>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000" w:type="pct"/>
        <w:jc w:val="center"/>
        <w:tblLook w:val="0420" w:firstRow="1" w:lastRow="0" w:firstColumn="0" w:lastColumn="0" w:noHBand="0" w:noVBand="1"/>
      </w:tblPr>
      <w:tblGrid>
        <w:gridCol w:w="1554"/>
        <w:gridCol w:w="3821"/>
        <w:gridCol w:w="2490"/>
        <w:gridCol w:w="1553"/>
      </w:tblGrid>
      <w:tr w:rsidR="0005650E" w:rsidRPr="001A1872" w14:paraId="41965480" w14:textId="77777777" w:rsidTr="0005650E">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290BB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bookmarkStart w:id="12" w:name="_Hlk182314853"/>
            <w:r w:rsidRPr="001A1872">
              <w:rPr>
                <w:rFonts w:ascii="Arial" w:eastAsia="Arial" w:hAnsi="Arial" w:cs="Arial"/>
                <w:b/>
                <w:color w:val="000000"/>
                <w:sz w:val="20"/>
                <w:szCs w:val="20"/>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B269E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96A72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96646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1A1872">
              <w:rPr>
                <w:rFonts w:ascii="Arial" w:eastAsia="Arial" w:hAnsi="Arial" w:cs="Arial"/>
                <w:b/>
                <w:color w:val="000000"/>
                <w:sz w:val="20"/>
                <w:szCs w:val="20"/>
              </w:rPr>
              <w:t>Medletna rast (%)</w:t>
            </w:r>
          </w:p>
        </w:tc>
      </w:tr>
      <w:tr w:rsidR="0005650E" w:rsidRPr="001A1872" w14:paraId="3A443CF4"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49C3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5A1BD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EBA90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BF5C4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-1,1</w:t>
            </w:r>
          </w:p>
        </w:tc>
      </w:tr>
      <w:tr w:rsidR="0005650E" w:rsidRPr="001A1872" w14:paraId="181CD7F2"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32DB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D8D7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9BD3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DBC4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2,6</w:t>
            </w:r>
          </w:p>
        </w:tc>
      </w:tr>
      <w:tr w:rsidR="0005650E" w:rsidRPr="001A1872" w14:paraId="067D831D"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524D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2782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9927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120,9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5C97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-4,6</w:t>
            </w:r>
          </w:p>
        </w:tc>
      </w:tr>
      <w:tr w:rsidR="0005650E" w:rsidRPr="001A1872" w14:paraId="595BEC32"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BB69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7BA0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7B6B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887B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4,3</w:t>
            </w:r>
          </w:p>
        </w:tc>
      </w:tr>
      <w:tr w:rsidR="0005650E" w:rsidRPr="001A1872" w14:paraId="5008ADAE"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811D2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7EC4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3F755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224,0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4A05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2,0</w:t>
            </w:r>
          </w:p>
        </w:tc>
      </w:tr>
      <w:tr w:rsidR="0005650E" w:rsidRPr="001A1872" w14:paraId="1AA312DF"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BD84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432F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4299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432,3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C42F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2,7</w:t>
            </w:r>
          </w:p>
        </w:tc>
      </w:tr>
      <w:tr w:rsidR="0005650E" w:rsidRPr="001A1872" w14:paraId="75EDEF5C"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17AD8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82C6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1A1872">
              <w:rPr>
                <w:rFonts w:ascii="Arial" w:eastAsia="Arial" w:hAnsi="Arial" w:cs="Arial"/>
                <w:b/>
                <w:color w:val="000000"/>
                <w:sz w:val="20"/>
                <w:szCs w:val="20"/>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CD6C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480B7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7,7</w:t>
            </w:r>
          </w:p>
        </w:tc>
      </w:tr>
      <w:tr w:rsidR="0005650E" w:rsidRPr="001A1872" w14:paraId="730962A1"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48FA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82E5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5D72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457,3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BEB9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4,7</w:t>
            </w:r>
          </w:p>
        </w:tc>
      </w:tr>
      <w:tr w:rsidR="0005650E" w:rsidRPr="001A1872" w14:paraId="7025EB79"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19C0F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0D5F2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96D8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501,6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BBE3F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2,4</w:t>
            </w:r>
          </w:p>
        </w:tc>
      </w:tr>
      <w:tr w:rsidR="0005650E" w:rsidRPr="001A1872" w14:paraId="2A0E1F81"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7723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6CD4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EEAE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650F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0,8</w:t>
            </w:r>
          </w:p>
        </w:tc>
      </w:tr>
      <w:tr w:rsidR="0005650E" w:rsidRPr="001A1872" w14:paraId="0C04382B"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DB5BA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58BE15"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11B5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1.509,0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2F88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7,1</w:t>
            </w:r>
          </w:p>
        </w:tc>
      </w:tr>
      <w:tr w:rsidR="0005650E" w:rsidRPr="001A1872" w14:paraId="0616E5CD"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B922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2B56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675C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149,5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13E1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6,3</w:t>
            </w:r>
          </w:p>
        </w:tc>
      </w:tr>
      <w:tr w:rsidR="0005650E" w:rsidRPr="001A1872" w14:paraId="4B7A9359"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A91D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3A7B1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90F6D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182,0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AC66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3,4</w:t>
            </w:r>
          </w:p>
        </w:tc>
      </w:tr>
      <w:tr w:rsidR="0005650E" w:rsidRPr="001A1872" w14:paraId="54C30F68"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388B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07D9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FE587"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189,7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5185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4,1</w:t>
            </w:r>
          </w:p>
        </w:tc>
      </w:tr>
      <w:tr w:rsidR="0005650E" w:rsidRPr="001A1872" w14:paraId="7D061AED"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32DED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9D05E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1A1872">
              <w:rPr>
                <w:rFonts w:ascii="Arial" w:eastAsia="Arial" w:hAnsi="Arial" w:cs="Arial"/>
                <w:b/>
                <w:color w:val="000000"/>
                <w:sz w:val="20"/>
                <w:szCs w:val="20"/>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F8302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D36A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3,4</w:t>
            </w:r>
          </w:p>
        </w:tc>
      </w:tr>
      <w:tr w:rsidR="0005650E" w:rsidRPr="001A1872" w14:paraId="03959DAF"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3DEE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BE21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C9A63"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484,9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BBD9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4,2</w:t>
            </w:r>
          </w:p>
        </w:tc>
      </w:tr>
      <w:tr w:rsidR="0005650E" w:rsidRPr="001A1872" w14:paraId="13F2347B"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CEE2C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F63A2"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it-IT"/>
              </w:rPr>
            </w:pPr>
            <w:r w:rsidRPr="001A1872">
              <w:rPr>
                <w:rFonts w:ascii="Arial" w:eastAsia="Arial" w:hAnsi="Arial" w:cs="Arial"/>
                <w:b/>
                <w:color w:val="000000"/>
                <w:sz w:val="20"/>
                <w:szCs w:val="20"/>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FE082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816,8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CADB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15,4</w:t>
            </w:r>
          </w:p>
        </w:tc>
      </w:tr>
      <w:tr w:rsidR="0005650E" w:rsidRPr="001A1872" w14:paraId="1FEAEAD8"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4201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FB7D1"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BC63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967,5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0C88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4,3</w:t>
            </w:r>
          </w:p>
        </w:tc>
      </w:tr>
      <w:tr w:rsidR="0005650E" w:rsidRPr="001A1872" w14:paraId="1383E28F"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032A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4879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31770E"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1.382,7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B12276"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1,7</w:t>
            </w:r>
          </w:p>
        </w:tc>
      </w:tr>
      <w:tr w:rsidR="0005650E" w:rsidRPr="001A1872" w14:paraId="442B3CC2"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74BAF"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F5A3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470BC"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4.366,2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588B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3,0</w:t>
            </w:r>
          </w:p>
        </w:tc>
      </w:tr>
      <w:tr w:rsidR="0005650E" w:rsidRPr="001A1872" w14:paraId="3DFE6410"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6BB9D"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84768"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844A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166,4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EE61A"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2,2</w:t>
            </w:r>
          </w:p>
        </w:tc>
      </w:tr>
      <w:tr w:rsidR="0005650E" w:rsidRPr="001A1872" w14:paraId="0C989126"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193E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2DEF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003AB"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263,6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9867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-38,4</w:t>
            </w:r>
          </w:p>
        </w:tc>
      </w:tr>
      <w:tr w:rsidR="0005650E" w:rsidRPr="001A1872" w14:paraId="4C9EFAA5" w14:textId="77777777" w:rsidTr="0005650E">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5135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C36404"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1A1872">
              <w:rPr>
                <w:rFonts w:ascii="Arial" w:eastAsia="Arial" w:hAnsi="Arial" w:cs="Arial"/>
                <w:b/>
                <w:color w:val="000000"/>
                <w:sz w:val="20"/>
                <w:szCs w:val="20"/>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E0D9E0"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281,8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339D9" w14:textId="77777777" w:rsidR="0005650E" w:rsidRPr="001A1872" w:rsidRDefault="0005650E" w:rsidP="00E1761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1A1872">
              <w:rPr>
                <w:rFonts w:ascii="Arial" w:eastAsia="Arial" w:hAnsi="Arial" w:cs="Arial"/>
                <w:color w:val="000000"/>
                <w:sz w:val="20"/>
                <w:szCs w:val="20"/>
              </w:rPr>
              <w:t>3,5</w:t>
            </w:r>
          </w:p>
        </w:tc>
      </w:tr>
    </w:tbl>
    <w:p w14:paraId="4F445436" w14:textId="77777777" w:rsidR="0005650E" w:rsidRDefault="0005650E"/>
    <w:tbl>
      <w:tblPr>
        <w:tblW w:w="4245" w:type="pct"/>
        <w:jc w:val="center"/>
        <w:tblLook w:val="0420" w:firstRow="1" w:lastRow="0" w:firstColumn="0" w:lastColumn="0" w:noHBand="0" w:noVBand="1"/>
      </w:tblPr>
      <w:tblGrid>
        <w:gridCol w:w="3019"/>
        <w:gridCol w:w="2960"/>
        <w:gridCol w:w="2017"/>
      </w:tblGrid>
      <w:tr w:rsidR="00EC2908" w:rsidRPr="00EC2908" w14:paraId="10F080C6" w14:textId="77777777" w:rsidTr="00EC2908">
        <w:trPr>
          <w:tblHeader/>
          <w:jc w:val="center"/>
        </w:trPr>
        <w:tc>
          <w:tcPr>
            <w:tcW w:w="188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97D361"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EC2908">
              <w:rPr>
                <w:rFonts w:ascii="Arial" w:eastAsia="Arial" w:hAnsi="Arial" w:cs="Arial"/>
                <w:b/>
                <w:color w:val="000000"/>
                <w:sz w:val="20"/>
                <w:szCs w:val="20"/>
              </w:rPr>
              <w:lastRenderedPageBreak/>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952127"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EC2908">
              <w:rPr>
                <w:rFonts w:ascii="Arial" w:eastAsia="Arial" w:hAnsi="Arial" w:cs="Arial"/>
                <w:b/>
                <w:color w:val="000000"/>
                <w:sz w:val="20"/>
                <w:szCs w:val="20"/>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25CB2E"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EC2908">
              <w:rPr>
                <w:rFonts w:ascii="Arial" w:eastAsia="Arial" w:hAnsi="Arial" w:cs="Arial"/>
                <w:b/>
                <w:color w:val="000000"/>
                <w:sz w:val="20"/>
                <w:szCs w:val="20"/>
              </w:rPr>
              <w:t>Medletna rast (%)</w:t>
            </w:r>
          </w:p>
        </w:tc>
      </w:tr>
      <w:tr w:rsidR="00EC2908" w:rsidRPr="00EC2908" w14:paraId="0452B6AF" w14:textId="77777777" w:rsidTr="00EC2908">
        <w:trPr>
          <w:jc w:val="center"/>
        </w:trPr>
        <w:tc>
          <w:tcPr>
            <w:tcW w:w="188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88F655"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EC2908">
              <w:rPr>
                <w:rFonts w:ascii="Arial" w:eastAsia="Arial" w:hAnsi="Arial" w:cs="Arial"/>
                <w:b/>
                <w:color w:val="000000"/>
                <w:sz w:val="20"/>
                <w:szCs w:val="20"/>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F02E2"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C2908">
              <w:rPr>
                <w:rFonts w:ascii="Arial" w:eastAsia="Arial" w:hAnsi="Arial" w:cs="Arial"/>
                <w:color w:val="000000"/>
                <w:sz w:val="20"/>
                <w:szCs w:val="20"/>
              </w:rPr>
              <w:t>918,4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E5013"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C2908">
              <w:rPr>
                <w:rFonts w:ascii="Arial" w:eastAsia="Arial" w:hAnsi="Arial" w:cs="Arial"/>
                <w:color w:val="000000"/>
                <w:sz w:val="20"/>
                <w:szCs w:val="20"/>
              </w:rPr>
              <w:t>0,1</w:t>
            </w:r>
          </w:p>
        </w:tc>
      </w:tr>
      <w:tr w:rsidR="00EC2908" w:rsidRPr="00EC2908" w14:paraId="4FD84B7B" w14:textId="77777777" w:rsidTr="00EC2908">
        <w:trPr>
          <w:jc w:val="center"/>
        </w:trPr>
        <w:tc>
          <w:tcPr>
            <w:tcW w:w="18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6F984"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EC2908">
              <w:rPr>
                <w:rFonts w:ascii="Arial" w:eastAsia="Arial" w:hAnsi="Arial" w:cs="Arial"/>
                <w:b/>
                <w:color w:val="000000"/>
                <w:sz w:val="20"/>
                <w:szCs w:val="20"/>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F21A7"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C2908">
              <w:rPr>
                <w:rFonts w:ascii="Arial" w:eastAsia="Arial" w:hAnsi="Arial" w:cs="Arial"/>
                <w:color w:val="000000"/>
                <w:sz w:val="20"/>
                <w:szCs w:val="20"/>
              </w:rPr>
              <w:t>178,1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B08AA" w14:textId="77777777" w:rsidR="00EC2908" w:rsidRPr="00EC2908" w:rsidRDefault="00EC2908" w:rsidP="00AE5C1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C2908">
              <w:rPr>
                <w:rFonts w:ascii="Arial" w:eastAsia="Arial" w:hAnsi="Arial" w:cs="Arial"/>
                <w:color w:val="000000"/>
                <w:sz w:val="20"/>
                <w:szCs w:val="20"/>
              </w:rPr>
              <w:t>-2,5</w:t>
            </w:r>
          </w:p>
        </w:tc>
      </w:tr>
    </w:tbl>
    <w:p w14:paraId="0A691F86" w14:textId="77777777" w:rsidR="002E12C9" w:rsidRDefault="002E12C9"/>
    <w:p w14:paraId="1CD1845D" w14:textId="77777777" w:rsidR="006B516A" w:rsidRDefault="006B516A"/>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7"/>
        <w:gridCol w:w="853"/>
        <w:gridCol w:w="1846"/>
        <w:gridCol w:w="1195"/>
        <w:gridCol w:w="1687"/>
        <w:gridCol w:w="1115"/>
        <w:gridCol w:w="2670"/>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asistenca/komunika</w:t>
            </w:r>
            <w:r w:rsidR="008045D6" w:rsidRPr="0040685B">
              <w:rPr>
                <w:rFonts w:ascii="Arial" w:eastAsia="Arial" w:hAnsi="Arial" w:cs="Arial"/>
                <w:bCs/>
                <w:color w:val="000000"/>
                <w:sz w:val="16"/>
                <w:szCs w:val="16"/>
                <w:lang w:val="sl-SI"/>
              </w:rPr>
              <w:t>-</w:t>
            </w:r>
            <w:r w:rsidRPr="0040685B">
              <w:rPr>
                <w:rFonts w:ascii="Arial" w:eastAsia="Arial" w:hAnsi="Arial" w:cs="Arial"/>
                <w:bCs/>
                <w:color w:val="000000"/>
                <w:sz w:val="16"/>
                <w:szCs w:val="16"/>
                <w:lang w:val="sl-SI"/>
              </w:rPr>
              <w:t>cijski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socialno varstven</w:t>
      </w:r>
      <w:r w:rsidR="00340C9E">
        <w:rPr>
          <w:sz w:val="20"/>
          <w:szCs w:val="20"/>
          <w:lang w:val="sl-SI"/>
        </w:rPr>
        <w:t>i</w:t>
      </w:r>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rsidSect="00A50FCB">
      <w:footerReference w:type="default" r:id="rId16"/>
      <w:pgSz w:w="12240" w:h="15840"/>
      <w:pgMar w:top="1411" w:right="1411" w:bottom="1411" w:left="1411"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43F8" w14:textId="77777777" w:rsidR="00853578" w:rsidRDefault="00853578">
      <w:pPr>
        <w:spacing w:after="0"/>
      </w:pPr>
      <w:r>
        <w:separator/>
      </w:r>
    </w:p>
  </w:endnote>
  <w:endnote w:type="continuationSeparator" w:id="0">
    <w:p w14:paraId="662A2D02" w14:textId="77777777" w:rsidR="00853578" w:rsidRDefault="00853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344F" w14:textId="77777777" w:rsidR="00853578" w:rsidRDefault="00853578">
      <w:r>
        <w:separator/>
      </w:r>
    </w:p>
  </w:footnote>
  <w:footnote w:type="continuationSeparator" w:id="0">
    <w:p w14:paraId="0782D61A" w14:textId="77777777" w:rsidR="00853578" w:rsidRDefault="00853578">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173F7"/>
    <w:rsid w:val="00032670"/>
    <w:rsid w:val="00036090"/>
    <w:rsid w:val="00036235"/>
    <w:rsid w:val="00040A79"/>
    <w:rsid w:val="00041218"/>
    <w:rsid w:val="00044823"/>
    <w:rsid w:val="00045B1D"/>
    <w:rsid w:val="00045B8D"/>
    <w:rsid w:val="00047AA4"/>
    <w:rsid w:val="000551A4"/>
    <w:rsid w:val="0005650E"/>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D6BF5"/>
    <w:rsid w:val="000E0CC5"/>
    <w:rsid w:val="000E1A42"/>
    <w:rsid w:val="000E4093"/>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08AF"/>
    <w:rsid w:val="001411B2"/>
    <w:rsid w:val="00141BA2"/>
    <w:rsid w:val="0014218F"/>
    <w:rsid w:val="00145C5E"/>
    <w:rsid w:val="001461FC"/>
    <w:rsid w:val="001468E3"/>
    <w:rsid w:val="00150D07"/>
    <w:rsid w:val="00150FDD"/>
    <w:rsid w:val="001538FE"/>
    <w:rsid w:val="00160F8D"/>
    <w:rsid w:val="001656A6"/>
    <w:rsid w:val="001661C1"/>
    <w:rsid w:val="00166DBC"/>
    <w:rsid w:val="001758A0"/>
    <w:rsid w:val="00177627"/>
    <w:rsid w:val="00181A89"/>
    <w:rsid w:val="001821C3"/>
    <w:rsid w:val="00183139"/>
    <w:rsid w:val="001873A7"/>
    <w:rsid w:val="0019189A"/>
    <w:rsid w:val="0019256E"/>
    <w:rsid w:val="001946FB"/>
    <w:rsid w:val="0019628A"/>
    <w:rsid w:val="00197468"/>
    <w:rsid w:val="00197C74"/>
    <w:rsid w:val="001A17BC"/>
    <w:rsid w:val="001A1872"/>
    <w:rsid w:val="001A1DD6"/>
    <w:rsid w:val="001B2FE9"/>
    <w:rsid w:val="001B36AD"/>
    <w:rsid w:val="001B53B5"/>
    <w:rsid w:val="001B54DD"/>
    <w:rsid w:val="001C0803"/>
    <w:rsid w:val="001C09B0"/>
    <w:rsid w:val="001C23D4"/>
    <w:rsid w:val="001C5BAD"/>
    <w:rsid w:val="001D02DB"/>
    <w:rsid w:val="001D72C2"/>
    <w:rsid w:val="001D7763"/>
    <w:rsid w:val="001D7FC6"/>
    <w:rsid w:val="001E07D3"/>
    <w:rsid w:val="001E23E3"/>
    <w:rsid w:val="001E5FCF"/>
    <w:rsid w:val="001E749A"/>
    <w:rsid w:val="001F1C8E"/>
    <w:rsid w:val="001F43BA"/>
    <w:rsid w:val="001F62C1"/>
    <w:rsid w:val="001F6A23"/>
    <w:rsid w:val="001F7AA7"/>
    <w:rsid w:val="00201EBB"/>
    <w:rsid w:val="00201FA9"/>
    <w:rsid w:val="002040D8"/>
    <w:rsid w:val="00206310"/>
    <w:rsid w:val="0021001C"/>
    <w:rsid w:val="00214F4C"/>
    <w:rsid w:val="002224BC"/>
    <w:rsid w:val="00222A6E"/>
    <w:rsid w:val="002254E3"/>
    <w:rsid w:val="00226461"/>
    <w:rsid w:val="00227A8E"/>
    <w:rsid w:val="00227C75"/>
    <w:rsid w:val="00227DA5"/>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012C"/>
    <w:rsid w:val="002910E6"/>
    <w:rsid w:val="00294B65"/>
    <w:rsid w:val="00295633"/>
    <w:rsid w:val="002966AC"/>
    <w:rsid w:val="002A01BC"/>
    <w:rsid w:val="002A01D2"/>
    <w:rsid w:val="002A025F"/>
    <w:rsid w:val="002A2E0B"/>
    <w:rsid w:val="002A6427"/>
    <w:rsid w:val="002B1348"/>
    <w:rsid w:val="002B4B7F"/>
    <w:rsid w:val="002C0F23"/>
    <w:rsid w:val="002C6A8C"/>
    <w:rsid w:val="002C7679"/>
    <w:rsid w:val="002D1294"/>
    <w:rsid w:val="002D2AE9"/>
    <w:rsid w:val="002D30ED"/>
    <w:rsid w:val="002D3492"/>
    <w:rsid w:val="002D51AC"/>
    <w:rsid w:val="002E12C9"/>
    <w:rsid w:val="002E3781"/>
    <w:rsid w:val="002E4598"/>
    <w:rsid w:val="002F076B"/>
    <w:rsid w:val="002F10E8"/>
    <w:rsid w:val="002F12D4"/>
    <w:rsid w:val="002F34C0"/>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61D40"/>
    <w:rsid w:val="00362CB6"/>
    <w:rsid w:val="00364B86"/>
    <w:rsid w:val="00366270"/>
    <w:rsid w:val="00367447"/>
    <w:rsid w:val="00370773"/>
    <w:rsid w:val="003709CF"/>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4F50"/>
    <w:rsid w:val="003B509A"/>
    <w:rsid w:val="003B6385"/>
    <w:rsid w:val="003B791D"/>
    <w:rsid w:val="003C1952"/>
    <w:rsid w:val="003C4373"/>
    <w:rsid w:val="003C5A7F"/>
    <w:rsid w:val="003C60CA"/>
    <w:rsid w:val="003C68EB"/>
    <w:rsid w:val="003C74B4"/>
    <w:rsid w:val="003D651B"/>
    <w:rsid w:val="003E17EB"/>
    <w:rsid w:val="003E23B8"/>
    <w:rsid w:val="003E3593"/>
    <w:rsid w:val="003F32F1"/>
    <w:rsid w:val="003F6158"/>
    <w:rsid w:val="003F78BC"/>
    <w:rsid w:val="0040080B"/>
    <w:rsid w:val="00400C06"/>
    <w:rsid w:val="00402671"/>
    <w:rsid w:val="004063D3"/>
    <w:rsid w:val="0040685B"/>
    <w:rsid w:val="0041030E"/>
    <w:rsid w:val="0041229C"/>
    <w:rsid w:val="004138A3"/>
    <w:rsid w:val="00414973"/>
    <w:rsid w:val="00414D5F"/>
    <w:rsid w:val="00420660"/>
    <w:rsid w:val="00423D2E"/>
    <w:rsid w:val="00424953"/>
    <w:rsid w:val="00425A22"/>
    <w:rsid w:val="0042620E"/>
    <w:rsid w:val="00426FC2"/>
    <w:rsid w:val="00432872"/>
    <w:rsid w:val="00433A0E"/>
    <w:rsid w:val="00440260"/>
    <w:rsid w:val="00440F12"/>
    <w:rsid w:val="004443D8"/>
    <w:rsid w:val="004451CB"/>
    <w:rsid w:val="00447205"/>
    <w:rsid w:val="0045076D"/>
    <w:rsid w:val="00461DD8"/>
    <w:rsid w:val="00465006"/>
    <w:rsid w:val="0046557D"/>
    <w:rsid w:val="004666FD"/>
    <w:rsid w:val="00473A8C"/>
    <w:rsid w:val="004768A5"/>
    <w:rsid w:val="00476BCF"/>
    <w:rsid w:val="0048226E"/>
    <w:rsid w:val="0048231E"/>
    <w:rsid w:val="004839B9"/>
    <w:rsid w:val="00484AEC"/>
    <w:rsid w:val="0049019F"/>
    <w:rsid w:val="0049054B"/>
    <w:rsid w:val="004914B6"/>
    <w:rsid w:val="004955B0"/>
    <w:rsid w:val="0049598A"/>
    <w:rsid w:val="00497393"/>
    <w:rsid w:val="004A1987"/>
    <w:rsid w:val="004A453C"/>
    <w:rsid w:val="004B064A"/>
    <w:rsid w:val="004B2776"/>
    <w:rsid w:val="004B296A"/>
    <w:rsid w:val="004B2C77"/>
    <w:rsid w:val="004B72D8"/>
    <w:rsid w:val="004C2069"/>
    <w:rsid w:val="004C70E0"/>
    <w:rsid w:val="004D0B9A"/>
    <w:rsid w:val="004E29B3"/>
    <w:rsid w:val="004E4873"/>
    <w:rsid w:val="004E4FCF"/>
    <w:rsid w:val="004E54AF"/>
    <w:rsid w:val="004F0A28"/>
    <w:rsid w:val="004F14F3"/>
    <w:rsid w:val="004F398E"/>
    <w:rsid w:val="004F41E0"/>
    <w:rsid w:val="004F6ABF"/>
    <w:rsid w:val="004F76AC"/>
    <w:rsid w:val="005011AD"/>
    <w:rsid w:val="0050685C"/>
    <w:rsid w:val="005120F5"/>
    <w:rsid w:val="005146F9"/>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53A98"/>
    <w:rsid w:val="0056702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310E"/>
    <w:rsid w:val="005B5080"/>
    <w:rsid w:val="005C086C"/>
    <w:rsid w:val="005C4E0A"/>
    <w:rsid w:val="005C536D"/>
    <w:rsid w:val="005C779C"/>
    <w:rsid w:val="005D6C61"/>
    <w:rsid w:val="005D6E21"/>
    <w:rsid w:val="005E201C"/>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516A"/>
    <w:rsid w:val="006C2100"/>
    <w:rsid w:val="006C6685"/>
    <w:rsid w:val="006D002A"/>
    <w:rsid w:val="006D06D0"/>
    <w:rsid w:val="006D188A"/>
    <w:rsid w:val="006D4DDD"/>
    <w:rsid w:val="006D5D4D"/>
    <w:rsid w:val="006D7962"/>
    <w:rsid w:val="006E1656"/>
    <w:rsid w:val="006E49AF"/>
    <w:rsid w:val="006E5CDD"/>
    <w:rsid w:val="006E7EE6"/>
    <w:rsid w:val="006F379F"/>
    <w:rsid w:val="006F5B42"/>
    <w:rsid w:val="006F5D8B"/>
    <w:rsid w:val="006F7A9B"/>
    <w:rsid w:val="00702E28"/>
    <w:rsid w:val="0070573B"/>
    <w:rsid w:val="00707904"/>
    <w:rsid w:val="00713160"/>
    <w:rsid w:val="00713757"/>
    <w:rsid w:val="0071470C"/>
    <w:rsid w:val="00715094"/>
    <w:rsid w:val="00715C79"/>
    <w:rsid w:val="00720F7D"/>
    <w:rsid w:val="00722E89"/>
    <w:rsid w:val="00723F3F"/>
    <w:rsid w:val="0073038A"/>
    <w:rsid w:val="00731734"/>
    <w:rsid w:val="00731FEA"/>
    <w:rsid w:val="007365FD"/>
    <w:rsid w:val="00737D0A"/>
    <w:rsid w:val="00740F21"/>
    <w:rsid w:val="00741DF6"/>
    <w:rsid w:val="00741E90"/>
    <w:rsid w:val="007425AB"/>
    <w:rsid w:val="007429B7"/>
    <w:rsid w:val="007429E6"/>
    <w:rsid w:val="007455B6"/>
    <w:rsid w:val="00746BEE"/>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B6999"/>
    <w:rsid w:val="007C189D"/>
    <w:rsid w:val="007C55E4"/>
    <w:rsid w:val="007C6094"/>
    <w:rsid w:val="007C6B7C"/>
    <w:rsid w:val="007D2245"/>
    <w:rsid w:val="007D7CC7"/>
    <w:rsid w:val="007E7D86"/>
    <w:rsid w:val="007F19C3"/>
    <w:rsid w:val="007F69FF"/>
    <w:rsid w:val="008004B3"/>
    <w:rsid w:val="00800E76"/>
    <w:rsid w:val="00802F5E"/>
    <w:rsid w:val="008045D6"/>
    <w:rsid w:val="00804F95"/>
    <w:rsid w:val="00805869"/>
    <w:rsid w:val="00807DD2"/>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3578"/>
    <w:rsid w:val="00853D2D"/>
    <w:rsid w:val="008559CD"/>
    <w:rsid w:val="00860ADC"/>
    <w:rsid w:val="008619D0"/>
    <w:rsid w:val="00863CE6"/>
    <w:rsid w:val="00866A4A"/>
    <w:rsid w:val="00867120"/>
    <w:rsid w:val="00871271"/>
    <w:rsid w:val="00873C2E"/>
    <w:rsid w:val="0087607A"/>
    <w:rsid w:val="00877640"/>
    <w:rsid w:val="0088348C"/>
    <w:rsid w:val="00883FA1"/>
    <w:rsid w:val="008948FF"/>
    <w:rsid w:val="00896312"/>
    <w:rsid w:val="00896DD4"/>
    <w:rsid w:val="008A0DC1"/>
    <w:rsid w:val="008A0DE5"/>
    <w:rsid w:val="008A2D8E"/>
    <w:rsid w:val="008A3207"/>
    <w:rsid w:val="008A3E47"/>
    <w:rsid w:val="008A69B7"/>
    <w:rsid w:val="008B55FD"/>
    <w:rsid w:val="008B5BE6"/>
    <w:rsid w:val="008C0D95"/>
    <w:rsid w:val="008C306E"/>
    <w:rsid w:val="008C3A24"/>
    <w:rsid w:val="008C507C"/>
    <w:rsid w:val="008C5F59"/>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07DC5"/>
    <w:rsid w:val="00911728"/>
    <w:rsid w:val="00913BD4"/>
    <w:rsid w:val="00914829"/>
    <w:rsid w:val="00916580"/>
    <w:rsid w:val="009205D2"/>
    <w:rsid w:val="00920AB4"/>
    <w:rsid w:val="00921A6B"/>
    <w:rsid w:val="00922307"/>
    <w:rsid w:val="00924778"/>
    <w:rsid w:val="00931A88"/>
    <w:rsid w:val="009320A0"/>
    <w:rsid w:val="0093236D"/>
    <w:rsid w:val="00936E4F"/>
    <w:rsid w:val="00937C7C"/>
    <w:rsid w:val="009402B5"/>
    <w:rsid w:val="009425D9"/>
    <w:rsid w:val="00946A80"/>
    <w:rsid w:val="00947C36"/>
    <w:rsid w:val="00953AB9"/>
    <w:rsid w:val="00954CB8"/>
    <w:rsid w:val="00954D62"/>
    <w:rsid w:val="009554BC"/>
    <w:rsid w:val="00955F2F"/>
    <w:rsid w:val="009573EB"/>
    <w:rsid w:val="00960797"/>
    <w:rsid w:val="00960A7F"/>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D1BF0"/>
    <w:rsid w:val="009D42CA"/>
    <w:rsid w:val="009E623F"/>
    <w:rsid w:val="009E669C"/>
    <w:rsid w:val="009F0C2B"/>
    <w:rsid w:val="009F6FE1"/>
    <w:rsid w:val="00A00CC5"/>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3C05"/>
    <w:rsid w:val="00A44736"/>
    <w:rsid w:val="00A455A9"/>
    <w:rsid w:val="00A4711C"/>
    <w:rsid w:val="00A50FCB"/>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5F34"/>
    <w:rsid w:val="00A77028"/>
    <w:rsid w:val="00A85E2C"/>
    <w:rsid w:val="00A92740"/>
    <w:rsid w:val="00A9401A"/>
    <w:rsid w:val="00A94F4B"/>
    <w:rsid w:val="00A94F4F"/>
    <w:rsid w:val="00A95322"/>
    <w:rsid w:val="00AA2AAD"/>
    <w:rsid w:val="00AA327F"/>
    <w:rsid w:val="00AA40C6"/>
    <w:rsid w:val="00AB2057"/>
    <w:rsid w:val="00AB3206"/>
    <w:rsid w:val="00AC0F2C"/>
    <w:rsid w:val="00AC1411"/>
    <w:rsid w:val="00AC1FA5"/>
    <w:rsid w:val="00AC3448"/>
    <w:rsid w:val="00AC6E84"/>
    <w:rsid w:val="00AD20EA"/>
    <w:rsid w:val="00AD3A33"/>
    <w:rsid w:val="00AD4335"/>
    <w:rsid w:val="00AD4E66"/>
    <w:rsid w:val="00AD5127"/>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48EC"/>
    <w:rsid w:val="00B14DC6"/>
    <w:rsid w:val="00B2153B"/>
    <w:rsid w:val="00B2252E"/>
    <w:rsid w:val="00B238F5"/>
    <w:rsid w:val="00B24255"/>
    <w:rsid w:val="00B2512D"/>
    <w:rsid w:val="00B26B0C"/>
    <w:rsid w:val="00B34E8C"/>
    <w:rsid w:val="00B4127F"/>
    <w:rsid w:val="00B416E0"/>
    <w:rsid w:val="00B42130"/>
    <w:rsid w:val="00B4430F"/>
    <w:rsid w:val="00B52521"/>
    <w:rsid w:val="00B52FE1"/>
    <w:rsid w:val="00B5455B"/>
    <w:rsid w:val="00B549F6"/>
    <w:rsid w:val="00B55516"/>
    <w:rsid w:val="00B6096D"/>
    <w:rsid w:val="00B60B08"/>
    <w:rsid w:val="00B61DA4"/>
    <w:rsid w:val="00B637AF"/>
    <w:rsid w:val="00B67664"/>
    <w:rsid w:val="00B72DE4"/>
    <w:rsid w:val="00B74EF4"/>
    <w:rsid w:val="00B75B9E"/>
    <w:rsid w:val="00B77FEA"/>
    <w:rsid w:val="00B8019F"/>
    <w:rsid w:val="00B81867"/>
    <w:rsid w:val="00B82600"/>
    <w:rsid w:val="00B86B75"/>
    <w:rsid w:val="00B91A7D"/>
    <w:rsid w:val="00B91E0E"/>
    <w:rsid w:val="00B921DA"/>
    <w:rsid w:val="00BA1D0C"/>
    <w:rsid w:val="00BA67DC"/>
    <w:rsid w:val="00BB4197"/>
    <w:rsid w:val="00BB510F"/>
    <w:rsid w:val="00BC050B"/>
    <w:rsid w:val="00BC340B"/>
    <w:rsid w:val="00BC43AB"/>
    <w:rsid w:val="00BC48D5"/>
    <w:rsid w:val="00BC672F"/>
    <w:rsid w:val="00BC7BB7"/>
    <w:rsid w:val="00BC7C7D"/>
    <w:rsid w:val="00BD27E9"/>
    <w:rsid w:val="00BD534F"/>
    <w:rsid w:val="00BD55D1"/>
    <w:rsid w:val="00BE1009"/>
    <w:rsid w:val="00BE1D08"/>
    <w:rsid w:val="00BE2AE7"/>
    <w:rsid w:val="00BE67C2"/>
    <w:rsid w:val="00BE695E"/>
    <w:rsid w:val="00BF22F4"/>
    <w:rsid w:val="00C12032"/>
    <w:rsid w:val="00C13A21"/>
    <w:rsid w:val="00C13F72"/>
    <w:rsid w:val="00C14407"/>
    <w:rsid w:val="00C14EDB"/>
    <w:rsid w:val="00C177CB"/>
    <w:rsid w:val="00C220B9"/>
    <w:rsid w:val="00C22D56"/>
    <w:rsid w:val="00C25886"/>
    <w:rsid w:val="00C26CBC"/>
    <w:rsid w:val="00C27DCD"/>
    <w:rsid w:val="00C317C9"/>
    <w:rsid w:val="00C327E6"/>
    <w:rsid w:val="00C3390B"/>
    <w:rsid w:val="00C36279"/>
    <w:rsid w:val="00C36417"/>
    <w:rsid w:val="00C37356"/>
    <w:rsid w:val="00C417F4"/>
    <w:rsid w:val="00C423C7"/>
    <w:rsid w:val="00C507E2"/>
    <w:rsid w:val="00C52B02"/>
    <w:rsid w:val="00C56C1E"/>
    <w:rsid w:val="00C65DEA"/>
    <w:rsid w:val="00C713EA"/>
    <w:rsid w:val="00C81868"/>
    <w:rsid w:val="00C824D1"/>
    <w:rsid w:val="00C836BE"/>
    <w:rsid w:val="00C85C2B"/>
    <w:rsid w:val="00C85D28"/>
    <w:rsid w:val="00C86416"/>
    <w:rsid w:val="00C92E52"/>
    <w:rsid w:val="00C935E0"/>
    <w:rsid w:val="00C947B2"/>
    <w:rsid w:val="00C97638"/>
    <w:rsid w:val="00CA0383"/>
    <w:rsid w:val="00CA0C65"/>
    <w:rsid w:val="00CA2079"/>
    <w:rsid w:val="00CA286B"/>
    <w:rsid w:val="00CA3445"/>
    <w:rsid w:val="00CB132C"/>
    <w:rsid w:val="00CB1494"/>
    <w:rsid w:val="00CB2931"/>
    <w:rsid w:val="00CB4F7C"/>
    <w:rsid w:val="00CB71E4"/>
    <w:rsid w:val="00CC557F"/>
    <w:rsid w:val="00CC6C75"/>
    <w:rsid w:val="00CC7504"/>
    <w:rsid w:val="00CC797B"/>
    <w:rsid w:val="00CD060C"/>
    <w:rsid w:val="00CD0ED8"/>
    <w:rsid w:val="00CD1500"/>
    <w:rsid w:val="00CD3D9A"/>
    <w:rsid w:val="00CD75B1"/>
    <w:rsid w:val="00CD7880"/>
    <w:rsid w:val="00CD7D68"/>
    <w:rsid w:val="00CE07AD"/>
    <w:rsid w:val="00CE2D8E"/>
    <w:rsid w:val="00CE5DDB"/>
    <w:rsid w:val="00CF456D"/>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2B5F"/>
    <w:rsid w:val="00D532DE"/>
    <w:rsid w:val="00D5628D"/>
    <w:rsid w:val="00D57284"/>
    <w:rsid w:val="00D600C7"/>
    <w:rsid w:val="00D61DDC"/>
    <w:rsid w:val="00D6236E"/>
    <w:rsid w:val="00D62877"/>
    <w:rsid w:val="00D62F68"/>
    <w:rsid w:val="00D65369"/>
    <w:rsid w:val="00D659C4"/>
    <w:rsid w:val="00D70B92"/>
    <w:rsid w:val="00D731AD"/>
    <w:rsid w:val="00D80BA2"/>
    <w:rsid w:val="00D81A65"/>
    <w:rsid w:val="00D82C9A"/>
    <w:rsid w:val="00D87FC8"/>
    <w:rsid w:val="00D9527C"/>
    <w:rsid w:val="00D97660"/>
    <w:rsid w:val="00DA1F31"/>
    <w:rsid w:val="00DA39E8"/>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1633"/>
    <w:rsid w:val="00DD3AA3"/>
    <w:rsid w:val="00DE0912"/>
    <w:rsid w:val="00DE16FD"/>
    <w:rsid w:val="00DE17EF"/>
    <w:rsid w:val="00DF0416"/>
    <w:rsid w:val="00DF4DDB"/>
    <w:rsid w:val="00DF5EAF"/>
    <w:rsid w:val="00E01277"/>
    <w:rsid w:val="00E02A52"/>
    <w:rsid w:val="00E067D5"/>
    <w:rsid w:val="00E14822"/>
    <w:rsid w:val="00E162DD"/>
    <w:rsid w:val="00E17EC7"/>
    <w:rsid w:val="00E21A6A"/>
    <w:rsid w:val="00E22CEA"/>
    <w:rsid w:val="00E247DD"/>
    <w:rsid w:val="00E312A0"/>
    <w:rsid w:val="00E315A3"/>
    <w:rsid w:val="00E3274A"/>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5838"/>
    <w:rsid w:val="00E601D7"/>
    <w:rsid w:val="00E62D7E"/>
    <w:rsid w:val="00E63142"/>
    <w:rsid w:val="00E64BA4"/>
    <w:rsid w:val="00E66081"/>
    <w:rsid w:val="00E71E35"/>
    <w:rsid w:val="00E72A19"/>
    <w:rsid w:val="00E73140"/>
    <w:rsid w:val="00E7497F"/>
    <w:rsid w:val="00E855E6"/>
    <w:rsid w:val="00E8644F"/>
    <w:rsid w:val="00E875F3"/>
    <w:rsid w:val="00E90D90"/>
    <w:rsid w:val="00E96530"/>
    <w:rsid w:val="00E97A5F"/>
    <w:rsid w:val="00EA73F9"/>
    <w:rsid w:val="00EB417B"/>
    <w:rsid w:val="00EB44AC"/>
    <w:rsid w:val="00EB472B"/>
    <w:rsid w:val="00EB73CF"/>
    <w:rsid w:val="00EC1065"/>
    <w:rsid w:val="00EC1607"/>
    <w:rsid w:val="00EC18C9"/>
    <w:rsid w:val="00EC1EF6"/>
    <w:rsid w:val="00EC2908"/>
    <w:rsid w:val="00EC2BBB"/>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24B18"/>
    <w:rsid w:val="00F34731"/>
    <w:rsid w:val="00F40B3C"/>
    <w:rsid w:val="00F40D5E"/>
    <w:rsid w:val="00F4237C"/>
    <w:rsid w:val="00F43E1A"/>
    <w:rsid w:val="00F44A42"/>
    <w:rsid w:val="00F465FF"/>
    <w:rsid w:val="00F46B14"/>
    <w:rsid w:val="00F52291"/>
    <w:rsid w:val="00F5241C"/>
    <w:rsid w:val="00F64EC3"/>
    <w:rsid w:val="00F674F5"/>
    <w:rsid w:val="00F70FCC"/>
    <w:rsid w:val="00F7525F"/>
    <w:rsid w:val="00F7750D"/>
    <w:rsid w:val="00F819D2"/>
    <w:rsid w:val="00F91667"/>
    <w:rsid w:val="00F91B6C"/>
    <w:rsid w:val="00F92808"/>
    <w:rsid w:val="00F92930"/>
    <w:rsid w:val="00F96A46"/>
    <w:rsid w:val="00FA112F"/>
    <w:rsid w:val="00FA1A4E"/>
    <w:rsid w:val="00FA505D"/>
    <w:rsid w:val="00FB209D"/>
    <w:rsid w:val="00FB309B"/>
    <w:rsid w:val="00FB3E40"/>
    <w:rsid w:val="00FB74A6"/>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6520</Words>
  <Characters>37165</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20</cp:revision>
  <cp:lastPrinted>2025-05-20T07:46:00Z</cp:lastPrinted>
  <dcterms:created xsi:type="dcterms:W3CDTF">2025-05-20T07:24:00Z</dcterms:created>
  <dcterms:modified xsi:type="dcterms:W3CDTF">2025-05-20T12:10:00Z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