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735D" w14:textId="77777777" w:rsidR="0038477C" w:rsidRDefault="0038477C" w:rsidP="00F81308">
      <w:pPr>
        <w:pStyle w:val="Telobesedila"/>
        <w:jc w:val="both"/>
        <w:rPr>
          <w:rFonts w:ascii="Times New Roman"/>
          <w:b w:val="0"/>
          <w:sz w:val="20"/>
        </w:rPr>
      </w:pPr>
      <w:bookmarkStart w:id="0" w:name="_GoBack"/>
      <w:bookmarkEnd w:id="0"/>
    </w:p>
    <w:p w14:paraId="4DA6B869" w14:textId="77777777" w:rsidR="0038477C" w:rsidRDefault="0038477C" w:rsidP="00F81308">
      <w:pPr>
        <w:pStyle w:val="Telobesedila"/>
        <w:jc w:val="both"/>
        <w:rPr>
          <w:rFonts w:ascii="Times New Roman"/>
          <w:b w:val="0"/>
          <w:sz w:val="20"/>
        </w:rPr>
      </w:pPr>
    </w:p>
    <w:p w14:paraId="0FFD7747" w14:textId="77777777" w:rsidR="0038477C" w:rsidRDefault="0038477C" w:rsidP="00F81308">
      <w:pPr>
        <w:pStyle w:val="Telobesedila"/>
        <w:spacing w:before="7"/>
        <w:jc w:val="both"/>
        <w:rPr>
          <w:rFonts w:ascii="Times New Roman"/>
          <w:b w:val="0"/>
          <w:sz w:val="25"/>
        </w:rPr>
      </w:pPr>
    </w:p>
    <w:p w14:paraId="09D59E30" w14:textId="77777777" w:rsidR="000B06F4" w:rsidRDefault="00F70B6E" w:rsidP="000B06F4">
      <w:pPr>
        <w:jc w:val="center"/>
      </w:pPr>
      <w:r>
        <w:t>Pogosta vprašanja in odgovori</w:t>
      </w:r>
    </w:p>
    <w:p w14:paraId="63223E2C" w14:textId="77777777" w:rsidR="00E94480" w:rsidRPr="00267A02" w:rsidRDefault="00E94480" w:rsidP="000B06F4">
      <w:pPr>
        <w:jc w:val="center"/>
        <w:rPr>
          <w:b/>
        </w:rPr>
      </w:pPr>
      <w:r w:rsidRPr="00267A02">
        <w:rPr>
          <w:b/>
        </w:rPr>
        <w:t xml:space="preserve">Javni razpis za sofinanciranje </w:t>
      </w:r>
      <w:r w:rsidR="000B06F4">
        <w:rPr>
          <w:b/>
        </w:rPr>
        <w:t>nakupa mobilnih enot (osebnih vozil) za izvajanje nalog koordinatorja za obravnavo v skupnosti ter nalog koordinatorja invalidskega varstva</w:t>
      </w:r>
    </w:p>
    <w:p w14:paraId="33B81AAB" w14:textId="77777777" w:rsidR="0038477C" w:rsidRDefault="0038477C" w:rsidP="000B06F4">
      <w:pPr>
        <w:pStyle w:val="Telobesedila"/>
        <w:spacing w:before="104" w:line="228" w:lineRule="auto"/>
        <w:ind w:left="215"/>
        <w:jc w:val="center"/>
      </w:pPr>
    </w:p>
    <w:p w14:paraId="38E3CF30" w14:textId="77777777" w:rsidR="0038477C" w:rsidRDefault="0038477C" w:rsidP="00F81308">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4498"/>
        <w:gridCol w:w="7861"/>
        <w:gridCol w:w="1261"/>
      </w:tblGrid>
      <w:tr w:rsidR="0038477C" w14:paraId="2775B3AD" w14:textId="77777777" w:rsidTr="00F64E75">
        <w:trPr>
          <w:trHeight w:val="460"/>
        </w:trPr>
        <w:tc>
          <w:tcPr>
            <w:tcW w:w="629" w:type="dxa"/>
          </w:tcPr>
          <w:p w14:paraId="16903FB4" w14:textId="77777777" w:rsidR="0038477C" w:rsidRDefault="00F70B6E" w:rsidP="00F81308">
            <w:pPr>
              <w:pStyle w:val="TableParagraph"/>
              <w:spacing w:before="2" w:line="228" w:lineRule="exact"/>
              <w:ind w:left="107" w:right="80"/>
              <w:jc w:val="both"/>
              <w:rPr>
                <w:b/>
                <w:sz w:val="20"/>
              </w:rPr>
            </w:pPr>
            <w:r>
              <w:rPr>
                <w:b/>
                <w:sz w:val="20"/>
              </w:rPr>
              <w:t>Zap.</w:t>
            </w:r>
            <w:r>
              <w:rPr>
                <w:b/>
                <w:w w:val="99"/>
                <w:sz w:val="20"/>
              </w:rPr>
              <w:t xml:space="preserve"> </w:t>
            </w:r>
            <w:r>
              <w:rPr>
                <w:b/>
                <w:sz w:val="20"/>
              </w:rPr>
              <w:t>št.</w:t>
            </w:r>
          </w:p>
        </w:tc>
        <w:tc>
          <w:tcPr>
            <w:tcW w:w="4498" w:type="dxa"/>
          </w:tcPr>
          <w:p w14:paraId="36E89902" w14:textId="77777777" w:rsidR="0038477C" w:rsidRDefault="00F70B6E" w:rsidP="00DF017E">
            <w:pPr>
              <w:pStyle w:val="TableParagraph"/>
              <w:spacing w:line="227" w:lineRule="exact"/>
              <w:ind w:left="110" w:right="135"/>
              <w:jc w:val="both"/>
              <w:rPr>
                <w:b/>
                <w:sz w:val="20"/>
              </w:rPr>
            </w:pPr>
            <w:r>
              <w:rPr>
                <w:b/>
                <w:sz w:val="20"/>
              </w:rPr>
              <w:t>Vprašanje</w:t>
            </w:r>
          </w:p>
        </w:tc>
        <w:tc>
          <w:tcPr>
            <w:tcW w:w="7861" w:type="dxa"/>
          </w:tcPr>
          <w:p w14:paraId="1442B98C" w14:textId="77777777" w:rsidR="0038477C" w:rsidRPr="006735A9" w:rsidRDefault="00F70B6E" w:rsidP="00F81308">
            <w:pPr>
              <w:pStyle w:val="TableParagraph"/>
              <w:spacing w:line="227" w:lineRule="exact"/>
              <w:ind w:left="108"/>
              <w:jc w:val="both"/>
              <w:rPr>
                <w:b/>
                <w:sz w:val="20"/>
                <w:szCs w:val="20"/>
              </w:rPr>
            </w:pPr>
            <w:r w:rsidRPr="006735A9">
              <w:rPr>
                <w:b/>
                <w:sz w:val="20"/>
                <w:szCs w:val="20"/>
              </w:rPr>
              <w:t>Odgovor</w:t>
            </w:r>
          </w:p>
        </w:tc>
        <w:tc>
          <w:tcPr>
            <w:tcW w:w="1261" w:type="dxa"/>
          </w:tcPr>
          <w:p w14:paraId="5ED4DED6" w14:textId="77777777" w:rsidR="0038477C" w:rsidRDefault="00F70B6E" w:rsidP="00F81308">
            <w:pPr>
              <w:pStyle w:val="TableParagraph"/>
              <w:spacing w:line="227" w:lineRule="exact"/>
              <w:ind w:left="107"/>
              <w:jc w:val="both"/>
              <w:rPr>
                <w:b/>
                <w:sz w:val="20"/>
              </w:rPr>
            </w:pPr>
            <w:r>
              <w:rPr>
                <w:b/>
                <w:sz w:val="20"/>
              </w:rPr>
              <w:t>Objava</w:t>
            </w:r>
          </w:p>
        </w:tc>
      </w:tr>
      <w:tr w:rsidR="0038477C" w14:paraId="2CE1D613" w14:textId="77777777" w:rsidTr="00F64E75">
        <w:trPr>
          <w:trHeight w:val="1380"/>
        </w:trPr>
        <w:tc>
          <w:tcPr>
            <w:tcW w:w="629" w:type="dxa"/>
          </w:tcPr>
          <w:p w14:paraId="697AB7F5" w14:textId="77777777" w:rsidR="0038477C" w:rsidRDefault="00F70B6E" w:rsidP="00D5377D">
            <w:pPr>
              <w:pStyle w:val="TableParagraph"/>
              <w:numPr>
                <w:ilvl w:val="0"/>
                <w:numId w:val="17"/>
              </w:numPr>
              <w:spacing w:line="227" w:lineRule="exact"/>
              <w:jc w:val="both"/>
              <w:rPr>
                <w:sz w:val="20"/>
              </w:rPr>
            </w:pPr>
            <w:r>
              <w:rPr>
                <w:sz w:val="20"/>
              </w:rPr>
              <w:t>1.</w:t>
            </w:r>
          </w:p>
        </w:tc>
        <w:tc>
          <w:tcPr>
            <w:tcW w:w="4498" w:type="dxa"/>
          </w:tcPr>
          <w:p w14:paraId="23F0101E" w14:textId="77777777" w:rsidR="0038477C" w:rsidRPr="00626A0B" w:rsidRDefault="000B06F4" w:rsidP="00626A0B">
            <w:pPr>
              <w:pStyle w:val="TableParagraph"/>
              <w:spacing w:line="227" w:lineRule="exact"/>
              <w:ind w:left="107" w:right="131"/>
              <w:jc w:val="both"/>
              <w:rPr>
                <w:sz w:val="20"/>
              </w:rPr>
            </w:pPr>
            <w:r w:rsidRPr="000B06F4">
              <w:rPr>
                <w:sz w:val="20"/>
              </w:rPr>
              <w:t>V javnem razpisu za sofinanciranje nakupa mobilnih enot (osebnih vozil) za izvajanje nalog koordinatorja za obravnavo v skupnosti ter koordinatorja invalidskega varstva je pod točko 7.2 Splošni pogoji za vse prijavljene projekte navedeno, da mora biti za vsak projekt izdelan in s strani pristojnega organa/osebe prijavitelja potrjen DIIP.  Ali prav razume, da mora podpisan in žigosan sklep o potrditvi investicijske dokumentacije potrditi Svet Zavoda prijavitelja ali je morebiti dovolj sklep direktorja CSD?</w:t>
            </w:r>
          </w:p>
        </w:tc>
        <w:tc>
          <w:tcPr>
            <w:tcW w:w="7861" w:type="dxa"/>
          </w:tcPr>
          <w:p w14:paraId="4BA707C5" w14:textId="77777777" w:rsidR="000B06F4" w:rsidRPr="000B06F4" w:rsidRDefault="000B06F4" w:rsidP="000B06F4">
            <w:pPr>
              <w:pStyle w:val="TableParagraph"/>
              <w:spacing w:line="230" w:lineRule="atLeast"/>
              <w:ind w:left="108" w:right="99"/>
              <w:jc w:val="both"/>
              <w:rPr>
                <w:color w:val="000000" w:themeColor="text1"/>
                <w:sz w:val="20"/>
              </w:rPr>
            </w:pPr>
            <w:r w:rsidRPr="000B06F4">
              <w:rPr>
                <w:color w:val="000000" w:themeColor="text1"/>
                <w:sz w:val="20"/>
              </w:rPr>
              <w:t>Sklep o potrditvi investicijske dokumentacije potrdi Svet Zavoda prijavitelja.</w:t>
            </w:r>
          </w:p>
          <w:p w14:paraId="61E1E53C" w14:textId="77777777" w:rsidR="0038477C" w:rsidRPr="00626A0B" w:rsidRDefault="0038477C" w:rsidP="00626A0B">
            <w:pPr>
              <w:pStyle w:val="TableParagraph"/>
              <w:spacing w:line="230" w:lineRule="atLeast"/>
              <w:ind w:left="108" w:right="99"/>
              <w:jc w:val="both"/>
              <w:rPr>
                <w:color w:val="000000" w:themeColor="text1"/>
                <w:sz w:val="20"/>
              </w:rPr>
            </w:pPr>
          </w:p>
        </w:tc>
        <w:tc>
          <w:tcPr>
            <w:tcW w:w="1261" w:type="dxa"/>
          </w:tcPr>
          <w:p w14:paraId="32241261" w14:textId="19047630" w:rsidR="0038477C" w:rsidRDefault="00040891" w:rsidP="00F81308">
            <w:pPr>
              <w:pStyle w:val="TableParagraph"/>
              <w:spacing w:line="227" w:lineRule="exact"/>
              <w:ind w:left="107"/>
              <w:jc w:val="both"/>
              <w:rPr>
                <w:sz w:val="20"/>
              </w:rPr>
            </w:pPr>
            <w:r>
              <w:rPr>
                <w:sz w:val="20"/>
              </w:rPr>
              <w:t>19.3.2021</w:t>
            </w:r>
          </w:p>
        </w:tc>
      </w:tr>
      <w:tr w:rsidR="004B5C8E" w14:paraId="269DA030" w14:textId="77777777" w:rsidTr="00F64E75">
        <w:trPr>
          <w:trHeight w:val="1380"/>
        </w:trPr>
        <w:tc>
          <w:tcPr>
            <w:tcW w:w="629" w:type="dxa"/>
          </w:tcPr>
          <w:p w14:paraId="6EDE71A3" w14:textId="77777777" w:rsidR="004B5C8E" w:rsidRDefault="004B5C8E" w:rsidP="00D5377D">
            <w:pPr>
              <w:pStyle w:val="TableParagraph"/>
              <w:numPr>
                <w:ilvl w:val="0"/>
                <w:numId w:val="17"/>
              </w:numPr>
              <w:spacing w:line="227" w:lineRule="exact"/>
              <w:jc w:val="both"/>
              <w:rPr>
                <w:sz w:val="20"/>
              </w:rPr>
            </w:pPr>
            <w:r>
              <w:rPr>
                <w:sz w:val="20"/>
              </w:rPr>
              <w:t>2.</w:t>
            </w:r>
          </w:p>
        </w:tc>
        <w:tc>
          <w:tcPr>
            <w:tcW w:w="4498" w:type="dxa"/>
          </w:tcPr>
          <w:p w14:paraId="66BA7924" w14:textId="77777777" w:rsidR="004B5C8E" w:rsidRDefault="000B06F4" w:rsidP="000B06F4">
            <w:pPr>
              <w:pStyle w:val="TableParagraph"/>
              <w:spacing w:line="227" w:lineRule="exact"/>
              <w:ind w:left="107" w:right="131"/>
              <w:jc w:val="both"/>
              <w:rPr>
                <w:sz w:val="20"/>
              </w:rPr>
            </w:pPr>
            <w:r w:rsidRPr="000B06F4">
              <w:rPr>
                <w:sz w:val="20"/>
              </w:rPr>
              <w:t>Kdo je naveden kot investitor v dokumentu identifikacije investicijskega dokumenta (DIIP)? Ministrstvo za delo, družino, socialne zadeve in enake možnosti ali Center za socialno delo Ljubljana?</w:t>
            </w:r>
          </w:p>
        </w:tc>
        <w:tc>
          <w:tcPr>
            <w:tcW w:w="7861" w:type="dxa"/>
          </w:tcPr>
          <w:p w14:paraId="1AC64EE5" w14:textId="77777777" w:rsidR="000B06F4" w:rsidRPr="000B06F4" w:rsidRDefault="000B06F4" w:rsidP="000B06F4">
            <w:pPr>
              <w:pStyle w:val="TableParagraph"/>
              <w:spacing w:line="230" w:lineRule="atLeast"/>
              <w:ind w:left="108" w:right="99"/>
              <w:rPr>
                <w:color w:val="000000" w:themeColor="text1"/>
                <w:sz w:val="20"/>
              </w:rPr>
            </w:pPr>
            <w:r w:rsidRPr="000B06F4">
              <w:rPr>
                <w:color w:val="000000" w:themeColor="text1"/>
                <w:sz w:val="20"/>
              </w:rPr>
              <w:t>Kot investitor je v dokumentu identifikacije investicijskega dokumenta (DIIP) naveden</w:t>
            </w:r>
            <w:r w:rsidR="00B15C98">
              <w:rPr>
                <w:color w:val="000000" w:themeColor="text1"/>
                <w:sz w:val="20"/>
              </w:rPr>
              <w:t xml:space="preserve"> prijavitelj, v tem primeru</w:t>
            </w:r>
            <w:r w:rsidRPr="000B06F4">
              <w:rPr>
                <w:color w:val="000000" w:themeColor="text1"/>
                <w:sz w:val="20"/>
              </w:rPr>
              <w:t xml:space="preserve"> Center za socialno delo Ljubljana.</w:t>
            </w:r>
          </w:p>
          <w:p w14:paraId="44CD617C" w14:textId="77777777" w:rsidR="004B5C8E" w:rsidRPr="00626A0B" w:rsidRDefault="004B5C8E" w:rsidP="00626A0B">
            <w:pPr>
              <w:pStyle w:val="TableParagraph"/>
              <w:spacing w:line="230" w:lineRule="atLeast"/>
              <w:ind w:left="108" w:right="99"/>
              <w:jc w:val="both"/>
              <w:rPr>
                <w:color w:val="000000" w:themeColor="text1"/>
                <w:sz w:val="20"/>
              </w:rPr>
            </w:pPr>
          </w:p>
        </w:tc>
        <w:tc>
          <w:tcPr>
            <w:tcW w:w="1261" w:type="dxa"/>
          </w:tcPr>
          <w:p w14:paraId="1621B807" w14:textId="010AA6DA" w:rsidR="004B5C8E" w:rsidRDefault="00040891" w:rsidP="00F81308">
            <w:pPr>
              <w:pStyle w:val="TableParagraph"/>
              <w:spacing w:line="227" w:lineRule="exact"/>
              <w:ind w:left="107"/>
              <w:jc w:val="both"/>
              <w:rPr>
                <w:sz w:val="20"/>
              </w:rPr>
            </w:pPr>
            <w:r>
              <w:rPr>
                <w:sz w:val="20"/>
              </w:rPr>
              <w:t>19.3.2021</w:t>
            </w:r>
          </w:p>
        </w:tc>
      </w:tr>
      <w:tr w:rsidR="004B5C8E" w14:paraId="6F4021A2" w14:textId="77777777" w:rsidTr="00F64E75">
        <w:trPr>
          <w:trHeight w:val="1380"/>
        </w:trPr>
        <w:tc>
          <w:tcPr>
            <w:tcW w:w="629" w:type="dxa"/>
          </w:tcPr>
          <w:p w14:paraId="08171B65" w14:textId="77777777" w:rsidR="004B5C8E" w:rsidRDefault="004B5C8E" w:rsidP="00D5377D">
            <w:pPr>
              <w:pStyle w:val="TableParagraph"/>
              <w:numPr>
                <w:ilvl w:val="0"/>
                <w:numId w:val="17"/>
              </w:numPr>
              <w:spacing w:line="227" w:lineRule="exact"/>
              <w:jc w:val="both"/>
              <w:rPr>
                <w:sz w:val="20"/>
              </w:rPr>
            </w:pPr>
            <w:r>
              <w:rPr>
                <w:sz w:val="20"/>
              </w:rPr>
              <w:t>3.</w:t>
            </w:r>
          </w:p>
        </w:tc>
        <w:tc>
          <w:tcPr>
            <w:tcW w:w="4498" w:type="dxa"/>
          </w:tcPr>
          <w:p w14:paraId="7982AFE1" w14:textId="77777777" w:rsidR="004B5C8E" w:rsidRDefault="000B06F4" w:rsidP="000B06F4">
            <w:pPr>
              <w:pStyle w:val="TableParagraph"/>
              <w:spacing w:line="227" w:lineRule="exact"/>
              <w:ind w:left="107" w:right="131"/>
              <w:jc w:val="both"/>
              <w:rPr>
                <w:sz w:val="20"/>
              </w:rPr>
            </w:pPr>
            <w:r w:rsidRPr="000B06F4">
              <w:rPr>
                <w:sz w:val="20"/>
              </w:rPr>
              <w:t>Iz dokumenta identifikacije investicijskega projekta mora biti razvidno, kako so bili pri načrtovanju investicije upoštevani naslednji okoljski ukrepi, in sicer učinkovita izraba naravnih virov (energetska učinkovitost, učinkovita raba vode in surovin) – Vprašanje: kako naj opredelimo, da z nakupom vozila CSD zagotavljamo učinkovito izrabo naravnih virov? Dodeljena sredstva namreč še zdaleč ne bodo omogočala nakupa vozila na električni pogon, ki bi nekako zadovoljila pogoje okoljske učinkovitosti in trajnostne dostopnosti.</w:t>
            </w:r>
          </w:p>
        </w:tc>
        <w:tc>
          <w:tcPr>
            <w:tcW w:w="7861" w:type="dxa"/>
          </w:tcPr>
          <w:p w14:paraId="25A241CD" w14:textId="77777777" w:rsidR="000B06F4" w:rsidRPr="000B06F4" w:rsidRDefault="000B06F4" w:rsidP="000B06F4">
            <w:pPr>
              <w:pStyle w:val="TableParagraph"/>
              <w:spacing w:line="230" w:lineRule="atLeast"/>
              <w:ind w:left="108" w:right="99"/>
              <w:rPr>
                <w:color w:val="000000" w:themeColor="text1"/>
                <w:sz w:val="20"/>
              </w:rPr>
            </w:pPr>
            <w:r w:rsidRPr="000B06F4">
              <w:rPr>
                <w:color w:val="000000" w:themeColor="text1"/>
                <w:sz w:val="20"/>
              </w:rPr>
              <w:t>Tu je dovolj opredelitev, da boste pri nakupu osebnih vozil upoštevali standarde, ki zagotavljajo   nizko oddajanje količine izpušnih plinov in hkrati nizko porabo goriva, s čimer se tudi znižujejo negativni vplivi na okolje oziroma zagotavlja učinkovita izraba naravnih virov in okoljska učinkovitost.</w:t>
            </w:r>
          </w:p>
          <w:p w14:paraId="5CC32113" w14:textId="77777777" w:rsidR="000B06F4" w:rsidRPr="000B06F4" w:rsidRDefault="000B06F4" w:rsidP="000B06F4">
            <w:pPr>
              <w:pStyle w:val="TableParagraph"/>
              <w:spacing w:line="230" w:lineRule="atLeast"/>
              <w:ind w:left="108" w:right="99"/>
              <w:jc w:val="both"/>
              <w:rPr>
                <w:color w:val="000000" w:themeColor="text1"/>
                <w:sz w:val="20"/>
              </w:rPr>
            </w:pPr>
          </w:p>
          <w:p w14:paraId="44D8BA4E" w14:textId="77777777" w:rsidR="00626A0B" w:rsidRPr="00626A0B" w:rsidRDefault="00626A0B" w:rsidP="00626A0B">
            <w:pPr>
              <w:pStyle w:val="TableParagraph"/>
              <w:spacing w:line="230" w:lineRule="atLeast"/>
              <w:ind w:left="108" w:right="99"/>
              <w:jc w:val="both"/>
              <w:rPr>
                <w:color w:val="000000" w:themeColor="text1"/>
                <w:sz w:val="20"/>
              </w:rPr>
            </w:pPr>
          </w:p>
        </w:tc>
        <w:tc>
          <w:tcPr>
            <w:tcW w:w="1261" w:type="dxa"/>
          </w:tcPr>
          <w:p w14:paraId="49702B76" w14:textId="05E11EC6" w:rsidR="004B5C8E" w:rsidRDefault="00040891" w:rsidP="00F81308">
            <w:pPr>
              <w:pStyle w:val="TableParagraph"/>
              <w:spacing w:line="227" w:lineRule="exact"/>
              <w:ind w:left="107"/>
              <w:jc w:val="both"/>
              <w:rPr>
                <w:sz w:val="20"/>
              </w:rPr>
            </w:pPr>
            <w:r>
              <w:rPr>
                <w:sz w:val="20"/>
              </w:rPr>
              <w:t>19.3.2021</w:t>
            </w:r>
          </w:p>
        </w:tc>
      </w:tr>
      <w:tr w:rsidR="004B5C8E" w14:paraId="1B7303C8" w14:textId="77777777" w:rsidTr="00F64E75">
        <w:trPr>
          <w:trHeight w:val="290"/>
        </w:trPr>
        <w:tc>
          <w:tcPr>
            <w:tcW w:w="629" w:type="dxa"/>
          </w:tcPr>
          <w:p w14:paraId="0A5746E8" w14:textId="77777777" w:rsidR="004B5C8E" w:rsidRDefault="004B5C8E" w:rsidP="00D5377D">
            <w:pPr>
              <w:pStyle w:val="TableParagraph"/>
              <w:numPr>
                <w:ilvl w:val="0"/>
                <w:numId w:val="17"/>
              </w:numPr>
              <w:spacing w:line="227" w:lineRule="exact"/>
              <w:jc w:val="both"/>
              <w:rPr>
                <w:sz w:val="20"/>
              </w:rPr>
            </w:pPr>
            <w:r>
              <w:rPr>
                <w:sz w:val="20"/>
              </w:rPr>
              <w:lastRenderedPageBreak/>
              <w:t>4.</w:t>
            </w:r>
          </w:p>
        </w:tc>
        <w:tc>
          <w:tcPr>
            <w:tcW w:w="4498" w:type="dxa"/>
          </w:tcPr>
          <w:p w14:paraId="5147D9EB" w14:textId="77777777" w:rsidR="004B5C8E" w:rsidRDefault="000B06F4" w:rsidP="00DF017E">
            <w:pPr>
              <w:pStyle w:val="TableParagraph"/>
              <w:ind w:left="110" w:right="135"/>
              <w:jc w:val="both"/>
              <w:rPr>
                <w:sz w:val="20"/>
              </w:rPr>
            </w:pPr>
            <w:r w:rsidRPr="000B06F4">
              <w:rPr>
                <w:sz w:val="20"/>
              </w:rPr>
              <w:t>Kako naj na CSD podamo izdelano poročilo o vplivih na okolje oziroma strokovno oceno vplivov na okolje? Ali lahko za to priložimo podatke, specifikacije o avtomobilu?</w:t>
            </w:r>
          </w:p>
        </w:tc>
        <w:tc>
          <w:tcPr>
            <w:tcW w:w="7861" w:type="dxa"/>
          </w:tcPr>
          <w:p w14:paraId="4C7FE995" w14:textId="77777777" w:rsidR="000B06F4" w:rsidRPr="000B06F4" w:rsidRDefault="000B06F4" w:rsidP="000B06F4">
            <w:pPr>
              <w:pStyle w:val="TableParagraph"/>
              <w:spacing w:line="230" w:lineRule="atLeast"/>
              <w:ind w:left="108" w:right="99"/>
              <w:rPr>
                <w:color w:val="000000" w:themeColor="text1"/>
                <w:sz w:val="20"/>
              </w:rPr>
            </w:pPr>
            <w:r w:rsidRPr="000B06F4">
              <w:rPr>
                <w:color w:val="000000" w:themeColor="text1"/>
                <w:sz w:val="20"/>
              </w:rPr>
              <w:t xml:space="preserve">Poročil o vplivih na okolje oziroma strokovnih ocen vplivov na okolje ni potrebno izdelovati. Dovolj so podatki oziroma specifikacije o vozilu, ki dokazujejo zmanjševanje vplivov na okolje. </w:t>
            </w:r>
          </w:p>
          <w:p w14:paraId="6230D178" w14:textId="77777777" w:rsidR="004B5C8E" w:rsidRPr="00267A02" w:rsidRDefault="004B5C8E" w:rsidP="00387AF4">
            <w:pPr>
              <w:pStyle w:val="TableParagraph"/>
              <w:spacing w:line="230" w:lineRule="atLeast"/>
              <w:ind w:left="108" w:right="99"/>
              <w:jc w:val="both"/>
              <w:rPr>
                <w:color w:val="000000" w:themeColor="text1"/>
                <w:sz w:val="20"/>
              </w:rPr>
            </w:pPr>
          </w:p>
        </w:tc>
        <w:tc>
          <w:tcPr>
            <w:tcW w:w="1261" w:type="dxa"/>
          </w:tcPr>
          <w:p w14:paraId="05E0C85B" w14:textId="1E6091E4" w:rsidR="004B5C8E" w:rsidRDefault="00040891" w:rsidP="00F81308">
            <w:pPr>
              <w:pStyle w:val="TableParagraph"/>
              <w:spacing w:line="227" w:lineRule="exact"/>
              <w:ind w:left="107"/>
              <w:jc w:val="both"/>
              <w:rPr>
                <w:sz w:val="20"/>
              </w:rPr>
            </w:pPr>
            <w:r>
              <w:rPr>
                <w:sz w:val="20"/>
              </w:rPr>
              <w:t>19.3.2021</w:t>
            </w:r>
          </w:p>
        </w:tc>
      </w:tr>
      <w:tr w:rsidR="00267A02" w14:paraId="7628466E" w14:textId="77777777" w:rsidTr="00F64E75">
        <w:trPr>
          <w:trHeight w:val="1380"/>
        </w:trPr>
        <w:tc>
          <w:tcPr>
            <w:tcW w:w="629" w:type="dxa"/>
          </w:tcPr>
          <w:p w14:paraId="2664D664" w14:textId="77777777" w:rsidR="00267A02" w:rsidRDefault="0017493A" w:rsidP="00D5377D">
            <w:pPr>
              <w:pStyle w:val="TableParagraph"/>
              <w:numPr>
                <w:ilvl w:val="0"/>
                <w:numId w:val="17"/>
              </w:numPr>
              <w:spacing w:line="227" w:lineRule="exact"/>
              <w:jc w:val="both"/>
              <w:rPr>
                <w:sz w:val="20"/>
              </w:rPr>
            </w:pPr>
            <w:r>
              <w:rPr>
                <w:sz w:val="20"/>
              </w:rPr>
              <w:t>5.</w:t>
            </w:r>
          </w:p>
        </w:tc>
        <w:tc>
          <w:tcPr>
            <w:tcW w:w="4498" w:type="dxa"/>
          </w:tcPr>
          <w:p w14:paraId="05817FCA" w14:textId="77777777" w:rsidR="000B06F4" w:rsidRPr="000B06F4" w:rsidRDefault="000B06F4" w:rsidP="000B06F4">
            <w:pPr>
              <w:pStyle w:val="TableParagraph"/>
              <w:ind w:left="110" w:right="135"/>
              <w:jc w:val="both"/>
              <w:rPr>
                <w:sz w:val="20"/>
              </w:rPr>
            </w:pPr>
            <w:r w:rsidRPr="000B06F4">
              <w:rPr>
                <w:sz w:val="20"/>
              </w:rPr>
              <w:t xml:space="preserve">V JR je določeno, da se pri ocenjevanju podmerila 3.1 upoštevajo vse reference prijavitelja v zadnjih 5-ih letih od objave razpisa na področju izvajanja projektov / programov, sofinanciranih s sredstvi evropske kohezijske politike ter izvedbe javnih naročil (bodisi evidenčnih naročil bodisi naročil male vrednosti oziroma drugih izvedenih javnih naročil po postopku, predpisanem z zakonodajo o javnih naročilih). Prijavitelj CSD Ljubljana kot pravna oseba obstaja od 1. 10. 2018. Reference lahko s strani CSD Ljubljana oddamo le za leti 2019 in 2020. </w:t>
            </w:r>
          </w:p>
          <w:p w14:paraId="54102A78" w14:textId="77777777" w:rsidR="00267A02" w:rsidRPr="00626A0B" w:rsidRDefault="00267A02" w:rsidP="00267A02">
            <w:pPr>
              <w:pStyle w:val="TableParagraph"/>
              <w:spacing w:line="227" w:lineRule="exact"/>
              <w:ind w:left="107" w:right="131"/>
              <w:jc w:val="both"/>
              <w:rPr>
                <w:sz w:val="20"/>
              </w:rPr>
            </w:pPr>
          </w:p>
        </w:tc>
        <w:tc>
          <w:tcPr>
            <w:tcW w:w="7861" w:type="dxa"/>
          </w:tcPr>
          <w:p w14:paraId="0B3A1F61" w14:textId="77777777" w:rsidR="00814768" w:rsidRPr="000B06F4" w:rsidRDefault="000B06F4" w:rsidP="00E6156B">
            <w:pPr>
              <w:spacing w:line="276" w:lineRule="auto"/>
              <w:ind w:left="142"/>
              <w:rPr>
                <w:sz w:val="20"/>
              </w:rPr>
            </w:pPr>
            <w:r w:rsidRPr="000B06F4">
              <w:rPr>
                <w:sz w:val="20"/>
              </w:rPr>
              <w:t xml:space="preserve">Upoštevajte vse relevantne reference od 1. 10. 2018. </w:t>
            </w:r>
            <w:r w:rsidR="006A019B">
              <w:rPr>
                <w:rFonts w:ascii="Helv" w:eastAsiaTheme="minorHAnsi" w:hAnsi="Helv" w:cs="Helv"/>
                <w:color w:val="000000"/>
                <w:sz w:val="20"/>
                <w:szCs w:val="20"/>
              </w:rPr>
              <w:t>V primeru, da gre za nov pravni subjekt, ki je posledica izvedene reorganizacije centrov za socialno delo in je torej nov pravni subjekt univerzalni pravni naslednik spojenih javnih socialno varstvenih zavodov, potem se lahko sklicujete tudi na njihove reference v navedenem obdobju.</w:t>
            </w:r>
          </w:p>
          <w:p w14:paraId="4FD28149" w14:textId="77777777" w:rsidR="000B06F4" w:rsidRPr="000B06F4" w:rsidRDefault="000B06F4" w:rsidP="00E6156B">
            <w:pPr>
              <w:spacing w:line="276" w:lineRule="auto"/>
              <w:ind w:left="142"/>
              <w:rPr>
                <w:sz w:val="20"/>
              </w:rPr>
            </w:pPr>
          </w:p>
          <w:p w14:paraId="59B6BE6F" w14:textId="77777777" w:rsidR="00AF6B27" w:rsidRPr="00AF6B27" w:rsidRDefault="00AF6B27" w:rsidP="00E6156B">
            <w:pPr>
              <w:spacing w:line="276" w:lineRule="auto"/>
              <w:ind w:left="142"/>
              <w:rPr>
                <w:sz w:val="20"/>
              </w:rPr>
            </w:pPr>
          </w:p>
        </w:tc>
        <w:tc>
          <w:tcPr>
            <w:tcW w:w="1261" w:type="dxa"/>
          </w:tcPr>
          <w:p w14:paraId="52B49E43" w14:textId="32A0C0C5" w:rsidR="00267A02" w:rsidRDefault="00040891" w:rsidP="00F81308">
            <w:pPr>
              <w:pStyle w:val="TableParagraph"/>
              <w:spacing w:line="227" w:lineRule="exact"/>
              <w:ind w:left="107"/>
              <w:jc w:val="both"/>
              <w:rPr>
                <w:sz w:val="20"/>
              </w:rPr>
            </w:pPr>
            <w:r>
              <w:rPr>
                <w:sz w:val="20"/>
              </w:rPr>
              <w:t>19.3.2021</w:t>
            </w:r>
          </w:p>
        </w:tc>
      </w:tr>
      <w:tr w:rsidR="00267A02" w14:paraId="58511B73" w14:textId="77777777" w:rsidTr="00F64E75">
        <w:trPr>
          <w:trHeight w:val="1380"/>
        </w:trPr>
        <w:tc>
          <w:tcPr>
            <w:tcW w:w="629" w:type="dxa"/>
          </w:tcPr>
          <w:p w14:paraId="0222DEDA" w14:textId="77777777" w:rsidR="00267A02" w:rsidRDefault="0017493A" w:rsidP="00D5377D">
            <w:pPr>
              <w:pStyle w:val="TableParagraph"/>
              <w:numPr>
                <w:ilvl w:val="0"/>
                <w:numId w:val="17"/>
              </w:numPr>
              <w:spacing w:line="227" w:lineRule="exact"/>
              <w:jc w:val="both"/>
              <w:rPr>
                <w:sz w:val="20"/>
              </w:rPr>
            </w:pPr>
            <w:r>
              <w:rPr>
                <w:sz w:val="20"/>
              </w:rPr>
              <w:t>6.</w:t>
            </w:r>
          </w:p>
        </w:tc>
        <w:tc>
          <w:tcPr>
            <w:tcW w:w="4498" w:type="dxa"/>
          </w:tcPr>
          <w:p w14:paraId="0ECC1276" w14:textId="77777777" w:rsidR="00267A02" w:rsidRPr="00626A0B" w:rsidRDefault="00E6156B" w:rsidP="00626A0B">
            <w:pPr>
              <w:pStyle w:val="TableParagraph"/>
              <w:spacing w:line="227" w:lineRule="exact"/>
              <w:ind w:left="107" w:right="131"/>
              <w:jc w:val="both"/>
              <w:rPr>
                <w:sz w:val="20"/>
              </w:rPr>
            </w:pPr>
            <w:r w:rsidRPr="00E6156B">
              <w:rPr>
                <w:sz w:val="20"/>
              </w:rPr>
              <w:t>Kako je z nakupom vozila v vrednosti, ki je višja od zgornje meje, določene v JR. Kakšen je v tem primeru postopek pridobitve soglasja ministrstva glede porabe presežka prihodkov nad odhodki ter kako na to vpliva dejstvo, da CSD še nima sprejetih letnih finančnih načrtov?</w:t>
            </w:r>
          </w:p>
        </w:tc>
        <w:tc>
          <w:tcPr>
            <w:tcW w:w="7861" w:type="dxa"/>
          </w:tcPr>
          <w:p w14:paraId="45ECF45D" w14:textId="77777777" w:rsidR="00E6156B" w:rsidRPr="00E6156B" w:rsidRDefault="00E6156B" w:rsidP="00E6156B">
            <w:pPr>
              <w:pStyle w:val="TableParagraph"/>
              <w:spacing w:line="276" w:lineRule="auto"/>
              <w:ind w:left="107" w:right="131"/>
              <w:jc w:val="both"/>
              <w:rPr>
                <w:sz w:val="20"/>
              </w:rPr>
            </w:pPr>
            <w:r w:rsidRPr="00E6156B">
              <w:rPr>
                <w:sz w:val="20"/>
              </w:rPr>
              <w:t>Prijavitelj naj pri prijavi upošteva maksimalne vrednosti vozil, ki so navedene v JR. Le v kolikor je to nujno potrebno ter ko gre za utemeljene razloge, lahko prijavitelj načrtuje nakup vozil, ki so dražji od maksimalne vrednosti, določene v JR. Ministrstvo bo pri tem porabo presežka prihodkov nad odhodki presojalo glede na ustrezno utemeljitev potreb nakupa ustreznih vozil (predvsem v kolikor gre za hribovite, strme in odročne terene s slabšimi cestami).</w:t>
            </w:r>
          </w:p>
          <w:p w14:paraId="2E6766CF" w14:textId="519D13BF" w:rsidR="00860635" w:rsidRPr="00267A02" w:rsidRDefault="00040891" w:rsidP="00E6156B">
            <w:pPr>
              <w:pStyle w:val="TableParagraph"/>
              <w:spacing w:line="276" w:lineRule="auto"/>
              <w:ind w:left="107" w:right="131"/>
              <w:jc w:val="both"/>
              <w:rPr>
                <w:color w:val="000000" w:themeColor="text1"/>
                <w:sz w:val="20"/>
              </w:rPr>
            </w:pPr>
            <w:r w:rsidRPr="00040891">
              <w:rPr>
                <w:color w:val="000000" w:themeColor="text1"/>
                <w:sz w:val="20"/>
              </w:rPr>
              <w:t>Izdaja soglasja MDDSZ o porabi presežka ni povezana z izhodišči za pripravo finančnega načrta CSD oz. z izdajo soglasja MDDSZ k finančnemu načrtu in programu dela za leto 2021. Gre za dva po zakonodaji ločena postopka. Postopek pridobitve soglasja za porabo presežka imajo vsi CSD-ji zapisano v Sklepih o ustanovitvi CSD, in sicer v 19. členu (vsi sklepi objavljeni v Uradnem listu RS, 30/18), ki določa, da o razpolaganju s presežkom odloča minister pristojen za socialno varstvo, in sicer na predlog sveta centra. Vloga za razpolaganje s presežkom se na ministrstvo lahko odda kadarkoli.</w:t>
            </w:r>
          </w:p>
        </w:tc>
        <w:tc>
          <w:tcPr>
            <w:tcW w:w="1261" w:type="dxa"/>
          </w:tcPr>
          <w:p w14:paraId="4FDFD091" w14:textId="61EE4010" w:rsidR="00267A02" w:rsidRDefault="00040891" w:rsidP="00F81308">
            <w:pPr>
              <w:pStyle w:val="TableParagraph"/>
              <w:spacing w:line="227" w:lineRule="exact"/>
              <w:ind w:left="107"/>
              <w:jc w:val="both"/>
              <w:rPr>
                <w:sz w:val="20"/>
              </w:rPr>
            </w:pPr>
            <w:r>
              <w:rPr>
                <w:sz w:val="20"/>
              </w:rPr>
              <w:t>19.3.2021</w:t>
            </w:r>
          </w:p>
        </w:tc>
      </w:tr>
      <w:tr w:rsidR="00267A02" w14:paraId="161739F3" w14:textId="77777777" w:rsidTr="00F64E75">
        <w:trPr>
          <w:trHeight w:val="1380"/>
        </w:trPr>
        <w:tc>
          <w:tcPr>
            <w:tcW w:w="629" w:type="dxa"/>
          </w:tcPr>
          <w:p w14:paraId="3A96DD46" w14:textId="77777777" w:rsidR="00267A02" w:rsidRDefault="0017493A" w:rsidP="00D5377D">
            <w:pPr>
              <w:pStyle w:val="TableParagraph"/>
              <w:numPr>
                <w:ilvl w:val="0"/>
                <w:numId w:val="17"/>
              </w:numPr>
              <w:spacing w:line="227" w:lineRule="exact"/>
              <w:jc w:val="both"/>
              <w:rPr>
                <w:sz w:val="20"/>
              </w:rPr>
            </w:pPr>
            <w:r>
              <w:rPr>
                <w:sz w:val="20"/>
              </w:rPr>
              <w:t>7.</w:t>
            </w:r>
          </w:p>
        </w:tc>
        <w:tc>
          <w:tcPr>
            <w:tcW w:w="4498" w:type="dxa"/>
          </w:tcPr>
          <w:p w14:paraId="48B39FBE" w14:textId="77777777" w:rsidR="00E6156B" w:rsidRPr="00E6156B" w:rsidRDefault="00E6156B" w:rsidP="00E6156B">
            <w:pPr>
              <w:pStyle w:val="TableParagraph"/>
              <w:spacing w:line="227" w:lineRule="exact"/>
              <w:ind w:left="107" w:right="131"/>
              <w:jc w:val="both"/>
              <w:rPr>
                <w:sz w:val="20"/>
              </w:rPr>
            </w:pPr>
            <w:r w:rsidRPr="00E6156B">
              <w:rPr>
                <w:sz w:val="20"/>
              </w:rPr>
              <w:t xml:space="preserve">Pod točko 20.2.3 kjer so navedene Priloge, ki niso del razpisne dokumentacije in jih morajo prijavitelji k vlogi priložiti sami: </w:t>
            </w:r>
          </w:p>
          <w:p w14:paraId="2E0429A5" w14:textId="77777777" w:rsidR="00E6156B" w:rsidRPr="00E6156B" w:rsidRDefault="00E6156B" w:rsidP="00E6156B">
            <w:pPr>
              <w:pStyle w:val="TableParagraph"/>
              <w:spacing w:line="227" w:lineRule="exact"/>
              <w:ind w:left="107" w:right="131"/>
              <w:jc w:val="both"/>
              <w:rPr>
                <w:sz w:val="20"/>
              </w:rPr>
            </w:pPr>
            <w:r w:rsidRPr="00E6156B">
              <w:rPr>
                <w:sz w:val="20"/>
              </w:rPr>
              <w:t>Priloga št. 9: Potrdilo FURS glede pravice do odbitnega DDV, nas zanima ali je dovolj da Center sam poda izjavo da ni zavezanec za DDV, ali, da Furs izda potrdilo da nismo zavezanci za DDV?</w:t>
            </w:r>
          </w:p>
          <w:p w14:paraId="70BE6ED0" w14:textId="77777777" w:rsidR="0005324F" w:rsidRPr="00626A0B" w:rsidRDefault="0005324F" w:rsidP="0005324F">
            <w:pPr>
              <w:pStyle w:val="TableParagraph"/>
              <w:spacing w:line="227" w:lineRule="exact"/>
              <w:ind w:left="107" w:right="131"/>
              <w:jc w:val="both"/>
              <w:rPr>
                <w:sz w:val="20"/>
              </w:rPr>
            </w:pPr>
          </w:p>
        </w:tc>
        <w:tc>
          <w:tcPr>
            <w:tcW w:w="7861" w:type="dxa"/>
          </w:tcPr>
          <w:p w14:paraId="54AE1387" w14:textId="12EE3DB7" w:rsidR="00860635" w:rsidRPr="005A0A34" w:rsidRDefault="00E6156B" w:rsidP="0005324F">
            <w:pPr>
              <w:spacing w:line="260" w:lineRule="exact"/>
              <w:ind w:left="142"/>
              <w:jc w:val="both"/>
              <w:rPr>
                <w:color w:val="000000" w:themeColor="text1"/>
                <w:sz w:val="20"/>
                <w:szCs w:val="20"/>
              </w:rPr>
            </w:pPr>
            <w:r w:rsidRPr="005A0A34">
              <w:rPr>
                <w:color w:val="000000" w:themeColor="text1"/>
                <w:sz w:val="20"/>
                <w:szCs w:val="20"/>
              </w:rPr>
              <w:t xml:space="preserve">Kot prilogo 9 mora prijavitelj priložiti potrdilo </w:t>
            </w:r>
            <w:r w:rsidR="003B22FB" w:rsidRPr="005A0A34">
              <w:rPr>
                <w:color w:val="000000" w:themeColor="text1"/>
                <w:sz w:val="20"/>
                <w:szCs w:val="20"/>
              </w:rPr>
              <w:t xml:space="preserve">pristojnega Finančnega urada </w:t>
            </w:r>
            <w:r w:rsidR="003B22FB" w:rsidRPr="005A0A34">
              <w:rPr>
                <w:rFonts w:eastAsiaTheme="minorHAnsi"/>
                <w:color w:val="000000"/>
                <w:sz w:val="20"/>
                <w:szCs w:val="20"/>
              </w:rPr>
              <w:t>glede pravice do odbitnega DDV za projekt</w:t>
            </w:r>
            <w:r w:rsidR="00567BCA">
              <w:rPr>
                <w:rFonts w:eastAsiaTheme="minorHAnsi"/>
                <w:color w:val="000000"/>
                <w:sz w:val="20"/>
                <w:szCs w:val="20"/>
              </w:rPr>
              <w:t>; izjava CSD ni dovolj</w:t>
            </w:r>
            <w:r w:rsidRPr="005A0A34">
              <w:rPr>
                <w:color w:val="000000" w:themeColor="text1"/>
                <w:sz w:val="20"/>
                <w:szCs w:val="20"/>
              </w:rPr>
              <w:t>.</w:t>
            </w:r>
          </w:p>
          <w:p w14:paraId="35300686" w14:textId="77777777" w:rsidR="003B22FB" w:rsidRPr="005A0A34" w:rsidRDefault="005A0A34" w:rsidP="0005324F">
            <w:pPr>
              <w:spacing w:line="260" w:lineRule="exact"/>
              <w:ind w:left="142"/>
              <w:jc w:val="both"/>
              <w:rPr>
                <w:color w:val="000000" w:themeColor="text1"/>
                <w:sz w:val="20"/>
                <w:szCs w:val="20"/>
              </w:rPr>
            </w:pPr>
            <w:r w:rsidRPr="005A0A34">
              <w:rPr>
                <w:color w:val="000000" w:themeColor="text1"/>
                <w:sz w:val="20"/>
                <w:szCs w:val="20"/>
              </w:rPr>
              <w:t xml:space="preserve">Pogoji upravičenosti do odbitnega DDV so navedeni v Navodilih OU o </w:t>
            </w:r>
            <w:r w:rsidRPr="005A0A34">
              <w:rPr>
                <w:sz w:val="20"/>
                <w:szCs w:val="20"/>
              </w:rPr>
              <w:t>upravičenih stroških za sredstva evropske kohezijske politike v programskem obdobju 2014-2020</w:t>
            </w:r>
            <w:r>
              <w:rPr>
                <w:sz w:val="20"/>
                <w:szCs w:val="20"/>
              </w:rPr>
              <w:t xml:space="preserve"> (poglavje 2.6 </w:t>
            </w:r>
            <w:r w:rsidRPr="005A0A34">
              <w:rPr>
                <w:sz w:val="20"/>
                <w:szCs w:val="20"/>
              </w:rPr>
              <w:t>Davek na dodano vrednost (DDV)</w:t>
            </w:r>
            <w:r>
              <w:rPr>
                <w:sz w:val="20"/>
                <w:szCs w:val="20"/>
              </w:rPr>
              <w:t>)</w:t>
            </w:r>
            <w:r w:rsidRPr="005A0A34">
              <w:rPr>
                <w:color w:val="000000" w:themeColor="text1"/>
                <w:sz w:val="20"/>
                <w:szCs w:val="20"/>
              </w:rPr>
              <w:t>:</w:t>
            </w:r>
          </w:p>
          <w:p w14:paraId="0E770C6A" w14:textId="77777777" w:rsidR="005A0A34" w:rsidRPr="005A0A34" w:rsidRDefault="005A0A34" w:rsidP="0005324F">
            <w:pPr>
              <w:spacing w:line="260" w:lineRule="exact"/>
              <w:ind w:left="142"/>
              <w:jc w:val="both"/>
              <w:rPr>
                <w:color w:val="000000" w:themeColor="text1"/>
                <w:sz w:val="20"/>
                <w:szCs w:val="20"/>
              </w:rPr>
            </w:pPr>
            <w:r w:rsidRPr="005A0A34">
              <w:rPr>
                <w:color w:val="000000" w:themeColor="text1"/>
                <w:sz w:val="20"/>
                <w:szCs w:val="20"/>
              </w:rPr>
              <w:t>https://eu-skladi.si/sl/dokumenti/navodila/nus_verzija-1-12_podpisano-1.pdf</w:t>
            </w:r>
          </w:p>
          <w:p w14:paraId="0823E7CC" w14:textId="77777777" w:rsidR="00E6156B" w:rsidRPr="005A0A34" w:rsidRDefault="00E6156B" w:rsidP="0005324F">
            <w:pPr>
              <w:spacing w:line="260" w:lineRule="exact"/>
              <w:ind w:left="142"/>
              <w:jc w:val="both"/>
              <w:rPr>
                <w:color w:val="000000" w:themeColor="text1"/>
                <w:sz w:val="20"/>
                <w:szCs w:val="20"/>
              </w:rPr>
            </w:pPr>
          </w:p>
          <w:p w14:paraId="648033CE" w14:textId="58C24BCD" w:rsidR="00E6156B" w:rsidRPr="00267A02" w:rsidRDefault="00E6156B" w:rsidP="0005324F">
            <w:pPr>
              <w:spacing w:line="260" w:lineRule="exact"/>
              <w:ind w:left="142"/>
              <w:jc w:val="both"/>
              <w:rPr>
                <w:color w:val="000000" w:themeColor="text1"/>
                <w:sz w:val="20"/>
              </w:rPr>
            </w:pPr>
          </w:p>
        </w:tc>
        <w:tc>
          <w:tcPr>
            <w:tcW w:w="1261" w:type="dxa"/>
          </w:tcPr>
          <w:p w14:paraId="2550569B" w14:textId="33028F8D" w:rsidR="00267A02" w:rsidRDefault="00040891" w:rsidP="00F81308">
            <w:pPr>
              <w:pStyle w:val="TableParagraph"/>
              <w:spacing w:line="227" w:lineRule="exact"/>
              <w:ind w:left="107"/>
              <w:jc w:val="both"/>
              <w:rPr>
                <w:sz w:val="20"/>
              </w:rPr>
            </w:pPr>
            <w:r>
              <w:rPr>
                <w:sz w:val="20"/>
              </w:rPr>
              <w:t>19.3.2021</w:t>
            </w:r>
          </w:p>
        </w:tc>
      </w:tr>
      <w:tr w:rsidR="00267A02" w14:paraId="14147F68" w14:textId="77777777" w:rsidTr="00F64E75">
        <w:trPr>
          <w:trHeight w:val="1380"/>
        </w:trPr>
        <w:tc>
          <w:tcPr>
            <w:tcW w:w="629" w:type="dxa"/>
          </w:tcPr>
          <w:p w14:paraId="1416D740" w14:textId="77777777" w:rsidR="00267A02" w:rsidRDefault="0017493A" w:rsidP="00D5377D">
            <w:pPr>
              <w:pStyle w:val="TableParagraph"/>
              <w:numPr>
                <w:ilvl w:val="0"/>
                <w:numId w:val="17"/>
              </w:numPr>
              <w:spacing w:line="227" w:lineRule="exact"/>
              <w:jc w:val="both"/>
              <w:rPr>
                <w:sz w:val="20"/>
              </w:rPr>
            </w:pPr>
            <w:r>
              <w:rPr>
                <w:sz w:val="20"/>
              </w:rPr>
              <w:t>8.</w:t>
            </w:r>
          </w:p>
        </w:tc>
        <w:tc>
          <w:tcPr>
            <w:tcW w:w="4498" w:type="dxa"/>
          </w:tcPr>
          <w:p w14:paraId="4B4C8006" w14:textId="77777777" w:rsidR="00267A02" w:rsidRPr="00626A0B" w:rsidRDefault="00267A02" w:rsidP="0005324F">
            <w:pPr>
              <w:pStyle w:val="TableParagraph"/>
              <w:spacing w:line="227" w:lineRule="exact"/>
              <w:ind w:left="107" w:right="131"/>
              <w:jc w:val="both"/>
              <w:rPr>
                <w:sz w:val="20"/>
              </w:rPr>
            </w:pPr>
          </w:p>
        </w:tc>
        <w:tc>
          <w:tcPr>
            <w:tcW w:w="7861" w:type="dxa"/>
          </w:tcPr>
          <w:p w14:paraId="50D854D9" w14:textId="77777777" w:rsidR="0005324F" w:rsidRPr="0005324F" w:rsidRDefault="0005324F" w:rsidP="0005324F">
            <w:pPr>
              <w:pStyle w:val="TableParagraph"/>
              <w:spacing w:line="227" w:lineRule="exact"/>
              <w:ind w:left="107" w:right="131"/>
              <w:jc w:val="both"/>
              <w:rPr>
                <w:sz w:val="20"/>
              </w:rPr>
            </w:pPr>
          </w:p>
        </w:tc>
        <w:tc>
          <w:tcPr>
            <w:tcW w:w="1261" w:type="dxa"/>
          </w:tcPr>
          <w:p w14:paraId="163BED8A" w14:textId="77777777" w:rsidR="00267A02" w:rsidRDefault="00267A02" w:rsidP="00F81308">
            <w:pPr>
              <w:pStyle w:val="TableParagraph"/>
              <w:spacing w:line="227" w:lineRule="exact"/>
              <w:ind w:left="107"/>
              <w:jc w:val="both"/>
              <w:rPr>
                <w:sz w:val="20"/>
              </w:rPr>
            </w:pPr>
          </w:p>
        </w:tc>
      </w:tr>
    </w:tbl>
    <w:p w14:paraId="71687C10" w14:textId="77777777" w:rsidR="00F70B6E" w:rsidRDefault="00F70B6E" w:rsidP="00F81308">
      <w:pPr>
        <w:jc w:val="both"/>
      </w:pPr>
    </w:p>
    <w:sectPr w:rsidR="00F70B6E" w:rsidSect="00364BC1">
      <w:headerReference w:type="default" r:id="rId7"/>
      <w:footerReference w:type="default" r:id="rId8"/>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4F82" w14:textId="77777777" w:rsidR="00B613EF" w:rsidRDefault="00B613EF">
      <w:r>
        <w:separator/>
      </w:r>
    </w:p>
  </w:endnote>
  <w:endnote w:type="continuationSeparator" w:id="0">
    <w:p w14:paraId="1E29F4FB" w14:textId="77777777" w:rsidR="00B613EF" w:rsidRDefault="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5A58" w14:textId="77777777" w:rsidR="0038477C" w:rsidRDefault="004B5C8E">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14:anchorId="38B23AE3" wp14:editId="2889F9F9">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8153" w14:textId="33153650" w:rsidR="0038477C" w:rsidRDefault="003636AE">
                          <w:pPr>
                            <w:spacing w:before="12"/>
                            <w:ind w:left="60"/>
                            <w:rPr>
                              <w:sz w:val="20"/>
                            </w:rPr>
                          </w:pPr>
                          <w:r>
                            <w:fldChar w:fldCharType="begin"/>
                          </w:r>
                          <w:r w:rsidR="00F70B6E">
                            <w:rPr>
                              <w:w w:val="99"/>
                              <w:sz w:val="20"/>
                            </w:rPr>
                            <w:instrText xml:space="preserve"> PAGE </w:instrText>
                          </w:r>
                          <w:r>
                            <w:fldChar w:fldCharType="separate"/>
                          </w:r>
                          <w:r w:rsidR="00B613EF">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23AE3"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14:paraId="50478153" w14:textId="33153650" w:rsidR="0038477C" w:rsidRDefault="003636AE">
                    <w:pPr>
                      <w:spacing w:before="12"/>
                      <w:ind w:left="60"/>
                      <w:rPr>
                        <w:sz w:val="20"/>
                      </w:rPr>
                    </w:pPr>
                    <w:r>
                      <w:fldChar w:fldCharType="begin"/>
                    </w:r>
                    <w:r w:rsidR="00F70B6E">
                      <w:rPr>
                        <w:w w:val="99"/>
                        <w:sz w:val="20"/>
                      </w:rPr>
                      <w:instrText xml:space="preserve"> PAGE </w:instrText>
                    </w:r>
                    <w:r>
                      <w:fldChar w:fldCharType="separate"/>
                    </w:r>
                    <w:r w:rsidR="00B613EF">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781F" w14:textId="77777777" w:rsidR="00B613EF" w:rsidRDefault="00B613EF">
      <w:r>
        <w:separator/>
      </w:r>
    </w:p>
  </w:footnote>
  <w:footnote w:type="continuationSeparator" w:id="0">
    <w:p w14:paraId="7A1A652F" w14:textId="77777777" w:rsidR="00B613EF" w:rsidRDefault="00B61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4D" w14:textId="77777777" w:rsidR="0038477C" w:rsidRDefault="000B06F4">
    <w:pPr>
      <w:pStyle w:val="Telobesedila"/>
      <w:spacing w:line="14" w:lineRule="auto"/>
      <w:rPr>
        <w:b w:val="0"/>
        <w:sz w:val="20"/>
      </w:rPr>
    </w:pPr>
    <w:r w:rsidRPr="00946A65">
      <w:rPr>
        <w:noProof/>
        <w:szCs w:val="20"/>
        <w:lang w:eastAsia="sl-SI"/>
      </w:rPr>
      <w:drawing>
        <wp:anchor distT="0" distB="0" distL="114300" distR="114300" simplePos="0" relativeHeight="251660800" behindDoc="0" locked="0" layoutInCell="1" allowOverlap="1" wp14:anchorId="6BE46DFA" wp14:editId="355C09CE">
          <wp:simplePos x="0" y="0"/>
          <wp:positionH relativeFrom="margin">
            <wp:posOffset>5886450</wp:posOffset>
          </wp:positionH>
          <wp:positionV relativeFrom="paragraph">
            <wp:posOffset>-619125</wp:posOffset>
          </wp:positionV>
          <wp:extent cx="2072640" cy="798195"/>
          <wp:effectExtent l="0" t="0" r="3810" b="1905"/>
          <wp:wrapThrough wrapText="bothSides">
            <wp:wrapPolygon edited="0">
              <wp:start x="0" y="0"/>
              <wp:lineTo x="0" y="21136"/>
              <wp:lineTo x="21441" y="21136"/>
              <wp:lineTo x="21441" y="0"/>
              <wp:lineTo x="0" y="0"/>
            </wp:wrapPolygon>
          </wp:wrapThrough>
          <wp:docPr id="6" name="Slika 6"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0" cy="798195"/>
                  </a:xfrm>
                  <a:prstGeom prst="rect">
                    <a:avLst/>
                  </a:prstGeom>
                  <a:noFill/>
                  <a:ln>
                    <a:noFill/>
                  </a:ln>
                </pic:spPr>
              </pic:pic>
            </a:graphicData>
          </a:graphic>
        </wp:anchor>
      </w:drawing>
    </w:r>
    <w:r w:rsidR="00F70B6E">
      <w:rPr>
        <w:noProof/>
        <w:lang w:eastAsia="sl-SI"/>
      </w:rPr>
      <w:drawing>
        <wp:anchor distT="0" distB="0" distL="0" distR="0" simplePos="0" relativeHeight="251657728" behindDoc="1" locked="0" layoutInCell="1" allowOverlap="1" wp14:anchorId="26F0F296" wp14:editId="04973AAA">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r>
      <w:rPr>
        <w:b w:val="0"/>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3"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4"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9"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0"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1"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3"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num w:numId="1">
    <w:abstractNumId w:val="10"/>
  </w:num>
  <w:num w:numId="2">
    <w:abstractNumId w:val="12"/>
  </w:num>
  <w:num w:numId="3">
    <w:abstractNumId w:val="3"/>
  </w:num>
  <w:num w:numId="4">
    <w:abstractNumId w:val="16"/>
  </w:num>
  <w:num w:numId="5">
    <w:abstractNumId w:val="9"/>
  </w:num>
  <w:num w:numId="6">
    <w:abstractNumId w:val="2"/>
  </w:num>
  <w:num w:numId="7">
    <w:abstractNumId w:val="6"/>
  </w:num>
  <w:num w:numId="8">
    <w:abstractNumId w:val="5"/>
  </w:num>
  <w:num w:numId="9">
    <w:abstractNumId w:val="11"/>
  </w:num>
  <w:num w:numId="10">
    <w:abstractNumId w:val="1"/>
  </w:num>
  <w:num w:numId="11">
    <w:abstractNumId w:val="15"/>
  </w:num>
  <w:num w:numId="12">
    <w:abstractNumId w:val="0"/>
  </w:num>
  <w:num w:numId="13">
    <w:abstractNumId w:val="4"/>
  </w:num>
  <w:num w:numId="14">
    <w:abstractNumId w:val="13"/>
  </w:num>
  <w:num w:numId="15">
    <w:abstractNumId w:val="8"/>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2183D"/>
    <w:rsid w:val="00030B1A"/>
    <w:rsid w:val="00040891"/>
    <w:rsid w:val="0005324F"/>
    <w:rsid w:val="00071EDD"/>
    <w:rsid w:val="00090E66"/>
    <w:rsid w:val="00095BBC"/>
    <w:rsid w:val="000B06F4"/>
    <w:rsid w:val="000B6260"/>
    <w:rsid w:val="000C4A7E"/>
    <w:rsid w:val="000C6BE0"/>
    <w:rsid w:val="000D2545"/>
    <w:rsid w:val="000E4D1E"/>
    <w:rsid w:val="000E4EF2"/>
    <w:rsid w:val="000E6BC3"/>
    <w:rsid w:val="000F0A56"/>
    <w:rsid w:val="000F59B1"/>
    <w:rsid w:val="00121480"/>
    <w:rsid w:val="00135B53"/>
    <w:rsid w:val="00141D87"/>
    <w:rsid w:val="00161F04"/>
    <w:rsid w:val="0017493A"/>
    <w:rsid w:val="00185226"/>
    <w:rsid w:val="0019347D"/>
    <w:rsid w:val="001C6A24"/>
    <w:rsid w:val="001D1622"/>
    <w:rsid w:val="001D41F6"/>
    <w:rsid w:val="001E5144"/>
    <w:rsid w:val="001F305E"/>
    <w:rsid w:val="001F7B26"/>
    <w:rsid w:val="0020141E"/>
    <w:rsid w:val="0022213E"/>
    <w:rsid w:val="002424BE"/>
    <w:rsid w:val="00251190"/>
    <w:rsid w:val="002612C5"/>
    <w:rsid w:val="00267A02"/>
    <w:rsid w:val="002730CC"/>
    <w:rsid w:val="00291A9D"/>
    <w:rsid w:val="0029547C"/>
    <w:rsid w:val="002A1E96"/>
    <w:rsid w:val="002B3964"/>
    <w:rsid w:val="002C41CC"/>
    <w:rsid w:val="002C70A0"/>
    <w:rsid w:val="002C795B"/>
    <w:rsid w:val="002E2DE7"/>
    <w:rsid w:val="00313E47"/>
    <w:rsid w:val="003636AE"/>
    <w:rsid w:val="00364BC1"/>
    <w:rsid w:val="0038477C"/>
    <w:rsid w:val="00385B27"/>
    <w:rsid w:val="00385D35"/>
    <w:rsid w:val="00387AF4"/>
    <w:rsid w:val="003B22FB"/>
    <w:rsid w:val="003B7851"/>
    <w:rsid w:val="003C2B94"/>
    <w:rsid w:val="003C461C"/>
    <w:rsid w:val="003C4923"/>
    <w:rsid w:val="003D7EC3"/>
    <w:rsid w:val="003F6BD3"/>
    <w:rsid w:val="0040231F"/>
    <w:rsid w:val="00422429"/>
    <w:rsid w:val="004342CD"/>
    <w:rsid w:val="004575BD"/>
    <w:rsid w:val="00462E83"/>
    <w:rsid w:val="0048373A"/>
    <w:rsid w:val="0049644D"/>
    <w:rsid w:val="00497DEC"/>
    <w:rsid w:val="004B5C8E"/>
    <w:rsid w:val="004B6D44"/>
    <w:rsid w:val="004C3845"/>
    <w:rsid w:val="00506A67"/>
    <w:rsid w:val="00513DB6"/>
    <w:rsid w:val="00514874"/>
    <w:rsid w:val="0051745E"/>
    <w:rsid w:val="00567BCA"/>
    <w:rsid w:val="00572DBD"/>
    <w:rsid w:val="005A0A34"/>
    <w:rsid w:val="005D4706"/>
    <w:rsid w:val="005D7801"/>
    <w:rsid w:val="005F29AF"/>
    <w:rsid w:val="005F373D"/>
    <w:rsid w:val="0060446A"/>
    <w:rsid w:val="00626A0B"/>
    <w:rsid w:val="00651BFB"/>
    <w:rsid w:val="00663B82"/>
    <w:rsid w:val="00670B57"/>
    <w:rsid w:val="006735A9"/>
    <w:rsid w:val="00691FAD"/>
    <w:rsid w:val="006A019B"/>
    <w:rsid w:val="006A1887"/>
    <w:rsid w:val="00723C49"/>
    <w:rsid w:val="00743594"/>
    <w:rsid w:val="00774758"/>
    <w:rsid w:val="0079630F"/>
    <w:rsid w:val="007B6F32"/>
    <w:rsid w:val="007C2578"/>
    <w:rsid w:val="007F743C"/>
    <w:rsid w:val="0083702B"/>
    <w:rsid w:val="008402F5"/>
    <w:rsid w:val="00845642"/>
    <w:rsid w:val="00860635"/>
    <w:rsid w:val="00865FAB"/>
    <w:rsid w:val="008816DA"/>
    <w:rsid w:val="00882911"/>
    <w:rsid w:val="008877CE"/>
    <w:rsid w:val="008C10B5"/>
    <w:rsid w:val="008C24B8"/>
    <w:rsid w:val="008C4393"/>
    <w:rsid w:val="008C494D"/>
    <w:rsid w:val="009066AC"/>
    <w:rsid w:val="009137AF"/>
    <w:rsid w:val="009D414D"/>
    <w:rsid w:val="009F2059"/>
    <w:rsid w:val="009F4782"/>
    <w:rsid w:val="009F7660"/>
    <w:rsid w:val="00A147CF"/>
    <w:rsid w:val="00A22C02"/>
    <w:rsid w:val="00A461B7"/>
    <w:rsid w:val="00A62715"/>
    <w:rsid w:val="00AA159A"/>
    <w:rsid w:val="00AA1CB2"/>
    <w:rsid w:val="00AB3B6A"/>
    <w:rsid w:val="00AB601F"/>
    <w:rsid w:val="00AC3FAA"/>
    <w:rsid w:val="00AE0214"/>
    <w:rsid w:val="00AE3E98"/>
    <w:rsid w:val="00AF6B27"/>
    <w:rsid w:val="00AF7A1B"/>
    <w:rsid w:val="00B15C98"/>
    <w:rsid w:val="00B3266A"/>
    <w:rsid w:val="00B36D17"/>
    <w:rsid w:val="00B5671F"/>
    <w:rsid w:val="00B57C0D"/>
    <w:rsid w:val="00B613EF"/>
    <w:rsid w:val="00B77182"/>
    <w:rsid w:val="00B87DE2"/>
    <w:rsid w:val="00BB1FB0"/>
    <w:rsid w:val="00BB4C3E"/>
    <w:rsid w:val="00BD2B0C"/>
    <w:rsid w:val="00BD3C05"/>
    <w:rsid w:val="00BD60A3"/>
    <w:rsid w:val="00BE4051"/>
    <w:rsid w:val="00BF0862"/>
    <w:rsid w:val="00C11844"/>
    <w:rsid w:val="00C1692E"/>
    <w:rsid w:val="00C452E1"/>
    <w:rsid w:val="00C57B73"/>
    <w:rsid w:val="00C60B0D"/>
    <w:rsid w:val="00C74FF0"/>
    <w:rsid w:val="00C9590D"/>
    <w:rsid w:val="00CA3939"/>
    <w:rsid w:val="00CA589E"/>
    <w:rsid w:val="00D05F6B"/>
    <w:rsid w:val="00D14670"/>
    <w:rsid w:val="00D23611"/>
    <w:rsid w:val="00D30089"/>
    <w:rsid w:val="00D315F7"/>
    <w:rsid w:val="00D3537B"/>
    <w:rsid w:val="00D514FA"/>
    <w:rsid w:val="00D5377D"/>
    <w:rsid w:val="00D63DF1"/>
    <w:rsid w:val="00D81889"/>
    <w:rsid w:val="00D9091B"/>
    <w:rsid w:val="00DE1A0D"/>
    <w:rsid w:val="00DE5AEB"/>
    <w:rsid w:val="00DF017E"/>
    <w:rsid w:val="00E16C39"/>
    <w:rsid w:val="00E508DB"/>
    <w:rsid w:val="00E55E61"/>
    <w:rsid w:val="00E6156B"/>
    <w:rsid w:val="00E77E48"/>
    <w:rsid w:val="00E829E8"/>
    <w:rsid w:val="00E92089"/>
    <w:rsid w:val="00E94480"/>
    <w:rsid w:val="00EA499F"/>
    <w:rsid w:val="00EC1C3E"/>
    <w:rsid w:val="00EE219D"/>
    <w:rsid w:val="00EF37DD"/>
    <w:rsid w:val="00F05762"/>
    <w:rsid w:val="00F42EB3"/>
    <w:rsid w:val="00F62853"/>
    <w:rsid w:val="00F64E75"/>
    <w:rsid w:val="00F70B6E"/>
    <w:rsid w:val="00F81308"/>
    <w:rsid w:val="00FB78C3"/>
    <w:rsid w:val="00FD3C23"/>
    <w:rsid w:val="00FE3F1A"/>
    <w:rsid w:val="00FF28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6C25"/>
  <w15:docId w15:val="{9D02CFEC-A04E-42B5-95E6-7BBFED18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8DB"/>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rsid w:val="002A1E96"/>
    <w:rPr>
      <w:sz w:val="20"/>
      <w:szCs w:val="20"/>
    </w:rPr>
  </w:style>
  <w:style w:type="character" w:customStyle="1" w:styleId="PripombabesediloZnak">
    <w:name w:val="Pripomba – besedilo Znak"/>
    <w:basedOn w:val="Privzetapisavaodstavka"/>
    <w:link w:val="Pripombabesedilo"/>
    <w:uiPriority w:val="99"/>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Teja Podgorelec</cp:lastModifiedBy>
  <cp:revision>2</cp:revision>
  <cp:lastPrinted>2020-04-28T19:43:00Z</cp:lastPrinted>
  <dcterms:created xsi:type="dcterms:W3CDTF">2021-03-19T09:00:00Z</dcterms:created>
  <dcterms:modified xsi:type="dcterms:W3CDTF">2021-03-19T09:00:00Z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