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7B9E" w14:textId="77777777" w:rsidR="0038477C" w:rsidRDefault="0038477C">
      <w:pPr>
        <w:pStyle w:val="Telobesedila"/>
        <w:rPr>
          <w:rFonts w:ascii="Times New Roman"/>
          <w:b w:val="0"/>
          <w:sz w:val="20"/>
        </w:rPr>
      </w:pPr>
    </w:p>
    <w:p w14:paraId="0D164753" w14:textId="77777777" w:rsidR="0038477C" w:rsidRDefault="0038477C">
      <w:pPr>
        <w:pStyle w:val="Telobesedila"/>
        <w:rPr>
          <w:rFonts w:ascii="Times New Roman"/>
          <w:b w:val="0"/>
          <w:sz w:val="20"/>
        </w:rPr>
      </w:pPr>
    </w:p>
    <w:p w14:paraId="2ABAF66C" w14:textId="77777777" w:rsidR="0038477C" w:rsidRDefault="0038477C">
      <w:pPr>
        <w:pStyle w:val="Telobesedila"/>
        <w:spacing w:before="7"/>
        <w:rPr>
          <w:rFonts w:ascii="Times New Roman"/>
          <w:b w:val="0"/>
          <w:sz w:val="25"/>
        </w:rPr>
      </w:pPr>
    </w:p>
    <w:p w14:paraId="6080CAE9" w14:textId="2FB0E04C" w:rsidR="0038477C" w:rsidRDefault="00F70B6E" w:rsidP="00876E2E">
      <w:pPr>
        <w:pStyle w:val="Telobesedila"/>
        <w:spacing w:before="104" w:line="228" w:lineRule="auto"/>
        <w:ind w:left="215"/>
        <w:rPr>
          <w:lang w:val="sl"/>
        </w:rPr>
      </w:pPr>
      <w:r>
        <w:t xml:space="preserve">Pogosta vprašanja in odgovori - Javni razpis za sofinanciranje vlaganj v infrastrukturo </w:t>
      </w:r>
      <w:r w:rsidR="00876E2E" w:rsidRPr="00876E2E">
        <w:rPr>
          <w:lang w:val="sl"/>
        </w:rPr>
        <w:t>za vzpostavitev stanovanjskih skupin za osebe mlajše od 65 let</w:t>
      </w:r>
    </w:p>
    <w:p w14:paraId="2F998E17" w14:textId="77777777" w:rsidR="00876E2E" w:rsidRDefault="00876E2E" w:rsidP="00876E2E">
      <w:pPr>
        <w:pStyle w:val="Telobesedila"/>
        <w:spacing w:before="104" w:line="228" w:lineRule="auto"/>
        <w:ind w:left="215"/>
        <w:rPr>
          <w:b w:val="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34"/>
        <w:gridCol w:w="8286"/>
        <w:gridCol w:w="1261"/>
      </w:tblGrid>
      <w:tr w:rsidR="0038477C" w14:paraId="22C7AF9E" w14:textId="77777777">
        <w:trPr>
          <w:trHeight w:val="460"/>
        </w:trPr>
        <w:tc>
          <w:tcPr>
            <w:tcW w:w="629" w:type="dxa"/>
          </w:tcPr>
          <w:p w14:paraId="47F541D5" w14:textId="77777777" w:rsidR="0038477C" w:rsidRDefault="00F70B6E">
            <w:pPr>
              <w:pStyle w:val="TableParagraph"/>
              <w:spacing w:before="2" w:line="228" w:lineRule="exact"/>
              <w:ind w:left="107" w:right="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Zap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št.</w:t>
            </w:r>
          </w:p>
        </w:tc>
        <w:tc>
          <w:tcPr>
            <w:tcW w:w="3934" w:type="dxa"/>
          </w:tcPr>
          <w:p w14:paraId="26EB6584" w14:textId="77777777" w:rsidR="0038477C" w:rsidRDefault="00F70B6E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Vprašanje</w:t>
            </w:r>
          </w:p>
        </w:tc>
        <w:tc>
          <w:tcPr>
            <w:tcW w:w="8286" w:type="dxa"/>
          </w:tcPr>
          <w:p w14:paraId="2FA24A54" w14:textId="77777777" w:rsidR="0038477C" w:rsidRDefault="00F70B6E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Odgovor</w:t>
            </w:r>
          </w:p>
        </w:tc>
        <w:tc>
          <w:tcPr>
            <w:tcW w:w="1261" w:type="dxa"/>
          </w:tcPr>
          <w:p w14:paraId="000A3609" w14:textId="77777777" w:rsidR="0038477C" w:rsidRDefault="00F70B6E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Objava</w:t>
            </w:r>
          </w:p>
        </w:tc>
      </w:tr>
      <w:tr w:rsidR="00A80D8D" w14:paraId="78A90AE7" w14:textId="77777777">
        <w:trPr>
          <w:trHeight w:val="460"/>
        </w:trPr>
        <w:tc>
          <w:tcPr>
            <w:tcW w:w="629" w:type="dxa"/>
          </w:tcPr>
          <w:p w14:paraId="7D512680" w14:textId="11BFFF8C" w:rsidR="00A80D8D" w:rsidRDefault="00A80D8D">
            <w:pPr>
              <w:pStyle w:val="TableParagraph"/>
              <w:spacing w:before="2" w:line="228" w:lineRule="exact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34" w:type="dxa"/>
          </w:tcPr>
          <w:p w14:paraId="47DDB0A7" w14:textId="77777777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Zakaj razpis omogoča prijavo samo javnim zavodom, ne pa tudi koncesionarjem? Se ta razpisni pogoj lahko še spremeni?</w:t>
            </w:r>
          </w:p>
          <w:p w14:paraId="2D3F04CC" w14:textId="77777777" w:rsidR="00A80D8D" w:rsidRDefault="00A80D8D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</w:p>
        </w:tc>
        <w:tc>
          <w:tcPr>
            <w:tcW w:w="8286" w:type="dxa"/>
          </w:tcPr>
          <w:p w14:paraId="2834CE8D" w14:textId="77777777" w:rsidR="007C31E4" w:rsidRPr="007C31E4" w:rsidRDefault="007C31E4" w:rsidP="007C31E4">
            <w:pPr>
              <w:pStyle w:val="TableParagraph"/>
              <w:rPr>
                <w:sz w:val="20"/>
              </w:rPr>
            </w:pPr>
            <w:r w:rsidRPr="007C31E4">
              <w:rPr>
                <w:sz w:val="20"/>
              </w:rPr>
              <w:t xml:space="preserve">Javni razpis je bil zasnovan tako, da se okrepi mrežo skupnostnih storitev javnih zavodov. RS si je že s prejšnjo Resolucijo o nacionalnem programu socialnega varstva za obdobje 2013-2020 zadala, da bodo v prvi vrsti javni zavodi nosilci prehoda od institucionalnih k skupnostnim oblikam bivanja in oskrbe, kar se bo nadaljevalo tudi v novi resoluciji. Dejstvo je tudi, da lahko RS poskrbi za dolgoročen obstoj takšne infrastrukture le, če se vzpostavi v okviru javnih zavodov, saj tako nepremičnina ostane v lasti RS, hkrati pa so lahko na ta način nove investicije po zaključku obdobja spremljanja, dolgoročno integrirane v sistem socialnega varstva RS. </w:t>
            </w:r>
          </w:p>
          <w:p w14:paraId="65A7C92B" w14:textId="31D7CC51" w:rsidR="00A80D8D" w:rsidRDefault="00A80D8D" w:rsidP="00A80D8D">
            <w:pPr>
              <w:pStyle w:val="TableParagraph"/>
              <w:ind w:left="110" w:right="95"/>
              <w:jc w:val="both"/>
              <w:rPr>
                <w:b/>
                <w:sz w:val="20"/>
              </w:rPr>
            </w:pPr>
          </w:p>
        </w:tc>
        <w:tc>
          <w:tcPr>
            <w:tcW w:w="1261" w:type="dxa"/>
          </w:tcPr>
          <w:p w14:paraId="70DD6643" w14:textId="3CC0071D" w:rsidR="00A80D8D" w:rsidRDefault="0098134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23. 4.2021</w:t>
            </w:r>
          </w:p>
        </w:tc>
      </w:tr>
      <w:tr w:rsidR="00A80D8D" w14:paraId="68AB222A" w14:textId="77777777">
        <w:trPr>
          <w:trHeight w:val="460"/>
        </w:trPr>
        <w:tc>
          <w:tcPr>
            <w:tcW w:w="629" w:type="dxa"/>
          </w:tcPr>
          <w:p w14:paraId="0E7E2212" w14:textId="29A8077E" w:rsidR="00A80D8D" w:rsidRDefault="00A80D8D">
            <w:pPr>
              <w:pStyle w:val="TableParagraph"/>
              <w:spacing w:before="2" w:line="228" w:lineRule="exact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34" w:type="dxa"/>
          </w:tcPr>
          <w:p w14:paraId="17EDC26A" w14:textId="59795DE9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Ali celodnevno varstvo pomeni 24-urno institucionalno varstvo ali tudi 16-urno institucionalno varstvo, ki je v VDC-jih večinoma kombinirano z 8-urno storitvijo vodenja, varstva in zaposlitve? Zanima nas, ali razpis omogoča financiranje vzpostavljanja stanovanjskih skupin, ki zagotavljajo le 16 urno IV?   </w:t>
            </w:r>
          </w:p>
        </w:tc>
        <w:tc>
          <w:tcPr>
            <w:tcW w:w="8286" w:type="dxa"/>
          </w:tcPr>
          <w:p w14:paraId="1451E00B" w14:textId="77777777" w:rsidR="005D1E4D" w:rsidRDefault="00A80D8D" w:rsidP="005D1E4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 xml:space="preserve">V skladu z 8. členom (točke č) Oblike storitve) Pravilnika o standardih in normativih socialnovarstvenih storitev se institucionalno varstvo lahko izvaja kot celodnevno varstvo ali v obliki dnevnega varstva. </w:t>
            </w:r>
          </w:p>
          <w:p w14:paraId="17D4663B" w14:textId="77777777" w:rsidR="005D1E4D" w:rsidRDefault="005D1E4D" w:rsidP="005D1E4D">
            <w:pPr>
              <w:pStyle w:val="TableParagraph"/>
              <w:ind w:left="110" w:right="95"/>
              <w:jc w:val="both"/>
              <w:rPr>
                <w:sz w:val="20"/>
              </w:rPr>
            </w:pPr>
          </w:p>
          <w:p w14:paraId="2832439E" w14:textId="24DD9A3A" w:rsidR="005D1E4D" w:rsidRPr="00A80D8D" w:rsidRDefault="005D1E4D" w:rsidP="005D1E4D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Na podlagi d) točke Pravilnika,</w:t>
            </w:r>
            <w:r w:rsidRPr="00A80D8D">
              <w:rPr>
                <w:sz w:val="20"/>
              </w:rPr>
              <w:t xml:space="preserve"> kjer je navedeno, da se celodnevna oblika storitve izvaja 24 ur dnevno, v primeru dodatne vključitve upravičenca v drugo socialnovarstveno storitev, storitev zaposlitvene rehab</w:t>
            </w:r>
            <w:r w:rsidR="007C31E4">
              <w:rPr>
                <w:sz w:val="20"/>
              </w:rPr>
              <w:t>i</w:t>
            </w:r>
            <w:r w:rsidRPr="00A80D8D">
              <w:rPr>
                <w:sz w:val="20"/>
              </w:rPr>
              <w:t>litacije al</w:t>
            </w:r>
            <w:r>
              <w:rPr>
                <w:sz w:val="20"/>
              </w:rPr>
              <w:t>i zaposlitev pa tudi krajši čas, se možnost kombinacije</w:t>
            </w:r>
            <w:r w:rsidRPr="00A80D8D">
              <w:rPr>
                <w:sz w:val="20"/>
              </w:rPr>
              <w:t xml:space="preserve"> storitve </w:t>
            </w:r>
            <w:r>
              <w:rPr>
                <w:sz w:val="20"/>
              </w:rPr>
              <w:t>(</w:t>
            </w:r>
            <w:r w:rsidRPr="00A80D8D">
              <w:rPr>
                <w:sz w:val="20"/>
              </w:rPr>
              <w:t>16+8</w:t>
            </w:r>
            <w:r>
              <w:rPr>
                <w:sz w:val="20"/>
              </w:rPr>
              <w:t>) v okviru JR SS, ne izključuje za navedeno ciljno skupino.</w:t>
            </w:r>
          </w:p>
          <w:p w14:paraId="52FF5BE1" w14:textId="77777777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</w:p>
          <w:p w14:paraId="29749F15" w14:textId="77777777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ZAPIS V JR:</w:t>
            </w:r>
          </w:p>
          <w:p w14:paraId="7A07A205" w14:textId="77777777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</w:p>
          <w:p w14:paraId="11DF9F44" w14:textId="77777777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PREDMET JAVNEGA RAZPISA IN NAČIN IZVEDBE JAVNEGA RAZPISA</w:t>
            </w:r>
          </w:p>
          <w:p w14:paraId="4AEDBA83" w14:textId="5EC5F58E" w:rsid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Predmet javnega razpisa je sofinanciranje projektov, ki bodo zagotavljali namestitvene kapacitete za vzpostavitev stanovanjskih skupin za osebe iz ciljne skupine, ki so sedaj skladno z 8. členom Pravilnika o standardih in normativih socialnovarstvenih storitev (točke č) Oblike storitev in d) Trajanje) vključene v celodnevno institucionalno varstvo pri upravičenih prijaviteljih. Upravičeni prijavitelji morajo izpolnjevati pogoje, ki so navedeni v poglavju 7. Pogoji za kandidiranje in preverjanje izpolnjevanja pogojev in, ki imajo med svojimi uporabniki vsaj eno skupino oseb, navedeno v poglavju 3. Ciljna skupina.</w:t>
            </w:r>
          </w:p>
          <w:p w14:paraId="6B6A2BB7" w14:textId="77777777" w:rsidR="00B96DC4" w:rsidRPr="00A80D8D" w:rsidRDefault="00B96DC4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</w:p>
          <w:p w14:paraId="174826FD" w14:textId="77777777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</w:p>
        </w:tc>
        <w:tc>
          <w:tcPr>
            <w:tcW w:w="1261" w:type="dxa"/>
          </w:tcPr>
          <w:p w14:paraId="460C8084" w14:textId="16939AE2" w:rsidR="00A80D8D" w:rsidRDefault="0098134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23. 4.2021</w:t>
            </w:r>
          </w:p>
        </w:tc>
      </w:tr>
      <w:tr w:rsidR="00A80D8D" w14:paraId="0C86896D" w14:textId="77777777">
        <w:trPr>
          <w:trHeight w:val="460"/>
        </w:trPr>
        <w:tc>
          <w:tcPr>
            <w:tcW w:w="629" w:type="dxa"/>
          </w:tcPr>
          <w:p w14:paraId="5D94A079" w14:textId="225B56B0" w:rsidR="00A80D8D" w:rsidRDefault="00A80D8D">
            <w:pPr>
              <w:pStyle w:val="TableParagraph"/>
              <w:spacing w:before="2" w:line="228" w:lineRule="exact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34" w:type="dxa"/>
          </w:tcPr>
          <w:p w14:paraId="16C1ADFB" w14:textId="7088DBB1" w:rsidR="00A80D8D" w:rsidRPr="00A80D8D" w:rsidRDefault="00A80D8D" w:rsidP="00A80D8D">
            <w:pPr>
              <w:pStyle w:val="TableParagraph"/>
              <w:tabs>
                <w:tab w:val="left" w:pos="1260"/>
              </w:tabs>
              <w:ind w:right="95"/>
              <w:rPr>
                <w:sz w:val="20"/>
              </w:rPr>
            </w:pPr>
            <w:r w:rsidRPr="00A80D8D">
              <w:rPr>
                <w:sz w:val="20"/>
              </w:rPr>
              <w:t xml:space="preserve">Za vzpostavitev prave oskrbe v skupnosti, ki podpre uporabnike tam, kjer jo potrebuje, brez sistemsko urejenih podpornih, mobilnih storitev na področju sociale in zdravstva ne bo šlo. Za oskrbo v skupnosti je potrebna integracija, povezovanje različnih organizacij, posameznikov, saj z oskrbo v skupnosti s strani le 1 institucije, spet dobimo institucionalno oskrbo. Prava </w:t>
            </w:r>
            <w:proofErr w:type="spellStart"/>
            <w:r w:rsidRPr="00A80D8D">
              <w:rPr>
                <w:sz w:val="20"/>
              </w:rPr>
              <w:t>deinstitucionalizacija</w:t>
            </w:r>
            <w:proofErr w:type="spellEnd"/>
            <w:r w:rsidRPr="00A80D8D">
              <w:rPr>
                <w:sz w:val="20"/>
              </w:rPr>
              <w:t xml:space="preserve"> ne bo uspela, če ne bomo izvajalci na terenu začeli ciljano delati na razvoju storitev v skupnosti, povezovanju z drugimi organizacijami, ustvarjanju pogojev za življenje v skupnosti, sistem pa nas bo pri tem čim hitreje podprl.</w:t>
            </w:r>
          </w:p>
          <w:p w14:paraId="29DD1CD9" w14:textId="1F3C2ED5" w:rsidR="00A80D8D" w:rsidRPr="00A80D8D" w:rsidRDefault="00A80D8D" w:rsidP="00A80D8D">
            <w:pPr>
              <w:pStyle w:val="TableParagraph"/>
              <w:tabs>
                <w:tab w:val="left" w:pos="1260"/>
              </w:tabs>
              <w:ind w:left="110" w:right="95"/>
              <w:jc w:val="both"/>
              <w:rPr>
                <w:sz w:val="20"/>
              </w:rPr>
            </w:pPr>
          </w:p>
        </w:tc>
        <w:tc>
          <w:tcPr>
            <w:tcW w:w="8286" w:type="dxa"/>
          </w:tcPr>
          <w:p w14:paraId="4B1EFE57" w14:textId="77777777" w:rsidR="00B96DC4" w:rsidRDefault="00B96DC4" w:rsidP="0098134B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Cilj JR je </w:t>
            </w:r>
            <w:r w:rsidRPr="0098134B">
              <w:rPr>
                <w:sz w:val="20"/>
              </w:rPr>
              <w:t>zagotavljanje namestitvenih kapacitet za vzpostavitev stanovanjskih skupin, kjer bodo bivale osebe iz ciljne skupine, kar je skladno s kontekstom prehoda iz institucionalnih na skupnostne oblike storitev.</w:t>
            </w:r>
            <w:r w:rsidRPr="007C31E4">
              <w:rPr>
                <w:sz w:val="20"/>
              </w:rPr>
              <w:t xml:space="preserve"> </w:t>
            </w:r>
          </w:p>
          <w:p w14:paraId="2706342B" w14:textId="6D715187" w:rsidR="00B96DC4" w:rsidRPr="0098134B" w:rsidRDefault="00B96DC4" w:rsidP="00B96DC4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7C31E4">
              <w:rPr>
                <w:sz w:val="20"/>
              </w:rPr>
              <w:t>V tem JR so zagotovljena sredstva za vzpostavitev infrastrukture (ESRR sklad), v sklopu tega se omogoča tudi izobraževanje za drugačne pristope dela.</w:t>
            </w:r>
            <w:r w:rsidRPr="00B96DC4">
              <w:rPr>
                <w:sz w:val="20"/>
              </w:rPr>
              <w:t xml:space="preserve"> </w:t>
            </w:r>
            <w:r w:rsidR="0098134B">
              <w:rPr>
                <w:sz w:val="20"/>
              </w:rPr>
              <w:t xml:space="preserve">Iz pogodbenih zavez izhaja, da bo upravičenec izvajal storitve v </w:t>
            </w:r>
            <w:r w:rsidRPr="00B96DC4">
              <w:rPr>
                <w:sz w:val="20"/>
              </w:rPr>
              <w:t xml:space="preserve">skladu z evropskimi smernicami za </w:t>
            </w:r>
            <w:proofErr w:type="spellStart"/>
            <w:r w:rsidRPr="00B96DC4">
              <w:rPr>
                <w:sz w:val="20"/>
              </w:rPr>
              <w:t>deinstitucionalizacijo</w:t>
            </w:r>
            <w:proofErr w:type="spellEnd"/>
            <w:r w:rsidRPr="00B96DC4">
              <w:rPr>
                <w:sz w:val="20"/>
              </w:rPr>
              <w:t xml:space="preserve"> (</w:t>
            </w:r>
            <w:proofErr w:type="spellStart"/>
            <w:r w:rsidRPr="00B96DC4">
              <w:rPr>
                <w:sz w:val="20"/>
              </w:rPr>
              <w:t>Common</w:t>
            </w:r>
            <w:proofErr w:type="spellEnd"/>
            <w:r w:rsidRPr="00B96DC4">
              <w:rPr>
                <w:sz w:val="20"/>
              </w:rPr>
              <w:t xml:space="preserve"> </w:t>
            </w:r>
            <w:proofErr w:type="spellStart"/>
            <w:r w:rsidRPr="00B96DC4">
              <w:rPr>
                <w:sz w:val="20"/>
              </w:rPr>
              <w:t>European</w:t>
            </w:r>
            <w:proofErr w:type="spellEnd"/>
            <w:r w:rsidRPr="00B96DC4">
              <w:rPr>
                <w:sz w:val="20"/>
              </w:rPr>
              <w:t xml:space="preserve"> </w:t>
            </w:r>
            <w:proofErr w:type="spellStart"/>
            <w:r w:rsidRPr="00B96DC4">
              <w:rPr>
                <w:sz w:val="20"/>
              </w:rPr>
              <w:t>Guidelines</w:t>
            </w:r>
            <w:proofErr w:type="spellEnd"/>
            <w:r w:rsidRPr="00B96DC4">
              <w:rPr>
                <w:sz w:val="20"/>
              </w:rPr>
              <w:t xml:space="preserve"> on </w:t>
            </w:r>
            <w:proofErr w:type="spellStart"/>
            <w:r w:rsidRPr="00B96DC4">
              <w:rPr>
                <w:sz w:val="20"/>
              </w:rPr>
              <w:t>the</w:t>
            </w:r>
            <w:proofErr w:type="spellEnd"/>
            <w:r w:rsidRPr="00B96DC4">
              <w:rPr>
                <w:sz w:val="20"/>
              </w:rPr>
              <w:t xml:space="preserve"> </w:t>
            </w:r>
            <w:proofErr w:type="spellStart"/>
            <w:r w:rsidRPr="00B96DC4">
              <w:rPr>
                <w:sz w:val="20"/>
              </w:rPr>
              <w:t>Transition</w:t>
            </w:r>
            <w:proofErr w:type="spellEnd"/>
            <w:r w:rsidRPr="00B96DC4">
              <w:rPr>
                <w:sz w:val="20"/>
              </w:rPr>
              <w:t xml:space="preserve"> </w:t>
            </w:r>
            <w:proofErr w:type="spellStart"/>
            <w:r w:rsidRPr="00B96DC4">
              <w:rPr>
                <w:sz w:val="20"/>
              </w:rPr>
              <w:t>from</w:t>
            </w:r>
            <w:proofErr w:type="spellEnd"/>
            <w:r w:rsidRPr="00B96DC4">
              <w:rPr>
                <w:sz w:val="20"/>
              </w:rPr>
              <w:t xml:space="preserve"> </w:t>
            </w:r>
            <w:proofErr w:type="spellStart"/>
            <w:r w:rsidRPr="00B96DC4">
              <w:rPr>
                <w:sz w:val="20"/>
              </w:rPr>
              <w:t>Institutional</w:t>
            </w:r>
            <w:proofErr w:type="spellEnd"/>
            <w:r w:rsidRPr="00B96DC4">
              <w:rPr>
                <w:sz w:val="20"/>
              </w:rPr>
              <w:t xml:space="preserve"> to </w:t>
            </w:r>
            <w:proofErr w:type="spellStart"/>
            <w:r w:rsidRPr="00B96DC4">
              <w:rPr>
                <w:sz w:val="20"/>
              </w:rPr>
              <w:t>Community-based</w:t>
            </w:r>
            <w:proofErr w:type="spellEnd"/>
            <w:r w:rsidRPr="00B96DC4">
              <w:rPr>
                <w:sz w:val="20"/>
              </w:rPr>
              <w:t xml:space="preserve"> </w:t>
            </w:r>
            <w:proofErr w:type="spellStart"/>
            <w:r w:rsidRPr="00B96DC4">
              <w:rPr>
                <w:sz w:val="20"/>
              </w:rPr>
              <w:t>Care</w:t>
            </w:r>
            <w:proofErr w:type="spellEnd"/>
            <w:r w:rsidRPr="00B96DC4">
              <w:rPr>
                <w:sz w:val="20"/>
              </w:rPr>
              <w:t xml:space="preserve">; dostopnimi na </w:t>
            </w:r>
            <w:hyperlink r:id="rId7" w:history="1">
              <w:r w:rsidRPr="0098134B">
                <w:t>http://enil.eu/wp-content/uploads/2016/09/Guidelines-01-16-2013-printer.pdf</w:t>
              </w:r>
            </w:hyperlink>
            <w:r w:rsidRPr="00B96DC4">
              <w:rPr>
                <w:sz w:val="20"/>
              </w:rPr>
              <w:t xml:space="preserve">) </w:t>
            </w:r>
            <w:r w:rsidR="0098134B">
              <w:rPr>
                <w:sz w:val="20"/>
              </w:rPr>
              <w:t>ter</w:t>
            </w:r>
            <w:r w:rsidRPr="00B96DC4">
              <w:rPr>
                <w:sz w:val="20"/>
              </w:rPr>
              <w:t xml:space="preserve"> napotoval kader, ki bo zaposlen</w:t>
            </w:r>
            <w:r w:rsidR="0098134B">
              <w:rPr>
                <w:sz w:val="20"/>
              </w:rPr>
              <w:t xml:space="preserve"> v</w:t>
            </w:r>
            <w:r w:rsidRPr="00B96DC4">
              <w:rPr>
                <w:sz w:val="20"/>
              </w:rPr>
              <w:t xml:space="preserve"> stanovanjskih skupinah na izobraževanja na temo novih pristopov dela, individualnega načrtovanja, analize tveganja</w:t>
            </w:r>
            <w:r w:rsidR="0098134B">
              <w:rPr>
                <w:sz w:val="20"/>
              </w:rPr>
              <w:t xml:space="preserve"> in</w:t>
            </w:r>
            <w:r w:rsidRPr="00B96DC4">
              <w:rPr>
                <w:sz w:val="20"/>
              </w:rPr>
              <w:t xml:space="preserve"> </w:t>
            </w:r>
            <w:proofErr w:type="spellStart"/>
            <w:r w:rsidRPr="00B96DC4">
              <w:rPr>
                <w:sz w:val="20"/>
              </w:rPr>
              <w:t>deinstitucionalizacije</w:t>
            </w:r>
            <w:proofErr w:type="spellEnd"/>
            <w:r w:rsidRPr="00B96DC4">
              <w:rPr>
                <w:sz w:val="20"/>
              </w:rPr>
              <w:t xml:space="preserve"> v trajanju od 80-100 ur letno.</w:t>
            </w:r>
          </w:p>
          <w:p w14:paraId="18D86171" w14:textId="6798CCA2" w:rsidR="00B96DC4" w:rsidRPr="0098134B" w:rsidRDefault="00B96DC4" w:rsidP="00B96DC4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98134B">
              <w:rPr>
                <w:sz w:val="20"/>
              </w:rPr>
              <w:t xml:space="preserve"> Hkrati pa pomeni doprinos na področju vključevanja odraslih oseb mlajših od 65 let v skupnost in v svoje domače okolje.</w:t>
            </w:r>
            <w:r w:rsidRPr="007C31E4">
              <w:rPr>
                <w:sz w:val="20"/>
              </w:rPr>
              <w:t xml:space="preserve"> </w:t>
            </w:r>
          </w:p>
          <w:p w14:paraId="22A870F9" w14:textId="0D7E57B8" w:rsidR="00A80D8D" w:rsidRPr="00A80D8D" w:rsidRDefault="00B96DC4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7C31E4">
              <w:rPr>
                <w:sz w:val="20"/>
              </w:rPr>
              <w:t>Storitve v tem delu niso sofinancirane, je pa mišljeno, da se storitve, ki jih je uporabnik imel v sklopu institucionalnega varstva, prenesejo v to obliko skupnostne oskrbe.</w:t>
            </w:r>
          </w:p>
        </w:tc>
        <w:tc>
          <w:tcPr>
            <w:tcW w:w="1261" w:type="dxa"/>
          </w:tcPr>
          <w:p w14:paraId="3302C684" w14:textId="37A9908A" w:rsidR="00A80D8D" w:rsidRDefault="0098134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23. 4.2021</w:t>
            </w:r>
          </w:p>
        </w:tc>
      </w:tr>
      <w:tr w:rsidR="00A80D8D" w14:paraId="02312E64" w14:textId="77777777">
        <w:trPr>
          <w:trHeight w:val="460"/>
        </w:trPr>
        <w:tc>
          <w:tcPr>
            <w:tcW w:w="629" w:type="dxa"/>
          </w:tcPr>
          <w:p w14:paraId="048DF0E5" w14:textId="5C2C0970" w:rsidR="00A80D8D" w:rsidRDefault="00A80D8D">
            <w:pPr>
              <w:pStyle w:val="TableParagraph"/>
              <w:spacing w:before="2" w:line="228" w:lineRule="exact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34" w:type="dxa"/>
          </w:tcPr>
          <w:p w14:paraId="545F35F1" w14:textId="3F26E425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Ali bo stanovalce, ko bodo dopolnili 65 let potrebno seliti ven iz teh stanovanjskih skupin, ali je tu mišljenja samo nižja starost od 65 let v času same preselitve?</w:t>
            </w:r>
          </w:p>
        </w:tc>
        <w:tc>
          <w:tcPr>
            <w:tcW w:w="8286" w:type="dxa"/>
          </w:tcPr>
          <w:p w14:paraId="63A53398" w14:textId="6D3118DD" w:rsidR="004552E1" w:rsidRPr="00A80D8D" w:rsidRDefault="004552E1" w:rsidP="0098134B">
            <w:pPr>
              <w:pStyle w:val="TableParagraph"/>
              <w:ind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 xml:space="preserve">Mišljeno je, da se osebe mlajše od 65 let preselijo in jih ni potrebno </w:t>
            </w:r>
            <w:r>
              <w:rPr>
                <w:sz w:val="20"/>
              </w:rPr>
              <w:t>preseljevati, razen, če bodo po 65 letu nastopile okoliščine, ki bodo generirale potrebo po institucionalnem varstvu, oziroma na željo uporabnika.,</w:t>
            </w:r>
          </w:p>
        </w:tc>
        <w:tc>
          <w:tcPr>
            <w:tcW w:w="1261" w:type="dxa"/>
          </w:tcPr>
          <w:p w14:paraId="53B92E47" w14:textId="7F1AE010" w:rsidR="00A80D8D" w:rsidRDefault="0098134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23. 4.2021</w:t>
            </w:r>
          </w:p>
        </w:tc>
      </w:tr>
      <w:tr w:rsidR="00A80D8D" w14:paraId="47F8AE6C" w14:textId="77777777">
        <w:trPr>
          <w:trHeight w:val="460"/>
        </w:trPr>
        <w:tc>
          <w:tcPr>
            <w:tcW w:w="629" w:type="dxa"/>
          </w:tcPr>
          <w:p w14:paraId="43C27A58" w14:textId="53F28C8A" w:rsidR="00A80D8D" w:rsidRDefault="00A80D8D">
            <w:pPr>
              <w:pStyle w:val="TableParagraph"/>
              <w:spacing w:before="2" w:line="228" w:lineRule="exact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34" w:type="dxa"/>
          </w:tcPr>
          <w:p w14:paraId="16DC55D1" w14:textId="24069F40" w:rsidR="00A80D8D" w:rsidRPr="00A80D8D" w:rsidRDefault="00A80D8D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Ali gre pri kazalniku o obstoječem številu stanovalcev v celodnevnem IV – izhodiščna vrednost, za število vseh stanovalcev v zavodu v vseh enotah bivanja, ali le v tisti enoti, ki bo zmanjšala kapacitete - iz katere se bodo stanovalci preselili  v nove stanovanjske skupine.</w:t>
            </w:r>
          </w:p>
        </w:tc>
        <w:tc>
          <w:tcPr>
            <w:tcW w:w="8286" w:type="dxa"/>
          </w:tcPr>
          <w:p w14:paraId="1DD4F038" w14:textId="280F03E3" w:rsidR="00A80D8D" w:rsidRPr="00A80D8D" w:rsidRDefault="004552E1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4552E1">
              <w:rPr>
                <w:sz w:val="20"/>
              </w:rPr>
              <w:t>Pri kazalniku gre za število stanovalcev v posamezni enoti, iz katere se bodo stanovalci preselili</w:t>
            </w:r>
            <w:r w:rsidR="00DA2B77">
              <w:rPr>
                <w:sz w:val="20"/>
              </w:rPr>
              <w:t>. O</w:t>
            </w:r>
            <w:r w:rsidR="00A80D8D" w:rsidRPr="00A80D8D">
              <w:rPr>
                <w:sz w:val="20"/>
              </w:rPr>
              <w:t>pozarjamo pa le, da preselitve iz obstoječih stanovanjski</w:t>
            </w:r>
            <w:r w:rsidR="005D1E4D">
              <w:rPr>
                <w:sz w:val="20"/>
              </w:rPr>
              <w:t>h</w:t>
            </w:r>
            <w:r w:rsidR="00A80D8D" w:rsidRPr="00A80D8D">
              <w:rPr>
                <w:sz w:val="20"/>
              </w:rPr>
              <w:t xml:space="preserve"> skupin</w:t>
            </w:r>
            <w:r w:rsidR="00DA2B77">
              <w:rPr>
                <w:sz w:val="20"/>
              </w:rPr>
              <w:t xml:space="preserve">, kjer že živi 4-6 oseb kot izhaja iz opredeljene kapacitete v okviru JR SS, </w:t>
            </w:r>
            <w:r w:rsidR="00A80D8D" w:rsidRPr="00A80D8D">
              <w:rPr>
                <w:sz w:val="20"/>
              </w:rPr>
              <w:t>niso mogoče.</w:t>
            </w:r>
          </w:p>
        </w:tc>
        <w:tc>
          <w:tcPr>
            <w:tcW w:w="1261" w:type="dxa"/>
          </w:tcPr>
          <w:p w14:paraId="0D105E27" w14:textId="4512AF29" w:rsidR="00A80D8D" w:rsidRDefault="0098134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23. 4.2021</w:t>
            </w:r>
          </w:p>
        </w:tc>
      </w:tr>
      <w:tr w:rsidR="00A80D8D" w14:paraId="460B40EB" w14:textId="77777777">
        <w:trPr>
          <w:trHeight w:val="460"/>
        </w:trPr>
        <w:tc>
          <w:tcPr>
            <w:tcW w:w="629" w:type="dxa"/>
          </w:tcPr>
          <w:p w14:paraId="336A6AF7" w14:textId="30860F21" w:rsidR="00A80D8D" w:rsidRDefault="00A80D8D">
            <w:pPr>
              <w:pStyle w:val="TableParagraph"/>
              <w:spacing w:before="2" w:line="228" w:lineRule="exact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34" w:type="dxa"/>
          </w:tcPr>
          <w:p w14:paraId="14965682" w14:textId="5977FE51" w:rsidR="00A80D8D" w:rsidRPr="00A80D8D" w:rsidRDefault="00A80D8D" w:rsidP="00884ADC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A80D8D">
              <w:rPr>
                <w:sz w:val="20"/>
              </w:rPr>
              <w:t>Razpis je omejen na vzhodno kohezijsko regijo. Ali je pomemben sedež prijavitelja, lokacije obstoječih kapacitete, lokacija nove stanovanjske skupine, ali vse od naštetega.</w:t>
            </w:r>
          </w:p>
        </w:tc>
        <w:tc>
          <w:tcPr>
            <w:tcW w:w="8286" w:type="dxa"/>
          </w:tcPr>
          <w:p w14:paraId="61274EB1" w14:textId="0B54D949" w:rsidR="00A80D8D" w:rsidRDefault="004552E1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4552E1">
              <w:rPr>
                <w:sz w:val="20"/>
              </w:rPr>
              <w:t>Pomembno je, da so nove stanovanjske skupine vzpostavljene v KRVS, kar ni</w:t>
            </w:r>
            <w:r w:rsidR="0098134B">
              <w:rPr>
                <w:sz w:val="20"/>
              </w:rPr>
              <w:t xml:space="preserve"> nujno</w:t>
            </w:r>
            <w:r w:rsidRPr="004552E1">
              <w:rPr>
                <w:sz w:val="20"/>
              </w:rPr>
              <w:t xml:space="preserve"> vezano na sedež prijavitelja.</w:t>
            </w:r>
          </w:p>
          <w:p w14:paraId="4F6B70BE" w14:textId="77777777" w:rsidR="004552E1" w:rsidRDefault="004552E1" w:rsidP="00A80D8D">
            <w:pPr>
              <w:pStyle w:val="TableParagraph"/>
              <w:ind w:left="110" w:right="95"/>
              <w:jc w:val="both"/>
              <w:rPr>
                <w:sz w:val="20"/>
              </w:rPr>
            </w:pPr>
          </w:p>
          <w:p w14:paraId="6681655B" w14:textId="41A5A918" w:rsidR="004552E1" w:rsidRPr="00A80D8D" w:rsidRDefault="004552E1" w:rsidP="004552E1">
            <w:pPr>
              <w:pStyle w:val="TableParagraph"/>
              <w:ind w:left="110" w:right="95"/>
              <w:jc w:val="both"/>
              <w:rPr>
                <w:sz w:val="20"/>
              </w:rPr>
            </w:pPr>
          </w:p>
        </w:tc>
        <w:tc>
          <w:tcPr>
            <w:tcW w:w="1261" w:type="dxa"/>
          </w:tcPr>
          <w:p w14:paraId="0D1A53BD" w14:textId="78D6A0B7" w:rsidR="00A80D8D" w:rsidRDefault="0098134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23. 4.2021</w:t>
            </w:r>
          </w:p>
        </w:tc>
      </w:tr>
    </w:tbl>
    <w:p w14:paraId="0BFCE252" w14:textId="77777777" w:rsidR="00F70B6E" w:rsidRDefault="00F70B6E"/>
    <w:sectPr w:rsidR="00F70B6E" w:rsidSect="00E508DB">
      <w:headerReference w:type="default" r:id="rId8"/>
      <w:footerReference w:type="default" r:id="rId9"/>
      <w:pgSz w:w="16840" w:h="11910" w:orient="landscape"/>
      <w:pgMar w:top="1320" w:right="1300" w:bottom="1080" w:left="1200" w:header="293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25ADF" w14:textId="77777777" w:rsidR="007F1095" w:rsidRDefault="007F1095">
      <w:r>
        <w:separator/>
      </w:r>
    </w:p>
  </w:endnote>
  <w:endnote w:type="continuationSeparator" w:id="0">
    <w:p w14:paraId="7EDB84C4" w14:textId="77777777" w:rsidR="007F1095" w:rsidRDefault="007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9082" w14:textId="77777777" w:rsidR="0038477C" w:rsidRDefault="00D64331">
    <w:pPr>
      <w:pStyle w:val="Telobesedila"/>
      <w:spacing w:line="14" w:lineRule="auto"/>
      <w:rPr>
        <w:b w:val="0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7D369B" wp14:editId="72A4B119">
              <wp:simplePos x="0" y="0"/>
              <wp:positionH relativeFrom="page">
                <wp:posOffset>5272405</wp:posOffset>
              </wp:positionH>
              <wp:positionV relativeFrom="page">
                <wp:posOffset>6809740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AEF4A" w14:textId="6C4E4962" w:rsidR="0038477C" w:rsidRDefault="00E508DB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F70B6E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B77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D36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15pt;margin-top:536.2pt;width:11.55pt;height:1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" filled="f" stroked="f">
              <v:textbox inset="0,0,0,0">
                <w:txbxContent>
                  <w:p w14:paraId="332AEF4A" w14:textId="6C4E4962" w:rsidR="0038477C" w:rsidRDefault="00E508DB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F70B6E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B77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7D9E1" w14:textId="77777777" w:rsidR="007F1095" w:rsidRDefault="007F1095">
      <w:r>
        <w:separator/>
      </w:r>
    </w:p>
  </w:footnote>
  <w:footnote w:type="continuationSeparator" w:id="0">
    <w:p w14:paraId="0FDB0E7A" w14:textId="77777777" w:rsidR="007F1095" w:rsidRDefault="007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D030" w14:textId="77777777" w:rsidR="0038477C" w:rsidRDefault="00F70B6E">
    <w:pPr>
      <w:pStyle w:val="Telobesedila"/>
      <w:spacing w:line="14" w:lineRule="auto"/>
      <w:rPr>
        <w:b w:val="0"/>
        <w:sz w:val="20"/>
      </w:rPr>
    </w:pPr>
    <w:r>
      <w:rPr>
        <w:noProof/>
        <w:lang w:eastAsia="sl-SI"/>
      </w:rPr>
      <w:drawing>
        <wp:anchor distT="0" distB="0" distL="0" distR="0" simplePos="0" relativeHeight="251656704" behindDoc="1" locked="0" layoutInCell="1" allowOverlap="1" wp14:anchorId="780BF7B1" wp14:editId="7E2A2CBF">
          <wp:simplePos x="0" y="0"/>
          <wp:positionH relativeFrom="page">
            <wp:posOffset>7413625</wp:posOffset>
          </wp:positionH>
          <wp:positionV relativeFrom="page">
            <wp:posOffset>186055</wp:posOffset>
          </wp:positionV>
          <wp:extent cx="1729740" cy="6601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740" cy="66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0" distR="0" simplePos="0" relativeHeight="251657728" behindDoc="1" locked="0" layoutInCell="1" allowOverlap="1" wp14:anchorId="33038782" wp14:editId="29726443">
          <wp:simplePos x="0" y="0"/>
          <wp:positionH relativeFrom="page">
            <wp:posOffset>1032730</wp:posOffset>
          </wp:positionH>
          <wp:positionV relativeFrom="page">
            <wp:posOffset>436487</wp:posOffset>
          </wp:positionV>
          <wp:extent cx="2234837" cy="408920"/>
          <wp:effectExtent l="0" t="0" r="0" b="0"/>
          <wp:wrapNone/>
          <wp:docPr id="3" name="image2.jpeg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34837" cy="40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27142"/>
    <w:multiLevelType w:val="hybridMultilevel"/>
    <w:tmpl w:val="871E0A04"/>
    <w:lvl w:ilvl="0" w:tplc="A726F8BE">
      <w:start w:val="1"/>
      <w:numFmt w:val="lowerLetter"/>
      <w:lvlText w:val="%1)"/>
      <w:lvlJc w:val="left"/>
      <w:pPr>
        <w:ind w:left="110" w:hanging="296"/>
        <w:jc w:val="left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3548132">
      <w:numFmt w:val="bullet"/>
      <w:lvlText w:val="•"/>
      <w:lvlJc w:val="left"/>
      <w:pPr>
        <w:ind w:left="500" w:hanging="296"/>
      </w:pPr>
      <w:rPr>
        <w:rFonts w:hint="default"/>
        <w:lang w:val="sl-SI" w:eastAsia="en-US" w:bidi="ar-SA"/>
      </w:rPr>
    </w:lvl>
    <w:lvl w:ilvl="2" w:tplc="DEAE5AAC">
      <w:numFmt w:val="bullet"/>
      <w:lvlText w:val="•"/>
      <w:lvlJc w:val="left"/>
      <w:pPr>
        <w:ind w:left="880" w:hanging="296"/>
      </w:pPr>
      <w:rPr>
        <w:rFonts w:hint="default"/>
        <w:lang w:val="sl-SI" w:eastAsia="en-US" w:bidi="ar-SA"/>
      </w:rPr>
    </w:lvl>
    <w:lvl w:ilvl="3" w:tplc="CFF6B85C">
      <w:numFmt w:val="bullet"/>
      <w:lvlText w:val="•"/>
      <w:lvlJc w:val="left"/>
      <w:pPr>
        <w:ind w:left="1261" w:hanging="296"/>
      </w:pPr>
      <w:rPr>
        <w:rFonts w:hint="default"/>
        <w:lang w:val="sl-SI" w:eastAsia="en-US" w:bidi="ar-SA"/>
      </w:rPr>
    </w:lvl>
    <w:lvl w:ilvl="4" w:tplc="3EFE20CE">
      <w:numFmt w:val="bullet"/>
      <w:lvlText w:val="•"/>
      <w:lvlJc w:val="left"/>
      <w:pPr>
        <w:ind w:left="1641" w:hanging="296"/>
      </w:pPr>
      <w:rPr>
        <w:rFonts w:hint="default"/>
        <w:lang w:val="sl-SI" w:eastAsia="en-US" w:bidi="ar-SA"/>
      </w:rPr>
    </w:lvl>
    <w:lvl w:ilvl="5" w:tplc="BF060020">
      <w:numFmt w:val="bullet"/>
      <w:lvlText w:val="•"/>
      <w:lvlJc w:val="left"/>
      <w:pPr>
        <w:ind w:left="2022" w:hanging="296"/>
      </w:pPr>
      <w:rPr>
        <w:rFonts w:hint="default"/>
        <w:lang w:val="sl-SI" w:eastAsia="en-US" w:bidi="ar-SA"/>
      </w:rPr>
    </w:lvl>
    <w:lvl w:ilvl="6" w:tplc="37C4E916">
      <w:numFmt w:val="bullet"/>
      <w:lvlText w:val="•"/>
      <w:lvlJc w:val="left"/>
      <w:pPr>
        <w:ind w:left="2402" w:hanging="296"/>
      </w:pPr>
      <w:rPr>
        <w:rFonts w:hint="default"/>
        <w:lang w:val="sl-SI" w:eastAsia="en-US" w:bidi="ar-SA"/>
      </w:rPr>
    </w:lvl>
    <w:lvl w:ilvl="7" w:tplc="B950A4D8">
      <w:numFmt w:val="bullet"/>
      <w:lvlText w:val="•"/>
      <w:lvlJc w:val="left"/>
      <w:pPr>
        <w:ind w:left="2782" w:hanging="296"/>
      </w:pPr>
      <w:rPr>
        <w:rFonts w:hint="default"/>
        <w:lang w:val="sl-SI" w:eastAsia="en-US" w:bidi="ar-SA"/>
      </w:rPr>
    </w:lvl>
    <w:lvl w:ilvl="8" w:tplc="9D287226">
      <w:numFmt w:val="bullet"/>
      <w:lvlText w:val="•"/>
      <w:lvlJc w:val="left"/>
      <w:pPr>
        <w:ind w:left="3163" w:hanging="296"/>
      </w:pPr>
      <w:rPr>
        <w:rFonts w:hint="default"/>
        <w:lang w:val="sl-SI" w:eastAsia="en-US" w:bidi="ar-SA"/>
      </w:rPr>
    </w:lvl>
  </w:abstractNum>
  <w:abstractNum w:abstractNumId="1" w15:restartNumberingAfterBreak="0">
    <w:nsid w:val="243719FC"/>
    <w:multiLevelType w:val="hybridMultilevel"/>
    <w:tmpl w:val="2398010A"/>
    <w:lvl w:ilvl="0" w:tplc="2CFC423C">
      <w:start w:val="1"/>
      <w:numFmt w:val="lowerLetter"/>
      <w:lvlText w:val="%1)"/>
      <w:lvlJc w:val="left"/>
      <w:pPr>
        <w:ind w:left="108" w:hanging="252"/>
        <w:jc w:val="left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E2C70C6">
      <w:numFmt w:val="bullet"/>
      <w:lvlText w:val="•"/>
      <w:lvlJc w:val="left"/>
      <w:pPr>
        <w:ind w:left="917" w:hanging="252"/>
      </w:pPr>
      <w:rPr>
        <w:rFonts w:hint="default"/>
        <w:lang w:val="sl-SI" w:eastAsia="en-US" w:bidi="ar-SA"/>
      </w:rPr>
    </w:lvl>
    <w:lvl w:ilvl="2" w:tplc="CAAE33F0">
      <w:numFmt w:val="bullet"/>
      <w:lvlText w:val="•"/>
      <w:lvlJc w:val="left"/>
      <w:pPr>
        <w:ind w:left="1735" w:hanging="252"/>
      </w:pPr>
      <w:rPr>
        <w:rFonts w:hint="default"/>
        <w:lang w:val="sl-SI" w:eastAsia="en-US" w:bidi="ar-SA"/>
      </w:rPr>
    </w:lvl>
    <w:lvl w:ilvl="3" w:tplc="DD4E8484">
      <w:numFmt w:val="bullet"/>
      <w:lvlText w:val="•"/>
      <w:lvlJc w:val="left"/>
      <w:pPr>
        <w:ind w:left="2552" w:hanging="252"/>
      </w:pPr>
      <w:rPr>
        <w:rFonts w:hint="default"/>
        <w:lang w:val="sl-SI" w:eastAsia="en-US" w:bidi="ar-SA"/>
      </w:rPr>
    </w:lvl>
    <w:lvl w:ilvl="4" w:tplc="3CBC8BE6">
      <w:numFmt w:val="bullet"/>
      <w:lvlText w:val="•"/>
      <w:lvlJc w:val="left"/>
      <w:pPr>
        <w:ind w:left="3370" w:hanging="252"/>
      </w:pPr>
      <w:rPr>
        <w:rFonts w:hint="default"/>
        <w:lang w:val="sl-SI" w:eastAsia="en-US" w:bidi="ar-SA"/>
      </w:rPr>
    </w:lvl>
    <w:lvl w:ilvl="5" w:tplc="8A44CF62">
      <w:numFmt w:val="bullet"/>
      <w:lvlText w:val="•"/>
      <w:lvlJc w:val="left"/>
      <w:pPr>
        <w:ind w:left="4188" w:hanging="252"/>
      </w:pPr>
      <w:rPr>
        <w:rFonts w:hint="default"/>
        <w:lang w:val="sl-SI" w:eastAsia="en-US" w:bidi="ar-SA"/>
      </w:rPr>
    </w:lvl>
    <w:lvl w:ilvl="6" w:tplc="840A178E">
      <w:numFmt w:val="bullet"/>
      <w:lvlText w:val="•"/>
      <w:lvlJc w:val="left"/>
      <w:pPr>
        <w:ind w:left="5005" w:hanging="252"/>
      </w:pPr>
      <w:rPr>
        <w:rFonts w:hint="default"/>
        <w:lang w:val="sl-SI" w:eastAsia="en-US" w:bidi="ar-SA"/>
      </w:rPr>
    </w:lvl>
    <w:lvl w:ilvl="7" w:tplc="0DD4EBD2">
      <w:numFmt w:val="bullet"/>
      <w:lvlText w:val="•"/>
      <w:lvlJc w:val="left"/>
      <w:pPr>
        <w:ind w:left="5823" w:hanging="252"/>
      </w:pPr>
      <w:rPr>
        <w:rFonts w:hint="default"/>
        <w:lang w:val="sl-SI" w:eastAsia="en-US" w:bidi="ar-SA"/>
      </w:rPr>
    </w:lvl>
    <w:lvl w:ilvl="8" w:tplc="9E5835F8">
      <w:numFmt w:val="bullet"/>
      <w:lvlText w:val="•"/>
      <w:lvlJc w:val="left"/>
      <w:pPr>
        <w:ind w:left="6640" w:hanging="252"/>
      </w:pPr>
      <w:rPr>
        <w:rFonts w:hint="default"/>
        <w:lang w:val="sl-SI" w:eastAsia="en-US" w:bidi="ar-SA"/>
      </w:rPr>
    </w:lvl>
  </w:abstractNum>
  <w:abstractNum w:abstractNumId="2" w15:restartNumberingAfterBreak="0">
    <w:nsid w:val="2C450A01"/>
    <w:multiLevelType w:val="hybridMultilevel"/>
    <w:tmpl w:val="28C21C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C0582"/>
    <w:multiLevelType w:val="hybridMultilevel"/>
    <w:tmpl w:val="7C2ADD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63521"/>
    <w:multiLevelType w:val="hybridMultilevel"/>
    <w:tmpl w:val="0DB2C8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02081"/>
    <w:multiLevelType w:val="hybridMultilevel"/>
    <w:tmpl w:val="6CC2C026"/>
    <w:lvl w:ilvl="0" w:tplc="FFE21A82">
      <w:start w:val="1"/>
      <w:numFmt w:val="lowerLetter"/>
      <w:lvlText w:val="%1)"/>
      <w:lvlJc w:val="left"/>
      <w:pPr>
        <w:ind w:left="108" w:hanging="296"/>
        <w:jc w:val="left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5844FB6">
      <w:numFmt w:val="bullet"/>
      <w:lvlText w:val="•"/>
      <w:lvlJc w:val="left"/>
      <w:pPr>
        <w:ind w:left="917" w:hanging="296"/>
      </w:pPr>
      <w:rPr>
        <w:rFonts w:hint="default"/>
        <w:lang w:val="sl-SI" w:eastAsia="en-US" w:bidi="ar-SA"/>
      </w:rPr>
    </w:lvl>
    <w:lvl w:ilvl="2" w:tplc="8B7ED626">
      <w:numFmt w:val="bullet"/>
      <w:lvlText w:val="•"/>
      <w:lvlJc w:val="left"/>
      <w:pPr>
        <w:ind w:left="1735" w:hanging="296"/>
      </w:pPr>
      <w:rPr>
        <w:rFonts w:hint="default"/>
        <w:lang w:val="sl-SI" w:eastAsia="en-US" w:bidi="ar-SA"/>
      </w:rPr>
    </w:lvl>
    <w:lvl w:ilvl="3" w:tplc="02A488B6">
      <w:numFmt w:val="bullet"/>
      <w:lvlText w:val="•"/>
      <w:lvlJc w:val="left"/>
      <w:pPr>
        <w:ind w:left="2552" w:hanging="296"/>
      </w:pPr>
      <w:rPr>
        <w:rFonts w:hint="default"/>
        <w:lang w:val="sl-SI" w:eastAsia="en-US" w:bidi="ar-SA"/>
      </w:rPr>
    </w:lvl>
    <w:lvl w:ilvl="4" w:tplc="52585DAE">
      <w:numFmt w:val="bullet"/>
      <w:lvlText w:val="•"/>
      <w:lvlJc w:val="left"/>
      <w:pPr>
        <w:ind w:left="3370" w:hanging="296"/>
      </w:pPr>
      <w:rPr>
        <w:rFonts w:hint="default"/>
        <w:lang w:val="sl-SI" w:eastAsia="en-US" w:bidi="ar-SA"/>
      </w:rPr>
    </w:lvl>
    <w:lvl w:ilvl="5" w:tplc="42621CC0">
      <w:numFmt w:val="bullet"/>
      <w:lvlText w:val="•"/>
      <w:lvlJc w:val="left"/>
      <w:pPr>
        <w:ind w:left="4188" w:hanging="296"/>
      </w:pPr>
      <w:rPr>
        <w:rFonts w:hint="default"/>
        <w:lang w:val="sl-SI" w:eastAsia="en-US" w:bidi="ar-SA"/>
      </w:rPr>
    </w:lvl>
    <w:lvl w:ilvl="6" w:tplc="6FFEBAF0">
      <w:numFmt w:val="bullet"/>
      <w:lvlText w:val="•"/>
      <w:lvlJc w:val="left"/>
      <w:pPr>
        <w:ind w:left="5005" w:hanging="296"/>
      </w:pPr>
      <w:rPr>
        <w:rFonts w:hint="default"/>
        <w:lang w:val="sl-SI" w:eastAsia="en-US" w:bidi="ar-SA"/>
      </w:rPr>
    </w:lvl>
    <w:lvl w:ilvl="7" w:tplc="33AC964A">
      <w:numFmt w:val="bullet"/>
      <w:lvlText w:val="•"/>
      <w:lvlJc w:val="left"/>
      <w:pPr>
        <w:ind w:left="5823" w:hanging="296"/>
      </w:pPr>
      <w:rPr>
        <w:rFonts w:hint="default"/>
        <w:lang w:val="sl-SI" w:eastAsia="en-US" w:bidi="ar-SA"/>
      </w:rPr>
    </w:lvl>
    <w:lvl w:ilvl="8" w:tplc="2DF097DC">
      <w:numFmt w:val="bullet"/>
      <w:lvlText w:val="•"/>
      <w:lvlJc w:val="left"/>
      <w:pPr>
        <w:ind w:left="6640" w:hanging="296"/>
      </w:pPr>
      <w:rPr>
        <w:rFonts w:hint="default"/>
        <w:lang w:val="sl-SI" w:eastAsia="en-US" w:bidi="ar-SA"/>
      </w:rPr>
    </w:lvl>
  </w:abstractNum>
  <w:abstractNum w:abstractNumId="6" w15:restartNumberingAfterBreak="0">
    <w:nsid w:val="5A5422DF"/>
    <w:multiLevelType w:val="hybridMultilevel"/>
    <w:tmpl w:val="10A4B256"/>
    <w:lvl w:ilvl="0" w:tplc="3C34EBE4">
      <w:start w:val="1"/>
      <w:numFmt w:val="lowerLetter"/>
      <w:lvlText w:val="%1)"/>
      <w:lvlJc w:val="left"/>
      <w:pPr>
        <w:ind w:left="252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17C8C90C">
      <w:numFmt w:val="bullet"/>
      <w:lvlText w:val="•"/>
      <w:lvlJc w:val="left"/>
      <w:pPr>
        <w:ind w:left="1061" w:hanging="564"/>
      </w:pPr>
      <w:rPr>
        <w:rFonts w:hint="default"/>
        <w:lang w:val="sl-SI" w:eastAsia="en-US" w:bidi="ar-SA"/>
      </w:rPr>
    </w:lvl>
    <w:lvl w:ilvl="2" w:tplc="7A545772">
      <w:numFmt w:val="bullet"/>
      <w:lvlText w:val="•"/>
      <w:lvlJc w:val="left"/>
      <w:pPr>
        <w:ind w:left="1863" w:hanging="564"/>
      </w:pPr>
      <w:rPr>
        <w:rFonts w:hint="default"/>
        <w:lang w:val="sl-SI" w:eastAsia="en-US" w:bidi="ar-SA"/>
      </w:rPr>
    </w:lvl>
    <w:lvl w:ilvl="3" w:tplc="18689EC6">
      <w:numFmt w:val="bullet"/>
      <w:lvlText w:val="•"/>
      <w:lvlJc w:val="left"/>
      <w:pPr>
        <w:ind w:left="2664" w:hanging="564"/>
      </w:pPr>
      <w:rPr>
        <w:rFonts w:hint="default"/>
        <w:lang w:val="sl-SI" w:eastAsia="en-US" w:bidi="ar-SA"/>
      </w:rPr>
    </w:lvl>
    <w:lvl w:ilvl="4" w:tplc="A24E1CF8">
      <w:numFmt w:val="bullet"/>
      <w:lvlText w:val="•"/>
      <w:lvlJc w:val="left"/>
      <w:pPr>
        <w:ind w:left="3466" w:hanging="564"/>
      </w:pPr>
      <w:rPr>
        <w:rFonts w:hint="default"/>
        <w:lang w:val="sl-SI" w:eastAsia="en-US" w:bidi="ar-SA"/>
      </w:rPr>
    </w:lvl>
    <w:lvl w:ilvl="5" w:tplc="C8108366">
      <w:numFmt w:val="bullet"/>
      <w:lvlText w:val="•"/>
      <w:lvlJc w:val="left"/>
      <w:pPr>
        <w:ind w:left="4268" w:hanging="564"/>
      </w:pPr>
      <w:rPr>
        <w:rFonts w:hint="default"/>
        <w:lang w:val="sl-SI" w:eastAsia="en-US" w:bidi="ar-SA"/>
      </w:rPr>
    </w:lvl>
    <w:lvl w:ilvl="6" w:tplc="50460616">
      <w:numFmt w:val="bullet"/>
      <w:lvlText w:val="•"/>
      <w:lvlJc w:val="left"/>
      <w:pPr>
        <w:ind w:left="5069" w:hanging="564"/>
      </w:pPr>
      <w:rPr>
        <w:rFonts w:hint="default"/>
        <w:lang w:val="sl-SI" w:eastAsia="en-US" w:bidi="ar-SA"/>
      </w:rPr>
    </w:lvl>
    <w:lvl w:ilvl="7" w:tplc="B4CEEC36">
      <w:numFmt w:val="bullet"/>
      <w:lvlText w:val="•"/>
      <w:lvlJc w:val="left"/>
      <w:pPr>
        <w:ind w:left="5871" w:hanging="564"/>
      </w:pPr>
      <w:rPr>
        <w:rFonts w:hint="default"/>
        <w:lang w:val="sl-SI" w:eastAsia="en-US" w:bidi="ar-SA"/>
      </w:rPr>
    </w:lvl>
    <w:lvl w:ilvl="8" w:tplc="85F47F14">
      <w:numFmt w:val="bullet"/>
      <w:lvlText w:val="•"/>
      <w:lvlJc w:val="left"/>
      <w:pPr>
        <w:ind w:left="6672" w:hanging="564"/>
      </w:pPr>
      <w:rPr>
        <w:rFonts w:hint="default"/>
        <w:lang w:val="sl-SI" w:eastAsia="en-US" w:bidi="ar-SA"/>
      </w:rPr>
    </w:lvl>
  </w:abstractNum>
  <w:abstractNum w:abstractNumId="7" w15:restartNumberingAfterBreak="0">
    <w:nsid w:val="5C8D4C95"/>
    <w:multiLevelType w:val="hybridMultilevel"/>
    <w:tmpl w:val="8F96DDD6"/>
    <w:lvl w:ilvl="0" w:tplc="10107BB6">
      <w:start w:val="1"/>
      <w:numFmt w:val="lowerLetter"/>
      <w:lvlText w:val="%1)"/>
      <w:lvlJc w:val="left"/>
      <w:pPr>
        <w:ind w:left="110" w:hanging="293"/>
        <w:jc w:val="left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5378B830">
      <w:numFmt w:val="bullet"/>
      <w:lvlText w:val="•"/>
      <w:lvlJc w:val="left"/>
      <w:pPr>
        <w:ind w:left="500" w:hanging="293"/>
      </w:pPr>
      <w:rPr>
        <w:rFonts w:hint="default"/>
        <w:lang w:val="sl-SI" w:eastAsia="en-US" w:bidi="ar-SA"/>
      </w:rPr>
    </w:lvl>
    <w:lvl w:ilvl="2" w:tplc="A0567A22">
      <w:numFmt w:val="bullet"/>
      <w:lvlText w:val="•"/>
      <w:lvlJc w:val="left"/>
      <w:pPr>
        <w:ind w:left="880" w:hanging="293"/>
      </w:pPr>
      <w:rPr>
        <w:rFonts w:hint="default"/>
        <w:lang w:val="sl-SI" w:eastAsia="en-US" w:bidi="ar-SA"/>
      </w:rPr>
    </w:lvl>
    <w:lvl w:ilvl="3" w:tplc="E9340980">
      <w:numFmt w:val="bullet"/>
      <w:lvlText w:val="•"/>
      <w:lvlJc w:val="left"/>
      <w:pPr>
        <w:ind w:left="1261" w:hanging="293"/>
      </w:pPr>
      <w:rPr>
        <w:rFonts w:hint="default"/>
        <w:lang w:val="sl-SI" w:eastAsia="en-US" w:bidi="ar-SA"/>
      </w:rPr>
    </w:lvl>
    <w:lvl w:ilvl="4" w:tplc="D2548570">
      <w:numFmt w:val="bullet"/>
      <w:lvlText w:val="•"/>
      <w:lvlJc w:val="left"/>
      <w:pPr>
        <w:ind w:left="1641" w:hanging="293"/>
      </w:pPr>
      <w:rPr>
        <w:rFonts w:hint="default"/>
        <w:lang w:val="sl-SI" w:eastAsia="en-US" w:bidi="ar-SA"/>
      </w:rPr>
    </w:lvl>
    <w:lvl w:ilvl="5" w:tplc="89CE21FC">
      <w:numFmt w:val="bullet"/>
      <w:lvlText w:val="•"/>
      <w:lvlJc w:val="left"/>
      <w:pPr>
        <w:ind w:left="2022" w:hanging="293"/>
      </w:pPr>
      <w:rPr>
        <w:rFonts w:hint="default"/>
        <w:lang w:val="sl-SI" w:eastAsia="en-US" w:bidi="ar-SA"/>
      </w:rPr>
    </w:lvl>
    <w:lvl w:ilvl="6" w:tplc="30407BBC">
      <w:numFmt w:val="bullet"/>
      <w:lvlText w:val="•"/>
      <w:lvlJc w:val="left"/>
      <w:pPr>
        <w:ind w:left="2402" w:hanging="293"/>
      </w:pPr>
      <w:rPr>
        <w:rFonts w:hint="default"/>
        <w:lang w:val="sl-SI" w:eastAsia="en-US" w:bidi="ar-SA"/>
      </w:rPr>
    </w:lvl>
    <w:lvl w:ilvl="7" w:tplc="6D26C234">
      <w:numFmt w:val="bullet"/>
      <w:lvlText w:val="•"/>
      <w:lvlJc w:val="left"/>
      <w:pPr>
        <w:ind w:left="2782" w:hanging="293"/>
      </w:pPr>
      <w:rPr>
        <w:rFonts w:hint="default"/>
        <w:lang w:val="sl-SI" w:eastAsia="en-US" w:bidi="ar-SA"/>
      </w:rPr>
    </w:lvl>
    <w:lvl w:ilvl="8" w:tplc="F246F87C">
      <w:numFmt w:val="bullet"/>
      <w:lvlText w:val="•"/>
      <w:lvlJc w:val="left"/>
      <w:pPr>
        <w:ind w:left="3163" w:hanging="293"/>
      </w:pPr>
      <w:rPr>
        <w:rFonts w:hint="default"/>
        <w:lang w:val="sl-SI" w:eastAsia="en-US" w:bidi="ar-SA"/>
      </w:rPr>
    </w:lvl>
  </w:abstractNum>
  <w:abstractNum w:abstractNumId="8" w15:restartNumberingAfterBreak="0">
    <w:nsid w:val="6823627B"/>
    <w:multiLevelType w:val="hybridMultilevel"/>
    <w:tmpl w:val="B8E24BE0"/>
    <w:lvl w:ilvl="0" w:tplc="3190C5D2">
      <w:start w:val="1"/>
      <w:numFmt w:val="lowerLetter"/>
      <w:lvlText w:val="%1)"/>
      <w:lvlJc w:val="left"/>
      <w:pPr>
        <w:ind w:left="110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7F0A26E4">
      <w:numFmt w:val="bullet"/>
      <w:lvlText w:val="•"/>
      <w:lvlJc w:val="left"/>
      <w:pPr>
        <w:ind w:left="500" w:hanging="286"/>
      </w:pPr>
      <w:rPr>
        <w:rFonts w:hint="default"/>
        <w:lang w:val="sl-SI" w:eastAsia="en-US" w:bidi="ar-SA"/>
      </w:rPr>
    </w:lvl>
    <w:lvl w:ilvl="2" w:tplc="7F28A094">
      <w:numFmt w:val="bullet"/>
      <w:lvlText w:val="•"/>
      <w:lvlJc w:val="left"/>
      <w:pPr>
        <w:ind w:left="880" w:hanging="286"/>
      </w:pPr>
      <w:rPr>
        <w:rFonts w:hint="default"/>
        <w:lang w:val="sl-SI" w:eastAsia="en-US" w:bidi="ar-SA"/>
      </w:rPr>
    </w:lvl>
    <w:lvl w:ilvl="3" w:tplc="EB803006">
      <w:numFmt w:val="bullet"/>
      <w:lvlText w:val="•"/>
      <w:lvlJc w:val="left"/>
      <w:pPr>
        <w:ind w:left="1261" w:hanging="286"/>
      </w:pPr>
      <w:rPr>
        <w:rFonts w:hint="default"/>
        <w:lang w:val="sl-SI" w:eastAsia="en-US" w:bidi="ar-SA"/>
      </w:rPr>
    </w:lvl>
    <w:lvl w:ilvl="4" w:tplc="9D3A5930">
      <w:numFmt w:val="bullet"/>
      <w:lvlText w:val="•"/>
      <w:lvlJc w:val="left"/>
      <w:pPr>
        <w:ind w:left="1641" w:hanging="286"/>
      </w:pPr>
      <w:rPr>
        <w:rFonts w:hint="default"/>
        <w:lang w:val="sl-SI" w:eastAsia="en-US" w:bidi="ar-SA"/>
      </w:rPr>
    </w:lvl>
    <w:lvl w:ilvl="5" w:tplc="E800EBE2">
      <w:numFmt w:val="bullet"/>
      <w:lvlText w:val="•"/>
      <w:lvlJc w:val="left"/>
      <w:pPr>
        <w:ind w:left="2022" w:hanging="286"/>
      </w:pPr>
      <w:rPr>
        <w:rFonts w:hint="default"/>
        <w:lang w:val="sl-SI" w:eastAsia="en-US" w:bidi="ar-SA"/>
      </w:rPr>
    </w:lvl>
    <w:lvl w:ilvl="6" w:tplc="CDD2884A">
      <w:numFmt w:val="bullet"/>
      <w:lvlText w:val="•"/>
      <w:lvlJc w:val="left"/>
      <w:pPr>
        <w:ind w:left="2402" w:hanging="286"/>
      </w:pPr>
      <w:rPr>
        <w:rFonts w:hint="default"/>
        <w:lang w:val="sl-SI" w:eastAsia="en-US" w:bidi="ar-SA"/>
      </w:rPr>
    </w:lvl>
    <w:lvl w:ilvl="7" w:tplc="0A6C1474">
      <w:numFmt w:val="bullet"/>
      <w:lvlText w:val="•"/>
      <w:lvlJc w:val="left"/>
      <w:pPr>
        <w:ind w:left="2782" w:hanging="286"/>
      </w:pPr>
      <w:rPr>
        <w:rFonts w:hint="default"/>
        <w:lang w:val="sl-SI" w:eastAsia="en-US" w:bidi="ar-SA"/>
      </w:rPr>
    </w:lvl>
    <w:lvl w:ilvl="8" w:tplc="FF5E6C06">
      <w:numFmt w:val="bullet"/>
      <w:lvlText w:val="•"/>
      <w:lvlJc w:val="left"/>
      <w:pPr>
        <w:ind w:left="3163" w:hanging="286"/>
      </w:pPr>
      <w:rPr>
        <w:rFonts w:hint="default"/>
        <w:lang w:val="sl-SI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7C"/>
    <w:rsid w:val="000D2545"/>
    <w:rsid w:val="00185226"/>
    <w:rsid w:val="0022213E"/>
    <w:rsid w:val="00280CA1"/>
    <w:rsid w:val="00283864"/>
    <w:rsid w:val="00336167"/>
    <w:rsid w:val="0038477C"/>
    <w:rsid w:val="004552E1"/>
    <w:rsid w:val="004F0711"/>
    <w:rsid w:val="005D1E4D"/>
    <w:rsid w:val="006C4311"/>
    <w:rsid w:val="006C4C40"/>
    <w:rsid w:val="0079630F"/>
    <w:rsid w:val="007C31E4"/>
    <w:rsid w:val="007F1095"/>
    <w:rsid w:val="00811E04"/>
    <w:rsid w:val="0083702B"/>
    <w:rsid w:val="00876E2E"/>
    <w:rsid w:val="008816DA"/>
    <w:rsid w:val="00884ADC"/>
    <w:rsid w:val="008877CE"/>
    <w:rsid w:val="008A592C"/>
    <w:rsid w:val="0098134B"/>
    <w:rsid w:val="00A62715"/>
    <w:rsid w:val="00A76DC1"/>
    <w:rsid w:val="00A80D8D"/>
    <w:rsid w:val="00AA7575"/>
    <w:rsid w:val="00B11B2E"/>
    <w:rsid w:val="00B653E1"/>
    <w:rsid w:val="00B96DC4"/>
    <w:rsid w:val="00BD3CB2"/>
    <w:rsid w:val="00C07F10"/>
    <w:rsid w:val="00C57B73"/>
    <w:rsid w:val="00D34C52"/>
    <w:rsid w:val="00D64331"/>
    <w:rsid w:val="00DA2B77"/>
    <w:rsid w:val="00E508DB"/>
    <w:rsid w:val="00E77E48"/>
    <w:rsid w:val="00EC6060"/>
    <w:rsid w:val="00F10374"/>
    <w:rsid w:val="00F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217F"/>
  <w15:docId w15:val="{51E36BCE-C4DE-4100-B830-A573A60E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08DB"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8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E508DB"/>
    <w:rPr>
      <w:b/>
      <w:bCs/>
      <w:sz w:val="24"/>
      <w:szCs w:val="24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E508DB"/>
  </w:style>
  <w:style w:type="paragraph" w:customStyle="1" w:styleId="TableParagraph">
    <w:name w:val="Table Paragraph"/>
    <w:basedOn w:val="Navaden"/>
    <w:uiPriority w:val="1"/>
    <w:qFormat/>
    <w:rsid w:val="00E508DB"/>
  </w:style>
  <w:style w:type="paragraph" w:styleId="Glava">
    <w:name w:val="header"/>
    <w:basedOn w:val="Navaden"/>
    <w:link w:val="GlavaZnak"/>
    <w:uiPriority w:val="99"/>
    <w:semiHidden/>
    <w:unhideWhenUsed/>
    <w:rsid w:val="008816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16DA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semiHidden/>
    <w:unhideWhenUsed/>
    <w:rsid w:val="008816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816DA"/>
    <w:rPr>
      <w:rFonts w:ascii="Arial" w:eastAsia="Arial" w:hAnsi="Arial" w:cs="Arial"/>
      <w:lang w:val="sl-SI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79630F"/>
    <w:rPr>
      <w:rFonts w:ascii="Arial" w:eastAsia="Arial" w:hAnsi="Arial" w:cs="Arial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1E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1E04"/>
    <w:rPr>
      <w:rFonts w:ascii="Segoe UI" w:eastAsia="Arial" w:hAnsi="Segoe UI" w:cs="Segoe UI"/>
      <w:sz w:val="18"/>
      <w:szCs w:val="18"/>
      <w:lang w:val="sl-SI"/>
    </w:rPr>
  </w:style>
  <w:style w:type="character" w:styleId="Pripombasklic">
    <w:name w:val="annotation reference"/>
    <w:rsid w:val="00A80D8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80D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A80D8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7C31E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9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il.eu/wp-content/uploads/2016/09/Guidelines-01-16-2013-print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Vučkovečki</dc:creator>
  <cp:lastModifiedBy>Katarina Simčič</cp:lastModifiedBy>
  <cp:revision>9</cp:revision>
  <dcterms:created xsi:type="dcterms:W3CDTF">2021-04-23T07:57:00Z</dcterms:created>
  <dcterms:modified xsi:type="dcterms:W3CDTF">2021-04-23T09:15:00Z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