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drawings/drawing2.xml" ContentType="application/vnd.openxmlformats-officedocument.drawingml.chartshapes+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41F" w:rsidRPr="00496C6A" w:rsidRDefault="0033341F" w:rsidP="0033341F">
      <w:pPr>
        <w:spacing w:line="288" w:lineRule="auto"/>
        <w:ind w:left="705" w:hanging="705"/>
        <w:jc w:val="center"/>
        <w:rPr>
          <w:rFonts w:asciiTheme="minorHAnsi" w:eastAsia="MS Mincho" w:hAnsiTheme="minorHAnsi" w:cstheme="minorHAnsi"/>
          <w:b/>
          <w:color w:val="000000"/>
          <w:sz w:val="28"/>
          <w:szCs w:val="28"/>
          <w:u w:val="single"/>
          <w:lang w:val="sl-SI" w:eastAsia="ja-JP"/>
        </w:rPr>
      </w:pPr>
      <w:bookmarkStart w:id="0" w:name="_GoBack"/>
      <w:bookmarkEnd w:id="0"/>
    </w:p>
    <w:p w:rsidR="00DC6530" w:rsidRPr="00496C6A" w:rsidRDefault="00DC6530" w:rsidP="0033341F">
      <w:pPr>
        <w:spacing w:line="288" w:lineRule="auto"/>
        <w:ind w:left="705" w:hanging="705"/>
        <w:jc w:val="center"/>
        <w:rPr>
          <w:rFonts w:asciiTheme="minorHAnsi" w:eastAsia="MS Mincho" w:hAnsiTheme="minorHAnsi" w:cstheme="minorHAnsi"/>
          <w:b/>
          <w:color w:val="000000"/>
          <w:sz w:val="28"/>
          <w:szCs w:val="28"/>
          <w:lang w:val="sl-SI" w:eastAsia="ja-JP"/>
        </w:rPr>
      </w:pPr>
    </w:p>
    <w:p w:rsidR="00496C6A" w:rsidRPr="00496C6A" w:rsidRDefault="00496C6A" w:rsidP="0033341F">
      <w:pPr>
        <w:spacing w:line="288" w:lineRule="auto"/>
        <w:ind w:left="705" w:hanging="705"/>
        <w:jc w:val="center"/>
        <w:rPr>
          <w:rFonts w:asciiTheme="minorHAnsi" w:eastAsia="MS Mincho" w:hAnsiTheme="minorHAnsi" w:cstheme="minorHAnsi"/>
          <w:b/>
          <w:color w:val="000000"/>
          <w:sz w:val="28"/>
          <w:szCs w:val="28"/>
          <w:lang w:val="sl-SI" w:eastAsia="ja-JP"/>
        </w:rPr>
      </w:pPr>
    </w:p>
    <w:p w:rsidR="00496C6A" w:rsidRPr="00496C6A" w:rsidRDefault="00496C6A" w:rsidP="0033341F">
      <w:pPr>
        <w:spacing w:line="288" w:lineRule="auto"/>
        <w:ind w:left="705" w:hanging="705"/>
        <w:jc w:val="center"/>
        <w:rPr>
          <w:rFonts w:asciiTheme="minorHAnsi" w:eastAsia="MS Mincho" w:hAnsiTheme="minorHAnsi" w:cstheme="minorHAnsi"/>
          <w:b/>
          <w:color w:val="000000"/>
          <w:sz w:val="28"/>
          <w:szCs w:val="28"/>
          <w:lang w:val="sl-SI" w:eastAsia="ja-JP"/>
        </w:rPr>
      </w:pPr>
    </w:p>
    <w:p w:rsidR="00496C6A" w:rsidRPr="00496C6A" w:rsidRDefault="00496C6A" w:rsidP="0033341F">
      <w:pPr>
        <w:spacing w:line="288" w:lineRule="auto"/>
        <w:ind w:left="705" w:hanging="705"/>
        <w:jc w:val="center"/>
        <w:rPr>
          <w:rFonts w:asciiTheme="minorHAnsi" w:eastAsia="MS Mincho" w:hAnsiTheme="minorHAnsi" w:cstheme="minorHAnsi"/>
          <w:b/>
          <w:color w:val="000000"/>
          <w:sz w:val="28"/>
          <w:szCs w:val="28"/>
          <w:lang w:val="sl-SI" w:eastAsia="ja-JP"/>
        </w:rPr>
      </w:pPr>
    </w:p>
    <w:p w:rsidR="00496C6A" w:rsidRDefault="00496C6A" w:rsidP="0033341F">
      <w:pPr>
        <w:spacing w:line="288" w:lineRule="auto"/>
        <w:ind w:left="705" w:hanging="705"/>
        <w:jc w:val="center"/>
        <w:rPr>
          <w:rFonts w:asciiTheme="minorHAnsi" w:eastAsia="MS Mincho" w:hAnsiTheme="minorHAnsi" w:cstheme="minorHAnsi"/>
          <w:b/>
          <w:color w:val="000000"/>
          <w:sz w:val="28"/>
          <w:szCs w:val="28"/>
          <w:lang w:val="sl-SI" w:eastAsia="ja-JP"/>
        </w:rPr>
      </w:pPr>
    </w:p>
    <w:p w:rsidR="00496C6A" w:rsidRDefault="00496C6A" w:rsidP="0033341F">
      <w:pPr>
        <w:spacing w:line="288" w:lineRule="auto"/>
        <w:ind w:left="705" w:hanging="705"/>
        <w:jc w:val="center"/>
        <w:rPr>
          <w:rFonts w:asciiTheme="minorHAnsi" w:eastAsia="MS Mincho" w:hAnsiTheme="minorHAnsi" w:cstheme="minorHAnsi"/>
          <w:b/>
          <w:color w:val="000000"/>
          <w:sz w:val="28"/>
          <w:szCs w:val="28"/>
          <w:lang w:val="sl-SI" w:eastAsia="ja-JP"/>
        </w:rPr>
      </w:pPr>
    </w:p>
    <w:p w:rsidR="00496C6A" w:rsidRPr="00496C6A" w:rsidRDefault="00496C6A" w:rsidP="0033341F">
      <w:pPr>
        <w:spacing w:line="288" w:lineRule="auto"/>
        <w:ind w:left="705" w:hanging="705"/>
        <w:jc w:val="center"/>
        <w:rPr>
          <w:rFonts w:asciiTheme="minorHAnsi" w:eastAsia="MS Mincho" w:hAnsiTheme="minorHAnsi" w:cstheme="minorHAnsi"/>
          <w:b/>
          <w:color w:val="000000"/>
          <w:sz w:val="28"/>
          <w:szCs w:val="28"/>
          <w:lang w:val="sl-SI" w:eastAsia="ja-JP"/>
        </w:rPr>
      </w:pPr>
    </w:p>
    <w:p w:rsidR="00496C6A" w:rsidRPr="00496C6A" w:rsidRDefault="00496C6A" w:rsidP="0033341F">
      <w:pPr>
        <w:spacing w:line="288" w:lineRule="auto"/>
        <w:ind w:left="705" w:hanging="705"/>
        <w:jc w:val="center"/>
        <w:rPr>
          <w:rFonts w:asciiTheme="minorHAnsi" w:eastAsia="MS Mincho" w:hAnsiTheme="minorHAnsi" w:cstheme="minorHAnsi"/>
          <w:b/>
          <w:color w:val="000000"/>
          <w:sz w:val="28"/>
          <w:szCs w:val="28"/>
          <w:lang w:val="sl-SI" w:eastAsia="ja-JP"/>
        </w:rPr>
      </w:pPr>
    </w:p>
    <w:p w:rsidR="00496C6A" w:rsidRPr="00496C6A" w:rsidRDefault="00496C6A" w:rsidP="0033341F">
      <w:pPr>
        <w:spacing w:line="288" w:lineRule="auto"/>
        <w:ind w:left="705" w:hanging="705"/>
        <w:jc w:val="center"/>
        <w:rPr>
          <w:rFonts w:asciiTheme="minorHAnsi" w:eastAsia="MS Mincho" w:hAnsiTheme="minorHAnsi" w:cstheme="minorHAnsi"/>
          <w:b/>
          <w:color w:val="000000"/>
          <w:sz w:val="32"/>
          <w:szCs w:val="28"/>
          <w:lang w:val="sl-SI" w:eastAsia="ja-JP"/>
        </w:rPr>
      </w:pPr>
    </w:p>
    <w:p w:rsidR="0033341F" w:rsidRPr="00496C6A" w:rsidRDefault="0033341F" w:rsidP="0033341F">
      <w:pPr>
        <w:spacing w:line="288" w:lineRule="auto"/>
        <w:ind w:left="705" w:hanging="705"/>
        <w:jc w:val="center"/>
        <w:rPr>
          <w:rFonts w:asciiTheme="minorHAnsi" w:eastAsia="MS Mincho" w:hAnsiTheme="minorHAnsi" w:cstheme="minorHAnsi"/>
          <w:b/>
          <w:color w:val="000000"/>
          <w:sz w:val="36"/>
          <w:szCs w:val="28"/>
          <w:lang w:val="sl-SI" w:eastAsia="ja-JP"/>
        </w:rPr>
      </w:pPr>
      <w:r w:rsidRPr="00496C6A">
        <w:rPr>
          <w:rFonts w:asciiTheme="minorHAnsi" w:eastAsia="MS Mincho" w:hAnsiTheme="minorHAnsi" w:cstheme="minorHAnsi"/>
          <w:b/>
          <w:color w:val="000000"/>
          <w:sz w:val="36"/>
          <w:szCs w:val="28"/>
          <w:lang w:val="sl-SI" w:eastAsia="ja-JP"/>
        </w:rPr>
        <w:t>OCENA JAVNOFINANČNIH POSLEDIC PREDLAGANIH SPREMEMB POKOJNINSKE ZAKONODAJE</w:t>
      </w:r>
    </w:p>
    <w:p w:rsidR="0033341F" w:rsidRPr="00496C6A" w:rsidRDefault="0033341F" w:rsidP="0033341F">
      <w:pPr>
        <w:spacing w:line="288" w:lineRule="auto"/>
        <w:ind w:left="705" w:hanging="705"/>
        <w:jc w:val="both"/>
        <w:rPr>
          <w:rFonts w:asciiTheme="minorHAnsi" w:eastAsia="MS Mincho" w:hAnsiTheme="minorHAnsi" w:cstheme="minorHAnsi"/>
          <w:b/>
          <w:sz w:val="28"/>
          <w:szCs w:val="28"/>
          <w:lang w:val="sl-SI" w:eastAsia="ja-JP"/>
        </w:rPr>
      </w:pPr>
    </w:p>
    <w:p w:rsidR="0033341F" w:rsidRPr="00496C6A" w:rsidRDefault="0033341F" w:rsidP="0033341F">
      <w:pPr>
        <w:spacing w:line="288" w:lineRule="auto"/>
        <w:ind w:left="705" w:hanging="705"/>
        <w:jc w:val="both"/>
        <w:rPr>
          <w:rFonts w:asciiTheme="minorHAnsi" w:eastAsia="MS Mincho" w:hAnsiTheme="minorHAnsi" w:cstheme="minorHAnsi"/>
          <w:b/>
          <w:sz w:val="28"/>
          <w:szCs w:val="28"/>
          <w:lang w:val="sl-SI" w:eastAsia="ja-JP"/>
        </w:rPr>
      </w:pPr>
    </w:p>
    <w:p w:rsidR="00DC6530" w:rsidRDefault="00DC6530" w:rsidP="0033341F">
      <w:pPr>
        <w:spacing w:line="288" w:lineRule="auto"/>
        <w:ind w:left="705" w:hanging="705"/>
        <w:jc w:val="both"/>
        <w:rPr>
          <w:rFonts w:asciiTheme="minorHAnsi" w:eastAsia="MS Mincho" w:hAnsiTheme="minorHAnsi" w:cstheme="minorHAnsi"/>
          <w:b/>
          <w:sz w:val="28"/>
          <w:szCs w:val="28"/>
          <w:lang w:val="sl-SI" w:eastAsia="ja-JP"/>
        </w:rPr>
      </w:pPr>
    </w:p>
    <w:p w:rsidR="00496C6A" w:rsidRDefault="00496C6A" w:rsidP="0033341F">
      <w:pPr>
        <w:spacing w:line="288" w:lineRule="auto"/>
        <w:ind w:left="705" w:hanging="705"/>
        <w:jc w:val="both"/>
        <w:rPr>
          <w:rFonts w:asciiTheme="minorHAnsi" w:eastAsia="MS Mincho" w:hAnsiTheme="minorHAnsi" w:cstheme="minorHAnsi"/>
          <w:b/>
          <w:sz w:val="28"/>
          <w:szCs w:val="28"/>
          <w:lang w:val="sl-SI" w:eastAsia="ja-JP"/>
        </w:rPr>
      </w:pPr>
    </w:p>
    <w:p w:rsidR="00496C6A" w:rsidRDefault="00496C6A" w:rsidP="0033341F">
      <w:pPr>
        <w:spacing w:line="288" w:lineRule="auto"/>
        <w:ind w:left="705" w:hanging="705"/>
        <w:jc w:val="both"/>
        <w:rPr>
          <w:rFonts w:asciiTheme="minorHAnsi" w:eastAsia="MS Mincho" w:hAnsiTheme="minorHAnsi" w:cstheme="minorHAnsi"/>
          <w:b/>
          <w:sz w:val="28"/>
          <w:szCs w:val="28"/>
          <w:lang w:val="sl-SI" w:eastAsia="ja-JP"/>
        </w:rPr>
      </w:pPr>
    </w:p>
    <w:p w:rsidR="00496C6A" w:rsidRDefault="00496C6A" w:rsidP="0033341F">
      <w:pPr>
        <w:spacing w:line="288" w:lineRule="auto"/>
        <w:ind w:left="705" w:hanging="705"/>
        <w:jc w:val="both"/>
        <w:rPr>
          <w:rFonts w:asciiTheme="minorHAnsi" w:eastAsia="MS Mincho" w:hAnsiTheme="minorHAnsi" w:cstheme="minorHAnsi"/>
          <w:b/>
          <w:sz w:val="28"/>
          <w:szCs w:val="28"/>
          <w:lang w:val="sl-SI" w:eastAsia="ja-JP"/>
        </w:rPr>
      </w:pPr>
    </w:p>
    <w:p w:rsidR="00496C6A" w:rsidRDefault="00496C6A" w:rsidP="0033341F">
      <w:pPr>
        <w:spacing w:line="288" w:lineRule="auto"/>
        <w:ind w:left="705" w:hanging="705"/>
        <w:jc w:val="both"/>
        <w:rPr>
          <w:rFonts w:asciiTheme="minorHAnsi" w:eastAsia="MS Mincho" w:hAnsiTheme="minorHAnsi" w:cstheme="minorHAnsi"/>
          <w:b/>
          <w:sz w:val="28"/>
          <w:szCs w:val="28"/>
          <w:lang w:val="sl-SI" w:eastAsia="ja-JP"/>
        </w:rPr>
      </w:pPr>
    </w:p>
    <w:p w:rsidR="00496C6A" w:rsidRDefault="00496C6A" w:rsidP="0033341F">
      <w:pPr>
        <w:spacing w:line="288" w:lineRule="auto"/>
        <w:ind w:left="705" w:hanging="705"/>
        <w:jc w:val="both"/>
        <w:rPr>
          <w:rFonts w:asciiTheme="minorHAnsi" w:eastAsia="MS Mincho" w:hAnsiTheme="minorHAnsi" w:cstheme="minorHAnsi"/>
          <w:b/>
          <w:sz w:val="28"/>
          <w:szCs w:val="28"/>
          <w:lang w:val="sl-SI" w:eastAsia="ja-JP"/>
        </w:rPr>
      </w:pPr>
    </w:p>
    <w:p w:rsidR="00496C6A" w:rsidRDefault="00496C6A" w:rsidP="0033341F">
      <w:pPr>
        <w:spacing w:line="288" w:lineRule="auto"/>
        <w:ind w:left="705" w:hanging="705"/>
        <w:jc w:val="both"/>
        <w:rPr>
          <w:rFonts w:asciiTheme="minorHAnsi" w:eastAsia="MS Mincho" w:hAnsiTheme="minorHAnsi" w:cstheme="minorHAnsi"/>
          <w:b/>
          <w:sz w:val="28"/>
          <w:szCs w:val="28"/>
          <w:lang w:val="sl-SI" w:eastAsia="ja-JP"/>
        </w:rPr>
      </w:pPr>
    </w:p>
    <w:p w:rsidR="00496C6A" w:rsidRDefault="00496C6A" w:rsidP="0033341F">
      <w:pPr>
        <w:spacing w:line="288" w:lineRule="auto"/>
        <w:ind w:left="705" w:hanging="705"/>
        <w:jc w:val="both"/>
        <w:rPr>
          <w:rFonts w:asciiTheme="minorHAnsi" w:eastAsia="MS Mincho" w:hAnsiTheme="minorHAnsi" w:cstheme="minorHAnsi"/>
          <w:b/>
          <w:sz w:val="28"/>
          <w:szCs w:val="28"/>
          <w:lang w:val="sl-SI" w:eastAsia="ja-JP"/>
        </w:rPr>
      </w:pPr>
    </w:p>
    <w:p w:rsidR="00496C6A" w:rsidRDefault="00496C6A" w:rsidP="0033341F">
      <w:pPr>
        <w:spacing w:line="288" w:lineRule="auto"/>
        <w:ind w:left="705" w:hanging="705"/>
        <w:jc w:val="both"/>
        <w:rPr>
          <w:rFonts w:asciiTheme="minorHAnsi" w:eastAsia="MS Mincho" w:hAnsiTheme="minorHAnsi" w:cstheme="minorHAnsi"/>
          <w:b/>
          <w:sz w:val="28"/>
          <w:szCs w:val="28"/>
          <w:lang w:val="sl-SI" w:eastAsia="ja-JP"/>
        </w:rPr>
      </w:pPr>
    </w:p>
    <w:p w:rsidR="00496C6A" w:rsidRDefault="00496C6A" w:rsidP="0033341F">
      <w:pPr>
        <w:spacing w:line="288" w:lineRule="auto"/>
        <w:ind w:left="705" w:hanging="705"/>
        <w:jc w:val="both"/>
        <w:rPr>
          <w:rFonts w:asciiTheme="minorHAnsi" w:eastAsia="MS Mincho" w:hAnsiTheme="minorHAnsi" w:cstheme="minorHAnsi"/>
          <w:b/>
          <w:sz w:val="28"/>
          <w:szCs w:val="28"/>
          <w:lang w:val="sl-SI" w:eastAsia="ja-JP"/>
        </w:rPr>
      </w:pPr>
    </w:p>
    <w:p w:rsidR="00496C6A" w:rsidRDefault="00496C6A" w:rsidP="0033341F">
      <w:pPr>
        <w:spacing w:line="288" w:lineRule="auto"/>
        <w:ind w:left="705" w:hanging="705"/>
        <w:jc w:val="both"/>
        <w:rPr>
          <w:rFonts w:asciiTheme="minorHAnsi" w:eastAsia="MS Mincho" w:hAnsiTheme="minorHAnsi" w:cstheme="minorHAnsi"/>
          <w:b/>
          <w:sz w:val="28"/>
          <w:szCs w:val="28"/>
          <w:lang w:val="sl-SI" w:eastAsia="ja-JP"/>
        </w:rPr>
      </w:pPr>
    </w:p>
    <w:p w:rsidR="00496C6A" w:rsidRDefault="00496C6A" w:rsidP="0033341F">
      <w:pPr>
        <w:spacing w:line="288" w:lineRule="auto"/>
        <w:ind w:left="705" w:hanging="705"/>
        <w:jc w:val="both"/>
        <w:rPr>
          <w:rFonts w:asciiTheme="minorHAnsi" w:eastAsia="MS Mincho" w:hAnsiTheme="minorHAnsi" w:cstheme="minorHAnsi"/>
          <w:b/>
          <w:sz w:val="28"/>
          <w:szCs w:val="28"/>
          <w:lang w:val="sl-SI" w:eastAsia="ja-JP"/>
        </w:rPr>
      </w:pPr>
    </w:p>
    <w:p w:rsidR="00496C6A" w:rsidRDefault="00496C6A" w:rsidP="0033341F">
      <w:pPr>
        <w:spacing w:line="288" w:lineRule="auto"/>
        <w:ind w:left="705" w:hanging="705"/>
        <w:jc w:val="both"/>
        <w:rPr>
          <w:rFonts w:asciiTheme="minorHAnsi" w:eastAsia="MS Mincho" w:hAnsiTheme="minorHAnsi" w:cstheme="minorHAnsi"/>
          <w:b/>
          <w:sz w:val="28"/>
          <w:szCs w:val="28"/>
          <w:lang w:val="sl-SI" w:eastAsia="ja-JP"/>
        </w:rPr>
      </w:pPr>
    </w:p>
    <w:p w:rsidR="00496C6A" w:rsidRDefault="00496C6A" w:rsidP="00496C6A">
      <w:pPr>
        <w:spacing w:line="288" w:lineRule="auto"/>
        <w:ind w:left="705" w:hanging="705"/>
        <w:jc w:val="right"/>
        <w:rPr>
          <w:rFonts w:asciiTheme="minorHAnsi" w:eastAsia="MS Mincho" w:hAnsiTheme="minorHAnsi" w:cstheme="minorHAnsi"/>
          <w:sz w:val="24"/>
          <w:szCs w:val="28"/>
          <w:lang w:val="sl-SI" w:eastAsia="ja-JP"/>
        </w:rPr>
      </w:pPr>
    </w:p>
    <w:p w:rsidR="00496C6A" w:rsidRPr="00496C6A" w:rsidRDefault="00655B78" w:rsidP="00496C6A">
      <w:pPr>
        <w:spacing w:line="288" w:lineRule="auto"/>
        <w:ind w:left="705" w:hanging="705"/>
        <w:jc w:val="right"/>
        <w:rPr>
          <w:rFonts w:asciiTheme="minorHAnsi" w:eastAsia="MS Mincho" w:hAnsiTheme="minorHAnsi" w:cstheme="minorHAnsi"/>
          <w:sz w:val="24"/>
          <w:szCs w:val="28"/>
          <w:lang w:val="sl-SI" w:eastAsia="ja-JP"/>
        </w:rPr>
      </w:pPr>
      <w:r>
        <w:rPr>
          <w:rFonts w:asciiTheme="minorHAnsi" w:eastAsia="MS Mincho" w:hAnsiTheme="minorHAnsi" w:cstheme="minorHAnsi"/>
          <w:sz w:val="24"/>
          <w:szCs w:val="28"/>
          <w:lang w:val="sl-SI" w:eastAsia="ja-JP"/>
        </w:rPr>
        <w:t>Ljubljana, 10</w:t>
      </w:r>
      <w:r w:rsidR="00496C6A" w:rsidRPr="00496C6A">
        <w:rPr>
          <w:rFonts w:asciiTheme="minorHAnsi" w:eastAsia="MS Mincho" w:hAnsiTheme="minorHAnsi" w:cstheme="minorHAnsi"/>
          <w:sz w:val="24"/>
          <w:szCs w:val="28"/>
          <w:lang w:val="sl-SI" w:eastAsia="ja-JP"/>
        </w:rPr>
        <w:t>. 9. 2019</w:t>
      </w:r>
    </w:p>
    <w:p w:rsidR="00496C6A" w:rsidRPr="00496C6A" w:rsidRDefault="00496C6A">
      <w:pPr>
        <w:spacing w:line="240" w:lineRule="auto"/>
        <w:rPr>
          <w:rFonts w:asciiTheme="minorHAnsi" w:hAnsiTheme="minorHAnsi" w:cstheme="minorHAnsi"/>
          <w:b/>
          <w:color w:val="000000"/>
          <w:sz w:val="24"/>
          <w:lang w:val="sl-SI" w:eastAsia="sl-SI"/>
        </w:rPr>
      </w:pPr>
      <w:r w:rsidRPr="00496C6A">
        <w:rPr>
          <w:rFonts w:asciiTheme="minorHAnsi" w:hAnsiTheme="minorHAnsi" w:cstheme="minorHAnsi"/>
          <w:b/>
          <w:color w:val="000000"/>
          <w:sz w:val="24"/>
          <w:lang w:val="sl-SI" w:eastAsia="sl-SI"/>
        </w:rPr>
        <w:br w:type="page"/>
      </w:r>
    </w:p>
    <w:p w:rsidR="001E262C" w:rsidRPr="00496C6A" w:rsidRDefault="001E262C" w:rsidP="0033341F">
      <w:pPr>
        <w:autoSpaceDE w:val="0"/>
        <w:autoSpaceDN w:val="0"/>
        <w:adjustRightInd w:val="0"/>
        <w:spacing w:after="100" w:line="276" w:lineRule="auto"/>
        <w:jc w:val="both"/>
        <w:rPr>
          <w:rFonts w:asciiTheme="minorHAnsi" w:hAnsiTheme="minorHAnsi" w:cstheme="minorHAnsi"/>
          <w:b/>
          <w:color w:val="000000"/>
          <w:sz w:val="24"/>
          <w:lang w:val="sl-SI" w:eastAsia="sl-SI"/>
        </w:rPr>
      </w:pPr>
      <w:r w:rsidRPr="00496C6A">
        <w:rPr>
          <w:rFonts w:asciiTheme="minorHAnsi" w:hAnsiTheme="minorHAnsi" w:cstheme="minorHAnsi"/>
          <w:b/>
          <w:color w:val="000000"/>
          <w:sz w:val="24"/>
          <w:lang w:val="sl-SI" w:eastAsia="sl-SI"/>
        </w:rPr>
        <w:lastRenderedPageBreak/>
        <w:t>Kazalo</w:t>
      </w:r>
    </w:p>
    <w:p w:rsidR="00DC6530" w:rsidRPr="00496C6A" w:rsidRDefault="00DC6530" w:rsidP="0033341F">
      <w:pPr>
        <w:autoSpaceDE w:val="0"/>
        <w:autoSpaceDN w:val="0"/>
        <w:adjustRightInd w:val="0"/>
        <w:spacing w:after="100" w:line="276" w:lineRule="auto"/>
        <w:jc w:val="both"/>
        <w:rPr>
          <w:rFonts w:asciiTheme="minorHAnsi" w:hAnsiTheme="minorHAnsi" w:cstheme="minorHAnsi"/>
          <w:b/>
          <w:color w:val="000000"/>
          <w:sz w:val="24"/>
          <w:lang w:val="sl-SI" w:eastAsia="sl-SI"/>
        </w:rPr>
      </w:pPr>
    </w:p>
    <w:p w:rsidR="00DC6530" w:rsidRPr="00496C6A" w:rsidRDefault="001E262C" w:rsidP="00DC6530">
      <w:pPr>
        <w:pStyle w:val="Kazalovsebine1"/>
        <w:spacing w:before="100"/>
        <w:rPr>
          <w:rStyle w:val="Hiperpovezava"/>
          <w:rFonts w:asciiTheme="minorHAnsi" w:hAnsiTheme="minorHAnsi" w:cstheme="minorHAnsi"/>
          <w:b w:val="0"/>
        </w:rPr>
      </w:pPr>
      <w:r w:rsidRPr="00496C6A">
        <w:rPr>
          <w:rFonts w:asciiTheme="minorHAnsi" w:hAnsiTheme="minorHAnsi" w:cstheme="minorHAnsi"/>
          <w:color w:val="000000"/>
          <w:lang w:val="sl-SI" w:eastAsia="sl-SI"/>
        </w:rPr>
        <w:fldChar w:fldCharType="begin"/>
      </w:r>
      <w:r w:rsidRPr="00496C6A">
        <w:rPr>
          <w:rFonts w:asciiTheme="minorHAnsi" w:hAnsiTheme="minorHAnsi" w:cstheme="minorHAnsi"/>
          <w:color w:val="000000"/>
          <w:lang w:val="sl-SI" w:eastAsia="sl-SI"/>
        </w:rPr>
        <w:instrText xml:space="preserve"> TOC \h \z \t "Slog1;1;Slog2;2" </w:instrText>
      </w:r>
      <w:r w:rsidRPr="00496C6A">
        <w:rPr>
          <w:rFonts w:asciiTheme="minorHAnsi" w:hAnsiTheme="minorHAnsi" w:cstheme="minorHAnsi"/>
          <w:color w:val="000000"/>
          <w:lang w:val="sl-SI" w:eastAsia="sl-SI"/>
        </w:rPr>
        <w:fldChar w:fldCharType="separate"/>
      </w:r>
      <w:hyperlink w:anchor="_Toc18910192" w:history="1">
        <w:r w:rsidR="00DC6530" w:rsidRPr="00496C6A">
          <w:rPr>
            <w:rStyle w:val="Hiperpovezava"/>
            <w:rFonts w:asciiTheme="minorHAnsi" w:hAnsiTheme="minorHAnsi" w:cstheme="minorHAnsi"/>
            <w:b w:val="0"/>
          </w:rPr>
          <w:t>1</w:t>
        </w:r>
        <w:r w:rsidR="00DC6530" w:rsidRPr="00496C6A">
          <w:rPr>
            <w:rFonts w:asciiTheme="minorHAnsi" w:eastAsiaTheme="minorEastAsia" w:hAnsiTheme="minorHAnsi" w:cstheme="minorHAnsi"/>
            <w:b w:val="0"/>
            <w:bCs w:val="0"/>
            <w:caps w:val="0"/>
            <w:lang w:val="sl-SI" w:eastAsia="sl-SI"/>
          </w:rPr>
          <w:tab/>
        </w:r>
        <w:r w:rsidR="00DC6530" w:rsidRPr="00496C6A">
          <w:rPr>
            <w:rStyle w:val="Hiperpovezava"/>
            <w:rFonts w:asciiTheme="minorHAnsi" w:hAnsiTheme="minorHAnsi" w:cstheme="minorHAnsi"/>
            <w:b w:val="0"/>
            <w:caps w:val="0"/>
          </w:rPr>
          <w:t>Uvod</w:t>
        </w:r>
        <w:r w:rsidR="00DC6530" w:rsidRPr="00496C6A">
          <w:rPr>
            <w:rFonts w:asciiTheme="minorHAnsi" w:hAnsiTheme="minorHAnsi" w:cstheme="minorHAnsi"/>
            <w:b w:val="0"/>
            <w:webHidden/>
          </w:rPr>
          <w:tab/>
        </w:r>
        <w:r w:rsidR="00DC6530" w:rsidRPr="00496C6A">
          <w:rPr>
            <w:rFonts w:asciiTheme="minorHAnsi" w:hAnsiTheme="minorHAnsi" w:cstheme="minorHAnsi"/>
            <w:b w:val="0"/>
            <w:webHidden/>
          </w:rPr>
          <w:fldChar w:fldCharType="begin"/>
        </w:r>
        <w:r w:rsidR="00DC6530" w:rsidRPr="00496C6A">
          <w:rPr>
            <w:rFonts w:asciiTheme="minorHAnsi" w:hAnsiTheme="minorHAnsi" w:cstheme="minorHAnsi"/>
            <w:b w:val="0"/>
            <w:webHidden/>
          </w:rPr>
          <w:instrText xml:space="preserve"> PAGEREF _Toc18910192 \h </w:instrText>
        </w:r>
        <w:r w:rsidR="00DC6530" w:rsidRPr="00496C6A">
          <w:rPr>
            <w:rFonts w:asciiTheme="minorHAnsi" w:hAnsiTheme="minorHAnsi" w:cstheme="minorHAnsi"/>
            <w:b w:val="0"/>
            <w:webHidden/>
          </w:rPr>
        </w:r>
        <w:r w:rsidR="00DC6530" w:rsidRPr="00496C6A">
          <w:rPr>
            <w:rFonts w:asciiTheme="minorHAnsi" w:hAnsiTheme="minorHAnsi" w:cstheme="minorHAnsi"/>
            <w:b w:val="0"/>
            <w:webHidden/>
          </w:rPr>
          <w:fldChar w:fldCharType="separate"/>
        </w:r>
        <w:r w:rsidR="00017D37">
          <w:rPr>
            <w:rFonts w:asciiTheme="minorHAnsi" w:hAnsiTheme="minorHAnsi" w:cstheme="minorHAnsi"/>
            <w:b w:val="0"/>
            <w:webHidden/>
          </w:rPr>
          <w:t>3</w:t>
        </w:r>
        <w:r w:rsidR="00DC6530" w:rsidRPr="00496C6A">
          <w:rPr>
            <w:rFonts w:asciiTheme="minorHAnsi" w:hAnsiTheme="minorHAnsi" w:cstheme="minorHAnsi"/>
            <w:b w:val="0"/>
            <w:webHidden/>
          </w:rPr>
          <w:fldChar w:fldCharType="end"/>
        </w:r>
      </w:hyperlink>
    </w:p>
    <w:p w:rsidR="00DC6530" w:rsidRPr="00496C6A" w:rsidRDefault="00DC6530" w:rsidP="00DC6530">
      <w:pPr>
        <w:rPr>
          <w:rFonts w:asciiTheme="minorHAnsi" w:eastAsiaTheme="minorEastAsia" w:hAnsiTheme="minorHAnsi" w:cstheme="minorHAnsi"/>
          <w:noProof/>
          <w:lang w:eastAsia="ja-JP"/>
        </w:rPr>
      </w:pPr>
    </w:p>
    <w:p w:rsidR="00DC6530" w:rsidRPr="00496C6A" w:rsidRDefault="006B6DFB" w:rsidP="00DC6530">
      <w:pPr>
        <w:pStyle w:val="Kazalovsebine1"/>
        <w:spacing w:before="100"/>
        <w:rPr>
          <w:rStyle w:val="Hiperpovezava"/>
          <w:rFonts w:asciiTheme="minorHAnsi" w:hAnsiTheme="minorHAnsi" w:cstheme="minorHAnsi"/>
          <w:b w:val="0"/>
        </w:rPr>
      </w:pPr>
      <w:hyperlink w:anchor="_Toc18910193" w:history="1">
        <w:r w:rsidR="00DC6530" w:rsidRPr="00496C6A">
          <w:rPr>
            <w:rStyle w:val="Hiperpovezava"/>
            <w:rFonts w:asciiTheme="minorHAnsi" w:hAnsiTheme="minorHAnsi" w:cstheme="minorHAnsi"/>
            <w:b w:val="0"/>
          </w:rPr>
          <w:t>2</w:t>
        </w:r>
        <w:r w:rsidR="00DC6530" w:rsidRPr="00496C6A">
          <w:rPr>
            <w:rFonts w:asciiTheme="minorHAnsi" w:eastAsiaTheme="minorEastAsia" w:hAnsiTheme="minorHAnsi" w:cstheme="minorHAnsi"/>
            <w:b w:val="0"/>
            <w:bCs w:val="0"/>
            <w:caps w:val="0"/>
            <w:lang w:val="sl-SI" w:eastAsia="sl-SI"/>
          </w:rPr>
          <w:tab/>
        </w:r>
        <w:r w:rsidR="00DC6530" w:rsidRPr="00496C6A">
          <w:rPr>
            <w:rStyle w:val="Hiperpovezava"/>
            <w:rFonts w:asciiTheme="minorHAnsi" w:hAnsiTheme="minorHAnsi" w:cstheme="minorHAnsi"/>
            <w:b w:val="0"/>
            <w:caps w:val="0"/>
          </w:rPr>
          <w:t xml:space="preserve">Simuliranje učinkov sprememb </w:t>
        </w:r>
        <w:r w:rsidR="00A43E8A" w:rsidRPr="00496C6A">
          <w:rPr>
            <w:rStyle w:val="Hiperpovezava"/>
            <w:rFonts w:asciiTheme="minorHAnsi" w:hAnsiTheme="minorHAnsi" w:cstheme="minorHAnsi"/>
            <w:b w:val="0"/>
            <w:caps w:val="0"/>
          </w:rPr>
          <w:t>pokojninske zakonodaje v zvezi s</w:t>
        </w:r>
        <w:r w:rsidR="00DC6530" w:rsidRPr="00496C6A">
          <w:rPr>
            <w:rStyle w:val="Hiperpovezava"/>
            <w:rFonts w:asciiTheme="minorHAnsi" w:hAnsiTheme="minorHAnsi" w:cstheme="minorHAnsi"/>
            <w:b w:val="0"/>
            <w:caps w:val="0"/>
          </w:rPr>
          <w:t xml:space="preserve"> spremembami odmernih odstotkov na javnofinančn</w:t>
        </w:r>
        <w:r w:rsidR="00A43E8A" w:rsidRPr="00496C6A">
          <w:rPr>
            <w:rStyle w:val="Hiperpovezava"/>
            <w:rFonts w:asciiTheme="minorHAnsi" w:hAnsiTheme="minorHAnsi" w:cstheme="minorHAnsi"/>
            <w:b w:val="0"/>
            <w:caps w:val="0"/>
          </w:rPr>
          <w:t>e izdatke za pokojnine kot % BDP</w:t>
        </w:r>
        <w:r w:rsidR="00DC6530" w:rsidRPr="00496C6A">
          <w:rPr>
            <w:rFonts w:asciiTheme="minorHAnsi" w:hAnsiTheme="minorHAnsi" w:cstheme="minorHAnsi"/>
            <w:b w:val="0"/>
            <w:webHidden/>
          </w:rPr>
          <w:tab/>
        </w:r>
        <w:r w:rsidR="00DC6530" w:rsidRPr="00496C6A">
          <w:rPr>
            <w:rFonts w:asciiTheme="minorHAnsi" w:hAnsiTheme="minorHAnsi" w:cstheme="minorHAnsi"/>
            <w:b w:val="0"/>
            <w:webHidden/>
          </w:rPr>
          <w:fldChar w:fldCharType="begin"/>
        </w:r>
        <w:r w:rsidR="00DC6530" w:rsidRPr="00496C6A">
          <w:rPr>
            <w:rFonts w:asciiTheme="minorHAnsi" w:hAnsiTheme="minorHAnsi" w:cstheme="minorHAnsi"/>
            <w:b w:val="0"/>
            <w:webHidden/>
          </w:rPr>
          <w:instrText xml:space="preserve"> PAGEREF _Toc18910193 \h </w:instrText>
        </w:r>
        <w:r w:rsidR="00DC6530" w:rsidRPr="00496C6A">
          <w:rPr>
            <w:rFonts w:asciiTheme="minorHAnsi" w:hAnsiTheme="minorHAnsi" w:cstheme="minorHAnsi"/>
            <w:b w:val="0"/>
            <w:webHidden/>
          </w:rPr>
        </w:r>
        <w:r w:rsidR="00DC6530" w:rsidRPr="00496C6A">
          <w:rPr>
            <w:rFonts w:asciiTheme="minorHAnsi" w:hAnsiTheme="minorHAnsi" w:cstheme="minorHAnsi"/>
            <w:b w:val="0"/>
            <w:webHidden/>
          </w:rPr>
          <w:fldChar w:fldCharType="separate"/>
        </w:r>
        <w:r w:rsidR="00017D37">
          <w:rPr>
            <w:rFonts w:asciiTheme="minorHAnsi" w:hAnsiTheme="minorHAnsi" w:cstheme="minorHAnsi"/>
            <w:b w:val="0"/>
            <w:webHidden/>
          </w:rPr>
          <w:t>3</w:t>
        </w:r>
        <w:r w:rsidR="00DC6530" w:rsidRPr="00496C6A">
          <w:rPr>
            <w:rFonts w:asciiTheme="minorHAnsi" w:hAnsiTheme="minorHAnsi" w:cstheme="minorHAnsi"/>
            <w:b w:val="0"/>
            <w:webHidden/>
          </w:rPr>
          <w:fldChar w:fldCharType="end"/>
        </w:r>
      </w:hyperlink>
    </w:p>
    <w:p w:rsidR="00DC6530" w:rsidRPr="00496C6A" w:rsidRDefault="00DC6530" w:rsidP="00DC6530">
      <w:pPr>
        <w:rPr>
          <w:rFonts w:asciiTheme="minorHAnsi" w:eastAsiaTheme="minorEastAsia" w:hAnsiTheme="minorHAnsi" w:cstheme="minorHAnsi"/>
          <w:noProof/>
          <w:lang w:eastAsia="ja-JP"/>
        </w:rPr>
      </w:pPr>
    </w:p>
    <w:p w:rsidR="00DC6530" w:rsidRPr="00496C6A" w:rsidRDefault="006B6DFB" w:rsidP="00DC6530">
      <w:pPr>
        <w:pStyle w:val="Kazalovsebine1"/>
        <w:spacing w:before="100"/>
        <w:rPr>
          <w:rStyle w:val="Hiperpovezava"/>
          <w:rFonts w:asciiTheme="minorHAnsi" w:hAnsiTheme="minorHAnsi" w:cstheme="minorHAnsi"/>
          <w:b w:val="0"/>
        </w:rPr>
      </w:pPr>
      <w:hyperlink w:anchor="_Toc18910194" w:history="1">
        <w:r w:rsidR="00DC6530" w:rsidRPr="00496C6A">
          <w:rPr>
            <w:rStyle w:val="Hiperpovezava"/>
            <w:rFonts w:asciiTheme="minorHAnsi" w:hAnsiTheme="minorHAnsi" w:cstheme="minorHAnsi"/>
            <w:b w:val="0"/>
          </w:rPr>
          <w:t>3</w:t>
        </w:r>
        <w:r w:rsidR="00DC6530" w:rsidRPr="00496C6A">
          <w:rPr>
            <w:rFonts w:asciiTheme="minorHAnsi" w:eastAsiaTheme="minorEastAsia" w:hAnsiTheme="minorHAnsi" w:cstheme="minorHAnsi"/>
            <w:b w:val="0"/>
            <w:bCs w:val="0"/>
            <w:caps w:val="0"/>
            <w:lang w:val="sl-SI" w:eastAsia="sl-SI"/>
          </w:rPr>
          <w:tab/>
        </w:r>
        <w:r w:rsidR="00DC6530" w:rsidRPr="00496C6A">
          <w:rPr>
            <w:rStyle w:val="Hiperpovezava"/>
            <w:rFonts w:asciiTheme="minorHAnsi" w:hAnsiTheme="minorHAnsi" w:cstheme="minorHAnsi"/>
            <w:b w:val="0"/>
            <w:caps w:val="0"/>
          </w:rPr>
          <w:t xml:space="preserve">Simuliranje učinkov sprememb </w:t>
        </w:r>
        <w:r w:rsidR="00A43E8A" w:rsidRPr="00496C6A">
          <w:rPr>
            <w:rStyle w:val="Hiperpovezava"/>
            <w:rFonts w:asciiTheme="minorHAnsi" w:hAnsiTheme="minorHAnsi" w:cstheme="minorHAnsi"/>
            <w:b w:val="0"/>
            <w:caps w:val="0"/>
          </w:rPr>
          <w:t>pokojninske zakonodaje v zvezi s</w:t>
        </w:r>
        <w:r w:rsidR="00DC6530" w:rsidRPr="00496C6A">
          <w:rPr>
            <w:rStyle w:val="Hiperpovezava"/>
            <w:rFonts w:asciiTheme="minorHAnsi" w:hAnsiTheme="minorHAnsi" w:cstheme="minorHAnsi"/>
            <w:b w:val="0"/>
            <w:caps w:val="0"/>
          </w:rPr>
          <w:t xml:space="preserve"> koriščenjem pravice do izplačila dela pokojnine</w:t>
        </w:r>
        <w:r w:rsidR="00DC6530" w:rsidRPr="00496C6A">
          <w:rPr>
            <w:rFonts w:asciiTheme="minorHAnsi" w:hAnsiTheme="minorHAnsi" w:cstheme="minorHAnsi"/>
            <w:b w:val="0"/>
            <w:webHidden/>
          </w:rPr>
          <w:tab/>
        </w:r>
        <w:r w:rsidR="00DC6530" w:rsidRPr="00496C6A">
          <w:rPr>
            <w:rFonts w:asciiTheme="minorHAnsi" w:hAnsiTheme="minorHAnsi" w:cstheme="minorHAnsi"/>
            <w:b w:val="0"/>
            <w:webHidden/>
          </w:rPr>
          <w:fldChar w:fldCharType="begin"/>
        </w:r>
        <w:r w:rsidR="00DC6530" w:rsidRPr="00496C6A">
          <w:rPr>
            <w:rFonts w:asciiTheme="minorHAnsi" w:hAnsiTheme="minorHAnsi" w:cstheme="minorHAnsi"/>
            <w:b w:val="0"/>
            <w:webHidden/>
          </w:rPr>
          <w:instrText xml:space="preserve"> PAGEREF _Toc18910194 \h </w:instrText>
        </w:r>
        <w:r w:rsidR="00DC6530" w:rsidRPr="00496C6A">
          <w:rPr>
            <w:rFonts w:asciiTheme="minorHAnsi" w:hAnsiTheme="minorHAnsi" w:cstheme="minorHAnsi"/>
            <w:b w:val="0"/>
            <w:webHidden/>
          </w:rPr>
        </w:r>
        <w:r w:rsidR="00DC6530" w:rsidRPr="00496C6A">
          <w:rPr>
            <w:rFonts w:asciiTheme="minorHAnsi" w:hAnsiTheme="minorHAnsi" w:cstheme="minorHAnsi"/>
            <w:b w:val="0"/>
            <w:webHidden/>
          </w:rPr>
          <w:fldChar w:fldCharType="separate"/>
        </w:r>
        <w:r w:rsidR="00017D37">
          <w:rPr>
            <w:rFonts w:asciiTheme="minorHAnsi" w:hAnsiTheme="minorHAnsi" w:cstheme="minorHAnsi"/>
            <w:b w:val="0"/>
            <w:webHidden/>
          </w:rPr>
          <w:t>4</w:t>
        </w:r>
        <w:r w:rsidR="00DC6530" w:rsidRPr="00496C6A">
          <w:rPr>
            <w:rFonts w:asciiTheme="minorHAnsi" w:hAnsiTheme="minorHAnsi" w:cstheme="minorHAnsi"/>
            <w:b w:val="0"/>
            <w:webHidden/>
          </w:rPr>
          <w:fldChar w:fldCharType="end"/>
        </w:r>
      </w:hyperlink>
    </w:p>
    <w:p w:rsidR="00DC6530" w:rsidRPr="00496C6A" w:rsidRDefault="00DC6530" w:rsidP="00DC6530">
      <w:pPr>
        <w:rPr>
          <w:rFonts w:asciiTheme="minorHAnsi" w:eastAsiaTheme="minorEastAsia" w:hAnsiTheme="minorHAnsi" w:cstheme="minorHAnsi"/>
          <w:noProof/>
          <w:lang w:eastAsia="ja-JP"/>
        </w:rPr>
      </w:pPr>
    </w:p>
    <w:p w:rsidR="00DC6530" w:rsidRPr="00496C6A" w:rsidRDefault="006B6DFB" w:rsidP="00DC6530">
      <w:pPr>
        <w:pStyle w:val="Kazalovsebine2"/>
        <w:spacing w:before="100"/>
        <w:rPr>
          <w:rFonts w:asciiTheme="minorHAnsi" w:eastAsiaTheme="minorEastAsia" w:hAnsiTheme="minorHAnsi" w:cstheme="minorHAnsi"/>
          <w:b w:val="0"/>
          <w:bCs w:val="0"/>
          <w:noProof/>
          <w:sz w:val="24"/>
          <w:szCs w:val="24"/>
          <w:lang w:eastAsia="sl-SI"/>
        </w:rPr>
      </w:pPr>
      <w:hyperlink w:anchor="_Toc18910195" w:history="1">
        <w:r w:rsidR="00DC6530" w:rsidRPr="00496C6A">
          <w:rPr>
            <w:rStyle w:val="Hiperpovezava"/>
            <w:rFonts w:asciiTheme="minorHAnsi" w:hAnsiTheme="minorHAnsi" w:cstheme="minorHAnsi"/>
            <w:b w:val="0"/>
            <w:noProof/>
            <w:sz w:val="24"/>
            <w:szCs w:val="24"/>
          </w:rPr>
          <w:t>3.1</w:t>
        </w:r>
        <w:r w:rsidR="00DC6530" w:rsidRPr="00496C6A">
          <w:rPr>
            <w:rFonts w:asciiTheme="minorHAnsi" w:eastAsiaTheme="minorEastAsia" w:hAnsiTheme="minorHAnsi" w:cstheme="minorHAnsi"/>
            <w:b w:val="0"/>
            <w:bCs w:val="0"/>
            <w:noProof/>
            <w:sz w:val="24"/>
            <w:szCs w:val="24"/>
            <w:lang w:eastAsia="sl-SI"/>
          </w:rPr>
          <w:tab/>
        </w:r>
        <w:r w:rsidR="00DC6530" w:rsidRPr="00496C6A">
          <w:rPr>
            <w:rStyle w:val="Hiperpovezava"/>
            <w:rFonts w:asciiTheme="minorHAnsi" w:hAnsiTheme="minorHAnsi" w:cstheme="minorHAnsi"/>
            <w:b w:val="0"/>
            <w:noProof/>
            <w:sz w:val="24"/>
            <w:szCs w:val="24"/>
          </w:rPr>
          <w:t>Učinki v obstoječem sistemu (s parametroma 20/4)</w:t>
        </w:r>
        <w:r w:rsidR="00DC6530" w:rsidRPr="00496C6A">
          <w:rPr>
            <w:rFonts w:asciiTheme="minorHAnsi" w:hAnsiTheme="minorHAnsi" w:cstheme="minorHAnsi"/>
            <w:b w:val="0"/>
            <w:noProof/>
            <w:webHidden/>
            <w:sz w:val="24"/>
            <w:szCs w:val="24"/>
          </w:rPr>
          <w:tab/>
        </w:r>
        <w:r w:rsidR="00DC6530" w:rsidRPr="00496C6A">
          <w:rPr>
            <w:rFonts w:asciiTheme="minorHAnsi" w:hAnsiTheme="minorHAnsi" w:cstheme="minorHAnsi"/>
            <w:b w:val="0"/>
            <w:noProof/>
            <w:webHidden/>
            <w:sz w:val="24"/>
            <w:szCs w:val="24"/>
          </w:rPr>
          <w:fldChar w:fldCharType="begin"/>
        </w:r>
        <w:r w:rsidR="00DC6530" w:rsidRPr="00496C6A">
          <w:rPr>
            <w:rFonts w:asciiTheme="minorHAnsi" w:hAnsiTheme="minorHAnsi" w:cstheme="minorHAnsi"/>
            <w:b w:val="0"/>
            <w:noProof/>
            <w:webHidden/>
            <w:sz w:val="24"/>
            <w:szCs w:val="24"/>
          </w:rPr>
          <w:instrText xml:space="preserve"> PAGEREF _Toc18910195 \h </w:instrText>
        </w:r>
        <w:r w:rsidR="00DC6530" w:rsidRPr="00496C6A">
          <w:rPr>
            <w:rFonts w:asciiTheme="minorHAnsi" w:hAnsiTheme="minorHAnsi" w:cstheme="minorHAnsi"/>
            <w:b w:val="0"/>
            <w:noProof/>
            <w:webHidden/>
            <w:sz w:val="24"/>
            <w:szCs w:val="24"/>
          </w:rPr>
        </w:r>
        <w:r w:rsidR="00DC6530" w:rsidRPr="00496C6A">
          <w:rPr>
            <w:rFonts w:asciiTheme="minorHAnsi" w:hAnsiTheme="minorHAnsi" w:cstheme="minorHAnsi"/>
            <w:b w:val="0"/>
            <w:noProof/>
            <w:webHidden/>
            <w:sz w:val="24"/>
            <w:szCs w:val="24"/>
          </w:rPr>
          <w:fldChar w:fldCharType="separate"/>
        </w:r>
        <w:r w:rsidR="00017D37">
          <w:rPr>
            <w:rFonts w:asciiTheme="minorHAnsi" w:hAnsiTheme="minorHAnsi" w:cstheme="minorHAnsi"/>
            <w:b w:val="0"/>
            <w:noProof/>
            <w:webHidden/>
            <w:sz w:val="24"/>
            <w:szCs w:val="24"/>
          </w:rPr>
          <w:t>4</w:t>
        </w:r>
        <w:r w:rsidR="00DC6530" w:rsidRPr="00496C6A">
          <w:rPr>
            <w:rFonts w:asciiTheme="minorHAnsi" w:hAnsiTheme="minorHAnsi" w:cstheme="minorHAnsi"/>
            <w:b w:val="0"/>
            <w:noProof/>
            <w:webHidden/>
            <w:sz w:val="24"/>
            <w:szCs w:val="24"/>
          </w:rPr>
          <w:fldChar w:fldCharType="end"/>
        </w:r>
      </w:hyperlink>
    </w:p>
    <w:p w:rsidR="00DC6530" w:rsidRPr="00496C6A" w:rsidRDefault="006B6DFB" w:rsidP="00DC6530">
      <w:pPr>
        <w:pStyle w:val="Kazalovsebine2"/>
        <w:spacing w:before="100"/>
        <w:rPr>
          <w:rFonts w:asciiTheme="minorHAnsi" w:eastAsiaTheme="minorEastAsia" w:hAnsiTheme="minorHAnsi" w:cstheme="minorHAnsi"/>
          <w:b w:val="0"/>
          <w:bCs w:val="0"/>
          <w:noProof/>
          <w:sz w:val="24"/>
          <w:szCs w:val="24"/>
          <w:lang w:eastAsia="sl-SI"/>
        </w:rPr>
      </w:pPr>
      <w:hyperlink w:anchor="_Toc18910196" w:history="1">
        <w:r w:rsidR="00DC6530" w:rsidRPr="00496C6A">
          <w:rPr>
            <w:rStyle w:val="Hiperpovezava"/>
            <w:rFonts w:asciiTheme="minorHAnsi" w:hAnsiTheme="minorHAnsi" w:cstheme="minorHAnsi"/>
            <w:b w:val="0"/>
            <w:noProof/>
            <w:sz w:val="24"/>
            <w:szCs w:val="24"/>
          </w:rPr>
          <w:t>3.2</w:t>
        </w:r>
        <w:r w:rsidR="00DC6530" w:rsidRPr="00496C6A">
          <w:rPr>
            <w:rFonts w:asciiTheme="minorHAnsi" w:eastAsiaTheme="minorEastAsia" w:hAnsiTheme="minorHAnsi" w:cstheme="minorHAnsi"/>
            <w:b w:val="0"/>
            <w:bCs w:val="0"/>
            <w:noProof/>
            <w:sz w:val="24"/>
            <w:szCs w:val="24"/>
            <w:lang w:eastAsia="sl-SI"/>
          </w:rPr>
          <w:tab/>
        </w:r>
        <w:r w:rsidR="00DC6530" w:rsidRPr="00496C6A">
          <w:rPr>
            <w:rStyle w:val="Hiperpovezava"/>
            <w:rFonts w:asciiTheme="minorHAnsi" w:hAnsiTheme="minorHAnsi" w:cstheme="minorHAnsi"/>
            <w:b w:val="0"/>
            <w:noProof/>
            <w:sz w:val="24"/>
            <w:szCs w:val="24"/>
          </w:rPr>
          <w:t>Učinki v predlaganem sistemu izplačila dela pokojnin s parametroma 40/3</w:t>
        </w:r>
        <w:r w:rsidR="00DC6530" w:rsidRPr="00496C6A">
          <w:rPr>
            <w:rFonts w:asciiTheme="minorHAnsi" w:hAnsiTheme="minorHAnsi" w:cstheme="minorHAnsi"/>
            <w:b w:val="0"/>
            <w:noProof/>
            <w:webHidden/>
            <w:sz w:val="24"/>
            <w:szCs w:val="24"/>
          </w:rPr>
          <w:tab/>
        </w:r>
        <w:r w:rsidR="00DC6530" w:rsidRPr="00496C6A">
          <w:rPr>
            <w:rFonts w:asciiTheme="minorHAnsi" w:hAnsiTheme="minorHAnsi" w:cstheme="minorHAnsi"/>
            <w:b w:val="0"/>
            <w:noProof/>
            <w:webHidden/>
            <w:sz w:val="24"/>
            <w:szCs w:val="24"/>
          </w:rPr>
          <w:fldChar w:fldCharType="begin"/>
        </w:r>
        <w:r w:rsidR="00DC6530" w:rsidRPr="00496C6A">
          <w:rPr>
            <w:rFonts w:asciiTheme="minorHAnsi" w:hAnsiTheme="minorHAnsi" w:cstheme="minorHAnsi"/>
            <w:b w:val="0"/>
            <w:noProof/>
            <w:webHidden/>
            <w:sz w:val="24"/>
            <w:szCs w:val="24"/>
          </w:rPr>
          <w:instrText xml:space="preserve"> PAGEREF _Toc18910196 \h </w:instrText>
        </w:r>
        <w:r w:rsidR="00DC6530" w:rsidRPr="00496C6A">
          <w:rPr>
            <w:rFonts w:asciiTheme="minorHAnsi" w:hAnsiTheme="minorHAnsi" w:cstheme="minorHAnsi"/>
            <w:b w:val="0"/>
            <w:noProof/>
            <w:webHidden/>
            <w:sz w:val="24"/>
            <w:szCs w:val="24"/>
          </w:rPr>
        </w:r>
        <w:r w:rsidR="00DC6530" w:rsidRPr="00496C6A">
          <w:rPr>
            <w:rFonts w:asciiTheme="minorHAnsi" w:hAnsiTheme="minorHAnsi" w:cstheme="minorHAnsi"/>
            <w:b w:val="0"/>
            <w:noProof/>
            <w:webHidden/>
            <w:sz w:val="24"/>
            <w:szCs w:val="24"/>
          </w:rPr>
          <w:fldChar w:fldCharType="separate"/>
        </w:r>
        <w:r w:rsidR="00017D37">
          <w:rPr>
            <w:rFonts w:asciiTheme="minorHAnsi" w:hAnsiTheme="minorHAnsi" w:cstheme="minorHAnsi"/>
            <w:b w:val="0"/>
            <w:noProof/>
            <w:webHidden/>
            <w:sz w:val="24"/>
            <w:szCs w:val="24"/>
          </w:rPr>
          <w:t>6</w:t>
        </w:r>
        <w:r w:rsidR="00DC6530" w:rsidRPr="00496C6A">
          <w:rPr>
            <w:rFonts w:asciiTheme="minorHAnsi" w:hAnsiTheme="minorHAnsi" w:cstheme="minorHAnsi"/>
            <w:b w:val="0"/>
            <w:noProof/>
            <w:webHidden/>
            <w:sz w:val="24"/>
            <w:szCs w:val="24"/>
          </w:rPr>
          <w:fldChar w:fldCharType="end"/>
        </w:r>
      </w:hyperlink>
    </w:p>
    <w:p w:rsidR="00DC6530" w:rsidRPr="00496C6A" w:rsidRDefault="006B6DFB" w:rsidP="00DC6530">
      <w:pPr>
        <w:pStyle w:val="Kazalovsebine2"/>
        <w:spacing w:before="100"/>
        <w:rPr>
          <w:rStyle w:val="Hiperpovezava"/>
          <w:rFonts w:asciiTheme="minorHAnsi" w:hAnsiTheme="minorHAnsi" w:cstheme="minorHAnsi"/>
          <w:b w:val="0"/>
          <w:noProof/>
          <w:sz w:val="24"/>
          <w:szCs w:val="24"/>
        </w:rPr>
      </w:pPr>
      <w:hyperlink w:anchor="_Toc18910197" w:history="1">
        <w:r w:rsidR="00DC6530" w:rsidRPr="00496C6A">
          <w:rPr>
            <w:rStyle w:val="Hiperpovezava"/>
            <w:rFonts w:asciiTheme="minorHAnsi" w:hAnsiTheme="minorHAnsi" w:cstheme="minorHAnsi"/>
            <w:b w:val="0"/>
            <w:noProof/>
            <w:sz w:val="24"/>
            <w:szCs w:val="24"/>
          </w:rPr>
          <w:t>3.3</w:t>
        </w:r>
        <w:r w:rsidR="00DC6530" w:rsidRPr="00496C6A">
          <w:rPr>
            <w:rFonts w:asciiTheme="minorHAnsi" w:eastAsiaTheme="minorEastAsia" w:hAnsiTheme="minorHAnsi" w:cstheme="minorHAnsi"/>
            <w:b w:val="0"/>
            <w:bCs w:val="0"/>
            <w:noProof/>
            <w:sz w:val="24"/>
            <w:szCs w:val="24"/>
            <w:lang w:eastAsia="sl-SI"/>
          </w:rPr>
          <w:tab/>
        </w:r>
        <w:r w:rsidR="00DC6530" w:rsidRPr="00496C6A">
          <w:rPr>
            <w:rStyle w:val="Hiperpovezava"/>
            <w:rFonts w:asciiTheme="minorHAnsi" w:hAnsiTheme="minorHAnsi" w:cstheme="minorHAnsi"/>
            <w:b w:val="0"/>
            <w:noProof/>
            <w:sz w:val="24"/>
            <w:szCs w:val="24"/>
          </w:rPr>
          <w:t>Učinki v predlaganem sistemu pravice do izplačila dela pokojnine s parametroma 40/3</w:t>
        </w:r>
        <w:r w:rsidR="00DC6530" w:rsidRPr="00496C6A">
          <w:rPr>
            <w:rFonts w:asciiTheme="minorHAnsi" w:hAnsiTheme="minorHAnsi" w:cstheme="minorHAnsi"/>
            <w:b w:val="0"/>
            <w:noProof/>
            <w:webHidden/>
            <w:sz w:val="24"/>
            <w:szCs w:val="24"/>
          </w:rPr>
          <w:tab/>
        </w:r>
        <w:r w:rsidR="00DC6530" w:rsidRPr="00496C6A">
          <w:rPr>
            <w:rFonts w:asciiTheme="minorHAnsi" w:hAnsiTheme="minorHAnsi" w:cstheme="minorHAnsi"/>
            <w:b w:val="0"/>
            <w:noProof/>
            <w:webHidden/>
            <w:sz w:val="24"/>
            <w:szCs w:val="24"/>
          </w:rPr>
          <w:fldChar w:fldCharType="begin"/>
        </w:r>
        <w:r w:rsidR="00DC6530" w:rsidRPr="00496C6A">
          <w:rPr>
            <w:rFonts w:asciiTheme="minorHAnsi" w:hAnsiTheme="minorHAnsi" w:cstheme="minorHAnsi"/>
            <w:b w:val="0"/>
            <w:noProof/>
            <w:webHidden/>
            <w:sz w:val="24"/>
            <w:szCs w:val="24"/>
          </w:rPr>
          <w:instrText xml:space="preserve"> PAGEREF _Toc18910197 \h </w:instrText>
        </w:r>
        <w:r w:rsidR="00DC6530" w:rsidRPr="00496C6A">
          <w:rPr>
            <w:rFonts w:asciiTheme="minorHAnsi" w:hAnsiTheme="minorHAnsi" w:cstheme="minorHAnsi"/>
            <w:b w:val="0"/>
            <w:noProof/>
            <w:webHidden/>
            <w:sz w:val="24"/>
            <w:szCs w:val="24"/>
          </w:rPr>
        </w:r>
        <w:r w:rsidR="00DC6530" w:rsidRPr="00496C6A">
          <w:rPr>
            <w:rFonts w:asciiTheme="minorHAnsi" w:hAnsiTheme="minorHAnsi" w:cstheme="minorHAnsi"/>
            <w:b w:val="0"/>
            <w:noProof/>
            <w:webHidden/>
            <w:sz w:val="24"/>
            <w:szCs w:val="24"/>
          </w:rPr>
          <w:fldChar w:fldCharType="separate"/>
        </w:r>
        <w:r w:rsidR="00017D37">
          <w:rPr>
            <w:rFonts w:asciiTheme="minorHAnsi" w:hAnsiTheme="minorHAnsi" w:cstheme="minorHAnsi"/>
            <w:b w:val="0"/>
            <w:noProof/>
            <w:webHidden/>
            <w:sz w:val="24"/>
            <w:szCs w:val="24"/>
          </w:rPr>
          <w:t>8</w:t>
        </w:r>
        <w:r w:rsidR="00DC6530" w:rsidRPr="00496C6A">
          <w:rPr>
            <w:rFonts w:asciiTheme="minorHAnsi" w:hAnsiTheme="minorHAnsi" w:cstheme="minorHAnsi"/>
            <w:b w:val="0"/>
            <w:noProof/>
            <w:webHidden/>
            <w:sz w:val="24"/>
            <w:szCs w:val="24"/>
          </w:rPr>
          <w:fldChar w:fldCharType="end"/>
        </w:r>
      </w:hyperlink>
    </w:p>
    <w:p w:rsidR="00DC6530" w:rsidRPr="00496C6A" w:rsidRDefault="00DC6530" w:rsidP="00DC6530">
      <w:pPr>
        <w:rPr>
          <w:rFonts w:asciiTheme="minorHAnsi" w:eastAsiaTheme="minorEastAsia" w:hAnsiTheme="minorHAnsi" w:cstheme="minorHAnsi"/>
          <w:noProof/>
          <w:lang w:val="sl-SI" w:eastAsia="ja-JP"/>
        </w:rPr>
      </w:pPr>
    </w:p>
    <w:p w:rsidR="00DC6530" w:rsidRPr="00496C6A" w:rsidRDefault="006B6DFB" w:rsidP="00DC6530">
      <w:pPr>
        <w:pStyle w:val="Kazalovsebine1"/>
        <w:spacing w:before="100"/>
        <w:rPr>
          <w:rFonts w:asciiTheme="minorHAnsi" w:eastAsiaTheme="minorEastAsia" w:hAnsiTheme="minorHAnsi" w:cstheme="minorHAnsi"/>
          <w:b w:val="0"/>
          <w:bCs w:val="0"/>
          <w:caps w:val="0"/>
          <w:lang w:val="sl-SI" w:eastAsia="sl-SI"/>
        </w:rPr>
      </w:pPr>
      <w:hyperlink w:anchor="_Toc18910198" w:history="1">
        <w:r w:rsidR="00DC6530" w:rsidRPr="00496C6A">
          <w:rPr>
            <w:rStyle w:val="Hiperpovezava"/>
            <w:rFonts w:asciiTheme="minorHAnsi" w:hAnsiTheme="minorHAnsi" w:cstheme="minorHAnsi"/>
            <w:b w:val="0"/>
          </w:rPr>
          <w:t>4</w:t>
        </w:r>
        <w:r w:rsidR="00DC6530" w:rsidRPr="00496C6A">
          <w:rPr>
            <w:rFonts w:asciiTheme="minorHAnsi" w:eastAsiaTheme="minorEastAsia" w:hAnsiTheme="minorHAnsi" w:cstheme="minorHAnsi"/>
            <w:b w:val="0"/>
            <w:bCs w:val="0"/>
            <w:caps w:val="0"/>
            <w:lang w:val="sl-SI" w:eastAsia="sl-SI"/>
          </w:rPr>
          <w:tab/>
        </w:r>
        <w:r w:rsidR="00DC6530" w:rsidRPr="00496C6A">
          <w:rPr>
            <w:rStyle w:val="Hiperpovezava"/>
            <w:rFonts w:asciiTheme="minorHAnsi" w:hAnsiTheme="minorHAnsi" w:cstheme="minorHAnsi"/>
            <w:b w:val="0"/>
            <w:caps w:val="0"/>
          </w:rPr>
          <w:t>Učinek sprememb pri odmernih odstotkih in pri pravici do izplačila dela pokojnine na javnofinančn</w:t>
        </w:r>
        <w:r w:rsidR="00A43E8A" w:rsidRPr="00496C6A">
          <w:rPr>
            <w:rStyle w:val="Hiperpovezava"/>
            <w:rFonts w:asciiTheme="minorHAnsi" w:hAnsiTheme="minorHAnsi" w:cstheme="minorHAnsi"/>
            <w:b w:val="0"/>
            <w:caps w:val="0"/>
          </w:rPr>
          <w:t>e izdatke za pokojnine kot % BDP</w:t>
        </w:r>
        <w:r w:rsidR="00DC6530" w:rsidRPr="00496C6A">
          <w:rPr>
            <w:rFonts w:asciiTheme="minorHAnsi" w:hAnsiTheme="minorHAnsi" w:cstheme="minorHAnsi"/>
            <w:b w:val="0"/>
            <w:webHidden/>
          </w:rPr>
          <w:tab/>
        </w:r>
        <w:r w:rsidR="00DC6530" w:rsidRPr="00496C6A">
          <w:rPr>
            <w:rFonts w:asciiTheme="minorHAnsi" w:hAnsiTheme="minorHAnsi" w:cstheme="minorHAnsi"/>
            <w:b w:val="0"/>
            <w:webHidden/>
          </w:rPr>
          <w:fldChar w:fldCharType="begin"/>
        </w:r>
        <w:r w:rsidR="00DC6530" w:rsidRPr="00496C6A">
          <w:rPr>
            <w:rFonts w:asciiTheme="minorHAnsi" w:hAnsiTheme="minorHAnsi" w:cstheme="minorHAnsi"/>
            <w:b w:val="0"/>
            <w:webHidden/>
          </w:rPr>
          <w:instrText xml:space="preserve"> PAGEREF _Toc18910198 \h </w:instrText>
        </w:r>
        <w:r w:rsidR="00DC6530" w:rsidRPr="00496C6A">
          <w:rPr>
            <w:rFonts w:asciiTheme="minorHAnsi" w:hAnsiTheme="minorHAnsi" w:cstheme="minorHAnsi"/>
            <w:b w:val="0"/>
            <w:webHidden/>
          </w:rPr>
        </w:r>
        <w:r w:rsidR="00DC6530" w:rsidRPr="00496C6A">
          <w:rPr>
            <w:rFonts w:asciiTheme="minorHAnsi" w:hAnsiTheme="minorHAnsi" w:cstheme="minorHAnsi"/>
            <w:b w:val="0"/>
            <w:webHidden/>
          </w:rPr>
          <w:fldChar w:fldCharType="separate"/>
        </w:r>
        <w:r w:rsidR="00017D37">
          <w:rPr>
            <w:rFonts w:asciiTheme="minorHAnsi" w:hAnsiTheme="minorHAnsi" w:cstheme="minorHAnsi"/>
            <w:b w:val="0"/>
            <w:webHidden/>
          </w:rPr>
          <w:t>10</w:t>
        </w:r>
        <w:r w:rsidR="00DC6530" w:rsidRPr="00496C6A">
          <w:rPr>
            <w:rFonts w:asciiTheme="minorHAnsi" w:hAnsiTheme="minorHAnsi" w:cstheme="minorHAnsi"/>
            <w:b w:val="0"/>
            <w:webHidden/>
          </w:rPr>
          <w:fldChar w:fldCharType="end"/>
        </w:r>
      </w:hyperlink>
    </w:p>
    <w:p w:rsidR="001E262C" w:rsidRPr="00496C6A" w:rsidRDefault="001E262C" w:rsidP="0033341F">
      <w:pPr>
        <w:autoSpaceDE w:val="0"/>
        <w:autoSpaceDN w:val="0"/>
        <w:adjustRightInd w:val="0"/>
        <w:spacing w:after="100" w:line="276" w:lineRule="auto"/>
        <w:jc w:val="both"/>
        <w:rPr>
          <w:rFonts w:asciiTheme="minorHAnsi" w:hAnsiTheme="minorHAnsi" w:cstheme="minorHAnsi"/>
          <w:color w:val="000000"/>
          <w:sz w:val="24"/>
          <w:lang w:val="sl-SI" w:eastAsia="sl-SI"/>
        </w:rPr>
      </w:pPr>
      <w:r w:rsidRPr="00496C6A">
        <w:rPr>
          <w:rFonts w:asciiTheme="minorHAnsi" w:hAnsiTheme="minorHAnsi" w:cstheme="minorHAnsi"/>
          <w:color w:val="000000"/>
          <w:sz w:val="24"/>
          <w:lang w:val="sl-SI" w:eastAsia="sl-SI"/>
        </w:rPr>
        <w:fldChar w:fldCharType="end"/>
      </w:r>
    </w:p>
    <w:p w:rsidR="001E262C" w:rsidRPr="00496C6A" w:rsidRDefault="001E262C" w:rsidP="0033341F">
      <w:pPr>
        <w:autoSpaceDE w:val="0"/>
        <w:autoSpaceDN w:val="0"/>
        <w:adjustRightInd w:val="0"/>
        <w:spacing w:after="100" w:line="276" w:lineRule="auto"/>
        <w:jc w:val="both"/>
        <w:rPr>
          <w:rFonts w:asciiTheme="minorHAnsi" w:hAnsiTheme="minorHAnsi" w:cstheme="minorHAnsi"/>
          <w:color w:val="000000"/>
          <w:sz w:val="24"/>
          <w:lang w:val="sl-SI" w:eastAsia="sl-SI"/>
        </w:rPr>
      </w:pPr>
    </w:p>
    <w:p w:rsidR="001E262C" w:rsidRPr="00496C6A" w:rsidRDefault="001E262C" w:rsidP="0033341F">
      <w:pPr>
        <w:autoSpaceDE w:val="0"/>
        <w:autoSpaceDN w:val="0"/>
        <w:adjustRightInd w:val="0"/>
        <w:spacing w:after="100" w:line="276" w:lineRule="auto"/>
        <w:jc w:val="both"/>
        <w:rPr>
          <w:rFonts w:asciiTheme="minorHAnsi" w:hAnsiTheme="minorHAnsi" w:cstheme="minorHAnsi"/>
          <w:color w:val="000000"/>
          <w:sz w:val="24"/>
          <w:lang w:val="sl-SI" w:eastAsia="sl-SI"/>
        </w:rPr>
      </w:pPr>
    </w:p>
    <w:p w:rsidR="001E262C" w:rsidRPr="00496C6A" w:rsidRDefault="001E262C" w:rsidP="0033341F">
      <w:pPr>
        <w:autoSpaceDE w:val="0"/>
        <w:autoSpaceDN w:val="0"/>
        <w:adjustRightInd w:val="0"/>
        <w:spacing w:after="100" w:line="276" w:lineRule="auto"/>
        <w:jc w:val="both"/>
        <w:rPr>
          <w:rFonts w:asciiTheme="minorHAnsi" w:hAnsiTheme="minorHAnsi" w:cstheme="minorHAnsi"/>
          <w:color w:val="000000"/>
          <w:sz w:val="24"/>
          <w:lang w:val="sl-SI" w:eastAsia="sl-SI"/>
        </w:rPr>
      </w:pPr>
    </w:p>
    <w:p w:rsidR="001E262C" w:rsidRPr="00496C6A" w:rsidRDefault="001E262C" w:rsidP="0033341F">
      <w:pPr>
        <w:autoSpaceDE w:val="0"/>
        <w:autoSpaceDN w:val="0"/>
        <w:adjustRightInd w:val="0"/>
        <w:spacing w:after="100" w:line="276" w:lineRule="auto"/>
        <w:jc w:val="both"/>
        <w:rPr>
          <w:rFonts w:asciiTheme="minorHAnsi" w:hAnsiTheme="minorHAnsi" w:cstheme="minorHAnsi"/>
          <w:color w:val="000000"/>
          <w:sz w:val="24"/>
          <w:lang w:val="sl-SI" w:eastAsia="sl-SI"/>
        </w:rPr>
      </w:pPr>
    </w:p>
    <w:p w:rsidR="001E262C" w:rsidRPr="00496C6A" w:rsidRDefault="001E262C" w:rsidP="0033341F">
      <w:pPr>
        <w:autoSpaceDE w:val="0"/>
        <w:autoSpaceDN w:val="0"/>
        <w:adjustRightInd w:val="0"/>
        <w:spacing w:after="100" w:line="276" w:lineRule="auto"/>
        <w:jc w:val="both"/>
        <w:rPr>
          <w:rFonts w:asciiTheme="minorHAnsi" w:hAnsiTheme="minorHAnsi" w:cstheme="minorHAnsi"/>
          <w:color w:val="000000"/>
          <w:sz w:val="24"/>
          <w:lang w:val="sl-SI" w:eastAsia="sl-SI"/>
        </w:rPr>
      </w:pPr>
    </w:p>
    <w:p w:rsidR="00DC6530" w:rsidRPr="00496C6A" w:rsidRDefault="00DC6530" w:rsidP="001E262C">
      <w:pPr>
        <w:pStyle w:val="Slog1"/>
        <w:rPr>
          <w:rFonts w:asciiTheme="minorHAnsi" w:hAnsiTheme="minorHAnsi" w:cstheme="minorHAnsi"/>
        </w:rPr>
        <w:sectPr w:rsidR="00DC6530" w:rsidRPr="00496C6A" w:rsidSect="00254B3D">
          <w:headerReference w:type="default" r:id="rId8"/>
          <w:footerReference w:type="default" r:id="rId9"/>
          <w:headerReference w:type="first" r:id="rId10"/>
          <w:footerReference w:type="first" r:id="rId11"/>
          <w:pgSz w:w="11900" w:h="16840" w:code="9"/>
          <w:pgMar w:top="1701" w:right="1701" w:bottom="1134" w:left="1701" w:header="1773" w:footer="794" w:gutter="0"/>
          <w:cols w:space="708"/>
          <w:titlePg/>
          <w:docGrid w:linePitch="272"/>
        </w:sectPr>
      </w:pPr>
      <w:bookmarkStart w:id="1" w:name="_Toc18910192"/>
    </w:p>
    <w:p w:rsidR="001E262C" w:rsidRPr="00496C6A" w:rsidRDefault="001E262C" w:rsidP="001E262C">
      <w:pPr>
        <w:pStyle w:val="Slog1"/>
        <w:rPr>
          <w:rFonts w:asciiTheme="minorHAnsi" w:hAnsiTheme="minorHAnsi" w:cstheme="minorHAnsi"/>
        </w:rPr>
      </w:pPr>
      <w:r w:rsidRPr="00496C6A">
        <w:rPr>
          <w:rFonts w:asciiTheme="minorHAnsi" w:hAnsiTheme="minorHAnsi" w:cstheme="minorHAnsi"/>
        </w:rPr>
        <w:lastRenderedPageBreak/>
        <w:t>UVOD</w:t>
      </w:r>
      <w:bookmarkEnd w:id="1"/>
    </w:p>
    <w:p w:rsidR="001E262C" w:rsidRPr="00496C6A" w:rsidRDefault="001E262C" w:rsidP="001E262C">
      <w:pPr>
        <w:spacing w:line="288" w:lineRule="auto"/>
        <w:ind w:left="426"/>
        <w:contextualSpacing/>
        <w:jc w:val="both"/>
        <w:rPr>
          <w:rFonts w:asciiTheme="minorHAnsi" w:eastAsia="MS Mincho" w:hAnsiTheme="minorHAnsi" w:cstheme="minorHAnsi"/>
          <w:b/>
          <w:color w:val="000000"/>
          <w:sz w:val="24"/>
          <w:lang w:val="sl-SI" w:eastAsia="ja-JP"/>
        </w:rPr>
      </w:pPr>
    </w:p>
    <w:p w:rsidR="0033341F" w:rsidRPr="00496C6A" w:rsidRDefault="0033341F" w:rsidP="0033341F">
      <w:pPr>
        <w:autoSpaceDE w:val="0"/>
        <w:autoSpaceDN w:val="0"/>
        <w:adjustRightInd w:val="0"/>
        <w:spacing w:after="100" w:line="276" w:lineRule="auto"/>
        <w:jc w:val="both"/>
        <w:rPr>
          <w:rFonts w:asciiTheme="minorHAnsi" w:hAnsiTheme="minorHAnsi" w:cstheme="minorHAnsi"/>
          <w:color w:val="000000"/>
          <w:sz w:val="24"/>
          <w:lang w:val="sl-SI" w:eastAsia="sl-SI"/>
        </w:rPr>
      </w:pPr>
      <w:r w:rsidRPr="00496C6A">
        <w:rPr>
          <w:rFonts w:asciiTheme="minorHAnsi" w:hAnsiTheme="minorHAnsi" w:cstheme="minorHAnsi"/>
          <w:color w:val="000000"/>
          <w:sz w:val="24"/>
          <w:lang w:val="sl-SI" w:eastAsia="sl-SI"/>
        </w:rPr>
        <w:t>Ta dokument prikazuje simulacije javnofinančnih posledic predlaganih ukrepov sprememb pokojninske zakonodaje. V nadaljevanju so predstavljene javnofinančne posledice posameznih predlaganih ukrepov oz. njihovih variant in njihov skupen učinek. Predstavljene so po vsebinskih sklopih kot sledi:</w:t>
      </w:r>
    </w:p>
    <w:p w:rsidR="0033341F" w:rsidRPr="00496C6A" w:rsidRDefault="00496C6A" w:rsidP="0033341F">
      <w:pPr>
        <w:numPr>
          <w:ilvl w:val="0"/>
          <w:numId w:val="25"/>
        </w:numPr>
        <w:autoSpaceDE w:val="0"/>
        <w:autoSpaceDN w:val="0"/>
        <w:adjustRightInd w:val="0"/>
        <w:spacing w:after="100" w:line="276" w:lineRule="auto"/>
        <w:ind w:left="714" w:hanging="357"/>
        <w:jc w:val="both"/>
        <w:rPr>
          <w:rFonts w:asciiTheme="minorHAnsi" w:hAnsiTheme="minorHAnsi" w:cstheme="minorHAnsi"/>
          <w:color w:val="000000"/>
          <w:sz w:val="24"/>
          <w:lang w:val="sl-SI" w:eastAsia="sl-SI"/>
        </w:rPr>
      </w:pPr>
      <w:r>
        <w:rPr>
          <w:rFonts w:asciiTheme="minorHAnsi" w:hAnsiTheme="minorHAnsi" w:cstheme="minorHAnsi"/>
          <w:color w:val="000000"/>
          <w:sz w:val="24"/>
          <w:lang w:val="sl-SI" w:eastAsia="sl-SI"/>
        </w:rPr>
        <w:t>d</w:t>
      </w:r>
      <w:r w:rsidR="0033341F" w:rsidRPr="00496C6A">
        <w:rPr>
          <w:rFonts w:asciiTheme="minorHAnsi" w:hAnsiTheme="minorHAnsi" w:cstheme="minorHAnsi"/>
          <w:color w:val="000000"/>
          <w:sz w:val="24"/>
          <w:lang w:val="sl-SI" w:eastAsia="sl-SI"/>
        </w:rPr>
        <w:t>vig odmernih odstotkov na 63,5 % in dodatni odmerni odstotek za otroke</w:t>
      </w:r>
      <w:r>
        <w:rPr>
          <w:rFonts w:asciiTheme="minorHAnsi" w:hAnsiTheme="minorHAnsi" w:cstheme="minorHAnsi"/>
          <w:color w:val="000000"/>
          <w:sz w:val="24"/>
          <w:lang w:val="sl-SI" w:eastAsia="sl-SI"/>
        </w:rPr>
        <w:t>,</w:t>
      </w:r>
    </w:p>
    <w:p w:rsidR="0033341F" w:rsidRPr="00496C6A" w:rsidRDefault="00496C6A" w:rsidP="0033341F">
      <w:pPr>
        <w:numPr>
          <w:ilvl w:val="0"/>
          <w:numId w:val="25"/>
        </w:numPr>
        <w:autoSpaceDE w:val="0"/>
        <w:autoSpaceDN w:val="0"/>
        <w:adjustRightInd w:val="0"/>
        <w:spacing w:after="100" w:line="276" w:lineRule="auto"/>
        <w:ind w:left="714" w:hanging="357"/>
        <w:jc w:val="both"/>
        <w:rPr>
          <w:rFonts w:asciiTheme="minorHAnsi" w:hAnsiTheme="minorHAnsi" w:cstheme="minorHAnsi"/>
          <w:color w:val="000000"/>
          <w:sz w:val="24"/>
          <w:lang w:val="sl-SI" w:eastAsia="sl-SI"/>
        </w:rPr>
      </w:pPr>
      <w:r>
        <w:rPr>
          <w:rFonts w:asciiTheme="minorHAnsi" w:hAnsiTheme="minorHAnsi" w:cstheme="minorHAnsi"/>
          <w:color w:val="000000"/>
          <w:sz w:val="24"/>
          <w:lang w:val="sl-SI" w:eastAsia="sl-SI"/>
        </w:rPr>
        <w:t>k</w:t>
      </w:r>
      <w:r w:rsidR="0033341F" w:rsidRPr="00496C6A">
        <w:rPr>
          <w:rFonts w:asciiTheme="minorHAnsi" w:hAnsiTheme="minorHAnsi" w:cstheme="minorHAnsi"/>
          <w:color w:val="000000"/>
          <w:sz w:val="24"/>
          <w:lang w:val="sl-SI" w:eastAsia="sl-SI"/>
        </w:rPr>
        <w:t>oriščenje pravice do izplačila dela pokojnine</w:t>
      </w:r>
      <w:r>
        <w:rPr>
          <w:rFonts w:asciiTheme="minorHAnsi" w:hAnsiTheme="minorHAnsi" w:cstheme="minorHAnsi"/>
          <w:color w:val="000000"/>
          <w:sz w:val="24"/>
          <w:lang w:val="sl-SI" w:eastAsia="sl-SI"/>
        </w:rPr>
        <w:t>,</w:t>
      </w:r>
    </w:p>
    <w:p w:rsidR="0033341F" w:rsidRPr="00496C6A" w:rsidRDefault="00496C6A" w:rsidP="0033341F">
      <w:pPr>
        <w:numPr>
          <w:ilvl w:val="0"/>
          <w:numId w:val="25"/>
        </w:numPr>
        <w:autoSpaceDE w:val="0"/>
        <w:autoSpaceDN w:val="0"/>
        <w:adjustRightInd w:val="0"/>
        <w:spacing w:after="100" w:line="276" w:lineRule="auto"/>
        <w:ind w:left="714" w:hanging="357"/>
        <w:jc w:val="both"/>
        <w:rPr>
          <w:rFonts w:asciiTheme="minorHAnsi" w:eastAsia="MS Mincho" w:hAnsiTheme="minorHAnsi" w:cstheme="minorHAnsi"/>
          <w:sz w:val="24"/>
          <w:lang w:val="sl-SI" w:eastAsia="ja-JP"/>
        </w:rPr>
      </w:pPr>
      <w:r>
        <w:rPr>
          <w:rFonts w:asciiTheme="minorHAnsi" w:hAnsiTheme="minorHAnsi" w:cstheme="minorHAnsi"/>
          <w:color w:val="000000"/>
          <w:sz w:val="24"/>
          <w:lang w:val="sl-SI" w:eastAsia="sl-SI"/>
        </w:rPr>
        <w:t>skup</w:t>
      </w:r>
      <w:r w:rsidR="0033341F" w:rsidRPr="00496C6A">
        <w:rPr>
          <w:rFonts w:asciiTheme="minorHAnsi" w:hAnsiTheme="minorHAnsi" w:cstheme="minorHAnsi"/>
          <w:color w:val="000000"/>
          <w:sz w:val="24"/>
          <w:lang w:val="sl-SI" w:eastAsia="sl-SI"/>
        </w:rPr>
        <w:t>n</w:t>
      </w:r>
      <w:r>
        <w:rPr>
          <w:rFonts w:asciiTheme="minorHAnsi" w:hAnsiTheme="minorHAnsi" w:cstheme="minorHAnsi"/>
          <w:color w:val="000000"/>
          <w:sz w:val="24"/>
          <w:lang w:val="sl-SI" w:eastAsia="sl-SI"/>
        </w:rPr>
        <w:t>i</w:t>
      </w:r>
      <w:r w:rsidR="0033341F" w:rsidRPr="00496C6A">
        <w:rPr>
          <w:rFonts w:asciiTheme="minorHAnsi" w:hAnsiTheme="minorHAnsi" w:cstheme="minorHAnsi"/>
          <w:color w:val="000000"/>
          <w:sz w:val="24"/>
          <w:lang w:val="sl-SI" w:eastAsia="sl-SI"/>
        </w:rPr>
        <w:t xml:space="preserve"> učinek</w:t>
      </w:r>
      <w:r>
        <w:rPr>
          <w:rFonts w:asciiTheme="minorHAnsi" w:hAnsiTheme="minorHAnsi" w:cstheme="minorHAnsi"/>
          <w:color w:val="000000"/>
          <w:sz w:val="24"/>
          <w:lang w:val="sl-SI" w:eastAsia="sl-SI"/>
        </w:rPr>
        <w:t>.</w:t>
      </w:r>
    </w:p>
    <w:p w:rsidR="0033341F" w:rsidRPr="00496C6A" w:rsidRDefault="0033341F" w:rsidP="0033341F">
      <w:pPr>
        <w:spacing w:line="288" w:lineRule="auto"/>
        <w:ind w:left="705" w:hanging="705"/>
        <w:jc w:val="both"/>
        <w:rPr>
          <w:rFonts w:asciiTheme="minorHAnsi" w:eastAsia="MS Mincho" w:hAnsiTheme="minorHAnsi" w:cstheme="minorHAnsi"/>
          <w:b/>
          <w:sz w:val="24"/>
          <w:lang w:val="sl-SI" w:eastAsia="ja-JP"/>
        </w:rPr>
      </w:pPr>
    </w:p>
    <w:p w:rsidR="0033341F" w:rsidRPr="00496C6A" w:rsidRDefault="0033341F" w:rsidP="001E262C">
      <w:pPr>
        <w:pStyle w:val="Slog1"/>
        <w:rPr>
          <w:rFonts w:asciiTheme="minorHAnsi" w:hAnsiTheme="minorHAnsi" w:cstheme="minorHAnsi"/>
        </w:rPr>
      </w:pPr>
      <w:bookmarkStart w:id="2" w:name="_Toc18910193"/>
      <w:r w:rsidRPr="00496C6A">
        <w:rPr>
          <w:rFonts w:asciiTheme="minorHAnsi" w:hAnsiTheme="minorHAnsi" w:cstheme="minorHAnsi"/>
        </w:rPr>
        <w:t>SIMULIRANJE UČINKOV SPREMEMB POKOJNINSKE ZAKONODAJE V ZVEZI Z SPREMEMBAMI ODMERNIH ODSTOTKOV NA JAVNOFINANČNE IZDATKE ZA POKOJNINE KOT % BDP</w:t>
      </w:r>
      <w:bookmarkEnd w:id="2"/>
      <w:r w:rsidRPr="00496C6A">
        <w:rPr>
          <w:rFonts w:asciiTheme="minorHAnsi" w:hAnsiTheme="minorHAnsi" w:cstheme="minorHAnsi"/>
        </w:rPr>
        <w:t xml:space="preserve"> </w:t>
      </w: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33341F">
      <w:pPr>
        <w:keepNext/>
        <w:keepLines/>
        <w:spacing w:line="288" w:lineRule="auto"/>
        <w:jc w:val="center"/>
        <w:rPr>
          <w:rFonts w:asciiTheme="minorHAnsi" w:hAnsiTheme="minorHAnsi" w:cstheme="minorHAnsi"/>
          <w:i/>
          <w:noProof/>
          <w:position w:val="-10"/>
          <w:sz w:val="24"/>
          <w:lang w:val="sl-SI" w:eastAsia="sl-SI"/>
        </w:rPr>
      </w:pPr>
      <w:r w:rsidRPr="00496C6A">
        <w:rPr>
          <w:rFonts w:asciiTheme="minorHAnsi" w:hAnsiTheme="minorHAnsi" w:cstheme="minorHAnsi"/>
          <w:i/>
          <w:noProof/>
          <w:position w:val="-10"/>
          <w:sz w:val="24"/>
          <w:lang w:val="sl-SI" w:eastAsia="sl-SI"/>
        </w:rPr>
        <w:t xml:space="preserve">Slika </w:t>
      </w:r>
      <w:r w:rsidRPr="00496C6A">
        <w:rPr>
          <w:rFonts w:asciiTheme="minorHAnsi" w:hAnsiTheme="minorHAnsi" w:cstheme="minorHAnsi"/>
          <w:i/>
          <w:noProof/>
          <w:position w:val="-10"/>
          <w:sz w:val="24"/>
          <w:lang w:val="sl-SI" w:eastAsia="sl-SI"/>
        </w:rPr>
        <w:fldChar w:fldCharType="begin"/>
      </w:r>
      <w:r w:rsidRPr="00496C6A">
        <w:rPr>
          <w:rFonts w:asciiTheme="minorHAnsi" w:hAnsiTheme="minorHAnsi" w:cstheme="minorHAnsi"/>
          <w:i/>
          <w:noProof/>
          <w:position w:val="-10"/>
          <w:sz w:val="24"/>
          <w:lang w:val="sl-SI" w:eastAsia="sl-SI"/>
        </w:rPr>
        <w:instrText xml:space="preserve"> SEQ Slika \* ARABIC </w:instrText>
      </w:r>
      <w:r w:rsidRPr="00496C6A">
        <w:rPr>
          <w:rFonts w:asciiTheme="minorHAnsi" w:hAnsiTheme="minorHAnsi" w:cstheme="minorHAnsi"/>
          <w:i/>
          <w:noProof/>
          <w:position w:val="-10"/>
          <w:sz w:val="24"/>
          <w:lang w:val="sl-SI" w:eastAsia="sl-SI"/>
        </w:rPr>
        <w:fldChar w:fldCharType="separate"/>
      </w:r>
      <w:r w:rsidRPr="00496C6A">
        <w:rPr>
          <w:rFonts w:asciiTheme="minorHAnsi" w:hAnsiTheme="minorHAnsi" w:cstheme="minorHAnsi"/>
          <w:i/>
          <w:noProof/>
          <w:position w:val="-10"/>
          <w:sz w:val="24"/>
          <w:lang w:val="sl-SI" w:eastAsia="sl-SI"/>
        </w:rPr>
        <w:t>1</w:t>
      </w:r>
      <w:r w:rsidRPr="00496C6A">
        <w:rPr>
          <w:rFonts w:asciiTheme="minorHAnsi" w:hAnsiTheme="minorHAnsi" w:cstheme="minorHAnsi"/>
          <w:i/>
          <w:noProof/>
          <w:position w:val="-10"/>
          <w:sz w:val="24"/>
          <w:lang w:val="sl-SI" w:eastAsia="sl-SI"/>
        </w:rPr>
        <w:fldChar w:fldCharType="end"/>
      </w:r>
      <w:r w:rsidRPr="00496C6A">
        <w:rPr>
          <w:rFonts w:asciiTheme="minorHAnsi" w:hAnsiTheme="minorHAnsi" w:cstheme="minorHAnsi"/>
          <w:i/>
          <w:noProof/>
          <w:position w:val="-10"/>
          <w:sz w:val="24"/>
          <w:lang w:val="sl-SI" w:eastAsia="sl-SI"/>
        </w:rPr>
        <w:t>: Učinki dviga odmernih odstotkov na 63,5 % ter uvedba dodatnega odmernega odstotka za otroke; izraženo kot % BDP</w:t>
      </w:r>
    </w:p>
    <w:p w:rsidR="0033341F" w:rsidRPr="00496C6A" w:rsidRDefault="0033341F" w:rsidP="0033341F">
      <w:pPr>
        <w:spacing w:line="288" w:lineRule="auto"/>
        <w:jc w:val="both"/>
        <w:rPr>
          <w:rFonts w:asciiTheme="minorHAnsi" w:eastAsia="MS Mincho" w:hAnsiTheme="minorHAnsi" w:cstheme="minorHAnsi"/>
          <w:sz w:val="24"/>
          <w:lang w:val="sl-SI" w:eastAsia="sl-SI"/>
        </w:rPr>
      </w:pPr>
    </w:p>
    <w:p w:rsidR="00DC6530" w:rsidRPr="00496C6A" w:rsidRDefault="002635A5" w:rsidP="001E262C">
      <w:pPr>
        <w:spacing w:line="288" w:lineRule="auto"/>
        <w:jc w:val="center"/>
        <w:rPr>
          <w:rFonts w:asciiTheme="minorHAnsi" w:eastAsia="MS Mincho" w:hAnsiTheme="minorHAnsi" w:cstheme="minorHAnsi"/>
          <w:sz w:val="24"/>
          <w:lang w:val="sl-SI" w:eastAsia="ja-JP"/>
        </w:rPr>
      </w:pPr>
      <w:r w:rsidRPr="00496C6A">
        <w:rPr>
          <w:rFonts w:asciiTheme="minorHAnsi" w:eastAsia="MS Mincho" w:hAnsiTheme="minorHAnsi" w:cstheme="minorHAnsi"/>
          <w:noProof/>
          <w:sz w:val="18"/>
          <w:lang w:val="sl-SI" w:eastAsia="sl-SI"/>
        </w:rPr>
        <w:drawing>
          <wp:inline distT="0" distB="0" distL="0" distR="0" wp14:anchorId="77B281C5" wp14:editId="16294D6B">
            <wp:extent cx="4867275" cy="2690495"/>
            <wp:effectExtent l="0" t="0" r="0" b="0"/>
            <wp:docPr id="6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33341F" w:rsidRPr="00496C6A">
        <w:rPr>
          <w:rFonts w:asciiTheme="minorHAnsi" w:eastAsia="MS Mincho" w:hAnsiTheme="minorHAnsi" w:cstheme="minorHAnsi"/>
          <w:szCs w:val="20"/>
          <w:lang w:val="sl-SI" w:eastAsia="ja-JP"/>
        </w:rPr>
        <w:br/>
      </w:r>
    </w:p>
    <w:p w:rsidR="0033341F" w:rsidRDefault="00DC6530" w:rsidP="00DC6530">
      <w:pPr>
        <w:spacing w:line="288" w:lineRule="auto"/>
        <w:jc w:val="both"/>
        <w:rPr>
          <w:rFonts w:asciiTheme="minorHAnsi" w:eastAsia="MS Mincho" w:hAnsiTheme="minorHAnsi" w:cstheme="minorHAnsi"/>
          <w:sz w:val="24"/>
          <w:lang w:val="sl-SI" w:eastAsia="ja-JP"/>
        </w:rPr>
      </w:pPr>
      <w:r w:rsidRPr="00496C6A">
        <w:rPr>
          <w:rFonts w:asciiTheme="minorHAnsi" w:eastAsia="MS Mincho" w:hAnsiTheme="minorHAnsi" w:cstheme="minorHAnsi"/>
          <w:sz w:val="24"/>
          <w:lang w:val="sl-SI" w:eastAsia="ja-JP"/>
        </w:rPr>
        <w:t xml:space="preserve">Izdatki za pokojnine kot % BDP bi bili zaradi ukrepa postavitve odmernih odstotkov za oba spola na 63,5 % (za polno pokojninsko dobo) v prihodnje postopoma višji, saj bi vedno več upokojencev prejemalo pokojnine na osnovi teh višjih odmernih odstotkov v primerjavi z osnovnim scenarijem. </w:t>
      </w:r>
      <w:r w:rsidR="00A43E8A" w:rsidRPr="00496C6A">
        <w:rPr>
          <w:rFonts w:asciiTheme="minorHAnsi" w:eastAsia="MS Mincho" w:hAnsiTheme="minorHAnsi" w:cstheme="minorHAnsi"/>
          <w:sz w:val="24"/>
          <w:lang w:val="sl-SI" w:eastAsia="ja-JP"/>
        </w:rPr>
        <w:t>Iz slike izhaja</w:t>
      </w:r>
      <w:r w:rsidRPr="00496C6A">
        <w:rPr>
          <w:rFonts w:asciiTheme="minorHAnsi" w:eastAsia="MS Mincho" w:hAnsiTheme="minorHAnsi" w:cstheme="minorHAnsi"/>
          <w:sz w:val="24"/>
          <w:lang w:val="sl-SI" w:eastAsia="ja-JP"/>
        </w:rPr>
        <w:t>, da bi se to povečevanje proti koncu obdobja projekcij ustalilo, saj bi vsi upokojenci prejemali pokojnino na osnovi teh višjih odmernih odstotkov. Gre torej za ukrep, ki bi pomembno povečal pritisk na pokojninsko blagajno. Dodatni odmerni odstotek zaradi skrbi za otroke bi nadalje zaostril pritisk na vzdržnost pokojninske blagajne.</w:t>
      </w:r>
    </w:p>
    <w:p w:rsidR="002C264C" w:rsidRPr="004C76A7" w:rsidRDefault="002C264C" w:rsidP="005A40EE">
      <w:pPr>
        <w:pStyle w:val="Napis"/>
      </w:pPr>
      <w:bookmarkStart w:id="3" w:name="_Ref536218450"/>
      <w:r w:rsidRPr="004C76A7">
        <w:lastRenderedPageBreak/>
        <w:t xml:space="preserve">Tabela </w:t>
      </w:r>
      <w:bookmarkEnd w:id="3"/>
      <w:r w:rsidRPr="004C76A7">
        <w:t>1: Gibanje javnofinančnih izdatkov za pokojnine kot % BDP, po posameznih scenarijih (predlaganih ukrepih zvišanja odmernih odstotkov), kjer učinke  zaporedno dodajamo oz. nalagamo.</w:t>
      </w:r>
    </w:p>
    <w:p w:rsidR="002C264C" w:rsidRPr="002C264C" w:rsidRDefault="002C264C" w:rsidP="002C264C">
      <w:pPr>
        <w:rPr>
          <w:lang w:val="sl-SI" w:eastAsia="sl-SI"/>
        </w:rPr>
      </w:pPr>
    </w:p>
    <w:tbl>
      <w:tblPr>
        <w:tblW w:w="10490" w:type="dxa"/>
        <w:tblInd w:w="-714" w:type="dxa"/>
        <w:tblLayout w:type="fixed"/>
        <w:tblCellMar>
          <w:left w:w="70" w:type="dxa"/>
          <w:right w:w="70" w:type="dxa"/>
        </w:tblCellMar>
        <w:tblLook w:val="04A0" w:firstRow="1" w:lastRow="0" w:firstColumn="1" w:lastColumn="0" w:noHBand="0" w:noVBand="1"/>
      </w:tblPr>
      <w:tblGrid>
        <w:gridCol w:w="3544"/>
        <w:gridCol w:w="631"/>
        <w:gridCol w:w="631"/>
        <w:gridCol w:w="632"/>
        <w:gridCol w:w="631"/>
        <w:gridCol w:w="631"/>
        <w:gridCol w:w="632"/>
        <w:gridCol w:w="631"/>
        <w:gridCol w:w="631"/>
        <w:gridCol w:w="632"/>
        <w:gridCol w:w="631"/>
        <w:gridCol w:w="633"/>
      </w:tblGrid>
      <w:tr w:rsidR="002C264C" w:rsidRPr="00AF7DF2" w:rsidTr="00655B78">
        <w:trPr>
          <w:trHeight w:val="300"/>
        </w:trPr>
        <w:tc>
          <w:tcPr>
            <w:tcW w:w="3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C264C" w:rsidRPr="000736CB" w:rsidRDefault="002C264C" w:rsidP="000736CB">
            <w:pPr>
              <w:keepNext/>
              <w:keepLines/>
              <w:spacing w:line="240" w:lineRule="auto"/>
              <w:rPr>
                <w:rFonts w:ascii="Calibri" w:hAnsi="Calibri" w:cs="Calibri"/>
                <w:b/>
                <w:bCs/>
                <w:color w:val="000000"/>
                <w:szCs w:val="20"/>
                <w:lang w:val="sl-SI" w:eastAsia="sl-SI"/>
              </w:rPr>
            </w:pPr>
            <w:r w:rsidRPr="000736CB">
              <w:rPr>
                <w:rFonts w:ascii="Calibri" w:hAnsi="Calibri" w:cs="Calibri"/>
                <w:b/>
                <w:bCs/>
                <w:color w:val="000000"/>
                <w:szCs w:val="20"/>
                <w:lang w:val="sl-SI" w:eastAsia="sl-SI"/>
              </w:rPr>
              <w:t>Javnofinančni izdatki za pokojnine kot % BDP</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2C264C" w:rsidRPr="004C76A7" w:rsidRDefault="002C264C"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2020</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2C264C" w:rsidRPr="004C76A7" w:rsidRDefault="002C264C"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2025</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rsidR="002C264C" w:rsidRPr="004C76A7" w:rsidRDefault="002C264C"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2030</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2C264C" w:rsidRPr="004C76A7" w:rsidRDefault="002C264C"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2035</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2C264C" w:rsidRPr="004C76A7" w:rsidRDefault="002C264C"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2040</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rsidR="002C264C" w:rsidRPr="004C76A7" w:rsidRDefault="002C264C"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2045</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2C264C" w:rsidRPr="004C76A7" w:rsidRDefault="002C264C"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2050</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2C264C" w:rsidRPr="004C76A7" w:rsidRDefault="002C264C"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2055</w:t>
            </w:r>
          </w:p>
        </w:tc>
        <w:tc>
          <w:tcPr>
            <w:tcW w:w="632" w:type="dxa"/>
            <w:tcBorders>
              <w:top w:val="single" w:sz="4" w:space="0" w:color="auto"/>
              <w:left w:val="nil"/>
              <w:bottom w:val="single" w:sz="4" w:space="0" w:color="auto"/>
              <w:right w:val="single" w:sz="4" w:space="0" w:color="auto"/>
            </w:tcBorders>
            <w:shd w:val="clear" w:color="auto" w:fill="auto"/>
            <w:noWrap/>
            <w:vAlign w:val="bottom"/>
            <w:hideMark/>
          </w:tcPr>
          <w:p w:rsidR="002C264C" w:rsidRPr="004C76A7" w:rsidRDefault="002C264C"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2060</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rsidR="002C264C" w:rsidRPr="004C76A7" w:rsidRDefault="002C264C"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2065</w:t>
            </w:r>
          </w:p>
        </w:tc>
        <w:tc>
          <w:tcPr>
            <w:tcW w:w="633" w:type="dxa"/>
            <w:tcBorders>
              <w:top w:val="single" w:sz="4" w:space="0" w:color="auto"/>
              <w:left w:val="nil"/>
              <w:bottom w:val="single" w:sz="4" w:space="0" w:color="auto"/>
              <w:right w:val="single" w:sz="4" w:space="0" w:color="auto"/>
            </w:tcBorders>
            <w:shd w:val="clear" w:color="auto" w:fill="auto"/>
            <w:noWrap/>
            <w:vAlign w:val="bottom"/>
            <w:hideMark/>
          </w:tcPr>
          <w:p w:rsidR="002C264C" w:rsidRPr="004C76A7" w:rsidRDefault="002C264C"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2070</w:t>
            </w:r>
          </w:p>
        </w:tc>
      </w:tr>
      <w:tr w:rsidR="002C264C" w:rsidRPr="00AF7DF2" w:rsidTr="00655B78">
        <w:trPr>
          <w:trHeight w:val="300"/>
        </w:trPr>
        <w:tc>
          <w:tcPr>
            <w:tcW w:w="3544"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rsidR="002C264C" w:rsidRPr="004C76A7" w:rsidRDefault="002C264C" w:rsidP="000736CB">
            <w:pPr>
              <w:keepNext/>
              <w:keepLines/>
              <w:spacing w:line="240" w:lineRule="auto"/>
              <w:rPr>
                <w:rFonts w:ascii="Calibri" w:hAnsi="Calibri" w:cs="Calibri"/>
                <w:color w:val="000000"/>
                <w:szCs w:val="20"/>
                <w:lang w:eastAsia="sl-SI"/>
              </w:rPr>
            </w:pPr>
            <w:r w:rsidRPr="004C76A7">
              <w:rPr>
                <w:rFonts w:ascii="Calibri" w:hAnsi="Calibri" w:cs="Calibri"/>
                <w:color w:val="000000"/>
                <w:szCs w:val="20"/>
                <w:lang w:eastAsia="sl-SI"/>
              </w:rPr>
              <w:t>Referenčni scenarij</w:t>
            </w:r>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025BDA" w:rsidRDefault="002C264C" w:rsidP="000736CB">
            <w:pPr>
              <w:keepNext/>
              <w:keepLines/>
              <w:spacing w:line="240" w:lineRule="auto"/>
              <w:jc w:val="center"/>
              <w:rPr>
                <w:rFonts w:ascii="Calibri" w:hAnsi="Calibri" w:cs="Calibri"/>
                <w:color w:val="000000"/>
                <w:szCs w:val="20"/>
                <w:lang w:eastAsia="sl-SI"/>
              </w:rPr>
            </w:pPr>
            <w:r w:rsidRPr="00025BDA">
              <w:rPr>
                <w:rFonts w:ascii="Calibri" w:hAnsi="Calibri" w:cs="Calibri"/>
                <w:color w:val="000000"/>
                <w:szCs w:val="20"/>
              </w:rPr>
              <w:t>10,1</w:t>
            </w:r>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025BDA" w:rsidRDefault="002C264C" w:rsidP="000736CB">
            <w:pPr>
              <w:keepNext/>
              <w:keepLines/>
              <w:spacing w:line="240" w:lineRule="auto"/>
              <w:jc w:val="center"/>
              <w:rPr>
                <w:rFonts w:ascii="Calibri" w:hAnsi="Calibri" w:cs="Calibri"/>
                <w:color w:val="000000"/>
                <w:szCs w:val="20"/>
                <w:lang w:eastAsia="sl-SI"/>
              </w:rPr>
            </w:pPr>
            <w:r w:rsidRPr="00025BDA">
              <w:rPr>
                <w:rFonts w:ascii="Calibri" w:hAnsi="Calibri" w:cs="Calibri"/>
                <w:color w:val="000000"/>
                <w:szCs w:val="20"/>
              </w:rPr>
              <w:t>10,4</w:t>
            </w:r>
          </w:p>
        </w:tc>
        <w:tc>
          <w:tcPr>
            <w:tcW w:w="632" w:type="dxa"/>
            <w:tcBorders>
              <w:top w:val="single" w:sz="4" w:space="0" w:color="auto"/>
              <w:left w:val="nil"/>
              <w:bottom w:val="double" w:sz="4" w:space="0" w:color="auto"/>
              <w:right w:val="single" w:sz="4" w:space="0" w:color="auto"/>
            </w:tcBorders>
            <w:shd w:val="clear" w:color="auto" w:fill="auto"/>
            <w:noWrap/>
            <w:vAlign w:val="bottom"/>
          </w:tcPr>
          <w:p w:rsidR="002C264C" w:rsidRPr="00025BDA" w:rsidRDefault="002C264C" w:rsidP="000736CB">
            <w:pPr>
              <w:keepNext/>
              <w:keepLines/>
              <w:spacing w:line="240" w:lineRule="auto"/>
              <w:jc w:val="center"/>
              <w:rPr>
                <w:rFonts w:ascii="Calibri" w:hAnsi="Calibri" w:cs="Calibri"/>
                <w:color w:val="000000"/>
                <w:szCs w:val="20"/>
                <w:lang w:eastAsia="sl-SI"/>
              </w:rPr>
            </w:pPr>
            <w:r w:rsidRPr="00025BDA">
              <w:rPr>
                <w:rFonts w:ascii="Calibri" w:hAnsi="Calibri" w:cs="Calibri"/>
                <w:color w:val="000000"/>
                <w:szCs w:val="20"/>
              </w:rPr>
              <w:t>11,5</w:t>
            </w:r>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025BDA" w:rsidRDefault="002C264C" w:rsidP="000736CB">
            <w:pPr>
              <w:keepNext/>
              <w:keepLines/>
              <w:spacing w:line="240" w:lineRule="auto"/>
              <w:jc w:val="center"/>
              <w:rPr>
                <w:rFonts w:ascii="Calibri" w:hAnsi="Calibri" w:cs="Calibri"/>
                <w:color w:val="000000"/>
                <w:szCs w:val="20"/>
                <w:lang w:eastAsia="sl-SI"/>
              </w:rPr>
            </w:pPr>
            <w:r w:rsidRPr="00025BDA">
              <w:rPr>
                <w:rFonts w:ascii="Calibri" w:hAnsi="Calibri" w:cs="Calibri"/>
                <w:color w:val="000000"/>
                <w:szCs w:val="20"/>
              </w:rPr>
              <w:t>12,7</w:t>
            </w:r>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025BDA" w:rsidRDefault="002C264C" w:rsidP="000736CB">
            <w:pPr>
              <w:keepNext/>
              <w:keepLines/>
              <w:spacing w:line="240" w:lineRule="auto"/>
              <w:jc w:val="center"/>
              <w:rPr>
                <w:rFonts w:ascii="Calibri" w:hAnsi="Calibri" w:cs="Calibri"/>
                <w:color w:val="000000"/>
                <w:szCs w:val="20"/>
                <w:lang w:eastAsia="sl-SI"/>
              </w:rPr>
            </w:pPr>
            <w:r w:rsidRPr="00025BDA">
              <w:rPr>
                <w:rFonts w:ascii="Calibri" w:hAnsi="Calibri" w:cs="Calibri"/>
                <w:color w:val="000000"/>
                <w:szCs w:val="20"/>
              </w:rPr>
              <w:t>13,9</w:t>
            </w:r>
          </w:p>
        </w:tc>
        <w:tc>
          <w:tcPr>
            <w:tcW w:w="632" w:type="dxa"/>
            <w:tcBorders>
              <w:top w:val="single" w:sz="4" w:space="0" w:color="auto"/>
              <w:left w:val="nil"/>
              <w:bottom w:val="double" w:sz="4" w:space="0" w:color="auto"/>
              <w:right w:val="single" w:sz="4" w:space="0" w:color="auto"/>
            </w:tcBorders>
            <w:shd w:val="clear" w:color="auto" w:fill="auto"/>
            <w:noWrap/>
            <w:vAlign w:val="bottom"/>
          </w:tcPr>
          <w:p w:rsidR="002C264C" w:rsidRPr="00025BDA" w:rsidRDefault="002C264C" w:rsidP="000736CB">
            <w:pPr>
              <w:keepNext/>
              <w:keepLines/>
              <w:spacing w:line="240" w:lineRule="auto"/>
              <w:jc w:val="center"/>
              <w:rPr>
                <w:rFonts w:ascii="Calibri" w:hAnsi="Calibri" w:cs="Calibri"/>
                <w:color w:val="000000"/>
                <w:szCs w:val="20"/>
                <w:lang w:eastAsia="sl-SI"/>
              </w:rPr>
            </w:pPr>
            <w:r w:rsidRPr="00025BDA">
              <w:rPr>
                <w:rFonts w:ascii="Calibri" w:hAnsi="Calibri" w:cs="Calibri"/>
                <w:color w:val="000000"/>
                <w:szCs w:val="20"/>
              </w:rPr>
              <w:t>14,9</w:t>
            </w:r>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025BDA" w:rsidRDefault="002C264C" w:rsidP="000736CB">
            <w:pPr>
              <w:keepNext/>
              <w:keepLines/>
              <w:spacing w:line="240" w:lineRule="auto"/>
              <w:jc w:val="center"/>
              <w:rPr>
                <w:rFonts w:ascii="Calibri" w:hAnsi="Calibri" w:cs="Calibri"/>
                <w:color w:val="000000"/>
                <w:szCs w:val="20"/>
                <w:lang w:eastAsia="sl-SI"/>
              </w:rPr>
            </w:pPr>
            <w:r w:rsidRPr="00025BDA">
              <w:rPr>
                <w:rFonts w:ascii="Calibri" w:hAnsi="Calibri" w:cs="Calibri"/>
                <w:color w:val="000000"/>
                <w:szCs w:val="20"/>
              </w:rPr>
              <w:t>15,4</w:t>
            </w:r>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025BDA" w:rsidRDefault="002C264C" w:rsidP="000736CB">
            <w:pPr>
              <w:keepNext/>
              <w:keepLines/>
              <w:spacing w:line="240" w:lineRule="auto"/>
              <w:jc w:val="center"/>
              <w:rPr>
                <w:rFonts w:ascii="Calibri" w:hAnsi="Calibri" w:cs="Calibri"/>
                <w:color w:val="000000"/>
                <w:szCs w:val="20"/>
                <w:lang w:eastAsia="sl-SI"/>
              </w:rPr>
            </w:pPr>
            <w:r w:rsidRPr="00025BDA">
              <w:rPr>
                <w:rFonts w:ascii="Calibri" w:hAnsi="Calibri" w:cs="Calibri"/>
                <w:color w:val="000000"/>
                <w:szCs w:val="20"/>
              </w:rPr>
              <w:t>15,5</w:t>
            </w:r>
          </w:p>
        </w:tc>
        <w:tc>
          <w:tcPr>
            <w:tcW w:w="632" w:type="dxa"/>
            <w:tcBorders>
              <w:top w:val="single" w:sz="4" w:space="0" w:color="auto"/>
              <w:left w:val="nil"/>
              <w:bottom w:val="double" w:sz="4" w:space="0" w:color="auto"/>
              <w:right w:val="single" w:sz="4" w:space="0" w:color="auto"/>
            </w:tcBorders>
            <w:shd w:val="clear" w:color="auto" w:fill="auto"/>
            <w:noWrap/>
            <w:vAlign w:val="bottom"/>
          </w:tcPr>
          <w:p w:rsidR="002C264C" w:rsidRPr="00025BDA" w:rsidRDefault="002C264C" w:rsidP="000736CB">
            <w:pPr>
              <w:keepNext/>
              <w:keepLines/>
              <w:spacing w:line="240" w:lineRule="auto"/>
              <w:jc w:val="center"/>
              <w:rPr>
                <w:rFonts w:ascii="Calibri" w:hAnsi="Calibri" w:cs="Calibri"/>
                <w:color w:val="000000"/>
                <w:szCs w:val="20"/>
                <w:lang w:eastAsia="sl-SI"/>
              </w:rPr>
            </w:pPr>
            <w:r w:rsidRPr="00025BDA">
              <w:rPr>
                <w:rFonts w:ascii="Calibri" w:hAnsi="Calibri" w:cs="Calibri"/>
                <w:color w:val="000000"/>
                <w:szCs w:val="20"/>
              </w:rPr>
              <w:t>15,2</w:t>
            </w:r>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025BDA" w:rsidRDefault="002C264C" w:rsidP="000736CB">
            <w:pPr>
              <w:keepNext/>
              <w:keepLines/>
              <w:spacing w:line="240" w:lineRule="auto"/>
              <w:jc w:val="center"/>
              <w:rPr>
                <w:rFonts w:ascii="Calibri" w:hAnsi="Calibri" w:cs="Calibri"/>
                <w:color w:val="000000"/>
                <w:szCs w:val="20"/>
                <w:lang w:eastAsia="sl-SI"/>
              </w:rPr>
            </w:pPr>
            <w:r w:rsidRPr="00025BDA">
              <w:rPr>
                <w:rFonts w:ascii="Calibri" w:hAnsi="Calibri" w:cs="Calibri"/>
                <w:color w:val="000000"/>
                <w:szCs w:val="20"/>
              </w:rPr>
              <w:t>14,9</w:t>
            </w:r>
          </w:p>
        </w:tc>
        <w:tc>
          <w:tcPr>
            <w:tcW w:w="633" w:type="dxa"/>
            <w:tcBorders>
              <w:top w:val="single" w:sz="4" w:space="0" w:color="auto"/>
              <w:left w:val="nil"/>
              <w:bottom w:val="double" w:sz="4" w:space="0" w:color="auto"/>
              <w:right w:val="single" w:sz="4" w:space="0" w:color="auto"/>
            </w:tcBorders>
            <w:shd w:val="clear" w:color="auto" w:fill="auto"/>
            <w:noWrap/>
            <w:vAlign w:val="bottom"/>
          </w:tcPr>
          <w:p w:rsidR="002C264C" w:rsidRPr="00025BDA" w:rsidRDefault="002C264C" w:rsidP="000736CB">
            <w:pPr>
              <w:keepNext/>
              <w:keepLines/>
              <w:spacing w:line="240" w:lineRule="auto"/>
              <w:jc w:val="center"/>
              <w:rPr>
                <w:rFonts w:ascii="Calibri" w:hAnsi="Calibri" w:cs="Calibri"/>
                <w:color w:val="000000"/>
                <w:szCs w:val="20"/>
                <w:lang w:eastAsia="sl-SI"/>
              </w:rPr>
            </w:pPr>
            <w:r w:rsidRPr="00025BDA">
              <w:rPr>
                <w:rFonts w:ascii="Calibri" w:hAnsi="Calibri" w:cs="Calibri"/>
                <w:color w:val="000000"/>
                <w:szCs w:val="20"/>
              </w:rPr>
              <w:t>14,8</w:t>
            </w:r>
          </w:p>
        </w:tc>
      </w:tr>
      <w:tr w:rsidR="002C264C" w:rsidRPr="00AF7DF2" w:rsidTr="00655B78">
        <w:trPr>
          <w:trHeight w:val="300"/>
        </w:trPr>
        <w:tc>
          <w:tcPr>
            <w:tcW w:w="3544"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2C264C" w:rsidRPr="004C76A7" w:rsidRDefault="004C76A7" w:rsidP="000736CB">
            <w:pPr>
              <w:keepNext/>
              <w:keepLines/>
              <w:spacing w:line="240" w:lineRule="auto"/>
              <w:rPr>
                <w:rFonts w:ascii="Calibri" w:hAnsi="Calibri" w:cs="Calibri"/>
                <w:color w:val="000000"/>
                <w:szCs w:val="20"/>
                <w:lang w:eastAsia="sl-SI"/>
              </w:rPr>
            </w:pPr>
            <w:r>
              <w:rPr>
                <w:rFonts w:ascii="Calibri" w:hAnsi="Calibri" w:cs="Calibri"/>
                <w:color w:val="000000"/>
                <w:szCs w:val="20"/>
                <w:lang w:eastAsia="sl-SI"/>
              </w:rPr>
              <w:t>Odmerni</w:t>
            </w:r>
            <w:r w:rsidR="002C264C" w:rsidRPr="004C76A7">
              <w:rPr>
                <w:rFonts w:ascii="Calibri" w:hAnsi="Calibri" w:cs="Calibri"/>
                <w:color w:val="000000"/>
                <w:szCs w:val="20"/>
                <w:lang w:eastAsia="sl-SI"/>
              </w:rPr>
              <w:t xml:space="preserve"> odstotek na 63,5%</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w:t>
            </w:r>
            <w:r w:rsidR="004C76A7" w:rsidRPr="004C76A7">
              <w:rPr>
                <w:rFonts w:ascii="Calibri" w:hAnsi="Calibri" w:cs="Calibri"/>
                <w:color w:val="FF0000"/>
                <w:szCs w:val="20"/>
              </w:rPr>
              <w:t>,0</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0,2</w:t>
            </w:r>
          </w:p>
        </w:tc>
        <w:tc>
          <w:tcPr>
            <w:tcW w:w="632" w:type="dxa"/>
            <w:tcBorders>
              <w:top w:val="double" w:sz="4" w:space="0" w:color="auto"/>
              <w:left w:val="nil"/>
              <w:bottom w:val="sing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0,3</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0,4</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0,8</w:t>
            </w:r>
          </w:p>
        </w:tc>
        <w:tc>
          <w:tcPr>
            <w:tcW w:w="632" w:type="dxa"/>
            <w:tcBorders>
              <w:top w:val="double" w:sz="4" w:space="0" w:color="auto"/>
              <w:left w:val="nil"/>
              <w:bottom w:val="sing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1,1</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1,3</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1,3</w:t>
            </w:r>
          </w:p>
        </w:tc>
        <w:tc>
          <w:tcPr>
            <w:tcW w:w="632" w:type="dxa"/>
            <w:tcBorders>
              <w:top w:val="double" w:sz="4" w:space="0" w:color="auto"/>
              <w:left w:val="nil"/>
              <w:bottom w:val="sing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1,3</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1,3</w:t>
            </w:r>
          </w:p>
        </w:tc>
        <w:tc>
          <w:tcPr>
            <w:tcW w:w="633" w:type="dxa"/>
            <w:tcBorders>
              <w:top w:val="double" w:sz="4" w:space="0" w:color="auto"/>
              <w:left w:val="nil"/>
              <w:bottom w:val="sing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1,3</w:t>
            </w:r>
          </w:p>
        </w:tc>
      </w:tr>
      <w:tr w:rsidR="002C264C" w:rsidRPr="00AF7DF2" w:rsidTr="00655B78">
        <w:trPr>
          <w:trHeight w:val="300"/>
        </w:trPr>
        <w:tc>
          <w:tcPr>
            <w:tcW w:w="3544"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rsidR="002C264C" w:rsidRPr="004C76A7" w:rsidRDefault="002C264C" w:rsidP="000736CB">
            <w:pPr>
              <w:keepNext/>
              <w:keepLines/>
              <w:spacing w:line="240" w:lineRule="auto"/>
              <w:rPr>
                <w:rFonts w:ascii="Calibri" w:hAnsi="Calibri" w:cs="Calibri"/>
                <w:color w:val="000000"/>
                <w:szCs w:val="20"/>
                <w:lang w:eastAsia="sl-SI"/>
              </w:rPr>
            </w:pPr>
            <w:r w:rsidRPr="004C76A7">
              <w:rPr>
                <w:rFonts w:ascii="Calibri" w:hAnsi="Calibri" w:cs="Calibri"/>
                <w:color w:val="000000"/>
                <w:szCs w:val="20"/>
                <w:lang w:eastAsia="sl-SI"/>
              </w:rPr>
              <w:t>Za vsakega otroka dodatnih 1,36 % odm. odstotka</w:t>
            </w:r>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w:t>
            </w:r>
            <w:r w:rsidR="004C76A7" w:rsidRPr="004C76A7">
              <w:rPr>
                <w:rFonts w:ascii="Calibri" w:hAnsi="Calibri" w:cs="Calibri"/>
                <w:color w:val="FF0000"/>
                <w:szCs w:val="20"/>
              </w:rPr>
              <w:t>,0</w:t>
            </w:r>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w:t>
            </w:r>
            <w:r w:rsidR="004C76A7" w:rsidRPr="004C76A7">
              <w:rPr>
                <w:rFonts w:ascii="Calibri" w:hAnsi="Calibri" w:cs="Calibri"/>
                <w:color w:val="FF0000"/>
                <w:szCs w:val="20"/>
              </w:rPr>
              <w:t>,0</w:t>
            </w:r>
          </w:p>
        </w:tc>
        <w:tc>
          <w:tcPr>
            <w:tcW w:w="632" w:type="dxa"/>
            <w:tcBorders>
              <w:top w:val="single" w:sz="4" w:space="0" w:color="auto"/>
              <w:left w:val="nil"/>
              <w:bottom w:val="doub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w:t>
            </w:r>
            <w:r w:rsidR="004C76A7" w:rsidRPr="004C76A7">
              <w:rPr>
                <w:rFonts w:ascii="Calibri" w:hAnsi="Calibri" w:cs="Calibri"/>
                <w:color w:val="FF0000"/>
                <w:szCs w:val="20"/>
              </w:rPr>
              <w:t>,0</w:t>
            </w:r>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0,2</w:t>
            </w:r>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0,3</w:t>
            </w:r>
          </w:p>
        </w:tc>
        <w:tc>
          <w:tcPr>
            <w:tcW w:w="632" w:type="dxa"/>
            <w:tcBorders>
              <w:top w:val="single" w:sz="4" w:space="0" w:color="auto"/>
              <w:left w:val="nil"/>
              <w:bottom w:val="doub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0,2</w:t>
            </w:r>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0,3</w:t>
            </w:r>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0,3</w:t>
            </w:r>
          </w:p>
        </w:tc>
        <w:tc>
          <w:tcPr>
            <w:tcW w:w="632" w:type="dxa"/>
            <w:tcBorders>
              <w:top w:val="single" w:sz="4" w:space="0" w:color="auto"/>
              <w:left w:val="nil"/>
              <w:bottom w:val="doub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0,3</w:t>
            </w:r>
          </w:p>
        </w:tc>
        <w:tc>
          <w:tcPr>
            <w:tcW w:w="631" w:type="dxa"/>
            <w:tcBorders>
              <w:top w:val="single" w:sz="4" w:space="0" w:color="auto"/>
              <w:left w:val="nil"/>
              <w:bottom w:val="doub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0,2</w:t>
            </w:r>
          </w:p>
        </w:tc>
        <w:tc>
          <w:tcPr>
            <w:tcW w:w="633" w:type="dxa"/>
            <w:tcBorders>
              <w:top w:val="single" w:sz="4" w:space="0" w:color="auto"/>
              <w:left w:val="nil"/>
              <w:bottom w:val="double" w:sz="4" w:space="0" w:color="auto"/>
              <w:right w:val="single" w:sz="4" w:space="0" w:color="auto"/>
            </w:tcBorders>
            <w:shd w:val="clear" w:color="auto" w:fill="auto"/>
            <w:noWrap/>
            <w:vAlign w:val="bottom"/>
          </w:tcPr>
          <w:p w:rsidR="002C264C" w:rsidRPr="004C76A7" w:rsidRDefault="007E563E"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0,3</w:t>
            </w:r>
          </w:p>
        </w:tc>
      </w:tr>
      <w:tr w:rsidR="00655B78" w:rsidRPr="00AF7DF2" w:rsidTr="00655B78">
        <w:trPr>
          <w:trHeight w:val="300"/>
        </w:trPr>
        <w:tc>
          <w:tcPr>
            <w:tcW w:w="3544" w:type="dxa"/>
            <w:tcBorders>
              <w:top w:val="double" w:sz="4" w:space="0" w:color="auto"/>
              <w:left w:val="single" w:sz="4" w:space="0" w:color="auto"/>
              <w:bottom w:val="single" w:sz="4" w:space="0" w:color="auto"/>
              <w:right w:val="single" w:sz="4" w:space="0" w:color="auto"/>
            </w:tcBorders>
            <w:shd w:val="clear" w:color="auto" w:fill="auto"/>
            <w:noWrap/>
            <w:vAlign w:val="bottom"/>
          </w:tcPr>
          <w:p w:rsidR="00655B78" w:rsidRPr="004C76A7" w:rsidRDefault="00655B78" w:rsidP="00655B78">
            <w:pPr>
              <w:keepNext/>
              <w:keepLines/>
              <w:spacing w:line="240" w:lineRule="auto"/>
              <w:rPr>
                <w:rFonts w:ascii="Calibri" w:hAnsi="Calibri" w:cs="Calibri"/>
                <w:color w:val="000000"/>
                <w:szCs w:val="20"/>
                <w:lang w:eastAsia="sl-SI"/>
              </w:rPr>
            </w:pPr>
            <w:r>
              <w:rPr>
                <w:rFonts w:ascii="Calibri" w:hAnsi="Calibri" w:cs="Calibri"/>
                <w:color w:val="000000"/>
                <w:szCs w:val="20"/>
                <w:lang w:eastAsia="sl-SI"/>
              </w:rPr>
              <w:t>Skupni j</w:t>
            </w:r>
            <w:r w:rsidRPr="004C76A7">
              <w:rPr>
                <w:rFonts w:ascii="Calibri" w:hAnsi="Calibri" w:cs="Calibri"/>
                <w:color w:val="000000"/>
                <w:szCs w:val="20"/>
                <w:lang w:eastAsia="sl-SI"/>
              </w:rPr>
              <w:t>avn</w:t>
            </w:r>
            <w:r>
              <w:rPr>
                <w:rFonts w:ascii="Calibri" w:hAnsi="Calibri" w:cs="Calibri"/>
                <w:color w:val="000000"/>
                <w:szCs w:val="20"/>
                <w:lang w:eastAsia="sl-SI"/>
              </w:rPr>
              <w:t>ofinačni izdatki</w:t>
            </w:r>
            <w:r w:rsidRPr="004C76A7">
              <w:rPr>
                <w:rFonts w:ascii="Calibri" w:hAnsi="Calibri" w:cs="Calibri"/>
                <w:color w:val="000000"/>
                <w:szCs w:val="20"/>
                <w:lang w:eastAsia="sl-SI"/>
              </w:rPr>
              <w:t xml:space="preserve"> za pokojnine kot % BDP</w:t>
            </w:r>
            <w:r>
              <w:rPr>
                <w:rFonts w:ascii="Calibri" w:hAnsi="Calibri" w:cs="Calibri"/>
                <w:color w:val="000000"/>
                <w:szCs w:val="20"/>
                <w:lang w:eastAsia="sl-SI"/>
              </w:rPr>
              <w:t xml:space="preserve"> ob predlaganih ukrepih</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655B78" w:rsidRPr="00655B78" w:rsidRDefault="00655B78" w:rsidP="00655B78">
            <w:pPr>
              <w:keepNext/>
              <w:keepLines/>
              <w:spacing w:line="240" w:lineRule="auto"/>
              <w:jc w:val="center"/>
              <w:rPr>
                <w:rFonts w:ascii="Calibri" w:hAnsi="Calibri" w:cs="Calibri"/>
                <w:b/>
                <w:szCs w:val="20"/>
                <w:lang w:eastAsia="sl-SI"/>
              </w:rPr>
            </w:pPr>
            <w:r w:rsidRPr="00655B78">
              <w:rPr>
                <w:rFonts w:ascii="Calibri" w:hAnsi="Calibri" w:cs="Calibri"/>
                <w:b/>
                <w:szCs w:val="20"/>
              </w:rPr>
              <w:t>10,1</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655B78" w:rsidRPr="00655B78" w:rsidRDefault="00655B78" w:rsidP="00655B78">
            <w:pPr>
              <w:keepNext/>
              <w:keepLines/>
              <w:spacing w:line="240" w:lineRule="auto"/>
              <w:jc w:val="center"/>
              <w:rPr>
                <w:rFonts w:ascii="Calibri" w:hAnsi="Calibri" w:cs="Calibri"/>
                <w:b/>
                <w:szCs w:val="20"/>
                <w:lang w:eastAsia="sl-SI"/>
              </w:rPr>
            </w:pPr>
            <w:r w:rsidRPr="00655B78">
              <w:rPr>
                <w:rFonts w:ascii="Calibri" w:hAnsi="Calibri" w:cs="Calibri"/>
                <w:b/>
                <w:szCs w:val="20"/>
              </w:rPr>
              <w:t>10,6</w:t>
            </w:r>
          </w:p>
        </w:tc>
        <w:tc>
          <w:tcPr>
            <w:tcW w:w="632" w:type="dxa"/>
            <w:tcBorders>
              <w:top w:val="double" w:sz="4" w:space="0" w:color="auto"/>
              <w:left w:val="nil"/>
              <w:bottom w:val="single" w:sz="4" w:space="0" w:color="auto"/>
              <w:right w:val="single" w:sz="4" w:space="0" w:color="auto"/>
            </w:tcBorders>
            <w:shd w:val="clear" w:color="auto" w:fill="auto"/>
            <w:noWrap/>
            <w:vAlign w:val="bottom"/>
          </w:tcPr>
          <w:p w:rsidR="00655B78" w:rsidRPr="00655B78" w:rsidRDefault="00655B78" w:rsidP="00655B78">
            <w:pPr>
              <w:keepNext/>
              <w:keepLines/>
              <w:spacing w:line="240" w:lineRule="auto"/>
              <w:jc w:val="center"/>
              <w:rPr>
                <w:rFonts w:ascii="Calibri" w:hAnsi="Calibri" w:cs="Calibri"/>
                <w:b/>
                <w:szCs w:val="20"/>
                <w:lang w:eastAsia="sl-SI"/>
              </w:rPr>
            </w:pPr>
            <w:r w:rsidRPr="00655B78">
              <w:rPr>
                <w:rFonts w:ascii="Calibri" w:hAnsi="Calibri" w:cs="Calibri"/>
                <w:b/>
                <w:szCs w:val="20"/>
              </w:rPr>
              <w:t>11,8</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655B78" w:rsidRPr="00655B78" w:rsidRDefault="00655B78" w:rsidP="00655B78">
            <w:pPr>
              <w:keepNext/>
              <w:keepLines/>
              <w:spacing w:line="240" w:lineRule="auto"/>
              <w:jc w:val="center"/>
              <w:rPr>
                <w:rFonts w:ascii="Calibri" w:hAnsi="Calibri" w:cs="Calibri"/>
                <w:b/>
                <w:szCs w:val="20"/>
                <w:lang w:eastAsia="sl-SI"/>
              </w:rPr>
            </w:pPr>
            <w:r w:rsidRPr="00655B78">
              <w:rPr>
                <w:rFonts w:ascii="Calibri" w:hAnsi="Calibri" w:cs="Calibri"/>
                <w:b/>
                <w:szCs w:val="20"/>
              </w:rPr>
              <w:t>13,3</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655B78" w:rsidRPr="00655B78" w:rsidRDefault="00655B78" w:rsidP="00655B78">
            <w:pPr>
              <w:keepNext/>
              <w:keepLines/>
              <w:spacing w:line="240" w:lineRule="auto"/>
              <w:jc w:val="center"/>
              <w:rPr>
                <w:rFonts w:ascii="Calibri" w:hAnsi="Calibri" w:cs="Calibri"/>
                <w:b/>
                <w:szCs w:val="20"/>
                <w:lang w:eastAsia="sl-SI"/>
              </w:rPr>
            </w:pPr>
            <w:r w:rsidRPr="00655B78">
              <w:rPr>
                <w:rFonts w:ascii="Calibri" w:hAnsi="Calibri" w:cs="Calibri"/>
                <w:b/>
                <w:szCs w:val="20"/>
              </w:rPr>
              <w:t>15,0</w:t>
            </w:r>
          </w:p>
        </w:tc>
        <w:tc>
          <w:tcPr>
            <w:tcW w:w="632" w:type="dxa"/>
            <w:tcBorders>
              <w:top w:val="double" w:sz="4" w:space="0" w:color="auto"/>
              <w:left w:val="nil"/>
              <w:bottom w:val="single" w:sz="4" w:space="0" w:color="auto"/>
              <w:right w:val="single" w:sz="4" w:space="0" w:color="auto"/>
            </w:tcBorders>
            <w:shd w:val="clear" w:color="auto" w:fill="auto"/>
            <w:noWrap/>
            <w:vAlign w:val="bottom"/>
          </w:tcPr>
          <w:p w:rsidR="00655B78" w:rsidRPr="00655B78" w:rsidRDefault="00655B78" w:rsidP="00655B78">
            <w:pPr>
              <w:keepNext/>
              <w:keepLines/>
              <w:spacing w:line="240" w:lineRule="auto"/>
              <w:jc w:val="center"/>
              <w:rPr>
                <w:rFonts w:ascii="Calibri" w:hAnsi="Calibri" w:cs="Calibri"/>
                <w:b/>
                <w:szCs w:val="20"/>
                <w:lang w:eastAsia="sl-SI"/>
              </w:rPr>
            </w:pPr>
            <w:r w:rsidRPr="00655B78">
              <w:rPr>
                <w:rFonts w:ascii="Calibri" w:hAnsi="Calibri" w:cs="Calibri"/>
                <w:b/>
                <w:szCs w:val="20"/>
              </w:rPr>
              <w:t>16,2</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655B78" w:rsidRPr="00655B78" w:rsidRDefault="00655B78" w:rsidP="00655B78">
            <w:pPr>
              <w:keepNext/>
              <w:keepLines/>
              <w:spacing w:line="240" w:lineRule="auto"/>
              <w:jc w:val="center"/>
              <w:rPr>
                <w:rFonts w:ascii="Calibri" w:hAnsi="Calibri" w:cs="Calibri"/>
                <w:b/>
                <w:szCs w:val="20"/>
                <w:lang w:eastAsia="sl-SI"/>
              </w:rPr>
            </w:pPr>
            <w:r w:rsidRPr="00655B78">
              <w:rPr>
                <w:rFonts w:ascii="Calibri" w:hAnsi="Calibri" w:cs="Calibri"/>
                <w:b/>
                <w:szCs w:val="20"/>
              </w:rPr>
              <w:t>17,0</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655B78" w:rsidRPr="00655B78" w:rsidRDefault="00655B78" w:rsidP="00655B78">
            <w:pPr>
              <w:keepNext/>
              <w:keepLines/>
              <w:spacing w:line="240" w:lineRule="auto"/>
              <w:jc w:val="center"/>
              <w:rPr>
                <w:rFonts w:ascii="Calibri" w:hAnsi="Calibri" w:cs="Calibri"/>
                <w:b/>
                <w:szCs w:val="20"/>
                <w:lang w:eastAsia="sl-SI"/>
              </w:rPr>
            </w:pPr>
            <w:r w:rsidRPr="00655B78">
              <w:rPr>
                <w:rFonts w:ascii="Calibri" w:hAnsi="Calibri" w:cs="Calibri"/>
                <w:b/>
                <w:szCs w:val="20"/>
              </w:rPr>
              <w:t>17,1</w:t>
            </w:r>
          </w:p>
        </w:tc>
        <w:tc>
          <w:tcPr>
            <w:tcW w:w="632" w:type="dxa"/>
            <w:tcBorders>
              <w:top w:val="double" w:sz="4" w:space="0" w:color="auto"/>
              <w:left w:val="nil"/>
              <w:bottom w:val="single" w:sz="4" w:space="0" w:color="auto"/>
              <w:right w:val="single" w:sz="4" w:space="0" w:color="auto"/>
            </w:tcBorders>
            <w:shd w:val="clear" w:color="auto" w:fill="auto"/>
            <w:noWrap/>
            <w:vAlign w:val="bottom"/>
          </w:tcPr>
          <w:p w:rsidR="00655B78" w:rsidRPr="00655B78" w:rsidRDefault="00655B78" w:rsidP="00655B78">
            <w:pPr>
              <w:keepNext/>
              <w:keepLines/>
              <w:spacing w:line="240" w:lineRule="auto"/>
              <w:jc w:val="center"/>
              <w:rPr>
                <w:rFonts w:ascii="Calibri" w:hAnsi="Calibri" w:cs="Calibri"/>
                <w:b/>
                <w:szCs w:val="20"/>
                <w:lang w:eastAsia="sl-SI"/>
              </w:rPr>
            </w:pPr>
            <w:r w:rsidRPr="00655B78">
              <w:rPr>
                <w:rFonts w:ascii="Calibri" w:hAnsi="Calibri" w:cs="Calibri"/>
                <w:b/>
                <w:szCs w:val="20"/>
              </w:rPr>
              <w:t>16,8</w:t>
            </w:r>
          </w:p>
        </w:tc>
        <w:tc>
          <w:tcPr>
            <w:tcW w:w="631" w:type="dxa"/>
            <w:tcBorders>
              <w:top w:val="double" w:sz="4" w:space="0" w:color="auto"/>
              <w:left w:val="nil"/>
              <w:bottom w:val="single" w:sz="4" w:space="0" w:color="auto"/>
              <w:right w:val="single" w:sz="4" w:space="0" w:color="auto"/>
            </w:tcBorders>
            <w:shd w:val="clear" w:color="auto" w:fill="auto"/>
            <w:noWrap/>
            <w:vAlign w:val="bottom"/>
          </w:tcPr>
          <w:p w:rsidR="00655B78" w:rsidRPr="00655B78" w:rsidRDefault="00655B78" w:rsidP="00655B78">
            <w:pPr>
              <w:keepNext/>
              <w:keepLines/>
              <w:spacing w:line="240" w:lineRule="auto"/>
              <w:jc w:val="center"/>
              <w:rPr>
                <w:rFonts w:ascii="Calibri" w:hAnsi="Calibri" w:cs="Calibri"/>
                <w:b/>
                <w:szCs w:val="20"/>
                <w:lang w:eastAsia="sl-SI"/>
              </w:rPr>
            </w:pPr>
            <w:r w:rsidRPr="00655B78">
              <w:rPr>
                <w:rFonts w:ascii="Calibri" w:hAnsi="Calibri" w:cs="Calibri"/>
                <w:b/>
                <w:szCs w:val="20"/>
              </w:rPr>
              <w:t>16,4</w:t>
            </w:r>
          </w:p>
        </w:tc>
        <w:tc>
          <w:tcPr>
            <w:tcW w:w="633" w:type="dxa"/>
            <w:tcBorders>
              <w:top w:val="double" w:sz="4" w:space="0" w:color="auto"/>
              <w:left w:val="nil"/>
              <w:bottom w:val="single" w:sz="4" w:space="0" w:color="auto"/>
              <w:right w:val="single" w:sz="4" w:space="0" w:color="auto"/>
            </w:tcBorders>
            <w:shd w:val="clear" w:color="auto" w:fill="auto"/>
            <w:noWrap/>
            <w:vAlign w:val="bottom"/>
          </w:tcPr>
          <w:p w:rsidR="00655B78" w:rsidRPr="00655B78" w:rsidRDefault="00655B78" w:rsidP="00655B78">
            <w:pPr>
              <w:keepNext/>
              <w:keepLines/>
              <w:spacing w:line="240" w:lineRule="auto"/>
              <w:jc w:val="center"/>
              <w:rPr>
                <w:rFonts w:ascii="Calibri" w:hAnsi="Calibri" w:cs="Calibri"/>
                <w:b/>
                <w:szCs w:val="20"/>
                <w:lang w:eastAsia="sl-SI"/>
              </w:rPr>
            </w:pPr>
            <w:r w:rsidRPr="00655B78">
              <w:rPr>
                <w:rFonts w:ascii="Calibri" w:hAnsi="Calibri" w:cs="Calibri"/>
                <w:b/>
                <w:szCs w:val="20"/>
              </w:rPr>
              <w:t>16,4</w:t>
            </w:r>
          </w:p>
        </w:tc>
      </w:tr>
    </w:tbl>
    <w:p w:rsidR="007E563E" w:rsidRDefault="007E563E" w:rsidP="007E563E">
      <w:pPr>
        <w:pStyle w:val="Slog1"/>
        <w:numPr>
          <w:ilvl w:val="0"/>
          <w:numId w:val="0"/>
        </w:numPr>
        <w:ind w:left="426"/>
        <w:rPr>
          <w:rFonts w:asciiTheme="minorHAnsi" w:hAnsiTheme="minorHAnsi" w:cstheme="minorHAnsi"/>
        </w:rPr>
      </w:pPr>
      <w:bookmarkStart w:id="4" w:name="_Toc18910194"/>
    </w:p>
    <w:p w:rsidR="007E563E" w:rsidRDefault="007E563E" w:rsidP="007E563E">
      <w:pPr>
        <w:pStyle w:val="Slog1"/>
        <w:numPr>
          <w:ilvl w:val="0"/>
          <w:numId w:val="0"/>
        </w:numPr>
        <w:ind w:left="426"/>
        <w:rPr>
          <w:rFonts w:asciiTheme="minorHAnsi" w:hAnsiTheme="minorHAnsi" w:cstheme="minorHAnsi"/>
        </w:rPr>
      </w:pPr>
    </w:p>
    <w:p w:rsidR="0033341F" w:rsidRPr="00496C6A" w:rsidRDefault="0033341F" w:rsidP="001E262C">
      <w:pPr>
        <w:pStyle w:val="Slog1"/>
        <w:rPr>
          <w:rFonts w:asciiTheme="minorHAnsi" w:hAnsiTheme="minorHAnsi" w:cstheme="minorHAnsi"/>
        </w:rPr>
      </w:pPr>
      <w:r w:rsidRPr="00496C6A">
        <w:rPr>
          <w:rFonts w:asciiTheme="minorHAnsi" w:hAnsiTheme="minorHAnsi" w:cstheme="minorHAnsi"/>
        </w:rPr>
        <w:t xml:space="preserve">SIMULIRANJE UČINKOV SPREMEMB POKOJNINSKE ZAKONODAJE V ZVEZI </w:t>
      </w:r>
      <w:r w:rsidR="00A43E8A" w:rsidRPr="00496C6A">
        <w:rPr>
          <w:rFonts w:asciiTheme="minorHAnsi" w:hAnsiTheme="minorHAnsi" w:cstheme="minorHAnsi"/>
        </w:rPr>
        <w:t>S</w:t>
      </w:r>
      <w:r w:rsidRPr="00496C6A">
        <w:rPr>
          <w:rFonts w:asciiTheme="minorHAnsi" w:hAnsiTheme="minorHAnsi" w:cstheme="minorHAnsi"/>
        </w:rPr>
        <w:t xml:space="preserve"> KORIŠČENJEM PRAVICE DO IZPLAČILA DELA POKOJNINE</w:t>
      </w:r>
      <w:bookmarkEnd w:id="4"/>
      <w:r w:rsidRPr="00496C6A">
        <w:rPr>
          <w:rFonts w:asciiTheme="minorHAnsi" w:hAnsiTheme="minorHAnsi" w:cstheme="minorHAnsi"/>
        </w:rPr>
        <w:t xml:space="preserve"> </w:t>
      </w:r>
      <w:r w:rsidR="00474B20" w:rsidRPr="00496C6A">
        <w:rPr>
          <w:rFonts w:asciiTheme="minorHAnsi" w:hAnsiTheme="minorHAnsi" w:cstheme="minorHAnsi"/>
        </w:rPr>
        <w:t>Z VIDIKA POKOJNINSKE BLAGAJNE</w:t>
      </w:r>
    </w:p>
    <w:p w:rsidR="0033341F" w:rsidRPr="00496C6A" w:rsidRDefault="0033341F" w:rsidP="0033341F">
      <w:pPr>
        <w:spacing w:line="288" w:lineRule="auto"/>
        <w:jc w:val="both"/>
        <w:rPr>
          <w:rFonts w:asciiTheme="minorHAnsi" w:eastAsia="MS Mincho" w:hAnsiTheme="minorHAnsi" w:cstheme="minorHAnsi"/>
          <w:b/>
          <w:sz w:val="28"/>
          <w:szCs w:val="28"/>
          <w:lang w:val="sl-SI" w:eastAsia="ja-JP"/>
        </w:rPr>
      </w:pPr>
    </w:p>
    <w:p w:rsidR="0033341F" w:rsidRPr="00496C6A" w:rsidRDefault="0033341F" w:rsidP="001E262C">
      <w:pPr>
        <w:pStyle w:val="Slog2"/>
        <w:numPr>
          <w:ilvl w:val="0"/>
          <w:numId w:val="32"/>
        </w:numPr>
        <w:rPr>
          <w:rFonts w:asciiTheme="minorHAnsi" w:hAnsiTheme="minorHAnsi" w:cstheme="minorHAnsi"/>
        </w:rPr>
      </w:pPr>
      <w:bookmarkStart w:id="5" w:name="_Toc18910195"/>
      <w:r w:rsidRPr="00496C6A">
        <w:rPr>
          <w:rFonts w:asciiTheme="minorHAnsi" w:hAnsiTheme="minorHAnsi" w:cstheme="minorHAnsi"/>
        </w:rPr>
        <w:t>Učinki v obstoječem sistemu (s parametroma 20/4</w:t>
      </w:r>
      <w:r w:rsidR="00A43E8A" w:rsidRPr="00496C6A">
        <w:rPr>
          <w:rStyle w:val="Sprotnaopomba-sklic"/>
          <w:rFonts w:asciiTheme="minorHAnsi" w:hAnsiTheme="minorHAnsi" w:cstheme="minorHAnsi"/>
        </w:rPr>
        <w:footnoteReference w:id="1"/>
      </w:r>
      <w:r w:rsidRPr="00496C6A">
        <w:rPr>
          <w:rFonts w:asciiTheme="minorHAnsi" w:hAnsiTheme="minorHAnsi" w:cstheme="minorHAnsi"/>
        </w:rPr>
        <w:t>)</w:t>
      </w:r>
      <w:bookmarkEnd w:id="5"/>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33341F">
      <w:pPr>
        <w:spacing w:line="288" w:lineRule="auto"/>
        <w:jc w:val="both"/>
        <w:rPr>
          <w:rFonts w:asciiTheme="minorHAnsi" w:eastAsia="MS Mincho" w:hAnsiTheme="minorHAnsi" w:cstheme="minorHAnsi"/>
          <w:sz w:val="24"/>
          <w:lang w:val="sl-SI" w:eastAsia="ja-JP"/>
        </w:rPr>
      </w:pPr>
      <w:r w:rsidRPr="00496C6A">
        <w:rPr>
          <w:rFonts w:asciiTheme="minorHAnsi" w:eastAsia="MS Mincho" w:hAnsiTheme="minorHAnsi" w:cstheme="minorHAnsi"/>
          <w:sz w:val="24"/>
          <w:lang w:val="sl-SI" w:eastAsia="ja-JP"/>
        </w:rPr>
        <w:t>V Sliki 2 prikazujemo učinke obstoječe ureditve, kjer posameznik po izpolnjevanju pogojev prejme v prvih treh letih po nadaljevanju zaposlitve za vsako dodatno leto dela 4 odstotne točke višji odmerni odstotek pri odmeri pokojnine, hkrati pa prej</w:t>
      </w:r>
      <w:r w:rsidR="00A43E8A" w:rsidRPr="00496C6A">
        <w:rPr>
          <w:rFonts w:asciiTheme="minorHAnsi" w:eastAsia="MS Mincho" w:hAnsiTheme="minorHAnsi" w:cstheme="minorHAnsi"/>
          <w:sz w:val="24"/>
          <w:lang w:val="sl-SI" w:eastAsia="ja-JP"/>
        </w:rPr>
        <w:t>e</w:t>
      </w:r>
      <w:r w:rsidRPr="00496C6A">
        <w:rPr>
          <w:rFonts w:asciiTheme="minorHAnsi" w:eastAsia="MS Mincho" w:hAnsiTheme="minorHAnsi" w:cstheme="minorHAnsi"/>
          <w:sz w:val="24"/>
          <w:lang w:val="sl-SI" w:eastAsia="ja-JP"/>
        </w:rPr>
        <w:t>m</w:t>
      </w:r>
      <w:r w:rsidR="00A43E8A" w:rsidRPr="00496C6A">
        <w:rPr>
          <w:rFonts w:asciiTheme="minorHAnsi" w:eastAsia="MS Mincho" w:hAnsiTheme="minorHAnsi" w:cstheme="minorHAnsi"/>
          <w:sz w:val="24"/>
          <w:lang w:val="sl-SI" w:eastAsia="ja-JP"/>
        </w:rPr>
        <w:t>a</w:t>
      </w:r>
      <w:r w:rsidRPr="00496C6A">
        <w:rPr>
          <w:rFonts w:asciiTheme="minorHAnsi" w:eastAsia="MS Mincho" w:hAnsiTheme="minorHAnsi" w:cstheme="minorHAnsi"/>
          <w:sz w:val="24"/>
          <w:lang w:val="sl-SI" w:eastAsia="ja-JP"/>
        </w:rPr>
        <w:t xml:space="preserve"> tudi plačilo v višini 20 % pokojnine, ki bi jo dobil sicer v primeru upokojitve. Rezultati so predstavljeni relativno glede na situacijo, če pravice do izplačila dela pokojnine ne bi bilo, izraženi pa so kot % BDP. </w:t>
      </w: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33341F">
      <w:pPr>
        <w:keepNext/>
        <w:keepLines/>
        <w:spacing w:after="160" w:line="288" w:lineRule="auto"/>
        <w:jc w:val="center"/>
        <w:rPr>
          <w:rFonts w:asciiTheme="minorHAnsi" w:hAnsiTheme="minorHAnsi" w:cstheme="minorHAnsi"/>
          <w:i/>
          <w:noProof/>
          <w:position w:val="-10"/>
          <w:sz w:val="24"/>
          <w:lang w:val="sl-SI" w:eastAsia="sl-SI"/>
        </w:rPr>
      </w:pPr>
      <w:r w:rsidRPr="00496C6A">
        <w:rPr>
          <w:rFonts w:asciiTheme="minorHAnsi" w:hAnsiTheme="minorHAnsi" w:cstheme="minorHAnsi"/>
          <w:i/>
          <w:noProof/>
          <w:position w:val="-10"/>
          <w:sz w:val="24"/>
          <w:lang w:val="sl-SI" w:eastAsia="sl-SI"/>
        </w:rPr>
        <w:lastRenderedPageBreak/>
        <w:t>Slika 2: Učinki uvedbe pravice do izplačila dela pokojnine  pokojnin v skladu z obstoječim sistemom (20 % del pokojnine in povišanje odmernega odstotka za 4 odstotne točke za vsako leto tekom prvih 3 let), pri tem se pravice do izplačila dela pokojnine uživa v povprečju 1,8 leta; izraženo kot % BDP: z vidika pokojninske blagajne</w:t>
      </w:r>
    </w:p>
    <w:p w:rsidR="005F390F" w:rsidRPr="00496C6A" w:rsidRDefault="005F390F" w:rsidP="005F390F">
      <w:pPr>
        <w:spacing w:line="288" w:lineRule="auto"/>
        <w:jc w:val="center"/>
        <w:rPr>
          <w:rFonts w:asciiTheme="minorHAnsi" w:eastAsia="MS Mincho" w:hAnsiTheme="minorHAnsi" w:cstheme="minorHAnsi"/>
          <w:sz w:val="24"/>
          <w:lang w:val="sl-SI" w:eastAsia="ja-JP"/>
        </w:rPr>
      </w:pPr>
      <w:r w:rsidRPr="00496C6A">
        <w:rPr>
          <w:rFonts w:asciiTheme="minorHAnsi" w:eastAsia="MS Mincho" w:hAnsiTheme="minorHAnsi" w:cstheme="minorHAnsi"/>
          <w:noProof/>
          <w:sz w:val="24"/>
          <w:lang w:val="sl-SI" w:eastAsia="sl-SI"/>
        </w:rPr>
        <w:drawing>
          <wp:inline distT="0" distB="0" distL="0" distR="0" wp14:anchorId="498BB63F" wp14:editId="0FDB6775">
            <wp:extent cx="4572000" cy="3381375"/>
            <wp:effectExtent l="0" t="0" r="0" b="9525"/>
            <wp:docPr id="1" name="Chart 3">
              <a:extLst xmlns:a="http://schemas.openxmlformats.org/drawingml/2006/main">
                <a:ext uri="{FF2B5EF4-FFF2-40B4-BE49-F238E27FC236}">
                  <a16:creationId xmlns:a16="http://schemas.microsoft.com/office/drawing/2014/main" id="{3F5983A3-9936-4E75-9996-77F42BCE88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3341F" w:rsidRPr="00496C6A" w:rsidRDefault="0033341F" w:rsidP="0033341F">
      <w:pPr>
        <w:spacing w:line="276" w:lineRule="auto"/>
        <w:jc w:val="both"/>
        <w:rPr>
          <w:rFonts w:asciiTheme="minorHAnsi" w:eastAsia="MS Mincho" w:hAnsiTheme="minorHAnsi" w:cstheme="minorHAnsi"/>
          <w:sz w:val="24"/>
          <w:lang w:val="sl-SI" w:eastAsia="ja-JP"/>
        </w:rPr>
      </w:pPr>
    </w:p>
    <w:p w:rsidR="0033341F" w:rsidRPr="00496C6A" w:rsidRDefault="0033341F" w:rsidP="0033341F">
      <w:pPr>
        <w:spacing w:line="276" w:lineRule="auto"/>
        <w:jc w:val="both"/>
        <w:rPr>
          <w:rFonts w:asciiTheme="minorHAnsi" w:eastAsia="MS Mincho" w:hAnsiTheme="minorHAnsi" w:cstheme="minorHAnsi"/>
          <w:sz w:val="24"/>
          <w:lang w:val="sl-SI" w:eastAsia="ja-JP"/>
        </w:rPr>
      </w:pPr>
      <w:r w:rsidRPr="00496C6A">
        <w:rPr>
          <w:rFonts w:asciiTheme="minorHAnsi" w:eastAsia="MS Mincho" w:hAnsiTheme="minorHAnsi" w:cstheme="minorHAnsi"/>
          <w:sz w:val="24"/>
          <w:lang w:val="sl-SI" w:eastAsia="ja-JP"/>
        </w:rPr>
        <w:t xml:space="preserve">Vidimo lahko, da nastopi takojšnji močan pozitivni učinek na vzdržnost pokojninskega sistema zaradi tega, ker se posameznikom, ki nadaljujejo z delom, ne izplačujejo pokojnine kot bi se jim sicer. Na drugi strani je potrebno začeti izplačevati del pokojnine, kar pomeni negativni učinek za pokojninsko blagajno, vendar je to samo 20 % pokojnine namesto siceršnjih 100 % pokojnine. </w:t>
      </w: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33341F">
      <w:pPr>
        <w:spacing w:line="276" w:lineRule="auto"/>
        <w:jc w:val="both"/>
        <w:rPr>
          <w:rFonts w:asciiTheme="minorHAnsi" w:eastAsia="MS Mincho" w:hAnsiTheme="minorHAnsi" w:cstheme="minorHAnsi"/>
          <w:sz w:val="24"/>
          <w:lang w:val="sl-SI" w:eastAsia="ja-JP"/>
        </w:rPr>
      </w:pPr>
      <w:r w:rsidRPr="00496C6A">
        <w:rPr>
          <w:rFonts w:asciiTheme="minorHAnsi" w:eastAsia="MS Mincho" w:hAnsiTheme="minorHAnsi" w:cstheme="minorHAnsi"/>
          <w:sz w:val="24"/>
          <w:lang w:val="sl-SI" w:eastAsia="ja-JP"/>
        </w:rPr>
        <w:t xml:space="preserve">Izdatki se povišajo tudi zaradi tega, ker je potrebno posameznikom, ki so ostali v zaposlitvi, po njihovi upokojitvi začeti izplačevati višje pokojnine kot posledice višjih odmernih odstotkov. V trenutno veljavnem sistemu dodatno leto dela poviša odmerni odstotek v prvih treh letih po upokojitvi kar za 4 odstotne točke na leto. Posameznik, ki bi sicer npr. začel prejemati pokojnino v višini 60 % pokojninske osnove, bi se mu po treh letih dodatnega dela odmerila pokojnina v višini 72 % od pokojninske osnove. To pomeni, da bi pri vsem ostalem nespremenjenem začel do svoje smrti prejemati pokojnino, ki je za 20 % višja kot bi bila sicer (=72/60). V resnici bo njegova pokojnina še nekoliko višja, ker bo v teh treh dodatnih letih dela njegova pokojninska osnova za izračun pokojnine povečevala z rastjo plač, sicer bi se mu pa pokojnina poviševala z indeksacijo pokojnin, kar bi bilo nižje. V začetku predstavljajo višje pokojnine majhen delež med vsemi pokojninami, zato je skupni učinek na maso pokojnin majhen, vendar pa postaja vedno močnejši in ključen, ko se delež teh pokojnin sčasoma povišuje. </w:t>
      </w: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33341F">
      <w:pPr>
        <w:spacing w:line="288" w:lineRule="auto"/>
        <w:jc w:val="both"/>
        <w:rPr>
          <w:rFonts w:asciiTheme="minorHAnsi" w:eastAsia="MS Mincho" w:hAnsiTheme="minorHAnsi" w:cstheme="minorHAnsi"/>
          <w:sz w:val="24"/>
          <w:lang w:val="sl-SI" w:eastAsia="ja-JP"/>
        </w:rPr>
      </w:pPr>
      <w:r w:rsidRPr="00496C6A">
        <w:rPr>
          <w:rFonts w:asciiTheme="minorHAnsi" w:eastAsia="MS Mincho" w:hAnsiTheme="minorHAnsi" w:cstheme="minorHAnsi"/>
          <w:sz w:val="24"/>
          <w:lang w:val="sl-SI" w:eastAsia="ja-JP"/>
        </w:rPr>
        <w:lastRenderedPageBreak/>
        <w:t>Vidimo, da postane okrog leta 2040 negativni učinek na pokojninsko blagajno zaradi višjih odmernih odstotkov (in s tem višjih pokojnin) močnejši kot so tekoči prihranki pokojninske blagajne zaradi nižjih izdatkov za pokojnine, ki so posledica poznejšega upokojevanja. Vendar pa hkrati nastopijo še drugi učinki na javno blagajno, ki so pozitivni. Prihodki pokojninske blagajne se povišajo, saj posamezniki, ki ostajajo v zaposlitvi, še naprej plačujejo prispevke za pokojnin</w:t>
      </w:r>
      <w:r w:rsidR="00EE084F">
        <w:rPr>
          <w:rFonts w:asciiTheme="minorHAnsi" w:eastAsia="MS Mincho" w:hAnsiTheme="minorHAnsi" w:cstheme="minorHAnsi"/>
          <w:sz w:val="24"/>
          <w:lang w:val="sl-SI" w:eastAsia="ja-JP"/>
        </w:rPr>
        <w:t>sko in invalidsko zavarovanje</w:t>
      </w:r>
      <w:r w:rsidRPr="00496C6A">
        <w:rPr>
          <w:rFonts w:asciiTheme="minorHAnsi" w:eastAsia="MS Mincho" w:hAnsiTheme="minorHAnsi" w:cstheme="minorHAnsi"/>
          <w:sz w:val="24"/>
          <w:lang w:val="sl-SI" w:eastAsia="ja-JP"/>
        </w:rPr>
        <w:t>. Kot je razvidno v Sliki 2, je ta učinek približno trikrat tolikšen kot je negativni učinek zaradi izplačil dela pokojnin. Ti posamezniki, ki ostajajo v zaposlitvi, namreč plačujejo 24,35 % prispevkov za pokojninsko in invalidsko zavarovanje od svoje bruto plače, ki pa je hkrati mnogo višja osnova kot pokojnina, ki bi jo sicer prejemali in ki je osnova za izračun 20 % predčasne pokojnine. Upoštevaje tudi ta vir prihodkov je neto učinek tega ukrepa za pokojninsko blagajno pozitiven do zadnjega obdobja projekcij po letu 2055 (Tabela 1, Učinek za pokojninsko blagajno, skupaj)</w:t>
      </w:r>
      <w:r w:rsidR="00EE084F">
        <w:rPr>
          <w:rFonts w:asciiTheme="minorHAnsi" w:eastAsia="MS Mincho" w:hAnsiTheme="minorHAnsi" w:cstheme="minorHAnsi"/>
          <w:sz w:val="24"/>
          <w:lang w:val="sl-SI" w:eastAsia="ja-JP"/>
        </w:rPr>
        <w:t>, ko postane rahlo negativen.</w:t>
      </w: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33341F">
      <w:pPr>
        <w:keepNext/>
        <w:keepLines/>
        <w:spacing w:after="160" w:line="288" w:lineRule="auto"/>
        <w:jc w:val="center"/>
        <w:rPr>
          <w:rFonts w:asciiTheme="minorHAnsi" w:hAnsiTheme="minorHAnsi" w:cstheme="minorHAnsi"/>
          <w:i/>
          <w:noProof/>
          <w:position w:val="-10"/>
          <w:sz w:val="24"/>
          <w:lang w:val="sl-SI" w:eastAsia="sl-SI"/>
        </w:rPr>
      </w:pPr>
      <w:r w:rsidRPr="00496C6A">
        <w:rPr>
          <w:rFonts w:asciiTheme="minorHAnsi" w:hAnsiTheme="minorHAnsi" w:cstheme="minorHAnsi"/>
          <w:i/>
          <w:noProof/>
          <w:position w:val="-10"/>
          <w:sz w:val="24"/>
          <w:lang w:val="sl-SI" w:eastAsia="sl-SI"/>
        </w:rPr>
        <w:t>Tabela 1: Učinki uvedbe pravice do izplačila dela pokojnine  pokojnin v skladu z obstoječim sistemom (20 % del pokojnine in povišanje odmernega odstotka za 4 odstotne točke za vsako leto tekom prvih 3 let), pri tem se pravice do izplačila dela pokojnine uživa v povprečju 1,8 leta; izraženo kot % BDP: z vidika pokojninske blagajne</w:t>
      </w:r>
    </w:p>
    <w:tbl>
      <w:tblPr>
        <w:tblW w:w="9776" w:type="dxa"/>
        <w:jc w:val="center"/>
        <w:tblLayout w:type="fixed"/>
        <w:tblCellMar>
          <w:left w:w="70" w:type="dxa"/>
          <w:right w:w="70" w:type="dxa"/>
        </w:tblCellMar>
        <w:tblLook w:val="04A0" w:firstRow="1" w:lastRow="0" w:firstColumn="1" w:lastColumn="0" w:noHBand="0" w:noVBand="1"/>
      </w:tblPr>
      <w:tblGrid>
        <w:gridCol w:w="2689"/>
        <w:gridCol w:w="644"/>
        <w:gridCol w:w="644"/>
        <w:gridCol w:w="644"/>
        <w:gridCol w:w="645"/>
        <w:gridCol w:w="644"/>
        <w:gridCol w:w="644"/>
        <w:gridCol w:w="644"/>
        <w:gridCol w:w="645"/>
        <w:gridCol w:w="644"/>
        <w:gridCol w:w="644"/>
        <w:gridCol w:w="645"/>
      </w:tblGrid>
      <w:tr w:rsidR="0033341F" w:rsidRPr="00496C6A" w:rsidTr="0033341F">
        <w:trPr>
          <w:trHeight w:val="255"/>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 </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2020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2025</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2030</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2035</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2040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2045</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2050</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2055</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2060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2065</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2070</w:t>
            </w:r>
          </w:p>
        </w:tc>
      </w:tr>
      <w:tr w:rsidR="0033341F" w:rsidRPr="00496C6A" w:rsidTr="0033341F">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693878" w:rsidRPr="00496C6A" w:rsidRDefault="0033341F"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Prispevek za PIZ (24,35%)</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0,19</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0,33</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0,36</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0,37</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0,38</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0,39</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0,41</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0,41</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0,42</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0,41</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0,42</w:t>
            </w:r>
          </w:p>
        </w:tc>
      </w:tr>
      <w:tr w:rsidR="0033341F" w:rsidRPr="00496C6A" w:rsidTr="0033341F">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Nižji izdatki za pokojnine zaradi poznejšega upokojevanja</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0,30</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0,52</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0,56</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0,58</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0,59</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0,61</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0,63</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0,64</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0,64</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0,64</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0,64</w:t>
            </w:r>
          </w:p>
        </w:tc>
      </w:tr>
      <w:tr w:rsidR="0033341F" w:rsidRPr="00496C6A" w:rsidTr="00693878">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3341F" w:rsidRPr="00496C6A" w:rsidRDefault="00B63022"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Izplačilo dela</w:t>
            </w:r>
            <w:r w:rsidR="0033341F" w:rsidRPr="00496C6A">
              <w:rPr>
                <w:rFonts w:asciiTheme="minorHAnsi" w:hAnsiTheme="minorHAnsi" w:cstheme="minorHAnsi"/>
                <w:szCs w:val="20"/>
                <w:lang w:val="sl-SI" w:eastAsia="sl-SI"/>
              </w:rPr>
              <w:t xml:space="preserve"> pokojnin</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0,06</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0,10</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0,11</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0,12</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0,12</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0,12</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0,13</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0,13</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0,13</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0,13</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0,13</w:t>
            </w:r>
          </w:p>
        </w:tc>
      </w:tr>
      <w:tr w:rsidR="0033341F" w:rsidRPr="00496C6A" w:rsidTr="00693878">
        <w:trPr>
          <w:trHeight w:val="255"/>
          <w:jc w:val="center"/>
        </w:trPr>
        <w:tc>
          <w:tcPr>
            <w:tcW w:w="268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 xml:space="preserve">Višje pokojnine zaradi višjih odmernih odstotkov </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0,01</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0,12</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0,28</w:t>
            </w:r>
          </w:p>
        </w:tc>
        <w:tc>
          <w:tcPr>
            <w:tcW w:w="645"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0,44</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0,59</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0,73</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0,83</w:t>
            </w:r>
          </w:p>
        </w:tc>
        <w:tc>
          <w:tcPr>
            <w:tcW w:w="645"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0,90</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0,94</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0,96</w:t>
            </w:r>
          </w:p>
        </w:tc>
        <w:tc>
          <w:tcPr>
            <w:tcW w:w="645"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0,98</w:t>
            </w:r>
          </w:p>
        </w:tc>
      </w:tr>
      <w:tr w:rsidR="0033341F" w:rsidRPr="00496C6A" w:rsidTr="00693878">
        <w:trPr>
          <w:trHeight w:val="255"/>
          <w:jc w:val="center"/>
        </w:trPr>
        <w:tc>
          <w:tcPr>
            <w:tcW w:w="2689"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33341F" w:rsidRPr="00496C6A" w:rsidRDefault="0033341F" w:rsidP="0033341F">
            <w:pPr>
              <w:spacing w:line="240" w:lineRule="auto"/>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Učinek za pokojninsko blagajno, skupaj</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0,41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0,63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0,53 </w:t>
            </w:r>
          </w:p>
        </w:tc>
        <w:tc>
          <w:tcPr>
            <w:tcW w:w="645"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0,39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0,26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0,16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0,08 </w:t>
            </w:r>
          </w:p>
        </w:tc>
        <w:tc>
          <w:tcPr>
            <w:tcW w:w="645"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0,02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spacing w:line="240" w:lineRule="auto"/>
              <w:ind w:left="-71" w:hanging="6"/>
              <w:jc w:val="right"/>
              <w:rPr>
                <w:rFonts w:asciiTheme="minorHAnsi" w:hAnsiTheme="minorHAnsi" w:cstheme="minorHAnsi"/>
                <w:b/>
                <w:bCs/>
                <w:szCs w:val="20"/>
                <w:lang w:val="sl-SI" w:eastAsia="sl-SI"/>
              </w:rPr>
            </w:pPr>
            <w:r w:rsidRPr="00496C6A">
              <w:rPr>
                <w:rFonts w:asciiTheme="minorHAnsi" w:eastAsia="MS Mincho" w:hAnsiTheme="minorHAnsi" w:cstheme="minorHAnsi"/>
                <w:b/>
                <w:bCs/>
                <w:color w:val="FF0000"/>
                <w:szCs w:val="20"/>
                <w:lang w:val="sl-SI" w:eastAsia="ja-JP"/>
              </w:rPr>
              <w:t xml:space="preserve">-0,01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spacing w:line="240" w:lineRule="auto"/>
              <w:ind w:left="-71" w:hanging="6"/>
              <w:jc w:val="right"/>
              <w:rPr>
                <w:rFonts w:asciiTheme="minorHAnsi" w:hAnsiTheme="minorHAnsi" w:cstheme="minorHAnsi"/>
                <w:b/>
                <w:bCs/>
                <w:szCs w:val="20"/>
                <w:lang w:val="sl-SI" w:eastAsia="sl-SI"/>
              </w:rPr>
            </w:pPr>
            <w:r w:rsidRPr="00496C6A">
              <w:rPr>
                <w:rFonts w:asciiTheme="minorHAnsi" w:eastAsia="MS Mincho" w:hAnsiTheme="minorHAnsi" w:cstheme="minorHAnsi"/>
                <w:b/>
                <w:bCs/>
                <w:color w:val="FF0000"/>
                <w:szCs w:val="20"/>
                <w:lang w:val="sl-SI" w:eastAsia="ja-JP"/>
              </w:rPr>
              <w:t xml:space="preserve">-0,03 </w:t>
            </w:r>
          </w:p>
        </w:tc>
        <w:tc>
          <w:tcPr>
            <w:tcW w:w="645" w:type="dxa"/>
            <w:tcBorders>
              <w:top w:val="doub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spacing w:line="240" w:lineRule="auto"/>
              <w:ind w:left="-71" w:hanging="6"/>
              <w:jc w:val="right"/>
              <w:rPr>
                <w:rFonts w:asciiTheme="minorHAnsi" w:hAnsiTheme="minorHAnsi" w:cstheme="minorHAnsi"/>
                <w:b/>
                <w:bCs/>
                <w:szCs w:val="20"/>
                <w:lang w:val="sl-SI" w:eastAsia="sl-SI"/>
              </w:rPr>
            </w:pPr>
            <w:r w:rsidRPr="00496C6A">
              <w:rPr>
                <w:rFonts w:asciiTheme="minorHAnsi" w:eastAsia="MS Mincho" w:hAnsiTheme="minorHAnsi" w:cstheme="minorHAnsi"/>
                <w:b/>
                <w:bCs/>
                <w:color w:val="FF0000"/>
                <w:szCs w:val="20"/>
                <w:lang w:val="sl-SI" w:eastAsia="ja-JP"/>
              </w:rPr>
              <w:t xml:space="preserve">-0,05 </w:t>
            </w:r>
          </w:p>
        </w:tc>
      </w:tr>
    </w:tbl>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7B450F" w:rsidRPr="00496C6A" w:rsidRDefault="007B450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DC6530">
      <w:pPr>
        <w:pStyle w:val="Slog2"/>
        <w:numPr>
          <w:ilvl w:val="0"/>
          <w:numId w:val="32"/>
        </w:numPr>
        <w:rPr>
          <w:rFonts w:asciiTheme="minorHAnsi" w:hAnsiTheme="minorHAnsi" w:cstheme="minorHAnsi"/>
        </w:rPr>
      </w:pPr>
      <w:bookmarkStart w:id="6" w:name="_Toc18910196"/>
      <w:r w:rsidRPr="00496C6A">
        <w:rPr>
          <w:rFonts w:asciiTheme="minorHAnsi" w:hAnsiTheme="minorHAnsi" w:cstheme="minorHAnsi"/>
        </w:rPr>
        <w:t>Učinki v predlaganem sistemu izplačila dela pokojnin s parametroma 40/3</w:t>
      </w:r>
      <w:r w:rsidR="00A43E8A" w:rsidRPr="00496C6A">
        <w:rPr>
          <w:rStyle w:val="Sprotnaopomba-sklic"/>
          <w:rFonts w:asciiTheme="minorHAnsi" w:hAnsiTheme="minorHAnsi" w:cstheme="minorHAnsi"/>
        </w:rPr>
        <w:footnoteReference w:id="2"/>
      </w:r>
      <w:r w:rsidRPr="00496C6A">
        <w:rPr>
          <w:rFonts w:asciiTheme="minorHAnsi" w:hAnsiTheme="minorHAnsi" w:cstheme="minorHAnsi"/>
        </w:rPr>
        <w:t>; predpostavljeno je enako število izplačil dela pokojnine kot v p</w:t>
      </w:r>
      <w:bookmarkEnd w:id="6"/>
      <w:r w:rsidR="00A43E8A" w:rsidRPr="00496C6A">
        <w:rPr>
          <w:rFonts w:asciiTheme="minorHAnsi" w:hAnsiTheme="minorHAnsi" w:cstheme="minorHAnsi"/>
        </w:rPr>
        <w:t>oglavju 3.1</w:t>
      </w: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33341F">
      <w:pPr>
        <w:spacing w:line="288" w:lineRule="auto"/>
        <w:jc w:val="both"/>
        <w:rPr>
          <w:rFonts w:asciiTheme="minorHAnsi" w:eastAsia="MS Mincho" w:hAnsiTheme="minorHAnsi" w:cstheme="minorHAnsi"/>
          <w:sz w:val="24"/>
          <w:lang w:val="sl-SI" w:eastAsia="ja-JP"/>
        </w:rPr>
      </w:pPr>
      <w:r w:rsidRPr="00496C6A">
        <w:rPr>
          <w:rFonts w:asciiTheme="minorHAnsi" w:eastAsia="MS Mincho" w:hAnsiTheme="minorHAnsi" w:cstheme="minorHAnsi"/>
          <w:sz w:val="24"/>
          <w:lang w:val="sl-SI" w:eastAsia="ja-JP"/>
        </w:rPr>
        <w:t>Opisane rezultate prikazujemo tudi za simulacije, če bi se parametra pri izplačilu dela pokojnine  spremenil</w:t>
      </w:r>
      <w:r w:rsidR="007B450F" w:rsidRPr="00496C6A">
        <w:rPr>
          <w:rFonts w:asciiTheme="minorHAnsi" w:eastAsia="MS Mincho" w:hAnsiTheme="minorHAnsi" w:cstheme="minorHAnsi"/>
          <w:sz w:val="24"/>
          <w:lang w:val="sl-SI" w:eastAsia="ja-JP"/>
        </w:rPr>
        <w:t>a na 40/3 (Slika 3, Tabela 2</w:t>
      </w:r>
      <w:r w:rsidRPr="00496C6A">
        <w:rPr>
          <w:rFonts w:asciiTheme="minorHAnsi" w:eastAsia="MS Mincho" w:hAnsiTheme="minorHAnsi" w:cstheme="minorHAnsi"/>
          <w:sz w:val="24"/>
          <w:lang w:val="sl-SI" w:eastAsia="ja-JP"/>
        </w:rPr>
        <w:t>). To pomeni, da predpostavljamo, da bi se odstotek izplačila pokojnine, ki ga tekoče prejema posameznik, če ostane v zaposlitvi, povišal na 40 % pokojnine</w:t>
      </w:r>
      <w:r w:rsidR="00A43E8A" w:rsidRPr="00496C6A">
        <w:rPr>
          <w:rFonts w:asciiTheme="minorHAnsi" w:eastAsia="MS Mincho" w:hAnsiTheme="minorHAnsi" w:cstheme="minorHAnsi"/>
          <w:sz w:val="24"/>
          <w:lang w:val="sl-SI" w:eastAsia="ja-JP"/>
        </w:rPr>
        <w:t>,</w:t>
      </w:r>
      <w:r w:rsidRPr="00496C6A">
        <w:rPr>
          <w:rFonts w:asciiTheme="minorHAnsi" w:eastAsia="MS Mincho" w:hAnsiTheme="minorHAnsi" w:cstheme="minorHAnsi"/>
          <w:sz w:val="24"/>
          <w:lang w:val="sl-SI" w:eastAsia="ja-JP"/>
        </w:rPr>
        <w:t xml:space="preserve"> ki bi jo sicer prejel, če bi se upokojil (v trenutno veljavnem sistemu je to 20 %). Na drugi strani pa bi odmerni odstotek, ki ga v prvih treh letih </w:t>
      </w:r>
      <w:r w:rsidRPr="00496C6A">
        <w:rPr>
          <w:rFonts w:asciiTheme="minorHAnsi" w:eastAsia="MS Mincho" w:hAnsiTheme="minorHAnsi" w:cstheme="minorHAnsi"/>
          <w:sz w:val="24"/>
          <w:lang w:val="sl-SI" w:eastAsia="ja-JP"/>
        </w:rPr>
        <w:lastRenderedPageBreak/>
        <w:t xml:space="preserve">ostajanja v zaposlitvi prejme posameznik za vsako leto dela, znižal na 3 % (v trenutno veljavnem sistemu je to 4 %). </w:t>
      </w:r>
    </w:p>
    <w:p w:rsidR="0033341F" w:rsidRPr="00496C6A" w:rsidRDefault="0033341F" w:rsidP="0033341F">
      <w:pPr>
        <w:rPr>
          <w:rFonts w:asciiTheme="minorHAnsi" w:eastAsia="MS Mincho" w:hAnsiTheme="minorHAnsi" w:cstheme="minorHAnsi"/>
          <w:sz w:val="24"/>
          <w:lang w:val="sl-SI" w:eastAsia="ja-JP"/>
        </w:rPr>
      </w:pPr>
    </w:p>
    <w:p w:rsidR="0033341F" w:rsidRPr="00496C6A" w:rsidRDefault="0033341F" w:rsidP="0033341F">
      <w:pPr>
        <w:keepNext/>
        <w:keepLines/>
        <w:spacing w:after="200" w:line="288" w:lineRule="auto"/>
        <w:jc w:val="center"/>
        <w:rPr>
          <w:rFonts w:asciiTheme="minorHAnsi" w:hAnsiTheme="minorHAnsi" w:cstheme="minorHAnsi"/>
          <w:i/>
          <w:noProof/>
          <w:position w:val="-10"/>
          <w:sz w:val="24"/>
          <w:lang w:val="sl-SI" w:eastAsia="sl-SI"/>
        </w:rPr>
      </w:pPr>
      <w:r w:rsidRPr="00496C6A">
        <w:rPr>
          <w:rFonts w:asciiTheme="minorHAnsi" w:hAnsiTheme="minorHAnsi" w:cstheme="minorHAnsi"/>
          <w:i/>
          <w:noProof/>
          <w:position w:val="-10"/>
          <w:sz w:val="24"/>
          <w:lang w:val="sl-SI" w:eastAsia="sl-SI"/>
        </w:rPr>
        <w:t>Slika 3: Učinki uvedbe izplačila dela pokojnin v skladu s sistemom 40/3 (izplačilo 40 % dela pokojnine in povišanje odmernega odstotka za 3 odstotne točke za vsako izmed prvih 3 let), pri tem se pravica do izplačila dela pokojnine  uživa v povprečju 1,8 leta; izraženo kot % BDP: z vidika pokojninske blagajne</w:t>
      </w:r>
    </w:p>
    <w:p w:rsidR="005F390F" w:rsidRPr="00496C6A" w:rsidRDefault="005F390F" w:rsidP="005F390F">
      <w:pPr>
        <w:spacing w:line="288" w:lineRule="auto"/>
        <w:jc w:val="center"/>
        <w:rPr>
          <w:rFonts w:asciiTheme="minorHAnsi" w:eastAsia="MS Mincho" w:hAnsiTheme="minorHAnsi" w:cstheme="minorHAnsi"/>
          <w:sz w:val="24"/>
          <w:lang w:val="sl-SI" w:eastAsia="ja-JP"/>
        </w:rPr>
      </w:pPr>
      <w:r w:rsidRPr="00496C6A">
        <w:rPr>
          <w:rFonts w:asciiTheme="minorHAnsi" w:eastAsia="MS Mincho" w:hAnsiTheme="minorHAnsi" w:cstheme="minorHAnsi"/>
          <w:noProof/>
          <w:sz w:val="24"/>
          <w:lang w:val="sl-SI" w:eastAsia="sl-SI"/>
        </w:rPr>
        <w:drawing>
          <wp:inline distT="0" distB="0" distL="0" distR="0" wp14:anchorId="2A12EF28" wp14:editId="336D9F62">
            <wp:extent cx="4572000" cy="3371850"/>
            <wp:effectExtent l="0" t="0" r="0" b="0"/>
            <wp:docPr id="2" name="Chart 6">
              <a:extLst xmlns:a="http://schemas.openxmlformats.org/drawingml/2006/main">
                <a:ext uri="{FF2B5EF4-FFF2-40B4-BE49-F238E27FC236}">
                  <a16:creationId xmlns:a16="http://schemas.microsoft.com/office/drawing/2014/main" id="{94699C9F-456E-4046-A7C3-531F5387F45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F390F" w:rsidRPr="00496C6A" w:rsidRDefault="005F390F" w:rsidP="005F390F">
      <w:pPr>
        <w:spacing w:line="288" w:lineRule="auto"/>
        <w:jc w:val="both"/>
        <w:rPr>
          <w:rFonts w:asciiTheme="minorHAnsi" w:eastAsia="MS Mincho" w:hAnsiTheme="minorHAnsi" w:cstheme="minorHAnsi"/>
          <w:sz w:val="24"/>
          <w:lang w:val="sl-SI" w:eastAsia="ja-JP"/>
        </w:rPr>
      </w:pPr>
    </w:p>
    <w:p w:rsidR="0033341F" w:rsidRPr="00496C6A" w:rsidRDefault="0033341F" w:rsidP="0033341F">
      <w:pPr>
        <w:spacing w:line="288" w:lineRule="auto"/>
        <w:jc w:val="both"/>
        <w:rPr>
          <w:rFonts w:asciiTheme="minorHAnsi" w:eastAsia="MS Mincho" w:hAnsiTheme="minorHAnsi" w:cstheme="minorHAnsi"/>
          <w:sz w:val="24"/>
          <w:lang w:val="sl-SI" w:eastAsia="ja-JP"/>
        </w:rPr>
      </w:pPr>
      <w:r w:rsidRPr="00496C6A">
        <w:rPr>
          <w:rFonts w:asciiTheme="minorHAnsi" w:eastAsia="MS Mincho" w:hAnsiTheme="minorHAnsi" w:cstheme="minorHAnsi"/>
          <w:sz w:val="24"/>
          <w:lang w:val="sl-SI" w:eastAsia="ja-JP"/>
        </w:rPr>
        <w:t xml:space="preserve">V simulacijah najprej predpostavljamo, da ta sprememba ne bi imela učinka na odločitve posameznikov za uveljavljanje pravice do izplačila dela pokojnine, torej za nadaljevanje z delom po tem, ko izpolnijo pogoje za upokojitev. Vidimo lahko, da se v tem primeru tekoča izplačila dela pokojnin, kot pričakovano, podvojijo, saj je odstotek tokrat podvojen (40 % namesto 20 %), za število vključenih posameznikov in podaljšanje trajanja zaposlitve pa predpostavljamo, da ostanejo enaki kot v prejšnji varianti. Na drugi strani se hkrati znižajo izdatki za pokojnine iz naslova višjih odmernih odstotkov v prihodnosti, saj znaša za vsako dodatno leto dela odmerni odstotek 3 % (prej 4 %). Znižanje izdatkov za pokojnine, ki izhaja iz nižjega števila upokojencev, se ne spremeni, prav tako se ne spremeni povečanje prispevkov pokojninskega in invalidskega zavarovanja, saj uporabimo enake predpostavke glede števila posameznikov, ki se odločijo za pravico do izplačila dela pokojnine in tudi glede podaljšanja trajanja zaposlitve. </w:t>
      </w:r>
      <w:r w:rsidR="00EE084F">
        <w:rPr>
          <w:rFonts w:asciiTheme="minorHAnsi" w:eastAsia="MS Mincho" w:hAnsiTheme="minorHAnsi" w:cstheme="minorHAnsi"/>
          <w:sz w:val="24"/>
          <w:lang w:val="sl-SI" w:eastAsia="ja-JP"/>
        </w:rPr>
        <w:t>Skupni učinki na pokojninsko blagajno so v začetnem desetletju zato nekoliko manj pozitivni kot v prejšnjem scenariju, vendar pa ostanejo pozitivni v celotnem obdobju projekcij.</w:t>
      </w: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7B450F" w:rsidP="0033341F">
      <w:pPr>
        <w:keepNext/>
        <w:keepLines/>
        <w:spacing w:after="200" w:line="288" w:lineRule="auto"/>
        <w:jc w:val="center"/>
        <w:rPr>
          <w:rFonts w:asciiTheme="minorHAnsi" w:hAnsiTheme="minorHAnsi" w:cstheme="minorHAnsi"/>
          <w:i/>
          <w:noProof/>
          <w:position w:val="-10"/>
          <w:sz w:val="24"/>
          <w:lang w:val="sl-SI" w:eastAsia="sl-SI"/>
        </w:rPr>
      </w:pPr>
      <w:r w:rsidRPr="00496C6A">
        <w:rPr>
          <w:rFonts w:asciiTheme="minorHAnsi" w:hAnsiTheme="minorHAnsi" w:cstheme="minorHAnsi"/>
          <w:i/>
          <w:noProof/>
          <w:position w:val="-10"/>
          <w:sz w:val="24"/>
          <w:lang w:val="sl-SI" w:eastAsia="sl-SI"/>
        </w:rPr>
        <w:lastRenderedPageBreak/>
        <w:t>Tabela 2:</w:t>
      </w:r>
      <w:r w:rsidR="0033341F" w:rsidRPr="00496C6A">
        <w:rPr>
          <w:rFonts w:asciiTheme="minorHAnsi" w:hAnsiTheme="minorHAnsi" w:cstheme="minorHAnsi"/>
          <w:i/>
          <w:noProof/>
          <w:position w:val="-10"/>
          <w:sz w:val="24"/>
          <w:lang w:val="sl-SI" w:eastAsia="sl-SI"/>
        </w:rPr>
        <w:t xml:space="preserve"> Učinki uvedbe izplačila dela pokojnin v skladu s sistemom 40/3 (40 % delna pokojnina in povišanje odmernega odstotka za 3 odstotne točke za vsako leto tekom prvih 3 let), pri tem se delna pokojnina uživa v povprečju 1,8 leta; izraženo kot % BDP: z vidika pokojninske blagajne</w:t>
      </w:r>
    </w:p>
    <w:tbl>
      <w:tblPr>
        <w:tblW w:w="9776" w:type="dxa"/>
        <w:jc w:val="center"/>
        <w:tblLayout w:type="fixed"/>
        <w:tblCellMar>
          <w:left w:w="70" w:type="dxa"/>
          <w:right w:w="70" w:type="dxa"/>
        </w:tblCellMar>
        <w:tblLook w:val="04A0" w:firstRow="1" w:lastRow="0" w:firstColumn="1" w:lastColumn="0" w:noHBand="0" w:noVBand="1"/>
      </w:tblPr>
      <w:tblGrid>
        <w:gridCol w:w="2689"/>
        <w:gridCol w:w="644"/>
        <w:gridCol w:w="644"/>
        <w:gridCol w:w="644"/>
        <w:gridCol w:w="645"/>
        <w:gridCol w:w="644"/>
        <w:gridCol w:w="644"/>
        <w:gridCol w:w="644"/>
        <w:gridCol w:w="645"/>
        <w:gridCol w:w="644"/>
        <w:gridCol w:w="644"/>
        <w:gridCol w:w="645"/>
      </w:tblGrid>
      <w:tr w:rsidR="0033341F" w:rsidRPr="00496C6A" w:rsidTr="0033341F">
        <w:trPr>
          <w:trHeight w:val="255"/>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 </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2020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2025</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2030</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2035</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2040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2045</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2050</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2055</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2060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2065</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2070</w:t>
            </w:r>
          </w:p>
        </w:tc>
      </w:tr>
      <w:tr w:rsidR="0033341F" w:rsidRPr="00496C6A" w:rsidTr="0033341F">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Prispevek za PIZ (24,35%)</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0,19</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0,33</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0,36</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0,37</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0,38</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0,39</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0,41</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0,41</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0,42</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0,41</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0,42</w:t>
            </w:r>
          </w:p>
        </w:tc>
      </w:tr>
      <w:tr w:rsidR="0033341F" w:rsidRPr="00496C6A" w:rsidTr="0033341F">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Nižji izdatki za pokojnine zaradi poznejšega upokojevanja</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0,30</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0,52</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0,56</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0,58</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0,59</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0,61</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0,63</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0,64</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0,64</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0,64</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0,64</w:t>
            </w:r>
          </w:p>
        </w:tc>
      </w:tr>
      <w:tr w:rsidR="0033341F" w:rsidRPr="00496C6A" w:rsidTr="00693878">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3341F" w:rsidRPr="00496C6A" w:rsidRDefault="00B63022"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Izplačilo dela</w:t>
            </w:r>
            <w:r w:rsidR="0033341F" w:rsidRPr="00496C6A">
              <w:rPr>
                <w:rFonts w:asciiTheme="minorHAnsi" w:hAnsiTheme="minorHAnsi" w:cstheme="minorHAnsi"/>
                <w:szCs w:val="20"/>
                <w:lang w:val="sl-SI" w:eastAsia="sl-SI"/>
              </w:rPr>
              <w:t xml:space="preserve"> pokojnin</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0,12</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0,21</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0,22</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0,23</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0,24</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0,24</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0,25</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0,26</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0,26</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0,26</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0,26</w:t>
            </w:r>
          </w:p>
        </w:tc>
      </w:tr>
      <w:tr w:rsidR="0033341F" w:rsidRPr="00496C6A" w:rsidTr="00693878">
        <w:trPr>
          <w:trHeight w:val="255"/>
          <w:jc w:val="center"/>
        </w:trPr>
        <w:tc>
          <w:tcPr>
            <w:tcW w:w="268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 xml:space="preserve">Višje pokojnine zaradi višjih odmernih odstotkov </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0,01</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0,09</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0,21</w:t>
            </w:r>
          </w:p>
        </w:tc>
        <w:tc>
          <w:tcPr>
            <w:tcW w:w="645"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0,33</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0,45</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0,55</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0,63</w:t>
            </w:r>
          </w:p>
        </w:tc>
        <w:tc>
          <w:tcPr>
            <w:tcW w:w="645"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0,68</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0,70</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0,72</w:t>
            </w:r>
          </w:p>
        </w:tc>
        <w:tc>
          <w:tcPr>
            <w:tcW w:w="645"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0,73</w:t>
            </w:r>
          </w:p>
        </w:tc>
      </w:tr>
      <w:tr w:rsidR="0033341F" w:rsidRPr="00496C6A" w:rsidTr="00693878">
        <w:trPr>
          <w:trHeight w:val="255"/>
          <w:jc w:val="center"/>
        </w:trPr>
        <w:tc>
          <w:tcPr>
            <w:tcW w:w="2689"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Učinek za pokojninsko blagajno, skupaj</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0,35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0,55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0,49 </w:t>
            </w:r>
          </w:p>
        </w:tc>
        <w:tc>
          <w:tcPr>
            <w:tcW w:w="645"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0,38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0,29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0,21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0,16 </w:t>
            </w:r>
          </w:p>
        </w:tc>
        <w:tc>
          <w:tcPr>
            <w:tcW w:w="645"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0,12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0,10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0,08 </w:t>
            </w:r>
          </w:p>
        </w:tc>
        <w:tc>
          <w:tcPr>
            <w:tcW w:w="645"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0,07 </w:t>
            </w:r>
          </w:p>
        </w:tc>
      </w:tr>
    </w:tbl>
    <w:p w:rsidR="0033341F" w:rsidRPr="00496C6A" w:rsidRDefault="0033341F" w:rsidP="0033341F">
      <w:pPr>
        <w:spacing w:line="288" w:lineRule="auto"/>
        <w:jc w:val="both"/>
        <w:rPr>
          <w:rFonts w:asciiTheme="minorHAnsi" w:eastAsia="MS Mincho" w:hAnsiTheme="minorHAnsi" w:cstheme="minorHAnsi"/>
          <w:b/>
          <w:sz w:val="28"/>
          <w:szCs w:val="28"/>
          <w:lang w:val="sl-SI" w:eastAsia="ja-JP"/>
        </w:rPr>
      </w:pPr>
    </w:p>
    <w:p w:rsidR="0033341F" w:rsidRPr="00496C6A" w:rsidRDefault="0033341F" w:rsidP="0033341F">
      <w:pPr>
        <w:spacing w:line="288" w:lineRule="auto"/>
        <w:jc w:val="both"/>
        <w:rPr>
          <w:rFonts w:asciiTheme="minorHAnsi" w:eastAsia="MS Mincho" w:hAnsiTheme="minorHAnsi" w:cstheme="minorHAnsi"/>
          <w:b/>
          <w:sz w:val="28"/>
          <w:szCs w:val="28"/>
          <w:lang w:val="sl-SI" w:eastAsia="ja-JP"/>
        </w:rPr>
      </w:pPr>
    </w:p>
    <w:p w:rsidR="0033341F" w:rsidRPr="00496C6A" w:rsidRDefault="0033341F" w:rsidP="00DC6530">
      <w:pPr>
        <w:pStyle w:val="Slog2"/>
        <w:numPr>
          <w:ilvl w:val="0"/>
          <w:numId w:val="32"/>
        </w:numPr>
        <w:rPr>
          <w:rFonts w:asciiTheme="minorHAnsi" w:hAnsiTheme="minorHAnsi" w:cstheme="minorHAnsi"/>
        </w:rPr>
      </w:pPr>
      <w:bookmarkStart w:id="7" w:name="_Toc18910197"/>
      <w:r w:rsidRPr="00496C6A">
        <w:rPr>
          <w:rFonts w:asciiTheme="minorHAnsi" w:hAnsiTheme="minorHAnsi" w:cstheme="minorHAnsi"/>
        </w:rPr>
        <w:t xml:space="preserve">Učinki v predlaganem sistemu pravice do izplačila dela pokojnine s parametroma 40/3; predpostavljeno povečanje števila delnih pokojnin glede na </w:t>
      </w:r>
      <w:bookmarkEnd w:id="7"/>
      <w:r w:rsidR="00A43E8A" w:rsidRPr="00496C6A">
        <w:rPr>
          <w:rFonts w:asciiTheme="minorHAnsi" w:hAnsiTheme="minorHAnsi" w:cstheme="minorHAnsi"/>
        </w:rPr>
        <w:t>poglavje 3.2</w:t>
      </w: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33341F">
      <w:pPr>
        <w:spacing w:line="288" w:lineRule="auto"/>
        <w:jc w:val="both"/>
        <w:rPr>
          <w:rFonts w:asciiTheme="minorHAnsi" w:eastAsia="MS Mincho" w:hAnsiTheme="minorHAnsi" w:cstheme="minorHAnsi"/>
          <w:sz w:val="24"/>
          <w:lang w:val="sl-SI" w:eastAsia="ja-JP"/>
        </w:rPr>
      </w:pPr>
      <w:r w:rsidRPr="00496C6A">
        <w:rPr>
          <w:rFonts w:asciiTheme="minorHAnsi" w:eastAsia="MS Mincho" w:hAnsiTheme="minorHAnsi" w:cstheme="minorHAnsi"/>
          <w:sz w:val="24"/>
          <w:lang w:val="sl-SI" w:eastAsia="ja-JP"/>
        </w:rPr>
        <w:t>Tokrat predpostavljamo, da bo višji odstotek, ki ga posameznik prejme v primeru nadaljevanja z delom (40 % pokojnine namesto 20 %) podaljšalo njihovo ostajanje v zaposlitvi. Predpostavljamo, da bo z delom nadaljevalo enako število posameznikov, vendar pa bodo namesto prejšnjih 1,8 leta v povprečju ostajali v zaposlitvi 2,5 leti. Rezultate za ta scena</w:t>
      </w:r>
      <w:r w:rsidR="007B450F" w:rsidRPr="00496C6A">
        <w:rPr>
          <w:rFonts w:asciiTheme="minorHAnsi" w:eastAsia="MS Mincho" w:hAnsiTheme="minorHAnsi" w:cstheme="minorHAnsi"/>
          <w:sz w:val="24"/>
          <w:lang w:val="sl-SI" w:eastAsia="ja-JP"/>
        </w:rPr>
        <w:t>rij predstavljamo v Sliki 4 in</w:t>
      </w:r>
      <w:r w:rsidRPr="00496C6A">
        <w:rPr>
          <w:rFonts w:asciiTheme="minorHAnsi" w:eastAsia="MS Mincho" w:hAnsiTheme="minorHAnsi" w:cstheme="minorHAnsi"/>
          <w:sz w:val="24"/>
          <w:lang w:val="sl-SI" w:eastAsia="ja-JP"/>
        </w:rPr>
        <w:t xml:space="preserve"> Tabeli </w:t>
      </w:r>
      <w:r w:rsidR="007B450F" w:rsidRPr="00496C6A">
        <w:rPr>
          <w:rFonts w:asciiTheme="minorHAnsi" w:eastAsia="MS Mincho" w:hAnsiTheme="minorHAnsi" w:cstheme="minorHAnsi"/>
          <w:sz w:val="24"/>
          <w:lang w:val="sl-SI" w:eastAsia="ja-JP"/>
        </w:rPr>
        <w:t>3</w:t>
      </w:r>
      <w:r w:rsidRPr="00496C6A">
        <w:rPr>
          <w:rFonts w:asciiTheme="minorHAnsi" w:eastAsia="MS Mincho" w:hAnsiTheme="minorHAnsi" w:cstheme="minorHAnsi"/>
          <w:sz w:val="24"/>
          <w:lang w:val="sl-SI" w:eastAsia="ja-JP"/>
        </w:rPr>
        <w:t>. Razlaga je anal</w:t>
      </w:r>
      <w:r w:rsidR="007B450F" w:rsidRPr="00496C6A">
        <w:rPr>
          <w:rFonts w:asciiTheme="minorHAnsi" w:eastAsia="MS Mincho" w:hAnsiTheme="minorHAnsi" w:cstheme="minorHAnsi"/>
          <w:sz w:val="24"/>
          <w:lang w:val="sl-SI" w:eastAsia="ja-JP"/>
        </w:rPr>
        <w:t>ogna kot za rezultate v Sliki 3 in</w:t>
      </w:r>
      <w:r w:rsidRPr="00496C6A">
        <w:rPr>
          <w:rFonts w:asciiTheme="minorHAnsi" w:eastAsia="MS Mincho" w:hAnsiTheme="minorHAnsi" w:cstheme="minorHAnsi"/>
          <w:sz w:val="24"/>
          <w:lang w:val="sl-SI" w:eastAsia="ja-JP"/>
        </w:rPr>
        <w:t xml:space="preserve"> Tabeli </w:t>
      </w:r>
      <w:r w:rsidR="007B450F" w:rsidRPr="00496C6A">
        <w:rPr>
          <w:rFonts w:asciiTheme="minorHAnsi" w:eastAsia="MS Mincho" w:hAnsiTheme="minorHAnsi" w:cstheme="minorHAnsi"/>
          <w:sz w:val="24"/>
          <w:lang w:val="sl-SI" w:eastAsia="ja-JP"/>
        </w:rPr>
        <w:t>2</w:t>
      </w:r>
      <w:r w:rsidRPr="00496C6A">
        <w:rPr>
          <w:rFonts w:asciiTheme="minorHAnsi" w:eastAsia="MS Mincho" w:hAnsiTheme="minorHAnsi" w:cstheme="minorHAnsi"/>
          <w:sz w:val="24"/>
          <w:lang w:val="sl-SI" w:eastAsia="ja-JP"/>
        </w:rPr>
        <w:t xml:space="preserve">, le da je število posameznikov, ki v danem letu prejemajo del pokojnine višje – in sicer zaradi daljšega ostajanja v zaposlitvi (2,5 leti namesto 1,8 leta) – in s tem so večji tudi učinki, izraženi kot % BDP. </w:t>
      </w: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33341F">
      <w:pPr>
        <w:keepNext/>
        <w:keepLines/>
        <w:spacing w:after="200" w:line="288" w:lineRule="auto"/>
        <w:jc w:val="center"/>
        <w:rPr>
          <w:rFonts w:asciiTheme="minorHAnsi" w:hAnsiTheme="minorHAnsi" w:cstheme="minorHAnsi"/>
          <w:i/>
          <w:noProof/>
          <w:position w:val="-10"/>
          <w:sz w:val="24"/>
          <w:lang w:val="sl-SI" w:eastAsia="sl-SI"/>
        </w:rPr>
      </w:pPr>
      <w:r w:rsidRPr="00496C6A">
        <w:rPr>
          <w:rFonts w:asciiTheme="minorHAnsi" w:hAnsiTheme="minorHAnsi" w:cstheme="minorHAnsi"/>
          <w:i/>
          <w:noProof/>
          <w:position w:val="-10"/>
          <w:sz w:val="24"/>
          <w:lang w:val="sl-SI" w:eastAsia="sl-SI"/>
        </w:rPr>
        <w:lastRenderedPageBreak/>
        <w:t>Slika 4: Učinki uvedbe pravice do izplačila dela pokojnine  v skladu s sistemom  40/3 (40 % delna pokojnina in povišanje odmernega odstotka za 3 odstotne točke za vsako leto tekom prvih 3 let), pri tem pa se pravica do izplačila dela pokojnine uživa v povprečju 2,5 leti; izraženo kot % BDP: z vidika pokojninske blagajne</w:t>
      </w:r>
    </w:p>
    <w:p w:rsidR="000972A6" w:rsidRPr="00496C6A" w:rsidRDefault="000972A6" w:rsidP="000972A6">
      <w:pPr>
        <w:spacing w:line="288" w:lineRule="auto"/>
        <w:jc w:val="center"/>
        <w:rPr>
          <w:rFonts w:asciiTheme="minorHAnsi" w:eastAsia="MS Mincho" w:hAnsiTheme="minorHAnsi" w:cstheme="minorHAnsi"/>
          <w:sz w:val="24"/>
          <w:lang w:val="sl-SI" w:eastAsia="ja-JP"/>
        </w:rPr>
      </w:pPr>
      <w:r w:rsidRPr="00496C6A">
        <w:rPr>
          <w:rFonts w:asciiTheme="minorHAnsi" w:eastAsia="MS Mincho" w:hAnsiTheme="minorHAnsi" w:cstheme="minorHAnsi"/>
          <w:noProof/>
          <w:sz w:val="24"/>
          <w:lang w:val="sl-SI" w:eastAsia="sl-SI"/>
        </w:rPr>
        <w:drawing>
          <wp:inline distT="0" distB="0" distL="0" distR="0" wp14:anchorId="0F8841E1" wp14:editId="79540EF4">
            <wp:extent cx="4572000" cy="3371850"/>
            <wp:effectExtent l="0" t="0" r="0" b="0"/>
            <wp:docPr id="4" name="Chart 7">
              <a:extLst xmlns:a="http://schemas.openxmlformats.org/drawingml/2006/main">
                <a:ext uri="{FF2B5EF4-FFF2-40B4-BE49-F238E27FC236}">
                  <a16:creationId xmlns:a16="http://schemas.microsoft.com/office/drawing/2014/main" id="{8E96600B-8E4C-4EB2-9526-3E6BCBBF53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972A6" w:rsidRPr="00496C6A" w:rsidRDefault="000972A6" w:rsidP="000972A6">
      <w:pPr>
        <w:spacing w:line="288" w:lineRule="auto"/>
        <w:jc w:val="both"/>
        <w:rPr>
          <w:rFonts w:asciiTheme="minorHAnsi" w:eastAsia="MS Mincho" w:hAnsiTheme="minorHAnsi" w:cstheme="minorHAnsi"/>
          <w:sz w:val="24"/>
          <w:lang w:val="sl-SI" w:eastAsia="ja-JP"/>
        </w:rPr>
      </w:pP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7B450F" w:rsidP="0033341F">
      <w:pPr>
        <w:keepNext/>
        <w:keepLines/>
        <w:spacing w:line="288" w:lineRule="auto"/>
        <w:jc w:val="center"/>
        <w:rPr>
          <w:rFonts w:asciiTheme="minorHAnsi" w:hAnsiTheme="minorHAnsi" w:cstheme="minorHAnsi"/>
          <w:i/>
          <w:noProof/>
          <w:position w:val="-10"/>
          <w:sz w:val="24"/>
          <w:lang w:val="sl-SI" w:eastAsia="sl-SI"/>
        </w:rPr>
      </w:pPr>
      <w:r w:rsidRPr="00496C6A">
        <w:rPr>
          <w:rFonts w:asciiTheme="minorHAnsi" w:hAnsiTheme="minorHAnsi" w:cstheme="minorHAnsi"/>
          <w:i/>
          <w:noProof/>
          <w:position w:val="-10"/>
          <w:sz w:val="24"/>
          <w:lang w:val="sl-SI" w:eastAsia="sl-SI"/>
        </w:rPr>
        <w:t>Tabela 3:</w:t>
      </w:r>
      <w:r w:rsidR="0033341F" w:rsidRPr="00496C6A">
        <w:rPr>
          <w:rFonts w:asciiTheme="minorHAnsi" w:hAnsiTheme="minorHAnsi" w:cstheme="minorHAnsi"/>
          <w:i/>
          <w:noProof/>
          <w:position w:val="-10"/>
          <w:sz w:val="24"/>
          <w:lang w:val="sl-SI" w:eastAsia="sl-SI"/>
        </w:rPr>
        <w:t xml:space="preserve"> Učinki uvedbe pravice do izplačila dela pokojnine  v skladu s sistemom  40/3 (40 % delna pokojnina in povišanje odmernega odstotka za 3 odstotne točke za vsako leto tekom prvih 3 let), pri tem pa se delna pokojnina uživa v povprečju 2,5 leti; izraženo kot % BDP: z vidika pokojninske blagajne</w:t>
      </w:r>
    </w:p>
    <w:p w:rsidR="0033341F" w:rsidRPr="00496C6A" w:rsidRDefault="0033341F" w:rsidP="0033341F">
      <w:pPr>
        <w:keepNext/>
        <w:keepLines/>
        <w:spacing w:line="288" w:lineRule="auto"/>
        <w:jc w:val="both"/>
        <w:rPr>
          <w:rFonts w:asciiTheme="minorHAnsi" w:eastAsia="MS Mincho" w:hAnsiTheme="minorHAnsi" w:cstheme="minorHAnsi"/>
          <w:sz w:val="24"/>
          <w:lang w:val="sl-SI" w:eastAsia="sl-SI"/>
        </w:rPr>
      </w:pPr>
    </w:p>
    <w:tbl>
      <w:tblPr>
        <w:tblW w:w="9776" w:type="dxa"/>
        <w:jc w:val="center"/>
        <w:tblLayout w:type="fixed"/>
        <w:tblCellMar>
          <w:left w:w="70" w:type="dxa"/>
          <w:right w:w="70" w:type="dxa"/>
        </w:tblCellMar>
        <w:tblLook w:val="04A0" w:firstRow="1" w:lastRow="0" w:firstColumn="1" w:lastColumn="0" w:noHBand="0" w:noVBand="1"/>
      </w:tblPr>
      <w:tblGrid>
        <w:gridCol w:w="2689"/>
        <w:gridCol w:w="644"/>
        <w:gridCol w:w="644"/>
        <w:gridCol w:w="644"/>
        <w:gridCol w:w="645"/>
        <w:gridCol w:w="644"/>
        <w:gridCol w:w="644"/>
        <w:gridCol w:w="644"/>
        <w:gridCol w:w="645"/>
        <w:gridCol w:w="644"/>
        <w:gridCol w:w="644"/>
        <w:gridCol w:w="645"/>
      </w:tblGrid>
      <w:tr w:rsidR="0033341F" w:rsidRPr="00496C6A" w:rsidTr="0033341F">
        <w:trPr>
          <w:trHeight w:val="255"/>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 </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2020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2025</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2030</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2035</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2040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2045</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2050</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2055</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2060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2065</w:t>
            </w:r>
          </w:p>
        </w:tc>
        <w:tc>
          <w:tcPr>
            <w:tcW w:w="645" w:type="dxa"/>
            <w:tcBorders>
              <w:top w:val="single" w:sz="4" w:space="0" w:color="auto"/>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2070</w:t>
            </w:r>
          </w:p>
        </w:tc>
      </w:tr>
      <w:tr w:rsidR="0033341F" w:rsidRPr="00496C6A" w:rsidTr="0033341F">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Prispevek za PIZ (24,35%)</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0,25</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0,45</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0,50</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0,51</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0,52</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0,54</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0,55</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0,56</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0,57</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0,57</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0,57</w:t>
            </w:r>
          </w:p>
        </w:tc>
      </w:tr>
      <w:tr w:rsidR="0033341F" w:rsidRPr="00496C6A" w:rsidTr="0033341F">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Nižji izdatki za pokojnine zaradi poznejšega upokojevanja</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0,40</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0,70</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0,77</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0,79</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0,81</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0,84</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0,86</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0,87</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0,88</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0,88</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00B050"/>
                <w:szCs w:val="20"/>
                <w:lang w:val="sl-SI" w:eastAsia="sl-SI"/>
              </w:rPr>
            </w:pPr>
            <w:r w:rsidRPr="00496C6A">
              <w:rPr>
                <w:rFonts w:asciiTheme="minorHAnsi" w:eastAsia="MS Mincho" w:hAnsiTheme="minorHAnsi" w:cstheme="minorHAnsi"/>
                <w:color w:val="00B050"/>
                <w:szCs w:val="20"/>
                <w:lang w:val="sl-SI" w:eastAsia="ja-JP"/>
              </w:rPr>
              <w:t>0,88</w:t>
            </w:r>
          </w:p>
        </w:tc>
      </w:tr>
      <w:tr w:rsidR="0033341F" w:rsidRPr="00496C6A" w:rsidTr="00693878">
        <w:trPr>
          <w:trHeight w:val="255"/>
          <w:jc w:val="center"/>
        </w:trPr>
        <w:tc>
          <w:tcPr>
            <w:tcW w:w="2689" w:type="dxa"/>
            <w:tcBorders>
              <w:top w:val="nil"/>
              <w:left w:val="single" w:sz="4" w:space="0" w:color="auto"/>
              <w:bottom w:val="single" w:sz="4" w:space="0" w:color="auto"/>
              <w:right w:val="single" w:sz="4" w:space="0" w:color="auto"/>
            </w:tcBorders>
            <w:shd w:val="clear" w:color="auto" w:fill="auto"/>
            <w:noWrap/>
            <w:vAlign w:val="bottom"/>
            <w:hideMark/>
          </w:tcPr>
          <w:p w:rsidR="0033341F" w:rsidRPr="00496C6A" w:rsidRDefault="00B63022"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Izplačilo dela</w:t>
            </w:r>
            <w:r w:rsidR="0033341F" w:rsidRPr="00496C6A">
              <w:rPr>
                <w:rFonts w:asciiTheme="minorHAnsi" w:hAnsiTheme="minorHAnsi" w:cstheme="minorHAnsi"/>
                <w:szCs w:val="20"/>
                <w:lang w:val="sl-SI" w:eastAsia="sl-SI"/>
              </w:rPr>
              <w:t xml:space="preserve"> pokojnin</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0,16</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0,28</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0,31</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0,32</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0,32</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0,33</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0,34</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0,35</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0,35</w:t>
            </w:r>
          </w:p>
        </w:tc>
        <w:tc>
          <w:tcPr>
            <w:tcW w:w="644"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0,35</w:t>
            </w:r>
          </w:p>
        </w:tc>
        <w:tc>
          <w:tcPr>
            <w:tcW w:w="645" w:type="dxa"/>
            <w:tcBorders>
              <w:top w:val="nil"/>
              <w:left w:val="nil"/>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0,35</w:t>
            </w:r>
          </w:p>
        </w:tc>
      </w:tr>
      <w:tr w:rsidR="0033341F" w:rsidRPr="00496C6A" w:rsidTr="00693878">
        <w:trPr>
          <w:trHeight w:val="255"/>
          <w:jc w:val="center"/>
        </w:trPr>
        <w:tc>
          <w:tcPr>
            <w:tcW w:w="268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rPr>
                <w:rFonts w:asciiTheme="minorHAnsi" w:hAnsiTheme="minorHAnsi" w:cstheme="minorHAnsi"/>
                <w:szCs w:val="20"/>
                <w:lang w:val="sl-SI" w:eastAsia="sl-SI"/>
              </w:rPr>
            </w:pPr>
            <w:r w:rsidRPr="00496C6A">
              <w:rPr>
                <w:rFonts w:asciiTheme="minorHAnsi" w:hAnsiTheme="minorHAnsi" w:cstheme="minorHAnsi"/>
                <w:szCs w:val="20"/>
                <w:lang w:val="sl-SI" w:eastAsia="sl-SI"/>
              </w:rPr>
              <w:t xml:space="preserve">Višje pokojnine zaradi višjih odmernih odstotkov </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0,00</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0,11</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0,28</w:t>
            </w:r>
          </w:p>
        </w:tc>
        <w:tc>
          <w:tcPr>
            <w:tcW w:w="645"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0,45</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0,61</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0,75</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0,85</w:t>
            </w:r>
          </w:p>
        </w:tc>
        <w:tc>
          <w:tcPr>
            <w:tcW w:w="645"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0,93</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0,96</w:t>
            </w:r>
          </w:p>
        </w:tc>
        <w:tc>
          <w:tcPr>
            <w:tcW w:w="644"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0,99</w:t>
            </w:r>
          </w:p>
        </w:tc>
        <w:tc>
          <w:tcPr>
            <w:tcW w:w="645" w:type="dxa"/>
            <w:tcBorders>
              <w:top w:val="single" w:sz="4" w:space="0" w:color="auto"/>
              <w:left w:val="nil"/>
              <w:bottom w:val="doub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ind w:left="-71" w:hanging="6"/>
              <w:jc w:val="right"/>
              <w:rPr>
                <w:rFonts w:asciiTheme="minorHAnsi" w:hAnsiTheme="minorHAnsi" w:cstheme="minorHAnsi"/>
                <w:color w:val="FF0000"/>
                <w:szCs w:val="20"/>
                <w:lang w:val="sl-SI" w:eastAsia="sl-SI"/>
              </w:rPr>
            </w:pPr>
            <w:r w:rsidRPr="00496C6A">
              <w:rPr>
                <w:rFonts w:asciiTheme="minorHAnsi" w:eastAsia="MS Mincho" w:hAnsiTheme="minorHAnsi" w:cstheme="minorHAnsi"/>
                <w:color w:val="FF0000"/>
                <w:szCs w:val="20"/>
                <w:lang w:val="sl-SI" w:eastAsia="ja-JP"/>
              </w:rPr>
              <w:t>1,00</w:t>
            </w:r>
          </w:p>
        </w:tc>
      </w:tr>
      <w:tr w:rsidR="0033341F" w:rsidRPr="00496C6A" w:rsidTr="00693878">
        <w:trPr>
          <w:trHeight w:val="255"/>
          <w:jc w:val="center"/>
        </w:trPr>
        <w:tc>
          <w:tcPr>
            <w:tcW w:w="2689"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33341F" w:rsidRPr="00496C6A" w:rsidRDefault="0033341F" w:rsidP="0033341F">
            <w:pPr>
              <w:keepNext/>
              <w:keepLines/>
              <w:spacing w:line="240" w:lineRule="auto"/>
              <w:rPr>
                <w:rFonts w:asciiTheme="minorHAnsi" w:hAnsiTheme="minorHAnsi" w:cstheme="minorHAnsi"/>
                <w:b/>
                <w:bCs/>
                <w:szCs w:val="20"/>
                <w:lang w:val="sl-SI" w:eastAsia="sl-SI"/>
              </w:rPr>
            </w:pPr>
            <w:r w:rsidRPr="00496C6A">
              <w:rPr>
                <w:rFonts w:asciiTheme="minorHAnsi" w:hAnsiTheme="minorHAnsi" w:cstheme="minorHAnsi"/>
                <w:b/>
                <w:bCs/>
                <w:szCs w:val="20"/>
                <w:lang w:val="sl-SI" w:eastAsia="sl-SI"/>
              </w:rPr>
              <w:t>Učinek za pokojninsko blagajno, skupaj</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0,48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0,75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0,68 </w:t>
            </w:r>
          </w:p>
        </w:tc>
        <w:tc>
          <w:tcPr>
            <w:tcW w:w="645"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0,53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0,40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0,30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0,21 </w:t>
            </w:r>
          </w:p>
        </w:tc>
        <w:tc>
          <w:tcPr>
            <w:tcW w:w="645"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0,16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0,13 </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0,11 </w:t>
            </w:r>
          </w:p>
        </w:tc>
        <w:tc>
          <w:tcPr>
            <w:tcW w:w="645" w:type="dxa"/>
            <w:tcBorders>
              <w:top w:val="double" w:sz="4" w:space="0" w:color="auto"/>
              <w:left w:val="nil"/>
              <w:bottom w:val="single" w:sz="4" w:space="0" w:color="auto"/>
              <w:right w:val="single" w:sz="4" w:space="0" w:color="auto"/>
            </w:tcBorders>
            <w:shd w:val="clear" w:color="auto" w:fill="auto"/>
            <w:noWrap/>
            <w:vAlign w:val="bottom"/>
            <w:hideMark/>
          </w:tcPr>
          <w:p w:rsidR="0033341F" w:rsidRPr="00693878" w:rsidRDefault="0033341F" w:rsidP="0033341F">
            <w:pPr>
              <w:keepNext/>
              <w:keepLines/>
              <w:spacing w:line="240" w:lineRule="auto"/>
              <w:ind w:left="-71" w:hanging="6"/>
              <w:jc w:val="right"/>
              <w:rPr>
                <w:rFonts w:asciiTheme="minorHAnsi" w:hAnsiTheme="minorHAnsi" w:cstheme="minorHAnsi"/>
                <w:b/>
                <w:bCs/>
                <w:color w:val="00B050"/>
                <w:szCs w:val="20"/>
                <w:lang w:val="sl-SI" w:eastAsia="sl-SI"/>
              </w:rPr>
            </w:pPr>
            <w:r w:rsidRPr="00693878">
              <w:rPr>
                <w:rFonts w:asciiTheme="minorHAnsi" w:eastAsia="MS Mincho" w:hAnsiTheme="minorHAnsi" w:cstheme="minorHAnsi"/>
                <w:b/>
                <w:bCs/>
                <w:color w:val="00B050"/>
                <w:szCs w:val="20"/>
                <w:lang w:val="sl-SI" w:eastAsia="ja-JP"/>
              </w:rPr>
              <w:t xml:space="preserve">0,09 </w:t>
            </w:r>
          </w:p>
        </w:tc>
      </w:tr>
    </w:tbl>
    <w:p w:rsidR="0033341F" w:rsidRPr="00496C6A" w:rsidRDefault="0033341F" w:rsidP="0033341F">
      <w:pPr>
        <w:spacing w:line="288" w:lineRule="auto"/>
        <w:jc w:val="both"/>
        <w:rPr>
          <w:rFonts w:asciiTheme="minorHAnsi" w:eastAsia="MS Mincho" w:hAnsiTheme="minorHAnsi" w:cstheme="minorHAnsi"/>
          <w:sz w:val="24"/>
          <w:lang w:val="sl-SI" w:eastAsia="sl-SI"/>
        </w:rPr>
      </w:pPr>
    </w:p>
    <w:p w:rsidR="0033341F" w:rsidRPr="00496C6A" w:rsidRDefault="0033341F" w:rsidP="0033341F">
      <w:pPr>
        <w:spacing w:line="288" w:lineRule="auto"/>
        <w:jc w:val="both"/>
        <w:rPr>
          <w:rFonts w:asciiTheme="minorHAnsi" w:eastAsia="MS Mincho" w:hAnsiTheme="minorHAnsi" w:cstheme="minorHAnsi"/>
          <w:sz w:val="24"/>
          <w:lang w:val="sl-SI" w:eastAsia="sl-SI"/>
        </w:rPr>
      </w:pP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33341F">
      <w:pPr>
        <w:spacing w:line="240" w:lineRule="auto"/>
        <w:rPr>
          <w:rFonts w:asciiTheme="minorHAnsi" w:eastAsia="MS Mincho" w:hAnsiTheme="minorHAnsi" w:cstheme="minorHAnsi"/>
          <w:b/>
          <w:color w:val="548DD4"/>
          <w:sz w:val="24"/>
          <w:lang w:val="sl-SI" w:eastAsia="ja-JP"/>
        </w:rPr>
      </w:pPr>
      <w:r w:rsidRPr="00496C6A">
        <w:rPr>
          <w:rFonts w:asciiTheme="minorHAnsi" w:eastAsia="MS Mincho" w:hAnsiTheme="minorHAnsi" w:cstheme="minorHAnsi"/>
          <w:b/>
          <w:color w:val="548DD4"/>
          <w:sz w:val="24"/>
          <w:lang w:val="sl-SI" w:eastAsia="ja-JP"/>
        </w:rPr>
        <w:br w:type="page"/>
      </w:r>
    </w:p>
    <w:p w:rsidR="0033341F" w:rsidRPr="00496C6A" w:rsidRDefault="0033341F" w:rsidP="001E262C">
      <w:pPr>
        <w:pStyle w:val="Slog1"/>
        <w:rPr>
          <w:rFonts w:asciiTheme="minorHAnsi" w:hAnsiTheme="minorHAnsi" w:cstheme="minorHAnsi"/>
        </w:rPr>
      </w:pPr>
      <w:bookmarkStart w:id="8" w:name="_Toc18910198"/>
      <w:r w:rsidRPr="00496C6A">
        <w:rPr>
          <w:rFonts w:asciiTheme="minorHAnsi" w:hAnsiTheme="minorHAnsi" w:cstheme="minorHAnsi"/>
        </w:rPr>
        <w:lastRenderedPageBreak/>
        <w:t>UČINEK SPREMEMB PRI ODMERNIH ODSTOTKIH IN PRI PRAVICI DO IZPLAČILA DELA POKOJNINE NA JAVNOFINANČNE IZDATKE ZA POKOJNINE KOT % BDP</w:t>
      </w:r>
      <w:bookmarkEnd w:id="8"/>
    </w:p>
    <w:p w:rsidR="0033341F" w:rsidRPr="00496C6A" w:rsidRDefault="0033341F" w:rsidP="0033341F">
      <w:pPr>
        <w:keepNext/>
        <w:keepLines/>
        <w:spacing w:line="288" w:lineRule="auto"/>
        <w:jc w:val="both"/>
        <w:rPr>
          <w:rFonts w:asciiTheme="minorHAnsi" w:eastAsia="MS Mincho" w:hAnsiTheme="minorHAnsi" w:cstheme="minorHAnsi"/>
          <w:sz w:val="24"/>
          <w:lang w:val="sl-SI" w:eastAsia="ja-JP"/>
        </w:rPr>
      </w:pPr>
    </w:p>
    <w:p w:rsidR="0033341F" w:rsidRPr="00496C6A" w:rsidRDefault="0033341F" w:rsidP="0033341F">
      <w:pPr>
        <w:spacing w:line="288" w:lineRule="auto"/>
        <w:jc w:val="both"/>
        <w:rPr>
          <w:rFonts w:asciiTheme="minorHAnsi" w:eastAsia="MS Mincho" w:hAnsiTheme="minorHAnsi" w:cstheme="minorHAnsi"/>
          <w:sz w:val="24"/>
          <w:lang w:val="sl-SI" w:eastAsia="ja-JP"/>
        </w:rPr>
      </w:pPr>
      <w:r w:rsidRPr="00496C6A">
        <w:rPr>
          <w:rFonts w:asciiTheme="minorHAnsi" w:eastAsia="MS Mincho" w:hAnsiTheme="minorHAnsi" w:cstheme="minorHAnsi"/>
          <w:sz w:val="24"/>
          <w:lang w:val="sl-SI" w:eastAsia="ja-JP"/>
        </w:rPr>
        <w:t>V Sliki 5 prikazujemo še učinek pravice do izplačila dela pokojnine na celotne javnofinančne izdatke za pokojnine kot % BDP.</w:t>
      </w:r>
      <w:r w:rsidR="00EE084F" w:rsidRPr="00EE084F">
        <w:rPr>
          <w:rFonts w:asciiTheme="minorHAnsi" w:eastAsia="MS Mincho" w:hAnsiTheme="minorHAnsi" w:cstheme="minorHAnsi"/>
          <w:sz w:val="24"/>
          <w:lang w:val="sl-SI" w:eastAsia="ja-JP"/>
        </w:rPr>
        <w:t xml:space="preserve"> </w:t>
      </w:r>
      <w:r w:rsidR="00EE084F">
        <w:rPr>
          <w:rFonts w:asciiTheme="minorHAnsi" w:eastAsia="MS Mincho" w:hAnsiTheme="minorHAnsi" w:cstheme="minorHAnsi"/>
          <w:sz w:val="24"/>
          <w:lang w:val="sl-SI" w:eastAsia="ja-JP"/>
        </w:rPr>
        <w:t>V primerjavi s prej predstavljenimi učinki z vidika pokojninske blagajne sedaj ni upoštevan pozitivni učinek prejetih prispevkov za pokojninsko in invalidsko zavarovanje, saj gre za vir sredstev pokojninske blagajne, ne pa sestavni del izdatkov za pokojnine.</w:t>
      </w:r>
      <w:r w:rsidRPr="00496C6A">
        <w:rPr>
          <w:rFonts w:asciiTheme="minorHAnsi" w:eastAsia="MS Mincho" w:hAnsiTheme="minorHAnsi" w:cstheme="minorHAnsi"/>
          <w:sz w:val="24"/>
          <w:lang w:val="sl-SI" w:eastAsia="ja-JP"/>
        </w:rPr>
        <w:t xml:space="preserve"> Učinke dodamo oz. naložimo na že obstoječe učinke povišanja skupnega odmernega odstotka za polno pokojninsko dobo na 63,5 % in 1,36 % za vsakega otroka – ti skupni učinki so v Sliki 5 zajeti v scenariju »Za vsakega otroka dodatnih 1,36 odm. %«</w:t>
      </w:r>
      <w:r w:rsidRPr="00496C6A">
        <w:rPr>
          <w:rFonts w:asciiTheme="minorHAnsi" w:eastAsia="MS Mincho" w:hAnsiTheme="minorHAnsi" w:cstheme="minorHAnsi"/>
          <w:sz w:val="24"/>
          <w:vertAlign w:val="superscript"/>
          <w:lang w:val="sl-SI" w:eastAsia="ja-JP"/>
        </w:rPr>
        <w:footnoteReference w:id="3"/>
      </w:r>
      <w:r w:rsidRPr="00496C6A">
        <w:rPr>
          <w:rFonts w:asciiTheme="minorHAnsi" w:eastAsia="MS Mincho" w:hAnsiTheme="minorHAnsi" w:cstheme="minorHAnsi"/>
          <w:sz w:val="24"/>
          <w:lang w:val="sl-SI" w:eastAsia="ja-JP"/>
        </w:rPr>
        <w:t>. Če kumulativnemu učinku teh dveh scenarijev dodamo učinke posameznega izmed naših treh scenarijev, dobimo tri različne krivulje, prikazane v Sliki</w:t>
      </w:r>
      <w:r w:rsidR="00A43E8A" w:rsidRPr="00496C6A">
        <w:rPr>
          <w:rFonts w:asciiTheme="minorHAnsi" w:eastAsia="MS Mincho" w:hAnsiTheme="minorHAnsi" w:cstheme="minorHAnsi"/>
          <w:sz w:val="24"/>
          <w:lang w:val="sl-SI" w:eastAsia="ja-JP"/>
        </w:rPr>
        <w:t xml:space="preserve"> </w:t>
      </w:r>
      <w:r w:rsidRPr="00496C6A">
        <w:rPr>
          <w:rFonts w:asciiTheme="minorHAnsi" w:eastAsia="MS Mincho" w:hAnsiTheme="minorHAnsi" w:cstheme="minorHAnsi"/>
          <w:sz w:val="24"/>
          <w:lang w:val="sl-SI" w:eastAsia="ja-JP"/>
        </w:rPr>
        <w:t xml:space="preserve">5. Razberemo lahko, da so ob vseh treh scenarijih javnofinančni izdatki za pokojnine kot % BDP v začetnih desetletjih projekcij zaradi tega nižji, proti koncu obdobja projekcij pa postanejo izdatki višji kot bi bili, če pravice do izplačila dela pokojnine ne bi bilo. </w:t>
      </w:r>
    </w:p>
    <w:p w:rsidR="0033341F" w:rsidRPr="00496C6A" w:rsidRDefault="0033341F" w:rsidP="0033341F">
      <w:pPr>
        <w:spacing w:line="288" w:lineRule="auto"/>
        <w:jc w:val="both"/>
        <w:rPr>
          <w:rFonts w:asciiTheme="minorHAnsi" w:eastAsia="MS Mincho" w:hAnsiTheme="minorHAnsi" w:cstheme="minorHAnsi"/>
          <w:sz w:val="24"/>
          <w:lang w:val="sl-SI" w:eastAsia="ja-JP"/>
        </w:rPr>
      </w:pPr>
    </w:p>
    <w:p w:rsidR="0033341F" w:rsidRPr="00496C6A" w:rsidRDefault="0033341F" w:rsidP="0033341F">
      <w:pPr>
        <w:keepNext/>
        <w:keepLines/>
        <w:spacing w:line="288" w:lineRule="auto"/>
        <w:jc w:val="center"/>
        <w:rPr>
          <w:rFonts w:asciiTheme="minorHAnsi" w:hAnsiTheme="minorHAnsi" w:cstheme="minorHAnsi"/>
          <w:i/>
          <w:noProof/>
          <w:position w:val="-10"/>
          <w:sz w:val="24"/>
          <w:lang w:val="sl-SI" w:eastAsia="sl-SI"/>
        </w:rPr>
      </w:pPr>
      <w:r w:rsidRPr="00496C6A">
        <w:rPr>
          <w:rFonts w:asciiTheme="minorHAnsi" w:hAnsiTheme="minorHAnsi" w:cstheme="minorHAnsi"/>
          <w:i/>
          <w:noProof/>
          <w:position w:val="-10"/>
          <w:sz w:val="24"/>
          <w:lang w:val="sl-SI" w:eastAsia="sl-SI"/>
        </w:rPr>
        <w:t>Slika 5: Učinki uvedbe pravice do izplačila dela pokojnine v skladu z obstoječim sistemom (izplačilo 40 % dela pokojnina in povišanje odmernega odstotka za 3 odstotne točke za vsako izmed prvih 3 let); izraženo kot % BDP; z vidika izdatkov za pokojnine</w:t>
      </w:r>
    </w:p>
    <w:p w:rsidR="0033341F" w:rsidRPr="00496C6A" w:rsidRDefault="0033341F" w:rsidP="0033341F">
      <w:pPr>
        <w:spacing w:line="288" w:lineRule="auto"/>
        <w:jc w:val="both"/>
        <w:rPr>
          <w:rFonts w:asciiTheme="minorHAnsi" w:eastAsia="MS Mincho" w:hAnsiTheme="minorHAnsi" w:cstheme="minorHAnsi"/>
          <w:sz w:val="24"/>
          <w:lang w:val="sl-SI" w:eastAsia="sl-SI"/>
        </w:rPr>
      </w:pPr>
    </w:p>
    <w:p w:rsidR="0033341F" w:rsidRPr="00496C6A" w:rsidRDefault="00DC4FB2" w:rsidP="0033341F">
      <w:pPr>
        <w:spacing w:line="288" w:lineRule="auto"/>
        <w:jc w:val="center"/>
        <w:rPr>
          <w:rFonts w:asciiTheme="minorHAnsi" w:eastAsia="MS Mincho" w:hAnsiTheme="minorHAnsi" w:cstheme="minorHAnsi"/>
          <w:sz w:val="24"/>
          <w:lang w:val="sl-SI" w:eastAsia="ja-JP"/>
        </w:rPr>
      </w:pPr>
      <w:r>
        <w:rPr>
          <w:noProof/>
          <w:lang w:val="sl-SI" w:eastAsia="sl-SI"/>
        </w:rPr>
        <w:drawing>
          <wp:inline distT="0" distB="0" distL="0" distR="0" wp14:anchorId="3566F624" wp14:editId="33D739EF">
            <wp:extent cx="4595191" cy="3081130"/>
            <wp:effectExtent l="0" t="0" r="15240" b="5080"/>
            <wp:docPr id="3" name="Grafikon 3">
              <a:extLst xmlns:a="http://schemas.openxmlformats.org/drawingml/2006/main">
                <a:ext uri="{FF2B5EF4-FFF2-40B4-BE49-F238E27FC236}">
                  <a16:creationId xmlns:a16="http://schemas.microsoft.com/office/drawing/2014/main" id="{AEB36118-E8BC-48E5-9155-B2F04F4B6D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D75CF" w:rsidRDefault="007D75CF" w:rsidP="007D75CF">
      <w:pPr>
        <w:rPr>
          <w:rFonts w:asciiTheme="minorHAnsi" w:hAnsiTheme="minorHAnsi" w:cstheme="minorHAnsi"/>
          <w:lang w:val="sl-SI"/>
        </w:rPr>
      </w:pPr>
    </w:p>
    <w:p w:rsidR="00DC4FB2" w:rsidRPr="005A40EE" w:rsidRDefault="00DC4FB2" w:rsidP="005A40EE">
      <w:pPr>
        <w:pStyle w:val="Napis"/>
      </w:pPr>
      <w:r w:rsidRPr="005A40EE">
        <w:lastRenderedPageBreak/>
        <w:t>Tabela 4: Gibanje javnofinančnih izdatkov za pokojnine kot % BDP, po posameznih scenarijih (predlaganih ukrepih zvišanja odmernih odstotkov in izplačila dela pokojnin), kjer učinke  zaporedno dodajamo oz. nalagamo.</w:t>
      </w:r>
    </w:p>
    <w:p w:rsidR="00DC4FB2" w:rsidRDefault="00DC4FB2" w:rsidP="007D75CF">
      <w:pPr>
        <w:rPr>
          <w:rFonts w:asciiTheme="minorHAnsi" w:hAnsiTheme="minorHAnsi" w:cstheme="minorHAnsi"/>
          <w:lang w:val="sl-SI"/>
        </w:rPr>
      </w:pPr>
    </w:p>
    <w:tbl>
      <w:tblPr>
        <w:tblW w:w="10637" w:type="dxa"/>
        <w:tblInd w:w="-714" w:type="dxa"/>
        <w:tblLayout w:type="fixed"/>
        <w:tblCellMar>
          <w:left w:w="70" w:type="dxa"/>
          <w:right w:w="70" w:type="dxa"/>
        </w:tblCellMar>
        <w:tblLook w:val="04A0" w:firstRow="1" w:lastRow="0" w:firstColumn="1" w:lastColumn="0" w:noHBand="0" w:noVBand="1"/>
      </w:tblPr>
      <w:tblGrid>
        <w:gridCol w:w="3529"/>
        <w:gridCol w:w="642"/>
        <w:gridCol w:w="644"/>
        <w:gridCol w:w="646"/>
        <w:gridCol w:w="646"/>
        <w:gridCol w:w="646"/>
        <w:gridCol w:w="646"/>
        <w:gridCol w:w="646"/>
        <w:gridCol w:w="646"/>
        <w:gridCol w:w="646"/>
        <w:gridCol w:w="646"/>
        <w:gridCol w:w="654"/>
      </w:tblGrid>
      <w:tr w:rsidR="00C30865" w:rsidRPr="00AF7DF2" w:rsidTr="00EE084F">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C4FB2" w:rsidRPr="000736CB" w:rsidRDefault="00DC4FB2" w:rsidP="000736CB">
            <w:pPr>
              <w:keepNext/>
              <w:keepLines/>
              <w:spacing w:line="240" w:lineRule="auto"/>
              <w:rPr>
                <w:rFonts w:ascii="Calibri" w:hAnsi="Calibri" w:cs="Calibri"/>
                <w:b/>
                <w:bCs/>
                <w:color w:val="000000"/>
                <w:szCs w:val="20"/>
                <w:lang w:val="sl-SI" w:eastAsia="sl-SI"/>
              </w:rPr>
            </w:pPr>
            <w:r w:rsidRPr="000736CB">
              <w:rPr>
                <w:rFonts w:ascii="Calibri" w:hAnsi="Calibri" w:cs="Calibri"/>
                <w:b/>
                <w:bCs/>
                <w:color w:val="000000"/>
                <w:szCs w:val="20"/>
                <w:lang w:val="sl-SI" w:eastAsia="sl-SI"/>
              </w:rPr>
              <w:t>Javnofinančni izdatki za pokojnine kot % BDP</w:t>
            </w:r>
          </w:p>
        </w:tc>
        <w:tc>
          <w:tcPr>
            <w:tcW w:w="642" w:type="dxa"/>
            <w:tcBorders>
              <w:top w:val="single" w:sz="4" w:space="0" w:color="auto"/>
              <w:left w:val="nil"/>
              <w:bottom w:val="single" w:sz="4" w:space="0" w:color="auto"/>
              <w:right w:val="single" w:sz="4" w:space="0" w:color="auto"/>
            </w:tcBorders>
            <w:shd w:val="clear" w:color="auto" w:fill="auto"/>
            <w:noWrap/>
            <w:vAlign w:val="bottom"/>
            <w:hideMark/>
          </w:tcPr>
          <w:p w:rsidR="00DC4FB2" w:rsidRPr="004C76A7" w:rsidRDefault="00DC4FB2"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2020</w:t>
            </w:r>
          </w:p>
        </w:tc>
        <w:tc>
          <w:tcPr>
            <w:tcW w:w="644" w:type="dxa"/>
            <w:tcBorders>
              <w:top w:val="single" w:sz="4" w:space="0" w:color="auto"/>
              <w:left w:val="nil"/>
              <w:bottom w:val="single" w:sz="4" w:space="0" w:color="auto"/>
              <w:right w:val="single" w:sz="4" w:space="0" w:color="auto"/>
            </w:tcBorders>
            <w:shd w:val="clear" w:color="auto" w:fill="auto"/>
            <w:noWrap/>
            <w:vAlign w:val="bottom"/>
            <w:hideMark/>
          </w:tcPr>
          <w:p w:rsidR="00DC4FB2" w:rsidRPr="004C76A7" w:rsidRDefault="00DC4FB2"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2025</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DC4FB2" w:rsidRPr="004C76A7" w:rsidRDefault="00DC4FB2"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2030</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DC4FB2" w:rsidRPr="004C76A7" w:rsidRDefault="00DC4FB2"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2035</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DC4FB2" w:rsidRPr="004C76A7" w:rsidRDefault="00DC4FB2"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2040</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DC4FB2" w:rsidRPr="004C76A7" w:rsidRDefault="00DC4FB2"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2045</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DC4FB2" w:rsidRPr="004C76A7" w:rsidRDefault="00DC4FB2"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2050</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DC4FB2" w:rsidRPr="004C76A7" w:rsidRDefault="00DC4FB2"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2055</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DC4FB2" w:rsidRPr="004C76A7" w:rsidRDefault="00DC4FB2"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2060</w:t>
            </w:r>
          </w:p>
        </w:tc>
        <w:tc>
          <w:tcPr>
            <w:tcW w:w="646" w:type="dxa"/>
            <w:tcBorders>
              <w:top w:val="single" w:sz="4" w:space="0" w:color="auto"/>
              <w:left w:val="nil"/>
              <w:bottom w:val="single" w:sz="4" w:space="0" w:color="auto"/>
              <w:right w:val="single" w:sz="4" w:space="0" w:color="auto"/>
            </w:tcBorders>
            <w:shd w:val="clear" w:color="auto" w:fill="auto"/>
            <w:noWrap/>
            <w:vAlign w:val="bottom"/>
            <w:hideMark/>
          </w:tcPr>
          <w:p w:rsidR="00DC4FB2" w:rsidRPr="004C76A7" w:rsidRDefault="00DC4FB2"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2065</w:t>
            </w:r>
          </w:p>
        </w:tc>
        <w:tc>
          <w:tcPr>
            <w:tcW w:w="654" w:type="dxa"/>
            <w:tcBorders>
              <w:top w:val="single" w:sz="4" w:space="0" w:color="auto"/>
              <w:left w:val="nil"/>
              <w:bottom w:val="single" w:sz="4" w:space="0" w:color="auto"/>
              <w:right w:val="single" w:sz="4" w:space="0" w:color="auto"/>
            </w:tcBorders>
            <w:shd w:val="clear" w:color="auto" w:fill="auto"/>
            <w:noWrap/>
            <w:vAlign w:val="bottom"/>
            <w:hideMark/>
          </w:tcPr>
          <w:p w:rsidR="00DC4FB2" w:rsidRPr="004C76A7" w:rsidRDefault="00DC4FB2" w:rsidP="000736CB">
            <w:pPr>
              <w:keepNext/>
              <w:keepLines/>
              <w:spacing w:line="240" w:lineRule="auto"/>
              <w:jc w:val="center"/>
              <w:rPr>
                <w:rFonts w:ascii="Calibri" w:hAnsi="Calibri" w:cs="Calibri"/>
                <w:b/>
                <w:bCs/>
                <w:color w:val="000000"/>
                <w:szCs w:val="20"/>
                <w:lang w:eastAsia="sl-SI"/>
              </w:rPr>
            </w:pPr>
            <w:r w:rsidRPr="004C76A7">
              <w:rPr>
                <w:rFonts w:ascii="Calibri" w:hAnsi="Calibri" w:cs="Calibri"/>
                <w:b/>
                <w:bCs/>
                <w:color w:val="000000"/>
                <w:szCs w:val="20"/>
                <w:lang w:eastAsia="sl-SI"/>
              </w:rPr>
              <w:t>2070</w:t>
            </w:r>
          </w:p>
        </w:tc>
      </w:tr>
      <w:tr w:rsidR="00C30865" w:rsidRPr="00AF7DF2" w:rsidTr="00EE084F">
        <w:trPr>
          <w:trHeight w:val="300"/>
        </w:trPr>
        <w:tc>
          <w:tcPr>
            <w:tcW w:w="3529" w:type="dxa"/>
            <w:tcBorders>
              <w:top w:val="single" w:sz="4" w:space="0" w:color="auto"/>
              <w:left w:val="single" w:sz="4" w:space="0" w:color="auto"/>
              <w:bottom w:val="double" w:sz="4" w:space="0" w:color="auto"/>
              <w:right w:val="single" w:sz="4" w:space="0" w:color="auto"/>
            </w:tcBorders>
            <w:shd w:val="clear" w:color="auto" w:fill="auto"/>
            <w:noWrap/>
            <w:vAlign w:val="bottom"/>
            <w:hideMark/>
          </w:tcPr>
          <w:p w:rsidR="00DC4FB2" w:rsidRPr="0066787F" w:rsidRDefault="00DC4FB2" w:rsidP="000736CB">
            <w:pPr>
              <w:keepNext/>
              <w:keepLines/>
              <w:spacing w:line="240" w:lineRule="auto"/>
              <w:rPr>
                <w:rFonts w:ascii="Calibri" w:hAnsi="Calibri" w:cs="Calibri"/>
                <w:color w:val="000000"/>
                <w:szCs w:val="20"/>
                <w:lang w:eastAsia="sl-SI"/>
              </w:rPr>
            </w:pPr>
            <w:r w:rsidRPr="0066787F">
              <w:rPr>
                <w:rFonts w:ascii="Calibri" w:hAnsi="Calibri" w:cs="Calibri"/>
                <w:color w:val="000000"/>
                <w:szCs w:val="20"/>
                <w:lang w:eastAsia="sl-SI"/>
              </w:rPr>
              <w:t>Referenčni scenarij</w:t>
            </w:r>
          </w:p>
        </w:tc>
        <w:tc>
          <w:tcPr>
            <w:tcW w:w="642" w:type="dxa"/>
            <w:tcBorders>
              <w:top w:val="single" w:sz="4" w:space="0" w:color="auto"/>
              <w:left w:val="nil"/>
              <w:bottom w:val="doub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000000"/>
                <w:szCs w:val="20"/>
                <w:lang w:eastAsia="sl-SI"/>
              </w:rPr>
            </w:pPr>
            <w:r w:rsidRPr="0066787F">
              <w:rPr>
                <w:rFonts w:ascii="Calibri" w:hAnsi="Calibri" w:cs="Calibri"/>
                <w:color w:val="000000"/>
                <w:szCs w:val="20"/>
              </w:rPr>
              <w:t>10,1</w:t>
            </w:r>
          </w:p>
        </w:tc>
        <w:tc>
          <w:tcPr>
            <w:tcW w:w="644" w:type="dxa"/>
            <w:tcBorders>
              <w:top w:val="single" w:sz="4" w:space="0" w:color="auto"/>
              <w:left w:val="nil"/>
              <w:bottom w:val="doub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000000"/>
                <w:szCs w:val="20"/>
                <w:lang w:eastAsia="sl-SI"/>
              </w:rPr>
            </w:pPr>
            <w:r w:rsidRPr="0066787F">
              <w:rPr>
                <w:rFonts w:ascii="Calibri" w:hAnsi="Calibri" w:cs="Calibri"/>
                <w:color w:val="000000"/>
                <w:szCs w:val="20"/>
              </w:rPr>
              <w:t>10,4</w:t>
            </w:r>
          </w:p>
        </w:tc>
        <w:tc>
          <w:tcPr>
            <w:tcW w:w="646" w:type="dxa"/>
            <w:tcBorders>
              <w:top w:val="single" w:sz="4" w:space="0" w:color="auto"/>
              <w:left w:val="nil"/>
              <w:bottom w:val="doub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000000"/>
                <w:szCs w:val="20"/>
                <w:lang w:eastAsia="sl-SI"/>
              </w:rPr>
            </w:pPr>
            <w:r w:rsidRPr="0066787F">
              <w:rPr>
                <w:rFonts w:ascii="Calibri" w:hAnsi="Calibri" w:cs="Calibri"/>
                <w:color w:val="000000"/>
                <w:szCs w:val="20"/>
              </w:rPr>
              <w:t>11,5</w:t>
            </w:r>
          </w:p>
        </w:tc>
        <w:tc>
          <w:tcPr>
            <w:tcW w:w="646" w:type="dxa"/>
            <w:tcBorders>
              <w:top w:val="single" w:sz="4" w:space="0" w:color="auto"/>
              <w:left w:val="nil"/>
              <w:bottom w:val="doub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000000"/>
                <w:szCs w:val="20"/>
                <w:lang w:eastAsia="sl-SI"/>
              </w:rPr>
            </w:pPr>
            <w:r w:rsidRPr="0066787F">
              <w:rPr>
                <w:rFonts w:ascii="Calibri" w:hAnsi="Calibri" w:cs="Calibri"/>
                <w:color w:val="000000"/>
                <w:szCs w:val="20"/>
              </w:rPr>
              <w:t>12,7</w:t>
            </w:r>
          </w:p>
        </w:tc>
        <w:tc>
          <w:tcPr>
            <w:tcW w:w="646" w:type="dxa"/>
            <w:tcBorders>
              <w:top w:val="single" w:sz="4" w:space="0" w:color="auto"/>
              <w:left w:val="nil"/>
              <w:bottom w:val="doub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000000"/>
                <w:szCs w:val="20"/>
                <w:lang w:eastAsia="sl-SI"/>
              </w:rPr>
            </w:pPr>
            <w:r w:rsidRPr="0066787F">
              <w:rPr>
                <w:rFonts w:ascii="Calibri" w:hAnsi="Calibri" w:cs="Calibri"/>
                <w:color w:val="000000"/>
                <w:szCs w:val="20"/>
              </w:rPr>
              <w:t>13,9</w:t>
            </w:r>
          </w:p>
        </w:tc>
        <w:tc>
          <w:tcPr>
            <w:tcW w:w="646" w:type="dxa"/>
            <w:tcBorders>
              <w:top w:val="single" w:sz="4" w:space="0" w:color="auto"/>
              <w:left w:val="nil"/>
              <w:bottom w:val="doub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000000"/>
                <w:szCs w:val="20"/>
                <w:lang w:eastAsia="sl-SI"/>
              </w:rPr>
            </w:pPr>
            <w:r w:rsidRPr="0066787F">
              <w:rPr>
                <w:rFonts w:ascii="Calibri" w:hAnsi="Calibri" w:cs="Calibri"/>
                <w:color w:val="000000"/>
                <w:szCs w:val="20"/>
              </w:rPr>
              <w:t>14,9</w:t>
            </w:r>
          </w:p>
        </w:tc>
        <w:tc>
          <w:tcPr>
            <w:tcW w:w="646" w:type="dxa"/>
            <w:tcBorders>
              <w:top w:val="single" w:sz="4" w:space="0" w:color="auto"/>
              <w:left w:val="nil"/>
              <w:bottom w:val="doub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000000"/>
                <w:szCs w:val="20"/>
                <w:lang w:eastAsia="sl-SI"/>
              </w:rPr>
            </w:pPr>
            <w:r w:rsidRPr="0066787F">
              <w:rPr>
                <w:rFonts w:ascii="Calibri" w:hAnsi="Calibri" w:cs="Calibri"/>
                <w:color w:val="000000"/>
                <w:szCs w:val="20"/>
              </w:rPr>
              <w:t>15,4</w:t>
            </w:r>
          </w:p>
        </w:tc>
        <w:tc>
          <w:tcPr>
            <w:tcW w:w="646" w:type="dxa"/>
            <w:tcBorders>
              <w:top w:val="single" w:sz="4" w:space="0" w:color="auto"/>
              <w:left w:val="nil"/>
              <w:bottom w:val="doub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000000"/>
                <w:szCs w:val="20"/>
                <w:lang w:eastAsia="sl-SI"/>
              </w:rPr>
            </w:pPr>
            <w:r w:rsidRPr="0066787F">
              <w:rPr>
                <w:rFonts w:ascii="Calibri" w:hAnsi="Calibri" w:cs="Calibri"/>
                <w:color w:val="000000"/>
                <w:szCs w:val="20"/>
              </w:rPr>
              <w:t>15,5</w:t>
            </w:r>
          </w:p>
        </w:tc>
        <w:tc>
          <w:tcPr>
            <w:tcW w:w="646" w:type="dxa"/>
            <w:tcBorders>
              <w:top w:val="single" w:sz="4" w:space="0" w:color="auto"/>
              <w:left w:val="nil"/>
              <w:bottom w:val="doub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000000"/>
                <w:szCs w:val="20"/>
                <w:lang w:eastAsia="sl-SI"/>
              </w:rPr>
            </w:pPr>
            <w:r w:rsidRPr="0066787F">
              <w:rPr>
                <w:rFonts w:ascii="Calibri" w:hAnsi="Calibri" w:cs="Calibri"/>
                <w:color w:val="000000"/>
                <w:szCs w:val="20"/>
              </w:rPr>
              <w:t>15,2</w:t>
            </w:r>
          </w:p>
        </w:tc>
        <w:tc>
          <w:tcPr>
            <w:tcW w:w="646" w:type="dxa"/>
            <w:tcBorders>
              <w:top w:val="single" w:sz="4" w:space="0" w:color="auto"/>
              <w:left w:val="nil"/>
              <w:bottom w:val="doub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000000"/>
                <w:szCs w:val="20"/>
                <w:lang w:eastAsia="sl-SI"/>
              </w:rPr>
            </w:pPr>
            <w:r w:rsidRPr="0066787F">
              <w:rPr>
                <w:rFonts w:ascii="Calibri" w:hAnsi="Calibri" w:cs="Calibri"/>
                <w:color w:val="000000"/>
                <w:szCs w:val="20"/>
              </w:rPr>
              <w:t>14,9</w:t>
            </w:r>
          </w:p>
        </w:tc>
        <w:tc>
          <w:tcPr>
            <w:tcW w:w="654" w:type="dxa"/>
            <w:tcBorders>
              <w:top w:val="single" w:sz="4" w:space="0" w:color="auto"/>
              <w:left w:val="nil"/>
              <w:bottom w:val="doub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000000"/>
                <w:szCs w:val="20"/>
                <w:lang w:eastAsia="sl-SI"/>
              </w:rPr>
            </w:pPr>
            <w:r w:rsidRPr="0066787F">
              <w:rPr>
                <w:rFonts w:ascii="Calibri" w:hAnsi="Calibri" w:cs="Calibri"/>
                <w:color w:val="000000"/>
                <w:szCs w:val="20"/>
              </w:rPr>
              <w:t>14,8</w:t>
            </w:r>
          </w:p>
        </w:tc>
      </w:tr>
      <w:tr w:rsidR="00C30865" w:rsidRPr="00AF7DF2" w:rsidTr="00EE084F">
        <w:trPr>
          <w:trHeight w:val="300"/>
        </w:trPr>
        <w:tc>
          <w:tcPr>
            <w:tcW w:w="3529"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DC4FB2" w:rsidRPr="0066787F" w:rsidRDefault="00DC4FB2" w:rsidP="000736CB">
            <w:pPr>
              <w:keepNext/>
              <w:keepLines/>
              <w:spacing w:line="240" w:lineRule="auto"/>
              <w:rPr>
                <w:rFonts w:ascii="Calibri" w:hAnsi="Calibri" w:cs="Calibri"/>
                <w:color w:val="000000"/>
                <w:szCs w:val="20"/>
                <w:lang w:eastAsia="sl-SI"/>
              </w:rPr>
            </w:pPr>
            <w:r w:rsidRPr="0066787F">
              <w:rPr>
                <w:rFonts w:ascii="Calibri" w:hAnsi="Calibri" w:cs="Calibri"/>
                <w:color w:val="000000"/>
                <w:szCs w:val="20"/>
                <w:lang w:eastAsia="sl-SI"/>
              </w:rPr>
              <w:t>Odmerni odstotek na 63,5%</w:t>
            </w:r>
          </w:p>
        </w:tc>
        <w:tc>
          <w:tcPr>
            <w:tcW w:w="642" w:type="dxa"/>
            <w:tcBorders>
              <w:top w:val="double" w:sz="4" w:space="0" w:color="auto"/>
              <w:left w:val="nil"/>
              <w:bottom w:val="sing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FF0000"/>
                <w:szCs w:val="20"/>
                <w:lang w:eastAsia="sl-SI"/>
              </w:rPr>
            </w:pPr>
            <w:r w:rsidRPr="0066787F">
              <w:rPr>
                <w:rFonts w:ascii="Calibri" w:hAnsi="Calibri" w:cs="Calibri"/>
                <w:color w:val="FF0000"/>
                <w:szCs w:val="20"/>
              </w:rPr>
              <w:t>0,0</w:t>
            </w:r>
          </w:p>
        </w:tc>
        <w:tc>
          <w:tcPr>
            <w:tcW w:w="644" w:type="dxa"/>
            <w:tcBorders>
              <w:top w:val="double" w:sz="4" w:space="0" w:color="auto"/>
              <w:left w:val="nil"/>
              <w:bottom w:val="sing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FF0000"/>
                <w:szCs w:val="20"/>
                <w:lang w:eastAsia="sl-SI"/>
              </w:rPr>
            </w:pPr>
            <w:r w:rsidRPr="0066787F">
              <w:rPr>
                <w:rFonts w:ascii="Calibri" w:hAnsi="Calibri" w:cs="Calibri"/>
                <w:color w:val="FF0000"/>
                <w:szCs w:val="20"/>
              </w:rPr>
              <w:t>0,2</w:t>
            </w:r>
          </w:p>
        </w:tc>
        <w:tc>
          <w:tcPr>
            <w:tcW w:w="646" w:type="dxa"/>
            <w:tcBorders>
              <w:top w:val="double" w:sz="4" w:space="0" w:color="auto"/>
              <w:left w:val="nil"/>
              <w:bottom w:val="sing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FF0000"/>
                <w:szCs w:val="20"/>
                <w:lang w:eastAsia="sl-SI"/>
              </w:rPr>
            </w:pPr>
            <w:r w:rsidRPr="0066787F">
              <w:rPr>
                <w:rFonts w:ascii="Calibri" w:hAnsi="Calibri" w:cs="Calibri"/>
                <w:color w:val="FF0000"/>
                <w:szCs w:val="20"/>
              </w:rPr>
              <w:t>0,3</w:t>
            </w:r>
          </w:p>
        </w:tc>
        <w:tc>
          <w:tcPr>
            <w:tcW w:w="646" w:type="dxa"/>
            <w:tcBorders>
              <w:top w:val="double" w:sz="4" w:space="0" w:color="auto"/>
              <w:left w:val="nil"/>
              <w:bottom w:val="sing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FF0000"/>
                <w:szCs w:val="20"/>
                <w:lang w:eastAsia="sl-SI"/>
              </w:rPr>
            </w:pPr>
            <w:r w:rsidRPr="0066787F">
              <w:rPr>
                <w:rFonts w:ascii="Calibri" w:hAnsi="Calibri" w:cs="Calibri"/>
                <w:color w:val="FF0000"/>
                <w:szCs w:val="20"/>
              </w:rPr>
              <w:t>0,4</w:t>
            </w:r>
          </w:p>
        </w:tc>
        <w:tc>
          <w:tcPr>
            <w:tcW w:w="646" w:type="dxa"/>
            <w:tcBorders>
              <w:top w:val="double" w:sz="4" w:space="0" w:color="auto"/>
              <w:left w:val="nil"/>
              <w:bottom w:val="sing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FF0000"/>
                <w:szCs w:val="20"/>
                <w:lang w:eastAsia="sl-SI"/>
              </w:rPr>
            </w:pPr>
            <w:r w:rsidRPr="0066787F">
              <w:rPr>
                <w:rFonts w:ascii="Calibri" w:hAnsi="Calibri" w:cs="Calibri"/>
                <w:color w:val="FF0000"/>
                <w:szCs w:val="20"/>
              </w:rPr>
              <w:t>0,8</w:t>
            </w:r>
          </w:p>
        </w:tc>
        <w:tc>
          <w:tcPr>
            <w:tcW w:w="646" w:type="dxa"/>
            <w:tcBorders>
              <w:top w:val="double" w:sz="4" w:space="0" w:color="auto"/>
              <w:left w:val="nil"/>
              <w:bottom w:val="sing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FF0000"/>
                <w:szCs w:val="20"/>
                <w:lang w:eastAsia="sl-SI"/>
              </w:rPr>
            </w:pPr>
            <w:r w:rsidRPr="0066787F">
              <w:rPr>
                <w:rFonts w:ascii="Calibri" w:hAnsi="Calibri" w:cs="Calibri"/>
                <w:color w:val="FF0000"/>
                <w:szCs w:val="20"/>
              </w:rPr>
              <w:t>1,1</w:t>
            </w:r>
          </w:p>
        </w:tc>
        <w:tc>
          <w:tcPr>
            <w:tcW w:w="646" w:type="dxa"/>
            <w:tcBorders>
              <w:top w:val="double" w:sz="4" w:space="0" w:color="auto"/>
              <w:left w:val="nil"/>
              <w:bottom w:val="sing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FF0000"/>
                <w:szCs w:val="20"/>
                <w:lang w:eastAsia="sl-SI"/>
              </w:rPr>
            </w:pPr>
            <w:r w:rsidRPr="0066787F">
              <w:rPr>
                <w:rFonts w:ascii="Calibri" w:hAnsi="Calibri" w:cs="Calibri"/>
                <w:color w:val="FF0000"/>
                <w:szCs w:val="20"/>
              </w:rPr>
              <w:t>1,3</w:t>
            </w:r>
          </w:p>
        </w:tc>
        <w:tc>
          <w:tcPr>
            <w:tcW w:w="646" w:type="dxa"/>
            <w:tcBorders>
              <w:top w:val="double" w:sz="4" w:space="0" w:color="auto"/>
              <w:left w:val="nil"/>
              <w:bottom w:val="sing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FF0000"/>
                <w:szCs w:val="20"/>
                <w:lang w:eastAsia="sl-SI"/>
              </w:rPr>
            </w:pPr>
            <w:r w:rsidRPr="0066787F">
              <w:rPr>
                <w:rFonts w:ascii="Calibri" w:hAnsi="Calibri" w:cs="Calibri"/>
                <w:color w:val="FF0000"/>
                <w:szCs w:val="20"/>
              </w:rPr>
              <w:t>1,3</w:t>
            </w:r>
          </w:p>
        </w:tc>
        <w:tc>
          <w:tcPr>
            <w:tcW w:w="646" w:type="dxa"/>
            <w:tcBorders>
              <w:top w:val="double" w:sz="4" w:space="0" w:color="auto"/>
              <w:left w:val="nil"/>
              <w:bottom w:val="sing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FF0000"/>
                <w:szCs w:val="20"/>
                <w:lang w:eastAsia="sl-SI"/>
              </w:rPr>
            </w:pPr>
            <w:r w:rsidRPr="0066787F">
              <w:rPr>
                <w:rFonts w:ascii="Calibri" w:hAnsi="Calibri" w:cs="Calibri"/>
                <w:color w:val="FF0000"/>
                <w:szCs w:val="20"/>
              </w:rPr>
              <w:t>1,3</w:t>
            </w:r>
          </w:p>
        </w:tc>
        <w:tc>
          <w:tcPr>
            <w:tcW w:w="646" w:type="dxa"/>
            <w:tcBorders>
              <w:top w:val="double" w:sz="4" w:space="0" w:color="auto"/>
              <w:left w:val="nil"/>
              <w:bottom w:val="sing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FF0000"/>
                <w:szCs w:val="20"/>
                <w:lang w:eastAsia="sl-SI"/>
              </w:rPr>
            </w:pPr>
            <w:r w:rsidRPr="0066787F">
              <w:rPr>
                <w:rFonts w:ascii="Calibri" w:hAnsi="Calibri" w:cs="Calibri"/>
                <w:color w:val="FF0000"/>
                <w:szCs w:val="20"/>
              </w:rPr>
              <w:t>1,3</w:t>
            </w:r>
          </w:p>
        </w:tc>
        <w:tc>
          <w:tcPr>
            <w:tcW w:w="654" w:type="dxa"/>
            <w:tcBorders>
              <w:top w:val="double" w:sz="4" w:space="0" w:color="auto"/>
              <w:left w:val="nil"/>
              <w:bottom w:val="single" w:sz="4" w:space="0" w:color="auto"/>
              <w:right w:val="single" w:sz="4" w:space="0" w:color="auto"/>
            </w:tcBorders>
            <w:shd w:val="clear" w:color="auto" w:fill="auto"/>
            <w:noWrap/>
            <w:vAlign w:val="bottom"/>
          </w:tcPr>
          <w:p w:rsidR="00DC4FB2" w:rsidRPr="0066787F" w:rsidRDefault="00DC4FB2" w:rsidP="000736CB">
            <w:pPr>
              <w:keepNext/>
              <w:keepLines/>
              <w:spacing w:line="240" w:lineRule="auto"/>
              <w:jc w:val="center"/>
              <w:rPr>
                <w:rFonts w:ascii="Calibri" w:hAnsi="Calibri" w:cs="Calibri"/>
                <w:color w:val="FF0000"/>
                <w:szCs w:val="20"/>
                <w:lang w:eastAsia="sl-SI"/>
              </w:rPr>
            </w:pPr>
            <w:r w:rsidRPr="0066787F">
              <w:rPr>
                <w:rFonts w:ascii="Calibri" w:hAnsi="Calibri" w:cs="Calibri"/>
                <w:color w:val="FF0000"/>
                <w:szCs w:val="20"/>
              </w:rPr>
              <w:t>1,3</w:t>
            </w:r>
          </w:p>
        </w:tc>
      </w:tr>
      <w:tr w:rsidR="00C30865" w:rsidRPr="00AF7DF2" w:rsidTr="00EE084F">
        <w:trPr>
          <w:trHeight w:val="300"/>
        </w:trPr>
        <w:tc>
          <w:tcPr>
            <w:tcW w:w="3529" w:type="dxa"/>
            <w:tcBorders>
              <w:top w:val="nil"/>
              <w:left w:val="single" w:sz="4" w:space="0" w:color="auto"/>
              <w:bottom w:val="single" w:sz="4" w:space="0" w:color="auto"/>
              <w:right w:val="single" w:sz="4" w:space="0" w:color="auto"/>
            </w:tcBorders>
            <w:shd w:val="clear" w:color="auto" w:fill="auto"/>
            <w:noWrap/>
            <w:vAlign w:val="bottom"/>
            <w:hideMark/>
          </w:tcPr>
          <w:p w:rsidR="00DC4FB2" w:rsidRPr="004C76A7" w:rsidRDefault="00DC4FB2" w:rsidP="000736CB">
            <w:pPr>
              <w:keepNext/>
              <w:keepLines/>
              <w:spacing w:line="240" w:lineRule="auto"/>
              <w:rPr>
                <w:rFonts w:ascii="Calibri" w:hAnsi="Calibri" w:cs="Calibri"/>
                <w:color w:val="000000"/>
                <w:szCs w:val="20"/>
                <w:lang w:eastAsia="sl-SI"/>
              </w:rPr>
            </w:pPr>
            <w:r w:rsidRPr="004C76A7">
              <w:rPr>
                <w:rFonts w:ascii="Calibri" w:hAnsi="Calibri" w:cs="Calibri"/>
                <w:color w:val="000000"/>
                <w:szCs w:val="20"/>
                <w:lang w:eastAsia="sl-SI"/>
              </w:rPr>
              <w:t>Za vsakega otroka dodatnih 1,36 % odm. odstotka</w:t>
            </w:r>
          </w:p>
        </w:tc>
        <w:tc>
          <w:tcPr>
            <w:tcW w:w="642"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0,0</w:t>
            </w:r>
          </w:p>
        </w:tc>
        <w:tc>
          <w:tcPr>
            <w:tcW w:w="644"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0,0</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0,0</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0,2</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0,3</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0,2</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0,3</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0,3</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0,3</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0,2</w:t>
            </w:r>
          </w:p>
        </w:tc>
        <w:tc>
          <w:tcPr>
            <w:tcW w:w="654"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lang w:eastAsia="sl-SI"/>
              </w:rPr>
            </w:pPr>
            <w:r w:rsidRPr="004C76A7">
              <w:rPr>
                <w:rFonts w:ascii="Calibri" w:hAnsi="Calibri" w:cs="Calibri"/>
                <w:color w:val="FF0000"/>
                <w:szCs w:val="20"/>
              </w:rPr>
              <w:t>0,3</w:t>
            </w:r>
          </w:p>
        </w:tc>
      </w:tr>
      <w:tr w:rsidR="00C30865" w:rsidRPr="00AF7DF2" w:rsidTr="00EE084F">
        <w:trPr>
          <w:trHeight w:val="300"/>
        </w:trPr>
        <w:tc>
          <w:tcPr>
            <w:tcW w:w="3529" w:type="dxa"/>
            <w:tcBorders>
              <w:top w:val="nil"/>
              <w:left w:val="single" w:sz="4" w:space="0" w:color="auto"/>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rPr>
                <w:rFonts w:ascii="Calibri" w:hAnsi="Calibri" w:cs="Calibri"/>
                <w:color w:val="000000"/>
                <w:szCs w:val="20"/>
                <w:lang w:eastAsia="sl-SI"/>
              </w:rPr>
            </w:pPr>
            <w:r>
              <w:rPr>
                <w:rFonts w:ascii="Calibri" w:hAnsi="Calibri" w:cs="Calibri"/>
                <w:color w:val="000000"/>
                <w:szCs w:val="20"/>
                <w:lang w:eastAsia="sl-SI"/>
              </w:rPr>
              <w:t>Izplačilo dela pokojnine (40/3)</w:t>
            </w:r>
          </w:p>
        </w:tc>
        <w:tc>
          <w:tcPr>
            <w:tcW w:w="642" w:type="dxa"/>
            <w:tcBorders>
              <w:top w:val="nil"/>
              <w:left w:val="nil"/>
              <w:bottom w:val="single" w:sz="4" w:space="0" w:color="auto"/>
              <w:right w:val="single" w:sz="4" w:space="0" w:color="auto"/>
            </w:tcBorders>
            <w:shd w:val="clear" w:color="auto" w:fill="auto"/>
            <w:noWrap/>
            <w:vAlign w:val="bottom"/>
          </w:tcPr>
          <w:p w:rsidR="00DC4FB2" w:rsidRPr="00DC4FB2" w:rsidRDefault="00DC4FB2" w:rsidP="000736CB">
            <w:pPr>
              <w:keepNext/>
              <w:keepLines/>
              <w:spacing w:line="240" w:lineRule="auto"/>
              <w:jc w:val="center"/>
              <w:rPr>
                <w:rFonts w:ascii="Calibri" w:hAnsi="Calibri" w:cs="Calibri"/>
                <w:color w:val="00B050"/>
                <w:szCs w:val="20"/>
              </w:rPr>
            </w:pPr>
            <w:r w:rsidRPr="00DC4FB2">
              <w:rPr>
                <w:rFonts w:ascii="Calibri" w:hAnsi="Calibri" w:cs="Calibri"/>
                <w:color w:val="00B050"/>
                <w:szCs w:val="20"/>
              </w:rPr>
              <w:t>0,2</w:t>
            </w:r>
          </w:p>
        </w:tc>
        <w:tc>
          <w:tcPr>
            <w:tcW w:w="644" w:type="dxa"/>
            <w:tcBorders>
              <w:top w:val="nil"/>
              <w:left w:val="nil"/>
              <w:bottom w:val="single" w:sz="4" w:space="0" w:color="auto"/>
              <w:right w:val="single" w:sz="4" w:space="0" w:color="auto"/>
            </w:tcBorders>
            <w:shd w:val="clear" w:color="auto" w:fill="auto"/>
            <w:noWrap/>
            <w:vAlign w:val="bottom"/>
          </w:tcPr>
          <w:p w:rsidR="00DC4FB2" w:rsidRPr="00DC4FB2" w:rsidRDefault="00DC4FB2" w:rsidP="000736CB">
            <w:pPr>
              <w:keepNext/>
              <w:keepLines/>
              <w:spacing w:line="240" w:lineRule="auto"/>
              <w:jc w:val="center"/>
              <w:rPr>
                <w:rFonts w:ascii="Calibri" w:hAnsi="Calibri" w:cs="Calibri"/>
                <w:color w:val="00B050"/>
                <w:szCs w:val="20"/>
              </w:rPr>
            </w:pPr>
            <w:r w:rsidRPr="00DC4FB2">
              <w:rPr>
                <w:rFonts w:ascii="Calibri" w:hAnsi="Calibri" w:cs="Calibri"/>
                <w:color w:val="00B050"/>
                <w:szCs w:val="20"/>
              </w:rPr>
              <w:t>0,2</w:t>
            </w:r>
          </w:p>
        </w:tc>
        <w:tc>
          <w:tcPr>
            <w:tcW w:w="646" w:type="dxa"/>
            <w:tcBorders>
              <w:top w:val="nil"/>
              <w:left w:val="nil"/>
              <w:bottom w:val="single" w:sz="4" w:space="0" w:color="auto"/>
              <w:right w:val="single" w:sz="4" w:space="0" w:color="auto"/>
            </w:tcBorders>
            <w:shd w:val="clear" w:color="auto" w:fill="auto"/>
            <w:noWrap/>
            <w:vAlign w:val="bottom"/>
          </w:tcPr>
          <w:p w:rsidR="00DC4FB2" w:rsidRPr="00DC4FB2" w:rsidRDefault="00DC4FB2" w:rsidP="000736CB">
            <w:pPr>
              <w:keepNext/>
              <w:keepLines/>
              <w:spacing w:line="240" w:lineRule="auto"/>
              <w:jc w:val="center"/>
              <w:rPr>
                <w:rFonts w:ascii="Calibri" w:hAnsi="Calibri" w:cs="Calibri"/>
                <w:color w:val="00B050"/>
                <w:szCs w:val="20"/>
              </w:rPr>
            </w:pPr>
            <w:r w:rsidRPr="00DC4FB2">
              <w:rPr>
                <w:rFonts w:ascii="Calibri" w:hAnsi="Calibri" w:cs="Calibri"/>
                <w:color w:val="00B050"/>
                <w:szCs w:val="20"/>
              </w:rPr>
              <w:t>0,1</w:t>
            </w:r>
          </w:p>
        </w:tc>
        <w:tc>
          <w:tcPr>
            <w:tcW w:w="646" w:type="dxa"/>
            <w:tcBorders>
              <w:top w:val="nil"/>
              <w:left w:val="nil"/>
              <w:bottom w:val="single" w:sz="4" w:space="0" w:color="auto"/>
              <w:right w:val="single" w:sz="4" w:space="0" w:color="auto"/>
            </w:tcBorders>
            <w:shd w:val="clear" w:color="auto" w:fill="auto"/>
            <w:noWrap/>
            <w:vAlign w:val="bottom"/>
          </w:tcPr>
          <w:p w:rsidR="00DC4FB2" w:rsidRPr="00DC4FB2" w:rsidRDefault="00DC4FB2" w:rsidP="000736CB">
            <w:pPr>
              <w:keepNext/>
              <w:keepLines/>
              <w:spacing w:line="240" w:lineRule="auto"/>
              <w:jc w:val="center"/>
              <w:rPr>
                <w:rFonts w:ascii="Calibri" w:hAnsi="Calibri" w:cs="Calibri"/>
                <w:color w:val="00B050"/>
                <w:szCs w:val="20"/>
              </w:rPr>
            </w:pPr>
            <w:r w:rsidRPr="00DC4FB2">
              <w:rPr>
                <w:rFonts w:ascii="Calibri" w:hAnsi="Calibri" w:cs="Calibri"/>
                <w:color w:val="00B050"/>
                <w:szCs w:val="20"/>
              </w:rPr>
              <w:t>0,0</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0,1</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0,2</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0,2</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0,3</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0,3</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0,3</w:t>
            </w:r>
          </w:p>
        </w:tc>
        <w:tc>
          <w:tcPr>
            <w:tcW w:w="654"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0,3</w:t>
            </w:r>
          </w:p>
        </w:tc>
      </w:tr>
      <w:tr w:rsidR="00C30865" w:rsidRPr="00AF7DF2" w:rsidTr="00EE084F">
        <w:trPr>
          <w:trHeight w:val="300"/>
        </w:trPr>
        <w:tc>
          <w:tcPr>
            <w:tcW w:w="3529" w:type="dxa"/>
            <w:tcBorders>
              <w:top w:val="nil"/>
              <w:left w:val="single" w:sz="4" w:space="0" w:color="auto"/>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rPr>
                <w:rFonts w:ascii="Calibri" w:hAnsi="Calibri" w:cs="Calibri"/>
                <w:color w:val="000000"/>
                <w:szCs w:val="20"/>
                <w:lang w:eastAsia="sl-SI"/>
              </w:rPr>
            </w:pPr>
            <w:r>
              <w:rPr>
                <w:rFonts w:ascii="Calibri" w:hAnsi="Calibri" w:cs="Calibri"/>
                <w:color w:val="000000"/>
                <w:szCs w:val="20"/>
                <w:lang w:eastAsia="sl-SI"/>
              </w:rPr>
              <w:t>Izplačilo dela pokojnine (40/3 z daljšim koriščenjem dela pokojnine)</w:t>
            </w:r>
          </w:p>
        </w:tc>
        <w:tc>
          <w:tcPr>
            <w:tcW w:w="642" w:type="dxa"/>
            <w:tcBorders>
              <w:top w:val="nil"/>
              <w:left w:val="nil"/>
              <w:bottom w:val="single" w:sz="4" w:space="0" w:color="auto"/>
              <w:right w:val="single" w:sz="4" w:space="0" w:color="auto"/>
            </w:tcBorders>
            <w:shd w:val="clear" w:color="auto" w:fill="auto"/>
            <w:noWrap/>
            <w:vAlign w:val="bottom"/>
          </w:tcPr>
          <w:p w:rsidR="00DC4FB2" w:rsidRPr="00DC4FB2" w:rsidRDefault="00DC4FB2" w:rsidP="000736CB">
            <w:pPr>
              <w:keepNext/>
              <w:keepLines/>
              <w:spacing w:line="240" w:lineRule="auto"/>
              <w:jc w:val="center"/>
              <w:rPr>
                <w:rFonts w:ascii="Calibri" w:hAnsi="Calibri" w:cs="Calibri"/>
                <w:color w:val="00B050"/>
                <w:szCs w:val="20"/>
              </w:rPr>
            </w:pPr>
            <w:r w:rsidRPr="00DC4FB2">
              <w:rPr>
                <w:rFonts w:ascii="Calibri" w:hAnsi="Calibri" w:cs="Calibri"/>
                <w:color w:val="00B050"/>
                <w:szCs w:val="20"/>
              </w:rPr>
              <w:t>0,2</w:t>
            </w:r>
          </w:p>
        </w:tc>
        <w:tc>
          <w:tcPr>
            <w:tcW w:w="644" w:type="dxa"/>
            <w:tcBorders>
              <w:top w:val="nil"/>
              <w:left w:val="nil"/>
              <w:bottom w:val="single" w:sz="4" w:space="0" w:color="auto"/>
              <w:right w:val="single" w:sz="4" w:space="0" w:color="auto"/>
            </w:tcBorders>
            <w:shd w:val="clear" w:color="auto" w:fill="auto"/>
            <w:noWrap/>
            <w:vAlign w:val="bottom"/>
          </w:tcPr>
          <w:p w:rsidR="00DC4FB2" w:rsidRPr="00DC4FB2" w:rsidRDefault="00DC4FB2" w:rsidP="000736CB">
            <w:pPr>
              <w:keepNext/>
              <w:keepLines/>
              <w:spacing w:line="240" w:lineRule="auto"/>
              <w:jc w:val="center"/>
              <w:rPr>
                <w:rFonts w:ascii="Calibri" w:hAnsi="Calibri" w:cs="Calibri"/>
                <w:color w:val="00B050"/>
                <w:szCs w:val="20"/>
              </w:rPr>
            </w:pPr>
            <w:r w:rsidRPr="00DC4FB2">
              <w:rPr>
                <w:rFonts w:ascii="Calibri" w:hAnsi="Calibri" w:cs="Calibri"/>
                <w:color w:val="00B050"/>
                <w:szCs w:val="20"/>
              </w:rPr>
              <w:t>0,3</w:t>
            </w:r>
          </w:p>
        </w:tc>
        <w:tc>
          <w:tcPr>
            <w:tcW w:w="646" w:type="dxa"/>
            <w:tcBorders>
              <w:top w:val="nil"/>
              <w:left w:val="nil"/>
              <w:bottom w:val="single" w:sz="4" w:space="0" w:color="auto"/>
              <w:right w:val="single" w:sz="4" w:space="0" w:color="auto"/>
            </w:tcBorders>
            <w:shd w:val="clear" w:color="auto" w:fill="auto"/>
            <w:noWrap/>
            <w:vAlign w:val="bottom"/>
          </w:tcPr>
          <w:p w:rsidR="00DC4FB2" w:rsidRPr="00DC4FB2" w:rsidRDefault="00DC4FB2" w:rsidP="000736CB">
            <w:pPr>
              <w:keepNext/>
              <w:keepLines/>
              <w:spacing w:line="240" w:lineRule="auto"/>
              <w:jc w:val="center"/>
              <w:rPr>
                <w:rFonts w:ascii="Calibri" w:hAnsi="Calibri" w:cs="Calibri"/>
                <w:color w:val="00B050"/>
                <w:szCs w:val="20"/>
              </w:rPr>
            </w:pPr>
            <w:r w:rsidRPr="00DC4FB2">
              <w:rPr>
                <w:rFonts w:ascii="Calibri" w:hAnsi="Calibri" w:cs="Calibri"/>
                <w:color w:val="00B050"/>
                <w:szCs w:val="20"/>
              </w:rPr>
              <w:t>0,2</w:t>
            </w:r>
          </w:p>
        </w:tc>
        <w:tc>
          <w:tcPr>
            <w:tcW w:w="646" w:type="dxa"/>
            <w:tcBorders>
              <w:top w:val="nil"/>
              <w:left w:val="nil"/>
              <w:bottom w:val="single" w:sz="4" w:space="0" w:color="auto"/>
              <w:right w:val="single" w:sz="4" w:space="0" w:color="auto"/>
            </w:tcBorders>
            <w:shd w:val="clear" w:color="auto" w:fill="auto"/>
            <w:noWrap/>
            <w:vAlign w:val="bottom"/>
          </w:tcPr>
          <w:p w:rsidR="00DC4FB2" w:rsidRPr="00DC4FB2" w:rsidRDefault="00DC4FB2" w:rsidP="000736CB">
            <w:pPr>
              <w:keepNext/>
              <w:keepLines/>
              <w:spacing w:line="240" w:lineRule="auto"/>
              <w:jc w:val="center"/>
              <w:rPr>
                <w:rFonts w:ascii="Calibri" w:hAnsi="Calibri" w:cs="Calibri"/>
                <w:color w:val="00B050"/>
                <w:szCs w:val="20"/>
              </w:rPr>
            </w:pPr>
            <w:r w:rsidRPr="00DC4FB2">
              <w:rPr>
                <w:rFonts w:ascii="Calibri" w:hAnsi="Calibri" w:cs="Calibri"/>
                <w:color w:val="00B050"/>
                <w:szCs w:val="20"/>
              </w:rPr>
              <w:t>0,0</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0,1</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0,2</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0,3</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0,4</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0,4</w:t>
            </w:r>
          </w:p>
        </w:tc>
        <w:tc>
          <w:tcPr>
            <w:tcW w:w="646"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0,5</w:t>
            </w:r>
          </w:p>
        </w:tc>
        <w:tc>
          <w:tcPr>
            <w:tcW w:w="654" w:type="dxa"/>
            <w:tcBorders>
              <w:top w:val="nil"/>
              <w:left w:val="nil"/>
              <w:bottom w:val="single" w:sz="4" w:space="0" w:color="auto"/>
              <w:right w:val="single" w:sz="4" w:space="0" w:color="auto"/>
            </w:tcBorders>
            <w:shd w:val="clear" w:color="auto" w:fill="auto"/>
            <w:noWrap/>
            <w:vAlign w:val="bottom"/>
          </w:tcPr>
          <w:p w:rsidR="00DC4FB2" w:rsidRPr="004C76A7" w:rsidRDefault="00DC4FB2" w:rsidP="000736CB">
            <w:pPr>
              <w:keepNext/>
              <w:keepLines/>
              <w:spacing w:line="240" w:lineRule="auto"/>
              <w:jc w:val="center"/>
              <w:rPr>
                <w:rFonts w:ascii="Calibri" w:hAnsi="Calibri" w:cs="Calibri"/>
                <w:color w:val="FF0000"/>
                <w:szCs w:val="20"/>
              </w:rPr>
            </w:pPr>
            <w:r>
              <w:rPr>
                <w:rFonts w:ascii="Calibri" w:hAnsi="Calibri" w:cs="Calibri"/>
                <w:color w:val="FF0000"/>
                <w:szCs w:val="20"/>
              </w:rPr>
              <w:t>0,5</w:t>
            </w:r>
          </w:p>
        </w:tc>
      </w:tr>
      <w:tr w:rsidR="000736CB" w:rsidRPr="00496C6A" w:rsidTr="00EE084F">
        <w:tblPrEx>
          <w:jc w:val="center"/>
          <w:tblInd w:w="0" w:type="dxa"/>
        </w:tblPrEx>
        <w:trPr>
          <w:trHeight w:val="255"/>
          <w:jc w:val="center"/>
        </w:trPr>
        <w:tc>
          <w:tcPr>
            <w:tcW w:w="3529" w:type="dxa"/>
            <w:tcBorders>
              <w:top w:val="double" w:sz="4" w:space="0" w:color="auto"/>
              <w:left w:val="single" w:sz="4" w:space="0" w:color="auto"/>
              <w:bottom w:val="single" w:sz="4" w:space="0" w:color="auto"/>
              <w:right w:val="single" w:sz="4" w:space="0" w:color="auto"/>
            </w:tcBorders>
            <w:shd w:val="clear" w:color="auto" w:fill="auto"/>
            <w:noWrap/>
            <w:vAlign w:val="bottom"/>
            <w:hideMark/>
          </w:tcPr>
          <w:p w:rsidR="000736CB" w:rsidRPr="000736CB" w:rsidRDefault="000736CB" w:rsidP="00647EA1">
            <w:pPr>
              <w:spacing w:line="240" w:lineRule="auto"/>
              <w:rPr>
                <w:rFonts w:ascii="Calibri" w:hAnsi="Calibri" w:cs="Calibri"/>
                <w:b/>
                <w:color w:val="000000"/>
                <w:szCs w:val="20"/>
                <w:lang w:eastAsia="sl-SI"/>
              </w:rPr>
            </w:pPr>
            <w:r w:rsidRPr="000736CB">
              <w:rPr>
                <w:rFonts w:ascii="Calibri" w:hAnsi="Calibri" w:cs="Calibri"/>
                <w:b/>
                <w:color w:val="000000"/>
                <w:szCs w:val="20"/>
                <w:lang w:eastAsia="sl-SI"/>
              </w:rPr>
              <w:t>Skupni javnofinačni izdatki za pokojnine kot % BDP ob predlaganih ukrepih (</w:t>
            </w:r>
            <w:r w:rsidR="00647EA1">
              <w:rPr>
                <w:rFonts w:ascii="Calibri" w:hAnsi="Calibri" w:cs="Calibri"/>
                <w:b/>
                <w:color w:val="000000"/>
                <w:szCs w:val="20"/>
                <w:lang w:eastAsia="sl-SI"/>
              </w:rPr>
              <w:t>izplačilo dela pokojnine</w:t>
            </w:r>
            <w:r w:rsidR="00A24F60">
              <w:rPr>
                <w:rFonts w:ascii="Calibri" w:hAnsi="Calibri" w:cs="Calibri"/>
                <w:b/>
                <w:color w:val="000000"/>
                <w:szCs w:val="20"/>
                <w:lang w:eastAsia="sl-SI"/>
              </w:rPr>
              <w:t xml:space="preserve"> 40/3</w:t>
            </w:r>
            <w:r w:rsidRPr="000736CB">
              <w:rPr>
                <w:rFonts w:ascii="Calibri" w:hAnsi="Calibri" w:cs="Calibri"/>
                <w:b/>
                <w:color w:val="000000"/>
                <w:szCs w:val="20"/>
                <w:lang w:eastAsia="sl-SI"/>
              </w:rPr>
              <w:t>)</w:t>
            </w:r>
          </w:p>
        </w:tc>
        <w:tc>
          <w:tcPr>
            <w:tcW w:w="642" w:type="dxa"/>
            <w:tcBorders>
              <w:top w:val="double" w:sz="4" w:space="0" w:color="auto"/>
              <w:left w:val="nil"/>
              <w:bottom w:val="single" w:sz="4" w:space="0" w:color="auto"/>
              <w:right w:val="single" w:sz="4" w:space="0" w:color="auto"/>
            </w:tcBorders>
            <w:shd w:val="clear" w:color="auto" w:fill="auto"/>
            <w:noWrap/>
            <w:vAlign w:val="bottom"/>
            <w:hideMark/>
          </w:tcPr>
          <w:p w:rsidR="000736CB" w:rsidRPr="00647EA1" w:rsidRDefault="000736CB" w:rsidP="000736CB">
            <w:pPr>
              <w:keepNext/>
              <w:keepLines/>
              <w:spacing w:line="240" w:lineRule="auto"/>
              <w:jc w:val="center"/>
              <w:rPr>
                <w:rFonts w:ascii="Calibri" w:hAnsi="Calibri" w:cs="Calibri"/>
                <w:b/>
                <w:szCs w:val="20"/>
                <w:lang w:eastAsia="sl-SI"/>
              </w:rPr>
            </w:pPr>
            <w:r w:rsidRPr="00647EA1">
              <w:rPr>
                <w:rFonts w:ascii="Calibri" w:hAnsi="Calibri" w:cs="Calibri"/>
                <w:b/>
                <w:szCs w:val="20"/>
              </w:rPr>
              <w:t>9,9</w:t>
            </w:r>
          </w:p>
        </w:tc>
        <w:tc>
          <w:tcPr>
            <w:tcW w:w="644" w:type="dxa"/>
            <w:tcBorders>
              <w:top w:val="double" w:sz="4" w:space="0" w:color="auto"/>
              <w:left w:val="nil"/>
              <w:bottom w:val="single" w:sz="4" w:space="0" w:color="auto"/>
              <w:right w:val="single" w:sz="4" w:space="0" w:color="auto"/>
            </w:tcBorders>
            <w:shd w:val="clear" w:color="auto" w:fill="auto"/>
            <w:noWrap/>
            <w:vAlign w:val="bottom"/>
            <w:hideMark/>
          </w:tcPr>
          <w:p w:rsidR="000736CB" w:rsidRPr="00647EA1" w:rsidRDefault="000736CB" w:rsidP="000736CB">
            <w:pPr>
              <w:keepNext/>
              <w:keepLines/>
              <w:spacing w:line="240" w:lineRule="auto"/>
              <w:jc w:val="center"/>
              <w:rPr>
                <w:rFonts w:ascii="Calibri" w:hAnsi="Calibri" w:cs="Calibri"/>
                <w:b/>
                <w:szCs w:val="20"/>
                <w:lang w:eastAsia="sl-SI"/>
              </w:rPr>
            </w:pPr>
            <w:r w:rsidRPr="00647EA1">
              <w:rPr>
                <w:rFonts w:ascii="Calibri" w:hAnsi="Calibri" w:cs="Calibri"/>
                <w:b/>
                <w:szCs w:val="20"/>
              </w:rPr>
              <w:t>10,4</w:t>
            </w:r>
          </w:p>
        </w:tc>
        <w:tc>
          <w:tcPr>
            <w:tcW w:w="646" w:type="dxa"/>
            <w:tcBorders>
              <w:top w:val="double" w:sz="4" w:space="0" w:color="auto"/>
              <w:left w:val="nil"/>
              <w:bottom w:val="single" w:sz="4" w:space="0" w:color="auto"/>
              <w:right w:val="single" w:sz="4" w:space="0" w:color="auto"/>
            </w:tcBorders>
            <w:shd w:val="clear" w:color="auto" w:fill="auto"/>
            <w:noWrap/>
            <w:vAlign w:val="bottom"/>
            <w:hideMark/>
          </w:tcPr>
          <w:p w:rsidR="000736CB" w:rsidRPr="00647EA1" w:rsidRDefault="000736CB" w:rsidP="000736CB">
            <w:pPr>
              <w:keepNext/>
              <w:keepLines/>
              <w:spacing w:line="240" w:lineRule="auto"/>
              <w:jc w:val="center"/>
              <w:rPr>
                <w:rFonts w:ascii="Calibri" w:hAnsi="Calibri" w:cs="Calibri"/>
                <w:b/>
                <w:szCs w:val="20"/>
                <w:lang w:eastAsia="sl-SI"/>
              </w:rPr>
            </w:pPr>
            <w:r w:rsidRPr="00647EA1">
              <w:rPr>
                <w:rFonts w:ascii="Calibri" w:hAnsi="Calibri" w:cs="Calibri"/>
                <w:b/>
                <w:szCs w:val="20"/>
              </w:rPr>
              <w:t>11,7</w:t>
            </w:r>
          </w:p>
        </w:tc>
        <w:tc>
          <w:tcPr>
            <w:tcW w:w="646" w:type="dxa"/>
            <w:tcBorders>
              <w:top w:val="double" w:sz="4" w:space="0" w:color="auto"/>
              <w:left w:val="nil"/>
              <w:bottom w:val="single" w:sz="4" w:space="0" w:color="auto"/>
              <w:right w:val="single" w:sz="4" w:space="0" w:color="auto"/>
            </w:tcBorders>
            <w:shd w:val="clear" w:color="auto" w:fill="auto"/>
            <w:noWrap/>
            <w:vAlign w:val="bottom"/>
            <w:hideMark/>
          </w:tcPr>
          <w:p w:rsidR="000736CB" w:rsidRPr="00647EA1" w:rsidRDefault="000736CB" w:rsidP="000736CB">
            <w:pPr>
              <w:keepNext/>
              <w:keepLines/>
              <w:spacing w:line="240" w:lineRule="auto"/>
              <w:jc w:val="center"/>
              <w:rPr>
                <w:rFonts w:ascii="Calibri" w:hAnsi="Calibri" w:cs="Calibri"/>
                <w:b/>
                <w:szCs w:val="20"/>
                <w:lang w:eastAsia="sl-SI"/>
              </w:rPr>
            </w:pPr>
            <w:r w:rsidRPr="00647EA1">
              <w:rPr>
                <w:rFonts w:ascii="Calibri" w:hAnsi="Calibri" w:cs="Calibri"/>
                <w:b/>
                <w:szCs w:val="20"/>
              </w:rPr>
              <w:t>13,3</w:t>
            </w:r>
          </w:p>
        </w:tc>
        <w:tc>
          <w:tcPr>
            <w:tcW w:w="646" w:type="dxa"/>
            <w:tcBorders>
              <w:top w:val="double" w:sz="4" w:space="0" w:color="auto"/>
              <w:left w:val="nil"/>
              <w:bottom w:val="single" w:sz="4" w:space="0" w:color="auto"/>
              <w:right w:val="single" w:sz="4" w:space="0" w:color="auto"/>
            </w:tcBorders>
            <w:shd w:val="clear" w:color="auto" w:fill="auto"/>
            <w:noWrap/>
            <w:vAlign w:val="bottom"/>
            <w:hideMark/>
          </w:tcPr>
          <w:p w:rsidR="000736CB" w:rsidRPr="00647EA1" w:rsidRDefault="000736CB" w:rsidP="000736CB">
            <w:pPr>
              <w:spacing w:line="240" w:lineRule="auto"/>
              <w:jc w:val="center"/>
              <w:rPr>
                <w:rFonts w:ascii="Calibri" w:hAnsi="Calibri" w:cs="Calibri"/>
                <w:b/>
                <w:color w:val="000000"/>
                <w:szCs w:val="20"/>
                <w:lang w:val="sl-SI" w:eastAsia="sl-SI"/>
              </w:rPr>
            </w:pPr>
            <w:r w:rsidRPr="00647EA1">
              <w:rPr>
                <w:rFonts w:ascii="Calibri" w:hAnsi="Calibri" w:cs="Calibri"/>
                <w:b/>
                <w:color w:val="000000"/>
                <w:szCs w:val="20"/>
              </w:rPr>
              <w:t>15,1</w:t>
            </w:r>
          </w:p>
        </w:tc>
        <w:tc>
          <w:tcPr>
            <w:tcW w:w="646" w:type="dxa"/>
            <w:tcBorders>
              <w:top w:val="double" w:sz="4" w:space="0" w:color="auto"/>
              <w:left w:val="nil"/>
              <w:bottom w:val="single" w:sz="4" w:space="0" w:color="auto"/>
              <w:right w:val="single" w:sz="4" w:space="0" w:color="auto"/>
            </w:tcBorders>
            <w:shd w:val="clear" w:color="auto" w:fill="auto"/>
            <w:noWrap/>
            <w:vAlign w:val="bottom"/>
            <w:hideMark/>
          </w:tcPr>
          <w:p w:rsidR="000736CB" w:rsidRPr="00647EA1" w:rsidRDefault="000736CB" w:rsidP="000736CB">
            <w:pPr>
              <w:jc w:val="center"/>
              <w:rPr>
                <w:rFonts w:ascii="Calibri" w:hAnsi="Calibri" w:cs="Calibri"/>
                <w:b/>
                <w:color w:val="000000"/>
                <w:szCs w:val="20"/>
              </w:rPr>
            </w:pPr>
            <w:r w:rsidRPr="00647EA1">
              <w:rPr>
                <w:rFonts w:ascii="Calibri" w:hAnsi="Calibri" w:cs="Calibri"/>
                <w:b/>
                <w:color w:val="000000"/>
                <w:szCs w:val="20"/>
              </w:rPr>
              <w:t>16,4</w:t>
            </w:r>
          </w:p>
        </w:tc>
        <w:tc>
          <w:tcPr>
            <w:tcW w:w="646" w:type="dxa"/>
            <w:tcBorders>
              <w:top w:val="double" w:sz="4" w:space="0" w:color="auto"/>
              <w:left w:val="nil"/>
              <w:bottom w:val="single" w:sz="4" w:space="0" w:color="auto"/>
              <w:right w:val="single" w:sz="4" w:space="0" w:color="auto"/>
            </w:tcBorders>
            <w:shd w:val="clear" w:color="auto" w:fill="auto"/>
            <w:noWrap/>
            <w:vAlign w:val="bottom"/>
            <w:hideMark/>
          </w:tcPr>
          <w:p w:rsidR="000736CB" w:rsidRPr="00647EA1" w:rsidRDefault="000736CB" w:rsidP="000736CB">
            <w:pPr>
              <w:jc w:val="center"/>
              <w:rPr>
                <w:rFonts w:ascii="Calibri" w:hAnsi="Calibri" w:cs="Calibri"/>
                <w:b/>
                <w:color w:val="000000"/>
                <w:szCs w:val="20"/>
              </w:rPr>
            </w:pPr>
            <w:r w:rsidRPr="00647EA1">
              <w:rPr>
                <w:rFonts w:ascii="Calibri" w:hAnsi="Calibri" w:cs="Calibri"/>
                <w:b/>
                <w:color w:val="000000"/>
                <w:szCs w:val="20"/>
              </w:rPr>
              <w:t>17,2</w:t>
            </w:r>
          </w:p>
        </w:tc>
        <w:tc>
          <w:tcPr>
            <w:tcW w:w="646" w:type="dxa"/>
            <w:tcBorders>
              <w:top w:val="double" w:sz="4" w:space="0" w:color="auto"/>
              <w:left w:val="nil"/>
              <w:bottom w:val="single" w:sz="4" w:space="0" w:color="auto"/>
              <w:right w:val="single" w:sz="4" w:space="0" w:color="auto"/>
            </w:tcBorders>
            <w:shd w:val="clear" w:color="auto" w:fill="auto"/>
            <w:noWrap/>
            <w:vAlign w:val="bottom"/>
            <w:hideMark/>
          </w:tcPr>
          <w:p w:rsidR="000736CB" w:rsidRPr="00647EA1" w:rsidRDefault="000736CB" w:rsidP="000736CB">
            <w:pPr>
              <w:jc w:val="center"/>
              <w:rPr>
                <w:rFonts w:ascii="Calibri" w:hAnsi="Calibri" w:cs="Calibri"/>
                <w:b/>
                <w:color w:val="000000"/>
                <w:szCs w:val="20"/>
              </w:rPr>
            </w:pPr>
            <w:r w:rsidRPr="00647EA1">
              <w:rPr>
                <w:rFonts w:ascii="Calibri" w:hAnsi="Calibri" w:cs="Calibri"/>
                <w:b/>
                <w:color w:val="000000"/>
                <w:szCs w:val="20"/>
              </w:rPr>
              <w:t>17,4</w:t>
            </w:r>
          </w:p>
        </w:tc>
        <w:tc>
          <w:tcPr>
            <w:tcW w:w="646" w:type="dxa"/>
            <w:tcBorders>
              <w:top w:val="double" w:sz="4" w:space="0" w:color="auto"/>
              <w:left w:val="nil"/>
              <w:bottom w:val="single" w:sz="4" w:space="0" w:color="auto"/>
              <w:right w:val="single" w:sz="4" w:space="0" w:color="auto"/>
            </w:tcBorders>
            <w:shd w:val="clear" w:color="auto" w:fill="auto"/>
            <w:noWrap/>
            <w:vAlign w:val="bottom"/>
            <w:hideMark/>
          </w:tcPr>
          <w:p w:rsidR="000736CB" w:rsidRPr="00647EA1" w:rsidRDefault="000736CB" w:rsidP="000736CB">
            <w:pPr>
              <w:jc w:val="center"/>
              <w:rPr>
                <w:rFonts w:ascii="Calibri" w:hAnsi="Calibri" w:cs="Calibri"/>
                <w:b/>
                <w:color w:val="000000"/>
                <w:szCs w:val="20"/>
              </w:rPr>
            </w:pPr>
            <w:r w:rsidRPr="00647EA1">
              <w:rPr>
                <w:rFonts w:ascii="Calibri" w:hAnsi="Calibri" w:cs="Calibri"/>
                <w:b/>
                <w:color w:val="000000"/>
                <w:szCs w:val="20"/>
              </w:rPr>
              <w:t>17,1</w:t>
            </w:r>
          </w:p>
        </w:tc>
        <w:tc>
          <w:tcPr>
            <w:tcW w:w="646" w:type="dxa"/>
            <w:tcBorders>
              <w:top w:val="double" w:sz="4" w:space="0" w:color="auto"/>
              <w:left w:val="nil"/>
              <w:bottom w:val="single" w:sz="4" w:space="0" w:color="auto"/>
              <w:right w:val="single" w:sz="4" w:space="0" w:color="auto"/>
            </w:tcBorders>
            <w:shd w:val="clear" w:color="auto" w:fill="auto"/>
            <w:noWrap/>
            <w:vAlign w:val="bottom"/>
            <w:hideMark/>
          </w:tcPr>
          <w:p w:rsidR="000736CB" w:rsidRPr="00647EA1" w:rsidRDefault="000736CB" w:rsidP="000736CB">
            <w:pPr>
              <w:jc w:val="center"/>
              <w:rPr>
                <w:rFonts w:ascii="Calibri" w:hAnsi="Calibri" w:cs="Calibri"/>
                <w:b/>
                <w:color w:val="000000"/>
                <w:szCs w:val="20"/>
              </w:rPr>
            </w:pPr>
            <w:r w:rsidRPr="00647EA1">
              <w:rPr>
                <w:rFonts w:ascii="Calibri" w:hAnsi="Calibri" w:cs="Calibri"/>
                <w:b/>
                <w:color w:val="000000"/>
                <w:szCs w:val="20"/>
              </w:rPr>
              <w:t>16,7</w:t>
            </w:r>
          </w:p>
        </w:tc>
        <w:tc>
          <w:tcPr>
            <w:tcW w:w="654" w:type="dxa"/>
            <w:tcBorders>
              <w:top w:val="double" w:sz="4" w:space="0" w:color="auto"/>
              <w:left w:val="nil"/>
              <w:bottom w:val="single" w:sz="4" w:space="0" w:color="auto"/>
              <w:right w:val="single" w:sz="4" w:space="0" w:color="auto"/>
            </w:tcBorders>
            <w:shd w:val="clear" w:color="auto" w:fill="auto"/>
            <w:noWrap/>
            <w:vAlign w:val="bottom"/>
            <w:hideMark/>
          </w:tcPr>
          <w:p w:rsidR="000736CB" w:rsidRPr="00647EA1" w:rsidRDefault="000736CB" w:rsidP="000736CB">
            <w:pPr>
              <w:jc w:val="center"/>
              <w:rPr>
                <w:rFonts w:ascii="Calibri" w:hAnsi="Calibri" w:cs="Calibri"/>
                <w:b/>
                <w:color w:val="000000"/>
                <w:szCs w:val="20"/>
              </w:rPr>
            </w:pPr>
            <w:r w:rsidRPr="00647EA1">
              <w:rPr>
                <w:rFonts w:ascii="Calibri" w:hAnsi="Calibri" w:cs="Calibri"/>
                <w:b/>
                <w:color w:val="000000"/>
                <w:szCs w:val="20"/>
              </w:rPr>
              <w:t>16,7</w:t>
            </w:r>
          </w:p>
        </w:tc>
      </w:tr>
      <w:tr w:rsidR="000736CB" w:rsidRPr="004C76A7" w:rsidTr="00EE084F">
        <w:tblPrEx>
          <w:jc w:val="center"/>
          <w:tblInd w:w="0" w:type="dxa"/>
        </w:tblPrEx>
        <w:trPr>
          <w:trHeight w:val="255"/>
          <w:jc w:val="center"/>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36CB" w:rsidRPr="000736CB" w:rsidRDefault="000736CB" w:rsidP="00647EA1">
            <w:pPr>
              <w:spacing w:line="240" w:lineRule="auto"/>
              <w:rPr>
                <w:rFonts w:ascii="Calibri" w:hAnsi="Calibri" w:cs="Calibri"/>
                <w:b/>
                <w:color w:val="000000"/>
                <w:szCs w:val="20"/>
                <w:lang w:eastAsia="sl-SI"/>
              </w:rPr>
            </w:pPr>
            <w:r w:rsidRPr="000736CB">
              <w:rPr>
                <w:rFonts w:ascii="Calibri" w:hAnsi="Calibri" w:cs="Calibri"/>
                <w:b/>
                <w:color w:val="000000"/>
                <w:szCs w:val="20"/>
                <w:lang w:eastAsia="sl-SI"/>
              </w:rPr>
              <w:t>Skupni javnofinačni izdatki za pokojnine kot % BDP ob predlaganih ukrepih (</w:t>
            </w:r>
            <w:r w:rsidR="00647EA1">
              <w:rPr>
                <w:rFonts w:ascii="Calibri" w:hAnsi="Calibri" w:cs="Calibri"/>
                <w:b/>
                <w:color w:val="000000"/>
                <w:szCs w:val="20"/>
                <w:lang w:eastAsia="sl-SI"/>
              </w:rPr>
              <w:t>izplačilo dela pokojnine</w:t>
            </w:r>
            <w:r w:rsidR="00A24F60">
              <w:rPr>
                <w:rFonts w:ascii="Calibri" w:hAnsi="Calibri" w:cs="Calibri"/>
                <w:b/>
                <w:color w:val="000000"/>
                <w:szCs w:val="20"/>
                <w:lang w:eastAsia="sl-SI"/>
              </w:rPr>
              <w:t xml:space="preserve"> 40/3</w:t>
            </w:r>
            <w:r w:rsidRPr="000736CB">
              <w:rPr>
                <w:rFonts w:ascii="Calibri" w:hAnsi="Calibri" w:cs="Calibri"/>
                <w:b/>
                <w:color w:val="000000"/>
                <w:szCs w:val="20"/>
                <w:lang w:eastAsia="sl-SI"/>
              </w:rPr>
              <w:t xml:space="preserve"> z daljšim kor</w:t>
            </w:r>
            <w:r w:rsidR="00647EA1">
              <w:rPr>
                <w:rFonts w:ascii="Calibri" w:hAnsi="Calibri" w:cs="Calibri"/>
                <w:b/>
                <w:color w:val="000000"/>
                <w:szCs w:val="20"/>
                <w:lang w:eastAsia="sl-SI"/>
              </w:rPr>
              <w:t>iščenjem dela pokojnine)</w:t>
            </w:r>
          </w:p>
        </w:tc>
        <w:tc>
          <w:tcPr>
            <w:tcW w:w="642" w:type="dxa"/>
            <w:tcBorders>
              <w:top w:val="single" w:sz="4" w:space="0" w:color="auto"/>
              <w:left w:val="nil"/>
              <w:bottom w:val="single" w:sz="4" w:space="0" w:color="auto"/>
              <w:right w:val="single" w:sz="4" w:space="0" w:color="auto"/>
            </w:tcBorders>
            <w:shd w:val="clear" w:color="auto" w:fill="auto"/>
            <w:noWrap/>
            <w:vAlign w:val="bottom"/>
          </w:tcPr>
          <w:p w:rsidR="000736CB" w:rsidRPr="00647EA1" w:rsidRDefault="000736CB" w:rsidP="000736CB">
            <w:pPr>
              <w:keepNext/>
              <w:keepLines/>
              <w:spacing w:line="240" w:lineRule="auto"/>
              <w:jc w:val="center"/>
              <w:rPr>
                <w:rFonts w:ascii="Calibri" w:hAnsi="Calibri" w:cs="Calibri"/>
                <w:b/>
                <w:szCs w:val="20"/>
              </w:rPr>
            </w:pPr>
            <w:r w:rsidRPr="00647EA1">
              <w:rPr>
                <w:rFonts w:ascii="Calibri" w:hAnsi="Calibri" w:cs="Calibri"/>
                <w:b/>
                <w:szCs w:val="20"/>
              </w:rPr>
              <w:t>9,9</w:t>
            </w:r>
          </w:p>
        </w:tc>
        <w:tc>
          <w:tcPr>
            <w:tcW w:w="644" w:type="dxa"/>
            <w:tcBorders>
              <w:top w:val="single" w:sz="4" w:space="0" w:color="auto"/>
              <w:left w:val="nil"/>
              <w:bottom w:val="single" w:sz="4" w:space="0" w:color="auto"/>
              <w:right w:val="single" w:sz="4" w:space="0" w:color="auto"/>
            </w:tcBorders>
            <w:shd w:val="clear" w:color="auto" w:fill="auto"/>
            <w:noWrap/>
            <w:vAlign w:val="bottom"/>
          </w:tcPr>
          <w:p w:rsidR="000736CB" w:rsidRPr="00647EA1" w:rsidRDefault="000736CB" w:rsidP="000736CB">
            <w:pPr>
              <w:keepNext/>
              <w:keepLines/>
              <w:spacing w:line="240" w:lineRule="auto"/>
              <w:jc w:val="center"/>
              <w:rPr>
                <w:rFonts w:ascii="Calibri" w:hAnsi="Calibri" w:cs="Calibri"/>
                <w:b/>
                <w:szCs w:val="20"/>
              </w:rPr>
            </w:pPr>
            <w:r w:rsidRPr="00647EA1">
              <w:rPr>
                <w:rFonts w:ascii="Calibri" w:hAnsi="Calibri" w:cs="Calibri"/>
                <w:b/>
                <w:szCs w:val="20"/>
              </w:rPr>
              <w:t>10,3</w:t>
            </w:r>
          </w:p>
        </w:tc>
        <w:tc>
          <w:tcPr>
            <w:tcW w:w="646" w:type="dxa"/>
            <w:tcBorders>
              <w:top w:val="single" w:sz="4" w:space="0" w:color="auto"/>
              <w:left w:val="nil"/>
              <w:bottom w:val="single" w:sz="4" w:space="0" w:color="auto"/>
              <w:right w:val="single" w:sz="4" w:space="0" w:color="auto"/>
            </w:tcBorders>
            <w:shd w:val="clear" w:color="auto" w:fill="auto"/>
            <w:noWrap/>
            <w:vAlign w:val="bottom"/>
          </w:tcPr>
          <w:p w:rsidR="000736CB" w:rsidRPr="00647EA1" w:rsidRDefault="000736CB" w:rsidP="000736CB">
            <w:pPr>
              <w:keepNext/>
              <w:keepLines/>
              <w:spacing w:line="240" w:lineRule="auto"/>
              <w:jc w:val="center"/>
              <w:rPr>
                <w:rFonts w:ascii="Calibri" w:hAnsi="Calibri" w:cs="Calibri"/>
                <w:b/>
                <w:szCs w:val="20"/>
              </w:rPr>
            </w:pPr>
            <w:r w:rsidRPr="00647EA1">
              <w:rPr>
                <w:rFonts w:ascii="Calibri" w:hAnsi="Calibri" w:cs="Calibri"/>
                <w:b/>
                <w:szCs w:val="20"/>
              </w:rPr>
              <w:t>11,6</w:t>
            </w:r>
          </w:p>
        </w:tc>
        <w:tc>
          <w:tcPr>
            <w:tcW w:w="646" w:type="dxa"/>
            <w:tcBorders>
              <w:top w:val="single" w:sz="4" w:space="0" w:color="auto"/>
              <w:left w:val="nil"/>
              <w:bottom w:val="single" w:sz="4" w:space="0" w:color="auto"/>
              <w:right w:val="single" w:sz="4" w:space="0" w:color="auto"/>
            </w:tcBorders>
            <w:shd w:val="clear" w:color="auto" w:fill="auto"/>
            <w:noWrap/>
            <w:vAlign w:val="bottom"/>
          </w:tcPr>
          <w:p w:rsidR="000736CB" w:rsidRPr="00647EA1" w:rsidRDefault="000736CB" w:rsidP="000736CB">
            <w:pPr>
              <w:keepNext/>
              <w:keepLines/>
              <w:spacing w:line="240" w:lineRule="auto"/>
              <w:jc w:val="center"/>
              <w:rPr>
                <w:rFonts w:ascii="Calibri" w:hAnsi="Calibri" w:cs="Calibri"/>
                <w:b/>
                <w:szCs w:val="20"/>
              </w:rPr>
            </w:pPr>
            <w:r w:rsidRPr="00647EA1">
              <w:rPr>
                <w:rFonts w:ascii="Calibri" w:hAnsi="Calibri" w:cs="Calibri"/>
                <w:b/>
                <w:szCs w:val="20"/>
              </w:rPr>
              <w:t>13,3</w:t>
            </w:r>
          </w:p>
        </w:tc>
        <w:tc>
          <w:tcPr>
            <w:tcW w:w="646" w:type="dxa"/>
            <w:tcBorders>
              <w:top w:val="single" w:sz="4" w:space="0" w:color="auto"/>
              <w:left w:val="nil"/>
              <w:bottom w:val="single" w:sz="4" w:space="0" w:color="auto"/>
              <w:right w:val="single" w:sz="4" w:space="0" w:color="auto"/>
            </w:tcBorders>
            <w:shd w:val="clear" w:color="auto" w:fill="auto"/>
            <w:noWrap/>
            <w:vAlign w:val="bottom"/>
          </w:tcPr>
          <w:p w:rsidR="000736CB" w:rsidRPr="00647EA1" w:rsidRDefault="000736CB" w:rsidP="000736CB">
            <w:pPr>
              <w:spacing w:line="240" w:lineRule="auto"/>
              <w:jc w:val="center"/>
              <w:rPr>
                <w:rFonts w:ascii="Calibri" w:hAnsi="Calibri" w:cs="Calibri"/>
                <w:b/>
                <w:color w:val="000000"/>
                <w:szCs w:val="20"/>
                <w:lang w:val="sl-SI" w:eastAsia="sl-SI"/>
              </w:rPr>
            </w:pPr>
            <w:r w:rsidRPr="00647EA1">
              <w:rPr>
                <w:rFonts w:ascii="Calibri" w:hAnsi="Calibri" w:cs="Calibri"/>
                <w:b/>
                <w:color w:val="000000"/>
                <w:szCs w:val="20"/>
              </w:rPr>
              <w:t>15,1</w:t>
            </w:r>
          </w:p>
        </w:tc>
        <w:tc>
          <w:tcPr>
            <w:tcW w:w="646" w:type="dxa"/>
            <w:tcBorders>
              <w:top w:val="single" w:sz="4" w:space="0" w:color="auto"/>
              <w:left w:val="nil"/>
              <w:bottom w:val="single" w:sz="4" w:space="0" w:color="auto"/>
              <w:right w:val="single" w:sz="4" w:space="0" w:color="auto"/>
            </w:tcBorders>
            <w:shd w:val="clear" w:color="auto" w:fill="auto"/>
            <w:noWrap/>
            <w:vAlign w:val="bottom"/>
          </w:tcPr>
          <w:p w:rsidR="000736CB" w:rsidRPr="00647EA1" w:rsidRDefault="000736CB" w:rsidP="000736CB">
            <w:pPr>
              <w:jc w:val="center"/>
              <w:rPr>
                <w:rFonts w:ascii="Calibri" w:hAnsi="Calibri" w:cs="Calibri"/>
                <w:b/>
                <w:color w:val="000000"/>
                <w:szCs w:val="20"/>
              </w:rPr>
            </w:pPr>
            <w:r w:rsidRPr="00647EA1">
              <w:rPr>
                <w:rFonts w:ascii="Calibri" w:hAnsi="Calibri" w:cs="Calibri"/>
                <w:b/>
                <w:color w:val="000000"/>
                <w:szCs w:val="20"/>
              </w:rPr>
              <w:t>16,4</w:t>
            </w:r>
          </w:p>
        </w:tc>
        <w:tc>
          <w:tcPr>
            <w:tcW w:w="646" w:type="dxa"/>
            <w:tcBorders>
              <w:top w:val="single" w:sz="4" w:space="0" w:color="auto"/>
              <w:left w:val="nil"/>
              <w:bottom w:val="single" w:sz="4" w:space="0" w:color="auto"/>
              <w:right w:val="single" w:sz="4" w:space="0" w:color="auto"/>
            </w:tcBorders>
            <w:shd w:val="clear" w:color="auto" w:fill="auto"/>
            <w:noWrap/>
            <w:vAlign w:val="bottom"/>
          </w:tcPr>
          <w:p w:rsidR="000736CB" w:rsidRPr="00647EA1" w:rsidRDefault="000736CB" w:rsidP="000736CB">
            <w:pPr>
              <w:jc w:val="center"/>
              <w:rPr>
                <w:rFonts w:ascii="Calibri" w:hAnsi="Calibri" w:cs="Calibri"/>
                <w:b/>
                <w:color w:val="000000"/>
                <w:szCs w:val="20"/>
              </w:rPr>
            </w:pPr>
            <w:r w:rsidRPr="00647EA1">
              <w:rPr>
                <w:rFonts w:ascii="Calibri" w:hAnsi="Calibri" w:cs="Calibri"/>
                <w:b/>
                <w:color w:val="000000"/>
                <w:szCs w:val="20"/>
              </w:rPr>
              <w:t>17,3</w:t>
            </w:r>
          </w:p>
        </w:tc>
        <w:tc>
          <w:tcPr>
            <w:tcW w:w="646" w:type="dxa"/>
            <w:tcBorders>
              <w:top w:val="single" w:sz="4" w:space="0" w:color="auto"/>
              <w:left w:val="nil"/>
              <w:bottom w:val="single" w:sz="4" w:space="0" w:color="auto"/>
              <w:right w:val="single" w:sz="4" w:space="0" w:color="auto"/>
            </w:tcBorders>
            <w:shd w:val="clear" w:color="auto" w:fill="auto"/>
            <w:noWrap/>
            <w:vAlign w:val="bottom"/>
          </w:tcPr>
          <w:p w:rsidR="000736CB" w:rsidRPr="00647EA1" w:rsidRDefault="000736CB" w:rsidP="000736CB">
            <w:pPr>
              <w:jc w:val="center"/>
              <w:rPr>
                <w:rFonts w:ascii="Calibri" w:hAnsi="Calibri" w:cs="Calibri"/>
                <w:b/>
                <w:color w:val="000000"/>
                <w:szCs w:val="20"/>
              </w:rPr>
            </w:pPr>
            <w:r w:rsidRPr="00647EA1">
              <w:rPr>
                <w:rFonts w:ascii="Calibri" w:hAnsi="Calibri" w:cs="Calibri"/>
                <w:b/>
                <w:color w:val="000000"/>
                <w:szCs w:val="20"/>
              </w:rPr>
              <w:t>17,5</w:t>
            </w:r>
          </w:p>
        </w:tc>
        <w:tc>
          <w:tcPr>
            <w:tcW w:w="646" w:type="dxa"/>
            <w:tcBorders>
              <w:top w:val="single" w:sz="4" w:space="0" w:color="auto"/>
              <w:left w:val="nil"/>
              <w:bottom w:val="single" w:sz="4" w:space="0" w:color="auto"/>
              <w:right w:val="single" w:sz="4" w:space="0" w:color="auto"/>
            </w:tcBorders>
            <w:shd w:val="clear" w:color="auto" w:fill="auto"/>
            <w:noWrap/>
            <w:vAlign w:val="bottom"/>
          </w:tcPr>
          <w:p w:rsidR="000736CB" w:rsidRPr="00647EA1" w:rsidRDefault="000736CB" w:rsidP="000736CB">
            <w:pPr>
              <w:jc w:val="center"/>
              <w:rPr>
                <w:rFonts w:ascii="Calibri" w:hAnsi="Calibri" w:cs="Calibri"/>
                <w:b/>
                <w:color w:val="000000"/>
                <w:szCs w:val="20"/>
              </w:rPr>
            </w:pPr>
            <w:r w:rsidRPr="00647EA1">
              <w:rPr>
                <w:rFonts w:ascii="Calibri" w:hAnsi="Calibri" w:cs="Calibri"/>
                <w:b/>
                <w:color w:val="000000"/>
                <w:szCs w:val="20"/>
              </w:rPr>
              <w:t>17,2</w:t>
            </w:r>
          </w:p>
        </w:tc>
        <w:tc>
          <w:tcPr>
            <w:tcW w:w="646" w:type="dxa"/>
            <w:tcBorders>
              <w:top w:val="single" w:sz="4" w:space="0" w:color="auto"/>
              <w:left w:val="nil"/>
              <w:bottom w:val="single" w:sz="4" w:space="0" w:color="auto"/>
              <w:right w:val="single" w:sz="4" w:space="0" w:color="auto"/>
            </w:tcBorders>
            <w:shd w:val="clear" w:color="auto" w:fill="auto"/>
            <w:noWrap/>
            <w:vAlign w:val="bottom"/>
          </w:tcPr>
          <w:p w:rsidR="000736CB" w:rsidRPr="00647EA1" w:rsidRDefault="000736CB" w:rsidP="000736CB">
            <w:pPr>
              <w:jc w:val="center"/>
              <w:rPr>
                <w:rFonts w:ascii="Calibri" w:hAnsi="Calibri" w:cs="Calibri"/>
                <w:b/>
                <w:color w:val="000000"/>
                <w:szCs w:val="20"/>
              </w:rPr>
            </w:pPr>
            <w:r w:rsidRPr="00647EA1">
              <w:rPr>
                <w:rFonts w:ascii="Calibri" w:hAnsi="Calibri" w:cs="Calibri"/>
                <w:b/>
                <w:color w:val="000000"/>
                <w:szCs w:val="20"/>
              </w:rPr>
              <w:t>16,9</w:t>
            </w:r>
          </w:p>
        </w:tc>
        <w:tc>
          <w:tcPr>
            <w:tcW w:w="654" w:type="dxa"/>
            <w:tcBorders>
              <w:top w:val="single" w:sz="4" w:space="0" w:color="auto"/>
              <w:left w:val="nil"/>
              <w:bottom w:val="single" w:sz="4" w:space="0" w:color="auto"/>
              <w:right w:val="single" w:sz="4" w:space="0" w:color="auto"/>
            </w:tcBorders>
            <w:shd w:val="clear" w:color="auto" w:fill="auto"/>
            <w:noWrap/>
            <w:vAlign w:val="bottom"/>
          </w:tcPr>
          <w:p w:rsidR="000736CB" w:rsidRPr="00647EA1" w:rsidRDefault="000736CB" w:rsidP="000736CB">
            <w:pPr>
              <w:jc w:val="center"/>
              <w:rPr>
                <w:rFonts w:ascii="Calibri" w:hAnsi="Calibri" w:cs="Calibri"/>
                <w:b/>
                <w:color w:val="000000"/>
                <w:szCs w:val="20"/>
              </w:rPr>
            </w:pPr>
            <w:r w:rsidRPr="00647EA1">
              <w:rPr>
                <w:rFonts w:ascii="Calibri" w:hAnsi="Calibri" w:cs="Calibri"/>
                <w:b/>
                <w:color w:val="000000"/>
                <w:szCs w:val="20"/>
              </w:rPr>
              <w:t>16,9</w:t>
            </w:r>
          </w:p>
        </w:tc>
      </w:tr>
    </w:tbl>
    <w:p w:rsidR="00DC4FB2" w:rsidRPr="00017D37" w:rsidRDefault="00EE084F" w:rsidP="00017D37">
      <w:pPr>
        <w:jc w:val="both"/>
        <w:rPr>
          <w:rFonts w:asciiTheme="minorHAnsi" w:hAnsiTheme="minorHAnsi" w:cstheme="minorHAnsi"/>
          <w:sz w:val="18"/>
          <w:szCs w:val="18"/>
          <w:lang w:val="sl-SI"/>
        </w:rPr>
      </w:pPr>
      <w:r w:rsidRPr="00017D37">
        <w:rPr>
          <w:rFonts w:asciiTheme="minorHAnsi" w:hAnsiTheme="minorHAnsi" w:cstheme="minorHAnsi"/>
          <w:sz w:val="18"/>
          <w:szCs w:val="18"/>
          <w:lang w:val="sl-SI"/>
        </w:rPr>
        <w:t>Opomba: zaradi zaokroževanja se vsote, do katerih bi bralec prišel s seštevanjem predstavljenih vrednosti, v nekaterih primerih ne ujemajo, saj so bili za prikaze v tabeli uporabljeni natančni rezultati z večjim številom decimalk in nato zaokroženi na eno decimalko.</w:t>
      </w:r>
    </w:p>
    <w:sectPr w:rsidR="00DC4FB2" w:rsidRPr="00017D37" w:rsidSect="0033341F">
      <w:headerReference w:type="first" r:id="rId17"/>
      <w:pgSz w:w="11900" w:h="16840" w:code="9"/>
      <w:pgMar w:top="1418" w:right="1701" w:bottom="1134" w:left="1701" w:header="993"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6DFB" w:rsidRDefault="006B6DFB">
      <w:r>
        <w:separator/>
      </w:r>
    </w:p>
  </w:endnote>
  <w:endnote w:type="continuationSeparator" w:id="0">
    <w:p w:rsidR="006B6DFB" w:rsidRDefault="006B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Republika">
    <w:altName w:val="Franklin Gothic Medium Cond"/>
    <w:charset w:val="EE"/>
    <w:family w:val="auto"/>
    <w:pitch w:val="variable"/>
    <w:sig w:usb0="00000001" w:usb1="4000205B" w:usb2="00000000" w:usb3="00000000" w:csb0="000000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073745"/>
      <w:docPartObj>
        <w:docPartGallery w:val="Page Numbers (Bottom of Page)"/>
        <w:docPartUnique/>
      </w:docPartObj>
    </w:sdtPr>
    <w:sdtEndPr/>
    <w:sdtContent>
      <w:p w:rsidR="000736CB" w:rsidRDefault="000736CB">
        <w:pPr>
          <w:pStyle w:val="Noga"/>
          <w:jc w:val="right"/>
        </w:pPr>
        <w:r>
          <w:fldChar w:fldCharType="begin"/>
        </w:r>
        <w:r>
          <w:instrText>PAGE   \* MERGEFORMAT</w:instrText>
        </w:r>
        <w:r>
          <w:fldChar w:fldCharType="separate"/>
        </w:r>
        <w:r w:rsidR="00771DBA" w:rsidRPr="00771DBA">
          <w:rPr>
            <w:noProof/>
            <w:lang w:val="sl-SI"/>
          </w:rPr>
          <w:t>11</w:t>
        </w:r>
        <w:r>
          <w:fldChar w:fldCharType="end"/>
        </w:r>
      </w:p>
    </w:sdtContent>
  </w:sdt>
  <w:p w:rsidR="000736CB" w:rsidRDefault="000736CB">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CB" w:rsidRDefault="000736CB">
    <w:pPr>
      <w:pStyle w:val="Noga"/>
      <w:jc w:val="right"/>
    </w:pPr>
  </w:p>
  <w:p w:rsidR="000736CB" w:rsidRDefault="000736CB">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6DFB" w:rsidRDefault="006B6DFB">
      <w:r>
        <w:separator/>
      </w:r>
    </w:p>
  </w:footnote>
  <w:footnote w:type="continuationSeparator" w:id="0">
    <w:p w:rsidR="006B6DFB" w:rsidRDefault="006B6DFB">
      <w:r>
        <w:continuationSeparator/>
      </w:r>
    </w:p>
  </w:footnote>
  <w:footnote w:id="1">
    <w:p w:rsidR="000736CB" w:rsidRPr="00496C6A" w:rsidRDefault="000736CB" w:rsidP="00693878">
      <w:pPr>
        <w:pStyle w:val="Sprotnaopomba-besedilo"/>
        <w:jc w:val="both"/>
        <w:rPr>
          <w:rFonts w:asciiTheme="minorHAnsi" w:hAnsiTheme="minorHAnsi" w:cstheme="minorHAnsi"/>
          <w:sz w:val="18"/>
          <w:szCs w:val="18"/>
        </w:rPr>
      </w:pPr>
      <w:r w:rsidRPr="00496C6A">
        <w:rPr>
          <w:rStyle w:val="Sprotnaopomba-sklic"/>
          <w:rFonts w:asciiTheme="minorHAnsi" w:hAnsiTheme="minorHAnsi" w:cstheme="minorHAnsi"/>
          <w:sz w:val="18"/>
          <w:szCs w:val="18"/>
        </w:rPr>
        <w:footnoteRef/>
      </w:r>
      <w:r w:rsidRPr="00496C6A">
        <w:rPr>
          <w:rFonts w:asciiTheme="minorHAnsi" w:eastAsia="MS Mincho" w:hAnsiTheme="minorHAnsi" w:cstheme="minorHAnsi"/>
          <w:sz w:val="18"/>
          <w:szCs w:val="18"/>
          <w:lang w:eastAsia="ja-JP"/>
        </w:rPr>
        <w:t>Posameznik po izpolnjevanju pogojev prejme v prvih treh letih po nadaljevanju zaposlitve za vsako dodatno leto dela 4 odstotne točke višji odmerni odstotek pri odmeri pokojnine, hkrati pa prejema tudi plačilo v višini 20 % pokojnine, ki bi jo dobil sicer v primeru upokojitve.</w:t>
      </w:r>
    </w:p>
  </w:footnote>
  <w:footnote w:id="2">
    <w:p w:rsidR="000736CB" w:rsidRPr="00496C6A" w:rsidRDefault="000736CB" w:rsidP="00693878">
      <w:pPr>
        <w:pStyle w:val="Sprotnaopomba-besedilo"/>
        <w:jc w:val="both"/>
        <w:rPr>
          <w:rFonts w:asciiTheme="minorHAnsi" w:hAnsiTheme="minorHAnsi" w:cstheme="minorHAnsi"/>
          <w:sz w:val="18"/>
          <w:szCs w:val="18"/>
        </w:rPr>
      </w:pPr>
      <w:r w:rsidRPr="00496C6A">
        <w:rPr>
          <w:rStyle w:val="Sprotnaopomba-sklic"/>
          <w:rFonts w:asciiTheme="minorHAnsi" w:hAnsiTheme="minorHAnsi" w:cstheme="minorHAnsi"/>
        </w:rPr>
        <w:footnoteRef/>
      </w:r>
      <w:r w:rsidRPr="00496C6A">
        <w:rPr>
          <w:rFonts w:asciiTheme="minorHAnsi" w:hAnsiTheme="minorHAnsi" w:cstheme="minorHAnsi"/>
        </w:rPr>
        <w:t xml:space="preserve"> </w:t>
      </w:r>
      <w:r w:rsidRPr="00496C6A">
        <w:rPr>
          <w:rFonts w:asciiTheme="minorHAnsi" w:eastAsia="MS Mincho" w:hAnsiTheme="minorHAnsi" w:cstheme="minorHAnsi"/>
          <w:sz w:val="18"/>
          <w:szCs w:val="18"/>
          <w:lang w:eastAsia="ja-JP"/>
        </w:rPr>
        <w:t>Posameznik po izpolnjevanju pogojev prejme v prvih treh letih po nadaljevanju zaposlitve za vsako dodatno leto dela 3 odstotne točke višji odmerni odstotek pri odmeri pokojnine, hkrati pa prva tri leta prejema tudi plačilo v višini 40 % pokojnine, ki bi jo dobil sicer v primeru upokojitve, v nadaljnjih letih pa 20%.</w:t>
      </w:r>
    </w:p>
    <w:p w:rsidR="000736CB" w:rsidRPr="00496C6A" w:rsidRDefault="000736CB" w:rsidP="00693878">
      <w:pPr>
        <w:pStyle w:val="Sprotnaopomba-besedilo"/>
        <w:jc w:val="both"/>
        <w:rPr>
          <w:rFonts w:asciiTheme="minorHAnsi" w:hAnsiTheme="minorHAnsi" w:cstheme="minorHAnsi"/>
        </w:rPr>
      </w:pPr>
    </w:p>
  </w:footnote>
  <w:footnote w:id="3">
    <w:p w:rsidR="000736CB" w:rsidRPr="000736CB" w:rsidRDefault="000736CB" w:rsidP="00693878">
      <w:pPr>
        <w:jc w:val="both"/>
        <w:rPr>
          <w:rFonts w:asciiTheme="minorHAnsi" w:hAnsiTheme="minorHAnsi" w:cstheme="minorHAnsi"/>
          <w:sz w:val="18"/>
          <w:szCs w:val="18"/>
          <w:lang w:val="sl-SI"/>
        </w:rPr>
      </w:pPr>
      <w:r w:rsidRPr="00496C6A">
        <w:rPr>
          <w:rStyle w:val="Sprotnaopomba-sklic"/>
          <w:rFonts w:asciiTheme="minorHAnsi" w:hAnsiTheme="minorHAnsi" w:cstheme="minorHAnsi"/>
        </w:rPr>
        <w:footnoteRef/>
      </w:r>
      <w:r w:rsidRPr="000736CB">
        <w:rPr>
          <w:rFonts w:asciiTheme="minorHAnsi" w:hAnsiTheme="minorHAnsi" w:cstheme="minorHAnsi"/>
          <w:lang w:val="sl-SI"/>
        </w:rPr>
        <w:t xml:space="preserve"> </w:t>
      </w:r>
      <w:r w:rsidRPr="000736CB">
        <w:rPr>
          <w:rFonts w:asciiTheme="minorHAnsi" w:hAnsiTheme="minorHAnsi" w:cstheme="minorHAnsi"/>
          <w:sz w:val="18"/>
          <w:szCs w:val="18"/>
          <w:lang w:val="sl-SI"/>
        </w:rPr>
        <w:t xml:space="preserve">Te tri komponente so hkrati tiste, ki določajo delež izdatkov za pokojnine v BDP in to je tisto, na kar se osredotoča tudi npr. Evropska komisija v svojih izračunih, ki jih prikazuje v Poročilih za staranje (zadnje je »Ageing report 2018«). </w:t>
      </w:r>
    </w:p>
    <w:p w:rsidR="000736CB" w:rsidRPr="00496C6A" w:rsidRDefault="000736CB" w:rsidP="00693878">
      <w:pPr>
        <w:pStyle w:val="Sprotnaopomba-besedilo"/>
        <w:jc w:val="both"/>
        <w:rPr>
          <w:rFonts w:asciiTheme="minorHAnsi" w:hAnsiTheme="minorHAnsi" w:cstheme="minorHAnsi"/>
          <w:sz w:val="18"/>
          <w:szCs w:val="18"/>
        </w:rPr>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CB" w:rsidRPr="00110CBD" w:rsidRDefault="000736CB"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736CB" w:rsidRPr="008F3500">
      <w:trPr>
        <w:cantSplit/>
        <w:trHeight w:hRule="exact" w:val="847"/>
      </w:trPr>
      <w:tc>
        <w:tcPr>
          <w:tcW w:w="567" w:type="dxa"/>
        </w:tcPr>
        <w:p w:rsidR="000736CB" w:rsidRPr="008F3500" w:rsidRDefault="000736CB" w:rsidP="00D248DE">
          <w:pPr>
            <w:autoSpaceDE w:val="0"/>
            <w:autoSpaceDN w:val="0"/>
            <w:adjustRightInd w:val="0"/>
            <w:spacing w:line="240" w:lineRule="auto"/>
            <w:rPr>
              <w:rFonts w:ascii="Republika" w:hAnsi="Republika"/>
              <w:color w:val="529DBA"/>
              <w:sz w:val="60"/>
              <w:szCs w:val="60"/>
              <w:lang w:val="sl-SI"/>
            </w:rPr>
          </w:pPr>
        </w:p>
      </w:tc>
    </w:tr>
  </w:tbl>
  <w:p w:rsidR="000736CB" w:rsidRPr="008F3500" w:rsidRDefault="000736CB"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58240" behindDoc="1" locked="0" layoutInCell="1" allowOverlap="1" wp14:anchorId="37E54496" wp14:editId="7184F0BA">
          <wp:simplePos x="0" y="0"/>
          <wp:positionH relativeFrom="page">
            <wp:align>left</wp:align>
          </wp:positionH>
          <wp:positionV relativeFrom="page">
            <wp:align>top</wp:align>
          </wp:positionV>
          <wp:extent cx="3349625" cy="1453515"/>
          <wp:effectExtent l="0" t="0" r="0" b="0"/>
          <wp:wrapNone/>
          <wp:docPr id="18" name="Slika 18"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DDS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49625" cy="14535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Štukljeva cesta 44</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01 369 77 00</w:t>
    </w:r>
  </w:p>
  <w:p w:rsidR="000736CB" w:rsidRPr="008F3500" w:rsidRDefault="000736CB"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01 369 78 32</w:t>
    </w:r>
    <w:r w:rsidRPr="008F3500">
      <w:rPr>
        <w:rFonts w:cs="Arial"/>
        <w:sz w:val="16"/>
        <w:lang w:val="sl-SI"/>
      </w:rPr>
      <w:t xml:space="preserve"> </w:t>
    </w:r>
  </w:p>
  <w:p w:rsidR="000736CB" w:rsidRPr="008F3500" w:rsidRDefault="000736CB"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gp.mddsz@gov.si</w:t>
    </w:r>
  </w:p>
  <w:p w:rsidR="000736CB" w:rsidRPr="008F3500" w:rsidRDefault="000736CB"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www.mddsz.gov.si</w:t>
    </w:r>
  </w:p>
  <w:p w:rsidR="000736CB" w:rsidRPr="008F3500" w:rsidRDefault="000736CB"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6CB" w:rsidRPr="0033341F" w:rsidRDefault="000736CB" w:rsidP="0033341F">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64586"/>
    <w:multiLevelType w:val="hybridMultilevel"/>
    <w:tmpl w:val="37FAF8EC"/>
    <w:lvl w:ilvl="0" w:tplc="ACD0270A">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70E1E32"/>
    <w:multiLevelType w:val="hybridMultilevel"/>
    <w:tmpl w:val="45BC93C2"/>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475F67"/>
    <w:multiLevelType w:val="multilevel"/>
    <w:tmpl w:val="8488E95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25C5119"/>
    <w:multiLevelType w:val="hybridMultilevel"/>
    <w:tmpl w:val="BEFEAA0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645CAE"/>
    <w:multiLevelType w:val="hybridMultilevel"/>
    <w:tmpl w:val="A1D886B8"/>
    <w:lvl w:ilvl="0" w:tplc="0424000F">
      <w:start w:val="1"/>
      <w:numFmt w:val="decimal"/>
      <w:lvlText w:val="%1."/>
      <w:lvlJc w:val="left"/>
      <w:pPr>
        <w:tabs>
          <w:tab w:val="num" w:pos="720"/>
        </w:tabs>
        <w:ind w:left="720" w:hanging="360"/>
      </w:pPr>
      <w:rPr>
        <w:rFonts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BA478BE"/>
    <w:multiLevelType w:val="hybridMultilevel"/>
    <w:tmpl w:val="C3B240A4"/>
    <w:lvl w:ilvl="0" w:tplc="0424000F">
      <w:start w:val="1"/>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2DC3442E"/>
    <w:multiLevelType w:val="hybridMultilevel"/>
    <w:tmpl w:val="2DC2B9BE"/>
    <w:lvl w:ilvl="0" w:tplc="44143C42">
      <w:start w:val="2"/>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ED55096"/>
    <w:multiLevelType w:val="hybridMultilevel"/>
    <w:tmpl w:val="02664796"/>
    <w:lvl w:ilvl="0" w:tplc="9912E3F0">
      <w:start w:val="1"/>
      <w:numFmt w:val="lowerLetter"/>
      <w:lvlText w:val="%1)"/>
      <w:lvlJc w:val="left"/>
      <w:pPr>
        <w:ind w:left="720" w:hanging="360"/>
      </w:pPr>
      <w:rPr>
        <w:rFonts w:eastAsia="MS Mincho"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7835F11"/>
    <w:multiLevelType w:val="hybridMultilevel"/>
    <w:tmpl w:val="B7F0087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384C079E"/>
    <w:multiLevelType w:val="hybridMultilevel"/>
    <w:tmpl w:val="EE0ABAAA"/>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3A877D64"/>
    <w:multiLevelType w:val="singleLevel"/>
    <w:tmpl w:val="61F0B2F4"/>
    <w:lvl w:ilvl="0">
      <w:start w:val="1"/>
      <w:numFmt w:val="decimal"/>
      <w:pStyle w:val="References"/>
      <w:lvlText w:val="[%1]"/>
      <w:lvlJc w:val="left"/>
      <w:pPr>
        <w:tabs>
          <w:tab w:val="num" w:pos="360"/>
        </w:tabs>
        <w:ind w:left="360" w:hanging="360"/>
      </w:pPr>
      <w:rPr>
        <w:color w:val="auto"/>
      </w:rPr>
    </w:lvl>
  </w:abstractNum>
  <w:abstractNum w:abstractNumId="14" w15:restartNumberingAfterBreak="0">
    <w:nsid w:val="426B574F"/>
    <w:multiLevelType w:val="hybridMultilevel"/>
    <w:tmpl w:val="943E8818"/>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436118D2"/>
    <w:multiLevelType w:val="hybridMultilevel"/>
    <w:tmpl w:val="AA1805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793086B"/>
    <w:multiLevelType w:val="hybridMultilevel"/>
    <w:tmpl w:val="21308088"/>
    <w:lvl w:ilvl="0" w:tplc="ACD0270A">
      <w:start w:val="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C2E351A"/>
    <w:multiLevelType w:val="hybridMultilevel"/>
    <w:tmpl w:val="9CF25F60"/>
    <w:lvl w:ilvl="0" w:tplc="A82407F4">
      <w:start w:val="1"/>
      <w:numFmt w:val="decimal"/>
      <w:lvlText w:val="3.%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4D435856"/>
    <w:multiLevelType w:val="hybridMultilevel"/>
    <w:tmpl w:val="6C7409B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9F390B"/>
    <w:multiLevelType w:val="hybridMultilevel"/>
    <w:tmpl w:val="B02AAB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55001AE7"/>
    <w:multiLevelType w:val="hybridMultilevel"/>
    <w:tmpl w:val="DC984158"/>
    <w:lvl w:ilvl="0" w:tplc="1B723944">
      <w:start w:val="1"/>
      <w:numFmt w:val="decimal"/>
      <w:pStyle w:val="Text"/>
      <w:lvlText w:val="%1"/>
      <w:lvlJc w:val="left"/>
      <w:pPr>
        <w:tabs>
          <w:tab w:val="num" w:pos="567"/>
        </w:tabs>
        <w:ind w:left="567" w:hanging="567"/>
      </w:pPr>
      <w:rPr>
        <w:rFonts w:ascii="Book Antiqua" w:hAnsi="Book Antiqua" w:hint="default"/>
      </w:rPr>
    </w:lvl>
    <w:lvl w:ilvl="1" w:tplc="5A60AFAC">
      <w:numFmt w:val="none"/>
      <w:pStyle w:val="naslov2"/>
      <w:lvlText w:val=""/>
      <w:lvlJc w:val="left"/>
      <w:pPr>
        <w:tabs>
          <w:tab w:val="num" w:pos="360"/>
        </w:tabs>
      </w:pPr>
    </w:lvl>
    <w:lvl w:ilvl="2" w:tplc="0A6AFD6E">
      <w:numFmt w:val="none"/>
      <w:lvlText w:val=""/>
      <w:lvlJc w:val="left"/>
      <w:pPr>
        <w:tabs>
          <w:tab w:val="num" w:pos="360"/>
        </w:tabs>
      </w:pPr>
    </w:lvl>
    <w:lvl w:ilvl="3" w:tplc="0F00DE2C">
      <w:numFmt w:val="none"/>
      <w:lvlText w:val=""/>
      <w:lvlJc w:val="left"/>
      <w:pPr>
        <w:tabs>
          <w:tab w:val="num" w:pos="360"/>
        </w:tabs>
      </w:pPr>
    </w:lvl>
    <w:lvl w:ilvl="4" w:tplc="B908F45C">
      <w:numFmt w:val="none"/>
      <w:lvlText w:val=""/>
      <w:lvlJc w:val="left"/>
      <w:pPr>
        <w:tabs>
          <w:tab w:val="num" w:pos="360"/>
        </w:tabs>
      </w:pPr>
    </w:lvl>
    <w:lvl w:ilvl="5" w:tplc="FAB6D290">
      <w:numFmt w:val="none"/>
      <w:lvlText w:val=""/>
      <w:lvlJc w:val="left"/>
      <w:pPr>
        <w:tabs>
          <w:tab w:val="num" w:pos="360"/>
        </w:tabs>
      </w:pPr>
    </w:lvl>
    <w:lvl w:ilvl="6" w:tplc="9342EC66">
      <w:numFmt w:val="none"/>
      <w:lvlText w:val=""/>
      <w:lvlJc w:val="left"/>
      <w:pPr>
        <w:tabs>
          <w:tab w:val="num" w:pos="360"/>
        </w:tabs>
      </w:pPr>
    </w:lvl>
    <w:lvl w:ilvl="7" w:tplc="A984C386">
      <w:numFmt w:val="none"/>
      <w:lvlText w:val=""/>
      <w:lvlJc w:val="left"/>
      <w:pPr>
        <w:tabs>
          <w:tab w:val="num" w:pos="360"/>
        </w:tabs>
      </w:pPr>
    </w:lvl>
    <w:lvl w:ilvl="8" w:tplc="8438B944">
      <w:numFmt w:val="none"/>
      <w:lvlText w:val=""/>
      <w:lvlJc w:val="left"/>
      <w:pPr>
        <w:tabs>
          <w:tab w:val="num" w:pos="360"/>
        </w:tabs>
      </w:pPr>
    </w:lvl>
  </w:abstractNum>
  <w:abstractNum w:abstractNumId="22" w15:restartNumberingAfterBreak="0">
    <w:nsid w:val="574425C3"/>
    <w:multiLevelType w:val="hybridMultilevel"/>
    <w:tmpl w:val="A8C298C6"/>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5E2875BD"/>
    <w:multiLevelType w:val="hybridMultilevel"/>
    <w:tmpl w:val="2490065A"/>
    <w:lvl w:ilvl="0" w:tplc="26669A90">
      <w:start w:val="1"/>
      <w:numFmt w:val="decimal"/>
      <w:pStyle w:val="Slog1"/>
      <w:lvlText w:val="%1"/>
      <w:lvlJc w:val="left"/>
      <w:pPr>
        <w:ind w:left="1065" w:hanging="705"/>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636851D1"/>
    <w:multiLevelType w:val="hybridMultilevel"/>
    <w:tmpl w:val="A9188148"/>
    <w:lvl w:ilvl="0" w:tplc="F7CE1DC0">
      <w:start w:val="14"/>
      <w:numFmt w:val="bullet"/>
      <w:lvlText w:val=""/>
      <w:lvlJc w:val="left"/>
      <w:pPr>
        <w:ind w:left="720" w:hanging="360"/>
      </w:pPr>
      <w:rPr>
        <w:rFonts w:ascii="Wingdings" w:eastAsia="MS Mincho" w:hAnsi="Wingdings"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6" w15:restartNumberingAfterBreak="0">
    <w:nsid w:val="63F32687"/>
    <w:multiLevelType w:val="hybridMultilevel"/>
    <w:tmpl w:val="9228836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646A7C5E"/>
    <w:multiLevelType w:val="multilevel"/>
    <w:tmpl w:val="9B98B51E"/>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77"/>
        </w:tabs>
        <w:ind w:left="1477" w:hanging="397"/>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65CD3ACC"/>
    <w:multiLevelType w:val="hybridMultilevel"/>
    <w:tmpl w:val="F7E4672A"/>
    <w:lvl w:ilvl="0" w:tplc="22300EFA">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92020F"/>
    <w:multiLevelType w:val="hybridMultilevel"/>
    <w:tmpl w:val="321CCF36"/>
    <w:lvl w:ilvl="0" w:tplc="98A202F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54F263A"/>
    <w:multiLevelType w:val="hybridMultilevel"/>
    <w:tmpl w:val="5768C9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7A5F52AA"/>
    <w:multiLevelType w:val="hybridMultilevel"/>
    <w:tmpl w:val="F53483A2"/>
    <w:lvl w:ilvl="0" w:tplc="CC186CBC">
      <w:start w:val="1"/>
      <w:numFmt w:val="bullet"/>
      <w:lvlText w:val=""/>
      <w:lvlJc w:val="left"/>
      <w:pPr>
        <w:tabs>
          <w:tab w:val="num" w:pos="397"/>
        </w:tabs>
        <w:ind w:left="397" w:hanging="397"/>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8"/>
  </w:num>
  <w:num w:numId="3">
    <w:abstractNumId w:val="15"/>
  </w:num>
  <w:num w:numId="4">
    <w:abstractNumId w:val="1"/>
  </w:num>
  <w:num w:numId="5">
    <w:abstractNumId w:val="2"/>
  </w:num>
  <w:num w:numId="6">
    <w:abstractNumId w:val="21"/>
  </w:num>
  <w:num w:numId="7">
    <w:abstractNumId w:val="4"/>
  </w:num>
  <w:num w:numId="8">
    <w:abstractNumId w:val="27"/>
  </w:num>
  <w:num w:numId="9">
    <w:abstractNumId w:val="19"/>
  </w:num>
  <w:num w:numId="10">
    <w:abstractNumId w:val="16"/>
  </w:num>
  <w:num w:numId="11">
    <w:abstractNumId w:val="6"/>
  </w:num>
  <w:num w:numId="12">
    <w:abstractNumId w:val="12"/>
  </w:num>
  <w:num w:numId="13">
    <w:abstractNumId w:val="13"/>
  </w:num>
  <w:num w:numId="14">
    <w:abstractNumId w:val="31"/>
  </w:num>
  <w:num w:numId="15">
    <w:abstractNumId w:val="3"/>
  </w:num>
  <w:num w:numId="16">
    <w:abstractNumId w:val="5"/>
  </w:num>
  <w:num w:numId="17">
    <w:abstractNumId w:val="29"/>
  </w:num>
  <w:num w:numId="18">
    <w:abstractNumId w:val="14"/>
  </w:num>
  <w:num w:numId="19">
    <w:abstractNumId w:val="11"/>
  </w:num>
  <w:num w:numId="20">
    <w:abstractNumId w:val="7"/>
  </w:num>
  <w:num w:numId="21">
    <w:abstractNumId w:val="28"/>
  </w:num>
  <w:num w:numId="22">
    <w:abstractNumId w:val="24"/>
  </w:num>
  <w:num w:numId="23">
    <w:abstractNumId w:val="10"/>
  </w:num>
  <w:num w:numId="24">
    <w:abstractNumId w:val="22"/>
  </w:num>
  <w:num w:numId="25">
    <w:abstractNumId w:val="26"/>
  </w:num>
  <w:num w:numId="26">
    <w:abstractNumId w:val="20"/>
  </w:num>
  <w:num w:numId="27">
    <w:abstractNumId w:val="30"/>
  </w:num>
  <w:num w:numId="28">
    <w:abstractNumId w:val="23"/>
  </w:num>
  <w:num w:numId="29">
    <w:abstractNumId w:val="17"/>
  </w:num>
  <w:num w:numId="30">
    <w:abstractNumId w:val="0"/>
  </w:num>
  <w:num w:numId="31">
    <w:abstractNumId w:val="9"/>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17D37"/>
    <w:rsid w:val="00023A88"/>
    <w:rsid w:val="00025BDA"/>
    <w:rsid w:val="000736CB"/>
    <w:rsid w:val="00092F16"/>
    <w:rsid w:val="000972A6"/>
    <w:rsid w:val="000A7238"/>
    <w:rsid w:val="001357B2"/>
    <w:rsid w:val="0017478F"/>
    <w:rsid w:val="00196E92"/>
    <w:rsid w:val="001E262C"/>
    <w:rsid w:val="001F69E4"/>
    <w:rsid w:val="00202A77"/>
    <w:rsid w:val="00220DB4"/>
    <w:rsid w:val="00254B3D"/>
    <w:rsid w:val="002635A5"/>
    <w:rsid w:val="00271CE5"/>
    <w:rsid w:val="00282020"/>
    <w:rsid w:val="002A1620"/>
    <w:rsid w:val="002A2B69"/>
    <w:rsid w:val="002C264C"/>
    <w:rsid w:val="002C74E8"/>
    <w:rsid w:val="002E4835"/>
    <w:rsid w:val="0032489A"/>
    <w:rsid w:val="0033341F"/>
    <w:rsid w:val="003636BF"/>
    <w:rsid w:val="00371442"/>
    <w:rsid w:val="003845B4"/>
    <w:rsid w:val="00387B1A"/>
    <w:rsid w:val="003B33FB"/>
    <w:rsid w:val="003B6DAE"/>
    <w:rsid w:val="003C5EE5"/>
    <w:rsid w:val="003E1C74"/>
    <w:rsid w:val="0043123E"/>
    <w:rsid w:val="004657EE"/>
    <w:rsid w:val="00474B20"/>
    <w:rsid w:val="00475075"/>
    <w:rsid w:val="00496C6A"/>
    <w:rsid w:val="004A4631"/>
    <w:rsid w:val="004C76A7"/>
    <w:rsid w:val="00526246"/>
    <w:rsid w:val="00527F2B"/>
    <w:rsid w:val="00567106"/>
    <w:rsid w:val="005965F7"/>
    <w:rsid w:val="005A40EE"/>
    <w:rsid w:val="005E1D3C"/>
    <w:rsid w:val="005F390F"/>
    <w:rsid w:val="005F6CC3"/>
    <w:rsid w:val="00625AE6"/>
    <w:rsid w:val="00632253"/>
    <w:rsid w:val="00642714"/>
    <w:rsid w:val="006455CE"/>
    <w:rsid w:val="00647EA1"/>
    <w:rsid w:val="00655841"/>
    <w:rsid w:val="00655B78"/>
    <w:rsid w:val="0066787F"/>
    <w:rsid w:val="00693878"/>
    <w:rsid w:val="006B6DFB"/>
    <w:rsid w:val="006F4E1A"/>
    <w:rsid w:val="0071183B"/>
    <w:rsid w:val="00733017"/>
    <w:rsid w:val="00771DBA"/>
    <w:rsid w:val="00783310"/>
    <w:rsid w:val="007A4A6D"/>
    <w:rsid w:val="007B450F"/>
    <w:rsid w:val="007D1BCF"/>
    <w:rsid w:val="007D22EB"/>
    <w:rsid w:val="007D75CF"/>
    <w:rsid w:val="007E0440"/>
    <w:rsid w:val="007E563E"/>
    <w:rsid w:val="007E6DC5"/>
    <w:rsid w:val="0088043C"/>
    <w:rsid w:val="00884889"/>
    <w:rsid w:val="008906C9"/>
    <w:rsid w:val="008C5738"/>
    <w:rsid w:val="008D04F0"/>
    <w:rsid w:val="008F3500"/>
    <w:rsid w:val="00924E3C"/>
    <w:rsid w:val="009612BB"/>
    <w:rsid w:val="009932EA"/>
    <w:rsid w:val="009C740A"/>
    <w:rsid w:val="009F7B97"/>
    <w:rsid w:val="00A125C5"/>
    <w:rsid w:val="00A2451C"/>
    <w:rsid w:val="00A24F60"/>
    <w:rsid w:val="00A421B7"/>
    <w:rsid w:val="00A43E8A"/>
    <w:rsid w:val="00A65EE7"/>
    <w:rsid w:val="00A70133"/>
    <w:rsid w:val="00A770A6"/>
    <w:rsid w:val="00A813B1"/>
    <w:rsid w:val="00A8333D"/>
    <w:rsid w:val="00A87B1A"/>
    <w:rsid w:val="00AB36C4"/>
    <w:rsid w:val="00AC32B2"/>
    <w:rsid w:val="00AF0A43"/>
    <w:rsid w:val="00B17141"/>
    <w:rsid w:val="00B31575"/>
    <w:rsid w:val="00B63022"/>
    <w:rsid w:val="00B8547D"/>
    <w:rsid w:val="00B86C7F"/>
    <w:rsid w:val="00BC1883"/>
    <w:rsid w:val="00C250D5"/>
    <w:rsid w:val="00C30865"/>
    <w:rsid w:val="00C35666"/>
    <w:rsid w:val="00C426B8"/>
    <w:rsid w:val="00C92898"/>
    <w:rsid w:val="00CA4340"/>
    <w:rsid w:val="00CD7EE9"/>
    <w:rsid w:val="00CE5238"/>
    <w:rsid w:val="00CE7514"/>
    <w:rsid w:val="00D04605"/>
    <w:rsid w:val="00D248DE"/>
    <w:rsid w:val="00D801C7"/>
    <w:rsid w:val="00D8542D"/>
    <w:rsid w:val="00D95EBE"/>
    <w:rsid w:val="00DB0B2E"/>
    <w:rsid w:val="00DC4FB2"/>
    <w:rsid w:val="00DC6530"/>
    <w:rsid w:val="00DC6A71"/>
    <w:rsid w:val="00E0357D"/>
    <w:rsid w:val="00E25E6E"/>
    <w:rsid w:val="00E90F39"/>
    <w:rsid w:val="00ED1C3E"/>
    <w:rsid w:val="00EE084F"/>
    <w:rsid w:val="00F240BB"/>
    <w:rsid w:val="00F57FED"/>
    <w:rsid w:val="00F772B4"/>
    <w:rsid w:val="00F77D6D"/>
    <w:rsid w:val="00F93118"/>
    <w:rsid w:val="00FC754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D9DE614F-BB05-4BA1-B216-53EA5A669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link w:val="Naslov1Znak"/>
    <w:autoRedefine/>
    <w:qFormat/>
    <w:rsid w:val="003F0585"/>
    <w:pPr>
      <w:keepNext/>
      <w:spacing w:before="240" w:after="60"/>
      <w:outlineLvl w:val="0"/>
    </w:pPr>
    <w:rPr>
      <w:b/>
      <w:kern w:val="32"/>
      <w:sz w:val="28"/>
      <w:szCs w:val="32"/>
      <w:lang w:val="sl-SI" w:eastAsia="sl-SI"/>
    </w:rPr>
  </w:style>
  <w:style w:type="paragraph" w:styleId="Naslov20">
    <w:name w:val="heading 2"/>
    <w:basedOn w:val="Navaden"/>
    <w:next w:val="Navaden"/>
    <w:link w:val="Naslov2Znak"/>
    <w:autoRedefine/>
    <w:qFormat/>
    <w:rsid w:val="0033341F"/>
    <w:pPr>
      <w:keepNext/>
      <w:keepLines/>
      <w:tabs>
        <w:tab w:val="num" w:pos="576"/>
      </w:tabs>
      <w:spacing w:line="288" w:lineRule="auto"/>
      <w:ind w:left="576" w:hanging="576"/>
      <w:jc w:val="both"/>
      <w:outlineLvl w:val="1"/>
    </w:pPr>
    <w:rPr>
      <w:rFonts w:ascii="Times New Roman" w:eastAsia="MS Mincho" w:hAnsi="Times New Roman" w:cs="Arial"/>
      <w:b/>
      <w:bCs/>
      <w:iCs/>
      <w:sz w:val="32"/>
      <w:szCs w:val="28"/>
    </w:rPr>
  </w:style>
  <w:style w:type="paragraph" w:styleId="Naslov3">
    <w:name w:val="heading 3"/>
    <w:basedOn w:val="Navaden"/>
    <w:next w:val="Navaden"/>
    <w:link w:val="Naslov3Znak"/>
    <w:qFormat/>
    <w:rsid w:val="0033341F"/>
    <w:pPr>
      <w:keepNext/>
      <w:tabs>
        <w:tab w:val="num" w:pos="720"/>
      </w:tabs>
      <w:spacing w:before="240" w:after="60" w:line="288" w:lineRule="auto"/>
      <w:ind w:left="720" w:hanging="720"/>
      <w:jc w:val="both"/>
      <w:outlineLvl w:val="2"/>
    </w:pPr>
    <w:rPr>
      <w:rFonts w:ascii="Times New Roman" w:eastAsia="MS Mincho" w:hAnsi="Times New Roman" w:cs="Arial"/>
      <w:b/>
      <w:bCs/>
      <w:sz w:val="28"/>
      <w:szCs w:val="26"/>
      <w:lang w:val="sl-SI" w:eastAsia="ja-JP"/>
    </w:rPr>
  </w:style>
  <w:style w:type="paragraph" w:styleId="Naslov4">
    <w:name w:val="heading 4"/>
    <w:basedOn w:val="Navaden"/>
    <w:next w:val="Navaden"/>
    <w:link w:val="Naslov4Znak"/>
    <w:qFormat/>
    <w:rsid w:val="0033341F"/>
    <w:pPr>
      <w:keepNext/>
      <w:tabs>
        <w:tab w:val="num" w:pos="864"/>
      </w:tabs>
      <w:spacing w:before="240" w:after="60" w:line="288" w:lineRule="auto"/>
      <w:ind w:left="864" w:hanging="864"/>
      <w:jc w:val="both"/>
      <w:outlineLvl w:val="3"/>
    </w:pPr>
    <w:rPr>
      <w:rFonts w:ascii="Times New Roman" w:eastAsia="MS Mincho" w:hAnsi="Times New Roman"/>
      <w:b/>
      <w:bCs/>
      <w:sz w:val="24"/>
      <w:szCs w:val="28"/>
      <w:lang w:val="sl-SI" w:eastAsia="ja-JP"/>
    </w:rPr>
  </w:style>
  <w:style w:type="paragraph" w:styleId="Naslov5">
    <w:name w:val="heading 5"/>
    <w:basedOn w:val="Navaden"/>
    <w:next w:val="Navaden"/>
    <w:link w:val="Naslov5Znak"/>
    <w:qFormat/>
    <w:rsid w:val="0033341F"/>
    <w:pPr>
      <w:tabs>
        <w:tab w:val="num" w:pos="1008"/>
      </w:tabs>
      <w:spacing w:before="240" w:after="60" w:line="288" w:lineRule="auto"/>
      <w:ind w:left="1008" w:hanging="1008"/>
      <w:jc w:val="both"/>
      <w:outlineLvl w:val="4"/>
    </w:pPr>
    <w:rPr>
      <w:rFonts w:ascii="Times New Roman" w:eastAsia="MS Mincho" w:hAnsi="Times New Roman"/>
      <w:b/>
      <w:bCs/>
      <w:i/>
      <w:iCs/>
      <w:sz w:val="24"/>
      <w:szCs w:val="26"/>
      <w:lang w:val="sl-SI" w:eastAsia="ja-JP"/>
    </w:rPr>
  </w:style>
  <w:style w:type="paragraph" w:styleId="Naslov6">
    <w:name w:val="heading 6"/>
    <w:basedOn w:val="Navaden"/>
    <w:next w:val="Navaden"/>
    <w:link w:val="Naslov6Znak"/>
    <w:qFormat/>
    <w:rsid w:val="0033341F"/>
    <w:pPr>
      <w:tabs>
        <w:tab w:val="num" w:pos="1152"/>
      </w:tabs>
      <w:spacing w:before="240" w:after="60" w:line="288" w:lineRule="auto"/>
      <w:ind w:left="1152" w:hanging="1152"/>
      <w:jc w:val="both"/>
      <w:outlineLvl w:val="5"/>
    </w:pPr>
    <w:rPr>
      <w:rFonts w:ascii="Times New Roman" w:eastAsia="MS Mincho" w:hAnsi="Times New Roman"/>
      <w:b/>
      <w:bCs/>
      <w:sz w:val="22"/>
      <w:szCs w:val="22"/>
      <w:lang w:val="sl-SI" w:eastAsia="ja-JP"/>
    </w:rPr>
  </w:style>
  <w:style w:type="paragraph" w:styleId="Naslov7">
    <w:name w:val="heading 7"/>
    <w:basedOn w:val="Navaden"/>
    <w:next w:val="Navaden"/>
    <w:link w:val="Naslov7Znak"/>
    <w:qFormat/>
    <w:rsid w:val="0033341F"/>
    <w:pPr>
      <w:tabs>
        <w:tab w:val="num" w:pos="1296"/>
      </w:tabs>
      <w:spacing w:before="240" w:after="60" w:line="288" w:lineRule="auto"/>
      <w:ind w:left="1296" w:hanging="1296"/>
      <w:jc w:val="both"/>
      <w:outlineLvl w:val="6"/>
    </w:pPr>
    <w:rPr>
      <w:rFonts w:ascii="Times New Roman" w:eastAsia="MS Mincho" w:hAnsi="Times New Roman"/>
      <w:sz w:val="24"/>
      <w:lang w:val="sl-SI" w:eastAsia="ja-JP"/>
    </w:rPr>
  </w:style>
  <w:style w:type="paragraph" w:styleId="Naslov8">
    <w:name w:val="heading 8"/>
    <w:basedOn w:val="Navaden"/>
    <w:next w:val="Navaden"/>
    <w:link w:val="Naslov8Znak"/>
    <w:qFormat/>
    <w:rsid w:val="0033341F"/>
    <w:pPr>
      <w:tabs>
        <w:tab w:val="num" w:pos="1440"/>
      </w:tabs>
      <w:spacing w:before="240" w:after="60" w:line="288" w:lineRule="auto"/>
      <w:ind w:left="1440" w:hanging="1440"/>
      <w:jc w:val="both"/>
      <w:outlineLvl w:val="7"/>
    </w:pPr>
    <w:rPr>
      <w:rFonts w:ascii="Times New Roman" w:eastAsia="MS Mincho" w:hAnsi="Times New Roman"/>
      <w:i/>
      <w:iCs/>
      <w:sz w:val="24"/>
      <w:lang w:val="sl-SI" w:eastAsia="ja-JP"/>
    </w:rPr>
  </w:style>
  <w:style w:type="paragraph" w:styleId="Naslov9">
    <w:name w:val="heading 9"/>
    <w:basedOn w:val="Navaden"/>
    <w:next w:val="Navaden"/>
    <w:link w:val="Naslov9Znak"/>
    <w:qFormat/>
    <w:rsid w:val="0033341F"/>
    <w:pPr>
      <w:tabs>
        <w:tab w:val="num" w:pos="1584"/>
      </w:tabs>
      <w:spacing w:before="240" w:after="60" w:line="288" w:lineRule="auto"/>
      <w:ind w:left="1584" w:hanging="1584"/>
      <w:jc w:val="both"/>
      <w:outlineLvl w:val="8"/>
    </w:pPr>
    <w:rPr>
      <w:rFonts w:eastAsia="MS Mincho" w:cs="Arial"/>
      <w:sz w:val="22"/>
      <w:szCs w:val="22"/>
      <w:lang w:val="sl-SI" w:eastAsia="ja-JP"/>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Naslov2Znak">
    <w:name w:val="Naslov 2 Znak"/>
    <w:basedOn w:val="Privzetapisavaodstavka"/>
    <w:link w:val="Naslov20"/>
    <w:rsid w:val="0033341F"/>
    <w:rPr>
      <w:rFonts w:eastAsia="MS Mincho" w:cs="Arial"/>
      <w:b/>
      <w:bCs/>
      <w:iCs/>
      <w:sz w:val="32"/>
      <w:szCs w:val="28"/>
      <w:lang w:val="en-US" w:eastAsia="en-US"/>
    </w:rPr>
  </w:style>
  <w:style w:type="character" w:customStyle="1" w:styleId="Naslov3Znak">
    <w:name w:val="Naslov 3 Znak"/>
    <w:basedOn w:val="Privzetapisavaodstavka"/>
    <w:link w:val="Naslov3"/>
    <w:rsid w:val="0033341F"/>
    <w:rPr>
      <w:rFonts w:eastAsia="MS Mincho" w:cs="Arial"/>
      <w:b/>
      <w:bCs/>
      <w:sz w:val="28"/>
      <w:szCs w:val="26"/>
      <w:lang w:eastAsia="ja-JP"/>
    </w:rPr>
  </w:style>
  <w:style w:type="character" w:customStyle="1" w:styleId="Naslov4Znak">
    <w:name w:val="Naslov 4 Znak"/>
    <w:basedOn w:val="Privzetapisavaodstavka"/>
    <w:link w:val="Naslov4"/>
    <w:rsid w:val="0033341F"/>
    <w:rPr>
      <w:rFonts w:eastAsia="MS Mincho"/>
      <w:b/>
      <w:bCs/>
      <w:sz w:val="24"/>
      <w:szCs w:val="28"/>
      <w:lang w:eastAsia="ja-JP"/>
    </w:rPr>
  </w:style>
  <w:style w:type="character" w:customStyle="1" w:styleId="Naslov5Znak">
    <w:name w:val="Naslov 5 Znak"/>
    <w:basedOn w:val="Privzetapisavaodstavka"/>
    <w:link w:val="Naslov5"/>
    <w:rsid w:val="0033341F"/>
    <w:rPr>
      <w:rFonts w:eastAsia="MS Mincho"/>
      <w:b/>
      <w:bCs/>
      <w:i/>
      <w:iCs/>
      <w:sz w:val="24"/>
      <w:szCs w:val="26"/>
      <w:lang w:eastAsia="ja-JP"/>
    </w:rPr>
  </w:style>
  <w:style w:type="character" w:customStyle="1" w:styleId="Naslov6Znak">
    <w:name w:val="Naslov 6 Znak"/>
    <w:basedOn w:val="Privzetapisavaodstavka"/>
    <w:link w:val="Naslov6"/>
    <w:rsid w:val="0033341F"/>
    <w:rPr>
      <w:rFonts w:eastAsia="MS Mincho"/>
      <w:b/>
      <w:bCs/>
      <w:sz w:val="22"/>
      <w:szCs w:val="22"/>
      <w:lang w:eastAsia="ja-JP"/>
    </w:rPr>
  </w:style>
  <w:style w:type="character" w:customStyle="1" w:styleId="Naslov7Znak">
    <w:name w:val="Naslov 7 Znak"/>
    <w:basedOn w:val="Privzetapisavaodstavka"/>
    <w:link w:val="Naslov7"/>
    <w:rsid w:val="0033341F"/>
    <w:rPr>
      <w:rFonts w:eastAsia="MS Mincho"/>
      <w:sz w:val="24"/>
      <w:szCs w:val="24"/>
      <w:lang w:eastAsia="ja-JP"/>
    </w:rPr>
  </w:style>
  <w:style w:type="character" w:customStyle="1" w:styleId="Naslov8Znak">
    <w:name w:val="Naslov 8 Znak"/>
    <w:basedOn w:val="Privzetapisavaodstavka"/>
    <w:link w:val="Naslov8"/>
    <w:rsid w:val="0033341F"/>
    <w:rPr>
      <w:rFonts w:eastAsia="MS Mincho"/>
      <w:i/>
      <w:iCs/>
      <w:sz w:val="24"/>
      <w:szCs w:val="24"/>
      <w:lang w:eastAsia="ja-JP"/>
    </w:rPr>
  </w:style>
  <w:style w:type="character" w:customStyle="1" w:styleId="Naslov9Znak">
    <w:name w:val="Naslov 9 Znak"/>
    <w:basedOn w:val="Privzetapisavaodstavka"/>
    <w:link w:val="Naslov9"/>
    <w:rsid w:val="0033341F"/>
    <w:rPr>
      <w:rFonts w:ascii="Arial" w:eastAsia="MS Mincho" w:hAnsi="Arial" w:cs="Arial"/>
      <w:sz w:val="22"/>
      <w:szCs w:val="22"/>
      <w:lang w:eastAsia="ja-JP"/>
    </w:rPr>
  </w:style>
  <w:style w:type="numbering" w:customStyle="1" w:styleId="Brezseznama1">
    <w:name w:val="Brez seznama1"/>
    <w:next w:val="Brezseznama"/>
    <w:uiPriority w:val="99"/>
    <w:semiHidden/>
    <w:unhideWhenUsed/>
    <w:rsid w:val="0033341F"/>
  </w:style>
  <w:style w:type="character" w:customStyle="1" w:styleId="Naslov1Znak">
    <w:name w:val="Naslov 1 Znak"/>
    <w:aliases w:val="NASLOV Znak"/>
    <w:link w:val="Naslov1"/>
    <w:rsid w:val="0033341F"/>
    <w:rPr>
      <w:rFonts w:ascii="Arial" w:hAnsi="Arial"/>
      <w:b/>
      <w:kern w:val="32"/>
      <w:sz w:val="28"/>
      <w:szCs w:val="32"/>
    </w:rPr>
  </w:style>
  <w:style w:type="paragraph" w:customStyle="1" w:styleId="StyleCaption12pt">
    <w:name w:val="Style Caption + 12 pt"/>
    <w:basedOn w:val="Napis"/>
    <w:rsid w:val="0033341F"/>
  </w:style>
  <w:style w:type="paragraph" w:styleId="Napis">
    <w:name w:val="caption"/>
    <w:basedOn w:val="Navaden"/>
    <w:next w:val="Navaden"/>
    <w:link w:val="NapisZnak"/>
    <w:autoRedefine/>
    <w:qFormat/>
    <w:rsid w:val="005A40EE"/>
    <w:pPr>
      <w:keepNext/>
      <w:keepLines/>
      <w:spacing w:line="288" w:lineRule="auto"/>
      <w:jc w:val="center"/>
    </w:pPr>
    <w:rPr>
      <w:rFonts w:asciiTheme="minorHAnsi" w:hAnsiTheme="minorHAnsi" w:cstheme="minorHAnsi"/>
      <w:i/>
      <w:noProof/>
      <w:position w:val="-10"/>
      <w:sz w:val="24"/>
      <w:lang w:val="sl-SI" w:eastAsia="sl-SI"/>
    </w:rPr>
  </w:style>
  <w:style w:type="character" w:customStyle="1" w:styleId="NapisZnak">
    <w:name w:val="Napis Znak"/>
    <w:link w:val="Napis"/>
    <w:rsid w:val="005A40EE"/>
    <w:rPr>
      <w:rFonts w:asciiTheme="minorHAnsi" w:hAnsiTheme="minorHAnsi" w:cstheme="minorHAnsi"/>
      <w:i/>
      <w:noProof/>
      <w:position w:val="-10"/>
      <w:sz w:val="24"/>
      <w:szCs w:val="24"/>
    </w:rPr>
  </w:style>
  <w:style w:type="paragraph" w:customStyle="1" w:styleId="besedilo">
    <w:name w:val="besedilo"/>
    <w:basedOn w:val="Navaden"/>
    <w:rsid w:val="0033341F"/>
    <w:pPr>
      <w:spacing w:after="120" w:line="288" w:lineRule="auto"/>
      <w:jc w:val="both"/>
    </w:pPr>
    <w:rPr>
      <w:rFonts w:ascii="Book Antiqua" w:hAnsi="Book Antiqua"/>
      <w:sz w:val="24"/>
      <w:szCs w:val="20"/>
      <w:lang w:val="sl-SI"/>
    </w:rPr>
  </w:style>
  <w:style w:type="paragraph" w:customStyle="1" w:styleId="naslov0">
    <w:name w:val="naslov 0"/>
    <w:basedOn w:val="besedilo"/>
    <w:next w:val="besedilo"/>
    <w:rsid w:val="0033341F"/>
    <w:pPr>
      <w:jc w:val="center"/>
    </w:pPr>
    <w:rPr>
      <w:b/>
      <w:bCs/>
      <w:caps/>
      <w:sz w:val="40"/>
      <w:szCs w:val="40"/>
    </w:rPr>
  </w:style>
  <w:style w:type="character" w:customStyle="1" w:styleId="NogaZnak">
    <w:name w:val="Noga Znak"/>
    <w:link w:val="Noga"/>
    <w:uiPriority w:val="99"/>
    <w:rsid w:val="0033341F"/>
    <w:rPr>
      <w:rFonts w:ascii="Arial" w:hAnsi="Arial"/>
      <w:szCs w:val="24"/>
      <w:lang w:val="en-US" w:eastAsia="en-US"/>
    </w:rPr>
  </w:style>
  <w:style w:type="paragraph" w:customStyle="1" w:styleId="naslov10">
    <w:name w:val="naslov 1"/>
    <w:basedOn w:val="besedilo"/>
    <w:next w:val="besedilo"/>
    <w:rsid w:val="0033341F"/>
    <w:pPr>
      <w:tabs>
        <w:tab w:val="num" w:pos="432"/>
      </w:tabs>
      <w:ind w:left="432" w:hanging="432"/>
      <w:jc w:val="left"/>
    </w:pPr>
    <w:rPr>
      <w:b/>
      <w:caps/>
      <w:sz w:val="32"/>
      <w:szCs w:val="32"/>
    </w:rPr>
  </w:style>
  <w:style w:type="paragraph" w:customStyle="1" w:styleId="naslov2">
    <w:name w:val="naslov 2"/>
    <w:basedOn w:val="naslov10"/>
    <w:rsid w:val="0033341F"/>
    <w:pPr>
      <w:numPr>
        <w:ilvl w:val="1"/>
        <w:numId w:val="6"/>
      </w:numPr>
    </w:pPr>
    <w:rPr>
      <w:caps w:val="0"/>
    </w:rPr>
  </w:style>
  <w:style w:type="paragraph" w:customStyle="1" w:styleId="Text">
    <w:name w:val="Text"/>
    <w:basedOn w:val="Navaden"/>
    <w:rsid w:val="0033341F"/>
    <w:pPr>
      <w:numPr>
        <w:numId w:val="6"/>
      </w:numPr>
      <w:spacing w:after="120" w:line="288" w:lineRule="auto"/>
      <w:jc w:val="both"/>
    </w:pPr>
    <w:rPr>
      <w:rFonts w:ascii="Book Antiqua" w:hAnsi="Book Antiqua"/>
      <w:sz w:val="24"/>
      <w:szCs w:val="20"/>
      <w:lang w:val="en-GB"/>
    </w:rPr>
  </w:style>
  <w:style w:type="character" w:styleId="tevilkastrani">
    <w:name w:val="page number"/>
    <w:rsid w:val="0033341F"/>
  </w:style>
  <w:style w:type="paragraph" w:customStyle="1" w:styleId="Text-bullet">
    <w:name w:val="Text-bullet"/>
    <w:basedOn w:val="Text"/>
    <w:rsid w:val="0033341F"/>
    <w:pPr>
      <w:numPr>
        <w:numId w:val="0"/>
      </w:numPr>
      <w:tabs>
        <w:tab w:val="num" w:pos="432"/>
      </w:tabs>
      <w:ind w:left="432" w:hanging="432"/>
    </w:pPr>
  </w:style>
  <w:style w:type="paragraph" w:styleId="Golobesedilo">
    <w:name w:val="Plain Text"/>
    <w:basedOn w:val="Navaden"/>
    <w:link w:val="GolobesediloZnak"/>
    <w:rsid w:val="0033341F"/>
    <w:pPr>
      <w:spacing w:line="288" w:lineRule="auto"/>
    </w:pPr>
    <w:rPr>
      <w:rFonts w:ascii="Courier New" w:hAnsi="Courier New" w:cs="Courier New"/>
      <w:szCs w:val="20"/>
      <w:lang w:val="sl-SI" w:eastAsia="sl-SI"/>
    </w:rPr>
  </w:style>
  <w:style w:type="character" w:customStyle="1" w:styleId="GolobesediloZnak">
    <w:name w:val="Golo besedilo Znak"/>
    <w:basedOn w:val="Privzetapisavaodstavka"/>
    <w:link w:val="Golobesedilo"/>
    <w:rsid w:val="0033341F"/>
    <w:rPr>
      <w:rFonts w:ascii="Courier New" w:hAnsi="Courier New" w:cs="Courier New"/>
    </w:rPr>
  </w:style>
  <w:style w:type="paragraph" w:styleId="Naslov">
    <w:name w:val="Title"/>
    <w:basedOn w:val="Navaden"/>
    <w:link w:val="NaslovZnak"/>
    <w:qFormat/>
    <w:rsid w:val="0033341F"/>
    <w:pPr>
      <w:spacing w:line="300" w:lineRule="exact"/>
      <w:jc w:val="center"/>
    </w:pPr>
    <w:rPr>
      <w:rFonts w:ascii="Times New Roman" w:hAnsi="Times New Roman"/>
      <w:b/>
      <w:bCs/>
      <w:sz w:val="32"/>
      <w:lang w:val="sl-SI" w:eastAsia="sl-SI"/>
    </w:rPr>
  </w:style>
  <w:style w:type="character" w:customStyle="1" w:styleId="NaslovZnak">
    <w:name w:val="Naslov Znak"/>
    <w:basedOn w:val="Privzetapisavaodstavka"/>
    <w:link w:val="Naslov"/>
    <w:rsid w:val="0033341F"/>
    <w:rPr>
      <w:b/>
      <w:bCs/>
      <w:sz w:val="32"/>
      <w:szCs w:val="24"/>
    </w:rPr>
  </w:style>
  <w:style w:type="paragraph" w:styleId="Podnaslov">
    <w:name w:val="Subtitle"/>
    <w:basedOn w:val="Navaden"/>
    <w:link w:val="PodnaslovZnak"/>
    <w:qFormat/>
    <w:rsid w:val="0033341F"/>
    <w:pPr>
      <w:spacing w:line="288" w:lineRule="auto"/>
      <w:jc w:val="center"/>
    </w:pPr>
    <w:rPr>
      <w:rFonts w:ascii="Times New Roman" w:hAnsi="Times New Roman"/>
      <w:sz w:val="26"/>
      <w:szCs w:val="20"/>
      <w:lang w:val="sl-SI" w:eastAsia="sl-SI"/>
    </w:rPr>
  </w:style>
  <w:style w:type="character" w:customStyle="1" w:styleId="PodnaslovZnak">
    <w:name w:val="Podnaslov Znak"/>
    <w:basedOn w:val="Privzetapisavaodstavka"/>
    <w:link w:val="Podnaslov"/>
    <w:rsid w:val="0033341F"/>
    <w:rPr>
      <w:sz w:val="26"/>
    </w:rPr>
  </w:style>
  <w:style w:type="paragraph" w:customStyle="1" w:styleId="BodyText31">
    <w:name w:val="Body Text 31"/>
    <w:basedOn w:val="Navaden"/>
    <w:rsid w:val="0033341F"/>
    <w:pPr>
      <w:spacing w:line="288" w:lineRule="auto"/>
      <w:jc w:val="both"/>
    </w:pPr>
    <w:rPr>
      <w:rFonts w:ascii="Times New Roman" w:hAnsi="Times New Roman"/>
      <w:sz w:val="24"/>
      <w:szCs w:val="20"/>
      <w:lang w:val="sl-SI" w:eastAsia="sl-SI"/>
    </w:rPr>
  </w:style>
  <w:style w:type="table" w:customStyle="1" w:styleId="Tabelamrea1">
    <w:name w:val="Tabela – mreža1"/>
    <w:basedOn w:val="Navadnatabela"/>
    <w:next w:val="Tabelamrea"/>
    <w:rsid w:val="00333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edenaHiperpovezava">
    <w:name w:val="FollowedHyperlink"/>
    <w:rsid w:val="0033341F"/>
    <w:rPr>
      <w:color w:val="800080"/>
      <w:u w:val="single"/>
    </w:rPr>
  </w:style>
  <w:style w:type="paragraph" w:styleId="Sprotnaopomba-besedilo">
    <w:name w:val="footnote text"/>
    <w:basedOn w:val="Navaden"/>
    <w:link w:val="Sprotnaopomba-besediloZnak"/>
    <w:rsid w:val="0033341F"/>
    <w:pPr>
      <w:spacing w:line="288" w:lineRule="auto"/>
    </w:pPr>
    <w:rPr>
      <w:rFonts w:ascii="Times New Roman" w:hAnsi="Times New Roman"/>
      <w:szCs w:val="20"/>
      <w:lang w:val="sl-SI" w:eastAsia="sl-SI"/>
    </w:rPr>
  </w:style>
  <w:style w:type="character" w:customStyle="1" w:styleId="Sprotnaopomba-besediloZnak">
    <w:name w:val="Sprotna opomba - besedilo Znak"/>
    <w:basedOn w:val="Privzetapisavaodstavka"/>
    <w:link w:val="Sprotnaopomba-besedilo"/>
    <w:rsid w:val="0033341F"/>
  </w:style>
  <w:style w:type="character" w:styleId="Sprotnaopomba-sklic">
    <w:name w:val="footnote reference"/>
    <w:rsid w:val="0033341F"/>
    <w:rPr>
      <w:vertAlign w:val="superscript"/>
    </w:rPr>
  </w:style>
  <w:style w:type="paragraph" w:customStyle="1" w:styleId="Title1">
    <w:name w:val="Title 1"/>
    <w:basedOn w:val="naslov10"/>
    <w:rsid w:val="0033341F"/>
    <w:pPr>
      <w:keepNext/>
      <w:keepLines/>
      <w:tabs>
        <w:tab w:val="clear" w:pos="432"/>
        <w:tab w:val="num" w:pos="567"/>
      </w:tabs>
      <w:spacing w:line="240" w:lineRule="auto"/>
      <w:ind w:left="567" w:hanging="567"/>
    </w:pPr>
    <w:rPr>
      <w:lang w:val="en-GB"/>
    </w:rPr>
  </w:style>
  <w:style w:type="character" w:customStyle="1" w:styleId="GlavaZnak">
    <w:name w:val="Glava Znak"/>
    <w:link w:val="Glava"/>
    <w:rsid w:val="0033341F"/>
    <w:rPr>
      <w:rFonts w:ascii="Arial" w:hAnsi="Arial"/>
      <w:szCs w:val="24"/>
      <w:lang w:val="en-US" w:eastAsia="en-US"/>
    </w:rPr>
  </w:style>
  <w:style w:type="paragraph" w:styleId="Besedilooblaka">
    <w:name w:val="Balloon Text"/>
    <w:basedOn w:val="Navaden"/>
    <w:link w:val="BesedilooblakaZnak"/>
    <w:rsid w:val="0033341F"/>
    <w:pPr>
      <w:spacing w:line="288" w:lineRule="auto"/>
      <w:jc w:val="both"/>
    </w:pPr>
    <w:rPr>
      <w:rFonts w:ascii="Tahoma" w:eastAsia="MS Mincho" w:hAnsi="Tahoma" w:cs="Tahoma"/>
      <w:sz w:val="16"/>
      <w:szCs w:val="16"/>
      <w:lang w:val="sl-SI" w:eastAsia="ja-JP"/>
    </w:rPr>
  </w:style>
  <w:style w:type="character" w:customStyle="1" w:styleId="BesedilooblakaZnak">
    <w:name w:val="Besedilo oblačka Znak"/>
    <w:basedOn w:val="Privzetapisavaodstavka"/>
    <w:link w:val="Besedilooblaka"/>
    <w:rsid w:val="0033341F"/>
    <w:rPr>
      <w:rFonts w:ascii="Tahoma" w:eastAsia="MS Mincho" w:hAnsi="Tahoma" w:cs="Tahoma"/>
      <w:sz w:val="16"/>
      <w:szCs w:val="16"/>
      <w:lang w:eastAsia="ja-JP"/>
    </w:rPr>
  </w:style>
  <w:style w:type="paragraph" w:styleId="Kazalovsebine1">
    <w:name w:val="toc 1"/>
    <w:basedOn w:val="Navaden"/>
    <w:next w:val="Navaden"/>
    <w:autoRedefine/>
    <w:uiPriority w:val="39"/>
    <w:rsid w:val="0033341F"/>
    <w:pPr>
      <w:tabs>
        <w:tab w:val="left" w:pos="480"/>
        <w:tab w:val="right" w:leader="dot" w:pos="9061"/>
      </w:tabs>
      <w:spacing w:before="360" w:line="288" w:lineRule="auto"/>
      <w:ind w:left="490" w:hanging="490"/>
    </w:pPr>
    <w:rPr>
      <w:rFonts w:ascii="Times New Roman" w:eastAsia="MS Mincho" w:hAnsi="Times New Roman"/>
      <w:b/>
      <w:bCs/>
      <w:caps/>
      <w:noProof/>
      <w:sz w:val="24"/>
      <w:lang w:eastAsia="ja-JP"/>
    </w:rPr>
  </w:style>
  <w:style w:type="paragraph" w:styleId="Kazalovsebine2">
    <w:name w:val="toc 2"/>
    <w:basedOn w:val="Navaden"/>
    <w:next w:val="Navaden"/>
    <w:autoRedefine/>
    <w:uiPriority w:val="39"/>
    <w:rsid w:val="0033341F"/>
    <w:pPr>
      <w:tabs>
        <w:tab w:val="left" w:pos="720"/>
        <w:tab w:val="right" w:leader="dot" w:pos="9061"/>
      </w:tabs>
      <w:spacing w:before="240" w:line="288" w:lineRule="auto"/>
      <w:ind w:left="720" w:hanging="540"/>
    </w:pPr>
    <w:rPr>
      <w:rFonts w:ascii="Times New Roman" w:eastAsia="MS Mincho" w:hAnsi="Times New Roman"/>
      <w:b/>
      <w:bCs/>
      <w:szCs w:val="20"/>
      <w:lang w:val="sl-SI" w:eastAsia="ja-JP"/>
    </w:rPr>
  </w:style>
  <w:style w:type="paragraph" w:styleId="Kazalovsebine3">
    <w:name w:val="toc 3"/>
    <w:basedOn w:val="Navaden"/>
    <w:next w:val="Navaden"/>
    <w:autoRedefine/>
    <w:uiPriority w:val="39"/>
    <w:rsid w:val="0033341F"/>
    <w:pPr>
      <w:tabs>
        <w:tab w:val="left" w:pos="960"/>
        <w:tab w:val="right" w:leader="dot" w:pos="9061"/>
      </w:tabs>
      <w:spacing w:line="288" w:lineRule="auto"/>
      <w:ind w:left="322"/>
    </w:pPr>
    <w:rPr>
      <w:rFonts w:ascii="Times New Roman" w:eastAsia="MS Mincho" w:hAnsi="Times New Roman"/>
      <w:szCs w:val="20"/>
      <w:lang w:val="sl-SI" w:eastAsia="ja-JP"/>
    </w:rPr>
  </w:style>
  <w:style w:type="paragraph" w:styleId="Navadensplet">
    <w:name w:val="Normal (Web)"/>
    <w:basedOn w:val="Navaden"/>
    <w:rsid w:val="0033341F"/>
    <w:pPr>
      <w:spacing w:before="100" w:beforeAutospacing="1" w:after="100" w:afterAutospacing="1" w:line="288" w:lineRule="auto"/>
    </w:pPr>
    <w:rPr>
      <w:rFonts w:ascii="Times New Roman" w:hAnsi="Times New Roman"/>
      <w:sz w:val="24"/>
      <w:lang w:val="sl-SI" w:eastAsia="sl-SI"/>
    </w:rPr>
  </w:style>
  <w:style w:type="character" w:styleId="Poudarek">
    <w:name w:val="Emphasis"/>
    <w:qFormat/>
    <w:rsid w:val="0033341F"/>
    <w:rPr>
      <w:i/>
      <w:iCs/>
    </w:rPr>
  </w:style>
  <w:style w:type="character" w:customStyle="1" w:styleId="StyleCaption12ptChar">
    <w:name w:val="Style Caption + 12 pt Char"/>
    <w:rsid w:val="0033341F"/>
    <w:rPr>
      <w:rFonts w:eastAsia="MS Mincho"/>
      <w:bCs/>
      <w:sz w:val="24"/>
      <w:lang w:val="sl-SI" w:eastAsia="ja-JP" w:bidi="ar-SA"/>
    </w:rPr>
  </w:style>
  <w:style w:type="character" w:styleId="Krepko">
    <w:name w:val="Strong"/>
    <w:qFormat/>
    <w:rsid w:val="0033341F"/>
    <w:rPr>
      <w:b/>
      <w:bCs/>
    </w:rPr>
  </w:style>
  <w:style w:type="paragraph" w:styleId="Kazalovsebine4">
    <w:name w:val="toc 4"/>
    <w:basedOn w:val="Navaden"/>
    <w:next w:val="Navaden"/>
    <w:autoRedefine/>
    <w:rsid w:val="0033341F"/>
    <w:pPr>
      <w:spacing w:line="288" w:lineRule="auto"/>
      <w:ind w:left="480"/>
    </w:pPr>
    <w:rPr>
      <w:rFonts w:ascii="Times New Roman" w:eastAsia="MS Mincho" w:hAnsi="Times New Roman"/>
      <w:szCs w:val="20"/>
      <w:lang w:val="sl-SI" w:eastAsia="ja-JP"/>
    </w:rPr>
  </w:style>
  <w:style w:type="character" w:styleId="Pripombasklic">
    <w:name w:val="annotation reference"/>
    <w:rsid w:val="0033341F"/>
    <w:rPr>
      <w:sz w:val="16"/>
      <w:szCs w:val="16"/>
    </w:rPr>
  </w:style>
  <w:style w:type="paragraph" w:styleId="Pripombabesedilo">
    <w:name w:val="annotation text"/>
    <w:basedOn w:val="Navaden"/>
    <w:link w:val="PripombabesediloZnak"/>
    <w:rsid w:val="0033341F"/>
    <w:pPr>
      <w:spacing w:line="288" w:lineRule="auto"/>
      <w:jc w:val="both"/>
    </w:pPr>
    <w:rPr>
      <w:rFonts w:ascii="Times New Roman" w:eastAsia="MS Mincho" w:hAnsi="Times New Roman"/>
      <w:szCs w:val="20"/>
      <w:lang w:val="sl-SI" w:eastAsia="ja-JP"/>
    </w:rPr>
  </w:style>
  <w:style w:type="character" w:customStyle="1" w:styleId="PripombabesediloZnak">
    <w:name w:val="Pripomba – besedilo Znak"/>
    <w:basedOn w:val="Privzetapisavaodstavka"/>
    <w:link w:val="Pripombabesedilo"/>
    <w:rsid w:val="0033341F"/>
    <w:rPr>
      <w:rFonts w:eastAsia="MS Mincho"/>
      <w:lang w:eastAsia="ja-JP"/>
    </w:rPr>
  </w:style>
  <w:style w:type="paragraph" w:styleId="Zadevapripombe">
    <w:name w:val="annotation subject"/>
    <w:basedOn w:val="Pripombabesedilo"/>
    <w:next w:val="Pripombabesedilo"/>
    <w:link w:val="ZadevapripombeZnak"/>
    <w:rsid w:val="0033341F"/>
    <w:rPr>
      <w:b/>
      <w:bCs/>
    </w:rPr>
  </w:style>
  <w:style w:type="character" w:customStyle="1" w:styleId="ZadevapripombeZnak">
    <w:name w:val="Zadeva pripombe Znak"/>
    <w:basedOn w:val="PripombabesediloZnak"/>
    <w:link w:val="Zadevapripombe"/>
    <w:rsid w:val="0033341F"/>
    <w:rPr>
      <w:rFonts w:eastAsia="MS Mincho"/>
      <w:b/>
      <w:bCs/>
      <w:lang w:eastAsia="ja-JP"/>
    </w:rPr>
  </w:style>
  <w:style w:type="paragraph" w:styleId="Kazalovsebine5">
    <w:name w:val="toc 5"/>
    <w:basedOn w:val="Navaden"/>
    <w:next w:val="Navaden"/>
    <w:autoRedefine/>
    <w:rsid w:val="0033341F"/>
    <w:pPr>
      <w:tabs>
        <w:tab w:val="left" w:pos="1680"/>
        <w:tab w:val="right" w:leader="dot" w:pos="9061"/>
      </w:tabs>
      <w:spacing w:line="288" w:lineRule="auto"/>
      <w:ind w:left="672"/>
    </w:pPr>
    <w:rPr>
      <w:rFonts w:ascii="Times New Roman" w:eastAsia="MS Mincho" w:hAnsi="Times New Roman"/>
      <w:szCs w:val="20"/>
      <w:lang w:val="sl-SI" w:eastAsia="ja-JP"/>
    </w:rPr>
  </w:style>
  <w:style w:type="paragraph" w:customStyle="1" w:styleId="Equationsvoje">
    <w:name w:val="Equation_svoje"/>
    <w:basedOn w:val="Navaden"/>
    <w:link w:val="EquationsvojeChar"/>
    <w:rsid w:val="0033341F"/>
    <w:pPr>
      <w:spacing w:line="288" w:lineRule="auto"/>
      <w:jc w:val="right"/>
    </w:pPr>
    <w:rPr>
      <w:rFonts w:ascii="Times New Roman" w:hAnsi="Times New Roman"/>
      <w:bCs/>
      <w:noProof/>
      <w:position w:val="-10"/>
      <w:sz w:val="24"/>
      <w:lang w:eastAsia="sl-SI"/>
    </w:rPr>
  </w:style>
  <w:style w:type="character" w:customStyle="1" w:styleId="EquationsvojeChar">
    <w:name w:val="Equation_svoje Char"/>
    <w:link w:val="Equationsvoje"/>
    <w:rsid w:val="0033341F"/>
    <w:rPr>
      <w:bCs/>
      <w:noProof/>
      <w:position w:val="-10"/>
      <w:sz w:val="24"/>
      <w:szCs w:val="24"/>
      <w:lang w:val="en-US"/>
    </w:rPr>
  </w:style>
  <w:style w:type="paragraph" w:customStyle="1" w:styleId="StyleEquationsvoje">
    <w:name w:val="Style Equation_svoje +"/>
    <w:basedOn w:val="Equationsvoje"/>
    <w:autoRedefine/>
    <w:rsid w:val="0033341F"/>
    <w:rPr>
      <w:bCs w:val="0"/>
    </w:rPr>
  </w:style>
  <w:style w:type="paragraph" w:customStyle="1" w:styleId="Appendix">
    <w:name w:val="Appendix"/>
    <w:basedOn w:val="Navaden"/>
    <w:autoRedefine/>
    <w:rsid w:val="0033341F"/>
    <w:pPr>
      <w:spacing w:line="288" w:lineRule="auto"/>
      <w:jc w:val="both"/>
    </w:pPr>
    <w:rPr>
      <w:rFonts w:ascii="Times New Roman" w:eastAsia="MS Mincho" w:hAnsi="Times New Roman"/>
      <w:sz w:val="24"/>
      <w:lang w:eastAsia="ja-JP"/>
    </w:rPr>
  </w:style>
  <w:style w:type="paragraph" w:customStyle="1" w:styleId="Figuretitle">
    <w:name w:val="Figure_title"/>
    <w:basedOn w:val="Navaden"/>
    <w:autoRedefine/>
    <w:rsid w:val="0033341F"/>
    <w:pPr>
      <w:spacing w:line="288" w:lineRule="auto"/>
      <w:jc w:val="center"/>
    </w:pPr>
    <w:rPr>
      <w:rFonts w:ascii="Times New Roman" w:eastAsia="MS Mincho" w:hAnsi="Times New Roman"/>
      <w:i/>
      <w:noProof/>
      <w:szCs w:val="20"/>
      <w:lang w:eastAsia="ja-JP"/>
    </w:rPr>
  </w:style>
  <w:style w:type="paragraph" w:customStyle="1" w:styleId="Source">
    <w:name w:val="Source"/>
    <w:basedOn w:val="Navaden"/>
    <w:rsid w:val="0033341F"/>
    <w:pPr>
      <w:keepNext/>
      <w:keepLines/>
      <w:autoSpaceDE w:val="0"/>
      <w:autoSpaceDN w:val="0"/>
      <w:adjustRightInd w:val="0"/>
      <w:spacing w:line="288" w:lineRule="auto"/>
      <w:jc w:val="center"/>
    </w:pPr>
    <w:rPr>
      <w:rFonts w:ascii="Times New Roman" w:eastAsia="MS Mincho" w:hAnsi="Times New Roman"/>
      <w:i/>
      <w:sz w:val="16"/>
      <w:lang w:eastAsia="ja-JP"/>
    </w:rPr>
  </w:style>
  <w:style w:type="paragraph" w:customStyle="1" w:styleId="No">
    <w:name w:val="Nož"/>
    <w:basedOn w:val="Navaden"/>
    <w:rsid w:val="0033341F"/>
    <w:pPr>
      <w:spacing w:line="288" w:lineRule="auto"/>
    </w:pPr>
    <w:rPr>
      <w:rFonts w:ascii="Times New Roman" w:hAnsi="Times New Roman"/>
      <w:sz w:val="24"/>
      <w:lang w:eastAsia="ja-JP"/>
    </w:rPr>
  </w:style>
  <w:style w:type="paragraph" w:customStyle="1" w:styleId="Tabletitle">
    <w:name w:val="Table_title"/>
    <w:basedOn w:val="Napis"/>
    <w:rsid w:val="0033341F"/>
  </w:style>
  <w:style w:type="paragraph" w:styleId="Navaden-zamik">
    <w:name w:val="Normal Indent"/>
    <w:basedOn w:val="Navaden"/>
    <w:rsid w:val="0033341F"/>
    <w:pPr>
      <w:spacing w:line="288" w:lineRule="auto"/>
      <w:ind w:firstLine="340"/>
      <w:jc w:val="both"/>
    </w:pPr>
    <w:rPr>
      <w:rFonts w:ascii="Times New Roman" w:hAnsi="Times New Roman"/>
      <w:szCs w:val="20"/>
      <w:lang w:val="en-AU"/>
    </w:rPr>
  </w:style>
  <w:style w:type="paragraph" w:customStyle="1" w:styleId="References">
    <w:name w:val="References"/>
    <w:basedOn w:val="Navaden"/>
    <w:rsid w:val="0033341F"/>
    <w:pPr>
      <w:numPr>
        <w:numId w:val="13"/>
      </w:numPr>
      <w:autoSpaceDE w:val="0"/>
      <w:autoSpaceDN w:val="0"/>
      <w:spacing w:line="288" w:lineRule="auto"/>
      <w:jc w:val="both"/>
    </w:pPr>
    <w:rPr>
      <w:rFonts w:ascii="Times New Roman" w:hAnsi="Times New Roman"/>
      <w:sz w:val="16"/>
      <w:szCs w:val="16"/>
    </w:rPr>
  </w:style>
  <w:style w:type="paragraph" w:styleId="Telobesedila-zamik2">
    <w:name w:val="Body Text Indent 2"/>
    <w:basedOn w:val="Navaden"/>
    <w:link w:val="Telobesedila-zamik2Znak"/>
    <w:rsid w:val="0033341F"/>
    <w:pPr>
      <w:spacing w:line="288" w:lineRule="auto"/>
      <w:ind w:firstLine="284"/>
      <w:jc w:val="both"/>
    </w:pPr>
    <w:rPr>
      <w:rFonts w:ascii="Times New Roman" w:hAnsi="Times New Roman"/>
      <w:sz w:val="22"/>
      <w:szCs w:val="20"/>
    </w:rPr>
  </w:style>
  <w:style w:type="character" w:customStyle="1" w:styleId="Telobesedila-zamik2Znak">
    <w:name w:val="Telo besedila - zamik 2 Znak"/>
    <w:basedOn w:val="Privzetapisavaodstavka"/>
    <w:link w:val="Telobesedila-zamik2"/>
    <w:rsid w:val="0033341F"/>
    <w:rPr>
      <w:sz w:val="22"/>
      <w:lang w:val="en-US" w:eastAsia="en-US"/>
    </w:rPr>
  </w:style>
  <w:style w:type="paragraph" w:styleId="Kazaloslik">
    <w:name w:val="table of figures"/>
    <w:basedOn w:val="Navaden"/>
    <w:next w:val="Navaden"/>
    <w:rsid w:val="0033341F"/>
    <w:pPr>
      <w:spacing w:line="288" w:lineRule="auto"/>
      <w:ind w:left="1247" w:right="567" w:hanging="1247"/>
    </w:pPr>
    <w:rPr>
      <w:rFonts w:ascii="Times New Roman" w:eastAsia="MS Mincho" w:hAnsi="Times New Roman"/>
      <w:sz w:val="24"/>
      <w:szCs w:val="20"/>
      <w:lang w:val="sl-SI" w:eastAsia="ja-JP"/>
    </w:rPr>
  </w:style>
  <w:style w:type="paragraph" w:styleId="Kazalovsebine6">
    <w:name w:val="toc 6"/>
    <w:basedOn w:val="Navaden"/>
    <w:next w:val="Navaden"/>
    <w:autoRedefine/>
    <w:rsid w:val="0033341F"/>
    <w:pPr>
      <w:spacing w:line="288" w:lineRule="auto"/>
      <w:ind w:left="960"/>
    </w:pPr>
    <w:rPr>
      <w:rFonts w:ascii="Times New Roman" w:eastAsia="MS Mincho" w:hAnsi="Times New Roman"/>
      <w:szCs w:val="20"/>
      <w:lang w:val="sl-SI" w:eastAsia="ja-JP"/>
    </w:rPr>
  </w:style>
  <w:style w:type="paragraph" w:styleId="Kazalovsebine7">
    <w:name w:val="toc 7"/>
    <w:basedOn w:val="Navaden"/>
    <w:next w:val="Navaden"/>
    <w:autoRedefine/>
    <w:rsid w:val="0033341F"/>
    <w:pPr>
      <w:spacing w:line="288" w:lineRule="auto"/>
      <w:ind w:left="1200"/>
    </w:pPr>
    <w:rPr>
      <w:rFonts w:ascii="Times New Roman" w:eastAsia="MS Mincho" w:hAnsi="Times New Roman"/>
      <w:szCs w:val="20"/>
      <w:lang w:val="sl-SI" w:eastAsia="ja-JP"/>
    </w:rPr>
  </w:style>
  <w:style w:type="paragraph" w:styleId="Kazalovsebine8">
    <w:name w:val="toc 8"/>
    <w:basedOn w:val="Navaden"/>
    <w:next w:val="Navaden"/>
    <w:autoRedefine/>
    <w:rsid w:val="0033341F"/>
    <w:pPr>
      <w:spacing w:line="288" w:lineRule="auto"/>
      <w:ind w:left="1440"/>
    </w:pPr>
    <w:rPr>
      <w:rFonts w:ascii="Times New Roman" w:eastAsia="MS Mincho" w:hAnsi="Times New Roman"/>
      <w:szCs w:val="20"/>
      <w:lang w:val="sl-SI" w:eastAsia="ja-JP"/>
    </w:rPr>
  </w:style>
  <w:style w:type="paragraph" w:styleId="Kazalovsebine9">
    <w:name w:val="toc 9"/>
    <w:basedOn w:val="Navaden"/>
    <w:next w:val="Navaden"/>
    <w:autoRedefine/>
    <w:rsid w:val="0033341F"/>
    <w:pPr>
      <w:spacing w:line="288" w:lineRule="auto"/>
      <w:ind w:left="1680"/>
    </w:pPr>
    <w:rPr>
      <w:rFonts w:ascii="Times New Roman" w:eastAsia="MS Mincho" w:hAnsi="Times New Roman"/>
      <w:szCs w:val="20"/>
      <w:lang w:val="sl-SI" w:eastAsia="ja-JP"/>
    </w:rPr>
  </w:style>
  <w:style w:type="paragraph" w:customStyle="1" w:styleId="StyleEquationsvojeItalic">
    <w:name w:val="Style Equation_svoje + Italic"/>
    <w:basedOn w:val="Navaden"/>
    <w:next w:val="StyleEquationsvoje"/>
    <w:link w:val="StyleEquationsvojeItalicChar"/>
    <w:rsid w:val="0033341F"/>
    <w:pPr>
      <w:spacing w:line="288" w:lineRule="auto"/>
      <w:jc w:val="right"/>
    </w:pPr>
    <w:rPr>
      <w:rFonts w:ascii="Times New Roman" w:eastAsia="MS Mincho" w:hAnsi="Times New Roman"/>
      <w:bCs/>
      <w:iCs/>
      <w:position w:val="-10"/>
      <w:sz w:val="24"/>
      <w:lang w:val="sl-SI" w:eastAsia="ja-JP"/>
    </w:rPr>
  </w:style>
  <w:style w:type="character" w:customStyle="1" w:styleId="StyleEquationsvojeItalicChar">
    <w:name w:val="Style Equation_svoje + Italic Char"/>
    <w:link w:val="StyleEquationsvojeItalic"/>
    <w:rsid w:val="0033341F"/>
    <w:rPr>
      <w:rFonts w:eastAsia="MS Mincho"/>
      <w:bCs/>
      <w:iCs/>
      <w:position w:val="-10"/>
      <w:sz w:val="24"/>
      <w:szCs w:val="24"/>
      <w:lang w:eastAsia="ja-JP"/>
    </w:rPr>
  </w:style>
  <w:style w:type="paragraph" w:customStyle="1" w:styleId="abstract">
    <w:name w:val="abstract"/>
    <w:basedOn w:val="Navaden"/>
    <w:rsid w:val="0033341F"/>
    <w:pPr>
      <w:spacing w:before="240" w:line="288" w:lineRule="auto"/>
      <w:ind w:left="562" w:right="562"/>
      <w:jc w:val="both"/>
    </w:pPr>
    <w:rPr>
      <w:rFonts w:ascii="Times New Roman" w:hAnsi="Times New Roman"/>
      <w:i/>
      <w:szCs w:val="20"/>
      <w:lang w:val="en-AU"/>
    </w:rPr>
  </w:style>
  <w:style w:type="paragraph" w:customStyle="1" w:styleId="abstractSi">
    <w:name w:val="abstract Si"/>
    <w:basedOn w:val="abstract"/>
    <w:rsid w:val="0033341F"/>
    <w:pPr>
      <w:spacing w:before="60" w:after="240"/>
    </w:pPr>
  </w:style>
  <w:style w:type="paragraph" w:customStyle="1" w:styleId="MTDisplayEquation">
    <w:name w:val="MTDisplayEquation"/>
    <w:basedOn w:val="Navaden"/>
    <w:next w:val="Navaden"/>
    <w:rsid w:val="0033341F"/>
    <w:pPr>
      <w:tabs>
        <w:tab w:val="center" w:pos="4320"/>
        <w:tab w:val="right" w:pos="8640"/>
      </w:tabs>
      <w:spacing w:line="288" w:lineRule="auto"/>
    </w:pPr>
    <w:rPr>
      <w:rFonts w:ascii="Times New Roman" w:hAnsi="Times New Roman"/>
      <w:sz w:val="24"/>
    </w:rPr>
  </w:style>
  <w:style w:type="paragraph" w:customStyle="1" w:styleId="CharCharChar">
    <w:name w:val="Char Char Char"/>
    <w:basedOn w:val="Navaden"/>
    <w:rsid w:val="0033341F"/>
    <w:pPr>
      <w:spacing w:after="160" w:line="240" w:lineRule="exact"/>
    </w:pPr>
    <w:rPr>
      <w:rFonts w:ascii="Tahoma" w:hAnsi="Tahoma"/>
      <w:szCs w:val="20"/>
    </w:rPr>
  </w:style>
  <w:style w:type="character" w:customStyle="1" w:styleId="CharChar1">
    <w:name w:val="Char Char1"/>
    <w:rsid w:val="0033341F"/>
    <w:rPr>
      <w:bCs/>
      <w:i/>
      <w:position w:val="-10"/>
      <w:lang w:val="en-US" w:eastAsia="sl-SI" w:bidi="ar-SA"/>
    </w:rPr>
  </w:style>
  <w:style w:type="character" w:customStyle="1" w:styleId="CharChar2">
    <w:name w:val="Char Char2"/>
    <w:rsid w:val="0033341F"/>
    <w:rPr>
      <w:rFonts w:eastAsia="MS Mincho" w:cs="Arial"/>
      <w:b/>
      <w:bCs/>
      <w:iCs/>
      <w:sz w:val="32"/>
      <w:szCs w:val="28"/>
      <w:lang w:val="en-US" w:eastAsia="en-US" w:bidi="ar-SA"/>
    </w:rPr>
  </w:style>
  <w:style w:type="paragraph" w:styleId="Odstavekseznama">
    <w:name w:val="List Paragraph"/>
    <w:basedOn w:val="Navaden"/>
    <w:uiPriority w:val="34"/>
    <w:qFormat/>
    <w:rsid w:val="0033341F"/>
    <w:pPr>
      <w:spacing w:line="288" w:lineRule="auto"/>
      <w:ind w:left="720"/>
      <w:contextualSpacing/>
      <w:jc w:val="both"/>
    </w:pPr>
    <w:rPr>
      <w:rFonts w:ascii="Times New Roman" w:eastAsia="MS Mincho" w:hAnsi="Times New Roman"/>
      <w:sz w:val="24"/>
      <w:lang w:val="sl-SI" w:eastAsia="ja-JP"/>
    </w:rPr>
  </w:style>
  <w:style w:type="paragraph" w:styleId="Bibliografija">
    <w:name w:val="Bibliography"/>
    <w:basedOn w:val="Navaden"/>
    <w:next w:val="Navaden"/>
    <w:uiPriority w:val="37"/>
    <w:unhideWhenUsed/>
    <w:rsid w:val="0033341F"/>
    <w:pPr>
      <w:spacing w:line="480" w:lineRule="auto"/>
      <w:ind w:left="720" w:hanging="720"/>
      <w:jc w:val="both"/>
    </w:pPr>
    <w:rPr>
      <w:rFonts w:ascii="Times New Roman" w:eastAsia="MS Mincho" w:hAnsi="Times New Roman"/>
      <w:sz w:val="24"/>
      <w:lang w:val="sl-SI" w:eastAsia="ja-JP"/>
    </w:rPr>
  </w:style>
  <w:style w:type="paragraph" w:customStyle="1" w:styleId="Slog1">
    <w:name w:val="Slog1"/>
    <w:basedOn w:val="Navaden"/>
    <w:link w:val="Slog1Znak"/>
    <w:qFormat/>
    <w:rsid w:val="001E262C"/>
    <w:pPr>
      <w:numPr>
        <w:numId w:val="28"/>
      </w:numPr>
      <w:spacing w:line="288" w:lineRule="auto"/>
      <w:ind w:left="426" w:hanging="426"/>
      <w:contextualSpacing/>
      <w:jc w:val="both"/>
    </w:pPr>
    <w:rPr>
      <w:rFonts w:ascii="Times New Roman" w:eastAsia="MS Mincho" w:hAnsi="Times New Roman"/>
      <w:b/>
      <w:color w:val="000000"/>
      <w:sz w:val="24"/>
      <w:lang w:val="sl-SI" w:eastAsia="ja-JP"/>
    </w:rPr>
  </w:style>
  <w:style w:type="paragraph" w:customStyle="1" w:styleId="Slog2">
    <w:name w:val="Slog2"/>
    <w:basedOn w:val="Navaden"/>
    <w:link w:val="Slog2Znak"/>
    <w:qFormat/>
    <w:rsid w:val="001E262C"/>
    <w:pPr>
      <w:spacing w:line="288" w:lineRule="auto"/>
      <w:jc w:val="both"/>
    </w:pPr>
    <w:rPr>
      <w:rFonts w:ascii="Times New Roman" w:eastAsia="MS Mincho" w:hAnsi="Times New Roman"/>
      <w:b/>
      <w:sz w:val="24"/>
      <w:lang w:val="sl-SI" w:eastAsia="ja-JP"/>
    </w:rPr>
  </w:style>
  <w:style w:type="character" w:customStyle="1" w:styleId="Slog1Znak">
    <w:name w:val="Slog1 Znak"/>
    <w:basedOn w:val="Privzetapisavaodstavka"/>
    <w:link w:val="Slog1"/>
    <w:rsid w:val="001E262C"/>
    <w:rPr>
      <w:rFonts w:eastAsia="MS Mincho"/>
      <w:b/>
      <w:color w:val="000000"/>
      <w:sz w:val="24"/>
      <w:szCs w:val="24"/>
      <w:lang w:eastAsia="ja-JP"/>
    </w:rPr>
  </w:style>
  <w:style w:type="paragraph" w:styleId="NaslovTOC">
    <w:name w:val="TOC Heading"/>
    <w:basedOn w:val="Naslov1"/>
    <w:next w:val="Navaden"/>
    <w:uiPriority w:val="39"/>
    <w:unhideWhenUsed/>
    <w:qFormat/>
    <w:rsid w:val="001E262C"/>
    <w:pPr>
      <w:keepLines/>
      <w:spacing w:after="0" w:line="259" w:lineRule="auto"/>
      <w:outlineLvl w:val="9"/>
    </w:pPr>
    <w:rPr>
      <w:rFonts w:asciiTheme="majorHAnsi" w:eastAsiaTheme="majorEastAsia" w:hAnsiTheme="majorHAnsi" w:cstheme="majorBidi"/>
      <w:b w:val="0"/>
      <w:color w:val="2E74B5" w:themeColor="accent1" w:themeShade="BF"/>
      <w:kern w:val="0"/>
      <w:sz w:val="32"/>
    </w:rPr>
  </w:style>
  <w:style w:type="character" w:customStyle="1" w:styleId="Slog2Znak">
    <w:name w:val="Slog2 Znak"/>
    <w:basedOn w:val="Privzetapisavaodstavka"/>
    <w:link w:val="Slog2"/>
    <w:rsid w:val="001E262C"/>
    <w:rPr>
      <w:rFonts w:eastAsia="MS Mincho"/>
      <w:b/>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D:\MSM_AHASI\zzz__\Rezultati9_ModgenMSM24na30.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Documents\Pokojnine\AWG\2019\M55.xlsb"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Documents\Pokojnine\AWG\2019\M55.xlsb"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Documents\Pokojnine\AWG\2019\M55.xlsb"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ov_delovni_list.xlsx"/><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285405866555239"/>
          <c:y val="5.1400510220641224E-2"/>
          <c:w val="0.86003718285214348"/>
          <c:h val="0.80947142023913676"/>
        </c:manualLayout>
      </c:layout>
      <c:lineChart>
        <c:grouping val="standard"/>
        <c:varyColors val="0"/>
        <c:ser>
          <c:idx val="0"/>
          <c:order val="0"/>
          <c:tx>
            <c:strRef>
              <c:f>'2019_03_22_Relativno'!$X$2</c:f>
              <c:strCache>
                <c:ptCount val="1"/>
                <c:pt idx="0">
                  <c:v>"2018 Ageing report"</c:v>
                </c:pt>
              </c:strCache>
            </c:strRef>
          </c:tx>
          <c:spPr>
            <a:ln>
              <a:prstDash val="sysDash"/>
            </a:ln>
          </c:spPr>
          <c:marker>
            <c:symbol val="none"/>
          </c:marker>
          <c:cat>
            <c:numRef>
              <c:f>'2019_03_22_Relativno'!$W$13:$W$63</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'2019_03_22_Relativno'!$X$13:$X$63</c:f>
              <c:numCache>
                <c:formatCode>General</c:formatCode>
                <c:ptCount val="51"/>
                <c:pt idx="0">
                  <c:v>10.066396279247442</c:v>
                </c:pt>
                <c:pt idx="1">
                  <c:v>10.013093444212886</c:v>
                </c:pt>
                <c:pt idx="2">
                  <c:v>10.036699797611645</c:v>
                </c:pt>
                <c:pt idx="3">
                  <c:v>10.201649238246189</c:v>
                </c:pt>
                <c:pt idx="4">
                  <c:v>10.300822427469528</c:v>
                </c:pt>
                <c:pt idx="5">
                  <c:v>10.441461440731633</c:v>
                </c:pt>
                <c:pt idx="6">
                  <c:v>10.576164607480946</c:v>
                </c:pt>
                <c:pt idx="7">
                  <c:v>10.742756592783138</c:v>
                </c:pt>
                <c:pt idx="8">
                  <c:v>11.019707985010784</c:v>
                </c:pt>
                <c:pt idx="9">
                  <c:v>11.256055230998228</c:v>
                </c:pt>
                <c:pt idx="10">
                  <c:v>11.488946212105779</c:v>
                </c:pt>
                <c:pt idx="11">
                  <c:v>11.709008325477715</c:v>
                </c:pt>
                <c:pt idx="12">
                  <c:v>11.92770207911636</c:v>
                </c:pt>
                <c:pt idx="13">
                  <c:v>12.206982206078603</c:v>
                </c:pt>
                <c:pt idx="14">
                  <c:v>12.442724294706967</c:v>
                </c:pt>
                <c:pt idx="15">
                  <c:v>12.660128665096979</c:v>
                </c:pt>
                <c:pt idx="16">
                  <c:v>12.884434447705479</c:v>
                </c:pt>
                <c:pt idx="17">
                  <c:v>13.115191120271879</c:v>
                </c:pt>
                <c:pt idx="18">
                  <c:v>13.378075621791051</c:v>
                </c:pt>
                <c:pt idx="19">
                  <c:v>13.62704335241034</c:v>
                </c:pt>
                <c:pt idx="20">
                  <c:v>13.858600413480696</c:v>
                </c:pt>
                <c:pt idx="21">
                  <c:v>14.061771634150954</c:v>
                </c:pt>
                <c:pt idx="22">
                  <c:v>14.280460498123984</c:v>
                </c:pt>
                <c:pt idx="23">
                  <c:v>14.501124899289794</c:v>
                </c:pt>
                <c:pt idx="24">
                  <c:v>14.702766534621267</c:v>
                </c:pt>
                <c:pt idx="25">
                  <c:v>14.871325578415604</c:v>
                </c:pt>
                <c:pt idx="26">
                  <c:v>15.008927319036669</c:v>
                </c:pt>
                <c:pt idx="27">
                  <c:v>15.138457832269767</c:v>
                </c:pt>
                <c:pt idx="28">
                  <c:v>15.266826715365166</c:v>
                </c:pt>
                <c:pt idx="29">
                  <c:v>15.367593422825298</c:v>
                </c:pt>
                <c:pt idx="30">
                  <c:v>15.44546570237914</c:v>
                </c:pt>
                <c:pt idx="31">
                  <c:v>15.484128762303303</c:v>
                </c:pt>
                <c:pt idx="32">
                  <c:v>15.512342098259996</c:v>
                </c:pt>
                <c:pt idx="33">
                  <c:v>15.521153659352569</c:v>
                </c:pt>
                <c:pt idx="34">
                  <c:v>15.509932818935967</c:v>
                </c:pt>
                <c:pt idx="35">
                  <c:v>15.471115212798175</c:v>
                </c:pt>
                <c:pt idx="36">
                  <c:v>15.431280077777531</c:v>
                </c:pt>
                <c:pt idx="37">
                  <c:v>15.381715759656455</c:v>
                </c:pt>
                <c:pt idx="38">
                  <c:v>15.312293374212175</c:v>
                </c:pt>
                <c:pt idx="39">
                  <c:v>15.232591769640322</c:v>
                </c:pt>
                <c:pt idx="40">
                  <c:v>15.153099549731177</c:v>
                </c:pt>
                <c:pt idx="41">
                  <c:v>15.057165539498612</c:v>
                </c:pt>
                <c:pt idx="42">
                  <c:v>15.009727045572458</c:v>
                </c:pt>
                <c:pt idx="43">
                  <c:v>14.948123485276549</c:v>
                </c:pt>
                <c:pt idx="44">
                  <c:v>14.878364157956028</c:v>
                </c:pt>
                <c:pt idx="45">
                  <c:v>14.855023926465899</c:v>
                </c:pt>
                <c:pt idx="46">
                  <c:v>14.826075119559423</c:v>
                </c:pt>
                <c:pt idx="47">
                  <c:v>14.802000573321111</c:v>
                </c:pt>
                <c:pt idx="48">
                  <c:v>14.768004374997428</c:v>
                </c:pt>
                <c:pt idx="49">
                  <c:v>14.74250527212908</c:v>
                </c:pt>
                <c:pt idx="50">
                  <c:v>14.815311865803915</c:v>
                </c:pt>
              </c:numCache>
            </c:numRef>
          </c:val>
          <c:smooth val="0"/>
          <c:extLst>
            <c:ext xmlns:c16="http://schemas.microsoft.com/office/drawing/2014/chart" uri="{C3380CC4-5D6E-409C-BE32-E72D297353CC}">
              <c16:uniqueId val="{00000000-EA9E-492D-B439-E5649CCE54C6}"/>
            </c:ext>
          </c:extLst>
        </c:ser>
        <c:ser>
          <c:idx val="1"/>
          <c:order val="1"/>
          <c:tx>
            <c:strRef>
              <c:f>'2019_03_22_Relativno'!$Y$2</c:f>
              <c:strCache>
                <c:ptCount val="1"/>
                <c:pt idx="0">
                  <c:v>Odmerni odstotek na 63,5</c:v>
                </c:pt>
              </c:strCache>
            </c:strRef>
          </c:tx>
          <c:spPr>
            <a:ln>
              <a:prstDash val="sysDot"/>
            </a:ln>
          </c:spPr>
          <c:marker>
            <c:symbol val="none"/>
          </c:marker>
          <c:cat>
            <c:numRef>
              <c:f>'2019_03_22_Relativno'!$W$13:$W$63</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'2019_03_22_Relativno'!$Y$13:$Y$63</c:f>
              <c:numCache>
                <c:formatCode>General</c:formatCode>
                <c:ptCount val="51"/>
                <c:pt idx="0">
                  <c:v>10.10842195860185</c:v>
                </c:pt>
                <c:pt idx="1">
                  <c:v>10.073909918033563</c:v>
                </c:pt>
                <c:pt idx="2">
                  <c:v>10.11723711657179</c:v>
                </c:pt>
                <c:pt idx="3">
                  <c:v>10.312213983496145</c:v>
                </c:pt>
                <c:pt idx="4">
                  <c:v>10.437198506566629</c:v>
                </c:pt>
                <c:pt idx="5">
                  <c:v>10.605606752982508</c:v>
                </c:pt>
                <c:pt idx="6">
                  <c:v>10.753135108784797</c:v>
                </c:pt>
                <c:pt idx="7">
                  <c:v>10.935052386908712</c:v>
                </c:pt>
                <c:pt idx="8">
                  <c:v>11.232133881750279</c:v>
                </c:pt>
                <c:pt idx="9">
                  <c:v>11.490873092290029</c:v>
                </c:pt>
                <c:pt idx="10">
                  <c:v>11.752248396411925</c:v>
                </c:pt>
                <c:pt idx="11">
                  <c:v>12.001816289756496</c:v>
                </c:pt>
                <c:pt idx="12">
                  <c:v>12.253271525379333</c:v>
                </c:pt>
                <c:pt idx="13">
                  <c:v>12.570082721979755</c:v>
                </c:pt>
                <c:pt idx="14">
                  <c:v>12.843740750734757</c:v>
                </c:pt>
                <c:pt idx="15">
                  <c:v>13.141137738041374</c:v>
                </c:pt>
                <c:pt idx="16">
                  <c:v>13.448525136535965</c:v>
                </c:pt>
                <c:pt idx="17">
                  <c:v>13.744735649800306</c:v>
                </c:pt>
                <c:pt idx="18">
                  <c:v>14.099104504537502</c:v>
                </c:pt>
                <c:pt idx="19">
                  <c:v>14.446092538019002</c:v>
                </c:pt>
                <c:pt idx="20">
                  <c:v>14.745651033143195</c:v>
                </c:pt>
                <c:pt idx="21">
                  <c:v>15.01594134305002</c:v>
                </c:pt>
                <c:pt idx="22">
                  <c:v>15.291058039413818</c:v>
                </c:pt>
                <c:pt idx="23">
                  <c:v>15.552303632333174</c:v>
                </c:pt>
                <c:pt idx="24">
                  <c:v>15.794516343992276</c:v>
                </c:pt>
                <c:pt idx="25">
                  <c:v>15.999752414502739</c:v>
                </c:pt>
                <c:pt idx="26">
                  <c:v>16.170344091105118</c:v>
                </c:pt>
                <c:pt idx="27">
                  <c:v>16.331760707089607</c:v>
                </c:pt>
                <c:pt idx="28">
                  <c:v>16.491082531067015</c:v>
                </c:pt>
                <c:pt idx="29">
                  <c:v>16.619485908642051</c:v>
                </c:pt>
                <c:pt idx="30">
                  <c:v>16.721304918978337</c:v>
                </c:pt>
                <c:pt idx="31">
                  <c:v>16.779284505826716</c:v>
                </c:pt>
                <c:pt idx="32">
                  <c:v>16.842254019829767</c:v>
                </c:pt>
                <c:pt idx="33">
                  <c:v>16.867876641807772</c:v>
                </c:pt>
                <c:pt idx="34">
                  <c:v>16.870271679020743</c:v>
                </c:pt>
                <c:pt idx="35">
                  <c:v>16.844406083489034</c:v>
                </c:pt>
                <c:pt idx="36">
                  <c:v>16.810658801064555</c:v>
                </c:pt>
                <c:pt idx="37">
                  <c:v>16.76539245769743</c:v>
                </c:pt>
                <c:pt idx="38">
                  <c:v>16.690145639782283</c:v>
                </c:pt>
                <c:pt idx="39">
                  <c:v>16.603664077785425</c:v>
                </c:pt>
                <c:pt idx="40">
                  <c:v>16.517354901535757</c:v>
                </c:pt>
                <c:pt idx="41">
                  <c:v>16.413054575284555</c:v>
                </c:pt>
                <c:pt idx="42">
                  <c:v>16.361522793721058</c:v>
                </c:pt>
                <c:pt idx="43">
                  <c:v>16.294515397087363</c:v>
                </c:pt>
                <c:pt idx="44">
                  <c:v>16.218639446800413</c:v>
                </c:pt>
                <c:pt idx="45">
                  <c:v>16.193253379729409</c:v>
                </c:pt>
                <c:pt idx="46">
                  <c:v>16.161680819403497</c:v>
                </c:pt>
                <c:pt idx="47">
                  <c:v>16.13535568585797</c:v>
                </c:pt>
                <c:pt idx="48">
                  <c:v>16.098105631651556</c:v>
                </c:pt>
                <c:pt idx="49">
                  <c:v>16.070039804353545</c:v>
                </c:pt>
                <c:pt idx="50">
                  <c:v>16.149098981695293</c:v>
                </c:pt>
              </c:numCache>
            </c:numRef>
          </c:val>
          <c:smooth val="0"/>
          <c:extLst>
            <c:ext xmlns:c16="http://schemas.microsoft.com/office/drawing/2014/chart" uri="{C3380CC4-5D6E-409C-BE32-E72D297353CC}">
              <c16:uniqueId val="{00000001-EA9E-492D-B439-E5649CCE54C6}"/>
            </c:ext>
          </c:extLst>
        </c:ser>
        <c:ser>
          <c:idx val="2"/>
          <c:order val="2"/>
          <c:tx>
            <c:strRef>
              <c:f>'2019_03_22_Relativno'!$D$2</c:f>
              <c:strCache>
                <c:ptCount val="1"/>
                <c:pt idx="0">
                  <c:v>Za vsakega otroka dodatnih 1,36 odm. %</c:v>
                </c:pt>
              </c:strCache>
            </c:strRef>
          </c:tx>
          <c:spPr>
            <a:ln w="19050">
              <a:solidFill>
                <a:srgbClr val="C00000"/>
              </a:solidFill>
              <a:prstDash val="lgDash"/>
            </a:ln>
          </c:spPr>
          <c:marker>
            <c:symbol val="none"/>
          </c:marker>
          <c:cat>
            <c:numRef>
              <c:f>'2019_03_22_Relativno'!$W$13:$W$63</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'2019_03_22_Relativno'!$Z$13:$Z$63</c:f>
              <c:numCache>
                <c:formatCode>General</c:formatCode>
                <c:ptCount val="51"/>
                <c:pt idx="0">
                  <c:v>10.121394843964746</c:v>
                </c:pt>
                <c:pt idx="1">
                  <c:v>10.087447991545421</c:v>
                </c:pt>
                <c:pt idx="2">
                  <c:v>10.13212249472441</c:v>
                </c:pt>
                <c:pt idx="3">
                  <c:v>10.332009466160679</c:v>
                </c:pt>
                <c:pt idx="4">
                  <c:v>10.462500829999412</c:v>
                </c:pt>
                <c:pt idx="5">
                  <c:v>10.637175055876801</c:v>
                </c:pt>
                <c:pt idx="6">
                  <c:v>10.790767203809509</c:v>
                </c:pt>
                <c:pt idx="7">
                  <c:v>10.979717134135429</c:v>
                </c:pt>
                <c:pt idx="8">
                  <c:v>11.283701625269179</c:v>
                </c:pt>
                <c:pt idx="9">
                  <c:v>11.549395664939995</c:v>
                </c:pt>
                <c:pt idx="10">
                  <c:v>11.817686511069278</c:v>
                </c:pt>
                <c:pt idx="11">
                  <c:v>12.073504240415717</c:v>
                </c:pt>
                <c:pt idx="12">
                  <c:v>12.331482014918318</c:v>
                </c:pt>
                <c:pt idx="13">
                  <c:v>12.655091848960105</c:v>
                </c:pt>
                <c:pt idx="14">
                  <c:v>12.935315741741523</c:v>
                </c:pt>
                <c:pt idx="15">
                  <c:v>13.291523373546113</c:v>
                </c:pt>
                <c:pt idx="16">
                  <c:v>13.605366370609573</c:v>
                </c:pt>
                <c:pt idx="17">
                  <c:v>13.909137075603004</c:v>
                </c:pt>
                <c:pt idx="18">
                  <c:v>14.270311811834109</c:v>
                </c:pt>
                <c:pt idx="19">
                  <c:v>14.659906937125326</c:v>
                </c:pt>
                <c:pt idx="20">
                  <c:v>14.966114391959794</c:v>
                </c:pt>
                <c:pt idx="21">
                  <c:v>15.241923148982751</c:v>
                </c:pt>
                <c:pt idx="22">
                  <c:v>15.522570927299391</c:v>
                </c:pt>
                <c:pt idx="23">
                  <c:v>15.787993789534495</c:v>
                </c:pt>
                <c:pt idx="24">
                  <c:v>16.035369296584971</c:v>
                </c:pt>
                <c:pt idx="25">
                  <c:v>16.244246774589499</c:v>
                </c:pt>
                <c:pt idx="26">
                  <c:v>16.418022150860441</c:v>
                </c:pt>
                <c:pt idx="27">
                  <c:v>16.58285086970545</c:v>
                </c:pt>
                <c:pt idx="28">
                  <c:v>16.74522196570053</c:v>
                </c:pt>
                <c:pt idx="29">
                  <c:v>16.876423092245624</c:v>
                </c:pt>
                <c:pt idx="30">
                  <c:v>16.979590184658903</c:v>
                </c:pt>
                <c:pt idx="31">
                  <c:v>17.040455324003005</c:v>
                </c:pt>
                <c:pt idx="32">
                  <c:v>17.11245688119844</c:v>
                </c:pt>
                <c:pt idx="33">
                  <c:v>17.137812006067591</c:v>
                </c:pt>
                <c:pt idx="34">
                  <c:v>17.137823405916421</c:v>
                </c:pt>
                <c:pt idx="35">
                  <c:v>17.11065141671406</c:v>
                </c:pt>
                <c:pt idx="36">
                  <c:v>17.074824018790672</c:v>
                </c:pt>
                <c:pt idx="37">
                  <c:v>17.028377143836746</c:v>
                </c:pt>
                <c:pt idx="38">
                  <c:v>16.951298735640414</c:v>
                </c:pt>
                <c:pt idx="39">
                  <c:v>16.8624265941096</c:v>
                </c:pt>
                <c:pt idx="40">
                  <c:v>16.774055136862714</c:v>
                </c:pt>
                <c:pt idx="41">
                  <c:v>16.668133853838896</c:v>
                </c:pt>
                <c:pt idx="42">
                  <c:v>16.615801204307552</c:v>
                </c:pt>
                <c:pt idx="43">
                  <c:v>16.547752429403118</c:v>
                </c:pt>
                <c:pt idx="44">
                  <c:v>16.470697272493172</c:v>
                </c:pt>
                <c:pt idx="45">
                  <c:v>16.44491667437104</c:v>
                </c:pt>
                <c:pt idx="46">
                  <c:v>16.412853437195604</c:v>
                </c:pt>
                <c:pt idx="47">
                  <c:v>16.386119178338159</c:v>
                </c:pt>
                <c:pt idx="48">
                  <c:v>16.348290211967072</c:v>
                </c:pt>
                <c:pt idx="49">
                  <c:v>16.319788206811591</c:v>
                </c:pt>
                <c:pt idx="50">
                  <c:v>16.400076062083269</c:v>
                </c:pt>
              </c:numCache>
            </c:numRef>
          </c:val>
          <c:smooth val="0"/>
          <c:extLst>
            <c:ext xmlns:c16="http://schemas.microsoft.com/office/drawing/2014/chart" uri="{C3380CC4-5D6E-409C-BE32-E72D297353CC}">
              <c16:uniqueId val="{00000002-EA9E-492D-B439-E5649CCE54C6}"/>
            </c:ext>
          </c:extLst>
        </c:ser>
        <c:dLbls>
          <c:showLegendKey val="0"/>
          <c:showVal val="0"/>
          <c:showCatName val="0"/>
          <c:showSerName val="0"/>
          <c:showPercent val="0"/>
          <c:showBubbleSize val="0"/>
        </c:dLbls>
        <c:smooth val="0"/>
        <c:axId val="188869632"/>
        <c:axId val="189203200"/>
      </c:lineChart>
      <c:catAx>
        <c:axId val="188869632"/>
        <c:scaling>
          <c:orientation val="minMax"/>
        </c:scaling>
        <c:delete val="0"/>
        <c:axPos val="b"/>
        <c:title>
          <c:tx>
            <c:rich>
              <a:bodyPr/>
              <a:lstStyle/>
              <a:p>
                <a:pPr>
                  <a:defRPr sz="900">
                    <a:latin typeface="Arial" panose="020B0604020202020204" pitchFamily="34" charset="0"/>
                    <a:cs typeface="Arial" panose="020B0604020202020204" pitchFamily="34" charset="0"/>
                  </a:defRPr>
                </a:pPr>
                <a:r>
                  <a:rPr lang="en-US" sz="900">
                    <a:latin typeface="Arial" panose="020B0604020202020204" pitchFamily="34" charset="0"/>
                    <a:cs typeface="Arial" panose="020B0604020202020204" pitchFamily="34" charset="0"/>
                  </a:rPr>
                  <a:t>Leto</a:t>
                </a:r>
              </a:p>
            </c:rich>
          </c:tx>
          <c:overlay val="0"/>
        </c:title>
        <c:numFmt formatCode="General" sourceLinked="1"/>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sl-SI"/>
          </a:p>
        </c:txPr>
        <c:crossAx val="189203200"/>
        <c:crosses val="autoZero"/>
        <c:auto val="1"/>
        <c:lblAlgn val="ctr"/>
        <c:lblOffset val="100"/>
        <c:tickLblSkip val="5"/>
        <c:tickMarkSkip val="5"/>
        <c:noMultiLvlLbl val="0"/>
      </c:catAx>
      <c:valAx>
        <c:axId val="189203200"/>
        <c:scaling>
          <c:orientation val="minMax"/>
          <c:max val="18"/>
          <c:min val="9"/>
        </c:scaling>
        <c:delete val="0"/>
        <c:axPos val="l"/>
        <c:majorGridlines/>
        <c:title>
          <c:tx>
            <c:rich>
              <a:bodyPr/>
              <a:lstStyle/>
              <a:p>
                <a:pPr>
                  <a:defRPr sz="900">
                    <a:latin typeface="Arial" panose="020B0604020202020204" pitchFamily="34" charset="0"/>
                    <a:cs typeface="Arial" panose="020B0604020202020204" pitchFamily="34" charset="0"/>
                  </a:defRPr>
                </a:pPr>
                <a:r>
                  <a:rPr lang="sl-SI" sz="900">
                    <a:latin typeface="Arial" panose="020B0604020202020204" pitchFamily="34" charset="0"/>
                    <a:cs typeface="Arial" panose="020B0604020202020204" pitchFamily="34" charset="0"/>
                  </a:rPr>
                  <a:t>Kot </a:t>
                </a:r>
                <a:r>
                  <a:rPr lang="en-US" sz="900">
                    <a:latin typeface="Arial" panose="020B0604020202020204" pitchFamily="34" charset="0"/>
                    <a:cs typeface="Arial" panose="020B0604020202020204" pitchFamily="34" charset="0"/>
                  </a:rPr>
                  <a:t>% BDP</a:t>
                </a:r>
              </a:p>
            </c:rich>
          </c:tx>
          <c:overlay val="0"/>
        </c:title>
        <c:numFmt formatCode="General" sourceLinked="1"/>
        <c:majorTickMark val="out"/>
        <c:minorTickMark val="none"/>
        <c:tickLblPos val="nextTo"/>
        <c:txPr>
          <a:bodyPr/>
          <a:lstStyle/>
          <a:p>
            <a:pPr>
              <a:defRPr sz="900">
                <a:latin typeface="Arial" panose="020B0604020202020204" pitchFamily="34" charset="0"/>
                <a:cs typeface="Arial" panose="020B0604020202020204" pitchFamily="34" charset="0"/>
              </a:defRPr>
            </a:pPr>
            <a:endParaRPr lang="sl-SI"/>
          </a:p>
        </c:txPr>
        <c:crossAx val="188869632"/>
        <c:crosses val="autoZero"/>
        <c:crossBetween val="between"/>
      </c:valAx>
    </c:plotArea>
    <c:legend>
      <c:legendPos val="r"/>
      <c:layout>
        <c:manualLayout>
          <c:xMode val="edge"/>
          <c:yMode val="edge"/>
          <c:x val="0.47922030294158435"/>
          <c:y val="0.5365983507380726"/>
          <c:w val="0.51824968747976707"/>
          <c:h val="0.26338359124667776"/>
        </c:manualLayout>
      </c:layout>
      <c:overlay val="0"/>
      <c:spPr>
        <a:solidFill>
          <a:schemeClr val="bg1">
            <a:alpha val="76000"/>
          </a:schemeClr>
        </a:solidFill>
      </c:spPr>
      <c:txPr>
        <a:bodyPr/>
        <a:lstStyle/>
        <a:p>
          <a:pPr>
            <a:defRPr sz="900">
              <a:latin typeface="Arial" panose="020B0604020202020204" pitchFamily="34" charset="0"/>
              <a:cs typeface="Arial" panose="020B0604020202020204" pitchFamily="34" charset="0"/>
            </a:defRPr>
          </a:pPr>
          <a:endParaRPr lang="sl-SI"/>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55314960629921"/>
          <c:y val="4.091370558375635E-2"/>
          <c:w val="0.83008945756780406"/>
          <c:h val="0.70315773908543122"/>
        </c:manualLayout>
      </c:layout>
      <c:lineChart>
        <c:grouping val="standard"/>
        <c:varyColors val="0"/>
        <c:ser>
          <c:idx val="0"/>
          <c:order val="0"/>
          <c:tx>
            <c:strRef>
              <c:f>'20-40_Tabele'!$A$13</c:f>
              <c:strCache>
                <c:ptCount val="1"/>
                <c:pt idx="0">
                  <c:v>Prispevek za PIZ (24,35%)</c:v>
                </c:pt>
              </c:strCache>
            </c:strRef>
          </c:tx>
          <c:spPr>
            <a:ln w="28575" cap="rnd">
              <a:solidFill>
                <a:schemeClr val="accent1"/>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'20-40_Tabele'!$B$13:$AZ$13</c:f>
              <c:numCache>
                <c:formatCode>000,000</c:formatCode>
                <c:ptCount val="51"/>
                <c:pt idx="0">
                  <c:v>0.185567435537486</c:v>
                </c:pt>
                <c:pt idx="1">
                  <c:v>0.21824003487112895</c:v>
                </c:pt>
                <c:pt idx="2">
                  <c:v>0.24772060367100174</c:v>
                </c:pt>
                <c:pt idx="3">
                  <c:v>0.27674917275481076</c:v>
                </c:pt>
                <c:pt idx="4">
                  <c:v>0.30544630511216392</c:v>
                </c:pt>
                <c:pt idx="5">
                  <c:v>0.33368251094537371</c:v>
                </c:pt>
                <c:pt idx="6">
                  <c:v>0.34874597489068898</c:v>
                </c:pt>
                <c:pt idx="7">
                  <c:v>0.35641953759867956</c:v>
                </c:pt>
                <c:pt idx="8">
                  <c:v>0.35892276976018395</c:v>
                </c:pt>
                <c:pt idx="9">
                  <c:v>0.36090911211426746</c:v>
                </c:pt>
                <c:pt idx="10">
                  <c:v>0.36286812548016689</c:v>
                </c:pt>
                <c:pt idx="11">
                  <c:v>0.36473074791884169</c:v>
                </c:pt>
                <c:pt idx="12">
                  <c:v>0.36653213231203613</c:v>
                </c:pt>
                <c:pt idx="13">
                  <c:v>0.36827347819411427</c:v>
                </c:pt>
                <c:pt idx="14">
                  <c:v>0.37001559674256995</c:v>
                </c:pt>
                <c:pt idx="15">
                  <c:v>0.37184716528090067</c:v>
                </c:pt>
                <c:pt idx="16">
                  <c:v>0.37376027055307637</c:v>
                </c:pt>
                <c:pt idx="17">
                  <c:v>0.37577910503787221</c:v>
                </c:pt>
                <c:pt idx="18">
                  <c:v>0.37791898308138194</c:v>
                </c:pt>
                <c:pt idx="19">
                  <c:v>0.38016943504742262</c:v>
                </c:pt>
                <c:pt idx="20">
                  <c:v>0.38252619431941454</c:v>
                </c:pt>
                <c:pt idx="21">
                  <c:v>0.38494956432790017</c:v>
                </c:pt>
                <c:pt idx="22">
                  <c:v>0.38740794660378902</c:v>
                </c:pt>
                <c:pt idx="23">
                  <c:v>0.389882833754086</c:v>
                </c:pt>
                <c:pt idx="24">
                  <c:v>0.39230845378994839</c:v>
                </c:pt>
                <c:pt idx="25">
                  <c:v>0.39468636379107458</c:v>
                </c:pt>
                <c:pt idx="26">
                  <c:v>0.39702987409207674</c:v>
                </c:pt>
                <c:pt idx="27">
                  <c:v>0.39927963371745123</c:v>
                </c:pt>
                <c:pt idx="28">
                  <c:v>0.40146936656706128</c:v>
                </c:pt>
                <c:pt idx="29">
                  <c:v>0.40359569951081853</c:v>
                </c:pt>
                <c:pt idx="30">
                  <c:v>0.40561364480887374</c:v>
                </c:pt>
                <c:pt idx="31">
                  <c:v>0.40750943328334716</c:v>
                </c:pt>
                <c:pt idx="32">
                  <c:v>0.40922449426302693</c:v>
                </c:pt>
                <c:pt idx="33">
                  <c:v>0.41070119668432103</c:v>
                </c:pt>
                <c:pt idx="34">
                  <c:v>0.41194419787773956</c:v>
                </c:pt>
                <c:pt idx="35">
                  <c:v>0.41298410859321111</c:v>
                </c:pt>
                <c:pt idx="36">
                  <c:v>0.41382432795035362</c:v>
                </c:pt>
                <c:pt idx="37">
                  <c:v>0.414466646352316</c:v>
                </c:pt>
                <c:pt idx="38">
                  <c:v>0.41492767877074543</c:v>
                </c:pt>
                <c:pt idx="39">
                  <c:v>0.41523336578696601</c:v>
                </c:pt>
                <c:pt idx="40">
                  <c:v>0.41539534960190472</c:v>
                </c:pt>
                <c:pt idx="41">
                  <c:v>0.4154263146756641</c:v>
                </c:pt>
                <c:pt idx="42">
                  <c:v>0.4153597266572176</c:v>
                </c:pt>
                <c:pt idx="43">
                  <c:v>0.41521365562983248</c:v>
                </c:pt>
                <c:pt idx="44">
                  <c:v>0.41501800722343934</c:v>
                </c:pt>
                <c:pt idx="45">
                  <c:v>0.4148148227146562</c:v>
                </c:pt>
                <c:pt idx="46">
                  <c:v>0.41462958426212848</c:v>
                </c:pt>
                <c:pt idx="47">
                  <c:v>0.41449828205266709</c:v>
                </c:pt>
                <c:pt idx="48">
                  <c:v>0.41448947248176976</c:v>
                </c:pt>
                <c:pt idx="49">
                  <c:v>0.41464980454456934</c:v>
                </c:pt>
                <c:pt idx="50">
                  <c:v>0.41500374055912981</c:v>
                </c:pt>
              </c:numCache>
            </c:numRef>
          </c:val>
          <c:smooth val="0"/>
          <c:extLst>
            <c:ext xmlns:c16="http://schemas.microsoft.com/office/drawing/2014/chart" uri="{C3380CC4-5D6E-409C-BE32-E72D297353CC}">
              <c16:uniqueId val="{00000000-5AFB-4790-A58C-C1862198CD77}"/>
            </c:ext>
          </c:extLst>
        </c:ser>
        <c:ser>
          <c:idx val="1"/>
          <c:order val="1"/>
          <c:tx>
            <c:strRef>
              <c:f>'20-40_Tabele'!$A$15</c:f>
              <c:strCache>
                <c:ptCount val="1"/>
                <c:pt idx="0">
                  <c:v>Nižji izdatki za pokojnine zaradi poznejšega upokojevanja</c:v>
                </c:pt>
              </c:strCache>
            </c:strRef>
          </c:tx>
          <c:spPr>
            <a:ln w="28575" cap="rnd">
              <a:solidFill>
                <a:schemeClr val="accent2"/>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'20-40_Tabele'!$B$15:$AZ$15</c:f>
              <c:numCache>
                <c:formatCode>000,000</c:formatCode>
                <c:ptCount val="51"/>
                <c:pt idx="0">
                  <c:v>0.29712032600825988</c:v>
                </c:pt>
                <c:pt idx="1">
                  <c:v>0.34943388704568779</c:v>
                </c:pt>
                <c:pt idx="2">
                  <c:v>0.39663654513791385</c:v>
                </c:pt>
                <c:pt idx="3">
                  <c:v>0.43930716664236075</c:v>
                </c:pt>
                <c:pt idx="4">
                  <c:v>0.47975913437682771</c:v>
                </c:pt>
                <c:pt idx="5">
                  <c:v>0.51705127740364154</c:v>
                </c:pt>
                <c:pt idx="6">
                  <c:v>0.54039257645159777</c:v>
                </c:pt>
                <c:pt idx="7">
                  <c:v>0.5522829970467994</c:v>
                </c:pt>
                <c:pt idx="8">
                  <c:v>0.5561618320000512</c:v>
                </c:pt>
                <c:pt idx="9">
                  <c:v>0.55923973035507768</c:v>
                </c:pt>
                <c:pt idx="10">
                  <c:v>0.56227528160533446</c:v>
                </c:pt>
                <c:pt idx="11">
                  <c:v>0.56516147215967005</c:v>
                </c:pt>
                <c:pt idx="12">
                  <c:v>0.56795277248571163</c:v>
                </c:pt>
                <c:pt idx="13">
                  <c:v>0.57065104129871957</c:v>
                </c:pt>
                <c:pt idx="14">
                  <c:v>0.57335050738196003</c:v>
                </c:pt>
                <c:pt idx="15">
                  <c:v>0.57618857896597331</c:v>
                </c:pt>
                <c:pt idx="16">
                  <c:v>0.57915299421801514</c:v>
                </c:pt>
                <c:pt idx="17">
                  <c:v>0.5822812401253985</c:v>
                </c:pt>
                <c:pt idx="18">
                  <c:v>0.58559704673674884</c:v>
                </c:pt>
                <c:pt idx="19">
                  <c:v>0.58908419102992826</c:v>
                </c:pt>
                <c:pt idx="20">
                  <c:v>0.59273606175178251</c:v>
                </c:pt>
                <c:pt idx="21">
                  <c:v>0.59649114785131829</c:v>
                </c:pt>
                <c:pt idx="22">
                  <c:v>0.60030048653225043</c:v>
                </c:pt>
                <c:pt idx="23">
                  <c:v>0.60413540002191923</c:v>
                </c:pt>
                <c:pt idx="24">
                  <c:v>0.60789397260783395</c:v>
                </c:pt>
                <c:pt idx="25">
                  <c:v>0.61157861703270899</c:v>
                </c:pt>
                <c:pt idx="26">
                  <c:v>0.61520995806796064</c:v>
                </c:pt>
                <c:pt idx="27">
                  <c:v>0.61869602955805891</c:v>
                </c:pt>
                <c:pt idx="28">
                  <c:v>0.62208908771941074</c:v>
                </c:pt>
                <c:pt idx="29">
                  <c:v>0.62538390578356495</c:v>
                </c:pt>
                <c:pt idx="30">
                  <c:v>0.6285107738688418</c:v>
                </c:pt>
                <c:pt idx="31">
                  <c:v>0.63144835621211914</c:v>
                </c:pt>
                <c:pt idx="32">
                  <c:v>0.63410589576328169</c:v>
                </c:pt>
                <c:pt idx="33">
                  <c:v>0.63639409142301817</c:v>
                </c:pt>
                <c:pt idx="34">
                  <c:v>0.63832015986769164</c:v>
                </c:pt>
                <c:pt idx="35">
                  <c:v>0.63993153339247411</c:v>
                </c:pt>
                <c:pt idx="36">
                  <c:v>0.64123347903738948</c:v>
                </c:pt>
                <c:pt idx="37">
                  <c:v>0.64222877108698939</c:v>
                </c:pt>
                <c:pt idx="38">
                  <c:v>0.64294315494905663</c:v>
                </c:pt>
                <c:pt idx="39">
                  <c:v>0.64341682634937902</c:v>
                </c:pt>
                <c:pt idx="40">
                  <c:v>0.64366782523510302</c:v>
                </c:pt>
                <c:pt idx="41">
                  <c:v>0.64371580656590988</c:v>
                </c:pt>
                <c:pt idx="42">
                  <c:v>0.64361262639053907</c:v>
                </c:pt>
                <c:pt idx="43">
                  <c:v>0.64338628485682459</c:v>
                </c:pt>
                <c:pt idx="44">
                  <c:v>0.64308312165489045</c:v>
                </c:pt>
                <c:pt idx="45">
                  <c:v>0.64276828103133676</c:v>
                </c:pt>
                <c:pt idx="46">
                  <c:v>0.6424812483719613</c:v>
                </c:pt>
                <c:pt idx="47">
                  <c:v>0.64227779157425402</c:v>
                </c:pt>
                <c:pt idx="48">
                  <c:v>0.64226414087415318</c:v>
                </c:pt>
                <c:pt idx="49">
                  <c:v>0.64251258031931435</c:v>
                </c:pt>
                <c:pt idx="50">
                  <c:v>0.64306101502129842</c:v>
                </c:pt>
              </c:numCache>
            </c:numRef>
          </c:val>
          <c:smooth val="0"/>
          <c:extLst>
            <c:ext xmlns:c16="http://schemas.microsoft.com/office/drawing/2014/chart" uri="{C3380CC4-5D6E-409C-BE32-E72D297353CC}">
              <c16:uniqueId val="{00000001-5AFB-4790-A58C-C1862198CD77}"/>
            </c:ext>
          </c:extLst>
        </c:ser>
        <c:ser>
          <c:idx val="2"/>
          <c:order val="2"/>
          <c:tx>
            <c:strRef>
              <c:f>'20-40_Tabele'!$A$17</c:f>
              <c:strCache>
                <c:ptCount val="1"/>
                <c:pt idx="0">
                  <c:v>Izplačila dela pokojnine</c:v>
                </c:pt>
              </c:strCache>
            </c:strRef>
          </c:tx>
          <c:spPr>
            <a:ln w="28575" cap="rnd">
              <a:solidFill>
                <a:schemeClr val="accent3"/>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'20-40_Tabele'!$B$17:$AZ$17</c:f>
              <c:numCache>
                <c:formatCode>000,000</c:formatCode>
                <c:ptCount val="51"/>
                <c:pt idx="0">
                  <c:v>-5.9424065201651964E-2</c:v>
                </c:pt>
                <c:pt idx="1">
                  <c:v>-6.9886777409137582E-2</c:v>
                </c:pt>
                <c:pt idx="2">
                  <c:v>-7.9327309027582782E-2</c:v>
                </c:pt>
                <c:pt idx="3">
                  <c:v>-8.7861433328472155E-2</c:v>
                </c:pt>
                <c:pt idx="4">
                  <c:v>-9.5951826875365534E-2</c:v>
                </c:pt>
                <c:pt idx="5">
                  <c:v>-0.10341025548072831</c:v>
                </c:pt>
                <c:pt idx="6">
                  <c:v>-0.10807851529031955</c:v>
                </c:pt>
                <c:pt idx="7">
                  <c:v>-0.11045659940935987</c:v>
                </c:pt>
                <c:pt idx="8">
                  <c:v>-0.11123236640001022</c:v>
                </c:pt>
                <c:pt idx="9">
                  <c:v>-0.11184794607101553</c:v>
                </c:pt>
                <c:pt idx="10">
                  <c:v>-0.11245505632106688</c:v>
                </c:pt>
                <c:pt idx="11">
                  <c:v>-0.11303229443193406</c:v>
                </c:pt>
                <c:pt idx="12">
                  <c:v>-0.11359055449714234</c:v>
                </c:pt>
                <c:pt idx="13">
                  <c:v>-0.11413020825974393</c:v>
                </c:pt>
                <c:pt idx="14">
                  <c:v>-0.11467010147639201</c:v>
                </c:pt>
                <c:pt idx="15">
                  <c:v>-0.11523771579319467</c:v>
                </c:pt>
                <c:pt idx="16">
                  <c:v>-0.11583059884360301</c:v>
                </c:pt>
                <c:pt idx="17">
                  <c:v>-0.11645624802507971</c:v>
                </c:pt>
                <c:pt idx="18">
                  <c:v>-0.11711940934734978</c:v>
                </c:pt>
                <c:pt idx="19">
                  <c:v>-0.11781683820598565</c:v>
                </c:pt>
                <c:pt idx="20">
                  <c:v>-0.11854721235035649</c:v>
                </c:pt>
                <c:pt idx="21">
                  <c:v>-0.11929822957026366</c:v>
                </c:pt>
                <c:pt idx="22">
                  <c:v>-0.12006009730645009</c:v>
                </c:pt>
                <c:pt idx="23">
                  <c:v>-0.12082708000438384</c:v>
                </c:pt>
                <c:pt idx="24">
                  <c:v>-0.12157879452156679</c:v>
                </c:pt>
                <c:pt idx="25">
                  <c:v>-0.12231572340654184</c:v>
                </c:pt>
                <c:pt idx="26">
                  <c:v>-0.12304199161359217</c:v>
                </c:pt>
                <c:pt idx="27">
                  <c:v>-0.12373920591161183</c:v>
                </c:pt>
                <c:pt idx="28">
                  <c:v>-0.1244178175438822</c:v>
                </c:pt>
                <c:pt idx="29">
                  <c:v>-0.12507678115671297</c:v>
                </c:pt>
                <c:pt idx="30">
                  <c:v>-0.12570215477376839</c:v>
                </c:pt>
                <c:pt idx="31">
                  <c:v>-0.12628967124242385</c:v>
                </c:pt>
                <c:pt idx="32">
                  <c:v>-0.12682117915265637</c:v>
                </c:pt>
                <c:pt idx="33">
                  <c:v>-0.12727881828460366</c:v>
                </c:pt>
                <c:pt idx="34">
                  <c:v>-0.1276640319735384</c:v>
                </c:pt>
                <c:pt idx="35">
                  <c:v>-0.12798630667849484</c:v>
                </c:pt>
                <c:pt idx="36">
                  <c:v>-0.12824669580747794</c:v>
                </c:pt>
                <c:pt idx="37">
                  <c:v>-0.12844575421739793</c:v>
                </c:pt>
                <c:pt idx="38">
                  <c:v>-0.12858863098981138</c:v>
                </c:pt>
                <c:pt idx="39">
                  <c:v>-0.12868336526987589</c:v>
                </c:pt>
                <c:pt idx="40">
                  <c:v>-0.12873356504702066</c:v>
                </c:pt>
                <c:pt idx="41">
                  <c:v>-0.12874316131318206</c:v>
                </c:pt>
                <c:pt idx="42">
                  <c:v>-0.1287225252781079</c:v>
                </c:pt>
                <c:pt idx="43">
                  <c:v>-0.12867725697136495</c:v>
                </c:pt>
                <c:pt idx="44">
                  <c:v>-0.12861662433097815</c:v>
                </c:pt>
                <c:pt idx="45">
                  <c:v>-0.12855365620626746</c:v>
                </c:pt>
                <c:pt idx="46">
                  <c:v>-0.12849624967439235</c:v>
                </c:pt>
                <c:pt idx="47">
                  <c:v>-0.12845555831485092</c:v>
                </c:pt>
                <c:pt idx="48">
                  <c:v>-0.1284528281748307</c:v>
                </c:pt>
                <c:pt idx="49">
                  <c:v>-0.12850251606386293</c:v>
                </c:pt>
                <c:pt idx="50">
                  <c:v>-0.12861220300425974</c:v>
                </c:pt>
              </c:numCache>
            </c:numRef>
          </c:val>
          <c:smooth val="0"/>
          <c:extLst>
            <c:ext xmlns:c16="http://schemas.microsoft.com/office/drawing/2014/chart" uri="{C3380CC4-5D6E-409C-BE32-E72D297353CC}">
              <c16:uniqueId val="{00000002-5AFB-4790-A58C-C1862198CD77}"/>
            </c:ext>
          </c:extLst>
        </c:ser>
        <c:ser>
          <c:idx val="3"/>
          <c:order val="3"/>
          <c:tx>
            <c:strRef>
              <c:f>'20-40_Tabele'!$A$18</c:f>
              <c:strCache>
                <c:ptCount val="1"/>
                <c:pt idx="0">
                  <c:v>Višje pokojnine zaradi višjih odmernih odstotkov </c:v>
                </c:pt>
              </c:strCache>
            </c:strRef>
          </c:tx>
          <c:spPr>
            <a:ln w="28575" cap="rnd">
              <a:solidFill>
                <a:schemeClr val="accent4"/>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'20-40_Tabele'!$B$18:$AZ$18</c:f>
              <c:numCache>
                <c:formatCode>000,000</c:formatCode>
                <c:ptCount val="51"/>
                <c:pt idx="0">
                  <c:v>-1.146980557577369E-2</c:v>
                </c:pt>
                <c:pt idx="1">
                  <c:v>-2.8072513952648481E-2</c:v>
                </c:pt>
                <c:pt idx="2">
                  <c:v>-4.7255165195678406E-2</c:v>
                </c:pt>
                <c:pt idx="3">
                  <c:v>-6.9633027330403399E-2</c:v>
                </c:pt>
                <c:pt idx="4">
                  <c:v>-9.4443054725683928E-2</c:v>
                </c:pt>
                <c:pt idx="5">
                  <c:v>-0.12167676905172681</c:v>
                </c:pt>
                <c:pt idx="6">
                  <c:v>-0.15130667959895966</c:v>
                </c:pt>
                <c:pt idx="7">
                  <c:v>-0.18325239560510964</c:v>
                </c:pt>
                <c:pt idx="8">
                  <c:v>-0.21657876047871355</c:v>
                </c:pt>
                <c:pt idx="9">
                  <c:v>-0.24985882004648777</c:v>
                </c:pt>
                <c:pt idx="10">
                  <c:v>-0.28301979826653595</c:v>
                </c:pt>
                <c:pt idx="11">
                  <c:v>-0.3158057204765462</c:v>
                </c:pt>
                <c:pt idx="12">
                  <c:v>-0.34820406899751827</c:v>
                </c:pt>
                <c:pt idx="13">
                  <c:v>-0.38018097007928575</c:v>
                </c:pt>
                <c:pt idx="14">
                  <c:v>-0.41173980721501768</c:v>
                </c:pt>
                <c:pt idx="15">
                  <c:v>-0.44295485982041988</c:v>
                </c:pt>
                <c:pt idx="16">
                  <c:v>-0.47380036079023763</c:v>
                </c:pt>
                <c:pt idx="17">
                  <c:v>-0.50428100139543663</c:v>
                </c:pt>
                <c:pt idx="18">
                  <c:v>-0.53438899159436692</c:v>
                </c:pt>
                <c:pt idx="19">
                  <c:v>-0.56407316129751495</c:v>
                </c:pt>
                <c:pt idx="20">
                  <c:v>-0.59327889748280904</c:v>
                </c:pt>
                <c:pt idx="21">
                  <c:v>-0.62188786251061068</c:v>
                </c:pt>
                <c:pt idx="22">
                  <c:v>-0.649781276066424</c:v>
                </c:pt>
                <c:pt idx="23">
                  <c:v>-0.67685034453631387</c:v>
                </c:pt>
                <c:pt idx="24">
                  <c:v>-0.70290140260251532</c:v>
                </c:pt>
                <c:pt idx="25">
                  <c:v>-0.72785460260299584</c:v>
                </c:pt>
                <c:pt idx="26">
                  <c:v>-0.75164157204321003</c:v>
                </c:pt>
                <c:pt idx="27">
                  <c:v>-0.77408703171517068</c:v>
                </c:pt>
                <c:pt idx="28">
                  <c:v>-0.79520508301925386</c:v>
                </c:pt>
                <c:pt idx="29">
                  <c:v>-0.81495902725976144</c:v>
                </c:pt>
                <c:pt idx="30">
                  <c:v>-0.83324656037445499</c:v>
                </c:pt>
                <c:pt idx="31">
                  <c:v>-0.8500466767584921</c:v>
                </c:pt>
                <c:pt idx="32">
                  <c:v>-0.86526608267478333</c:v>
                </c:pt>
                <c:pt idx="33">
                  <c:v>-0.87883213370201085</c:v>
                </c:pt>
                <c:pt idx="34">
                  <c:v>-0.8908215768221629</c:v>
                </c:pt>
                <c:pt idx="35">
                  <c:v>-0.90138796736202431</c:v>
                </c:pt>
                <c:pt idx="36">
                  <c:v>-0.91064394735465903</c:v>
                </c:pt>
                <c:pt idx="37">
                  <c:v>-0.91870656677075635</c:v>
                </c:pt>
                <c:pt idx="38">
                  <c:v>-0.92648302737967769</c:v>
                </c:pt>
                <c:pt idx="39">
                  <c:v>-0.93269798898762846</c:v>
                </c:pt>
                <c:pt idx="40">
                  <c:v>-0.9382310030023242</c:v>
                </c:pt>
                <c:pt idx="41">
                  <c:v>-0.94317572108009362</c:v>
                </c:pt>
                <c:pt idx="42">
                  <c:v>-0.94766303055941004</c:v>
                </c:pt>
                <c:pt idx="43">
                  <c:v>-0.9518174039269548</c:v>
                </c:pt>
                <c:pt idx="44">
                  <c:v>-0.95575781936431747</c:v>
                </c:pt>
                <c:pt idx="45">
                  <c:v>-0.95961979335843528</c:v>
                </c:pt>
                <c:pt idx="46">
                  <c:v>-0.9632964270290334</c:v>
                </c:pt>
                <c:pt idx="47">
                  <c:v>-0.96707772716979956</c:v>
                </c:pt>
                <c:pt idx="48">
                  <c:v>-0.97082325248767176</c:v>
                </c:pt>
                <c:pt idx="49">
                  <c:v>-0.97432242764383847</c:v>
                </c:pt>
                <c:pt idx="50">
                  <c:v>-0.97700173175292748</c:v>
                </c:pt>
              </c:numCache>
            </c:numRef>
          </c:val>
          <c:smooth val="0"/>
          <c:extLst>
            <c:ext xmlns:c16="http://schemas.microsoft.com/office/drawing/2014/chart" uri="{C3380CC4-5D6E-409C-BE32-E72D297353CC}">
              <c16:uniqueId val="{00000003-5AFB-4790-A58C-C1862198CD77}"/>
            </c:ext>
          </c:extLst>
        </c:ser>
        <c:ser>
          <c:idx val="4"/>
          <c:order val="4"/>
          <c:tx>
            <c:strRef>
              <c:f>'20-40_Tabele'!$A$20</c:f>
              <c:strCache>
                <c:ptCount val="1"/>
                <c:pt idx="0">
                  <c:v>Učinek za pokojninsko blagajno, skupaj</c:v>
                </c:pt>
              </c:strCache>
            </c:strRef>
          </c:tx>
          <c:spPr>
            <a:ln w="28575" cap="rnd">
              <a:solidFill>
                <a:srgbClr val="00FF00"/>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'20-40_Tabele'!$B$20:$AZ$20</c:f>
              <c:numCache>
                <c:formatCode>000,000_ ;[Red]\-000,000\ </c:formatCode>
                <c:ptCount val="51"/>
                <c:pt idx="0">
                  <c:v>0.41179389076832024</c:v>
                </c:pt>
                <c:pt idx="1">
                  <c:v>0.46971463055503071</c:v>
                </c:pt>
                <c:pt idx="2">
                  <c:v>0.5177746745856544</c:v>
                </c:pt>
                <c:pt idx="3">
                  <c:v>0.55856187873829599</c:v>
                </c:pt>
                <c:pt idx="4">
                  <c:v>0.59481055788794213</c:v>
                </c:pt>
                <c:pt idx="5">
                  <c:v>0.62564676381656015</c:v>
                </c:pt>
                <c:pt idx="6">
                  <c:v>0.62975335645300756</c:v>
                </c:pt>
                <c:pt idx="7">
                  <c:v>0.61499353963100933</c:v>
                </c:pt>
                <c:pt idx="8">
                  <c:v>0.58727347488151138</c:v>
                </c:pt>
                <c:pt idx="9">
                  <c:v>0.55844207635184184</c:v>
                </c:pt>
                <c:pt idx="10">
                  <c:v>0.52966855249789857</c:v>
                </c:pt>
                <c:pt idx="11">
                  <c:v>0.50105420517003152</c:v>
                </c:pt>
                <c:pt idx="12">
                  <c:v>0.4726902813030871</c:v>
                </c:pt>
                <c:pt idx="13">
                  <c:v>0.44461334115380413</c:v>
                </c:pt>
                <c:pt idx="14">
                  <c:v>0.41695619543312035</c:v>
                </c:pt>
                <c:pt idx="15">
                  <c:v>0.38984316863325941</c:v>
                </c:pt>
                <c:pt idx="16">
                  <c:v>0.3632823051372509</c:v>
                </c:pt>
                <c:pt idx="17">
                  <c:v>0.33732309574275443</c:v>
                </c:pt>
                <c:pt idx="18">
                  <c:v>0.31200762887641409</c:v>
                </c:pt>
                <c:pt idx="19">
                  <c:v>0.28736362657385028</c:v>
                </c:pt>
                <c:pt idx="20">
                  <c:v>0.26343614623803147</c:v>
                </c:pt>
                <c:pt idx="21">
                  <c:v>0.24025462009834408</c:v>
                </c:pt>
                <c:pt idx="22">
                  <c:v>0.21786705976316545</c:v>
                </c:pt>
                <c:pt idx="23">
                  <c:v>0.19634080923530761</c:v>
                </c:pt>
                <c:pt idx="24">
                  <c:v>0.17572222927370007</c:v>
                </c:pt>
                <c:pt idx="25">
                  <c:v>0.15609465481424589</c:v>
                </c:pt>
                <c:pt idx="26">
                  <c:v>0.13755626850323521</c:v>
                </c:pt>
                <c:pt idx="27">
                  <c:v>0.12014942564872766</c:v>
                </c:pt>
                <c:pt idx="28">
                  <c:v>0.10393555372333596</c:v>
                </c:pt>
                <c:pt idx="29">
                  <c:v>8.8943796877909209E-2</c:v>
                </c:pt>
                <c:pt idx="30">
                  <c:v>7.5175703529491988E-2</c:v>
                </c:pt>
                <c:pt idx="31">
                  <c:v>6.262144149455029E-2</c:v>
                </c:pt>
                <c:pt idx="32">
                  <c:v>5.1243128198869003E-2</c:v>
                </c:pt>
                <c:pt idx="33">
                  <c:v>4.0984336120724718E-2</c:v>
                </c:pt>
                <c:pt idx="34">
                  <c:v>3.1778748949729874E-2</c:v>
                </c:pt>
                <c:pt idx="35">
                  <c:v>2.3541367945165925E-2</c:v>
                </c:pt>
                <c:pt idx="36">
                  <c:v>1.6167163825606012E-2</c:v>
                </c:pt>
                <c:pt idx="37">
                  <c:v>9.5430964511509231E-3</c:v>
                </c:pt>
                <c:pt idx="38">
                  <c:v>2.7991753503129324E-3</c:v>
                </c:pt>
                <c:pt idx="39">
                  <c:v>-2.731162121159203E-3</c:v>
                </c:pt>
                <c:pt idx="40">
                  <c:v>-7.9013932123372932E-3</c:v>
                </c:pt>
                <c:pt idx="41">
                  <c:v>-1.2776761151701788E-2</c:v>
                </c:pt>
                <c:pt idx="42">
                  <c:v>-1.7413202789761328E-2</c:v>
                </c:pt>
                <c:pt idx="43">
                  <c:v>-2.1894720411662627E-2</c:v>
                </c:pt>
                <c:pt idx="44">
                  <c:v>-2.627331481696582E-2</c:v>
                </c:pt>
                <c:pt idx="45">
                  <c:v>-3.0590345818709785E-2</c:v>
                </c:pt>
                <c:pt idx="46">
                  <c:v>-3.4681844069335943E-2</c:v>
                </c:pt>
                <c:pt idx="47">
                  <c:v>-3.875721185772929E-2</c:v>
                </c:pt>
                <c:pt idx="48">
                  <c:v>-4.2522467306579381E-2</c:v>
                </c:pt>
                <c:pt idx="49">
                  <c:v>-4.5662558843817536E-2</c:v>
                </c:pt>
                <c:pt idx="50">
                  <c:v>-4.7549179176758827E-2</c:v>
                </c:pt>
              </c:numCache>
            </c:numRef>
          </c:val>
          <c:smooth val="0"/>
          <c:extLst>
            <c:ext xmlns:c16="http://schemas.microsoft.com/office/drawing/2014/chart" uri="{C3380CC4-5D6E-409C-BE32-E72D297353CC}">
              <c16:uniqueId val="{00000004-5AFB-4790-A58C-C1862198CD77}"/>
            </c:ext>
          </c:extLst>
        </c:ser>
        <c:dLbls>
          <c:showLegendKey val="0"/>
          <c:showVal val="0"/>
          <c:showCatName val="0"/>
          <c:showSerName val="0"/>
          <c:showPercent val="0"/>
          <c:showBubbleSize val="0"/>
        </c:dLbls>
        <c:smooth val="0"/>
        <c:axId val="2093822896"/>
        <c:axId val="296404991"/>
      </c:lineChart>
      <c:catAx>
        <c:axId val="209382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96404991"/>
        <c:crossesAt val="0"/>
        <c:auto val="1"/>
        <c:lblAlgn val="ctr"/>
        <c:lblOffset val="100"/>
        <c:tickLblSkip val="5"/>
        <c:noMultiLvlLbl val="0"/>
      </c:catAx>
      <c:valAx>
        <c:axId val="296404991"/>
        <c:scaling>
          <c:orientation val="minMax"/>
          <c:max val="1"/>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BDP</a:t>
                </a:r>
              </a:p>
            </c:rich>
          </c:tx>
          <c:overlay val="0"/>
          <c:spPr>
            <a:noFill/>
            <a:ln>
              <a:noFill/>
            </a:ln>
            <a:effectLst/>
          </c:sp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093822896"/>
        <c:crosses val="autoZero"/>
        <c:crossBetween val="between"/>
      </c:valAx>
    </c:plotArea>
    <c:legend>
      <c:legendPos val="b"/>
      <c:layout>
        <c:manualLayout>
          <c:xMode val="edge"/>
          <c:yMode val="edge"/>
          <c:x val="0.12432830271216098"/>
          <c:y val="0.76252086799009278"/>
          <c:w val="0.75922550306211711"/>
          <c:h val="0.21869978928690251"/>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chart>
  <c:txPr>
    <a:bodyPr/>
    <a:lstStyle/>
    <a:p>
      <a:pPr>
        <a:defRPr/>
      </a:pPr>
      <a:endParaRPr lang="sl-SI"/>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55314960629921"/>
          <c:y val="4.091370558375635E-2"/>
          <c:w val="0.83008945756780406"/>
          <c:h val="0.70315773908543122"/>
        </c:manualLayout>
      </c:layout>
      <c:lineChart>
        <c:grouping val="standard"/>
        <c:varyColors val="0"/>
        <c:ser>
          <c:idx val="0"/>
          <c:order val="0"/>
          <c:tx>
            <c:strRef>
              <c:f>'20-40_Tabele'!$A$24</c:f>
              <c:strCache>
                <c:ptCount val="1"/>
                <c:pt idx="0">
                  <c:v>Prispevek za PIZ (24,35%)</c:v>
                </c:pt>
              </c:strCache>
            </c:strRef>
          </c:tx>
          <c:spPr>
            <a:ln w="28575" cap="rnd">
              <a:solidFill>
                <a:schemeClr val="accent1"/>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'20-40_Tabele'!$B$24:$AZ$24</c:f>
              <c:numCache>
                <c:formatCode>000,000</c:formatCode>
                <c:ptCount val="51"/>
                <c:pt idx="0">
                  <c:v>0.185567435537486</c:v>
                </c:pt>
                <c:pt idx="1">
                  <c:v>0.21824003487112895</c:v>
                </c:pt>
                <c:pt idx="2">
                  <c:v>0.24772060367100174</c:v>
                </c:pt>
                <c:pt idx="3">
                  <c:v>0.27674917275481076</c:v>
                </c:pt>
                <c:pt idx="4">
                  <c:v>0.30544630511216392</c:v>
                </c:pt>
                <c:pt idx="5">
                  <c:v>0.33368251094537371</c:v>
                </c:pt>
                <c:pt idx="6">
                  <c:v>0.34874597489068898</c:v>
                </c:pt>
                <c:pt idx="7">
                  <c:v>0.35641953759867956</c:v>
                </c:pt>
                <c:pt idx="8">
                  <c:v>0.35892276976018395</c:v>
                </c:pt>
                <c:pt idx="9">
                  <c:v>0.36090911211426746</c:v>
                </c:pt>
                <c:pt idx="10">
                  <c:v>0.36286812548016689</c:v>
                </c:pt>
                <c:pt idx="11">
                  <c:v>0.36473074791884169</c:v>
                </c:pt>
                <c:pt idx="12">
                  <c:v>0.36653213231203613</c:v>
                </c:pt>
                <c:pt idx="13">
                  <c:v>0.36827347819411427</c:v>
                </c:pt>
                <c:pt idx="14">
                  <c:v>0.37001559674256995</c:v>
                </c:pt>
                <c:pt idx="15">
                  <c:v>0.37184716528090067</c:v>
                </c:pt>
                <c:pt idx="16">
                  <c:v>0.37376027055307637</c:v>
                </c:pt>
                <c:pt idx="17">
                  <c:v>0.37577910503787221</c:v>
                </c:pt>
                <c:pt idx="18">
                  <c:v>0.37791898308138194</c:v>
                </c:pt>
                <c:pt idx="19">
                  <c:v>0.38016943504742262</c:v>
                </c:pt>
                <c:pt idx="20">
                  <c:v>0.38252619431941454</c:v>
                </c:pt>
                <c:pt idx="21">
                  <c:v>0.38494956432790017</c:v>
                </c:pt>
                <c:pt idx="22">
                  <c:v>0.38740794660378902</c:v>
                </c:pt>
                <c:pt idx="23">
                  <c:v>0.389882833754086</c:v>
                </c:pt>
                <c:pt idx="24">
                  <c:v>0.39230845378994839</c:v>
                </c:pt>
                <c:pt idx="25">
                  <c:v>0.39468636379107458</c:v>
                </c:pt>
                <c:pt idx="26">
                  <c:v>0.39702987409207674</c:v>
                </c:pt>
                <c:pt idx="27">
                  <c:v>0.39927963371745123</c:v>
                </c:pt>
                <c:pt idx="28">
                  <c:v>0.40146936656706128</c:v>
                </c:pt>
                <c:pt idx="29">
                  <c:v>0.40359569951081853</c:v>
                </c:pt>
                <c:pt idx="30">
                  <c:v>0.40561364480887374</c:v>
                </c:pt>
                <c:pt idx="31">
                  <c:v>0.40750943328334716</c:v>
                </c:pt>
                <c:pt idx="32">
                  <c:v>0.40922449426302693</c:v>
                </c:pt>
                <c:pt idx="33">
                  <c:v>0.41070119668432103</c:v>
                </c:pt>
                <c:pt idx="34">
                  <c:v>0.41194419787773956</c:v>
                </c:pt>
                <c:pt idx="35">
                  <c:v>0.41298410859321111</c:v>
                </c:pt>
                <c:pt idx="36">
                  <c:v>0.41382432795035362</c:v>
                </c:pt>
                <c:pt idx="37">
                  <c:v>0.414466646352316</c:v>
                </c:pt>
                <c:pt idx="38">
                  <c:v>0.41492767877074543</c:v>
                </c:pt>
                <c:pt idx="39">
                  <c:v>0.41523336578696601</c:v>
                </c:pt>
                <c:pt idx="40">
                  <c:v>0.41539534960190472</c:v>
                </c:pt>
                <c:pt idx="41">
                  <c:v>0.4154263146756641</c:v>
                </c:pt>
                <c:pt idx="42">
                  <c:v>0.4153597266572176</c:v>
                </c:pt>
                <c:pt idx="43">
                  <c:v>0.41521365562983248</c:v>
                </c:pt>
                <c:pt idx="44">
                  <c:v>0.41501800722343934</c:v>
                </c:pt>
                <c:pt idx="45">
                  <c:v>0.4148148227146562</c:v>
                </c:pt>
                <c:pt idx="46">
                  <c:v>0.41462958426212848</c:v>
                </c:pt>
                <c:pt idx="47">
                  <c:v>0.41449828205266709</c:v>
                </c:pt>
                <c:pt idx="48">
                  <c:v>0.41448947248176976</c:v>
                </c:pt>
                <c:pt idx="49">
                  <c:v>0.41464980454456934</c:v>
                </c:pt>
                <c:pt idx="50">
                  <c:v>0.41500374055912981</c:v>
                </c:pt>
              </c:numCache>
            </c:numRef>
          </c:val>
          <c:smooth val="0"/>
          <c:extLst>
            <c:ext xmlns:c16="http://schemas.microsoft.com/office/drawing/2014/chart" uri="{C3380CC4-5D6E-409C-BE32-E72D297353CC}">
              <c16:uniqueId val="{00000000-4984-44D7-BB31-30A74494860D}"/>
            </c:ext>
          </c:extLst>
        </c:ser>
        <c:ser>
          <c:idx val="1"/>
          <c:order val="1"/>
          <c:tx>
            <c:strRef>
              <c:f>'20-40_Tabele'!$A$26</c:f>
              <c:strCache>
                <c:ptCount val="1"/>
                <c:pt idx="0">
                  <c:v>Nižji izdatki za pokojnine zaradi poznejšega upokojevanja</c:v>
                </c:pt>
              </c:strCache>
            </c:strRef>
          </c:tx>
          <c:spPr>
            <a:ln w="28575" cap="rnd">
              <a:solidFill>
                <a:schemeClr val="accent2"/>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'20-40_Tabele'!$B$26:$AZ$26</c:f>
              <c:numCache>
                <c:formatCode>000,000</c:formatCode>
                <c:ptCount val="51"/>
                <c:pt idx="0">
                  <c:v>0.29712032600825988</c:v>
                </c:pt>
                <c:pt idx="1">
                  <c:v>0.34943388704568779</c:v>
                </c:pt>
                <c:pt idx="2">
                  <c:v>0.39663654513791385</c:v>
                </c:pt>
                <c:pt idx="3">
                  <c:v>0.43930716664236075</c:v>
                </c:pt>
                <c:pt idx="4">
                  <c:v>0.47975913437682771</c:v>
                </c:pt>
                <c:pt idx="5">
                  <c:v>0.51705127740364154</c:v>
                </c:pt>
                <c:pt idx="6">
                  <c:v>0.54039257645159777</c:v>
                </c:pt>
                <c:pt idx="7">
                  <c:v>0.5522829970467994</c:v>
                </c:pt>
                <c:pt idx="8">
                  <c:v>0.5561618320000512</c:v>
                </c:pt>
                <c:pt idx="9">
                  <c:v>0.55923973035507768</c:v>
                </c:pt>
                <c:pt idx="10">
                  <c:v>0.56227528160533446</c:v>
                </c:pt>
                <c:pt idx="11">
                  <c:v>0.56516147215967005</c:v>
                </c:pt>
                <c:pt idx="12">
                  <c:v>0.56795277248571163</c:v>
                </c:pt>
                <c:pt idx="13">
                  <c:v>0.57065104129871957</c:v>
                </c:pt>
                <c:pt idx="14">
                  <c:v>0.57335050738196003</c:v>
                </c:pt>
                <c:pt idx="15">
                  <c:v>0.57618857896597331</c:v>
                </c:pt>
                <c:pt idx="16">
                  <c:v>0.57915299421801514</c:v>
                </c:pt>
                <c:pt idx="17">
                  <c:v>0.5822812401253985</c:v>
                </c:pt>
                <c:pt idx="18">
                  <c:v>0.58559704673674884</c:v>
                </c:pt>
                <c:pt idx="19">
                  <c:v>0.58908419102992826</c:v>
                </c:pt>
                <c:pt idx="20">
                  <c:v>0.59273606175178251</c:v>
                </c:pt>
                <c:pt idx="21">
                  <c:v>0.59649114785131829</c:v>
                </c:pt>
                <c:pt idx="22">
                  <c:v>0.60030048653225043</c:v>
                </c:pt>
                <c:pt idx="23">
                  <c:v>0.60413540002191923</c:v>
                </c:pt>
                <c:pt idx="24">
                  <c:v>0.60789397260783395</c:v>
                </c:pt>
                <c:pt idx="25">
                  <c:v>0.61157861703270899</c:v>
                </c:pt>
                <c:pt idx="26">
                  <c:v>0.61520995806796064</c:v>
                </c:pt>
                <c:pt idx="27">
                  <c:v>0.61869602955805891</c:v>
                </c:pt>
                <c:pt idx="28">
                  <c:v>0.62208908771941074</c:v>
                </c:pt>
                <c:pt idx="29">
                  <c:v>0.62538390578356495</c:v>
                </c:pt>
                <c:pt idx="30">
                  <c:v>0.6285107738688418</c:v>
                </c:pt>
                <c:pt idx="31">
                  <c:v>0.63144835621211914</c:v>
                </c:pt>
                <c:pt idx="32">
                  <c:v>0.63410589576328169</c:v>
                </c:pt>
                <c:pt idx="33">
                  <c:v>0.63639409142301817</c:v>
                </c:pt>
                <c:pt idx="34">
                  <c:v>0.63832015986769164</c:v>
                </c:pt>
                <c:pt idx="35">
                  <c:v>0.63993153339247411</c:v>
                </c:pt>
                <c:pt idx="36">
                  <c:v>0.64123347903738948</c:v>
                </c:pt>
                <c:pt idx="37">
                  <c:v>0.64222877108698939</c:v>
                </c:pt>
                <c:pt idx="38">
                  <c:v>0.64294315494905663</c:v>
                </c:pt>
                <c:pt idx="39">
                  <c:v>0.64341682634937902</c:v>
                </c:pt>
                <c:pt idx="40">
                  <c:v>0.64366782523510302</c:v>
                </c:pt>
                <c:pt idx="41">
                  <c:v>0.64371580656590988</c:v>
                </c:pt>
                <c:pt idx="42">
                  <c:v>0.64361262639053907</c:v>
                </c:pt>
                <c:pt idx="43">
                  <c:v>0.64338628485682459</c:v>
                </c:pt>
                <c:pt idx="44">
                  <c:v>0.64308312165489045</c:v>
                </c:pt>
                <c:pt idx="45">
                  <c:v>0.64276828103133676</c:v>
                </c:pt>
                <c:pt idx="46">
                  <c:v>0.6424812483719613</c:v>
                </c:pt>
                <c:pt idx="47">
                  <c:v>0.64227779157425402</c:v>
                </c:pt>
                <c:pt idx="48">
                  <c:v>0.64226414087415318</c:v>
                </c:pt>
                <c:pt idx="49">
                  <c:v>0.64251258031931435</c:v>
                </c:pt>
                <c:pt idx="50">
                  <c:v>0.64306101502129842</c:v>
                </c:pt>
              </c:numCache>
            </c:numRef>
          </c:val>
          <c:smooth val="0"/>
          <c:extLst>
            <c:ext xmlns:c16="http://schemas.microsoft.com/office/drawing/2014/chart" uri="{C3380CC4-5D6E-409C-BE32-E72D297353CC}">
              <c16:uniqueId val="{00000001-4984-44D7-BB31-30A74494860D}"/>
            </c:ext>
          </c:extLst>
        </c:ser>
        <c:ser>
          <c:idx val="2"/>
          <c:order val="2"/>
          <c:tx>
            <c:strRef>
              <c:f>'20-40_Tabele'!$A$28</c:f>
              <c:strCache>
                <c:ptCount val="1"/>
                <c:pt idx="0">
                  <c:v>Izplačila dela pokojnine</c:v>
                </c:pt>
              </c:strCache>
            </c:strRef>
          </c:tx>
          <c:spPr>
            <a:ln w="28575" cap="rnd">
              <a:solidFill>
                <a:schemeClr val="accent3"/>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'20-40_Tabele'!$B$28:$AZ$28</c:f>
              <c:numCache>
                <c:formatCode>000,000</c:formatCode>
                <c:ptCount val="51"/>
                <c:pt idx="0">
                  <c:v>-0.11884813040330393</c:v>
                </c:pt>
                <c:pt idx="1">
                  <c:v>-0.13977355481827516</c:v>
                </c:pt>
                <c:pt idx="2">
                  <c:v>-0.15865461805516556</c:v>
                </c:pt>
                <c:pt idx="3">
                  <c:v>-0.17572286665694431</c:v>
                </c:pt>
                <c:pt idx="4">
                  <c:v>-0.19190365375073107</c:v>
                </c:pt>
                <c:pt idx="5">
                  <c:v>-0.20682051096145662</c:v>
                </c:pt>
                <c:pt idx="6">
                  <c:v>-0.21615703058063909</c:v>
                </c:pt>
                <c:pt idx="7">
                  <c:v>-0.22091319881871974</c:v>
                </c:pt>
                <c:pt idx="8">
                  <c:v>-0.22246473280002044</c:v>
                </c:pt>
                <c:pt idx="9">
                  <c:v>-0.22369589214203106</c:v>
                </c:pt>
                <c:pt idx="10">
                  <c:v>-0.22491011264213376</c:v>
                </c:pt>
                <c:pt idx="11">
                  <c:v>-0.22606458886386813</c:v>
                </c:pt>
                <c:pt idx="12">
                  <c:v>-0.22718110899428468</c:v>
                </c:pt>
                <c:pt idx="13">
                  <c:v>-0.22826041651948786</c:v>
                </c:pt>
                <c:pt idx="14">
                  <c:v>-0.22934020295278401</c:v>
                </c:pt>
                <c:pt idx="15">
                  <c:v>-0.23047543158638933</c:v>
                </c:pt>
                <c:pt idx="16">
                  <c:v>-0.23166119768720603</c:v>
                </c:pt>
                <c:pt idx="17">
                  <c:v>-0.23291249605015943</c:v>
                </c:pt>
                <c:pt idx="18">
                  <c:v>-0.23423881869469956</c:v>
                </c:pt>
                <c:pt idx="19">
                  <c:v>-0.2356336764119713</c:v>
                </c:pt>
                <c:pt idx="20">
                  <c:v>-0.23709442470071299</c:v>
                </c:pt>
                <c:pt idx="21">
                  <c:v>-0.23859645914052732</c:v>
                </c:pt>
                <c:pt idx="22">
                  <c:v>-0.24012019461290018</c:v>
                </c:pt>
                <c:pt idx="23">
                  <c:v>-0.24165416000876769</c:v>
                </c:pt>
                <c:pt idx="24">
                  <c:v>-0.24315758904313359</c:v>
                </c:pt>
                <c:pt idx="25">
                  <c:v>-0.24463144681308369</c:v>
                </c:pt>
                <c:pt idx="26">
                  <c:v>-0.24608398322718433</c:v>
                </c:pt>
                <c:pt idx="27">
                  <c:v>-0.24747841182322367</c:v>
                </c:pt>
                <c:pt idx="28">
                  <c:v>-0.24883563508776441</c:v>
                </c:pt>
                <c:pt idx="29">
                  <c:v>-0.25015356231342595</c:v>
                </c:pt>
                <c:pt idx="30">
                  <c:v>-0.25140430954753679</c:v>
                </c:pt>
                <c:pt idx="31">
                  <c:v>-0.2525793424848477</c:v>
                </c:pt>
                <c:pt idx="32">
                  <c:v>-0.25364235830531273</c:v>
                </c:pt>
                <c:pt idx="33">
                  <c:v>-0.25455763656920732</c:v>
                </c:pt>
                <c:pt idx="34">
                  <c:v>-0.2553280639470768</c:v>
                </c:pt>
                <c:pt idx="35">
                  <c:v>-0.25597261335698968</c:v>
                </c:pt>
                <c:pt idx="36">
                  <c:v>-0.25649339161495588</c:v>
                </c:pt>
                <c:pt idx="37">
                  <c:v>-0.25689150843479586</c:v>
                </c:pt>
                <c:pt idx="38">
                  <c:v>-0.25717726197962276</c:v>
                </c:pt>
                <c:pt idx="39">
                  <c:v>-0.25736673053975179</c:v>
                </c:pt>
                <c:pt idx="40">
                  <c:v>-0.25746713009404132</c:v>
                </c:pt>
                <c:pt idx="41">
                  <c:v>-0.25748632262636412</c:v>
                </c:pt>
                <c:pt idx="42">
                  <c:v>-0.2574450505562158</c:v>
                </c:pt>
                <c:pt idx="43">
                  <c:v>-0.2573545139427299</c:v>
                </c:pt>
                <c:pt idx="44">
                  <c:v>-0.25723324866195629</c:v>
                </c:pt>
                <c:pt idx="45">
                  <c:v>-0.25710731241253493</c:v>
                </c:pt>
                <c:pt idx="46">
                  <c:v>-0.25699249934878471</c:v>
                </c:pt>
                <c:pt idx="47">
                  <c:v>-0.25691111662970184</c:v>
                </c:pt>
                <c:pt idx="48">
                  <c:v>-0.25690565634966139</c:v>
                </c:pt>
                <c:pt idx="49">
                  <c:v>-0.25700503212772585</c:v>
                </c:pt>
                <c:pt idx="50">
                  <c:v>-0.25722440600851948</c:v>
                </c:pt>
              </c:numCache>
            </c:numRef>
          </c:val>
          <c:smooth val="0"/>
          <c:extLst>
            <c:ext xmlns:c16="http://schemas.microsoft.com/office/drawing/2014/chart" uri="{C3380CC4-5D6E-409C-BE32-E72D297353CC}">
              <c16:uniqueId val="{00000002-4984-44D7-BB31-30A74494860D}"/>
            </c:ext>
          </c:extLst>
        </c:ser>
        <c:ser>
          <c:idx val="3"/>
          <c:order val="3"/>
          <c:tx>
            <c:strRef>
              <c:f>'20-40_Tabele'!$A$29</c:f>
              <c:strCache>
                <c:ptCount val="1"/>
                <c:pt idx="0">
                  <c:v>Višje pokojnine zaradi višjih odmernih odstotkov </c:v>
                </c:pt>
              </c:strCache>
            </c:strRef>
          </c:tx>
          <c:spPr>
            <a:ln w="28575" cap="rnd">
              <a:solidFill>
                <a:schemeClr val="accent4"/>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'20-40_Tabele'!$B$29:$AZ$29</c:f>
              <c:numCache>
                <c:formatCode>000,000</c:formatCode>
                <c:ptCount val="51"/>
                <c:pt idx="0">
                  <c:v>-9.9669653267527303E-3</c:v>
                </c:pt>
                <c:pt idx="1">
                  <c:v>-2.3011817218529958E-2</c:v>
                </c:pt>
                <c:pt idx="2">
                  <c:v>-3.7379770802970197E-2</c:v>
                </c:pt>
                <c:pt idx="3">
                  <c:v>-5.4260489228016927E-2</c:v>
                </c:pt>
                <c:pt idx="4">
                  <c:v>-7.286075473592267E-2</c:v>
                </c:pt>
                <c:pt idx="5">
                  <c:v>-9.3281074501971997E-2</c:v>
                </c:pt>
                <c:pt idx="6">
                  <c:v>-0.11550313485220649</c:v>
                </c:pt>
                <c:pt idx="7">
                  <c:v>-0.13947089845863289</c:v>
                </c:pt>
                <c:pt idx="8">
                  <c:v>-0.16447696786117158</c:v>
                </c:pt>
                <c:pt idx="9">
                  <c:v>-0.18945039188714263</c:v>
                </c:pt>
                <c:pt idx="10">
                  <c:v>-0.21433285809708477</c:v>
                </c:pt>
                <c:pt idx="11">
                  <c:v>-0.23893156249344574</c:v>
                </c:pt>
                <c:pt idx="12">
                  <c:v>-0.26323703346264393</c:v>
                </c:pt>
                <c:pt idx="13">
                  <c:v>-0.28722354718138138</c:v>
                </c:pt>
                <c:pt idx="14">
                  <c:v>-0.31089349412261391</c:v>
                </c:pt>
                <c:pt idx="15">
                  <c:v>-0.33430262482358442</c:v>
                </c:pt>
                <c:pt idx="16">
                  <c:v>-0.35743103213365107</c:v>
                </c:pt>
                <c:pt idx="17">
                  <c:v>-0.38028181602910155</c:v>
                </c:pt>
                <c:pt idx="18">
                  <c:v>-0.40284865775738721</c:v>
                </c:pt>
                <c:pt idx="19">
                  <c:v>-0.42509260088917628</c:v>
                </c:pt>
                <c:pt idx="20">
                  <c:v>-0.44697224733937979</c:v>
                </c:pt>
                <c:pt idx="21">
                  <c:v>-0.46839836921594113</c:v>
                </c:pt>
                <c:pt idx="22">
                  <c:v>-0.48928168248527315</c:v>
                </c:pt>
                <c:pt idx="23">
                  <c:v>-0.50954074725264287</c:v>
                </c:pt>
                <c:pt idx="24">
                  <c:v>-0.52903057613701554</c:v>
                </c:pt>
                <c:pt idx="25">
                  <c:v>-0.54769217121283487</c:v>
                </c:pt>
                <c:pt idx="26">
                  <c:v>-0.56547576410191436</c:v>
                </c:pt>
                <c:pt idx="27">
                  <c:v>-0.58225040098238001</c:v>
                </c:pt>
                <c:pt idx="28">
                  <c:v>-0.59802817151962062</c:v>
                </c:pt>
                <c:pt idx="29">
                  <c:v>-0.61278306388507287</c:v>
                </c:pt>
                <c:pt idx="30">
                  <c:v>-0.62643979063096289</c:v>
                </c:pt>
                <c:pt idx="31">
                  <c:v>-0.63898417485076164</c:v>
                </c:pt>
                <c:pt idx="32">
                  <c:v>-0.65034758843642093</c:v>
                </c:pt>
                <c:pt idx="33">
                  <c:v>-0.66047670477449838</c:v>
                </c:pt>
                <c:pt idx="34">
                  <c:v>-0.66943016455328619</c:v>
                </c:pt>
                <c:pt idx="35">
                  <c:v>-0.67732387282397222</c:v>
                </c:pt>
                <c:pt idx="36">
                  <c:v>-0.68424247455844922</c:v>
                </c:pt>
                <c:pt idx="37">
                  <c:v>-0.69027339884570116</c:v>
                </c:pt>
                <c:pt idx="38">
                  <c:v>-0.69619254795390884</c:v>
                </c:pt>
                <c:pt idx="39">
                  <c:v>-0.70074383751841318</c:v>
                </c:pt>
                <c:pt idx="40">
                  <c:v>-0.70489691966082246</c:v>
                </c:pt>
                <c:pt idx="41">
                  <c:v>-0.70861237139036515</c:v>
                </c:pt>
                <c:pt idx="42">
                  <c:v>-0.71198414680248767</c:v>
                </c:pt>
                <c:pt idx="43">
                  <c:v>-0.7151057701106881</c:v>
                </c:pt>
                <c:pt idx="44">
                  <c:v>-0.71806663703431894</c:v>
                </c:pt>
                <c:pt idx="45">
                  <c:v>-0.72096856415688571</c:v>
                </c:pt>
                <c:pt idx="46">
                  <c:v>-0.7237312219901908</c:v>
                </c:pt>
                <c:pt idx="47">
                  <c:v>-0.72657254723094167</c:v>
                </c:pt>
                <c:pt idx="48">
                  <c:v>-0.72938739870075153</c:v>
                </c:pt>
                <c:pt idx="49">
                  <c:v>-0.73201799040857274</c:v>
                </c:pt>
                <c:pt idx="50">
                  <c:v>-0.73403438023180945</c:v>
                </c:pt>
              </c:numCache>
            </c:numRef>
          </c:val>
          <c:smooth val="0"/>
          <c:extLst>
            <c:ext xmlns:c16="http://schemas.microsoft.com/office/drawing/2014/chart" uri="{C3380CC4-5D6E-409C-BE32-E72D297353CC}">
              <c16:uniqueId val="{00000003-4984-44D7-BB31-30A74494860D}"/>
            </c:ext>
          </c:extLst>
        </c:ser>
        <c:ser>
          <c:idx val="4"/>
          <c:order val="4"/>
          <c:tx>
            <c:strRef>
              <c:f>'20-40_Tabele'!$A$42</c:f>
              <c:strCache>
                <c:ptCount val="1"/>
                <c:pt idx="0">
                  <c:v>Učinek za pokojninsko blagajno, skupaj</c:v>
                </c:pt>
              </c:strCache>
            </c:strRef>
          </c:tx>
          <c:spPr>
            <a:ln w="28575" cap="rnd">
              <a:solidFill>
                <a:srgbClr val="00FF00"/>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'20-40_Tabele'!$B$31:$AZ$31</c:f>
              <c:numCache>
                <c:formatCode>000,000_ ;[Red]\-000,000\ </c:formatCode>
                <c:ptCount val="51"/>
                <c:pt idx="0">
                  <c:v>0.35387266581568921</c:v>
                </c:pt>
                <c:pt idx="1">
                  <c:v>0.40488854988001166</c:v>
                </c:pt>
                <c:pt idx="2">
                  <c:v>0.44832275995077986</c:v>
                </c:pt>
                <c:pt idx="3">
                  <c:v>0.48607298351221029</c:v>
                </c:pt>
                <c:pt idx="4">
                  <c:v>0.52044103100233785</c:v>
                </c:pt>
                <c:pt idx="5">
                  <c:v>0.55063220288558656</c:v>
                </c:pt>
                <c:pt idx="6">
                  <c:v>0.5574783859094411</c:v>
                </c:pt>
                <c:pt idx="7">
                  <c:v>0.54831843736812624</c:v>
                </c:pt>
                <c:pt idx="8">
                  <c:v>0.52814290109904316</c:v>
                </c:pt>
                <c:pt idx="9">
                  <c:v>0.50700255844017139</c:v>
                </c:pt>
                <c:pt idx="10">
                  <c:v>0.48590043634628283</c:v>
                </c:pt>
                <c:pt idx="11">
                  <c:v>0.46489606872119793</c:v>
                </c:pt>
                <c:pt idx="12">
                  <c:v>0.4440667623408191</c:v>
                </c:pt>
                <c:pt idx="13">
                  <c:v>0.4234405557919646</c:v>
                </c:pt>
                <c:pt idx="14">
                  <c:v>0.40313240704913211</c:v>
                </c:pt>
                <c:pt idx="15">
                  <c:v>0.38325768783690017</c:v>
                </c:pt>
                <c:pt idx="16">
                  <c:v>0.36382103495023443</c:v>
                </c:pt>
                <c:pt idx="17">
                  <c:v>0.34486603308400976</c:v>
                </c:pt>
                <c:pt idx="18">
                  <c:v>0.32642855336604404</c:v>
                </c:pt>
                <c:pt idx="19">
                  <c:v>0.30852734877620336</c:v>
                </c:pt>
                <c:pt idx="20">
                  <c:v>0.29119558403110424</c:v>
                </c:pt>
                <c:pt idx="21">
                  <c:v>0.27444588382275004</c:v>
                </c:pt>
                <c:pt idx="22">
                  <c:v>0.25830655603786612</c:v>
                </c:pt>
                <c:pt idx="23">
                  <c:v>0.24282332651459471</c:v>
                </c:pt>
                <c:pt idx="24">
                  <c:v>0.22801426121763313</c:v>
                </c:pt>
                <c:pt idx="25">
                  <c:v>0.21394136279786502</c:v>
                </c:pt>
                <c:pt idx="26">
                  <c:v>0.20068008483093869</c:v>
                </c:pt>
                <c:pt idx="27">
                  <c:v>0.18824685046990641</c:v>
                </c:pt>
                <c:pt idx="28">
                  <c:v>0.17669464767908694</c:v>
                </c:pt>
                <c:pt idx="29">
                  <c:v>0.16604297909588484</c:v>
                </c:pt>
                <c:pt idx="30">
                  <c:v>0.15628031849921575</c:v>
                </c:pt>
                <c:pt idx="31">
                  <c:v>0.1473942721598569</c:v>
                </c:pt>
                <c:pt idx="32">
                  <c:v>0.13934044328457507</c:v>
                </c:pt>
                <c:pt idx="33">
                  <c:v>0.13206094676363356</c:v>
                </c:pt>
                <c:pt idx="34">
                  <c:v>0.1255061292450681</c:v>
                </c:pt>
                <c:pt idx="35">
                  <c:v>0.11961915580472327</c:v>
                </c:pt>
                <c:pt idx="36">
                  <c:v>0.11432194081433789</c:v>
                </c:pt>
                <c:pt idx="37">
                  <c:v>0.10953051015880821</c:v>
                </c:pt>
                <c:pt idx="38">
                  <c:v>0.10450102378627035</c:v>
                </c:pt>
                <c:pt idx="39">
                  <c:v>0.10053962407818018</c:v>
                </c:pt>
                <c:pt idx="40">
                  <c:v>9.6699125082143844E-2</c:v>
                </c:pt>
                <c:pt idx="41">
                  <c:v>9.3043427224844599E-2</c:v>
                </c:pt>
                <c:pt idx="42">
                  <c:v>8.9543155689053133E-2</c:v>
                </c:pt>
                <c:pt idx="43">
                  <c:v>8.6139656433239065E-2</c:v>
                </c:pt>
                <c:pt idx="44">
                  <c:v>8.2801243182054507E-2</c:v>
                </c:pt>
                <c:pt idx="45">
                  <c:v>7.9507227176572215E-2</c:v>
                </c:pt>
                <c:pt idx="46">
                  <c:v>7.638711129511444E-2</c:v>
                </c:pt>
                <c:pt idx="47">
                  <c:v>7.3292409766277711E-2</c:v>
                </c:pt>
                <c:pt idx="48">
                  <c:v>7.0460558305510013E-2</c:v>
                </c:pt>
                <c:pt idx="49">
                  <c:v>6.8139362327585218E-2</c:v>
                </c:pt>
                <c:pt idx="50">
                  <c:v>6.6805969340099414E-2</c:v>
                </c:pt>
              </c:numCache>
            </c:numRef>
          </c:val>
          <c:smooth val="0"/>
          <c:extLst>
            <c:ext xmlns:c16="http://schemas.microsoft.com/office/drawing/2014/chart" uri="{C3380CC4-5D6E-409C-BE32-E72D297353CC}">
              <c16:uniqueId val="{00000004-4984-44D7-BB31-30A74494860D}"/>
            </c:ext>
          </c:extLst>
        </c:ser>
        <c:dLbls>
          <c:showLegendKey val="0"/>
          <c:showVal val="0"/>
          <c:showCatName val="0"/>
          <c:showSerName val="0"/>
          <c:showPercent val="0"/>
          <c:showBubbleSize val="0"/>
        </c:dLbls>
        <c:smooth val="0"/>
        <c:axId val="2093822896"/>
        <c:axId val="296404991"/>
      </c:lineChart>
      <c:catAx>
        <c:axId val="209382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96404991"/>
        <c:crossesAt val="0"/>
        <c:auto val="1"/>
        <c:lblAlgn val="ctr"/>
        <c:lblOffset val="100"/>
        <c:tickLblSkip val="5"/>
        <c:noMultiLvlLbl val="0"/>
      </c:catAx>
      <c:valAx>
        <c:axId val="296404991"/>
        <c:scaling>
          <c:orientation val="minMax"/>
          <c:max val="1"/>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BDP</a:t>
                </a:r>
              </a:p>
            </c:rich>
          </c:tx>
          <c:overlay val="0"/>
          <c:spPr>
            <a:noFill/>
            <a:ln>
              <a:noFill/>
            </a:ln>
            <a:effectLst/>
          </c:sp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093822896"/>
        <c:crosses val="autoZero"/>
        <c:crossBetween val="between"/>
      </c:valAx>
    </c:plotArea>
    <c:legend>
      <c:legendPos val="b"/>
      <c:layout>
        <c:manualLayout>
          <c:xMode val="edge"/>
          <c:yMode val="edge"/>
          <c:x val="0.12432830271216098"/>
          <c:y val="0.76252086799009278"/>
          <c:w val="0.75922550306211711"/>
          <c:h val="0.21869978928690251"/>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chart>
  <c:txPr>
    <a:bodyPr/>
    <a:lstStyle/>
    <a:p>
      <a:pPr>
        <a:defRPr/>
      </a:pPr>
      <a:endParaRPr lang="sl-SI"/>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355314960629921"/>
          <c:y val="4.091370558375635E-2"/>
          <c:w val="0.83008945756780406"/>
          <c:h val="0.70315773908543122"/>
        </c:manualLayout>
      </c:layout>
      <c:lineChart>
        <c:grouping val="standard"/>
        <c:varyColors val="0"/>
        <c:ser>
          <c:idx val="0"/>
          <c:order val="0"/>
          <c:tx>
            <c:strRef>
              <c:f>'20-40_Tabele'!$A$35</c:f>
              <c:strCache>
                <c:ptCount val="1"/>
                <c:pt idx="0">
                  <c:v>Prispevek za PIZ (24,35%)</c:v>
                </c:pt>
              </c:strCache>
            </c:strRef>
          </c:tx>
          <c:spPr>
            <a:ln w="28575" cap="rnd">
              <a:solidFill>
                <a:schemeClr val="accent1"/>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'20-40_Tabele'!$B$35:$AZ$35</c:f>
              <c:numCache>
                <c:formatCode>000,000</c:formatCode>
                <c:ptCount val="51"/>
                <c:pt idx="0">
                  <c:v>0.24770691811512235</c:v>
                </c:pt>
                <c:pt idx="1">
                  <c:v>0.29149259047847687</c:v>
                </c:pt>
                <c:pt idx="2">
                  <c:v>0.3316900525546117</c:v>
                </c:pt>
                <c:pt idx="3">
                  <c:v>0.37126420978666247</c:v>
                </c:pt>
                <c:pt idx="4">
                  <c:v>0.41030870847803808</c:v>
                </c:pt>
                <c:pt idx="5">
                  <c:v>0.44866702287083871</c:v>
                </c:pt>
                <c:pt idx="6">
                  <c:v>0.47374922457089647</c:v>
                </c:pt>
                <c:pt idx="7">
                  <c:v>0.48791551792674487</c:v>
                </c:pt>
                <c:pt idx="8">
                  <c:v>0.4911350792487208</c:v>
                </c:pt>
                <c:pt idx="9">
                  <c:v>0.4938256942990521</c:v>
                </c:pt>
                <c:pt idx="10">
                  <c:v>0.49647899810309881</c:v>
                </c:pt>
                <c:pt idx="11">
                  <c:v>0.4990014798458024</c:v>
                </c:pt>
                <c:pt idx="12">
                  <c:v>0.5014407793788539</c:v>
                </c:pt>
                <c:pt idx="13">
                  <c:v>0.5037985458626203</c:v>
                </c:pt>
                <c:pt idx="14">
                  <c:v>0.5061571289622524</c:v>
                </c:pt>
                <c:pt idx="15">
                  <c:v>0.50863656717819383</c:v>
                </c:pt>
                <c:pt idx="16">
                  <c:v>0.51122611270327778</c:v>
                </c:pt>
                <c:pt idx="17">
                  <c:v>0.51395847128154393</c:v>
                </c:pt>
                <c:pt idx="18">
                  <c:v>0.51685431785872615</c:v>
                </c:pt>
                <c:pt idx="19">
                  <c:v>0.51989942806933132</c:v>
                </c:pt>
                <c:pt idx="20">
                  <c:v>0.52308797347651548</c:v>
                </c:pt>
                <c:pt idx="21">
                  <c:v>0.52636620128952494</c:v>
                </c:pt>
                <c:pt idx="22">
                  <c:v>0.52969133879448949</c:v>
                </c:pt>
                <c:pt idx="23">
                  <c:v>0.53303833919931876</c:v>
                </c:pt>
                <c:pt idx="24">
                  <c:v>0.53631826264688176</c:v>
                </c:pt>
                <c:pt idx="25">
                  <c:v>0.53953324136074321</c:v>
                </c:pt>
                <c:pt idx="26">
                  <c:v>0.54270129339993645</c:v>
                </c:pt>
                <c:pt idx="27">
                  <c:v>0.54574221951036705</c:v>
                </c:pt>
                <c:pt idx="28">
                  <c:v>0.54870164261126375</c:v>
                </c:pt>
                <c:pt idx="29">
                  <c:v>0.55157503455887202</c:v>
                </c:pt>
                <c:pt idx="30">
                  <c:v>0.55430164286802797</c:v>
                </c:pt>
                <c:pt idx="31">
                  <c:v>0.5568629154625262</c:v>
                </c:pt>
                <c:pt idx="32">
                  <c:v>0.5591797857673475</c:v>
                </c:pt>
                <c:pt idx="33">
                  <c:v>0.56117448058225028</c:v>
                </c:pt>
                <c:pt idx="34">
                  <c:v>0.56285336985791257</c:v>
                </c:pt>
                <c:pt idx="35">
                  <c:v>0.5642578606459141</c:v>
                </c:pt>
                <c:pt idx="36">
                  <c:v>0.56539259117386109</c:v>
                </c:pt>
                <c:pt idx="37">
                  <c:v>0.56626001721116648</c:v>
                </c:pt>
                <c:pt idx="38">
                  <c:v>0.56688260440513649</c:v>
                </c:pt>
                <c:pt idx="39">
                  <c:v>0.56729540129837419</c:v>
                </c:pt>
                <c:pt idx="40">
                  <c:v>0.567514139875537</c:v>
                </c:pt>
                <c:pt idx="41">
                  <c:v>0.56755595405130455</c:v>
                </c:pt>
                <c:pt idx="42">
                  <c:v>0.5674660357809147</c:v>
                </c:pt>
                <c:pt idx="43">
                  <c:v>0.56726878509855938</c:v>
                </c:pt>
                <c:pt idx="44">
                  <c:v>0.56700458383747732</c:v>
                </c:pt>
                <c:pt idx="45">
                  <c:v>0.56673020286059694</c:v>
                </c:pt>
                <c:pt idx="46">
                  <c:v>0.56648005358129694</c:v>
                </c:pt>
                <c:pt idx="47">
                  <c:v>0.56630273919148333</c:v>
                </c:pt>
                <c:pt idx="48">
                  <c:v>0.56629084243969408</c:v>
                </c:pt>
                <c:pt idx="49">
                  <c:v>0.56650735953371378</c:v>
                </c:pt>
                <c:pt idx="50">
                  <c:v>0.5669853181922847</c:v>
                </c:pt>
              </c:numCache>
            </c:numRef>
          </c:val>
          <c:smooth val="0"/>
          <c:extLst>
            <c:ext xmlns:c16="http://schemas.microsoft.com/office/drawing/2014/chart" uri="{C3380CC4-5D6E-409C-BE32-E72D297353CC}">
              <c16:uniqueId val="{00000000-B811-413D-9B43-1B0269C1C017}"/>
            </c:ext>
          </c:extLst>
        </c:ser>
        <c:ser>
          <c:idx val="1"/>
          <c:order val="1"/>
          <c:tx>
            <c:strRef>
              <c:f>'20-40_Tabele'!$A$37</c:f>
              <c:strCache>
                <c:ptCount val="1"/>
                <c:pt idx="0">
                  <c:v>Nižji izdatki za pokojnine zaradi poznejšega upokojevanja</c:v>
                </c:pt>
              </c:strCache>
            </c:strRef>
          </c:tx>
          <c:spPr>
            <a:ln w="28575" cap="rnd">
              <a:solidFill>
                <a:schemeClr val="accent2"/>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'20-40_Tabele'!$B$37:$AZ$37</c:f>
              <c:numCache>
                <c:formatCode>000,000</c:formatCode>
                <c:ptCount val="51"/>
                <c:pt idx="0">
                  <c:v>0.39661463258190571</c:v>
                </c:pt>
                <c:pt idx="1">
                  <c:v>0.46672183220671654</c:v>
                </c:pt>
                <c:pt idx="2">
                  <c:v>0.53108378775226883</c:v>
                </c:pt>
                <c:pt idx="3">
                  <c:v>0.5893388097734017</c:v>
                </c:pt>
                <c:pt idx="4">
                  <c:v>0.64446466535063163</c:v>
                </c:pt>
                <c:pt idx="5">
                  <c:v>0.69522330267477961</c:v>
                </c:pt>
                <c:pt idx="6">
                  <c:v>0.73408894292774951</c:v>
                </c:pt>
                <c:pt idx="7">
                  <c:v>0.75604004865086372</c:v>
                </c:pt>
                <c:pt idx="8">
                  <c:v>0.76102885759230543</c:v>
                </c:pt>
                <c:pt idx="9">
                  <c:v>0.76519804807470082</c:v>
                </c:pt>
                <c:pt idx="10">
                  <c:v>0.76930942363746402</c:v>
                </c:pt>
                <c:pt idx="11">
                  <c:v>0.77321808640674483</c:v>
                </c:pt>
                <c:pt idx="12">
                  <c:v>0.77699785579280345</c:v>
                </c:pt>
                <c:pt idx="13">
                  <c:v>0.7806512872201713</c:v>
                </c:pt>
                <c:pt idx="14">
                  <c:v>0.78430598401885099</c:v>
                </c:pt>
                <c:pt idx="15">
                  <c:v>0.7881479495242163</c:v>
                </c:pt>
                <c:pt idx="16">
                  <c:v>0.79216052967966466</c:v>
                </c:pt>
                <c:pt idx="17">
                  <c:v>0.79639440303795028</c:v>
                </c:pt>
                <c:pt idx="18">
                  <c:v>0.80088160606113201</c:v>
                </c:pt>
                <c:pt idx="19">
                  <c:v>0.80560009765893115</c:v>
                </c:pt>
                <c:pt idx="20">
                  <c:v>0.81054084648982805</c:v>
                </c:pt>
                <c:pt idx="21">
                  <c:v>0.81562056095713564</c:v>
                </c:pt>
                <c:pt idx="22">
                  <c:v>0.82077296342981421</c:v>
                </c:pt>
                <c:pt idx="23">
                  <c:v>0.82595924313588753</c:v>
                </c:pt>
                <c:pt idx="24">
                  <c:v>0.83104158504090309</c:v>
                </c:pt>
                <c:pt idx="25">
                  <c:v>0.83602329309062384</c:v>
                </c:pt>
                <c:pt idx="26">
                  <c:v>0.84093228681973875</c:v>
                </c:pt>
                <c:pt idx="27">
                  <c:v>0.84564429502608329</c:v>
                </c:pt>
                <c:pt idx="28">
                  <c:v>0.85023001182125257</c:v>
                </c:pt>
                <c:pt idx="29">
                  <c:v>0.85468242070772071</c:v>
                </c:pt>
                <c:pt idx="30">
                  <c:v>0.85890738384778553</c:v>
                </c:pt>
                <c:pt idx="31">
                  <c:v>0.86287615423078312</c:v>
                </c:pt>
                <c:pt idx="32">
                  <c:v>0.86646621577549066</c:v>
                </c:pt>
                <c:pt idx="33">
                  <c:v>0.86955705652454252</c:v>
                </c:pt>
                <c:pt idx="34">
                  <c:v>0.87215854691174033</c:v>
                </c:pt>
                <c:pt idx="35">
                  <c:v>0.87433484843254927</c:v>
                </c:pt>
                <c:pt idx="36">
                  <c:v>0.87609314816279771</c:v>
                </c:pt>
                <c:pt idx="37">
                  <c:v>0.8774372513924551</c:v>
                </c:pt>
                <c:pt idx="38">
                  <c:v>0.87840196933054948</c:v>
                </c:pt>
                <c:pt idx="39">
                  <c:v>0.87904161076801135</c:v>
                </c:pt>
                <c:pt idx="40">
                  <c:v>0.87938055289721995</c:v>
                </c:pt>
                <c:pt idx="41">
                  <c:v>0.87944534524409135</c:v>
                </c:pt>
                <c:pt idx="42">
                  <c:v>0.87930601412830911</c:v>
                </c:pt>
                <c:pt idx="43">
                  <c:v>0.87900036815066562</c:v>
                </c:pt>
                <c:pt idx="44">
                  <c:v>0.87859098019938475</c:v>
                </c:pt>
                <c:pt idx="45">
                  <c:v>0.87816581846648678</c:v>
                </c:pt>
                <c:pt idx="46">
                  <c:v>0.87777820449164223</c:v>
                </c:pt>
                <c:pt idx="47">
                  <c:v>0.87750345041029876</c:v>
                </c:pt>
                <c:pt idx="48">
                  <c:v>0.87748501602879014</c:v>
                </c:pt>
                <c:pt idx="49">
                  <c:v>0.87782051590178467</c:v>
                </c:pt>
                <c:pt idx="50">
                  <c:v>0.87856112749170601</c:v>
                </c:pt>
              </c:numCache>
            </c:numRef>
          </c:val>
          <c:smooth val="0"/>
          <c:extLst>
            <c:ext xmlns:c16="http://schemas.microsoft.com/office/drawing/2014/chart" uri="{C3380CC4-5D6E-409C-BE32-E72D297353CC}">
              <c16:uniqueId val="{00000001-B811-413D-9B43-1B0269C1C017}"/>
            </c:ext>
          </c:extLst>
        </c:ser>
        <c:ser>
          <c:idx val="2"/>
          <c:order val="2"/>
          <c:tx>
            <c:strRef>
              <c:f>'20-40_Tabele'!$A$39</c:f>
              <c:strCache>
                <c:ptCount val="1"/>
                <c:pt idx="0">
                  <c:v>Izplačila dela pokojnine</c:v>
                </c:pt>
              </c:strCache>
            </c:strRef>
          </c:tx>
          <c:spPr>
            <a:ln w="28575" cap="rnd">
              <a:solidFill>
                <a:schemeClr val="accent3"/>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'20-40_Tabele'!$B$39:$AZ$39</c:f>
              <c:numCache>
                <c:formatCode>000,000</c:formatCode>
                <c:ptCount val="51"/>
                <c:pt idx="0">
                  <c:v>-0.15864585303276227</c:v>
                </c:pt>
                <c:pt idx="1">
                  <c:v>-0.18668873288268661</c:v>
                </c:pt>
                <c:pt idx="2">
                  <c:v>-0.21243351510090758</c:v>
                </c:pt>
                <c:pt idx="3">
                  <c:v>-0.2357355239093607</c:v>
                </c:pt>
                <c:pt idx="4">
                  <c:v>-0.25778586614025273</c:v>
                </c:pt>
                <c:pt idx="5">
                  <c:v>-0.27808932106991185</c:v>
                </c:pt>
                <c:pt idx="6">
                  <c:v>-0.29363557717109984</c:v>
                </c:pt>
                <c:pt idx="7">
                  <c:v>-0.30241601946034546</c:v>
                </c:pt>
                <c:pt idx="8">
                  <c:v>-0.30441154303692225</c:v>
                </c:pt>
                <c:pt idx="9">
                  <c:v>-0.30607921922988041</c:v>
                </c:pt>
                <c:pt idx="10">
                  <c:v>-0.30772376945498559</c:v>
                </c:pt>
                <c:pt idx="11">
                  <c:v>-0.30928723456269802</c:v>
                </c:pt>
                <c:pt idx="12">
                  <c:v>-0.31079914231712136</c:v>
                </c:pt>
                <c:pt idx="13">
                  <c:v>-0.3122605148880685</c:v>
                </c:pt>
                <c:pt idx="14">
                  <c:v>-0.31372239360754034</c:v>
                </c:pt>
                <c:pt idx="15">
                  <c:v>-0.31525917980968654</c:v>
                </c:pt>
                <c:pt idx="16">
                  <c:v>-0.31686421187186592</c:v>
                </c:pt>
                <c:pt idx="17">
                  <c:v>-0.31855776121518015</c:v>
                </c:pt>
                <c:pt idx="18">
                  <c:v>-0.32035264242445277</c:v>
                </c:pt>
                <c:pt idx="19">
                  <c:v>-0.3222400390635724</c:v>
                </c:pt>
                <c:pt idx="20">
                  <c:v>-0.32421633859593113</c:v>
                </c:pt>
                <c:pt idx="21">
                  <c:v>-0.32624822438285428</c:v>
                </c:pt>
                <c:pt idx="22">
                  <c:v>-0.32830918537192566</c:v>
                </c:pt>
                <c:pt idx="23">
                  <c:v>-0.33038369725435501</c:v>
                </c:pt>
                <c:pt idx="24">
                  <c:v>-0.33241663401636123</c:v>
                </c:pt>
                <c:pt idx="25">
                  <c:v>-0.33440931723624956</c:v>
                </c:pt>
                <c:pt idx="26">
                  <c:v>-0.33637291472789554</c:v>
                </c:pt>
                <c:pt idx="27">
                  <c:v>-0.33825771801043347</c:v>
                </c:pt>
                <c:pt idx="28">
                  <c:v>-0.3400920047285011</c:v>
                </c:pt>
                <c:pt idx="29">
                  <c:v>-0.34187296828308833</c:v>
                </c:pt>
                <c:pt idx="30">
                  <c:v>-0.34356295353911426</c:v>
                </c:pt>
                <c:pt idx="31">
                  <c:v>-0.34515046169231345</c:v>
                </c:pt>
                <c:pt idx="32">
                  <c:v>-0.34658648631019628</c:v>
                </c:pt>
                <c:pt idx="33">
                  <c:v>-0.34782282260981706</c:v>
                </c:pt>
                <c:pt idx="34">
                  <c:v>-0.34886341876469623</c:v>
                </c:pt>
                <c:pt idx="35">
                  <c:v>-0.34973393937301983</c:v>
                </c:pt>
                <c:pt idx="36">
                  <c:v>-0.35043725926511926</c:v>
                </c:pt>
                <c:pt idx="37">
                  <c:v>-0.35097490055698222</c:v>
                </c:pt>
                <c:pt idx="38">
                  <c:v>-0.35136078773222013</c:v>
                </c:pt>
                <c:pt idx="39">
                  <c:v>-0.35161664430720474</c:v>
                </c:pt>
                <c:pt idx="40">
                  <c:v>-0.35175222115888816</c:v>
                </c:pt>
                <c:pt idx="41">
                  <c:v>-0.35177813809763669</c:v>
                </c:pt>
                <c:pt idx="42">
                  <c:v>-0.3517224056513239</c:v>
                </c:pt>
                <c:pt idx="43">
                  <c:v>-0.35160014726026634</c:v>
                </c:pt>
                <c:pt idx="44">
                  <c:v>-0.35143639207975413</c:v>
                </c:pt>
                <c:pt idx="45">
                  <c:v>-0.35126632738659497</c:v>
                </c:pt>
                <c:pt idx="46">
                  <c:v>-0.35111128179665713</c:v>
                </c:pt>
                <c:pt idx="47">
                  <c:v>-0.35100138016411986</c:v>
                </c:pt>
                <c:pt idx="48">
                  <c:v>-0.35099400641151629</c:v>
                </c:pt>
                <c:pt idx="49">
                  <c:v>-0.35112820636071401</c:v>
                </c:pt>
                <c:pt idx="50">
                  <c:v>-0.35142445099668251</c:v>
                </c:pt>
              </c:numCache>
            </c:numRef>
          </c:val>
          <c:smooth val="0"/>
          <c:extLst>
            <c:ext xmlns:c16="http://schemas.microsoft.com/office/drawing/2014/chart" uri="{C3380CC4-5D6E-409C-BE32-E72D297353CC}">
              <c16:uniqueId val="{00000002-B811-413D-9B43-1B0269C1C017}"/>
            </c:ext>
          </c:extLst>
        </c:ser>
        <c:ser>
          <c:idx val="3"/>
          <c:order val="3"/>
          <c:tx>
            <c:strRef>
              <c:f>'20-40_Tabele'!$A$40</c:f>
              <c:strCache>
                <c:ptCount val="1"/>
                <c:pt idx="0">
                  <c:v>Višje pokojnine zaradi višjih odmernih odstotkov </c:v>
                </c:pt>
              </c:strCache>
            </c:strRef>
          </c:tx>
          <c:spPr>
            <a:ln w="28575" cap="rnd">
              <a:solidFill>
                <a:schemeClr val="accent4"/>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'20-40_Tabele'!$B$40:$AZ$40</c:f>
              <c:numCache>
                <c:formatCode>000,000</c:formatCode>
                <c:ptCount val="51"/>
                <c:pt idx="0">
                  <c:v>-3.8056976379412071E-3</c:v>
                </c:pt>
                <c:pt idx="1">
                  <c:v>-2.1537709796045107E-2</c:v>
                </c:pt>
                <c:pt idx="2">
                  <c:v>-4.0370305303351076E-2</c:v>
                </c:pt>
                <c:pt idx="3">
                  <c:v>-6.2643302661905112E-2</c:v>
                </c:pt>
                <c:pt idx="4">
                  <c:v>-8.7286704093602549E-2</c:v>
                </c:pt>
                <c:pt idx="5">
                  <c:v>-0.11434117975974974</c:v>
                </c:pt>
                <c:pt idx="6">
                  <c:v>-0.14395661482451513</c:v>
                </c:pt>
                <c:pt idx="7">
                  <c:v>-0.17648491630465696</c:v>
                </c:pt>
                <c:pt idx="8">
                  <c:v>-0.21147976065693874</c:v>
                </c:pt>
                <c:pt idx="9">
                  <c:v>-0.2463823684114228</c:v>
                </c:pt>
                <c:pt idx="10">
                  <c:v>-0.2811493622882128</c:v>
                </c:pt>
                <c:pt idx="11">
                  <c:v>-0.31551295565857962</c:v>
                </c:pt>
                <c:pt idx="12">
                  <c:v>-0.34945712859909955</c:v>
                </c:pt>
                <c:pt idx="13">
                  <c:v>-0.38294809310563549</c:v>
                </c:pt>
                <c:pt idx="14">
                  <c:v>-0.41598777207129689</c:v>
                </c:pt>
                <c:pt idx="15">
                  <c:v>-0.44864884104890806</c:v>
                </c:pt>
                <c:pt idx="16">
                  <c:v>-0.48090485747960454</c:v>
                </c:pt>
                <c:pt idx="17">
                  <c:v>-0.51275758725306597</c:v>
                </c:pt>
                <c:pt idx="18">
                  <c:v>-0.54419799637395827</c:v>
                </c:pt>
                <c:pt idx="19">
                  <c:v>-0.57517299646843212</c:v>
                </c:pt>
                <c:pt idx="20">
                  <c:v>-0.60562383078907489</c:v>
                </c:pt>
                <c:pt idx="21">
                  <c:v>-0.63542779525226656</c:v>
                </c:pt>
                <c:pt idx="22">
                  <c:v>-0.66446214642167623</c:v>
                </c:pt>
                <c:pt idx="23">
                  <c:v>-0.69261539602721245</c:v>
                </c:pt>
                <c:pt idx="24">
                  <c:v>-0.71968875485119443</c:v>
                </c:pt>
                <c:pt idx="25">
                  <c:v>-0.74559846162900578</c:v>
                </c:pt>
                <c:pt idx="26">
                  <c:v>-0.77027656974144743</c:v>
                </c:pt>
                <c:pt idx="27">
                  <c:v>-0.79354487838812982</c:v>
                </c:pt>
                <c:pt idx="28">
                  <c:v>-0.81541738849675705</c:v>
                </c:pt>
                <c:pt idx="29">
                  <c:v>-0.83585786358379122</c:v>
                </c:pt>
                <c:pt idx="30">
                  <c:v>-0.85476428480569144</c:v>
                </c:pt>
                <c:pt idx="31">
                  <c:v>-0.87211769412508577</c:v>
                </c:pt>
                <c:pt idx="32">
                  <c:v>-0.88782656605033827</c:v>
                </c:pt>
                <c:pt idx="33">
                  <c:v>-0.90182135552963949</c:v>
                </c:pt>
                <c:pt idx="34">
                  <c:v>-0.91418394666264946</c:v>
                </c:pt>
                <c:pt idx="35">
                  <c:v>-0.9250739589024124</c:v>
                </c:pt>
                <c:pt idx="36">
                  <c:v>-0.93460991184186415</c:v>
                </c:pt>
                <c:pt idx="37">
                  <c:v>-0.94291508594110796</c:v>
                </c:pt>
                <c:pt idx="38">
                  <c:v>-0.95104135857676142</c:v>
                </c:pt>
                <c:pt idx="39">
                  <c:v>-0.95733607611833826</c:v>
                </c:pt>
                <c:pt idx="40">
                  <c:v>-0.96303698384023073</c:v>
                </c:pt>
                <c:pt idx="41">
                  <c:v>-0.96813065671667409</c:v>
                </c:pt>
                <c:pt idx="42">
                  <c:v>-0.97275115802478385</c:v>
                </c:pt>
                <c:pt idx="43">
                  <c:v>-0.97704101502996876</c:v>
                </c:pt>
                <c:pt idx="44">
                  <c:v>-0.9811092796458516</c:v>
                </c:pt>
                <c:pt idx="45">
                  <c:v>-0.98508884781108008</c:v>
                </c:pt>
                <c:pt idx="46">
                  <c:v>-0.98887159743700004</c:v>
                </c:pt>
                <c:pt idx="47">
                  <c:v>-0.99277265720255659</c:v>
                </c:pt>
                <c:pt idx="48">
                  <c:v>-0.99687540623360893</c:v>
                </c:pt>
                <c:pt idx="49">
                  <c:v>-1.0011872764724647</c:v>
                </c:pt>
                <c:pt idx="50">
                  <c:v>-1.0045830835836385</c:v>
                </c:pt>
              </c:numCache>
            </c:numRef>
          </c:val>
          <c:smooth val="0"/>
          <c:extLst>
            <c:ext xmlns:c16="http://schemas.microsoft.com/office/drawing/2014/chart" uri="{C3380CC4-5D6E-409C-BE32-E72D297353CC}">
              <c16:uniqueId val="{00000003-B811-413D-9B43-1B0269C1C017}"/>
            </c:ext>
          </c:extLst>
        </c:ser>
        <c:ser>
          <c:idx val="4"/>
          <c:order val="4"/>
          <c:tx>
            <c:strRef>
              <c:f>'20-40_Tabele'!$A$42</c:f>
              <c:strCache>
                <c:ptCount val="1"/>
                <c:pt idx="0">
                  <c:v>Učinek za pokojninsko blagajno, skupaj</c:v>
                </c:pt>
              </c:strCache>
            </c:strRef>
          </c:tx>
          <c:spPr>
            <a:ln w="28575" cap="rnd">
              <a:solidFill>
                <a:srgbClr val="00FF00"/>
              </a:solidFill>
              <a:round/>
            </a:ln>
            <a:effectLst/>
          </c:spPr>
          <c:marker>
            <c:symbol val="none"/>
          </c:marker>
          <c:cat>
            <c:numRef>
              <c:f>'20-40_Tabele'!$B$1:$AZ$1</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'20-40_Tabele'!$B$42:$AZ$42</c:f>
              <c:numCache>
                <c:formatCode>000,000_ ;[Red]\-000,000\ </c:formatCode>
                <c:ptCount val="51"/>
                <c:pt idx="0">
                  <c:v>0.48187000002632463</c:v>
                </c:pt>
                <c:pt idx="1">
                  <c:v>0.54998798000646176</c:v>
                </c:pt>
                <c:pt idx="2">
                  <c:v>0.6099700199026219</c:v>
                </c:pt>
                <c:pt idx="3">
                  <c:v>0.66222419298879831</c:v>
                </c:pt>
                <c:pt idx="4">
                  <c:v>0.70970080359481447</c:v>
                </c:pt>
                <c:pt idx="5">
                  <c:v>0.75145982471595674</c:v>
                </c:pt>
                <c:pt idx="6">
                  <c:v>0.77024597550303109</c:v>
                </c:pt>
                <c:pt idx="7">
                  <c:v>0.76505463081260605</c:v>
                </c:pt>
                <c:pt idx="8">
                  <c:v>0.73627263314716518</c:v>
                </c:pt>
                <c:pt idx="9">
                  <c:v>0.70656215473244965</c:v>
                </c:pt>
                <c:pt idx="10">
                  <c:v>0.6769152899973645</c:v>
                </c:pt>
                <c:pt idx="11">
                  <c:v>0.64741937603126964</c:v>
                </c:pt>
                <c:pt idx="12">
                  <c:v>0.61818236425543649</c:v>
                </c:pt>
                <c:pt idx="13">
                  <c:v>0.58924122508908761</c:v>
                </c:pt>
                <c:pt idx="14">
                  <c:v>0.56075294730226632</c:v>
                </c:pt>
                <c:pt idx="15">
                  <c:v>0.53287649584381547</c:v>
                </c:pt>
                <c:pt idx="16">
                  <c:v>0.50561757303147203</c:v>
                </c:pt>
                <c:pt idx="17">
                  <c:v>0.47903752585124804</c:v>
                </c:pt>
                <c:pt idx="18">
                  <c:v>0.45318528512144729</c:v>
                </c:pt>
                <c:pt idx="19">
                  <c:v>0.428086490196258</c:v>
                </c:pt>
                <c:pt idx="20">
                  <c:v>0.4037886505813375</c:v>
                </c:pt>
                <c:pt idx="21">
                  <c:v>0.38031074261153974</c:v>
                </c:pt>
                <c:pt idx="22">
                  <c:v>0.35769297043070181</c:v>
                </c:pt>
                <c:pt idx="23">
                  <c:v>0.33599848905363894</c:v>
                </c:pt>
                <c:pt idx="24">
                  <c:v>0.31525445882022929</c:v>
                </c:pt>
                <c:pt idx="25">
                  <c:v>0.29554875558611182</c:v>
                </c:pt>
                <c:pt idx="26">
                  <c:v>0.27698409575033223</c:v>
                </c:pt>
                <c:pt idx="27">
                  <c:v>0.25958391813788695</c:v>
                </c:pt>
                <c:pt idx="28">
                  <c:v>0.24342226120725829</c:v>
                </c:pt>
                <c:pt idx="29">
                  <c:v>0.22852662339971319</c:v>
                </c:pt>
                <c:pt idx="30">
                  <c:v>0.21488178837100791</c:v>
                </c:pt>
                <c:pt idx="31">
                  <c:v>0.20247091387590999</c:v>
                </c:pt>
                <c:pt idx="32">
                  <c:v>0.19123294918230371</c:v>
                </c:pt>
                <c:pt idx="33">
                  <c:v>0.1810873589673363</c:v>
                </c:pt>
                <c:pt idx="34">
                  <c:v>0.17196455134230715</c:v>
                </c:pt>
                <c:pt idx="35">
                  <c:v>0.16378481080303109</c:v>
                </c:pt>
                <c:pt idx="36">
                  <c:v>0.15643856822967539</c:v>
                </c:pt>
                <c:pt idx="37">
                  <c:v>0.1498072821055314</c:v>
                </c:pt>
                <c:pt idx="38">
                  <c:v>0.14288242742670443</c:v>
                </c:pt>
                <c:pt idx="39">
                  <c:v>0.13738429164084254</c:v>
                </c:pt>
                <c:pt idx="40">
                  <c:v>0.13210548777363806</c:v>
                </c:pt>
                <c:pt idx="41">
                  <c:v>0.12709250448108511</c:v>
                </c:pt>
                <c:pt idx="42">
                  <c:v>0.12229848623311601</c:v>
                </c:pt>
                <c:pt idx="43">
                  <c:v>0.11762799095898968</c:v>
                </c:pt>
                <c:pt idx="44">
                  <c:v>0.11304989231125639</c:v>
                </c:pt>
                <c:pt idx="45">
                  <c:v>0.10854084612940862</c:v>
                </c:pt>
                <c:pt idx="46">
                  <c:v>0.10427537883928184</c:v>
                </c:pt>
                <c:pt idx="47">
                  <c:v>0.10003215223510575</c:v>
                </c:pt>
                <c:pt idx="48">
                  <c:v>9.5906445823359165E-2</c:v>
                </c:pt>
                <c:pt idx="49">
                  <c:v>9.2012392602319748E-2</c:v>
                </c:pt>
                <c:pt idx="50">
                  <c:v>8.953891110366996E-2</c:v>
                </c:pt>
              </c:numCache>
            </c:numRef>
          </c:val>
          <c:smooth val="0"/>
          <c:extLst>
            <c:ext xmlns:c16="http://schemas.microsoft.com/office/drawing/2014/chart" uri="{C3380CC4-5D6E-409C-BE32-E72D297353CC}">
              <c16:uniqueId val="{00000004-B811-413D-9B43-1B0269C1C017}"/>
            </c:ext>
          </c:extLst>
        </c:ser>
        <c:dLbls>
          <c:showLegendKey val="0"/>
          <c:showVal val="0"/>
          <c:showCatName val="0"/>
          <c:showSerName val="0"/>
          <c:showPercent val="0"/>
          <c:showBubbleSize val="0"/>
        </c:dLbls>
        <c:smooth val="0"/>
        <c:axId val="2093822896"/>
        <c:axId val="296404991"/>
      </c:lineChart>
      <c:catAx>
        <c:axId val="20938228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96404991"/>
        <c:crossesAt val="0"/>
        <c:auto val="1"/>
        <c:lblAlgn val="ctr"/>
        <c:lblOffset val="100"/>
        <c:tickLblSkip val="5"/>
        <c:noMultiLvlLbl val="0"/>
      </c:catAx>
      <c:valAx>
        <c:axId val="296404991"/>
        <c:scaling>
          <c:orientation val="minMax"/>
          <c:max val="1"/>
          <c:min val="-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 BDP</a:t>
                </a:r>
              </a:p>
            </c:rich>
          </c:tx>
          <c:overlay val="0"/>
          <c:spPr>
            <a:noFill/>
            <a:ln>
              <a:noFill/>
            </a:ln>
            <a:effectLst/>
          </c:spPr>
        </c:title>
        <c:numFmt formatCode="0.0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crossAx val="2093822896"/>
        <c:crosses val="autoZero"/>
        <c:crossBetween val="between"/>
      </c:valAx>
    </c:plotArea>
    <c:legend>
      <c:legendPos val="b"/>
      <c:layout>
        <c:manualLayout>
          <c:xMode val="edge"/>
          <c:yMode val="edge"/>
          <c:x val="0.12432830271216098"/>
          <c:y val="0.76252086799009278"/>
          <c:w val="0.75922550306211711"/>
          <c:h val="0.21869978928690251"/>
        </c:manualLayout>
      </c:layout>
      <c:overlay val="0"/>
      <c:spPr>
        <a:noFill/>
        <a:ln>
          <a:solidFill>
            <a:schemeClr val="tx1"/>
          </a:solid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l-SI"/>
        </a:p>
      </c:txPr>
    </c:legend>
    <c:plotVisOnly val="1"/>
    <c:dispBlanksAs val="gap"/>
    <c:showDLblsOverMax val="0"/>
    <c:extLst/>
  </c:chart>
  <c:txPr>
    <a:bodyPr/>
    <a:lstStyle/>
    <a:p>
      <a:pPr>
        <a:defRPr/>
      </a:pPr>
      <a:endParaRPr lang="sl-SI"/>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l-SI"/>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0009005064423859"/>
          <c:y val="5.1400554097404488E-2"/>
          <c:w val="0.86003718285214348"/>
          <c:h val="0.80947142023913676"/>
        </c:manualLayout>
      </c:layout>
      <c:lineChart>
        <c:grouping val="standard"/>
        <c:varyColors val="0"/>
        <c:ser>
          <c:idx val="0"/>
          <c:order val="0"/>
          <c:tx>
            <c:strRef>
              <c:f>Sheet1!$X$2</c:f>
              <c:strCache>
                <c:ptCount val="1"/>
                <c:pt idx="0">
                  <c:v>"2018 Ageing report"</c:v>
                </c:pt>
              </c:strCache>
            </c:strRef>
          </c:tx>
          <c:spPr>
            <a:ln>
              <a:prstDash val="sysDash"/>
            </a:ln>
          </c:spPr>
          <c:marker>
            <c:symbol val="none"/>
          </c:marker>
          <c:cat>
            <c:numRef>
              <c:f>Sheet1!$W$13:$W$63</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Sheet1!$X$13:$X$63</c:f>
              <c:numCache>
                <c:formatCode>General</c:formatCode>
                <c:ptCount val="51"/>
                <c:pt idx="0">
                  <c:v>10.066396279247442</c:v>
                </c:pt>
                <c:pt idx="1">
                  <c:v>10.013093444212886</c:v>
                </c:pt>
                <c:pt idx="2">
                  <c:v>10.036699797611645</c:v>
                </c:pt>
                <c:pt idx="3">
                  <c:v>10.201649238246189</c:v>
                </c:pt>
                <c:pt idx="4">
                  <c:v>10.300822427469528</c:v>
                </c:pt>
                <c:pt idx="5">
                  <c:v>10.441461440731633</c:v>
                </c:pt>
                <c:pt idx="6">
                  <c:v>10.576164607480946</c:v>
                </c:pt>
                <c:pt idx="7">
                  <c:v>10.742756592783138</c:v>
                </c:pt>
                <c:pt idx="8">
                  <c:v>11.019707985010784</c:v>
                </c:pt>
                <c:pt idx="9">
                  <c:v>11.256055230998228</c:v>
                </c:pt>
                <c:pt idx="10">
                  <c:v>11.488946212105779</c:v>
                </c:pt>
                <c:pt idx="11">
                  <c:v>11.709008325477715</c:v>
                </c:pt>
                <c:pt idx="12">
                  <c:v>11.92770207911636</c:v>
                </c:pt>
                <c:pt idx="13">
                  <c:v>12.206982206078603</c:v>
                </c:pt>
                <c:pt idx="14">
                  <c:v>12.442724294706967</c:v>
                </c:pt>
                <c:pt idx="15">
                  <c:v>12.660128665096979</c:v>
                </c:pt>
                <c:pt idx="16">
                  <c:v>12.884434447705479</c:v>
                </c:pt>
                <c:pt idx="17">
                  <c:v>13.115191120271879</c:v>
                </c:pt>
                <c:pt idx="18">
                  <c:v>13.378075621791051</c:v>
                </c:pt>
                <c:pt idx="19">
                  <c:v>13.62704335241034</c:v>
                </c:pt>
                <c:pt idx="20">
                  <c:v>13.858600413480696</c:v>
                </c:pt>
                <c:pt idx="21">
                  <c:v>14.061771634150954</c:v>
                </c:pt>
                <c:pt idx="22">
                  <c:v>14.280460498123984</c:v>
                </c:pt>
                <c:pt idx="23">
                  <c:v>14.501124899289794</c:v>
                </c:pt>
                <c:pt idx="24">
                  <c:v>14.702766534621267</c:v>
                </c:pt>
                <c:pt idx="25">
                  <c:v>14.871325578415604</c:v>
                </c:pt>
                <c:pt idx="26">
                  <c:v>15.008927319036669</c:v>
                </c:pt>
                <c:pt idx="27">
                  <c:v>15.138457832269767</c:v>
                </c:pt>
                <c:pt idx="28">
                  <c:v>15.266826715365166</c:v>
                </c:pt>
                <c:pt idx="29">
                  <c:v>15.367593422825298</c:v>
                </c:pt>
                <c:pt idx="30">
                  <c:v>15.44546570237914</c:v>
                </c:pt>
                <c:pt idx="31">
                  <c:v>15.484128762303303</c:v>
                </c:pt>
                <c:pt idx="32">
                  <c:v>15.512342098259996</c:v>
                </c:pt>
                <c:pt idx="33">
                  <c:v>15.521153659352569</c:v>
                </c:pt>
                <c:pt idx="34">
                  <c:v>15.509932818935967</c:v>
                </c:pt>
                <c:pt idx="35">
                  <c:v>15.471115212798175</c:v>
                </c:pt>
                <c:pt idx="36">
                  <c:v>15.431280077777531</c:v>
                </c:pt>
                <c:pt idx="37">
                  <c:v>15.381715759656455</c:v>
                </c:pt>
                <c:pt idx="38">
                  <c:v>15.312293374212175</c:v>
                </c:pt>
                <c:pt idx="39">
                  <c:v>15.232591769640322</c:v>
                </c:pt>
                <c:pt idx="40">
                  <c:v>15.153099549731177</c:v>
                </c:pt>
                <c:pt idx="41">
                  <c:v>15.057165539498612</c:v>
                </c:pt>
                <c:pt idx="42">
                  <c:v>15.009727045572458</c:v>
                </c:pt>
                <c:pt idx="43">
                  <c:v>14.948123485276549</c:v>
                </c:pt>
                <c:pt idx="44">
                  <c:v>14.878364157956028</c:v>
                </c:pt>
                <c:pt idx="45">
                  <c:v>14.855023926465899</c:v>
                </c:pt>
                <c:pt idx="46">
                  <c:v>14.826075119559423</c:v>
                </c:pt>
                <c:pt idx="47">
                  <c:v>14.802000573321111</c:v>
                </c:pt>
                <c:pt idx="48">
                  <c:v>14.768004374997428</c:v>
                </c:pt>
                <c:pt idx="49">
                  <c:v>14.74250527212908</c:v>
                </c:pt>
                <c:pt idx="50">
                  <c:v>14.815311865803915</c:v>
                </c:pt>
              </c:numCache>
            </c:numRef>
          </c:val>
          <c:smooth val="0"/>
          <c:extLst>
            <c:ext xmlns:c16="http://schemas.microsoft.com/office/drawing/2014/chart" uri="{C3380CC4-5D6E-409C-BE32-E72D297353CC}">
              <c16:uniqueId val="{00000000-B21E-4D01-B091-A14081D046AE}"/>
            </c:ext>
          </c:extLst>
        </c:ser>
        <c:ser>
          <c:idx val="1"/>
          <c:order val="1"/>
          <c:tx>
            <c:strRef>
              <c:f>Sheet1!$Y$2</c:f>
              <c:strCache>
                <c:ptCount val="1"/>
                <c:pt idx="0">
                  <c:v>Odmerni odstotek na 63,5</c:v>
                </c:pt>
              </c:strCache>
            </c:strRef>
          </c:tx>
          <c:spPr>
            <a:ln>
              <a:prstDash val="sysDot"/>
            </a:ln>
          </c:spPr>
          <c:marker>
            <c:symbol val="none"/>
          </c:marker>
          <c:cat>
            <c:numRef>
              <c:f>Sheet1!$W$13:$W$63</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Sheet1!$Y$13:$Y$63</c:f>
              <c:numCache>
                <c:formatCode>General</c:formatCode>
                <c:ptCount val="51"/>
                <c:pt idx="0">
                  <c:v>10.10842195860185</c:v>
                </c:pt>
                <c:pt idx="1">
                  <c:v>10.073909918033563</c:v>
                </c:pt>
                <c:pt idx="2">
                  <c:v>10.11723711657179</c:v>
                </c:pt>
                <c:pt idx="3">
                  <c:v>10.312213983496145</c:v>
                </c:pt>
                <c:pt idx="4">
                  <c:v>10.437198506566629</c:v>
                </c:pt>
                <c:pt idx="5">
                  <c:v>10.605606752982508</c:v>
                </c:pt>
                <c:pt idx="6">
                  <c:v>10.753135108784797</c:v>
                </c:pt>
                <c:pt idx="7">
                  <c:v>10.935052386908712</c:v>
                </c:pt>
                <c:pt idx="8">
                  <c:v>11.232133881750279</c:v>
                </c:pt>
                <c:pt idx="9">
                  <c:v>11.490873092290029</c:v>
                </c:pt>
                <c:pt idx="10">
                  <c:v>11.752248396411925</c:v>
                </c:pt>
                <c:pt idx="11">
                  <c:v>12.001816289756496</c:v>
                </c:pt>
                <c:pt idx="12">
                  <c:v>12.253271525379333</c:v>
                </c:pt>
                <c:pt idx="13">
                  <c:v>12.570082721979755</c:v>
                </c:pt>
                <c:pt idx="14">
                  <c:v>12.843740750734757</c:v>
                </c:pt>
                <c:pt idx="15">
                  <c:v>13.141137738041374</c:v>
                </c:pt>
                <c:pt idx="16">
                  <c:v>13.448525136535965</c:v>
                </c:pt>
                <c:pt idx="17">
                  <c:v>13.744735649800306</c:v>
                </c:pt>
                <c:pt idx="18">
                  <c:v>14.099104504537502</c:v>
                </c:pt>
                <c:pt idx="19">
                  <c:v>14.446092538019002</c:v>
                </c:pt>
                <c:pt idx="20">
                  <c:v>14.745651033143195</c:v>
                </c:pt>
                <c:pt idx="21">
                  <c:v>15.01594134305002</c:v>
                </c:pt>
                <c:pt idx="22">
                  <c:v>15.291058039413818</c:v>
                </c:pt>
                <c:pt idx="23">
                  <c:v>15.552303632333174</c:v>
                </c:pt>
                <c:pt idx="24">
                  <c:v>15.794516343992276</c:v>
                </c:pt>
                <c:pt idx="25">
                  <c:v>15.999752414502739</c:v>
                </c:pt>
                <c:pt idx="26">
                  <c:v>16.170344091105118</c:v>
                </c:pt>
                <c:pt idx="27">
                  <c:v>16.331760707089607</c:v>
                </c:pt>
                <c:pt idx="28">
                  <c:v>16.491082531067015</c:v>
                </c:pt>
                <c:pt idx="29">
                  <c:v>16.619485908642051</c:v>
                </c:pt>
                <c:pt idx="30">
                  <c:v>16.721304918978337</c:v>
                </c:pt>
                <c:pt idx="31">
                  <c:v>16.779284505826716</c:v>
                </c:pt>
                <c:pt idx="32">
                  <c:v>16.842254019829767</c:v>
                </c:pt>
                <c:pt idx="33">
                  <c:v>16.867876641807772</c:v>
                </c:pt>
                <c:pt idx="34">
                  <c:v>16.870271679020743</c:v>
                </c:pt>
                <c:pt idx="35">
                  <c:v>16.844406083489034</c:v>
                </c:pt>
                <c:pt idx="36">
                  <c:v>16.810658801064555</c:v>
                </c:pt>
                <c:pt idx="37">
                  <c:v>16.76539245769743</c:v>
                </c:pt>
                <c:pt idx="38">
                  <c:v>16.690145639782283</c:v>
                </c:pt>
                <c:pt idx="39">
                  <c:v>16.603664077785425</c:v>
                </c:pt>
                <c:pt idx="40">
                  <c:v>16.517354901535757</c:v>
                </c:pt>
                <c:pt idx="41">
                  <c:v>16.413054575284555</c:v>
                </c:pt>
                <c:pt idx="42">
                  <c:v>16.361522793721058</c:v>
                </c:pt>
                <c:pt idx="43">
                  <c:v>16.294515397087363</c:v>
                </c:pt>
                <c:pt idx="44">
                  <c:v>16.218639446800413</c:v>
                </c:pt>
                <c:pt idx="45">
                  <c:v>16.193253379729409</c:v>
                </c:pt>
                <c:pt idx="46">
                  <c:v>16.161680819403497</c:v>
                </c:pt>
                <c:pt idx="47">
                  <c:v>16.13535568585797</c:v>
                </c:pt>
                <c:pt idx="48">
                  <c:v>16.098105631651556</c:v>
                </c:pt>
                <c:pt idx="49">
                  <c:v>16.070039804353545</c:v>
                </c:pt>
                <c:pt idx="50">
                  <c:v>16.149098981695293</c:v>
                </c:pt>
              </c:numCache>
            </c:numRef>
          </c:val>
          <c:smooth val="0"/>
          <c:extLst>
            <c:ext xmlns:c16="http://schemas.microsoft.com/office/drawing/2014/chart" uri="{C3380CC4-5D6E-409C-BE32-E72D297353CC}">
              <c16:uniqueId val="{00000001-B21E-4D01-B091-A14081D046AE}"/>
            </c:ext>
          </c:extLst>
        </c:ser>
        <c:ser>
          <c:idx val="2"/>
          <c:order val="2"/>
          <c:tx>
            <c:strRef>
              <c:f>Sheet1!$D$2</c:f>
              <c:strCache>
                <c:ptCount val="1"/>
                <c:pt idx="0">
                  <c:v>Za vsakega otroka dodatnih 1,36 odm. %</c:v>
                </c:pt>
              </c:strCache>
            </c:strRef>
          </c:tx>
          <c:spPr>
            <a:ln w="19050">
              <a:solidFill>
                <a:srgbClr val="C00000"/>
              </a:solidFill>
              <a:prstDash val="lgDash"/>
            </a:ln>
          </c:spPr>
          <c:marker>
            <c:symbol val="none"/>
          </c:marker>
          <c:cat>
            <c:numRef>
              <c:f>Sheet1!$W$13:$W$63</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Sheet1!$Z$13:$Z$63</c:f>
              <c:numCache>
                <c:formatCode>General</c:formatCode>
                <c:ptCount val="51"/>
                <c:pt idx="0">
                  <c:v>10.121394843964746</c:v>
                </c:pt>
                <c:pt idx="1">
                  <c:v>10.087447991545421</c:v>
                </c:pt>
                <c:pt idx="2">
                  <c:v>10.13212249472441</c:v>
                </c:pt>
                <c:pt idx="3">
                  <c:v>10.332009466160679</c:v>
                </c:pt>
                <c:pt idx="4">
                  <c:v>10.462500829999412</c:v>
                </c:pt>
                <c:pt idx="5">
                  <c:v>10.637175055876801</c:v>
                </c:pt>
                <c:pt idx="6">
                  <c:v>10.790767203809509</c:v>
                </c:pt>
                <c:pt idx="7">
                  <c:v>10.979717134135429</c:v>
                </c:pt>
                <c:pt idx="8">
                  <c:v>11.283701625269179</c:v>
                </c:pt>
                <c:pt idx="9">
                  <c:v>11.549395664939995</c:v>
                </c:pt>
                <c:pt idx="10">
                  <c:v>11.817686511069278</c:v>
                </c:pt>
                <c:pt idx="11">
                  <c:v>12.073504240415717</c:v>
                </c:pt>
                <c:pt idx="12">
                  <c:v>12.331482014918318</c:v>
                </c:pt>
                <c:pt idx="13">
                  <c:v>12.655091848960105</c:v>
                </c:pt>
                <c:pt idx="14">
                  <c:v>12.935315741741523</c:v>
                </c:pt>
                <c:pt idx="15">
                  <c:v>13.291523373546113</c:v>
                </c:pt>
                <c:pt idx="16">
                  <c:v>13.605366370609573</c:v>
                </c:pt>
                <c:pt idx="17">
                  <c:v>13.909137075603004</c:v>
                </c:pt>
                <c:pt idx="18">
                  <c:v>14.270311811834109</c:v>
                </c:pt>
                <c:pt idx="19">
                  <c:v>14.659906937125326</c:v>
                </c:pt>
                <c:pt idx="20">
                  <c:v>14.966114391959794</c:v>
                </c:pt>
                <c:pt idx="21">
                  <c:v>15.241923148982751</c:v>
                </c:pt>
                <c:pt idx="22">
                  <c:v>15.522570927299391</c:v>
                </c:pt>
                <c:pt idx="23">
                  <c:v>15.787993789534495</c:v>
                </c:pt>
                <c:pt idx="24">
                  <c:v>16.035369296584971</c:v>
                </c:pt>
                <c:pt idx="25">
                  <c:v>16.244246774589499</c:v>
                </c:pt>
                <c:pt idx="26">
                  <c:v>16.418022150860441</c:v>
                </c:pt>
                <c:pt idx="27">
                  <c:v>16.58285086970545</c:v>
                </c:pt>
                <c:pt idx="28">
                  <c:v>16.74522196570053</c:v>
                </c:pt>
                <c:pt idx="29">
                  <c:v>16.876423092245624</c:v>
                </c:pt>
                <c:pt idx="30">
                  <c:v>16.979590184658903</c:v>
                </c:pt>
                <c:pt idx="31">
                  <c:v>17.040455324003005</c:v>
                </c:pt>
                <c:pt idx="32">
                  <c:v>17.11245688119844</c:v>
                </c:pt>
                <c:pt idx="33">
                  <c:v>17.137812006067591</c:v>
                </c:pt>
                <c:pt idx="34">
                  <c:v>17.137823405916421</c:v>
                </c:pt>
                <c:pt idx="35">
                  <c:v>17.11065141671406</c:v>
                </c:pt>
                <c:pt idx="36">
                  <c:v>17.074824018790672</c:v>
                </c:pt>
                <c:pt idx="37">
                  <c:v>17.028377143836746</c:v>
                </c:pt>
                <c:pt idx="38">
                  <c:v>16.951298735640414</c:v>
                </c:pt>
                <c:pt idx="39">
                  <c:v>16.8624265941096</c:v>
                </c:pt>
                <c:pt idx="40">
                  <c:v>16.774055136862714</c:v>
                </c:pt>
                <c:pt idx="41">
                  <c:v>16.668133853838896</c:v>
                </c:pt>
                <c:pt idx="42">
                  <c:v>16.615801204307552</c:v>
                </c:pt>
                <c:pt idx="43">
                  <c:v>16.547752429403118</c:v>
                </c:pt>
                <c:pt idx="44">
                  <c:v>16.470697272493172</c:v>
                </c:pt>
                <c:pt idx="45">
                  <c:v>16.44491667437104</c:v>
                </c:pt>
                <c:pt idx="46">
                  <c:v>16.412853437195604</c:v>
                </c:pt>
                <c:pt idx="47">
                  <c:v>16.386119178338159</c:v>
                </c:pt>
                <c:pt idx="48">
                  <c:v>16.348290211967072</c:v>
                </c:pt>
                <c:pt idx="49">
                  <c:v>16.319788206811591</c:v>
                </c:pt>
                <c:pt idx="50">
                  <c:v>16.400076062083269</c:v>
                </c:pt>
              </c:numCache>
            </c:numRef>
          </c:val>
          <c:smooth val="0"/>
          <c:extLst>
            <c:ext xmlns:c16="http://schemas.microsoft.com/office/drawing/2014/chart" uri="{C3380CC4-5D6E-409C-BE32-E72D297353CC}">
              <c16:uniqueId val="{00000002-B21E-4D01-B091-A14081D046AE}"/>
            </c:ext>
          </c:extLst>
        </c:ser>
        <c:ser>
          <c:idx val="3"/>
          <c:order val="3"/>
          <c:tx>
            <c:strRef>
              <c:f>Sheet1!$BT$12</c:f>
              <c:strCache>
                <c:ptCount val="1"/>
                <c:pt idx="0">
                  <c:v>20/4</c:v>
                </c:pt>
              </c:strCache>
            </c:strRef>
          </c:tx>
          <c:spPr>
            <a:ln w="19050"/>
          </c:spPr>
          <c:marker>
            <c:symbol val="none"/>
          </c:marker>
          <c:cat>
            <c:numRef>
              <c:f>Sheet1!$W$13:$W$63</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Sheet1!$BT$13:$BT$63</c:f>
              <c:numCache>
                <c:formatCode>General</c:formatCode>
                <c:ptCount val="51"/>
                <c:pt idx="0">
                  <c:v>9.8951683887339108</c:v>
                </c:pt>
                <c:pt idx="1">
                  <c:v>9.8359733958615188</c:v>
                </c:pt>
                <c:pt idx="2">
                  <c:v>9.8620684238097578</c:v>
                </c:pt>
                <c:pt idx="3">
                  <c:v>10.050196760177194</c:v>
                </c:pt>
                <c:pt idx="4">
                  <c:v>10.173136577223634</c:v>
                </c:pt>
                <c:pt idx="5">
                  <c:v>10.345210803005614</c:v>
                </c:pt>
                <c:pt idx="6">
                  <c:v>10.50975982224719</c:v>
                </c:pt>
                <c:pt idx="7">
                  <c:v>10.7211431321031</c:v>
                </c:pt>
                <c:pt idx="8">
                  <c:v>11.055350920147852</c:v>
                </c:pt>
                <c:pt idx="9">
                  <c:v>11.351862700702421</c:v>
                </c:pt>
                <c:pt idx="10">
                  <c:v>11.650886084051546</c:v>
                </c:pt>
                <c:pt idx="11">
                  <c:v>11.937180783164528</c:v>
                </c:pt>
                <c:pt idx="12">
                  <c:v>12.225323865927267</c:v>
                </c:pt>
                <c:pt idx="13">
                  <c:v>12.578751986000414</c:v>
                </c:pt>
                <c:pt idx="14">
                  <c:v>12.888375143050972</c:v>
                </c:pt>
                <c:pt idx="15">
                  <c:v>13.273527370193754</c:v>
                </c:pt>
                <c:pt idx="16">
                  <c:v>13.615844336025399</c:v>
                </c:pt>
                <c:pt idx="17">
                  <c:v>13.947593084898122</c:v>
                </c:pt>
                <c:pt idx="18">
                  <c:v>14.336223166039076</c:v>
                </c:pt>
                <c:pt idx="19">
                  <c:v>14.752712745598899</c:v>
                </c:pt>
                <c:pt idx="20">
                  <c:v>15.085204440041176</c:v>
                </c:pt>
                <c:pt idx="21">
                  <c:v>15.386618093212308</c:v>
                </c:pt>
                <c:pt idx="22">
                  <c:v>15.692111814140015</c:v>
                </c:pt>
                <c:pt idx="23">
                  <c:v>15.981535814053274</c:v>
                </c:pt>
                <c:pt idx="24">
                  <c:v>16.25195552110122</c:v>
                </c:pt>
                <c:pt idx="25">
                  <c:v>16.482838483566326</c:v>
                </c:pt>
                <c:pt idx="26">
                  <c:v>16.677495756449282</c:v>
                </c:pt>
                <c:pt idx="27">
                  <c:v>16.861981077774175</c:v>
                </c:pt>
                <c:pt idx="28">
                  <c:v>17.042755778544254</c:v>
                </c:pt>
                <c:pt idx="29">
                  <c:v>17.191074994878534</c:v>
                </c:pt>
                <c:pt idx="30">
                  <c:v>17.310028125938285</c:v>
                </c:pt>
                <c:pt idx="31">
                  <c:v>17.3853433157918</c:v>
                </c:pt>
                <c:pt idx="32">
                  <c:v>17.470438247262599</c:v>
                </c:pt>
                <c:pt idx="33">
                  <c:v>17.507528866631187</c:v>
                </c:pt>
                <c:pt idx="34">
                  <c:v>17.517988854844432</c:v>
                </c:pt>
                <c:pt idx="35">
                  <c:v>17.500094157362106</c:v>
                </c:pt>
                <c:pt idx="36">
                  <c:v>17.47248118291542</c:v>
                </c:pt>
                <c:pt idx="37">
                  <c:v>17.433300693737912</c:v>
                </c:pt>
                <c:pt idx="38">
                  <c:v>17.363427239060847</c:v>
                </c:pt>
                <c:pt idx="39">
                  <c:v>17.280391122017726</c:v>
                </c:pt>
                <c:pt idx="40">
                  <c:v>17.197351879676955</c:v>
                </c:pt>
                <c:pt idx="41">
                  <c:v>17.096336929666261</c:v>
                </c:pt>
                <c:pt idx="42">
                  <c:v>17.048574133754531</c:v>
                </c:pt>
                <c:pt idx="43">
                  <c:v>16.984860805444615</c:v>
                </c:pt>
                <c:pt idx="44">
                  <c:v>16.911988594533579</c:v>
                </c:pt>
                <c:pt idx="45">
                  <c:v>16.890321842904406</c:v>
                </c:pt>
                <c:pt idx="46">
                  <c:v>16.86216486552707</c:v>
                </c:pt>
                <c:pt idx="47">
                  <c:v>16.839374672248557</c:v>
                </c:pt>
                <c:pt idx="48">
                  <c:v>16.80530215175542</c:v>
                </c:pt>
                <c:pt idx="49">
                  <c:v>16.780100570199977</c:v>
                </c:pt>
                <c:pt idx="50">
                  <c:v>16.862628981819157</c:v>
                </c:pt>
              </c:numCache>
            </c:numRef>
          </c:val>
          <c:smooth val="0"/>
          <c:extLst>
            <c:ext xmlns:c16="http://schemas.microsoft.com/office/drawing/2014/chart" uri="{C3380CC4-5D6E-409C-BE32-E72D297353CC}">
              <c16:uniqueId val="{00000003-B21E-4D01-B091-A14081D046AE}"/>
            </c:ext>
          </c:extLst>
        </c:ser>
        <c:ser>
          <c:idx val="4"/>
          <c:order val="4"/>
          <c:tx>
            <c:strRef>
              <c:f>Sheet1!$BU$12</c:f>
              <c:strCache>
                <c:ptCount val="1"/>
                <c:pt idx="0">
                  <c:v>40/3</c:v>
                </c:pt>
              </c:strCache>
            </c:strRef>
          </c:tx>
          <c:spPr>
            <a:ln w="19050">
              <a:solidFill>
                <a:srgbClr val="92D050"/>
              </a:solidFill>
            </a:ln>
          </c:spPr>
          <c:marker>
            <c:symbol val="none"/>
          </c:marker>
          <c:cat>
            <c:numRef>
              <c:f>Sheet1!$W$13:$W$63</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Sheet1!$BU$13:$BU$63</c:f>
              <c:numCache>
                <c:formatCode>General</c:formatCode>
                <c:ptCount val="51"/>
                <c:pt idx="0">
                  <c:v>9.9530896136865419</c:v>
                </c:pt>
                <c:pt idx="1">
                  <c:v>9.9007994765365375</c:v>
                </c:pt>
                <c:pt idx="2">
                  <c:v>9.9315203384446313</c:v>
                </c:pt>
                <c:pt idx="3">
                  <c:v>10.122685655403279</c:v>
                </c:pt>
                <c:pt idx="4">
                  <c:v>10.247506104109238</c:v>
                </c:pt>
                <c:pt idx="5">
                  <c:v>10.420225363936588</c:v>
                </c:pt>
                <c:pt idx="6">
                  <c:v>10.582034792790756</c:v>
                </c:pt>
                <c:pt idx="7">
                  <c:v>10.787818234365982</c:v>
                </c:pt>
                <c:pt idx="8">
                  <c:v>11.11448149393032</c:v>
                </c:pt>
                <c:pt idx="9">
                  <c:v>11.40330221861409</c:v>
                </c:pt>
                <c:pt idx="10">
                  <c:v>11.694654200203162</c:v>
                </c:pt>
                <c:pt idx="11">
                  <c:v>11.973338919613361</c:v>
                </c:pt>
                <c:pt idx="12">
                  <c:v>12.253947384889535</c:v>
                </c:pt>
                <c:pt idx="13">
                  <c:v>12.599924771362254</c:v>
                </c:pt>
                <c:pt idx="14">
                  <c:v>12.90219893143496</c:v>
                </c:pt>
                <c:pt idx="15">
                  <c:v>13.280112850990113</c:v>
                </c:pt>
                <c:pt idx="16">
                  <c:v>13.615305606212415</c:v>
                </c:pt>
                <c:pt idx="17">
                  <c:v>13.940050147556867</c:v>
                </c:pt>
                <c:pt idx="18">
                  <c:v>14.321802241549447</c:v>
                </c:pt>
                <c:pt idx="19">
                  <c:v>14.731549023396546</c:v>
                </c:pt>
                <c:pt idx="20">
                  <c:v>15.057445002248103</c:v>
                </c:pt>
                <c:pt idx="21">
                  <c:v>15.352426829487902</c:v>
                </c:pt>
                <c:pt idx="22">
                  <c:v>15.651672317865314</c:v>
                </c:pt>
                <c:pt idx="23">
                  <c:v>15.935053296773987</c:v>
                </c:pt>
                <c:pt idx="24">
                  <c:v>16.199663489157285</c:v>
                </c:pt>
                <c:pt idx="25">
                  <c:v>16.424991775582708</c:v>
                </c:pt>
                <c:pt idx="26">
                  <c:v>16.614371940121579</c:v>
                </c:pt>
                <c:pt idx="27">
                  <c:v>16.793883652952996</c:v>
                </c:pt>
                <c:pt idx="28">
                  <c:v>16.969996684588505</c:v>
                </c:pt>
                <c:pt idx="29">
                  <c:v>17.113975812660556</c:v>
                </c:pt>
                <c:pt idx="30">
                  <c:v>17.22892351096856</c:v>
                </c:pt>
                <c:pt idx="31">
                  <c:v>17.300570485126496</c:v>
                </c:pt>
                <c:pt idx="32">
                  <c:v>17.382340932176891</c:v>
                </c:pt>
                <c:pt idx="33">
                  <c:v>17.416452255988279</c:v>
                </c:pt>
                <c:pt idx="34">
                  <c:v>17.424261474549091</c:v>
                </c:pt>
                <c:pt idx="35">
                  <c:v>17.404016369502546</c:v>
                </c:pt>
                <c:pt idx="36">
                  <c:v>17.374326405926688</c:v>
                </c:pt>
                <c:pt idx="37">
                  <c:v>17.333313280030254</c:v>
                </c:pt>
                <c:pt idx="38">
                  <c:v>17.261725390624889</c:v>
                </c:pt>
                <c:pt idx="39">
                  <c:v>17.177120335818387</c:v>
                </c:pt>
                <c:pt idx="40">
                  <c:v>17.092751361382476</c:v>
                </c:pt>
                <c:pt idx="41">
                  <c:v>16.990516741289714</c:v>
                </c:pt>
                <c:pt idx="42">
                  <c:v>16.941617775275716</c:v>
                </c:pt>
                <c:pt idx="43">
                  <c:v>16.876826428599713</c:v>
                </c:pt>
                <c:pt idx="44">
                  <c:v>16.802914036534556</c:v>
                </c:pt>
                <c:pt idx="45">
                  <c:v>16.780224269909123</c:v>
                </c:pt>
                <c:pt idx="46">
                  <c:v>16.751095910162618</c:v>
                </c:pt>
                <c:pt idx="47">
                  <c:v>16.72732505062455</c:v>
                </c:pt>
                <c:pt idx="48">
                  <c:v>16.692319126143332</c:v>
                </c:pt>
                <c:pt idx="49">
                  <c:v>16.666298649028576</c:v>
                </c:pt>
                <c:pt idx="50">
                  <c:v>16.748273833302299</c:v>
                </c:pt>
              </c:numCache>
            </c:numRef>
          </c:val>
          <c:smooth val="0"/>
          <c:extLst>
            <c:ext xmlns:c16="http://schemas.microsoft.com/office/drawing/2014/chart" uri="{C3380CC4-5D6E-409C-BE32-E72D297353CC}">
              <c16:uniqueId val="{00000004-B21E-4D01-B091-A14081D046AE}"/>
            </c:ext>
          </c:extLst>
        </c:ser>
        <c:ser>
          <c:idx val="5"/>
          <c:order val="5"/>
          <c:tx>
            <c:strRef>
              <c:f>Sheet1!$BV$12</c:f>
              <c:strCache>
                <c:ptCount val="1"/>
                <c:pt idx="0">
                  <c:v>40/3 z daljšim koriščenjem dela pokojnin</c:v>
                </c:pt>
              </c:strCache>
            </c:strRef>
          </c:tx>
          <c:spPr>
            <a:ln w="19050"/>
          </c:spPr>
          <c:marker>
            <c:symbol val="none"/>
          </c:marker>
          <c:cat>
            <c:numRef>
              <c:f>Sheet1!$W$13:$W$63</c:f>
              <c:numCache>
                <c:formatCode>General</c:formatCode>
                <c:ptCount val="51"/>
                <c:pt idx="0">
                  <c:v>2020</c:v>
                </c:pt>
                <c:pt idx="1">
                  <c:v>2021</c:v>
                </c:pt>
                <c:pt idx="2">
                  <c:v>2022</c:v>
                </c:pt>
                <c:pt idx="3">
                  <c:v>2023</c:v>
                </c:pt>
                <c:pt idx="4">
                  <c:v>2024</c:v>
                </c:pt>
                <c:pt idx="5">
                  <c:v>2025</c:v>
                </c:pt>
                <c:pt idx="6">
                  <c:v>2026</c:v>
                </c:pt>
                <c:pt idx="7">
                  <c:v>2027</c:v>
                </c:pt>
                <c:pt idx="8">
                  <c:v>2028</c:v>
                </c:pt>
                <c:pt idx="9">
                  <c:v>2029</c:v>
                </c:pt>
                <c:pt idx="10">
                  <c:v>2030</c:v>
                </c:pt>
                <c:pt idx="11">
                  <c:v>2031</c:v>
                </c:pt>
                <c:pt idx="12">
                  <c:v>2032</c:v>
                </c:pt>
                <c:pt idx="13">
                  <c:v>2033</c:v>
                </c:pt>
                <c:pt idx="14">
                  <c:v>2034</c:v>
                </c:pt>
                <c:pt idx="15">
                  <c:v>2035</c:v>
                </c:pt>
                <c:pt idx="16">
                  <c:v>2036</c:v>
                </c:pt>
                <c:pt idx="17">
                  <c:v>2037</c:v>
                </c:pt>
                <c:pt idx="18">
                  <c:v>2038</c:v>
                </c:pt>
                <c:pt idx="19">
                  <c:v>2039</c:v>
                </c:pt>
                <c:pt idx="20">
                  <c:v>2040</c:v>
                </c:pt>
                <c:pt idx="21">
                  <c:v>2041</c:v>
                </c:pt>
                <c:pt idx="22">
                  <c:v>2042</c:v>
                </c:pt>
                <c:pt idx="23">
                  <c:v>2043</c:v>
                </c:pt>
                <c:pt idx="24">
                  <c:v>2044</c:v>
                </c:pt>
                <c:pt idx="25">
                  <c:v>2045</c:v>
                </c:pt>
                <c:pt idx="26">
                  <c:v>2046</c:v>
                </c:pt>
                <c:pt idx="27">
                  <c:v>2047</c:v>
                </c:pt>
                <c:pt idx="28">
                  <c:v>2048</c:v>
                </c:pt>
                <c:pt idx="29">
                  <c:v>2049</c:v>
                </c:pt>
                <c:pt idx="30">
                  <c:v>2050</c:v>
                </c:pt>
                <c:pt idx="31">
                  <c:v>2051</c:v>
                </c:pt>
                <c:pt idx="32">
                  <c:v>2052</c:v>
                </c:pt>
                <c:pt idx="33">
                  <c:v>2053</c:v>
                </c:pt>
                <c:pt idx="34">
                  <c:v>2054</c:v>
                </c:pt>
                <c:pt idx="35">
                  <c:v>2055</c:v>
                </c:pt>
                <c:pt idx="36">
                  <c:v>2056</c:v>
                </c:pt>
                <c:pt idx="37">
                  <c:v>2057</c:v>
                </c:pt>
                <c:pt idx="38">
                  <c:v>2058</c:v>
                </c:pt>
                <c:pt idx="39">
                  <c:v>2059</c:v>
                </c:pt>
                <c:pt idx="40">
                  <c:v>2060</c:v>
                </c:pt>
                <c:pt idx="41">
                  <c:v>2061</c:v>
                </c:pt>
                <c:pt idx="42">
                  <c:v>2062</c:v>
                </c:pt>
                <c:pt idx="43">
                  <c:v>2063</c:v>
                </c:pt>
                <c:pt idx="44">
                  <c:v>2064</c:v>
                </c:pt>
                <c:pt idx="45">
                  <c:v>2065</c:v>
                </c:pt>
                <c:pt idx="46">
                  <c:v>2066</c:v>
                </c:pt>
                <c:pt idx="47">
                  <c:v>2067</c:v>
                </c:pt>
                <c:pt idx="48">
                  <c:v>2068</c:v>
                </c:pt>
                <c:pt idx="49">
                  <c:v>2069</c:v>
                </c:pt>
                <c:pt idx="50">
                  <c:v>2070</c:v>
                </c:pt>
              </c:numCache>
            </c:numRef>
          </c:cat>
          <c:val>
            <c:numRef>
              <c:f>Sheet1!$BV$13:$BV$63</c:f>
              <c:numCache>
                <c:formatCode>General</c:formatCode>
                <c:ptCount val="51"/>
                <c:pt idx="0">
                  <c:v>9.8872317620535437</c:v>
                </c:pt>
                <c:pt idx="1">
                  <c:v>9.828952602017436</c:v>
                </c:pt>
                <c:pt idx="2">
                  <c:v>9.8538425273763988</c:v>
                </c:pt>
                <c:pt idx="3">
                  <c:v>10.041049482958543</c:v>
                </c:pt>
                <c:pt idx="4">
                  <c:v>10.163108734882636</c:v>
                </c:pt>
                <c:pt idx="5">
                  <c:v>10.334382254031683</c:v>
                </c:pt>
                <c:pt idx="6">
                  <c:v>10.494270452877373</c:v>
                </c:pt>
                <c:pt idx="7">
                  <c:v>10.702578021249568</c:v>
                </c:pt>
                <c:pt idx="8">
                  <c:v>11.038564071370734</c:v>
                </c:pt>
                <c:pt idx="9">
                  <c:v>11.336659204506597</c:v>
                </c:pt>
                <c:pt idx="10">
                  <c:v>11.637250219175012</c:v>
                </c:pt>
                <c:pt idx="11">
                  <c:v>11.92508634423025</c:v>
                </c:pt>
                <c:pt idx="12">
                  <c:v>12.214740430041736</c:v>
                </c:pt>
                <c:pt idx="13">
                  <c:v>12.569649169733637</c:v>
                </c:pt>
                <c:pt idx="14">
                  <c:v>12.880719923401509</c:v>
                </c:pt>
                <c:pt idx="15">
                  <c:v>13.267283444880491</c:v>
                </c:pt>
                <c:pt idx="16">
                  <c:v>13.61097491028138</c:v>
                </c:pt>
                <c:pt idx="17">
                  <c:v>13.9440580210333</c:v>
                </c:pt>
                <c:pt idx="18">
                  <c:v>14.333980844571387</c:v>
                </c:pt>
                <c:pt idx="19">
                  <c:v>14.751719874998399</c:v>
                </c:pt>
                <c:pt idx="20">
                  <c:v>15.085413714854973</c:v>
                </c:pt>
                <c:pt idx="21">
                  <c:v>15.387978607660736</c:v>
                </c:pt>
                <c:pt idx="22">
                  <c:v>15.694569295663179</c:v>
                </c:pt>
                <c:pt idx="23">
                  <c:v>15.985033639680175</c:v>
                </c:pt>
                <c:pt idx="24">
                  <c:v>16.256433100411623</c:v>
                </c:pt>
                <c:pt idx="25">
                  <c:v>16.488231260364131</c:v>
                </c:pt>
                <c:pt idx="26">
                  <c:v>16.683739348510045</c:v>
                </c:pt>
                <c:pt idx="27">
                  <c:v>16.869009171077931</c:v>
                </c:pt>
                <c:pt idx="28">
                  <c:v>17.050501347104536</c:v>
                </c:pt>
                <c:pt idx="29">
                  <c:v>17.199471503404784</c:v>
                </c:pt>
                <c:pt idx="30">
                  <c:v>17.319010039155923</c:v>
                </c:pt>
                <c:pt idx="31">
                  <c:v>17.394847325589623</c:v>
                </c:pt>
                <c:pt idx="32">
                  <c:v>17.480403717783485</c:v>
                </c:pt>
                <c:pt idx="33">
                  <c:v>17.517899127682504</c:v>
                </c:pt>
                <c:pt idx="34">
                  <c:v>17.528712224432027</c:v>
                </c:pt>
                <c:pt idx="35">
                  <c:v>17.511124466556943</c:v>
                </c:pt>
                <c:pt idx="36">
                  <c:v>17.483778041734858</c:v>
                </c:pt>
                <c:pt idx="37">
                  <c:v>17.444829878942382</c:v>
                </c:pt>
                <c:pt idx="38">
                  <c:v>17.375298912618845</c:v>
                </c:pt>
                <c:pt idx="39">
                  <c:v>17.292337703767132</c:v>
                </c:pt>
                <c:pt idx="40">
                  <c:v>17.209463788964612</c:v>
                </c:pt>
                <c:pt idx="41">
                  <c:v>17.108597303409116</c:v>
                </c:pt>
                <c:pt idx="42">
                  <c:v>17.060968753855349</c:v>
                </c:pt>
                <c:pt idx="43">
                  <c:v>16.997393223542687</c:v>
                </c:pt>
                <c:pt idx="44">
                  <c:v>16.924651964019393</c:v>
                </c:pt>
                <c:pt idx="45">
                  <c:v>16.903106031102229</c:v>
                </c:pt>
                <c:pt idx="46">
                  <c:v>16.875058111937619</c:v>
                </c:pt>
                <c:pt idx="47">
                  <c:v>16.852389765294536</c:v>
                </c:pt>
                <c:pt idx="48">
                  <c:v>16.818674608583407</c:v>
                </c:pt>
                <c:pt idx="49">
                  <c:v>16.794283173742986</c:v>
                </c:pt>
                <c:pt idx="50">
                  <c:v>16.877522469171883</c:v>
                </c:pt>
              </c:numCache>
            </c:numRef>
          </c:val>
          <c:smooth val="0"/>
          <c:extLst>
            <c:ext xmlns:c16="http://schemas.microsoft.com/office/drawing/2014/chart" uri="{C3380CC4-5D6E-409C-BE32-E72D297353CC}">
              <c16:uniqueId val="{00000005-B21E-4D01-B091-A14081D046AE}"/>
            </c:ext>
          </c:extLst>
        </c:ser>
        <c:dLbls>
          <c:showLegendKey val="0"/>
          <c:showVal val="0"/>
          <c:showCatName val="0"/>
          <c:showSerName val="0"/>
          <c:showPercent val="0"/>
          <c:showBubbleSize val="0"/>
        </c:dLbls>
        <c:smooth val="0"/>
        <c:axId val="188869632"/>
        <c:axId val="189203200"/>
      </c:lineChart>
      <c:catAx>
        <c:axId val="188869632"/>
        <c:scaling>
          <c:orientation val="minMax"/>
        </c:scaling>
        <c:delete val="0"/>
        <c:axPos val="b"/>
        <c:title>
          <c:tx>
            <c:rich>
              <a:bodyPr/>
              <a:lstStyle/>
              <a:p>
                <a:pPr>
                  <a:defRPr/>
                </a:pPr>
                <a:r>
                  <a:rPr lang="en-US"/>
                  <a:t>Leto</a:t>
                </a:r>
              </a:p>
            </c:rich>
          </c:tx>
          <c:overlay val="0"/>
        </c:title>
        <c:numFmt formatCode="General" sourceLinked="1"/>
        <c:majorTickMark val="out"/>
        <c:minorTickMark val="none"/>
        <c:tickLblPos val="nextTo"/>
        <c:crossAx val="189203200"/>
        <c:crosses val="autoZero"/>
        <c:auto val="1"/>
        <c:lblAlgn val="ctr"/>
        <c:lblOffset val="100"/>
        <c:tickLblSkip val="5"/>
        <c:tickMarkSkip val="5"/>
        <c:noMultiLvlLbl val="0"/>
      </c:catAx>
      <c:valAx>
        <c:axId val="189203200"/>
        <c:scaling>
          <c:orientation val="minMax"/>
          <c:max val="18"/>
          <c:min val="9"/>
        </c:scaling>
        <c:delete val="0"/>
        <c:axPos val="l"/>
        <c:majorGridlines/>
        <c:title>
          <c:tx>
            <c:rich>
              <a:bodyPr/>
              <a:lstStyle/>
              <a:p>
                <a:pPr>
                  <a:defRPr/>
                </a:pPr>
                <a:r>
                  <a:rPr lang="sl-SI"/>
                  <a:t>Kot </a:t>
                </a:r>
                <a:r>
                  <a:rPr lang="en-US"/>
                  <a:t>% BDP</a:t>
                </a:r>
              </a:p>
            </c:rich>
          </c:tx>
          <c:overlay val="0"/>
        </c:title>
        <c:numFmt formatCode="General" sourceLinked="1"/>
        <c:majorTickMark val="out"/>
        <c:minorTickMark val="none"/>
        <c:tickLblPos val="nextTo"/>
        <c:crossAx val="188869632"/>
        <c:crosses val="autoZero"/>
        <c:crossBetween val="between"/>
      </c:valAx>
    </c:plotArea>
    <c:legend>
      <c:legendPos val="r"/>
      <c:legendEntry>
        <c:idx val="3"/>
        <c:delete val="1"/>
      </c:legendEntry>
      <c:layout>
        <c:manualLayout>
          <c:xMode val="edge"/>
          <c:yMode val="edge"/>
          <c:x val="0.40493215517436487"/>
          <c:y val="0.49528646957447431"/>
          <c:w val="0.57848529506492874"/>
          <c:h val="0.34808268395036884"/>
        </c:manualLayout>
      </c:layout>
      <c:overlay val="0"/>
      <c:spPr>
        <a:solidFill>
          <a:schemeClr val="bg1">
            <a:alpha val="76000"/>
          </a:schemeClr>
        </a:solidFill>
      </c:spPr>
      <c:txPr>
        <a:bodyPr/>
        <a:lstStyle/>
        <a:p>
          <a:pPr>
            <a:defRPr sz="900"/>
          </a:pPr>
          <a:endParaRPr lang="sl-SI"/>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0.07931</cdr:x>
      <cdr:y>0.82258</cdr:y>
    </cdr:from>
    <cdr:to>
      <cdr:x>0.11716</cdr:x>
      <cdr:y>0.87097</cdr:y>
    </cdr:to>
    <cdr:cxnSp macro="">
      <cdr:nvCxnSpPr>
        <cdr:cNvPr id="3" name="Straight Connector 2"/>
        <cdr:cNvCxnSpPr/>
      </cdr:nvCxnSpPr>
      <cdr:spPr>
        <a:xfrm xmlns:a="http://schemas.openxmlformats.org/drawingml/2006/main" flipH="1">
          <a:off x="364434" y="2534478"/>
          <a:ext cx="173935" cy="149087"/>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0.07955</cdr:x>
      <cdr:y>0.83638</cdr:y>
    </cdr:from>
    <cdr:to>
      <cdr:x>0.1174</cdr:x>
      <cdr:y>0.88477</cdr:y>
    </cdr:to>
    <cdr:cxnSp macro="">
      <cdr:nvCxnSpPr>
        <cdr:cNvPr id="4" name="Straight Connector 3"/>
        <cdr:cNvCxnSpPr/>
      </cdr:nvCxnSpPr>
      <cdr:spPr>
        <a:xfrm xmlns:a="http://schemas.openxmlformats.org/drawingml/2006/main" flipH="1">
          <a:off x="365539" y="2576996"/>
          <a:ext cx="173935" cy="149087"/>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drawings/drawing2.xml><?xml version="1.0" encoding="utf-8"?>
<c:userShapes xmlns:c="http://schemas.openxmlformats.org/drawingml/2006/chart">
  <cdr:relSizeAnchor xmlns:cdr="http://schemas.openxmlformats.org/drawingml/2006/chartDrawing">
    <cdr:from>
      <cdr:x>0.07931</cdr:x>
      <cdr:y>0.82258</cdr:y>
    </cdr:from>
    <cdr:to>
      <cdr:x>0.11716</cdr:x>
      <cdr:y>0.87097</cdr:y>
    </cdr:to>
    <cdr:cxnSp macro="">
      <cdr:nvCxnSpPr>
        <cdr:cNvPr id="3" name="Straight Connector 2">
          <a:extLst xmlns:a="http://schemas.openxmlformats.org/drawingml/2006/main">
            <a:ext uri="{FF2B5EF4-FFF2-40B4-BE49-F238E27FC236}">
              <a16:creationId xmlns:a16="http://schemas.microsoft.com/office/drawing/2014/main" id="{BE7151D8-6E9C-4C05-A26C-A7B02B0B326C}"/>
            </a:ext>
          </a:extLst>
        </cdr:cNvPr>
        <cdr:cNvCxnSpPr/>
      </cdr:nvCxnSpPr>
      <cdr:spPr>
        <a:xfrm xmlns:a="http://schemas.openxmlformats.org/drawingml/2006/main" flipH="1">
          <a:off x="364434" y="2534478"/>
          <a:ext cx="173935" cy="149087"/>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0.07955</cdr:x>
      <cdr:y>0.83638</cdr:y>
    </cdr:from>
    <cdr:to>
      <cdr:x>0.1174</cdr:x>
      <cdr:y>0.88477</cdr:y>
    </cdr:to>
    <cdr:cxnSp macro="">
      <cdr:nvCxnSpPr>
        <cdr:cNvPr id="4" name="Straight Connector 3">
          <a:extLst xmlns:a="http://schemas.openxmlformats.org/drawingml/2006/main">
            <a:ext uri="{FF2B5EF4-FFF2-40B4-BE49-F238E27FC236}">
              <a16:creationId xmlns:a16="http://schemas.microsoft.com/office/drawing/2014/main" id="{C913AF62-45B3-4695-96B2-E92832BE9003}"/>
            </a:ext>
          </a:extLst>
        </cdr:cNvPr>
        <cdr:cNvCxnSpPr/>
      </cdr:nvCxnSpPr>
      <cdr:spPr>
        <a:xfrm xmlns:a="http://schemas.openxmlformats.org/drawingml/2006/main" flipH="1">
          <a:off x="365539" y="2576996"/>
          <a:ext cx="173935" cy="149087"/>
        </a:xfrm>
        <a:prstGeom xmlns:a="http://schemas.openxmlformats.org/drawingml/2006/main" prst="line">
          <a:avLst/>
        </a:prstGeom>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76B2EC3-1E31-4B30-AC44-C09C8B50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2331</Words>
  <Characters>13288</Characters>
  <Application>Microsoft Office Word</Application>
  <DocSecurity>0</DocSecurity>
  <Lines>110</Lines>
  <Paragraphs>31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Indea d.o.o.</Company>
  <LinksUpToDate>false</LinksUpToDate>
  <CharactersWithSpaces>15588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AB</dc:creator>
  <cp:keywords/>
  <cp:lastModifiedBy>Uporabnik sistema Windows</cp:lastModifiedBy>
  <cp:revision>2</cp:revision>
  <cp:lastPrinted>2010-07-16T07:41:00Z</cp:lastPrinted>
  <dcterms:created xsi:type="dcterms:W3CDTF">2019-09-11T06:30:00Z</dcterms:created>
  <dcterms:modified xsi:type="dcterms:W3CDTF">2019-09-11T06:30:00Z</dcterms:modified>
</cp:coreProperties>
</file>