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4E03" w14:textId="77777777" w:rsidR="00444756" w:rsidRDefault="00062D01" w:rsidP="00444756">
      <w:pPr>
        <w:pStyle w:val="Naslov3"/>
        <w:rPr>
          <w:lang w:val="sl-SI"/>
        </w:rPr>
      </w:pPr>
      <w:bookmarkStart w:id="0" w:name="_GoBack"/>
      <w:bookmarkEnd w:id="0"/>
      <w:r>
        <w:rPr>
          <w:noProof/>
          <w:lang w:val="sl-SI" w:eastAsia="sl-SI"/>
        </w:rPr>
        <w:drawing>
          <wp:inline distT="0" distB="0" distL="0" distR="0" wp14:anchorId="3DD3136E" wp14:editId="659D2F89">
            <wp:extent cx="5972810" cy="17100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cilo_soc_trans_glava_mar_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bookmarkStart w:id="1" w:name="uvod"/>
      <w:r w:rsidR="00444756" w:rsidRPr="00444756">
        <w:rPr>
          <w:lang w:val="sl-SI"/>
        </w:rPr>
        <w:t xml:space="preserve"> </w:t>
      </w:r>
    </w:p>
    <w:p w14:paraId="4555BAD5" w14:textId="77777777" w:rsidR="00444756" w:rsidRDefault="00444756" w:rsidP="00444756">
      <w:pPr>
        <w:pStyle w:val="Naslov3"/>
        <w:rPr>
          <w:lang w:val="sl-SI"/>
        </w:rPr>
      </w:pPr>
      <w:r>
        <w:rPr>
          <w:lang w:val="sl-SI"/>
        </w:rPr>
        <w:t>Uvod</w:t>
      </w:r>
      <w:bookmarkEnd w:id="1"/>
    </w:p>
    <w:p w14:paraId="04ED4D08" w14:textId="77777777" w:rsidR="00444756" w:rsidRDefault="00444756" w:rsidP="00444756">
      <w:pPr>
        <w:pStyle w:val="FirstParagraph"/>
        <w:rPr>
          <w:lang w:val="sl-SI"/>
        </w:rPr>
      </w:pPr>
      <w:r>
        <w:rPr>
          <w:b/>
          <w:lang w:val="sl-SI"/>
        </w:rPr>
        <w:t>To je mesečno poročilo o socialnih transferjih, ki jih MDDSZ določi, ne glede na vir financiranja.</w:t>
      </w:r>
      <w:r>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1EB0E29B" w14:textId="6166C25B" w:rsidR="00444756" w:rsidRDefault="00444756" w:rsidP="00444756">
      <w:pPr>
        <w:pStyle w:val="Telobesedila"/>
        <w:rPr>
          <w:lang w:val="sl-SI"/>
        </w:rPr>
      </w:pPr>
      <w:r w:rsidRPr="00113CA3">
        <w:rPr>
          <w:b/>
          <w:bCs/>
          <w:lang w:val="sl-SI"/>
        </w:rPr>
        <w:t>Socialni transferji so način, s katerim se gospodinjstvom in posameznikom dodelijo ugodnosti za njihovo razbremenitev zaradi določenega niza tveganj ali potreb (Priročnik ESSPROS)</w:t>
      </w:r>
      <w:r>
        <w:rPr>
          <w:rStyle w:val="Sprotnaopomba-sklic"/>
          <w:lang w:val="sl-SI"/>
        </w:rPr>
        <w:footnoteReference w:id="1"/>
      </w:r>
      <w:r>
        <w:rPr>
          <w:lang w:val="sl-SI"/>
        </w:rPr>
        <w:t>. Socialni transferji, razvrščeni po vrstah po standardni statistični klasifikaciji, vključujejo denarne in transferje</w:t>
      </w:r>
      <w:r w:rsidR="005224DE">
        <w:rPr>
          <w:lang w:val="sl-SI"/>
        </w:rPr>
        <w:t xml:space="preserve"> v naravi</w:t>
      </w:r>
      <w:r>
        <w:rPr>
          <w:lang w:val="sl-SI"/>
        </w:rPr>
        <w:t xml:space="preserve">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02F21EB7" w14:textId="77777777" w:rsidR="00444756" w:rsidRDefault="00444756" w:rsidP="00444756">
      <w:pPr>
        <w:pStyle w:val="Telobesedila"/>
        <w:rPr>
          <w:lang w:val="sl-SI"/>
        </w:rPr>
      </w:pPr>
      <w:r>
        <w:rPr>
          <w:b/>
          <w:lang w:val="sl-SI"/>
        </w:rPr>
        <w:t>Poročilo trenutno zajema 28 različnih socialnih transferjev, vključno z nadomestilom za brezposelnost.</w:t>
      </w:r>
      <w:r>
        <w:rPr>
          <w:lang w:val="sl-SI"/>
        </w:rPr>
        <w:t xml:space="preserve"> Ti predstavljajo večino plačanih transferjev MDDSZ. Vir podatkov je predvsem informacijski sistem IS CSD in ZRSZ.</w:t>
      </w:r>
    </w:p>
    <w:p w14:paraId="1D91141F" w14:textId="77777777" w:rsidR="00444756" w:rsidRPr="00113CA3" w:rsidRDefault="00444756" w:rsidP="00444756">
      <w:pPr>
        <w:pStyle w:val="Telobesedila"/>
        <w:rPr>
          <w:lang w:val="sl-SI"/>
        </w:rPr>
      </w:pPr>
      <w:r w:rsidRPr="00113CA3">
        <w:rPr>
          <w:b/>
          <w:bCs/>
          <w:lang w:val="sl-SI"/>
        </w:rPr>
        <w:t>Zneski socialnih transferjev so prikazani po obračunskem načelu</w:t>
      </w:r>
      <w:r>
        <w:rPr>
          <w:lang w:val="sl-SI"/>
        </w:rPr>
        <w:t xml:space="preserve">, kar pomeni podatke, ki se nanašajo na datum, za katerega je bila pravica do transferja odobrena, in ne, ko je bila dejansko izvedena ali plačana. </w:t>
      </w:r>
      <w:r w:rsidRPr="00113CA3">
        <w:rPr>
          <w:b/>
          <w:bCs/>
          <w:lang w:val="sl-SI"/>
        </w:rPr>
        <w:t>Velja za število posameznikov, ki so upravičenci in ne prejemniki transferjev</w:t>
      </w:r>
      <w:r>
        <w:rPr>
          <w:lang w:val="sl-SI"/>
        </w:rPr>
        <w:t xml:space="preserve">. To razlikovanje je pomembno, saj je lahko en posameznik prejemnik določenih transferjev, ki lahko zajemajo različne člane družine oz. upravičence. </w:t>
      </w:r>
      <w:r w:rsidRPr="00113CA3">
        <w:rPr>
          <w:b/>
          <w:bCs/>
          <w:lang w:val="sl-SI"/>
        </w:rPr>
        <w:t>Objavljeni podatki niso dokončni, saj se lahko spreminjajo tudi za nazaj</w:t>
      </w:r>
      <w:r>
        <w:rPr>
          <w:lang w:val="sl-SI"/>
        </w:rPr>
        <w:t>. Npr., pravici pogrebnino in posmrtnino je mogoče uveljavljati še 1 leto po smrti osebe.</w:t>
      </w:r>
    </w:p>
    <w:p w14:paraId="61BDA13C" w14:textId="77777777" w:rsidR="00444756" w:rsidRDefault="00444756" w:rsidP="00444756">
      <w:pPr>
        <w:pStyle w:val="Telobesedila"/>
        <w:rPr>
          <w:lang w:val="sl-SI"/>
        </w:rPr>
      </w:pPr>
    </w:p>
    <w:p w14:paraId="42DF5F93" w14:textId="77777777" w:rsidR="00444756" w:rsidRDefault="00444756" w:rsidP="00444756">
      <w:pPr>
        <w:pStyle w:val="Naslov3"/>
        <w:rPr>
          <w:lang w:val="sl-SI"/>
        </w:rPr>
      </w:pPr>
      <w:bookmarkStart w:id="2" w:name="širši-kontekst"/>
      <w:r>
        <w:rPr>
          <w:lang w:val="sl-SI"/>
        </w:rPr>
        <w:t>Širši kontekst</w:t>
      </w:r>
      <w:bookmarkEnd w:id="2"/>
    </w:p>
    <w:p w14:paraId="0E627002" w14:textId="77777777" w:rsidR="00444756" w:rsidRDefault="00444756" w:rsidP="00444756">
      <w:pPr>
        <w:pStyle w:val="FirstParagraph"/>
        <w:rPr>
          <w:lang w:val="sl-SI"/>
        </w:rPr>
      </w:pPr>
      <w:r w:rsidRPr="00113CA3">
        <w:rPr>
          <w:b/>
          <w:bCs/>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Pr>
          <w:lang w:val="sl-SI"/>
        </w:rPr>
        <w:t xml:space="preserve"> V letu 2020 je skupni znesek plačan za transferje, za katere so na voljo podatki</w:t>
      </w:r>
      <w:r>
        <w:rPr>
          <w:rStyle w:val="Sprotnaopomba-sklic"/>
          <w:lang w:val="sl-SI"/>
        </w:rPr>
        <w:footnoteReference w:id="2"/>
      </w:r>
      <w:r>
        <w:rPr>
          <w:lang w:val="sl-SI"/>
        </w:rPr>
        <w:t xml:space="preserve">, znašal 1 milijardo in 456 milijonov evrov (Slika 1a spodaj). Od tega je 82 milijonov evrov znesek, ki ga plačujejo občine (gre za pravice oprostitve plačil socialno varstvenih storitev, družinskega pomočnika in subvencije najemnine). </w:t>
      </w:r>
      <w:r w:rsidRPr="00113CA3">
        <w:rPr>
          <w:b/>
          <w:bCs/>
          <w:lang w:val="sl-SI"/>
        </w:rPr>
        <w:t>Največje število upravičenih je za transferje: otroški dodatek (število otrok), denarno socialno pomoč, subvencijo vrtca, in pravico do kritja polne vrednosti zdravstvenih storitev</w:t>
      </w:r>
      <w:r>
        <w:rPr>
          <w:lang w:val="sl-SI"/>
        </w:rPr>
        <w:t xml:space="preserve"> (Slika 1b spodaj).</w:t>
      </w:r>
    </w:p>
    <w:p w14:paraId="716FBBE3" w14:textId="77777777" w:rsidR="00444756" w:rsidRDefault="00444756" w:rsidP="00444756">
      <w:pPr>
        <w:pStyle w:val="Telobesedila"/>
        <w:rPr>
          <w:lang w:val="sl-SI"/>
        </w:rPr>
      </w:pPr>
      <w:r>
        <w:rPr>
          <w:lang w:val="sl-SI"/>
        </w:rPr>
        <w:t xml:space="preserve">Prikaz zneskov transferjev v letu 2020 po regijah kaže, da so bile </w:t>
      </w:r>
      <w:r w:rsidRPr="00113CA3">
        <w:rPr>
          <w:b/>
          <w:bCs/>
          <w:lang w:val="sl-SI"/>
        </w:rPr>
        <w:t>regije, ki so prejemale največ transferjev v naslednjem padajočem zaporedju: Osrednjeslovenska, Podravska, Savinjska, Gorenjska in Jugovzhodna Slovenija</w:t>
      </w:r>
      <w:r>
        <w:rPr>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6687F863" w14:textId="77777777" w:rsidR="00444756" w:rsidRDefault="00444756" w:rsidP="00444756">
      <w:pPr>
        <w:pStyle w:val="Telobesedila"/>
        <w:rPr>
          <w:lang w:val="sl-SI"/>
        </w:rPr>
      </w:pPr>
      <w:r>
        <w:rPr>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113CA3">
        <w:rPr>
          <w:b/>
          <w:bCs/>
          <w:lang w:val="sl-SI"/>
        </w:rPr>
        <w:t>regije, kjer je relativno največ upravičencev do teh dveh transferjev: Pomurska, Podravska, Zasavska, Savinjska, Posavska in Jugovzhodna Slovenija</w:t>
      </w:r>
      <w:r>
        <w:rPr>
          <w:lang w:val="sl-SI"/>
        </w:rPr>
        <w:t>. (Slika 8c) V primeru varstvenega dodatka, ki dolgoročno dopolnjuje dohodek in preprečuje revščino, pa sta regiji z relativno najvišjim številom posameznikov, ki so upravičeni do dodatka, Pomurska in Podravska (Slika 8b).</w:t>
      </w:r>
    </w:p>
    <w:p w14:paraId="0950D0CD" w14:textId="77777777" w:rsidR="00444756" w:rsidRDefault="00444756" w:rsidP="00444756">
      <w:pPr>
        <w:pStyle w:val="Telobesedila"/>
        <w:rPr>
          <w:lang w:val="sl-SI"/>
        </w:rPr>
      </w:pPr>
      <w:r w:rsidRPr="00113CA3">
        <w:rPr>
          <w:b/>
          <w:bCs/>
          <w:lang w:val="sl-SI"/>
        </w:rPr>
        <w:t>Nekateri transferji, ki podpirajo družinsko blaginjo (otroški dodatek (OD), državne štipendije (DŠ)), se izplačujejo ob upoštevanju dohodka in so določene glede na dohodkovne razrede.</w:t>
      </w:r>
      <w:r>
        <w:rPr>
          <w:lang w:val="sl-SI"/>
        </w:rPr>
        <w:t xml:space="preserv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14:paraId="7C66EBFC" w14:textId="77777777" w:rsidR="00444756" w:rsidRDefault="00444756" w:rsidP="00444756">
      <w:pPr>
        <w:pStyle w:val="Telobesedila"/>
        <w:rPr>
          <w:lang w:val="sl-SI"/>
        </w:rPr>
      </w:pPr>
      <w:r w:rsidRPr="00113CA3">
        <w:rPr>
          <w:b/>
          <w:bCs/>
          <w:lang w:val="sl-SI"/>
        </w:rPr>
        <w:t>Povprečni mesečni znesek transferja, ki ga je prejemnik prejel v letu 202</w:t>
      </w:r>
      <w:r>
        <w:rPr>
          <w:b/>
          <w:bCs/>
          <w:lang w:val="sl-SI"/>
        </w:rPr>
        <w:t>1</w:t>
      </w:r>
      <w:r w:rsidRPr="00113CA3">
        <w:rPr>
          <w:b/>
          <w:bCs/>
          <w:lang w:val="sl-SI"/>
        </w:rPr>
        <w:t>, se razlikuje glede na transfer, in sicer z najvišjih 3.</w:t>
      </w:r>
      <w:r>
        <w:rPr>
          <w:b/>
          <w:bCs/>
          <w:lang w:val="sl-SI"/>
        </w:rPr>
        <w:t>55</w:t>
      </w:r>
      <w:r w:rsidRPr="00113CA3">
        <w:rPr>
          <w:b/>
          <w:bCs/>
          <w:lang w:val="sl-SI"/>
        </w:rPr>
        <w:t>1 EUR za osebno asistenco do 6</w:t>
      </w:r>
      <w:r>
        <w:rPr>
          <w:b/>
          <w:bCs/>
          <w:lang w:val="sl-SI"/>
        </w:rPr>
        <w:t>3</w:t>
      </w:r>
      <w:r w:rsidRPr="00113CA3">
        <w:rPr>
          <w:b/>
          <w:bCs/>
          <w:lang w:val="sl-SI"/>
        </w:rPr>
        <w:t xml:space="preserve"> EUR za otroški dodatek</w:t>
      </w:r>
      <w:r>
        <w:rPr>
          <w:lang w:val="sl-SI"/>
        </w:rPr>
        <w:t>. Nekaj relevantnih kazalcev kaže, da znaša povprečni mesečni transfer na upravičenca za: nadomestilo za brezposelnost 800 EUR bruto; denarno socialno pomoč 224 EUR; izredno denarno socialno pomoč 203 EUR; in varstveni dodatek 153 EUR (Tabela 3 spodaj).</w:t>
      </w:r>
    </w:p>
    <w:p w14:paraId="13782680" w14:textId="11D89E95" w:rsidR="00444756" w:rsidRDefault="00444756" w:rsidP="00444756">
      <w:pPr>
        <w:pStyle w:val="Naslov3"/>
        <w:rPr>
          <w:lang w:val="sl-SI"/>
        </w:rPr>
      </w:pPr>
      <w:bookmarkStart w:id="3" w:name="mesečna-dinamika"/>
      <w:r>
        <w:rPr>
          <w:lang w:val="sl-SI"/>
        </w:rPr>
        <w:t>Mesečna dinamika</w:t>
      </w:r>
      <w:bookmarkEnd w:id="3"/>
      <w:r w:rsidR="00D46A5D">
        <w:rPr>
          <w:lang w:val="sl-SI"/>
        </w:rPr>
        <w:t xml:space="preserve"> do februarja 2021</w:t>
      </w:r>
    </w:p>
    <w:p w14:paraId="0369AB09" w14:textId="0B6DB0CC" w:rsidR="00444756" w:rsidRPr="001B2889" w:rsidRDefault="00444756" w:rsidP="00256321">
      <w:pPr>
        <w:pStyle w:val="Telobesedila"/>
        <w:rPr>
          <w:lang w:val="sl-SI"/>
        </w:rPr>
      </w:pPr>
      <w:r w:rsidRPr="00113CA3">
        <w:rPr>
          <w:b/>
          <w:bCs/>
          <w:lang w:val="sl-SI"/>
        </w:rPr>
        <w:t xml:space="preserve">Dinamika transferjev </w:t>
      </w:r>
      <w:r w:rsidR="00256321">
        <w:rPr>
          <w:b/>
          <w:bCs/>
          <w:lang w:val="sl-SI"/>
        </w:rPr>
        <w:t>v zadnjem obdobju</w:t>
      </w:r>
      <w:r w:rsidRPr="00843C20">
        <w:rPr>
          <w:b/>
          <w:bCs/>
          <w:color w:val="FF0000"/>
          <w:lang w:val="sl-SI"/>
        </w:rPr>
        <w:t xml:space="preserve"> </w:t>
      </w:r>
      <w:r w:rsidRPr="00113CA3">
        <w:rPr>
          <w:b/>
          <w:bCs/>
          <w:lang w:val="sl-SI"/>
        </w:rPr>
        <w:t>je rezultat osnovnih trendov pred COVID-19 pandemijo, vpliva pandemije COVID-19 ter odziva politike nanjo</w:t>
      </w:r>
      <w:r>
        <w:rPr>
          <w:lang w:val="sl-SI"/>
        </w:rPr>
        <w:t xml:space="preserve">. V zvezi s tem je treba </w:t>
      </w:r>
      <w:r>
        <w:rPr>
          <w:lang w:val="sl-SI"/>
        </w:rPr>
        <w:lastRenderedPageBreak/>
        <w:t>razlikovati med: 1) osnovnim trendom gibanja socialnih transferjev, ki odraža pretekle politike; 2) vpliv</w:t>
      </w:r>
      <w:r w:rsidR="00843C20">
        <w:rPr>
          <w:lang w:val="sl-SI"/>
        </w:rPr>
        <w:t>om</w:t>
      </w:r>
      <w:r>
        <w:rPr>
          <w:lang w:val="sl-SI"/>
        </w:rPr>
        <w:t xml:space="preserve"> pandemije na trende prek socialne narave transferjev (npr. nadomestilo za brezposelnost)</w:t>
      </w:r>
      <w:r w:rsidR="00256321">
        <w:rPr>
          <w:lang w:val="sl-SI"/>
        </w:rPr>
        <w:t>;</w:t>
      </w:r>
      <w:r>
        <w:rPr>
          <w:lang w:val="sl-SI"/>
        </w:rPr>
        <w:t xml:space="preserve"> 3) odzive politike na pandemijo kot enkratno povečanje transferjev za ublažitev vpliva na ranljive dohodkovne skupine, ki sami po sebi ne vplivajo na število upravičencev, temveč le na njihov dohodek</w:t>
      </w:r>
      <w:r w:rsidR="00256321">
        <w:rPr>
          <w:lang w:val="sl-SI"/>
        </w:rPr>
        <w:t xml:space="preserve"> in</w:t>
      </w:r>
      <w:r>
        <w:rPr>
          <w:lang w:val="sl-SI"/>
        </w:rPr>
        <w:t xml:space="preserve"> </w:t>
      </w:r>
      <w:r w:rsidR="00256321">
        <w:rPr>
          <w:lang w:val="sl-SI"/>
        </w:rPr>
        <w:t xml:space="preserve"> </w:t>
      </w:r>
      <w:r w:rsidR="001A4E2F">
        <w:rPr>
          <w:lang w:val="sl-SI"/>
        </w:rPr>
        <w:t xml:space="preserve">4) </w:t>
      </w:r>
      <w:r w:rsidR="009664FF">
        <w:rPr>
          <w:lang w:val="sl-SI"/>
        </w:rPr>
        <w:t>o</w:t>
      </w:r>
      <w:r w:rsidR="001B2889" w:rsidRPr="001B2889">
        <w:rPr>
          <w:lang w:val="sl-SI"/>
        </w:rPr>
        <w:t>dziv</w:t>
      </w:r>
      <w:r w:rsidR="00054C1F">
        <w:rPr>
          <w:lang w:val="sl-SI"/>
        </w:rPr>
        <w:t>e</w:t>
      </w:r>
      <w:r w:rsidR="001B2889" w:rsidRPr="001B2889">
        <w:rPr>
          <w:lang w:val="sl-SI"/>
        </w:rPr>
        <w:t xml:space="preserve"> politike na pandemijo </w:t>
      </w:r>
      <w:r w:rsidR="00343C96">
        <w:rPr>
          <w:lang w:val="sl-SI"/>
        </w:rPr>
        <w:t xml:space="preserve">v obliki </w:t>
      </w:r>
      <w:r w:rsidR="001B2889" w:rsidRPr="001B2889">
        <w:rPr>
          <w:lang w:val="sl-SI"/>
        </w:rPr>
        <w:t>enkratnih transferjev</w:t>
      </w:r>
      <w:r w:rsidR="00343C96">
        <w:rPr>
          <w:lang w:val="sl-SI"/>
        </w:rPr>
        <w:t>.</w:t>
      </w:r>
      <w:r w:rsidR="00256321">
        <w:rPr>
          <w:lang w:val="sl-SI"/>
        </w:rPr>
        <w:t xml:space="preserve"> </w:t>
      </w:r>
      <w:r w:rsidR="00634BC0">
        <w:rPr>
          <w:lang w:val="sl-SI"/>
        </w:rPr>
        <w:t xml:space="preserve">Navedenemu pristopu razlikovanja sledimo tukaj. </w:t>
      </w:r>
    </w:p>
    <w:p w14:paraId="07D32408" w14:textId="77777777" w:rsidR="00444756" w:rsidRDefault="00444756" w:rsidP="00444756">
      <w:pPr>
        <w:pStyle w:val="Telobesedila"/>
        <w:rPr>
          <w:lang w:val="sl-SI"/>
        </w:rPr>
      </w:pPr>
      <w:r w:rsidRPr="00113CA3">
        <w:rPr>
          <w:b/>
          <w:bCs/>
          <w:lang w:val="sl-SI"/>
        </w:rPr>
        <w:t>Konceptualno, glede na funkcijo, ki jo opravljajo, lahko transferje razvrstimo glede na standardno statistično klasifikacijo po funkciji (EUROSTAT) ali pa jih delimo glede na druge kriterije (ESSPROS).</w:t>
      </w:r>
      <w:r>
        <w:rPr>
          <w:lang w:val="sl-SI"/>
        </w:rPr>
        <w:t xml:space="preserve"> Za potrebe poročila, transferje delimo v tri skupine: 1) </w:t>
      </w:r>
      <w:r w:rsidRPr="00113CA3">
        <w:rPr>
          <w:b/>
          <w:bCs/>
          <w:lang w:val="sl-SI"/>
        </w:rPr>
        <w:t>Transferji, ki zagotavljajo ali povečajo blaginjo in so v prvi vrsti povezani z družinskimi zadevami in vzgojo otrok</w:t>
      </w:r>
      <w:r>
        <w:rPr>
          <w:lang w:val="sl-SI"/>
        </w:rPr>
        <w:t xml:space="preserve"> (otroški dodatek, starševska nadomestila, rejnine, pomoč ob rojstvu otroka, dodatek za veliko družino, plačilo prispevkov (4 ali več otrok), krajši delovni čas, štipendije sklada in državna štipendija; 2) </w:t>
      </w:r>
      <w:r w:rsidRPr="00113CA3">
        <w:rPr>
          <w:b/>
          <w:bCs/>
          <w:lang w:val="sl-SI"/>
        </w:rPr>
        <w:t>transferji, katerih cilj je solidarnost</w:t>
      </w:r>
      <w:r>
        <w:rPr>
          <w:lang w:val="sl-SI"/>
        </w:rPr>
        <w:t xml:space="preserve">: varstveni dodatek, osebna asistenca, komunikacijski dodatek, pogrebnina in posmrtnina, oprostitve plačil socialno varstvenih storitev, družinski pomočnik, dodatek za nego otroka, delno plačilo za izgubljeni dohodek; 3) </w:t>
      </w:r>
      <w:r w:rsidRPr="00113CA3">
        <w:rPr>
          <w:b/>
          <w:bCs/>
          <w:lang w:val="sl-SI"/>
        </w:rPr>
        <w:t>transferji za ublažitev šokov zaradi izgube zaposlitve</w:t>
      </w:r>
      <w:r>
        <w:rPr>
          <w:lang w:val="sl-SI"/>
        </w:rPr>
        <w:t xml:space="preserve"> (nadomestila za brezposelnost) </w:t>
      </w:r>
      <w:r w:rsidRPr="00113CA3">
        <w:rPr>
          <w:b/>
          <w:bCs/>
          <w:lang w:val="sl-SI"/>
        </w:rPr>
        <w:t>ali zaradi izgube dohodka</w:t>
      </w:r>
      <w:r>
        <w:rPr>
          <w:lang w:val="sl-SI"/>
        </w:rPr>
        <w:t xml:space="preserve"> (subvencija najemnine, denarna socialna pomoč in izredna državna socialna pomoč). Transferji, razvrščeni glede na funkcijo, vsebino in način prejemanja, so prikazani v tabeli 12.</w:t>
      </w:r>
    </w:p>
    <w:p w14:paraId="4A19FD61" w14:textId="0A2440C1" w:rsidR="00444756" w:rsidRDefault="00444756" w:rsidP="00444756">
      <w:pPr>
        <w:pStyle w:val="Telobesedila"/>
        <w:rPr>
          <w:lang w:val="sl-SI"/>
        </w:rPr>
      </w:pPr>
      <w:r>
        <w:rPr>
          <w:b/>
          <w:lang w:val="sl-SI"/>
        </w:rPr>
        <w:t>Transferji, povezani z blaginjo, so v večini primerov, z izjemo letnih prilagoditev višine, sledili prejšnjim povprečnim trendom rasti</w:t>
      </w:r>
      <w:r>
        <w:rPr>
          <w:lang w:val="sl-SI"/>
        </w:rPr>
        <w:t xml:space="preserve"> (slika 3a in 4a). Trend zniževanja medletne rasti, merjeno z 12 mesečno drsečo sredino, je opazen pri pravici krajši delovni čas, starševskem dopustu in nadomestilih, otroškemu dodatku, rejninah in starševskem dodatku (slika 4a). Trend zviševanja rasti je prisoten pri plačilu prispevkov (4 ali več otrokov) in starševskemu dodatku. Sprememb gibanja rasti ni v primerih državne štipendije in štipendijah sklada (Slika 4 a). Pri večini pravic je trend medletne rasti števila upravičencev stabilen (Slika 4b) (npr. otroški dodatek, starševski dodatek, državna štipendija). V primeru rejnin, plačila prispevkov (4 ali več otrok) in subvencije vrtca se število upravičencev medletno znižuje (Slika 4b). Padec  izdatkov za starševske dopuste in nadomestila ter za krajši delovni čas je predvsem zaradi zmanjšanja števila upravičencev (Slika 4a in 4b).</w:t>
      </w:r>
    </w:p>
    <w:p w14:paraId="621A4E19" w14:textId="7A384D41" w:rsidR="00444756" w:rsidRDefault="00444756" w:rsidP="00444756">
      <w:pPr>
        <w:pStyle w:val="Telobesedila"/>
        <w:rPr>
          <w:lang w:val="sl-SI"/>
        </w:rPr>
      </w:pPr>
      <w:r>
        <w:rPr>
          <w:lang w:val="sl-SI"/>
        </w:rPr>
        <w:t>V mesecu februarju so se glede na enak mesec lani zvišali zneski za štipendije sklada, pomoč od rojstvu otroka in  plačilo prispevkov (4 ali več otrok), pri ostalih pravicah pa so se znižali (Tabela 1).</w:t>
      </w:r>
      <w:r>
        <w:rPr>
          <w:rStyle w:val="Sprotnaopomba-sklic"/>
          <w:lang w:val="sl-SI"/>
        </w:rPr>
        <w:footnoteReference w:id="3"/>
      </w:r>
      <w:r>
        <w:rPr>
          <w:lang w:val="sl-SI"/>
        </w:rPr>
        <w:t xml:space="preserve"> Glede na število upravičencev, se je medletno zvišalo število upravičencev samo do starševskega dodatka in rahlo pri otroškem dodatku, pri ostalih transferjih pa je število upravičencev medletno upadlo (Tabela 2).</w:t>
      </w:r>
      <w:r>
        <w:rPr>
          <w:rStyle w:val="Sprotnaopomba-sklic"/>
          <w:lang w:val="sl-SI"/>
        </w:rPr>
        <w:footnoteReference w:id="4"/>
      </w:r>
    </w:p>
    <w:p w14:paraId="26330973" w14:textId="77777777" w:rsidR="00444756" w:rsidRDefault="00444756" w:rsidP="00444756">
      <w:pPr>
        <w:pStyle w:val="Telobesedila"/>
        <w:rPr>
          <w:lang w:val="sl-SI"/>
        </w:rPr>
      </w:pPr>
      <w:r w:rsidRPr="00EA501E">
        <w:rPr>
          <w:b/>
          <w:bCs/>
          <w:lang w:val="sl-SI"/>
        </w:rPr>
        <w:t>Transferji</w:t>
      </w:r>
      <w:r>
        <w:rPr>
          <w:b/>
          <w:bCs/>
          <w:lang w:val="sl-SI"/>
        </w:rPr>
        <w:t>,</w:t>
      </w:r>
      <w:r w:rsidRPr="00EA501E">
        <w:rPr>
          <w:b/>
          <w:bCs/>
          <w:lang w:val="sl-SI"/>
        </w:rPr>
        <w:t xml:space="preserve"> povezani s solidarnostjo, med vsemi transfer</w:t>
      </w:r>
      <w:r>
        <w:rPr>
          <w:b/>
          <w:bCs/>
          <w:lang w:val="sl-SI"/>
        </w:rPr>
        <w:t>j</w:t>
      </w:r>
      <w:r w:rsidRPr="00EA501E">
        <w:rPr>
          <w:b/>
          <w:bCs/>
          <w:lang w:val="sl-SI"/>
        </w:rPr>
        <w:t>i dosegajo najvišje stopnje rasti, in sicer tako v višini celotnih izdatkov zanje v tem obdobju, kot tudi glede na število upravičencev</w:t>
      </w:r>
      <w:r>
        <w:rPr>
          <w:lang w:val="sl-SI"/>
        </w:rPr>
        <w:t xml:space="preserve"> (Tabela 1 in 2 slike 4a in4b). Še posebej to velja za osebno asistenco, komunikacijski dodatek, varstveni dodatek in delno izplačilo za izgubljeni dohodek. Opazovani trendi visoke rasti izdatkov za transferje, ki so povezani s solidarnostjo, so posledica odločitev politik pred pandemijo. Izjema je  pri pravici kritja polne vrednosti zdravstvenih storitev v katerih visok rast je povezano s številom prejemnikov denarne socialne pomoči. V februarju 2021 je bilo 70 tisoč upravičencev do kritja polne vrednosti zdravstvenih storitev, medletna rast števila upravičencev do te pravice glede na enako </w:t>
      </w:r>
      <w:r>
        <w:rPr>
          <w:lang w:val="sl-SI"/>
        </w:rPr>
        <w:lastRenderedPageBreak/>
        <w:t xml:space="preserve">obdobje lani je znašala 17,3 (Tabela 2). Trend visoke rasti izdatkov za osebno asistenco in za varstveni dodatek je zlasti pomemben zaradi relativno visokega skupnega zneska teh izdatkov. Visoka rast izdatkov za ti pravici je posledica zvišanja števila upravičencev (Tabela 2). Medtem ko izdatki in število upravičencev za osebno asistenco raste, pa pri pravici do družinskega pomočnika beležimo padec tako števila upravičencev kot tudi izdatkov za ta transfer. </w:t>
      </w:r>
    </w:p>
    <w:p w14:paraId="0EFE37A1" w14:textId="2BD4D9E5" w:rsidR="00444756" w:rsidRPr="00113CA3" w:rsidRDefault="00444756" w:rsidP="00444756">
      <w:pPr>
        <w:pStyle w:val="Telobesedila"/>
        <w:rPr>
          <w:lang w:val="sl-SI"/>
        </w:rPr>
      </w:pPr>
      <w:r>
        <w:rPr>
          <w:lang w:val="sl-SI"/>
        </w:rPr>
        <w:t xml:space="preserve">V mesecu </w:t>
      </w:r>
      <w:r w:rsidRPr="00C932E8">
        <w:rPr>
          <w:lang w:val="sl-SI"/>
        </w:rPr>
        <w:t>februarju</w:t>
      </w:r>
      <w:r>
        <w:rPr>
          <w:lang w:val="sl-SI"/>
        </w:rPr>
        <w:t xml:space="preserve"> so se glede na enak mesec lani zvišali zneski in število upravičencev pri večini transferjev, razen pri pravici do družinskega pomočnika, oprostitvi plačila socialno varstvenih storitev, pogrebnini in posmrtnina. (Tabela 1 in 2). Predvsem pri zadnjih dveh pravicah je potrebno upoštevati, da podatki niso dokončni, saj je ti pravici mogoče uveljavljati še 1 leto po smrti osebe.</w:t>
      </w:r>
    </w:p>
    <w:p w14:paraId="49A8CD77" w14:textId="77777777" w:rsidR="00444756" w:rsidRDefault="00444756" w:rsidP="00444756">
      <w:pPr>
        <w:pStyle w:val="Telobesedila"/>
        <w:rPr>
          <w:lang w:val="sl-SI"/>
        </w:rPr>
      </w:pPr>
      <w:r>
        <w:rPr>
          <w:b/>
          <w:lang w:val="sl-SI"/>
        </w:rPr>
        <w:t>Pri transferjih, katerih namen je blažitev posledic izgube dohodka</w:t>
      </w:r>
      <w:r>
        <w:rPr>
          <w:lang w:val="sl-SI"/>
        </w:rPr>
        <w:t xml:space="preserve">, je na dinamiko izdatkov zanje vplivala pandemija COVID-19, saj so se trendi rasti od aprila letos obrnili navzgor (Slika 4a do 4c). Pri denarni socialni pomoči se je v maju 2020 število upravičencev medletno zvišalo za 11,6 %,  rast je ostala visoka in stabilna do oktobra 2020, ko se je ponovno pričela zviševati in je v prvih dveh mesecih 2021 16,4 %. (Slika 4 in Tabela 1). V </w:t>
      </w:r>
      <w:r w:rsidRPr="00C932E8">
        <w:rPr>
          <w:lang w:val="sl-SI"/>
        </w:rPr>
        <w:t>februarju</w:t>
      </w:r>
      <w:r>
        <w:rPr>
          <w:lang w:val="sl-SI"/>
        </w:rPr>
        <w:t xml:space="preserve"> je bilo število upravičencev do denarne socialne pomoči že 110 tisoč (Tabela 2). Pri izredni denarni socialni pomoči pa je medletna rast števila upravičencev v maju 2020 znašala 50,5 % (Slika 3b). Število upravičencev, ki prejemajo denarno socialno pomoč in izredno denarno socialno pomoč, se je predvsem povišalo v zadnjem obdobju od ponovnega zaprtja nekaterih dejavnosti. Vpliv pandemije se odraža tudi v zvišanju zneska in števila upravičencev do subvencije najemnine, ki je odvisna od dohodkovnega položaja upravičencev (Slika 4a in 4b).</w:t>
      </w:r>
    </w:p>
    <w:p w14:paraId="6BDF2DFD" w14:textId="77777777" w:rsidR="00444756" w:rsidRDefault="00444756" w:rsidP="00444756">
      <w:pPr>
        <w:pStyle w:val="Telobesedila"/>
        <w:rPr>
          <w:lang w:val="sl-SI"/>
        </w:rPr>
      </w:pPr>
      <w:r>
        <w:rPr>
          <w:b/>
          <w:lang w:val="sl-SI"/>
        </w:rPr>
        <w:t>Kar zadeva nadomestilo za brezposelnost, se je njegova dinamika, kot posledica pandemije COVID-19, bistveno spremenila.</w:t>
      </w:r>
      <w:r>
        <w:rPr>
          <w:lang w:val="sl-SI"/>
        </w:rPr>
        <w:t xml:space="preserve"> Upadajoči trend (sezonsko prilagojen) se je ustavil v marcu, ko se je medletna stopnja rasti števila upravičencev povišala na 61,7 %, v maju, ko je dosegla vrh, pa kar na 76,6 %.  Povprečno mesečno število upravičencev do denarnega nadomestila je bilo v letu 2020 za 34,4 % višje kot v 2019. V januarju 2021 se je medletna rast števila upravičencev do nadomestila za brezposelnost umirila, vendar je še vedno občutna  </w:t>
      </w:r>
      <w:r>
        <w:rPr>
          <w:rFonts w:cs="Calibri"/>
          <w:lang w:val="sl-SI"/>
        </w:rPr>
        <w:t>̶</w:t>
      </w:r>
      <w:r>
        <w:rPr>
          <w:lang w:val="sl-SI"/>
        </w:rPr>
        <w:t xml:space="preserve">  bila je 9,5 odstotna (Tabela 2 in Slika 3d)). Pri tem je potrebno ponovno omeniti, da bi bilo lahko povišanje števila brezposelnih ter prejemnikov nadomestila za brezposelnost bistveno večje, če ne bi bilo ukrepov na trgu dela  ̶ zlasti sofinanciranja čakanja na delo, ki so bili sprejeti za ublažitev posledic zapiranja nekaterih gospodarskih dejavnosti in vpliva zunanjega šoka povpraševanja zaradi COVID-19 pandemije.</w:t>
      </w:r>
    </w:p>
    <w:p w14:paraId="6BF421FE" w14:textId="62D0C223" w:rsidR="00444756" w:rsidRDefault="00444756" w:rsidP="00444756">
      <w:pPr>
        <w:pStyle w:val="Telobesedila"/>
        <w:rPr>
          <w:lang w:val="sl-SI"/>
        </w:rPr>
      </w:pPr>
      <w:r>
        <w:rPr>
          <w:lang w:val="sl-SI"/>
        </w:rPr>
        <w:t xml:space="preserve">Kot že omenjeno, se pandemija odraža v trendu nekaterih transferjev (kot avtomatski odziv sistema), poleg tega transferji odražajo tudi odziv politike oz. diskrecijskih ukrepov za ublažitev vpliva krize. Večina ukrepov na področju transferjev za blažitev vpliva COVID-19 pandemije </w:t>
      </w:r>
      <w:r w:rsidR="00014C62" w:rsidRPr="00397349">
        <w:rPr>
          <w:lang w:val="sl-SI"/>
        </w:rPr>
        <w:t>je</w:t>
      </w:r>
      <w:r w:rsidR="00014C62">
        <w:rPr>
          <w:lang w:val="sl-SI"/>
        </w:rPr>
        <w:t xml:space="preserve"> enkratne narave</w:t>
      </w:r>
      <w:r>
        <w:rPr>
          <w:lang w:val="sl-SI"/>
        </w:rPr>
        <w:t xml:space="preser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0FC8FA72" w14:textId="77777777" w:rsidR="00444756" w:rsidRDefault="00444756" w:rsidP="00444756">
      <w:pPr>
        <w:spacing w:after="0"/>
        <w:jc w:val="both"/>
        <w:rPr>
          <w:rFonts w:ascii="Times New Roman" w:hAnsi="Times New Roman" w:cs="Times New Roman"/>
          <w:lang w:val="sl-SI" w:eastAsia="sl-SI"/>
        </w:rPr>
      </w:pPr>
      <w:r>
        <w:rPr>
          <w:sz w:val="22"/>
          <w:szCs w:val="22"/>
          <w:lang w:val="sl-SI"/>
        </w:rPr>
        <w:t>Tabel</w:t>
      </w:r>
      <w:r w:rsidR="006244EB">
        <w:rPr>
          <w:sz w:val="22"/>
          <w:szCs w:val="22"/>
          <w:lang w:val="sl-SI"/>
        </w:rPr>
        <w:t>a</w:t>
      </w:r>
      <w:r>
        <w:rPr>
          <w:sz w:val="22"/>
          <w:szCs w:val="22"/>
          <w:lang w:val="sl-SI"/>
        </w:rPr>
        <w:t xml:space="preserve"> A ločeno prikazuje ločene ukrepe v 2020 in tiste, ki se izvedli v januarju 2021 v okviru sedmega paketa ukrepov za omilitev posledic epidemije. Nekateri od njih bodo izplačani tudi za nazaj (npr. solidarnostni dodatek za novorojenega otroka, rojenega od 1.1.2020 dalje), prvo izplačilo pa bo do 31. 3. 2021.</w:t>
      </w:r>
      <w:r>
        <w:rPr>
          <w:rFonts w:ascii="Times New Roman" w:hAnsi="Times New Roman" w:cs="Times New Roman"/>
          <w:lang w:val="sl-SI" w:eastAsia="sl-SI"/>
        </w:rPr>
        <w:t xml:space="preserve"> </w:t>
      </w:r>
    </w:p>
    <w:p w14:paraId="2C3CB3EB" w14:textId="77777777" w:rsidR="009813B9" w:rsidRDefault="009813B9" w:rsidP="00444756">
      <w:pPr>
        <w:pStyle w:val="Naslov3"/>
      </w:pPr>
    </w:p>
    <w:p w14:paraId="2FCF034E" w14:textId="77777777" w:rsidR="00444756" w:rsidRDefault="00444756" w:rsidP="00444756">
      <w:pPr>
        <w:pStyle w:val="Telobesedila"/>
      </w:pPr>
    </w:p>
    <w:p w14:paraId="33BEA55F" w14:textId="77777777" w:rsidR="00444756" w:rsidRPr="00444756" w:rsidRDefault="00444756" w:rsidP="00444756">
      <w:pPr>
        <w:pStyle w:val="Telobesedila"/>
      </w:pPr>
    </w:p>
    <w:p w14:paraId="33DB05C7" w14:textId="77777777" w:rsidR="009813B9" w:rsidRDefault="006D271E">
      <w:pPr>
        <w:pStyle w:val="Telobesedila"/>
      </w:pPr>
      <w:r>
        <w:rPr>
          <w:b/>
        </w:rPr>
        <w:lastRenderedPageBreak/>
        <w:t>Tabela A Izplačila enkratnih zneskov za ublažitev posledic krize</w:t>
      </w:r>
    </w:p>
    <w:tbl>
      <w:tblPr>
        <w:tblW w:w="0" w:type="auto"/>
        <w:jc w:val="center"/>
        <w:tblLook w:val="0420" w:firstRow="1" w:lastRow="0" w:firstColumn="0" w:lastColumn="0" w:noHBand="0" w:noVBand="1"/>
      </w:tblPr>
      <w:tblGrid>
        <w:gridCol w:w="436"/>
        <w:gridCol w:w="3993"/>
        <w:gridCol w:w="729"/>
        <w:gridCol w:w="890"/>
        <w:gridCol w:w="1251"/>
        <w:gridCol w:w="2107"/>
      </w:tblGrid>
      <w:tr w:rsidR="009813B9" w:rsidRPr="006D271E" w14:paraId="5796A1D8" w14:textId="77777777">
        <w:trPr>
          <w:cantSplit/>
          <w:tblHeader/>
          <w:jc w:val="center"/>
        </w:trPr>
        <w:tc>
          <w:tcPr>
            <w:tcW w:w="0" w:type="auto"/>
            <w:shd w:val="clear" w:color="auto" w:fill="8BC9E8"/>
            <w:tcMar>
              <w:top w:w="0" w:type="dxa"/>
              <w:left w:w="0" w:type="dxa"/>
              <w:bottom w:w="0" w:type="dxa"/>
              <w:right w:w="0" w:type="dxa"/>
            </w:tcMar>
            <w:vAlign w:val="center"/>
          </w:tcPr>
          <w:p w14:paraId="74797C15" w14:textId="77777777" w:rsidR="009813B9" w:rsidRPr="006D271E" w:rsidRDefault="009813B9" w:rsidP="006D271E">
            <w:pPr>
              <w:spacing w:before="40" w:after="40"/>
              <w:ind w:left="40" w:right="40"/>
              <w:jc w:val="center"/>
              <w:rPr>
                <w:sz w:val="16"/>
                <w:szCs w:val="16"/>
              </w:rPr>
            </w:pPr>
          </w:p>
        </w:tc>
        <w:tc>
          <w:tcPr>
            <w:tcW w:w="0" w:type="auto"/>
            <w:shd w:val="clear" w:color="auto" w:fill="8BC9E8"/>
            <w:tcMar>
              <w:top w:w="0" w:type="dxa"/>
              <w:left w:w="0" w:type="dxa"/>
              <w:bottom w:w="0" w:type="dxa"/>
              <w:right w:w="0" w:type="dxa"/>
            </w:tcMar>
            <w:vAlign w:val="center"/>
          </w:tcPr>
          <w:p w14:paraId="739A14D5"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Ukrep</w:t>
            </w:r>
          </w:p>
        </w:tc>
        <w:tc>
          <w:tcPr>
            <w:tcW w:w="0" w:type="auto"/>
            <w:shd w:val="clear" w:color="auto" w:fill="8BC9E8"/>
            <w:tcMar>
              <w:top w:w="0" w:type="dxa"/>
              <w:left w:w="0" w:type="dxa"/>
              <w:bottom w:w="0" w:type="dxa"/>
              <w:right w:w="0" w:type="dxa"/>
            </w:tcMar>
            <w:vAlign w:val="center"/>
          </w:tcPr>
          <w:p w14:paraId="791E1C19"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Obdobje</w:t>
            </w:r>
          </w:p>
        </w:tc>
        <w:tc>
          <w:tcPr>
            <w:tcW w:w="0" w:type="auto"/>
            <w:shd w:val="clear" w:color="auto" w:fill="8BC9E8"/>
            <w:tcMar>
              <w:top w:w="0" w:type="dxa"/>
              <w:left w:w="0" w:type="dxa"/>
              <w:bottom w:w="0" w:type="dxa"/>
              <w:right w:w="0" w:type="dxa"/>
            </w:tcMar>
            <w:vAlign w:val="center"/>
          </w:tcPr>
          <w:p w14:paraId="1328DA81"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Prejemniki</w:t>
            </w:r>
          </w:p>
        </w:tc>
        <w:tc>
          <w:tcPr>
            <w:tcW w:w="0" w:type="auto"/>
            <w:shd w:val="clear" w:color="auto" w:fill="8BC9E8"/>
            <w:tcMar>
              <w:top w:w="0" w:type="dxa"/>
              <w:left w:w="0" w:type="dxa"/>
              <w:bottom w:w="0" w:type="dxa"/>
              <w:right w:w="0" w:type="dxa"/>
            </w:tcMar>
            <w:vAlign w:val="center"/>
          </w:tcPr>
          <w:p w14:paraId="21533E3D" w14:textId="77777777" w:rsidR="006D271E" w:rsidRDefault="006D271E" w:rsidP="006D271E">
            <w:pPr>
              <w:spacing w:before="40" w:after="40"/>
              <w:ind w:left="40" w:right="40"/>
              <w:jc w:val="center"/>
              <w:rPr>
                <w:rFonts w:ascii="Arial" w:eastAsia="Arial" w:hAnsi="Arial" w:cs="Arial"/>
                <w:b/>
                <w:color w:val="111111"/>
                <w:sz w:val="16"/>
                <w:szCs w:val="16"/>
              </w:rPr>
            </w:pPr>
            <w:r>
              <w:rPr>
                <w:rFonts w:ascii="Arial" w:eastAsia="Arial" w:hAnsi="Arial" w:cs="Arial"/>
                <w:b/>
                <w:color w:val="111111"/>
                <w:sz w:val="16"/>
                <w:szCs w:val="16"/>
              </w:rPr>
              <w:t xml:space="preserve">Finančni </w:t>
            </w:r>
            <w:r w:rsidRPr="006D271E">
              <w:rPr>
                <w:rFonts w:ascii="Arial" w:eastAsia="Arial" w:hAnsi="Arial" w:cs="Arial"/>
                <w:b/>
                <w:color w:val="111111"/>
                <w:sz w:val="16"/>
                <w:szCs w:val="16"/>
              </w:rPr>
              <w:t>učinek</w:t>
            </w:r>
            <w:r>
              <w:rPr>
                <w:rFonts w:ascii="Arial" w:eastAsia="Arial" w:hAnsi="Arial" w:cs="Arial"/>
                <w:b/>
                <w:color w:val="111111"/>
                <w:sz w:val="16"/>
                <w:szCs w:val="16"/>
              </w:rPr>
              <w:t xml:space="preserve"> </w:t>
            </w:r>
          </w:p>
          <w:p w14:paraId="1187668E" w14:textId="77777777" w:rsidR="009813B9" w:rsidRPr="006D271E" w:rsidRDefault="006D271E" w:rsidP="006D271E">
            <w:pPr>
              <w:spacing w:before="40" w:after="40"/>
              <w:ind w:left="40" w:right="40"/>
              <w:jc w:val="center"/>
              <w:rPr>
                <w:sz w:val="16"/>
                <w:szCs w:val="16"/>
              </w:rPr>
            </w:pPr>
            <w:r>
              <w:rPr>
                <w:rFonts w:ascii="Arial" w:eastAsia="Arial" w:hAnsi="Arial" w:cs="Arial"/>
                <w:b/>
                <w:color w:val="111111"/>
                <w:sz w:val="16"/>
                <w:szCs w:val="16"/>
              </w:rPr>
              <w:t xml:space="preserve">(mio </w:t>
            </w:r>
            <w:r w:rsidRPr="006D271E">
              <w:rPr>
                <w:rFonts w:ascii="Arial" w:eastAsia="Arial" w:hAnsi="Arial" w:cs="Arial"/>
                <w:b/>
                <w:color w:val="111111"/>
                <w:sz w:val="16"/>
                <w:szCs w:val="16"/>
              </w:rPr>
              <w:t>eur)</w:t>
            </w:r>
          </w:p>
        </w:tc>
        <w:tc>
          <w:tcPr>
            <w:tcW w:w="0" w:type="auto"/>
            <w:shd w:val="clear" w:color="auto" w:fill="8BC9E8"/>
            <w:tcMar>
              <w:top w:w="0" w:type="dxa"/>
              <w:left w:w="0" w:type="dxa"/>
              <w:bottom w:w="0" w:type="dxa"/>
              <w:right w:w="0" w:type="dxa"/>
            </w:tcMar>
            <w:vAlign w:val="center"/>
          </w:tcPr>
          <w:p w14:paraId="12761880"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Povprečje/prejemnika</w:t>
            </w:r>
            <w:r>
              <w:rPr>
                <w:rFonts w:ascii="Arial" w:eastAsia="Arial" w:hAnsi="Arial" w:cs="Arial"/>
                <w:b/>
                <w:color w:val="111111"/>
                <w:sz w:val="16"/>
                <w:szCs w:val="16"/>
              </w:rPr>
              <w:t xml:space="preserve"> </w:t>
            </w:r>
            <w:r w:rsidRPr="006D271E">
              <w:rPr>
                <w:rFonts w:ascii="Arial" w:eastAsia="Arial" w:hAnsi="Arial" w:cs="Arial"/>
                <w:b/>
                <w:color w:val="111111"/>
                <w:sz w:val="16"/>
                <w:szCs w:val="16"/>
              </w:rPr>
              <w:t>(eur)</w:t>
            </w:r>
          </w:p>
        </w:tc>
      </w:tr>
      <w:tr w:rsidR="009813B9" w:rsidRPr="006D271E" w14:paraId="533CE1D7" w14:textId="77777777">
        <w:trPr>
          <w:cantSplit/>
          <w:jc w:val="center"/>
        </w:trPr>
        <w:tc>
          <w:tcPr>
            <w:tcW w:w="0" w:type="auto"/>
            <w:shd w:val="clear" w:color="auto" w:fill="B0E3FB"/>
            <w:tcMar>
              <w:top w:w="0" w:type="dxa"/>
              <w:left w:w="0" w:type="dxa"/>
              <w:bottom w:w="0" w:type="dxa"/>
              <w:right w:w="0" w:type="dxa"/>
            </w:tcMar>
            <w:vAlign w:val="center"/>
          </w:tcPr>
          <w:p w14:paraId="48CBAFEA" w14:textId="77777777" w:rsidR="009813B9" w:rsidRPr="006D271E" w:rsidRDefault="006D271E">
            <w:pPr>
              <w:spacing w:before="40" w:after="40"/>
              <w:ind w:left="40" w:right="40"/>
              <w:jc w:val="right"/>
              <w:rPr>
                <w:sz w:val="16"/>
                <w:szCs w:val="16"/>
              </w:rPr>
            </w:pPr>
            <w:r w:rsidRPr="006D271E">
              <w:rPr>
                <w:rFonts w:ascii="Arial" w:eastAsia="Arial" w:hAnsi="Arial" w:cs="Arial"/>
                <w:b/>
                <w:color w:val="111111"/>
                <w:sz w:val="16"/>
                <w:szCs w:val="16"/>
              </w:rPr>
              <w:t>2020</w:t>
            </w:r>
          </w:p>
        </w:tc>
        <w:tc>
          <w:tcPr>
            <w:tcW w:w="0" w:type="auto"/>
            <w:shd w:val="clear" w:color="auto" w:fill="B0E3FB"/>
            <w:tcMar>
              <w:top w:w="0" w:type="dxa"/>
              <w:left w:w="0" w:type="dxa"/>
              <w:bottom w:w="0" w:type="dxa"/>
              <w:right w:w="0" w:type="dxa"/>
            </w:tcMar>
            <w:vAlign w:val="center"/>
          </w:tcPr>
          <w:p w14:paraId="492872AF"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Enkratni solidarnostni dodatek za upokojence</w:t>
            </w:r>
          </w:p>
        </w:tc>
        <w:tc>
          <w:tcPr>
            <w:tcW w:w="0" w:type="auto"/>
            <w:shd w:val="clear" w:color="auto" w:fill="B0E3FB"/>
            <w:tcMar>
              <w:top w:w="0" w:type="dxa"/>
              <w:left w:w="0" w:type="dxa"/>
              <w:bottom w:w="0" w:type="dxa"/>
              <w:right w:w="0" w:type="dxa"/>
            </w:tcMar>
            <w:vAlign w:val="center"/>
          </w:tcPr>
          <w:p w14:paraId="2FC472C6" w14:textId="77777777" w:rsidR="009813B9" w:rsidRPr="006D271E" w:rsidRDefault="009813B9">
            <w:pPr>
              <w:spacing w:before="40" w:after="40"/>
              <w:ind w:left="40" w:right="40"/>
              <w:jc w:val="center"/>
              <w:rPr>
                <w:sz w:val="16"/>
                <w:szCs w:val="16"/>
              </w:rPr>
            </w:pPr>
          </w:p>
        </w:tc>
        <w:tc>
          <w:tcPr>
            <w:tcW w:w="0" w:type="auto"/>
            <w:shd w:val="clear" w:color="auto" w:fill="B0E3FB"/>
            <w:tcMar>
              <w:top w:w="0" w:type="dxa"/>
              <w:left w:w="0" w:type="dxa"/>
              <w:bottom w:w="0" w:type="dxa"/>
              <w:right w:w="0" w:type="dxa"/>
            </w:tcMar>
            <w:vAlign w:val="center"/>
          </w:tcPr>
          <w:p w14:paraId="1E73EF8C" w14:textId="77777777" w:rsidR="009813B9" w:rsidRPr="006D271E" w:rsidRDefault="009813B9">
            <w:pPr>
              <w:spacing w:before="40" w:after="40"/>
              <w:ind w:left="40" w:right="40"/>
              <w:jc w:val="center"/>
              <w:rPr>
                <w:sz w:val="16"/>
                <w:szCs w:val="16"/>
              </w:rPr>
            </w:pPr>
          </w:p>
        </w:tc>
        <w:tc>
          <w:tcPr>
            <w:tcW w:w="0" w:type="auto"/>
            <w:shd w:val="clear" w:color="auto" w:fill="B0E3FB"/>
            <w:tcMar>
              <w:top w:w="0" w:type="dxa"/>
              <w:left w:w="0" w:type="dxa"/>
              <w:bottom w:w="0" w:type="dxa"/>
              <w:right w:w="0" w:type="dxa"/>
            </w:tcMar>
            <w:vAlign w:val="center"/>
          </w:tcPr>
          <w:p w14:paraId="60B98AA0" w14:textId="77777777" w:rsidR="009813B9" w:rsidRPr="006D271E" w:rsidRDefault="009813B9">
            <w:pPr>
              <w:spacing w:before="40" w:after="40"/>
              <w:ind w:left="40" w:right="40"/>
              <w:jc w:val="center"/>
              <w:rPr>
                <w:sz w:val="16"/>
                <w:szCs w:val="16"/>
              </w:rPr>
            </w:pPr>
          </w:p>
        </w:tc>
        <w:tc>
          <w:tcPr>
            <w:tcW w:w="0" w:type="auto"/>
            <w:shd w:val="clear" w:color="auto" w:fill="B0E3FB"/>
            <w:tcMar>
              <w:top w:w="0" w:type="dxa"/>
              <w:left w:w="0" w:type="dxa"/>
              <w:bottom w:w="0" w:type="dxa"/>
              <w:right w:w="0" w:type="dxa"/>
            </w:tcMar>
            <w:vAlign w:val="center"/>
          </w:tcPr>
          <w:p w14:paraId="490801E1" w14:textId="77777777" w:rsidR="009813B9" w:rsidRPr="006D271E" w:rsidRDefault="009813B9">
            <w:pPr>
              <w:spacing w:before="40" w:after="40"/>
              <w:ind w:left="40" w:right="40"/>
              <w:jc w:val="center"/>
              <w:rPr>
                <w:sz w:val="16"/>
                <w:szCs w:val="16"/>
              </w:rPr>
            </w:pPr>
          </w:p>
        </w:tc>
      </w:tr>
      <w:tr w:rsidR="009813B9" w:rsidRPr="006D271E" w14:paraId="0F6D0083" w14:textId="77777777">
        <w:trPr>
          <w:cantSplit/>
          <w:jc w:val="center"/>
        </w:trPr>
        <w:tc>
          <w:tcPr>
            <w:tcW w:w="0" w:type="auto"/>
            <w:shd w:val="clear" w:color="auto" w:fill="FFFFFF"/>
            <w:tcMar>
              <w:top w:w="0" w:type="dxa"/>
              <w:left w:w="0" w:type="dxa"/>
              <w:bottom w:w="0" w:type="dxa"/>
              <w:right w:w="0" w:type="dxa"/>
            </w:tcMar>
            <w:vAlign w:val="center"/>
          </w:tcPr>
          <w:p w14:paraId="61B0CB6C" w14:textId="77777777" w:rsidR="009813B9" w:rsidRPr="006D271E" w:rsidRDefault="009813B9">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5678D1AA" w14:textId="77777777" w:rsidR="009813B9" w:rsidRPr="006D271E" w:rsidRDefault="006D271E">
            <w:pPr>
              <w:spacing w:before="40" w:after="40"/>
              <w:ind w:left="40" w:right="40"/>
              <w:rPr>
                <w:sz w:val="16"/>
                <w:szCs w:val="16"/>
              </w:rPr>
            </w:pPr>
            <w:r w:rsidRPr="006D271E">
              <w:rPr>
                <w:rFonts w:ascii="Arial" w:eastAsia="Arial" w:hAnsi="Arial" w:cs="Arial"/>
                <w:i/>
                <w:color w:val="111111"/>
                <w:sz w:val="16"/>
                <w:szCs w:val="16"/>
              </w:rPr>
              <w:t>pokojnine</w:t>
            </w:r>
          </w:p>
        </w:tc>
        <w:tc>
          <w:tcPr>
            <w:tcW w:w="0" w:type="auto"/>
            <w:shd w:val="clear" w:color="auto" w:fill="FFFFFF"/>
            <w:tcMar>
              <w:top w:w="0" w:type="dxa"/>
              <w:left w:w="0" w:type="dxa"/>
              <w:bottom w:w="0" w:type="dxa"/>
              <w:right w:w="0" w:type="dxa"/>
            </w:tcMar>
            <w:vAlign w:val="center"/>
          </w:tcPr>
          <w:p w14:paraId="74104205"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april</w:t>
            </w:r>
          </w:p>
        </w:tc>
        <w:tc>
          <w:tcPr>
            <w:tcW w:w="0" w:type="auto"/>
            <w:shd w:val="clear" w:color="auto" w:fill="FFFFFF"/>
            <w:tcMar>
              <w:top w:w="0" w:type="dxa"/>
              <w:left w:w="0" w:type="dxa"/>
              <w:bottom w:w="0" w:type="dxa"/>
              <w:right w:w="0" w:type="dxa"/>
            </w:tcMar>
            <w:vAlign w:val="center"/>
          </w:tcPr>
          <w:p w14:paraId="2EC19CCC"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287.380</w:t>
            </w:r>
          </w:p>
        </w:tc>
        <w:tc>
          <w:tcPr>
            <w:tcW w:w="0" w:type="auto"/>
            <w:shd w:val="clear" w:color="auto" w:fill="FFFFFF"/>
            <w:tcMar>
              <w:top w:w="0" w:type="dxa"/>
              <w:left w:w="0" w:type="dxa"/>
              <w:bottom w:w="0" w:type="dxa"/>
              <w:right w:w="0" w:type="dxa"/>
            </w:tcMar>
            <w:vAlign w:val="center"/>
          </w:tcPr>
          <w:p w14:paraId="54A91600"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62,2</w:t>
            </w:r>
          </w:p>
        </w:tc>
        <w:tc>
          <w:tcPr>
            <w:tcW w:w="0" w:type="auto"/>
            <w:shd w:val="clear" w:color="auto" w:fill="FFFFFF"/>
            <w:tcMar>
              <w:top w:w="0" w:type="dxa"/>
              <w:left w:w="0" w:type="dxa"/>
              <w:bottom w:w="0" w:type="dxa"/>
              <w:right w:w="0" w:type="dxa"/>
            </w:tcMar>
            <w:vAlign w:val="center"/>
          </w:tcPr>
          <w:p w14:paraId="75BDDA4F"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216,3</w:t>
            </w:r>
          </w:p>
        </w:tc>
      </w:tr>
      <w:tr w:rsidR="009813B9" w:rsidRPr="006D271E" w14:paraId="5A5D29FE" w14:textId="77777777">
        <w:trPr>
          <w:cantSplit/>
          <w:jc w:val="center"/>
        </w:trPr>
        <w:tc>
          <w:tcPr>
            <w:tcW w:w="0" w:type="auto"/>
            <w:shd w:val="clear" w:color="auto" w:fill="B0E3FB"/>
            <w:tcMar>
              <w:top w:w="0" w:type="dxa"/>
              <w:left w:w="0" w:type="dxa"/>
              <w:bottom w:w="0" w:type="dxa"/>
              <w:right w:w="0" w:type="dxa"/>
            </w:tcMar>
            <w:vAlign w:val="center"/>
          </w:tcPr>
          <w:p w14:paraId="63B96626" w14:textId="77777777" w:rsidR="009813B9" w:rsidRPr="006D271E" w:rsidRDefault="009813B9">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5A90A15C" w14:textId="77777777" w:rsidR="009813B9" w:rsidRPr="006D271E" w:rsidRDefault="006D271E">
            <w:pPr>
              <w:spacing w:before="40" w:after="40"/>
              <w:ind w:left="40" w:right="40"/>
              <w:rPr>
                <w:sz w:val="16"/>
                <w:szCs w:val="16"/>
              </w:rPr>
            </w:pPr>
            <w:r w:rsidRPr="006D271E">
              <w:rPr>
                <w:rFonts w:ascii="Arial" w:eastAsia="Arial" w:hAnsi="Arial" w:cs="Arial"/>
                <w:i/>
                <w:color w:val="111111"/>
                <w:sz w:val="16"/>
                <w:szCs w:val="16"/>
              </w:rPr>
              <w:t>invalidska nadomestila</w:t>
            </w:r>
          </w:p>
        </w:tc>
        <w:tc>
          <w:tcPr>
            <w:tcW w:w="0" w:type="auto"/>
            <w:shd w:val="clear" w:color="auto" w:fill="B0E3FB"/>
            <w:tcMar>
              <w:top w:w="0" w:type="dxa"/>
              <w:left w:w="0" w:type="dxa"/>
              <w:bottom w:w="0" w:type="dxa"/>
              <w:right w:w="0" w:type="dxa"/>
            </w:tcMar>
            <w:vAlign w:val="center"/>
          </w:tcPr>
          <w:p w14:paraId="798B334A"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april</w:t>
            </w:r>
          </w:p>
        </w:tc>
        <w:tc>
          <w:tcPr>
            <w:tcW w:w="0" w:type="auto"/>
            <w:shd w:val="clear" w:color="auto" w:fill="B0E3FB"/>
            <w:tcMar>
              <w:top w:w="0" w:type="dxa"/>
              <w:left w:w="0" w:type="dxa"/>
              <w:bottom w:w="0" w:type="dxa"/>
              <w:right w:w="0" w:type="dxa"/>
            </w:tcMar>
            <w:vAlign w:val="center"/>
          </w:tcPr>
          <w:p w14:paraId="6C3B9B29"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14.844</w:t>
            </w:r>
          </w:p>
        </w:tc>
        <w:tc>
          <w:tcPr>
            <w:tcW w:w="0" w:type="auto"/>
            <w:shd w:val="clear" w:color="auto" w:fill="B0E3FB"/>
            <w:tcMar>
              <w:top w:w="0" w:type="dxa"/>
              <w:left w:w="0" w:type="dxa"/>
              <w:bottom w:w="0" w:type="dxa"/>
              <w:right w:w="0" w:type="dxa"/>
            </w:tcMar>
            <w:vAlign w:val="center"/>
          </w:tcPr>
          <w:p w14:paraId="45BC68B5"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4,3</w:t>
            </w:r>
          </w:p>
        </w:tc>
        <w:tc>
          <w:tcPr>
            <w:tcW w:w="0" w:type="auto"/>
            <w:shd w:val="clear" w:color="auto" w:fill="B0E3FB"/>
            <w:tcMar>
              <w:top w:w="0" w:type="dxa"/>
              <w:left w:w="0" w:type="dxa"/>
              <w:bottom w:w="0" w:type="dxa"/>
              <w:right w:w="0" w:type="dxa"/>
            </w:tcMar>
            <w:vAlign w:val="center"/>
          </w:tcPr>
          <w:p w14:paraId="6809C87C"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289,2</w:t>
            </w:r>
          </w:p>
        </w:tc>
      </w:tr>
      <w:tr w:rsidR="009813B9" w:rsidRPr="006D271E" w14:paraId="0EC05A6C" w14:textId="77777777">
        <w:trPr>
          <w:cantSplit/>
          <w:jc w:val="center"/>
        </w:trPr>
        <w:tc>
          <w:tcPr>
            <w:tcW w:w="0" w:type="auto"/>
            <w:shd w:val="clear" w:color="auto" w:fill="FFFFFF"/>
            <w:tcMar>
              <w:top w:w="0" w:type="dxa"/>
              <w:left w:w="0" w:type="dxa"/>
              <w:bottom w:w="0" w:type="dxa"/>
              <w:right w:w="0" w:type="dxa"/>
            </w:tcMar>
            <w:vAlign w:val="center"/>
          </w:tcPr>
          <w:p w14:paraId="4320D329" w14:textId="77777777" w:rsidR="009813B9" w:rsidRPr="006D271E" w:rsidRDefault="009813B9">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5D519639"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Enkratni solidarnostni dodatek ranljivim skupinam DSP/VD</w:t>
            </w:r>
          </w:p>
        </w:tc>
        <w:tc>
          <w:tcPr>
            <w:tcW w:w="0" w:type="auto"/>
            <w:shd w:val="clear" w:color="auto" w:fill="FFFFFF"/>
            <w:tcMar>
              <w:top w:w="0" w:type="dxa"/>
              <w:left w:w="0" w:type="dxa"/>
              <w:bottom w:w="0" w:type="dxa"/>
              <w:right w:w="0" w:type="dxa"/>
            </w:tcMar>
            <w:vAlign w:val="center"/>
          </w:tcPr>
          <w:p w14:paraId="1DFCE9B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april</w:t>
            </w:r>
          </w:p>
        </w:tc>
        <w:tc>
          <w:tcPr>
            <w:tcW w:w="0" w:type="auto"/>
            <w:shd w:val="clear" w:color="auto" w:fill="FFFFFF"/>
            <w:tcMar>
              <w:top w:w="0" w:type="dxa"/>
              <w:left w:w="0" w:type="dxa"/>
              <w:bottom w:w="0" w:type="dxa"/>
              <w:right w:w="0" w:type="dxa"/>
            </w:tcMar>
            <w:vAlign w:val="center"/>
          </w:tcPr>
          <w:p w14:paraId="0A9FDA1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49.728</w:t>
            </w:r>
          </w:p>
        </w:tc>
        <w:tc>
          <w:tcPr>
            <w:tcW w:w="0" w:type="auto"/>
            <w:shd w:val="clear" w:color="auto" w:fill="FFFFFF"/>
            <w:tcMar>
              <w:top w:w="0" w:type="dxa"/>
              <w:left w:w="0" w:type="dxa"/>
              <w:bottom w:w="0" w:type="dxa"/>
              <w:right w:w="0" w:type="dxa"/>
            </w:tcMar>
            <w:vAlign w:val="center"/>
          </w:tcPr>
          <w:p w14:paraId="317F7E4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7,5</w:t>
            </w:r>
          </w:p>
        </w:tc>
        <w:tc>
          <w:tcPr>
            <w:tcW w:w="0" w:type="auto"/>
            <w:shd w:val="clear" w:color="auto" w:fill="FFFFFF"/>
            <w:tcMar>
              <w:top w:w="0" w:type="dxa"/>
              <w:left w:w="0" w:type="dxa"/>
              <w:bottom w:w="0" w:type="dxa"/>
              <w:right w:w="0" w:type="dxa"/>
            </w:tcMar>
            <w:vAlign w:val="center"/>
          </w:tcPr>
          <w:p w14:paraId="031D1BC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150,0</w:t>
            </w:r>
          </w:p>
        </w:tc>
      </w:tr>
      <w:tr w:rsidR="009813B9" w:rsidRPr="006D271E" w14:paraId="420C4086" w14:textId="77777777">
        <w:trPr>
          <w:cantSplit/>
          <w:jc w:val="center"/>
        </w:trPr>
        <w:tc>
          <w:tcPr>
            <w:tcW w:w="0" w:type="auto"/>
            <w:shd w:val="clear" w:color="auto" w:fill="B0E3FB"/>
            <w:tcMar>
              <w:top w:w="0" w:type="dxa"/>
              <w:left w:w="0" w:type="dxa"/>
              <w:bottom w:w="0" w:type="dxa"/>
              <w:right w:w="0" w:type="dxa"/>
            </w:tcMar>
            <w:vAlign w:val="center"/>
          </w:tcPr>
          <w:p w14:paraId="045997A3" w14:textId="77777777" w:rsidR="009813B9" w:rsidRPr="006D271E" w:rsidRDefault="009813B9">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7C1B0DBF"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34EB47C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april</w:t>
            </w:r>
          </w:p>
        </w:tc>
        <w:tc>
          <w:tcPr>
            <w:tcW w:w="0" w:type="auto"/>
            <w:shd w:val="clear" w:color="auto" w:fill="B0E3FB"/>
            <w:tcMar>
              <w:top w:w="0" w:type="dxa"/>
              <w:left w:w="0" w:type="dxa"/>
              <w:bottom w:w="0" w:type="dxa"/>
              <w:right w:w="0" w:type="dxa"/>
            </w:tcMar>
            <w:vAlign w:val="center"/>
          </w:tcPr>
          <w:p w14:paraId="412E879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29.150</w:t>
            </w:r>
          </w:p>
        </w:tc>
        <w:tc>
          <w:tcPr>
            <w:tcW w:w="0" w:type="auto"/>
            <w:shd w:val="clear" w:color="auto" w:fill="B0E3FB"/>
            <w:tcMar>
              <w:top w:w="0" w:type="dxa"/>
              <w:left w:w="0" w:type="dxa"/>
              <w:bottom w:w="0" w:type="dxa"/>
              <w:right w:w="0" w:type="dxa"/>
            </w:tcMar>
            <w:vAlign w:val="center"/>
          </w:tcPr>
          <w:p w14:paraId="3113CEC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3,4</w:t>
            </w:r>
          </w:p>
        </w:tc>
        <w:tc>
          <w:tcPr>
            <w:tcW w:w="0" w:type="auto"/>
            <w:shd w:val="clear" w:color="auto" w:fill="B0E3FB"/>
            <w:tcMar>
              <w:top w:w="0" w:type="dxa"/>
              <w:left w:w="0" w:type="dxa"/>
              <w:bottom w:w="0" w:type="dxa"/>
              <w:right w:w="0" w:type="dxa"/>
            </w:tcMar>
            <w:vAlign w:val="center"/>
          </w:tcPr>
          <w:p w14:paraId="5FF12B0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118,0</w:t>
            </w:r>
          </w:p>
        </w:tc>
      </w:tr>
      <w:tr w:rsidR="009813B9" w:rsidRPr="006D271E" w14:paraId="2068970E" w14:textId="77777777">
        <w:trPr>
          <w:cantSplit/>
          <w:jc w:val="center"/>
        </w:trPr>
        <w:tc>
          <w:tcPr>
            <w:tcW w:w="0" w:type="auto"/>
            <w:shd w:val="clear" w:color="auto" w:fill="FFFFFF"/>
            <w:tcMar>
              <w:top w:w="0" w:type="dxa"/>
              <w:left w:w="0" w:type="dxa"/>
              <w:bottom w:w="0" w:type="dxa"/>
              <w:right w:w="0" w:type="dxa"/>
            </w:tcMar>
            <w:vAlign w:val="center"/>
          </w:tcPr>
          <w:p w14:paraId="6B14291F" w14:textId="77777777" w:rsidR="009813B9" w:rsidRPr="006D271E" w:rsidRDefault="009813B9">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7F7A7F4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 xml:space="preserve">Enkratni solidarnostni dodatek študentom </w:t>
            </w:r>
          </w:p>
        </w:tc>
        <w:tc>
          <w:tcPr>
            <w:tcW w:w="0" w:type="auto"/>
            <w:shd w:val="clear" w:color="auto" w:fill="FFFFFF"/>
            <w:tcMar>
              <w:top w:w="0" w:type="dxa"/>
              <w:left w:w="0" w:type="dxa"/>
              <w:bottom w:w="0" w:type="dxa"/>
              <w:right w:w="0" w:type="dxa"/>
            </w:tcMar>
            <w:vAlign w:val="center"/>
          </w:tcPr>
          <w:p w14:paraId="19727C5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april</w:t>
            </w:r>
          </w:p>
        </w:tc>
        <w:tc>
          <w:tcPr>
            <w:tcW w:w="0" w:type="auto"/>
            <w:shd w:val="clear" w:color="auto" w:fill="FFFFFF"/>
            <w:tcMar>
              <w:top w:w="0" w:type="dxa"/>
              <w:left w:w="0" w:type="dxa"/>
              <w:bottom w:w="0" w:type="dxa"/>
              <w:right w:w="0" w:type="dxa"/>
            </w:tcMar>
            <w:vAlign w:val="center"/>
          </w:tcPr>
          <w:p w14:paraId="58183D6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52.180</w:t>
            </w:r>
          </w:p>
        </w:tc>
        <w:tc>
          <w:tcPr>
            <w:tcW w:w="0" w:type="auto"/>
            <w:shd w:val="clear" w:color="auto" w:fill="FFFFFF"/>
            <w:tcMar>
              <w:top w:w="0" w:type="dxa"/>
              <w:left w:w="0" w:type="dxa"/>
              <w:bottom w:w="0" w:type="dxa"/>
              <w:right w:w="0" w:type="dxa"/>
            </w:tcMar>
            <w:vAlign w:val="center"/>
          </w:tcPr>
          <w:p w14:paraId="34F8ED5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7,8</w:t>
            </w:r>
          </w:p>
        </w:tc>
        <w:tc>
          <w:tcPr>
            <w:tcW w:w="0" w:type="auto"/>
            <w:shd w:val="clear" w:color="auto" w:fill="FFFFFF"/>
            <w:tcMar>
              <w:top w:w="0" w:type="dxa"/>
              <w:left w:w="0" w:type="dxa"/>
              <w:bottom w:w="0" w:type="dxa"/>
              <w:right w:w="0" w:type="dxa"/>
            </w:tcMar>
            <w:vAlign w:val="center"/>
          </w:tcPr>
          <w:p w14:paraId="4CB6EB2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150,0</w:t>
            </w:r>
          </w:p>
        </w:tc>
      </w:tr>
      <w:tr w:rsidR="009813B9" w:rsidRPr="006D271E" w14:paraId="70D75A18" w14:textId="77777777">
        <w:trPr>
          <w:cantSplit/>
          <w:jc w:val="center"/>
        </w:trPr>
        <w:tc>
          <w:tcPr>
            <w:tcW w:w="0" w:type="auto"/>
            <w:shd w:val="clear" w:color="auto" w:fill="B0E3FB"/>
            <w:tcMar>
              <w:top w:w="0" w:type="dxa"/>
              <w:left w:w="0" w:type="dxa"/>
              <w:bottom w:w="0" w:type="dxa"/>
              <w:right w:w="0" w:type="dxa"/>
            </w:tcMar>
            <w:vAlign w:val="center"/>
          </w:tcPr>
          <w:p w14:paraId="6777C408" w14:textId="77777777" w:rsidR="009813B9" w:rsidRPr="006D271E" w:rsidRDefault="009813B9">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78A85FD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Dodatek otroškemu dodatku</w:t>
            </w:r>
          </w:p>
        </w:tc>
        <w:tc>
          <w:tcPr>
            <w:tcW w:w="0" w:type="auto"/>
            <w:shd w:val="clear" w:color="auto" w:fill="B0E3FB"/>
            <w:tcMar>
              <w:top w:w="0" w:type="dxa"/>
              <w:left w:w="0" w:type="dxa"/>
              <w:bottom w:w="0" w:type="dxa"/>
              <w:right w:w="0" w:type="dxa"/>
            </w:tcMar>
            <w:vAlign w:val="center"/>
          </w:tcPr>
          <w:p w14:paraId="6E719B6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junij</w:t>
            </w:r>
          </w:p>
        </w:tc>
        <w:tc>
          <w:tcPr>
            <w:tcW w:w="0" w:type="auto"/>
            <w:shd w:val="clear" w:color="auto" w:fill="B0E3FB"/>
            <w:tcMar>
              <w:top w:w="0" w:type="dxa"/>
              <w:left w:w="0" w:type="dxa"/>
              <w:bottom w:w="0" w:type="dxa"/>
              <w:right w:w="0" w:type="dxa"/>
            </w:tcMar>
            <w:vAlign w:val="center"/>
          </w:tcPr>
          <w:p w14:paraId="17630E8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191.272</w:t>
            </w:r>
          </w:p>
        </w:tc>
        <w:tc>
          <w:tcPr>
            <w:tcW w:w="0" w:type="auto"/>
            <w:shd w:val="clear" w:color="auto" w:fill="B0E3FB"/>
            <w:tcMar>
              <w:top w:w="0" w:type="dxa"/>
              <w:left w:w="0" w:type="dxa"/>
              <w:bottom w:w="0" w:type="dxa"/>
              <w:right w:w="0" w:type="dxa"/>
            </w:tcMar>
            <w:vAlign w:val="center"/>
          </w:tcPr>
          <w:p w14:paraId="4E319B6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5,7</w:t>
            </w:r>
          </w:p>
        </w:tc>
        <w:tc>
          <w:tcPr>
            <w:tcW w:w="0" w:type="auto"/>
            <w:shd w:val="clear" w:color="auto" w:fill="B0E3FB"/>
            <w:tcMar>
              <w:top w:w="0" w:type="dxa"/>
              <w:left w:w="0" w:type="dxa"/>
              <w:bottom w:w="0" w:type="dxa"/>
              <w:right w:w="0" w:type="dxa"/>
            </w:tcMar>
            <w:vAlign w:val="center"/>
          </w:tcPr>
          <w:p w14:paraId="60246F8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30,0</w:t>
            </w:r>
          </w:p>
        </w:tc>
      </w:tr>
      <w:tr w:rsidR="009813B9" w:rsidRPr="006D271E" w14:paraId="5532ACFB" w14:textId="77777777">
        <w:trPr>
          <w:cantSplit/>
          <w:jc w:val="center"/>
        </w:trPr>
        <w:tc>
          <w:tcPr>
            <w:tcW w:w="0" w:type="auto"/>
            <w:shd w:val="clear" w:color="auto" w:fill="FFFFFF"/>
            <w:tcMar>
              <w:top w:w="0" w:type="dxa"/>
              <w:left w:w="0" w:type="dxa"/>
              <w:bottom w:w="0" w:type="dxa"/>
              <w:right w:w="0" w:type="dxa"/>
            </w:tcMar>
            <w:vAlign w:val="center"/>
          </w:tcPr>
          <w:p w14:paraId="10A83293" w14:textId="77777777" w:rsidR="009813B9" w:rsidRPr="006D271E" w:rsidRDefault="006D271E">
            <w:pPr>
              <w:spacing w:before="40" w:after="40"/>
              <w:ind w:left="40" w:right="40"/>
              <w:jc w:val="right"/>
              <w:rPr>
                <w:sz w:val="16"/>
                <w:szCs w:val="16"/>
              </w:rPr>
            </w:pPr>
            <w:r w:rsidRPr="006D271E">
              <w:rPr>
                <w:rFonts w:ascii="Arial" w:eastAsia="Arial" w:hAnsi="Arial" w:cs="Arial"/>
                <w:b/>
                <w:color w:val="111111"/>
                <w:sz w:val="16"/>
                <w:szCs w:val="16"/>
              </w:rPr>
              <w:t>2021</w:t>
            </w:r>
          </w:p>
        </w:tc>
        <w:tc>
          <w:tcPr>
            <w:tcW w:w="0" w:type="auto"/>
            <w:shd w:val="clear" w:color="auto" w:fill="FFFFFF"/>
            <w:tcMar>
              <w:top w:w="0" w:type="dxa"/>
              <w:left w:w="0" w:type="dxa"/>
              <w:bottom w:w="0" w:type="dxa"/>
              <w:right w:w="0" w:type="dxa"/>
            </w:tcMar>
            <w:vAlign w:val="center"/>
          </w:tcPr>
          <w:p w14:paraId="1FA8DB97"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Enkratni solidarnostni dodatek za upokojence</w:t>
            </w:r>
          </w:p>
        </w:tc>
        <w:tc>
          <w:tcPr>
            <w:tcW w:w="0" w:type="auto"/>
            <w:shd w:val="clear" w:color="auto" w:fill="FFFFFF"/>
            <w:tcMar>
              <w:top w:w="0" w:type="dxa"/>
              <w:left w:w="0" w:type="dxa"/>
              <w:bottom w:w="0" w:type="dxa"/>
              <w:right w:w="0" w:type="dxa"/>
            </w:tcMar>
            <w:vAlign w:val="center"/>
          </w:tcPr>
          <w:p w14:paraId="2BFCED7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212E141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299.895</w:t>
            </w:r>
          </w:p>
        </w:tc>
        <w:tc>
          <w:tcPr>
            <w:tcW w:w="0" w:type="auto"/>
            <w:shd w:val="clear" w:color="auto" w:fill="FFFFFF"/>
            <w:tcMar>
              <w:top w:w="0" w:type="dxa"/>
              <w:left w:w="0" w:type="dxa"/>
              <w:bottom w:w="0" w:type="dxa"/>
              <w:right w:w="0" w:type="dxa"/>
            </w:tcMar>
            <w:vAlign w:val="center"/>
          </w:tcPr>
          <w:p w14:paraId="7FC5A2D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68,0</w:t>
            </w:r>
          </w:p>
        </w:tc>
        <w:tc>
          <w:tcPr>
            <w:tcW w:w="0" w:type="auto"/>
            <w:shd w:val="clear" w:color="auto" w:fill="FFFFFF"/>
            <w:tcMar>
              <w:top w:w="0" w:type="dxa"/>
              <w:left w:w="0" w:type="dxa"/>
              <w:bottom w:w="0" w:type="dxa"/>
              <w:right w:w="0" w:type="dxa"/>
            </w:tcMar>
            <w:vAlign w:val="center"/>
          </w:tcPr>
          <w:p w14:paraId="5C055FA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226,7</w:t>
            </w:r>
          </w:p>
        </w:tc>
      </w:tr>
      <w:tr w:rsidR="009813B9" w:rsidRPr="006D271E" w14:paraId="04B2FC65" w14:textId="77777777">
        <w:trPr>
          <w:cantSplit/>
          <w:jc w:val="center"/>
        </w:trPr>
        <w:tc>
          <w:tcPr>
            <w:tcW w:w="0" w:type="auto"/>
            <w:shd w:val="clear" w:color="auto" w:fill="B0E3FB"/>
            <w:tcMar>
              <w:top w:w="0" w:type="dxa"/>
              <w:left w:w="0" w:type="dxa"/>
              <w:bottom w:w="0" w:type="dxa"/>
              <w:right w:w="0" w:type="dxa"/>
            </w:tcMar>
            <w:vAlign w:val="center"/>
          </w:tcPr>
          <w:p w14:paraId="1422FEF0" w14:textId="77777777" w:rsidR="009813B9" w:rsidRPr="006D271E" w:rsidRDefault="009813B9">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1D9B0A4B" w14:textId="77777777" w:rsidR="009813B9" w:rsidRPr="006D271E" w:rsidRDefault="006D271E">
            <w:pPr>
              <w:spacing w:before="40" w:after="40"/>
              <w:ind w:left="40" w:right="40"/>
              <w:rPr>
                <w:sz w:val="16"/>
                <w:szCs w:val="16"/>
              </w:rPr>
            </w:pPr>
            <w:r w:rsidRPr="006D271E">
              <w:rPr>
                <w:rFonts w:ascii="Arial" w:eastAsia="Arial" w:hAnsi="Arial" w:cs="Arial"/>
                <w:i/>
                <w:color w:val="111111"/>
                <w:sz w:val="16"/>
                <w:szCs w:val="16"/>
              </w:rPr>
              <w:t xml:space="preserve">Enkratni solidarnostni dodatek študentom </w:t>
            </w:r>
          </w:p>
        </w:tc>
        <w:tc>
          <w:tcPr>
            <w:tcW w:w="0" w:type="auto"/>
            <w:shd w:val="clear" w:color="auto" w:fill="B0E3FB"/>
            <w:tcMar>
              <w:top w:w="0" w:type="dxa"/>
              <w:left w:w="0" w:type="dxa"/>
              <w:bottom w:w="0" w:type="dxa"/>
              <w:right w:w="0" w:type="dxa"/>
            </w:tcMar>
            <w:vAlign w:val="center"/>
          </w:tcPr>
          <w:p w14:paraId="5FE68F33"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januar</w:t>
            </w:r>
          </w:p>
        </w:tc>
        <w:tc>
          <w:tcPr>
            <w:tcW w:w="0" w:type="auto"/>
            <w:shd w:val="clear" w:color="auto" w:fill="B0E3FB"/>
            <w:tcMar>
              <w:top w:w="0" w:type="dxa"/>
              <w:left w:w="0" w:type="dxa"/>
              <w:bottom w:w="0" w:type="dxa"/>
              <w:right w:w="0" w:type="dxa"/>
            </w:tcMar>
            <w:vAlign w:val="center"/>
          </w:tcPr>
          <w:p w14:paraId="2B107AF5"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54.249</w:t>
            </w:r>
          </w:p>
        </w:tc>
        <w:tc>
          <w:tcPr>
            <w:tcW w:w="0" w:type="auto"/>
            <w:shd w:val="clear" w:color="auto" w:fill="B0E3FB"/>
            <w:tcMar>
              <w:top w:w="0" w:type="dxa"/>
              <w:left w:w="0" w:type="dxa"/>
              <w:bottom w:w="0" w:type="dxa"/>
              <w:right w:w="0" w:type="dxa"/>
            </w:tcMar>
            <w:vAlign w:val="center"/>
          </w:tcPr>
          <w:p w14:paraId="3249E445"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8,1</w:t>
            </w:r>
          </w:p>
        </w:tc>
        <w:tc>
          <w:tcPr>
            <w:tcW w:w="0" w:type="auto"/>
            <w:shd w:val="clear" w:color="auto" w:fill="B0E3FB"/>
            <w:tcMar>
              <w:top w:w="0" w:type="dxa"/>
              <w:left w:w="0" w:type="dxa"/>
              <w:bottom w:w="0" w:type="dxa"/>
              <w:right w:w="0" w:type="dxa"/>
            </w:tcMar>
            <w:vAlign w:val="center"/>
          </w:tcPr>
          <w:p w14:paraId="57C6E7AF" w14:textId="77777777" w:rsidR="009813B9" w:rsidRPr="006D271E" w:rsidRDefault="006D271E">
            <w:pPr>
              <w:spacing w:before="40" w:after="40"/>
              <w:ind w:left="40" w:right="40"/>
              <w:jc w:val="center"/>
              <w:rPr>
                <w:sz w:val="16"/>
                <w:szCs w:val="16"/>
              </w:rPr>
            </w:pPr>
            <w:r w:rsidRPr="006D271E">
              <w:rPr>
                <w:rFonts w:ascii="Arial" w:eastAsia="Arial" w:hAnsi="Arial" w:cs="Arial"/>
                <w:i/>
                <w:color w:val="111111"/>
                <w:sz w:val="16"/>
                <w:szCs w:val="16"/>
              </w:rPr>
              <w:t>150,0</w:t>
            </w:r>
          </w:p>
        </w:tc>
      </w:tr>
      <w:tr w:rsidR="009813B9" w:rsidRPr="006D271E" w14:paraId="40C6D561" w14:textId="77777777">
        <w:trPr>
          <w:cantSplit/>
          <w:jc w:val="center"/>
        </w:trPr>
        <w:tc>
          <w:tcPr>
            <w:tcW w:w="0" w:type="auto"/>
            <w:shd w:val="clear" w:color="auto" w:fill="FFFFFF"/>
            <w:tcMar>
              <w:top w:w="0" w:type="dxa"/>
              <w:left w:w="0" w:type="dxa"/>
              <w:bottom w:w="0" w:type="dxa"/>
              <w:right w:w="0" w:type="dxa"/>
            </w:tcMar>
            <w:vAlign w:val="center"/>
          </w:tcPr>
          <w:p w14:paraId="61895DAB" w14:textId="77777777" w:rsidR="009813B9" w:rsidRPr="006D271E" w:rsidRDefault="009813B9">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6DDB650D"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Dodatek otroškemu dodatku (št. otrok)</w:t>
            </w:r>
          </w:p>
        </w:tc>
        <w:tc>
          <w:tcPr>
            <w:tcW w:w="0" w:type="auto"/>
            <w:shd w:val="clear" w:color="auto" w:fill="FFFFFF"/>
            <w:tcMar>
              <w:top w:w="0" w:type="dxa"/>
              <w:left w:w="0" w:type="dxa"/>
              <w:bottom w:w="0" w:type="dxa"/>
              <w:right w:w="0" w:type="dxa"/>
            </w:tcMar>
            <w:vAlign w:val="center"/>
          </w:tcPr>
          <w:p w14:paraId="14C08E3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3A1BF25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329.168</w:t>
            </w:r>
          </w:p>
        </w:tc>
        <w:tc>
          <w:tcPr>
            <w:tcW w:w="0" w:type="auto"/>
            <w:shd w:val="clear" w:color="auto" w:fill="FFFFFF"/>
            <w:tcMar>
              <w:top w:w="0" w:type="dxa"/>
              <w:left w:w="0" w:type="dxa"/>
              <w:bottom w:w="0" w:type="dxa"/>
              <w:right w:w="0" w:type="dxa"/>
            </w:tcMar>
            <w:vAlign w:val="center"/>
          </w:tcPr>
          <w:p w14:paraId="5D2D268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16,5</w:t>
            </w:r>
          </w:p>
        </w:tc>
        <w:tc>
          <w:tcPr>
            <w:tcW w:w="0" w:type="auto"/>
            <w:shd w:val="clear" w:color="auto" w:fill="FFFFFF"/>
            <w:tcMar>
              <w:top w:w="0" w:type="dxa"/>
              <w:left w:w="0" w:type="dxa"/>
              <w:bottom w:w="0" w:type="dxa"/>
              <w:right w:w="0" w:type="dxa"/>
            </w:tcMar>
            <w:vAlign w:val="center"/>
          </w:tcPr>
          <w:p w14:paraId="282C265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50,0</w:t>
            </w:r>
          </w:p>
        </w:tc>
      </w:tr>
      <w:tr w:rsidR="009813B9" w:rsidRPr="006D271E" w14:paraId="1E3D069B" w14:textId="77777777">
        <w:trPr>
          <w:cantSplit/>
          <w:jc w:val="center"/>
        </w:trPr>
        <w:tc>
          <w:tcPr>
            <w:tcW w:w="0" w:type="auto"/>
            <w:shd w:val="clear" w:color="auto" w:fill="B0E3FB"/>
            <w:tcMar>
              <w:top w:w="0" w:type="dxa"/>
              <w:left w:w="0" w:type="dxa"/>
              <w:bottom w:w="0" w:type="dxa"/>
              <w:right w:w="0" w:type="dxa"/>
            </w:tcMar>
            <w:vAlign w:val="center"/>
          </w:tcPr>
          <w:p w14:paraId="26F4CFEB" w14:textId="77777777" w:rsidR="009813B9" w:rsidRPr="006D271E" w:rsidRDefault="009813B9">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18D93082"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5F269F4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januar</w:t>
            </w:r>
          </w:p>
        </w:tc>
        <w:tc>
          <w:tcPr>
            <w:tcW w:w="0" w:type="auto"/>
            <w:shd w:val="clear" w:color="auto" w:fill="B0E3FB"/>
            <w:tcMar>
              <w:top w:w="0" w:type="dxa"/>
              <w:left w:w="0" w:type="dxa"/>
              <w:bottom w:w="0" w:type="dxa"/>
              <w:right w:w="0" w:type="dxa"/>
            </w:tcMar>
            <w:vAlign w:val="center"/>
          </w:tcPr>
          <w:p w14:paraId="67BA300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31.587</w:t>
            </w:r>
          </w:p>
        </w:tc>
        <w:tc>
          <w:tcPr>
            <w:tcW w:w="0" w:type="auto"/>
            <w:shd w:val="clear" w:color="auto" w:fill="B0E3FB"/>
            <w:tcMar>
              <w:top w:w="0" w:type="dxa"/>
              <w:left w:w="0" w:type="dxa"/>
              <w:bottom w:w="0" w:type="dxa"/>
              <w:right w:w="0" w:type="dxa"/>
            </w:tcMar>
            <w:vAlign w:val="center"/>
          </w:tcPr>
          <w:p w14:paraId="6CD15B5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3,7</w:t>
            </w:r>
          </w:p>
        </w:tc>
        <w:tc>
          <w:tcPr>
            <w:tcW w:w="0" w:type="auto"/>
            <w:shd w:val="clear" w:color="auto" w:fill="B0E3FB"/>
            <w:tcMar>
              <w:top w:w="0" w:type="dxa"/>
              <w:left w:w="0" w:type="dxa"/>
              <w:bottom w:w="0" w:type="dxa"/>
              <w:right w:w="0" w:type="dxa"/>
            </w:tcMar>
            <w:vAlign w:val="center"/>
          </w:tcPr>
          <w:p w14:paraId="36A976B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118,2</w:t>
            </w:r>
          </w:p>
        </w:tc>
      </w:tr>
      <w:tr w:rsidR="009813B9" w:rsidRPr="006D271E" w14:paraId="2C0069E8" w14:textId="77777777">
        <w:trPr>
          <w:cantSplit/>
          <w:jc w:val="center"/>
        </w:trPr>
        <w:tc>
          <w:tcPr>
            <w:tcW w:w="0" w:type="auto"/>
            <w:shd w:val="clear" w:color="auto" w:fill="FFFFFF"/>
            <w:tcMar>
              <w:top w:w="0" w:type="dxa"/>
              <w:left w:w="0" w:type="dxa"/>
              <w:bottom w:w="0" w:type="dxa"/>
              <w:right w:w="0" w:type="dxa"/>
            </w:tcMar>
            <w:vAlign w:val="center"/>
          </w:tcPr>
          <w:p w14:paraId="263328E6" w14:textId="77777777" w:rsidR="009813B9" w:rsidRPr="006D271E" w:rsidRDefault="009813B9">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13B4C910"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Višji dodatek za nego otroka</w:t>
            </w:r>
          </w:p>
        </w:tc>
        <w:tc>
          <w:tcPr>
            <w:tcW w:w="0" w:type="auto"/>
            <w:shd w:val="clear" w:color="auto" w:fill="FFFFFF"/>
            <w:tcMar>
              <w:top w:w="0" w:type="dxa"/>
              <w:left w:w="0" w:type="dxa"/>
              <w:bottom w:w="0" w:type="dxa"/>
              <w:right w:w="0" w:type="dxa"/>
            </w:tcMar>
            <w:vAlign w:val="center"/>
          </w:tcPr>
          <w:p w14:paraId="1992258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16B7A20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8.000</w:t>
            </w:r>
          </w:p>
        </w:tc>
        <w:tc>
          <w:tcPr>
            <w:tcW w:w="0" w:type="auto"/>
            <w:shd w:val="clear" w:color="auto" w:fill="FFFFFF"/>
            <w:tcMar>
              <w:top w:w="0" w:type="dxa"/>
              <w:left w:w="0" w:type="dxa"/>
              <w:bottom w:w="0" w:type="dxa"/>
              <w:right w:w="0" w:type="dxa"/>
            </w:tcMar>
            <w:vAlign w:val="center"/>
          </w:tcPr>
          <w:p w14:paraId="1DCF165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2,4</w:t>
            </w:r>
          </w:p>
        </w:tc>
        <w:tc>
          <w:tcPr>
            <w:tcW w:w="0" w:type="auto"/>
            <w:shd w:val="clear" w:color="auto" w:fill="FFFFFF"/>
            <w:tcMar>
              <w:top w:w="0" w:type="dxa"/>
              <w:left w:w="0" w:type="dxa"/>
              <w:bottom w:w="0" w:type="dxa"/>
              <w:right w:w="0" w:type="dxa"/>
            </w:tcMar>
            <w:vAlign w:val="center"/>
          </w:tcPr>
          <w:p w14:paraId="2C9A06B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300,0</w:t>
            </w:r>
          </w:p>
        </w:tc>
      </w:tr>
      <w:tr w:rsidR="009813B9" w:rsidRPr="006D271E" w14:paraId="3B02EC75" w14:textId="77777777">
        <w:trPr>
          <w:cantSplit/>
          <w:jc w:val="center"/>
        </w:trPr>
        <w:tc>
          <w:tcPr>
            <w:tcW w:w="0" w:type="auto"/>
            <w:gridSpan w:val="6"/>
            <w:shd w:val="clear" w:color="auto" w:fill="FFFFFF"/>
            <w:tcMar>
              <w:top w:w="0" w:type="dxa"/>
              <w:left w:w="0" w:type="dxa"/>
              <w:bottom w:w="0" w:type="dxa"/>
              <w:right w:w="0" w:type="dxa"/>
            </w:tcMar>
            <w:vAlign w:val="center"/>
          </w:tcPr>
          <w:p w14:paraId="26EBB170" w14:textId="77777777" w:rsidR="009813B9" w:rsidRPr="006D271E" w:rsidRDefault="006D271E">
            <w:pPr>
              <w:spacing w:after="0"/>
              <w:rPr>
                <w:sz w:val="16"/>
                <w:szCs w:val="16"/>
              </w:rPr>
            </w:pPr>
            <w:r w:rsidRPr="006D271E">
              <w:rPr>
                <w:rFonts w:ascii="Arial" w:eastAsia="Arial" w:hAnsi="Arial" w:cs="Arial"/>
                <w:color w:val="000000"/>
                <w:sz w:val="16"/>
                <w:szCs w:val="16"/>
              </w:rPr>
              <w:t>Vir: ZPIZ, MDDSZ in FS</w:t>
            </w:r>
          </w:p>
        </w:tc>
      </w:tr>
    </w:tbl>
    <w:p w14:paraId="7A360504" w14:textId="77777777" w:rsidR="009813B9" w:rsidRDefault="006D271E">
      <w:r>
        <w:br w:type="page"/>
      </w:r>
    </w:p>
    <w:p w14:paraId="056B535B" w14:textId="77777777" w:rsidR="009813B9" w:rsidRDefault="006D271E">
      <w:pPr>
        <w:pStyle w:val="Naslov3"/>
      </w:pPr>
      <w:bookmarkStart w:id="4" w:name="pregled-transferjev"/>
      <w:r>
        <w:lastRenderedPageBreak/>
        <w:t>Pregled transferjev</w:t>
      </w:r>
      <w:bookmarkEnd w:id="4"/>
    </w:p>
    <w:p w14:paraId="016988ED" w14:textId="77777777" w:rsidR="009813B9" w:rsidRDefault="006D271E">
      <w:pPr>
        <w:pStyle w:val="FirstParagraph"/>
      </w:pPr>
      <w:r>
        <w:rPr>
          <w:b/>
        </w:rPr>
        <w:t>Slika 1 Pregled socialnih transferjev za leto 2020, zneski in število upravičencev</w:t>
      </w:r>
    </w:p>
    <w:p w14:paraId="48B6AEC9" w14:textId="77777777" w:rsidR="009813B9" w:rsidRDefault="006D271E">
      <w:pPr>
        <w:pStyle w:val="Telobesedila"/>
      </w:pPr>
      <w:r>
        <w:rPr>
          <w:noProof/>
          <w:lang w:val="sl-SI" w:eastAsia="sl-SI"/>
        </w:rPr>
        <w:drawing>
          <wp:inline distT="0" distB="0" distL="0" distR="0" wp14:anchorId="5A358D09" wp14:editId="53706C2F">
            <wp:extent cx="5902037" cy="3463637"/>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1.png"/>
                    <pic:cNvPicPr>
                      <a:picLocks noChangeAspect="1" noChangeArrowheads="1"/>
                    </pic:cNvPicPr>
                  </pic:nvPicPr>
                  <pic:blipFill>
                    <a:blip r:embed="rId9"/>
                    <a:stretch>
                      <a:fillRect/>
                    </a:stretch>
                  </pic:blipFill>
                  <pic:spPr bwMode="auto">
                    <a:xfrm>
                      <a:off x="0" y="0"/>
                      <a:ext cx="5906054" cy="3465994"/>
                    </a:xfrm>
                    <a:prstGeom prst="rect">
                      <a:avLst/>
                    </a:prstGeom>
                    <a:noFill/>
                    <a:ln w="9525">
                      <a:noFill/>
                      <a:headEnd/>
                      <a:tailEnd/>
                    </a:ln>
                  </pic:spPr>
                </pic:pic>
              </a:graphicData>
            </a:graphic>
          </wp:inline>
        </w:drawing>
      </w:r>
      <w:r>
        <w:rPr>
          <w:noProof/>
          <w:lang w:val="sl-SI" w:eastAsia="sl-SI"/>
        </w:rPr>
        <w:drawing>
          <wp:inline distT="0" distB="0" distL="0" distR="0" wp14:anchorId="1AF31FB8" wp14:editId="7C1484BF">
            <wp:extent cx="5901690" cy="348441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2.png"/>
                    <pic:cNvPicPr>
                      <a:picLocks noChangeAspect="1" noChangeArrowheads="1"/>
                    </pic:cNvPicPr>
                  </pic:nvPicPr>
                  <pic:blipFill>
                    <a:blip r:embed="rId10"/>
                    <a:stretch>
                      <a:fillRect/>
                    </a:stretch>
                  </pic:blipFill>
                  <pic:spPr bwMode="auto">
                    <a:xfrm>
                      <a:off x="0" y="0"/>
                      <a:ext cx="5907285" cy="3487721"/>
                    </a:xfrm>
                    <a:prstGeom prst="rect">
                      <a:avLst/>
                    </a:prstGeom>
                    <a:noFill/>
                    <a:ln w="9525">
                      <a:noFill/>
                      <a:headEnd/>
                      <a:tailEnd/>
                    </a:ln>
                  </pic:spPr>
                </pic:pic>
              </a:graphicData>
            </a:graphic>
          </wp:inline>
        </w:drawing>
      </w:r>
    </w:p>
    <w:p w14:paraId="235C21D3" w14:textId="77777777" w:rsidR="009813B9" w:rsidRPr="006D271E" w:rsidRDefault="006D271E">
      <w:pPr>
        <w:pStyle w:val="Telobesedila"/>
        <w:rPr>
          <w:sz w:val="18"/>
          <w:szCs w:val="18"/>
        </w:rPr>
      </w:pPr>
      <w:r w:rsidRPr="006D271E">
        <w:rPr>
          <w:sz w:val="18"/>
          <w:szCs w:val="18"/>
        </w:rPr>
        <w:t>Opomba: Število upravičencev je mesečno povprečje v letu, razen za pravice: pogrebnine, posmrtnine, dodatek za veliko družino in vinjete, kjer je število seštevek vseh upravičencev v posameznih mesecih.</w:t>
      </w:r>
    </w:p>
    <w:p w14:paraId="208A6190" w14:textId="77777777" w:rsidR="009813B9" w:rsidRDefault="006D271E">
      <w:r>
        <w:br w:type="page"/>
      </w:r>
    </w:p>
    <w:p w14:paraId="77CD96D8" w14:textId="77777777" w:rsidR="009813B9" w:rsidRDefault="006D271E">
      <w:pPr>
        <w:pStyle w:val="Telobesedila"/>
      </w:pPr>
      <w:r>
        <w:rPr>
          <w:b/>
        </w:rPr>
        <w:lastRenderedPageBreak/>
        <w:t>Slika 2 Agregirani podatki po statističnih regijah za leto 2020</w:t>
      </w:r>
    </w:p>
    <w:p w14:paraId="2520CBE4" w14:textId="77777777" w:rsidR="009813B9" w:rsidRDefault="006D271E" w:rsidP="00536915">
      <w:pPr>
        <w:pStyle w:val="Telobesedila"/>
        <w:jc w:val="center"/>
      </w:pPr>
      <w:r>
        <w:rPr>
          <w:noProof/>
          <w:lang w:val="sl-SI" w:eastAsia="sl-SI"/>
        </w:rPr>
        <w:drawing>
          <wp:inline distT="0" distB="0" distL="0" distR="0" wp14:anchorId="3A35885A" wp14:editId="32BCAD01">
            <wp:extent cx="5969000" cy="36899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png"/>
                    <pic:cNvPicPr>
                      <a:picLocks noChangeAspect="1" noChangeArrowheads="1"/>
                    </pic:cNvPicPr>
                  </pic:nvPicPr>
                  <pic:blipFill>
                    <a:blip r:embed="rId11"/>
                    <a:stretch>
                      <a:fillRect/>
                    </a:stretch>
                  </pic:blipFill>
                  <pic:spPr bwMode="auto">
                    <a:xfrm>
                      <a:off x="0" y="0"/>
                      <a:ext cx="5969000" cy="3689927"/>
                    </a:xfrm>
                    <a:prstGeom prst="rect">
                      <a:avLst/>
                    </a:prstGeom>
                    <a:noFill/>
                    <a:ln w="9525">
                      <a:noFill/>
                      <a:headEnd/>
                      <a:tailEnd/>
                    </a:ln>
                  </pic:spPr>
                </pic:pic>
              </a:graphicData>
            </a:graphic>
          </wp:inline>
        </w:drawing>
      </w:r>
    </w:p>
    <w:p w14:paraId="763AA132" w14:textId="77777777" w:rsidR="009813B9" w:rsidRPr="006D271E" w:rsidRDefault="006D271E">
      <w:pPr>
        <w:pStyle w:val="Telobesedila"/>
        <w:rPr>
          <w:sz w:val="18"/>
          <w:szCs w:val="18"/>
        </w:rPr>
      </w:pPr>
      <w:r w:rsidRPr="006D271E">
        <w:rPr>
          <w:sz w:val="18"/>
          <w:szCs w:val="18"/>
        </w:rPr>
        <w:t>Opomba: Skupni znesek je izračunan iz trenutno razpoložljivih podatkov. Transferji iz naslova osebne asistence v izračune niso vključeni.</w:t>
      </w:r>
    </w:p>
    <w:p w14:paraId="42470448" w14:textId="77777777" w:rsidR="009813B9" w:rsidRDefault="006D271E" w:rsidP="00536915">
      <w:pPr>
        <w:pStyle w:val="Telobesedila"/>
        <w:jc w:val="center"/>
      </w:pPr>
      <w:r>
        <w:rPr>
          <w:noProof/>
          <w:lang w:val="sl-SI" w:eastAsia="sl-SI"/>
        </w:rPr>
        <w:drawing>
          <wp:inline distT="0" distB="0" distL="0" distR="0" wp14:anchorId="0B45BDB5" wp14:editId="0D8B8107">
            <wp:extent cx="5544151" cy="3416968"/>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1.png"/>
                    <pic:cNvPicPr>
                      <a:picLocks noChangeAspect="1" noChangeArrowheads="1"/>
                    </pic:cNvPicPr>
                  </pic:nvPicPr>
                  <pic:blipFill>
                    <a:blip r:embed="rId12"/>
                    <a:stretch>
                      <a:fillRect/>
                    </a:stretch>
                  </pic:blipFill>
                  <pic:spPr bwMode="auto">
                    <a:xfrm>
                      <a:off x="0" y="0"/>
                      <a:ext cx="5544151" cy="3416968"/>
                    </a:xfrm>
                    <a:prstGeom prst="rect">
                      <a:avLst/>
                    </a:prstGeom>
                    <a:noFill/>
                    <a:ln w="9525">
                      <a:noFill/>
                      <a:headEnd/>
                      <a:tailEnd/>
                    </a:ln>
                  </pic:spPr>
                </pic:pic>
              </a:graphicData>
            </a:graphic>
          </wp:inline>
        </w:drawing>
      </w:r>
    </w:p>
    <w:p w14:paraId="397C2795" w14:textId="77777777" w:rsidR="009813B9" w:rsidRDefault="006D271E">
      <w:r>
        <w:br w:type="page"/>
      </w:r>
    </w:p>
    <w:p w14:paraId="6B074868" w14:textId="77777777" w:rsidR="009813B9" w:rsidRDefault="006D271E">
      <w:pPr>
        <w:pStyle w:val="Naslov3"/>
      </w:pPr>
      <w:bookmarkStart w:id="5" w:name="mesečna-dinamika-transferjev"/>
      <w:r>
        <w:lastRenderedPageBreak/>
        <w:t>Mesečna dinamika transferjev</w:t>
      </w:r>
      <w:bookmarkEnd w:id="5"/>
    </w:p>
    <w:p w14:paraId="1171B05A" w14:textId="77777777" w:rsidR="009813B9" w:rsidRDefault="006D271E">
      <w:pPr>
        <w:pStyle w:val="FirstParagraph"/>
      </w:pPr>
      <w:r>
        <w:rPr>
          <w:b/>
        </w:rPr>
        <w:t>Tabela 1 Zneski socialnih transferjev po pravicah, leto 202</w:t>
      </w:r>
      <w:r w:rsidR="001D4551">
        <w:rPr>
          <w:b/>
        </w:rPr>
        <w:t>1</w:t>
      </w:r>
      <w:r>
        <w:rPr>
          <w:b/>
        </w:rPr>
        <w:t xml:space="preserve">, v </w:t>
      </w:r>
      <w:r w:rsidR="00460707">
        <w:rPr>
          <w:b/>
        </w:rPr>
        <w:t xml:space="preserve">000 </w:t>
      </w:r>
      <w:r>
        <w:rPr>
          <w:b/>
        </w:rPr>
        <w:t>EUR</w:t>
      </w:r>
    </w:p>
    <w:tbl>
      <w:tblPr>
        <w:tblW w:w="0" w:type="auto"/>
        <w:jc w:val="center"/>
        <w:tblLook w:val="0420" w:firstRow="1" w:lastRow="0" w:firstColumn="0" w:lastColumn="0" w:noHBand="0" w:noVBand="1"/>
      </w:tblPr>
      <w:tblGrid>
        <w:gridCol w:w="1355"/>
        <w:gridCol w:w="2502"/>
        <w:gridCol w:w="1307"/>
        <w:gridCol w:w="948"/>
        <w:gridCol w:w="1197"/>
        <w:gridCol w:w="948"/>
        <w:gridCol w:w="1149"/>
      </w:tblGrid>
      <w:tr w:rsidR="006D271E" w:rsidRPr="006D271E" w14:paraId="68802DA0" w14:textId="77777777">
        <w:trPr>
          <w:cantSplit/>
          <w:tblHeader/>
          <w:jc w:val="center"/>
        </w:trPr>
        <w:tc>
          <w:tcPr>
            <w:tcW w:w="0" w:type="auto"/>
            <w:shd w:val="clear" w:color="auto" w:fill="8BC9E8"/>
            <w:tcMar>
              <w:top w:w="0" w:type="dxa"/>
              <w:left w:w="0" w:type="dxa"/>
              <w:bottom w:w="0" w:type="dxa"/>
              <w:right w:w="0" w:type="dxa"/>
            </w:tcMar>
            <w:vAlign w:val="center"/>
          </w:tcPr>
          <w:p w14:paraId="518715D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tcPr>
          <w:p w14:paraId="465D5B8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068C368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Vrsta pravice</w:t>
            </w:r>
          </w:p>
        </w:tc>
        <w:tc>
          <w:tcPr>
            <w:tcW w:w="0" w:type="auto"/>
            <w:shd w:val="clear" w:color="auto" w:fill="8BC9E8"/>
            <w:tcMar>
              <w:top w:w="0" w:type="dxa"/>
              <w:left w:w="0" w:type="dxa"/>
              <w:bottom w:w="0" w:type="dxa"/>
              <w:right w:w="0" w:type="dxa"/>
            </w:tcMar>
            <w:vAlign w:val="center"/>
          </w:tcPr>
          <w:p w14:paraId="4C14007A"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Skupni znesek I-II</w:t>
            </w:r>
          </w:p>
        </w:tc>
        <w:tc>
          <w:tcPr>
            <w:tcW w:w="0" w:type="auto"/>
            <w:shd w:val="clear" w:color="auto" w:fill="8BC9E8"/>
            <w:tcMar>
              <w:top w:w="0" w:type="dxa"/>
              <w:left w:w="0" w:type="dxa"/>
              <w:bottom w:w="0" w:type="dxa"/>
              <w:right w:w="0" w:type="dxa"/>
            </w:tcMar>
            <w:vAlign w:val="center"/>
          </w:tcPr>
          <w:p w14:paraId="36632DB3"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Medletna rast (%) I-II 21/I-II 20</w:t>
            </w:r>
          </w:p>
        </w:tc>
        <w:tc>
          <w:tcPr>
            <w:tcW w:w="0" w:type="auto"/>
            <w:shd w:val="clear" w:color="auto" w:fill="8BC9E8"/>
            <w:tcMar>
              <w:top w:w="0" w:type="dxa"/>
              <w:left w:w="0" w:type="dxa"/>
              <w:bottom w:w="0" w:type="dxa"/>
              <w:right w:w="0" w:type="dxa"/>
            </w:tcMar>
            <w:vAlign w:val="center"/>
          </w:tcPr>
          <w:p w14:paraId="15DCFCA7"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Znesek v mesecu II</w:t>
            </w:r>
          </w:p>
        </w:tc>
        <w:tc>
          <w:tcPr>
            <w:tcW w:w="0" w:type="auto"/>
            <w:shd w:val="clear" w:color="auto" w:fill="8BC9E8"/>
            <w:tcMar>
              <w:top w:w="0" w:type="dxa"/>
              <w:left w:w="0" w:type="dxa"/>
              <w:bottom w:w="0" w:type="dxa"/>
              <w:right w:w="0" w:type="dxa"/>
            </w:tcMar>
            <w:vAlign w:val="center"/>
          </w:tcPr>
          <w:p w14:paraId="59D5573A"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Medletna rast (%) II 21/II 20</w:t>
            </w:r>
          </w:p>
        </w:tc>
      </w:tr>
      <w:tr w:rsidR="006D271E" w:rsidRPr="006D271E" w14:paraId="7F99498A" w14:textId="77777777">
        <w:trPr>
          <w:cantSplit/>
          <w:jc w:val="center"/>
        </w:trPr>
        <w:tc>
          <w:tcPr>
            <w:tcW w:w="0" w:type="auto"/>
            <w:shd w:val="clear" w:color="auto" w:fill="B0E3FB"/>
            <w:tcMar>
              <w:top w:w="0" w:type="dxa"/>
              <w:left w:w="0" w:type="dxa"/>
              <w:bottom w:w="0" w:type="dxa"/>
              <w:right w:w="0" w:type="dxa"/>
            </w:tcMar>
            <w:vAlign w:val="center"/>
          </w:tcPr>
          <w:p w14:paraId="1863400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329AF08E"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Vinjete</w:t>
            </w:r>
          </w:p>
        </w:tc>
        <w:tc>
          <w:tcPr>
            <w:tcW w:w="0" w:type="auto"/>
            <w:shd w:val="clear" w:color="auto" w:fill="B0E3FB"/>
            <w:tcMar>
              <w:top w:w="0" w:type="dxa"/>
              <w:left w:w="0" w:type="dxa"/>
              <w:bottom w:w="0" w:type="dxa"/>
              <w:right w:w="0" w:type="dxa"/>
            </w:tcMar>
            <w:vAlign w:val="center"/>
          </w:tcPr>
          <w:p w14:paraId="7D0B4608"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348AA7EE"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16</w:t>
            </w:r>
            <w:r w:rsidR="00460707">
              <w:rPr>
                <w:rFonts w:ascii="Arial" w:eastAsia="Arial" w:hAnsi="Arial" w:cs="Arial"/>
                <w:color w:val="111111"/>
                <w:sz w:val="16"/>
                <w:szCs w:val="16"/>
              </w:rPr>
              <w:t>,</w:t>
            </w:r>
            <w:r w:rsidRPr="006D271E">
              <w:rPr>
                <w:rFonts w:ascii="Arial" w:eastAsia="Arial" w:hAnsi="Arial" w:cs="Arial"/>
                <w:color w:val="111111"/>
                <w:sz w:val="16"/>
                <w:szCs w:val="16"/>
              </w:rPr>
              <w:t>6</w:t>
            </w:r>
          </w:p>
        </w:tc>
        <w:tc>
          <w:tcPr>
            <w:tcW w:w="0" w:type="auto"/>
            <w:shd w:val="clear" w:color="auto" w:fill="B0E3FB"/>
            <w:tcMar>
              <w:top w:w="0" w:type="dxa"/>
              <w:left w:w="0" w:type="dxa"/>
              <w:bottom w:w="0" w:type="dxa"/>
              <w:right w:w="0" w:type="dxa"/>
            </w:tcMar>
            <w:vAlign w:val="center"/>
          </w:tcPr>
          <w:p w14:paraId="4659153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-7,9</w:t>
            </w:r>
          </w:p>
        </w:tc>
        <w:tc>
          <w:tcPr>
            <w:tcW w:w="0" w:type="auto"/>
            <w:shd w:val="clear" w:color="auto" w:fill="B0E3FB"/>
            <w:tcMar>
              <w:top w:w="0" w:type="dxa"/>
              <w:left w:w="0" w:type="dxa"/>
              <w:bottom w:w="0" w:type="dxa"/>
              <w:right w:w="0" w:type="dxa"/>
            </w:tcMar>
            <w:vAlign w:val="center"/>
          </w:tcPr>
          <w:p w14:paraId="62901BA6"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16</w:t>
            </w:r>
            <w:r w:rsidR="00460707">
              <w:rPr>
                <w:rFonts w:ascii="Arial" w:eastAsia="Arial" w:hAnsi="Arial" w:cs="Arial"/>
                <w:color w:val="111111"/>
                <w:sz w:val="16"/>
                <w:szCs w:val="16"/>
              </w:rPr>
              <w:t>,</w:t>
            </w:r>
            <w:r w:rsidRPr="006D271E">
              <w:rPr>
                <w:rFonts w:ascii="Arial" w:eastAsia="Arial" w:hAnsi="Arial" w:cs="Arial"/>
                <w:color w:val="111111"/>
                <w:sz w:val="16"/>
                <w:szCs w:val="16"/>
              </w:rPr>
              <w:t>6</w:t>
            </w:r>
          </w:p>
        </w:tc>
        <w:tc>
          <w:tcPr>
            <w:tcW w:w="0" w:type="auto"/>
            <w:shd w:val="clear" w:color="auto" w:fill="B0E3FB"/>
            <w:tcMar>
              <w:top w:w="0" w:type="dxa"/>
              <w:left w:w="0" w:type="dxa"/>
              <w:bottom w:w="0" w:type="dxa"/>
              <w:right w:w="0" w:type="dxa"/>
            </w:tcMar>
            <w:vAlign w:val="center"/>
          </w:tcPr>
          <w:p w14:paraId="4D81976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r>
      <w:tr w:rsidR="006D271E" w:rsidRPr="006D271E" w14:paraId="0559C63B" w14:textId="77777777">
        <w:trPr>
          <w:cantSplit/>
          <w:jc w:val="center"/>
        </w:trPr>
        <w:tc>
          <w:tcPr>
            <w:tcW w:w="0" w:type="auto"/>
            <w:shd w:val="clear" w:color="auto" w:fill="FFFFFF"/>
            <w:tcMar>
              <w:top w:w="0" w:type="dxa"/>
              <w:left w:w="0" w:type="dxa"/>
              <w:bottom w:w="0" w:type="dxa"/>
              <w:right w:w="0" w:type="dxa"/>
            </w:tcMar>
            <w:vAlign w:val="center"/>
          </w:tcPr>
          <w:p w14:paraId="36A7232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44FC57EC"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Dodatek za veliko družino</w:t>
            </w:r>
            <w:r w:rsidR="00444756" w:rsidRPr="006D271E">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1FC5E0E3"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05512A60"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304</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15D36A69" w14:textId="77777777" w:rsidR="009813B9" w:rsidRPr="006D271E" w:rsidRDefault="006D271E" w:rsidP="00444756">
            <w:pPr>
              <w:spacing w:before="40" w:after="40"/>
              <w:ind w:left="40" w:right="40"/>
              <w:jc w:val="center"/>
              <w:rPr>
                <w:sz w:val="16"/>
                <w:szCs w:val="16"/>
              </w:rPr>
            </w:pPr>
            <w:r w:rsidRPr="006D271E">
              <w:rPr>
                <w:rFonts w:ascii="Arial" w:eastAsia="Arial" w:hAnsi="Arial" w:cs="Arial"/>
                <w:color w:val="111111"/>
                <w:sz w:val="16"/>
                <w:szCs w:val="16"/>
              </w:rPr>
              <w:t>-97,5</w:t>
            </w:r>
          </w:p>
        </w:tc>
        <w:tc>
          <w:tcPr>
            <w:tcW w:w="0" w:type="auto"/>
            <w:shd w:val="clear" w:color="auto" w:fill="FFFFFF"/>
            <w:tcMar>
              <w:top w:w="0" w:type="dxa"/>
              <w:left w:w="0" w:type="dxa"/>
              <w:bottom w:w="0" w:type="dxa"/>
              <w:right w:w="0" w:type="dxa"/>
            </w:tcMar>
            <w:vAlign w:val="center"/>
          </w:tcPr>
          <w:p w14:paraId="6AA6073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63</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7E6F0D2F" w14:textId="77777777" w:rsidR="009813B9" w:rsidRPr="006D271E" w:rsidRDefault="006D271E" w:rsidP="00444756">
            <w:pPr>
              <w:spacing w:before="40" w:after="40"/>
              <w:ind w:left="40" w:right="40"/>
              <w:jc w:val="center"/>
              <w:rPr>
                <w:sz w:val="16"/>
                <w:szCs w:val="16"/>
              </w:rPr>
            </w:pPr>
            <w:r w:rsidRPr="006D271E">
              <w:rPr>
                <w:rFonts w:ascii="Arial" w:eastAsia="Arial" w:hAnsi="Arial" w:cs="Arial"/>
                <w:color w:val="111111"/>
                <w:sz w:val="16"/>
                <w:szCs w:val="16"/>
              </w:rPr>
              <w:t>-57,6</w:t>
            </w:r>
          </w:p>
        </w:tc>
      </w:tr>
      <w:tr w:rsidR="006D271E" w:rsidRPr="006D271E" w14:paraId="29E1C13A" w14:textId="77777777">
        <w:trPr>
          <w:cantSplit/>
          <w:jc w:val="center"/>
        </w:trPr>
        <w:tc>
          <w:tcPr>
            <w:tcW w:w="0" w:type="auto"/>
            <w:shd w:val="clear" w:color="auto" w:fill="B0E3FB"/>
            <w:tcMar>
              <w:top w:w="0" w:type="dxa"/>
              <w:left w:w="0" w:type="dxa"/>
              <w:bottom w:w="0" w:type="dxa"/>
              <w:right w:w="0" w:type="dxa"/>
            </w:tcMar>
            <w:vAlign w:val="center"/>
          </w:tcPr>
          <w:p w14:paraId="6016662D"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565AB4A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Plačilo prispevkov (4 ali več otrok)</w:t>
            </w:r>
          </w:p>
        </w:tc>
        <w:tc>
          <w:tcPr>
            <w:tcW w:w="0" w:type="auto"/>
            <w:shd w:val="clear" w:color="auto" w:fill="B0E3FB"/>
            <w:tcMar>
              <w:top w:w="0" w:type="dxa"/>
              <w:left w:w="0" w:type="dxa"/>
              <w:bottom w:w="0" w:type="dxa"/>
              <w:right w:w="0" w:type="dxa"/>
            </w:tcMar>
            <w:vAlign w:val="center"/>
          </w:tcPr>
          <w:p w14:paraId="70D1182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20984D76"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582</w:t>
            </w:r>
            <w:r w:rsidR="00460707">
              <w:rPr>
                <w:rFonts w:ascii="Arial" w:eastAsia="Arial" w:hAnsi="Arial" w:cs="Arial"/>
                <w:color w:val="111111"/>
                <w:sz w:val="16"/>
                <w:szCs w:val="16"/>
              </w:rPr>
              <w:t>,</w:t>
            </w:r>
            <w:r w:rsidRPr="006D271E">
              <w:rPr>
                <w:rFonts w:ascii="Arial" w:eastAsia="Arial" w:hAnsi="Arial" w:cs="Arial"/>
                <w:color w:val="111111"/>
                <w:sz w:val="16"/>
                <w:szCs w:val="16"/>
              </w:rPr>
              <w:t>4</w:t>
            </w:r>
          </w:p>
        </w:tc>
        <w:tc>
          <w:tcPr>
            <w:tcW w:w="0" w:type="auto"/>
            <w:shd w:val="clear" w:color="auto" w:fill="B0E3FB"/>
            <w:tcMar>
              <w:top w:w="0" w:type="dxa"/>
              <w:left w:w="0" w:type="dxa"/>
              <w:bottom w:w="0" w:type="dxa"/>
              <w:right w:w="0" w:type="dxa"/>
            </w:tcMar>
            <w:vAlign w:val="center"/>
          </w:tcPr>
          <w:p w14:paraId="0DE071D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2,6</w:t>
            </w:r>
          </w:p>
        </w:tc>
        <w:tc>
          <w:tcPr>
            <w:tcW w:w="0" w:type="auto"/>
            <w:shd w:val="clear" w:color="auto" w:fill="B0E3FB"/>
            <w:tcMar>
              <w:top w:w="0" w:type="dxa"/>
              <w:left w:w="0" w:type="dxa"/>
              <w:bottom w:w="0" w:type="dxa"/>
              <w:right w:w="0" w:type="dxa"/>
            </w:tcMar>
            <w:vAlign w:val="center"/>
          </w:tcPr>
          <w:p w14:paraId="767B69D7"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291</w:t>
            </w:r>
            <w:r w:rsidR="00460707">
              <w:rPr>
                <w:rFonts w:ascii="Arial" w:eastAsia="Arial" w:hAnsi="Arial" w:cs="Arial"/>
                <w:color w:val="111111"/>
                <w:sz w:val="16"/>
                <w:szCs w:val="16"/>
              </w:rPr>
              <w:t>,3</w:t>
            </w:r>
          </w:p>
        </w:tc>
        <w:tc>
          <w:tcPr>
            <w:tcW w:w="0" w:type="auto"/>
            <w:shd w:val="clear" w:color="auto" w:fill="B0E3FB"/>
            <w:tcMar>
              <w:top w:w="0" w:type="dxa"/>
              <w:left w:w="0" w:type="dxa"/>
              <w:bottom w:w="0" w:type="dxa"/>
              <w:right w:w="0" w:type="dxa"/>
            </w:tcMar>
            <w:vAlign w:val="center"/>
          </w:tcPr>
          <w:p w14:paraId="7798542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2,5</w:t>
            </w:r>
          </w:p>
        </w:tc>
      </w:tr>
      <w:tr w:rsidR="006D271E" w:rsidRPr="006D271E" w14:paraId="5A8356DC" w14:textId="77777777">
        <w:trPr>
          <w:cantSplit/>
          <w:jc w:val="center"/>
        </w:trPr>
        <w:tc>
          <w:tcPr>
            <w:tcW w:w="0" w:type="auto"/>
            <w:shd w:val="clear" w:color="auto" w:fill="FFFFFF"/>
            <w:tcMar>
              <w:top w:w="0" w:type="dxa"/>
              <w:left w:w="0" w:type="dxa"/>
              <w:bottom w:w="0" w:type="dxa"/>
              <w:right w:w="0" w:type="dxa"/>
            </w:tcMar>
            <w:vAlign w:val="center"/>
          </w:tcPr>
          <w:p w14:paraId="54BE8C2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D14D72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Rejnine</w:t>
            </w:r>
          </w:p>
        </w:tc>
        <w:tc>
          <w:tcPr>
            <w:tcW w:w="0" w:type="auto"/>
            <w:shd w:val="clear" w:color="auto" w:fill="FFFFFF"/>
            <w:tcMar>
              <w:top w:w="0" w:type="dxa"/>
              <w:left w:w="0" w:type="dxa"/>
              <w:bottom w:w="0" w:type="dxa"/>
              <w:right w:w="0" w:type="dxa"/>
            </w:tcMar>
            <w:vAlign w:val="center"/>
          </w:tcPr>
          <w:p w14:paraId="138F5C4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7DD3A020"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909</w:t>
            </w:r>
            <w:r w:rsidR="00460707">
              <w:rPr>
                <w:rFonts w:ascii="Arial" w:eastAsia="Arial" w:hAnsi="Arial" w:cs="Arial"/>
                <w:color w:val="111111"/>
                <w:sz w:val="16"/>
                <w:szCs w:val="16"/>
              </w:rPr>
              <w:t>,</w:t>
            </w:r>
            <w:r w:rsidRPr="006D271E">
              <w:rPr>
                <w:rFonts w:ascii="Arial" w:eastAsia="Arial" w:hAnsi="Arial" w:cs="Arial"/>
                <w:color w:val="111111"/>
                <w:sz w:val="16"/>
                <w:szCs w:val="16"/>
              </w:rPr>
              <w:t>7</w:t>
            </w:r>
          </w:p>
        </w:tc>
        <w:tc>
          <w:tcPr>
            <w:tcW w:w="0" w:type="auto"/>
            <w:shd w:val="clear" w:color="auto" w:fill="FFFFFF"/>
            <w:tcMar>
              <w:top w:w="0" w:type="dxa"/>
              <w:left w:w="0" w:type="dxa"/>
              <w:bottom w:w="0" w:type="dxa"/>
              <w:right w:w="0" w:type="dxa"/>
            </w:tcMar>
            <w:vAlign w:val="center"/>
          </w:tcPr>
          <w:p w14:paraId="3AB2DC6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-4,3</w:t>
            </w:r>
          </w:p>
        </w:tc>
        <w:tc>
          <w:tcPr>
            <w:tcW w:w="0" w:type="auto"/>
            <w:shd w:val="clear" w:color="auto" w:fill="FFFFFF"/>
            <w:tcMar>
              <w:top w:w="0" w:type="dxa"/>
              <w:left w:w="0" w:type="dxa"/>
              <w:bottom w:w="0" w:type="dxa"/>
              <w:right w:w="0" w:type="dxa"/>
            </w:tcMar>
            <w:vAlign w:val="center"/>
          </w:tcPr>
          <w:p w14:paraId="7ABDD066"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448</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5EF0E4B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-4,8</w:t>
            </w:r>
          </w:p>
        </w:tc>
      </w:tr>
      <w:tr w:rsidR="006D271E" w:rsidRPr="006D271E" w14:paraId="44BE3931" w14:textId="77777777">
        <w:trPr>
          <w:cantSplit/>
          <w:jc w:val="center"/>
        </w:trPr>
        <w:tc>
          <w:tcPr>
            <w:tcW w:w="0" w:type="auto"/>
            <w:shd w:val="clear" w:color="auto" w:fill="B0E3FB"/>
            <w:tcMar>
              <w:top w:w="0" w:type="dxa"/>
              <w:left w:w="0" w:type="dxa"/>
              <w:bottom w:w="0" w:type="dxa"/>
              <w:right w:w="0" w:type="dxa"/>
            </w:tcMar>
            <w:vAlign w:val="center"/>
          </w:tcPr>
          <w:p w14:paraId="7BA824F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C9EF8E9"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Starševski dodatek</w:t>
            </w:r>
          </w:p>
        </w:tc>
        <w:tc>
          <w:tcPr>
            <w:tcW w:w="0" w:type="auto"/>
            <w:shd w:val="clear" w:color="auto" w:fill="B0E3FB"/>
            <w:tcMar>
              <w:top w:w="0" w:type="dxa"/>
              <w:left w:w="0" w:type="dxa"/>
              <w:bottom w:w="0" w:type="dxa"/>
              <w:right w:w="0" w:type="dxa"/>
            </w:tcMar>
            <w:vAlign w:val="center"/>
          </w:tcPr>
          <w:p w14:paraId="79BFF31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3DE6BBD"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6245A3">
              <w:rPr>
                <w:rFonts w:ascii="Arial" w:eastAsia="Arial" w:hAnsi="Arial" w:cs="Arial"/>
                <w:color w:val="111111"/>
                <w:sz w:val="16"/>
                <w:szCs w:val="16"/>
              </w:rPr>
              <w:t>.</w:t>
            </w:r>
            <w:r w:rsidRPr="006D271E">
              <w:rPr>
                <w:rFonts w:ascii="Arial" w:eastAsia="Arial" w:hAnsi="Arial" w:cs="Arial"/>
                <w:color w:val="111111"/>
                <w:sz w:val="16"/>
                <w:szCs w:val="16"/>
              </w:rPr>
              <w:t>366</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B0E3FB"/>
            <w:tcMar>
              <w:top w:w="0" w:type="dxa"/>
              <w:left w:w="0" w:type="dxa"/>
              <w:bottom w:w="0" w:type="dxa"/>
              <w:right w:w="0" w:type="dxa"/>
            </w:tcMar>
            <w:vAlign w:val="center"/>
          </w:tcPr>
          <w:p w14:paraId="16D8012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12,7</w:t>
            </w:r>
          </w:p>
        </w:tc>
        <w:tc>
          <w:tcPr>
            <w:tcW w:w="0" w:type="auto"/>
            <w:shd w:val="clear" w:color="auto" w:fill="B0E3FB"/>
            <w:tcMar>
              <w:top w:w="0" w:type="dxa"/>
              <w:left w:w="0" w:type="dxa"/>
              <w:bottom w:w="0" w:type="dxa"/>
              <w:right w:w="0" w:type="dxa"/>
            </w:tcMar>
            <w:vAlign w:val="center"/>
          </w:tcPr>
          <w:p w14:paraId="77B15104"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685</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B0E3FB"/>
            <w:tcMar>
              <w:top w:w="0" w:type="dxa"/>
              <w:left w:w="0" w:type="dxa"/>
              <w:bottom w:w="0" w:type="dxa"/>
              <w:right w:w="0" w:type="dxa"/>
            </w:tcMar>
            <w:vAlign w:val="center"/>
          </w:tcPr>
          <w:p w14:paraId="687DFF7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11,6</w:t>
            </w:r>
          </w:p>
        </w:tc>
      </w:tr>
      <w:tr w:rsidR="006D271E" w:rsidRPr="006D271E" w14:paraId="5CC38CDD" w14:textId="77777777">
        <w:trPr>
          <w:cantSplit/>
          <w:jc w:val="center"/>
        </w:trPr>
        <w:tc>
          <w:tcPr>
            <w:tcW w:w="0" w:type="auto"/>
            <w:shd w:val="clear" w:color="auto" w:fill="FFFFFF"/>
            <w:tcMar>
              <w:top w:w="0" w:type="dxa"/>
              <w:left w:w="0" w:type="dxa"/>
              <w:bottom w:w="0" w:type="dxa"/>
              <w:right w:w="0" w:type="dxa"/>
            </w:tcMar>
            <w:vAlign w:val="center"/>
          </w:tcPr>
          <w:p w14:paraId="50A4F92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63F6F34E" w14:textId="77777777" w:rsidR="009813B9" w:rsidRPr="006D271E" w:rsidRDefault="006D271E" w:rsidP="00444756">
            <w:pPr>
              <w:spacing w:before="40" w:after="40"/>
              <w:ind w:left="40" w:right="40"/>
              <w:rPr>
                <w:sz w:val="16"/>
                <w:szCs w:val="16"/>
              </w:rPr>
            </w:pPr>
            <w:r w:rsidRPr="006D271E">
              <w:rPr>
                <w:rFonts w:ascii="Arial" w:eastAsia="Arial" w:hAnsi="Arial" w:cs="Arial"/>
                <w:b/>
                <w:color w:val="111111"/>
                <w:sz w:val="16"/>
                <w:szCs w:val="16"/>
              </w:rPr>
              <w:t>Pomoč ob rojstvu otroka</w:t>
            </w:r>
          </w:p>
        </w:tc>
        <w:tc>
          <w:tcPr>
            <w:tcW w:w="0" w:type="auto"/>
            <w:shd w:val="clear" w:color="auto" w:fill="FFFFFF"/>
            <w:tcMar>
              <w:top w:w="0" w:type="dxa"/>
              <w:left w:w="0" w:type="dxa"/>
              <w:bottom w:w="0" w:type="dxa"/>
              <w:right w:w="0" w:type="dxa"/>
            </w:tcMar>
            <w:vAlign w:val="center"/>
          </w:tcPr>
          <w:p w14:paraId="13E0E2A3"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35633EE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6245A3">
              <w:rPr>
                <w:rFonts w:ascii="Arial" w:eastAsia="Arial" w:hAnsi="Arial" w:cs="Arial"/>
                <w:color w:val="111111"/>
                <w:sz w:val="16"/>
                <w:szCs w:val="16"/>
              </w:rPr>
              <w:t>.</w:t>
            </w:r>
            <w:r w:rsidRPr="006D271E">
              <w:rPr>
                <w:rFonts w:ascii="Arial" w:eastAsia="Arial" w:hAnsi="Arial" w:cs="Arial"/>
                <w:color w:val="111111"/>
                <w:sz w:val="16"/>
                <w:szCs w:val="16"/>
              </w:rPr>
              <w:t>777</w:t>
            </w:r>
            <w:r w:rsidR="00460707">
              <w:rPr>
                <w:rFonts w:ascii="Arial" w:eastAsia="Arial" w:hAnsi="Arial" w:cs="Arial"/>
                <w:color w:val="111111"/>
                <w:sz w:val="16"/>
                <w:szCs w:val="16"/>
              </w:rPr>
              <w:t>,</w:t>
            </w:r>
            <w:r w:rsidRPr="006D271E">
              <w:rPr>
                <w:rFonts w:ascii="Arial" w:eastAsia="Arial" w:hAnsi="Arial" w:cs="Arial"/>
                <w:color w:val="111111"/>
                <w:sz w:val="16"/>
                <w:szCs w:val="16"/>
              </w:rPr>
              <w:t>7</w:t>
            </w:r>
          </w:p>
        </w:tc>
        <w:tc>
          <w:tcPr>
            <w:tcW w:w="0" w:type="auto"/>
            <w:shd w:val="clear" w:color="auto" w:fill="FFFFFF"/>
            <w:tcMar>
              <w:top w:w="0" w:type="dxa"/>
              <w:left w:w="0" w:type="dxa"/>
              <w:bottom w:w="0" w:type="dxa"/>
              <w:right w:w="0" w:type="dxa"/>
            </w:tcMar>
            <w:vAlign w:val="center"/>
          </w:tcPr>
          <w:p w14:paraId="3B7062B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76,6</w:t>
            </w:r>
          </w:p>
        </w:tc>
        <w:tc>
          <w:tcPr>
            <w:tcW w:w="0" w:type="auto"/>
            <w:shd w:val="clear" w:color="auto" w:fill="FFFFFF"/>
            <w:tcMar>
              <w:top w:w="0" w:type="dxa"/>
              <w:left w:w="0" w:type="dxa"/>
              <w:bottom w:w="0" w:type="dxa"/>
              <w:right w:w="0" w:type="dxa"/>
            </w:tcMar>
            <w:vAlign w:val="center"/>
          </w:tcPr>
          <w:p w14:paraId="618878B9"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556</w:t>
            </w:r>
            <w:r w:rsidR="00460707">
              <w:rPr>
                <w:rFonts w:ascii="Arial" w:eastAsia="Arial" w:hAnsi="Arial" w:cs="Arial"/>
                <w:color w:val="111111"/>
                <w:sz w:val="16"/>
                <w:szCs w:val="16"/>
              </w:rPr>
              <w:t>,1</w:t>
            </w:r>
          </w:p>
        </w:tc>
        <w:tc>
          <w:tcPr>
            <w:tcW w:w="0" w:type="auto"/>
            <w:shd w:val="clear" w:color="auto" w:fill="FFFFFF"/>
            <w:tcMar>
              <w:top w:w="0" w:type="dxa"/>
              <w:left w:w="0" w:type="dxa"/>
              <w:bottom w:w="0" w:type="dxa"/>
              <w:right w:w="0" w:type="dxa"/>
            </w:tcMar>
            <w:vAlign w:val="center"/>
          </w:tcPr>
          <w:p w14:paraId="4B8C346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9,7</w:t>
            </w:r>
          </w:p>
        </w:tc>
      </w:tr>
      <w:tr w:rsidR="006D271E" w:rsidRPr="006D271E" w14:paraId="1F4760E8" w14:textId="77777777">
        <w:trPr>
          <w:cantSplit/>
          <w:jc w:val="center"/>
        </w:trPr>
        <w:tc>
          <w:tcPr>
            <w:tcW w:w="0" w:type="auto"/>
            <w:shd w:val="clear" w:color="auto" w:fill="B0E3FB"/>
            <w:tcMar>
              <w:top w:w="0" w:type="dxa"/>
              <w:left w:w="0" w:type="dxa"/>
              <w:bottom w:w="0" w:type="dxa"/>
              <w:right w:w="0" w:type="dxa"/>
            </w:tcMar>
            <w:vAlign w:val="center"/>
          </w:tcPr>
          <w:p w14:paraId="54FFE9A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8B29C2D"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Krajši delovni čas</w:t>
            </w:r>
          </w:p>
        </w:tc>
        <w:tc>
          <w:tcPr>
            <w:tcW w:w="0" w:type="auto"/>
            <w:shd w:val="clear" w:color="auto" w:fill="B0E3FB"/>
            <w:tcMar>
              <w:top w:w="0" w:type="dxa"/>
              <w:left w:w="0" w:type="dxa"/>
              <w:bottom w:w="0" w:type="dxa"/>
              <w:right w:w="0" w:type="dxa"/>
            </w:tcMar>
            <w:vAlign w:val="center"/>
          </w:tcPr>
          <w:p w14:paraId="771E709E"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65D34A6B"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3</w:t>
            </w:r>
            <w:r w:rsidR="006245A3">
              <w:rPr>
                <w:rFonts w:ascii="Arial" w:eastAsia="Arial" w:hAnsi="Arial" w:cs="Arial"/>
                <w:color w:val="111111"/>
                <w:sz w:val="16"/>
                <w:szCs w:val="16"/>
              </w:rPr>
              <w:t>.</w:t>
            </w:r>
            <w:r w:rsidRPr="006D271E">
              <w:rPr>
                <w:rFonts w:ascii="Arial" w:eastAsia="Arial" w:hAnsi="Arial" w:cs="Arial"/>
                <w:color w:val="111111"/>
                <w:sz w:val="16"/>
                <w:szCs w:val="16"/>
              </w:rPr>
              <w:t>361</w:t>
            </w:r>
            <w:r w:rsidR="00460707">
              <w:rPr>
                <w:rFonts w:ascii="Arial" w:eastAsia="Arial" w:hAnsi="Arial" w:cs="Arial"/>
                <w:color w:val="111111"/>
                <w:sz w:val="16"/>
                <w:szCs w:val="16"/>
              </w:rPr>
              <w:t>,</w:t>
            </w:r>
            <w:r w:rsidRPr="006D271E">
              <w:rPr>
                <w:rFonts w:ascii="Arial" w:eastAsia="Arial" w:hAnsi="Arial" w:cs="Arial"/>
                <w:color w:val="111111"/>
                <w:sz w:val="16"/>
                <w:szCs w:val="16"/>
              </w:rPr>
              <w:t>7</w:t>
            </w:r>
          </w:p>
        </w:tc>
        <w:tc>
          <w:tcPr>
            <w:tcW w:w="0" w:type="auto"/>
            <w:shd w:val="clear" w:color="auto" w:fill="B0E3FB"/>
            <w:tcMar>
              <w:top w:w="0" w:type="dxa"/>
              <w:left w:w="0" w:type="dxa"/>
              <w:bottom w:w="0" w:type="dxa"/>
              <w:right w:w="0" w:type="dxa"/>
            </w:tcMar>
            <w:vAlign w:val="center"/>
          </w:tcPr>
          <w:p w14:paraId="75DACFC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w:t>
            </w:r>
          </w:p>
        </w:tc>
        <w:tc>
          <w:tcPr>
            <w:tcW w:w="0" w:type="auto"/>
            <w:shd w:val="clear" w:color="auto" w:fill="B0E3FB"/>
            <w:tcMar>
              <w:top w:w="0" w:type="dxa"/>
              <w:left w:w="0" w:type="dxa"/>
              <w:bottom w:w="0" w:type="dxa"/>
              <w:right w:w="0" w:type="dxa"/>
            </w:tcMar>
            <w:vAlign w:val="center"/>
          </w:tcPr>
          <w:p w14:paraId="6662B8A6"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460707">
              <w:rPr>
                <w:rFonts w:ascii="Arial" w:eastAsia="Arial" w:hAnsi="Arial" w:cs="Arial"/>
                <w:color w:val="111111"/>
                <w:sz w:val="16"/>
                <w:szCs w:val="16"/>
              </w:rPr>
              <w:t>.</w:t>
            </w:r>
            <w:r w:rsidRPr="006D271E">
              <w:rPr>
                <w:rFonts w:ascii="Arial" w:eastAsia="Arial" w:hAnsi="Arial" w:cs="Arial"/>
                <w:color w:val="111111"/>
                <w:sz w:val="16"/>
                <w:szCs w:val="16"/>
              </w:rPr>
              <w:t>707</w:t>
            </w:r>
            <w:r w:rsidR="00460707">
              <w:rPr>
                <w:rFonts w:ascii="Arial" w:eastAsia="Arial" w:hAnsi="Arial" w:cs="Arial"/>
                <w:color w:val="111111"/>
                <w:sz w:val="16"/>
                <w:szCs w:val="16"/>
              </w:rPr>
              <w:t>,</w:t>
            </w:r>
            <w:r w:rsidRPr="006D271E">
              <w:rPr>
                <w:rFonts w:ascii="Arial" w:eastAsia="Arial" w:hAnsi="Arial" w:cs="Arial"/>
                <w:color w:val="111111"/>
                <w:sz w:val="16"/>
                <w:szCs w:val="16"/>
              </w:rPr>
              <w:t>2</w:t>
            </w:r>
          </w:p>
        </w:tc>
        <w:tc>
          <w:tcPr>
            <w:tcW w:w="0" w:type="auto"/>
            <w:shd w:val="clear" w:color="auto" w:fill="B0E3FB"/>
            <w:tcMar>
              <w:top w:w="0" w:type="dxa"/>
              <w:left w:w="0" w:type="dxa"/>
              <w:bottom w:w="0" w:type="dxa"/>
              <w:right w:w="0" w:type="dxa"/>
            </w:tcMar>
            <w:vAlign w:val="center"/>
          </w:tcPr>
          <w:p w14:paraId="745295B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-0,1</w:t>
            </w:r>
          </w:p>
        </w:tc>
      </w:tr>
      <w:tr w:rsidR="006D271E" w:rsidRPr="006D271E" w14:paraId="778330ED" w14:textId="77777777">
        <w:trPr>
          <w:cantSplit/>
          <w:jc w:val="center"/>
        </w:trPr>
        <w:tc>
          <w:tcPr>
            <w:tcW w:w="0" w:type="auto"/>
            <w:shd w:val="clear" w:color="auto" w:fill="FFFFFF"/>
            <w:tcMar>
              <w:top w:w="0" w:type="dxa"/>
              <w:left w:w="0" w:type="dxa"/>
              <w:bottom w:w="0" w:type="dxa"/>
              <w:right w:w="0" w:type="dxa"/>
            </w:tcMar>
            <w:vAlign w:val="center"/>
          </w:tcPr>
          <w:p w14:paraId="105D77D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6CCAC7C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Štipendije sklada</w:t>
            </w:r>
          </w:p>
        </w:tc>
        <w:tc>
          <w:tcPr>
            <w:tcW w:w="0" w:type="auto"/>
            <w:shd w:val="clear" w:color="auto" w:fill="FFFFFF"/>
            <w:tcMar>
              <w:top w:w="0" w:type="dxa"/>
              <w:left w:w="0" w:type="dxa"/>
              <w:bottom w:w="0" w:type="dxa"/>
              <w:right w:w="0" w:type="dxa"/>
            </w:tcMar>
            <w:vAlign w:val="center"/>
          </w:tcPr>
          <w:p w14:paraId="3A5FB76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050B9941"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w:t>
            </w:r>
            <w:r w:rsidR="006245A3">
              <w:rPr>
                <w:rFonts w:ascii="Arial" w:eastAsia="Arial" w:hAnsi="Arial" w:cs="Arial"/>
                <w:color w:val="111111"/>
                <w:sz w:val="16"/>
                <w:szCs w:val="16"/>
              </w:rPr>
              <w:t>.</w:t>
            </w:r>
            <w:r w:rsidRPr="006D271E">
              <w:rPr>
                <w:rFonts w:ascii="Arial" w:eastAsia="Arial" w:hAnsi="Arial" w:cs="Arial"/>
                <w:color w:val="111111"/>
                <w:sz w:val="16"/>
                <w:szCs w:val="16"/>
              </w:rPr>
              <w:t>017</w:t>
            </w:r>
            <w:r w:rsidR="00460707">
              <w:rPr>
                <w:rFonts w:ascii="Arial" w:eastAsia="Arial" w:hAnsi="Arial" w:cs="Arial"/>
                <w:color w:val="111111"/>
                <w:sz w:val="16"/>
                <w:szCs w:val="16"/>
              </w:rPr>
              <w:t>,</w:t>
            </w:r>
            <w:r w:rsidRPr="006D271E">
              <w:rPr>
                <w:rFonts w:ascii="Arial" w:eastAsia="Arial" w:hAnsi="Arial" w:cs="Arial"/>
                <w:color w:val="111111"/>
                <w:sz w:val="16"/>
                <w:szCs w:val="16"/>
              </w:rPr>
              <w:t>0</w:t>
            </w:r>
          </w:p>
        </w:tc>
        <w:tc>
          <w:tcPr>
            <w:tcW w:w="0" w:type="auto"/>
            <w:shd w:val="clear" w:color="auto" w:fill="FFFFFF"/>
            <w:tcMar>
              <w:top w:w="0" w:type="dxa"/>
              <w:left w:w="0" w:type="dxa"/>
              <w:bottom w:w="0" w:type="dxa"/>
              <w:right w:w="0" w:type="dxa"/>
            </w:tcMar>
            <w:vAlign w:val="center"/>
          </w:tcPr>
          <w:p w14:paraId="2902F3E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10,3</w:t>
            </w:r>
          </w:p>
        </w:tc>
        <w:tc>
          <w:tcPr>
            <w:tcW w:w="0" w:type="auto"/>
            <w:shd w:val="clear" w:color="auto" w:fill="FFFFFF"/>
            <w:tcMar>
              <w:top w:w="0" w:type="dxa"/>
              <w:left w:w="0" w:type="dxa"/>
              <w:bottom w:w="0" w:type="dxa"/>
              <w:right w:w="0" w:type="dxa"/>
            </w:tcMar>
            <w:vAlign w:val="center"/>
          </w:tcPr>
          <w:p w14:paraId="7152F17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w:t>
            </w:r>
            <w:r w:rsidR="00460707">
              <w:rPr>
                <w:rFonts w:ascii="Arial" w:eastAsia="Arial" w:hAnsi="Arial" w:cs="Arial"/>
                <w:color w:val="111111"/>
                <w:sz w:val="16"/>
                <w:szCs w:val="16"/>
              </w:rPr>
              <w:t>.</w:t>
            </w:r>
            <w:r w:rsidRPr="006D271E">
              <w:rPr>
                <w:rFonts w:ascii="Arial" w:eastAsia="Arial" w:hAnsi="Arial" w:cs="Arial"/>
                <w:color w:val="111111"/>
                <w:sz w:val="16"/>
                <w:szCs w:val="16"/>
              </w:rPr>
              <w:t>393</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1605CC8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85,7</w:t>
            </w:r>
          </w:p>
        </w:tc>
      </w:tr>
      <w:tr w:rsidR="006D271E" w:rsidRPr="006D271E" w14:paraId="24F39877" w14:textId="77777777">
        <w:trPr>
          <w:cantSplit/>
          <w:jc w:val="center"/>
        </w:trPr>
        <w:tc>
          <w:tcPr>
            <w:tcW w:w="0" w:type="auto"/>
            <w:shd w:val="clear" w:color="auto" w:fill="B0E3FB"/>
            <w:tcMar>
              <w:top w:w="0" w:type="dxa"/>
              <w:left w:w="0" w:type="dxa"/>
              <w:bottom w:w="0" w:type="dxa"/>
              <w:right w:w="0" w:type="dxa"/>
            </w:tcMar>
            <w:vAlign w:val="center"/>
          </w:tcPr>
          <w:p w14:paraId="7EF8D98C"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2BBECDF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Državna štipendija</w:t>
            </w:r>
          </w:p>
        </w:tc>
        <w:tc>
          <w:tcPr>
            <w:tcW w:w="0" w:type="auto"/>
            <w:shd w:val="clear" w:color="auto" w:fill="B0E3FB"/>
            <w:tcMar>
              <w:top w:w="0" w:type="dxa"/>
              <w:left w:w="0" w:type="dxa"/>
              <w:bottom w:w="0" w:type="dxa"/>
              <w:right w:w="0" w:type="dxa"/>
            </w:tcMar>
            <w:vAlign w:val="center"/>
          </w:tcPr>
          <w:p w14:paraId="51F04B2E"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0A81045F"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12</w:t>
            </w:r>
            <w:r w:rsidR="006245A3">
              <w:rPr>
                <w:rFonts w:ascii="Arial" w:eastAsia="Arial" w:hAnsi="Arial" w:cs="Arial"/>
                <w:color w:val="111111"/>
                <w:sz w:val="16"/>
                <w:szCs w:val="16"/>
              </w:rPr>
              <w:t>.</w:t>
            </w:r>
            <w:r w:rsidRPr="006D271E">
              <w:rPr>
                <w:rFonts w:ascii="Arial" w:eastAsia="Arial" w:hAnsi="Arial" w:cs="Arial"/>
                <w:color w:val="111111"/>
                <w:sz w:val="16"/>
                <w:szCs w:val="16"/>
              </w:rPr>
              <w:t>316</w:t>
            </w:r>
            <w:r w:rsidR="00460707">
              <w:rPr>
                <w:rFonts w:ascii="Arial" w:eastAsia="Arial" w:hAnsi="Arial" w:cs="Arial"/>
                <w:color w:val="111111"/>
                <w:sz w:val="16"/>
                <w:szCs w:val="16"/>
              </w:rPr>
              <w:t>,</w:t>
            </w:r>
            <w:r w:rsidRPr="006D271E">
              <w:rPr>
                <w:rFonts w:ascii="Arial" w:eastAsia="Arial" w:hAnsi="Arial" w:cs="Arial"/>
                <w:color w:val="111111"/>
                <w:sz w:val="16"/>
                <w:szCs w:val="16"/>
              </w:rPr>
              <w:t>3</w:t>
            </w:r>
          </w:p>
        </w:tc>
        <w:tc>
          <w:tcPr>
            <w:tcW w:w="0" w:type="auto"/>
            <w:shd w:val="clear" w:color="auto" w:fill="B0E3FB"/>
            <w:tcMar>
              <w:top w:w="0" w:type="dxa"/>
              <w:left w:w="0" w:type="dxa"/>
              <w:bottom w:w="0" w:type="dxa"/>
              <w:right w:w="0" w:type="dxa"/>
            </w:tcMar>
            <w:vAlign w:val="center"/>
          </w:tcPr>
          <w:p w14:paraId="1291702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-0,2</w:t>
            </w:r>
          </w:p>
        </w:tc>
        <w:tc>
          <w:tcPr>
            <w:tcW w:w="0" w:type="auto"/>
            <w:shd w:val="clear" w:color="auto" w:fill="B0E3FB"/>
            <w:tcMar>
              <w:top w:w="0" w:type="dxa"/>
              <w:left w:w="0" w:type="dxa"/>
              <w:bottom w:w="0" w:type="dxa"/>
              <w:right w:w="0" w:type="dxa"/>
            </w:tcMar>
            <w:vAlign w:val="center"/>
          </w:tcPr>
          <w:p w14:paraId="70875DA1"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6</w:t>
            </w:r>
            <w:r w:rsidR="00460707">
              <w:rPr>
                <w:rFonts w:ascii="Arial" w:eastAsia="Arial" w:hAnsi="Arial" w:cs="Arial"/>
                <w:color w:val="111111"/>
                <w:sz w:val="16"/>
                <w:szCs w:val="16"/>
              </w:rPr>
              <w:t>.</w:t>
            </w:r>
            <w:r w:rsidRPr="006D271E">
              <w:rPr>
                <w:rFonts w:ascii="Arial" w:eastAsia="Arial" w:hAnsi="Arial" w:cs="Arial"/>
                <w:color w:val="111111"/>
                <w:sz w:val="16"/>
                <w:szCs w:val="16"/>
              </w:rPr>
              <w:t>19</w:t>
            </w:r>
            <w:r w:rsidR="00460707">
              <w:rPr>
                <w:rFonts w:ascii="Arial" w:eastAsia="Arial" w:hAnsi="Arial" w:cs="Arial"/>
                <w:color w:val="111111"/>
                <w:sz w:val="16"/>
                <w:szCs w:val="16"/>
              </w:rPr>
              <w:t>1,0</w:t>
            </w:r>
          </w:p>
        </w:tc>
        <w:tc>
          <w:tcPr>
            <w:tcW w:w="0" w:type="auto"/>
            <w:shd w:val="clear" w:color="auto" w:fill="B0E3FB"/>
            <w:tcMar>
              <w:top w:w="0" w:type="dxa"/>
              <w:left w:w="0" w:type="dxa"/>
              <w:bottom w:w="0" w:type="dxa"/>
              <w:right w:w="0" w:type="dxa"/>
            </w:tcMar>
            <w:vAlign w:val="center"/>
          </w:tcPr>
          <w:p w14:paraId="141FD9C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-0,2</w:t>
            </w:r>
          </w:p>
        </w:tc>
      </w:tr>
      <w:tr w:rsidR="006D271E" w:rsidRPr="006D271E" w14:paraId="1327191E" w14:textId="77777777">
        <w:trPr>
          <w:cantSplit/>
          <w:jc w:val="center"/>
        </w:trPr>
        <w:tc>
          <w:tcPr>
            <w:tcW w:w="0" w:type="auto"/>
            <w:shd w:val="clear" w:color="auto" w:fill="FFFFFF"/>
            <w:tcMar>
              <w:top w:w="0" w:type="dxa"/>
              <w:left w:w="0" w:type="dxa"/>
              <w:bottom w:w="0" w:type="dxa"/>
              <w:right w:w="0" w:type="dxa"/>
            </w:tcMar>
            <w:vAlign w:val="center"/>
          </w:tcPr>
          <w:p w14:paraId="302CE4E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455612F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Otroški dodatek</w:t>
            </w:r>
          </w:p>
        </w:tc>
        <w:tc>
          <w:tcPr>
            <w:tcW w:w="0" w:type="auto"/>
            <w:shd w:val="clear" w:color="auto" w:fill="FFFFFF"/>
            <w:tcMar>
              <w:top w:w="0" w:type="dxa"/>
              <w:left w:w="0" w:type="dxa"/>
              <w:bottom w:w="0" w:type="dxa"/>
              <w:right w:w="0" w:type="dxa"/>
            </w:tcMar>
            <w:vAlign w:val="center"/>
          </w:tcPr>
          <w:p w14:paraId="1222452E"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47C4B912"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41</w:t>
            </w:r>
            <w:r w:rsidR="006245A3">
              <w:rPr>
                <w:rFonts w:ascii="Arial" w:eastAsia="Arial" w:hAnsi="Arial" w:cs="Arial"/>
                <w:color w:val="111111"/>
                <w:sz w:val="16"/>
                <w:szCs w:val="16"/>
              </w:rPr>
              <w:t>.</w:t>
            </w:r>
            <w:r w:rsidRPr="006D271E">
              <w:rPr>
                <w:rFonts w:ascii="Arial" w:eastAsia="Arial" w:hAnsi="Arial" w:cs="Arial"/>
                <w:color w:val="111111"/>
                <w:sz w:val="16"/>
                <w:szCs w:val="16"/>
              </w:rPr>
              <w:t>247</w:t>
            </w:r>
            <w:r w:rsidR="00460707">
              <w:rPr>
                <w:rFonts w:ascii="Arial" w:eastAsia="Arial" w:hAnsi="Arial" w:cs="Arial"/>
                <w:color w:val="111111"/>
                <w:sz w:val="16"/>
                <w:szCs w:val="16"/>
              </w:rPr>
              <w:t>,</w:t>
            </w:r>
            <w:r w:rsidRPr="006D271E">
              <w:rPr>
                <w:rFonts w:ascii="Arial" w:eastAsia="Arial" w:hAnsi="Arial" w:cs="Arial"/>
                <w:color w:val="111111"/>
                <w:sz w:val="16"/>
                <w:szCs w:val="16"/>
              </w:rPr>
              <w:t>3</w:t>
            </w:r>
          </w:p>
        </w:tc>
        <w:tc>
          <w:tcPr>
            <w:tcW w:w="0" w:type="auto"/>
            <w:shd w:val="clear" w:color="auto" w:fill="FFFFFF"/>
            <w:tcMar>
              <w:top w:w="0" w:type="dxa"/>
              <w:left w:w="0" w:type="dxa"/>
              <w:bottom w:w="0" w:type="dxa"/>
              <w:right w:w="0" w:type="dxa"/>
            </w:tcMar>
            <w:vAlign w:val="center"/>
          </w:tcPr>
          <w:p w14:paraId="60FCCCB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-1,4</w:t>
            </w:r>
          </w:p>
        </w:tc>
        <w:tc>
          <w:tcPr>
            <w:tcW w:w="0" w:type="auto"/>
            <w:shd w:val="clear" w:color="auto" w:fill="FFFFFF"/>
            <w:tcMar>
              <w:top w:w="0" w:type="dxa"/>
              <w:left w:w="0" w:type="dxa"/>
              <w:bottom w:w="0" w:type="dxa"/>
              <w:right w:w="0" w:type="dxa"/>
            </w:tcMar>
            <w:vAlign w:val="center"/>
          </w:tcPr>
          <w:p w14:paraId="5D458461"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20</w:t>
            </w:r>
            <w:r w:rsidR="00460707">
              <w:rPr>
                <w:rFonts w:ascii="Arial" w:eastAsia="Arial" w:hAnsi="Arial" w:cs="Arial"/>
                <w:color w:val="111111"/>
                <w:sz w:val="16"/>
                <w:szCs w:val="16"/>
              </w:rPr>
              <w:t>.</w:t>
            </w:r>
            <w:r w:rsidRPr="006D271E">
              <w:rPr>
                <w:rFonts w:ascii="Arial" w:eastAsia="Arial" w:hAnsi="Arial" w:cs="Arial"/>
                <w:color w:val="111111"/>
                <w:sz w:val="16"/>
                <w:szCs w:val="16"/>
              </w:rPr>
              <w:t>622</w:t>
            </w:r>
            <w:r w:rsidR="00460707">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4EF4748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w:t>
            </w:r>
          </w:p>
        </w:tc>
      </w:tr>
      <w:tr w:rsidR="006D271E" w:rsidRPr="006D271E" w14:paraId="5C69A047" w14:textId="77777777">
        <w:trPr>
          <w:cantSplit/>
          <w:jc w:val="center"/>
        </w:trPr>
        <w:tc>
          <w:tcPr>
            <w:tcW w:w="0" w:type="auto"/>
            <w:shd w:val="clear" w:color="auto" w:fill="B0E3FB"/>
            <w:tcMar>
              <w:top w:w="0" w:type="dxa"/>
              <w:left w:w="0" w:type="dxa"/>
              <w:bottom w:w="0" w:type="dxa"/>
              <w:right w:w="0" w:type="dxa"/>
            </w:tcMar>
            <w:vAlign w:val="center"/>
          </w:tcPr>
          <w:p w14:paraId="5DFB3E9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0A9DAEAE"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Starševski dopusti in nadomestila</w:t>
            </w:r>
          </w:p>
        </w:tc>
        <w:tc>
          <w:tcPr>
            <w:tcW w:w="0" w:type="auto"/>
            <w:shd w:val="clear" w:color="auto" w:fill="B0E3FB"/>
            <w:tcMar>
              <w:top w:w="0" w:type="dxa"/>
              <w:left w:w="0" w:type="dxa"/>
              <w:bottom w:w="0" w:type="dxa"/>
              <w:right w:w="0" w:type="dxa"/>
            </w:tcMar>
            <w:vAlign w:val="center"/>
          </w:tcPr>
          <w:p w14:paraId="5E43120A"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4E17F8C0" w14:textId="77777777" w:rsidR="009813B9" w:rsidRPr="006D271E" w:rsidRDefault="006D271E" w:rsidP="006245A3">
            <w:pPr>
              <w:spacing w:before="40" w:after="40"/>
              <w:ind w:left="40" w:right="40"/>
              <w:jc w:val="center"/>
              <w:rPr>
                <w:sz w:val="16"/>
                <w:szCs w:val="16"/>
              </w:rPr>
            </w:pPr>
            <w:r w:rsidRPr="006D271E">
              <w:rPr>
                <w:rFonts w:ascii="Arial" w:eastAsia="Arial" w:hAnsi="Arial" w:cs="Arial"/>
                <w:color w:val="111111"/>
                <w:sz w:val="16"/>
                <w:szCs w:val="16"/>
              </w:rPr>
              <w:t>48</w:t>
            </w:r>
            <w:r w:rsidR="006245A3">
              <w:rPr>
                <w:rFonts w:ascii="Arial" w:eastAsia="Arial" w:hAnsi="Arial" w:cs="Arial"/>
                <w:color w:val="111111"/>
                <w:sz w:val="16"/>
                <w:szCs w:val="16"/>
              </w:rPr>
              <w:t>.</w:t>
            </w:r>
            <w:r w:rsidRPr="006D271E">
              <w:rPr>
                <w:rFonts w:ascii="Arial" w:eastAsia="Arial" w:hAnsi="Arial" w:cs="Arial"/>
                <w:color w:val="111111"/>
                <w:sz w:val="16"/>
                <w:szCs w:val="16"/>
              </w:rPr>
              <w:t>720</w:t>
            </w:r>
            <w:r w:rsidR="00460707">
              <w:rPr>
                <w:rFonts w:ascii="Arial" w:eastAsia="Arial" w:hAnsi="Arial" w:cs="Arial"/>
                <w:color w:val="111111"/>
                <w:sz w:val="16"/>
                <w:szCs w:val="16"/>
              </w:rPr>
              <w:t>,</w:t>
            </w:r>
            <w:r w:rsidRPr="006D271E">
              <w:rPr>
                <w:rFonts w:ascii="Arial" w:eastAsia="Arial" w:hAnsi="Arial" w:cs="Arial"/>
                <w:color w:val="111111"/>
                <w:sz w:val="16"/>
                <w:szCs w:val="16"/>
              </w:rPr>
              <w:t>6</w:t>
            </w:r>
          </w:p>
        </w:tc>
        <w:tc>
          <w:tcPr>
            <w:tcW w:w="0" w:type="auto"/>
            <w:shd w:val="clear" w:color="auto" w:fill="B0E3FB"/>
            <w:tcMar>
              <w:top w:w="0" w:type="dxa"/>
              <w:left w:w="0" w:type="dxa"/>
              <w:bottom w:w="0" w:type="dxa"/>
              <w:right w:w="0" w:type="dxa"/>
            </w:tcMar>
            <w:vAlign w:val="center"/>
          </w:tcPr>
          <w:p w14:paraId="08AEC5E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1,7</w:t>
            </w:r>
          </w:p>
        </w:tc>
        <w:tc>
          <w:tcPr>
            <w:tcW w:w="0" w:type="auto"/>
            <w:shd w:val="clear" w:color="auto" w:fill="B0E3FB"/>
            <w:tcMar>
              <w:top w:w="0" w:type="dxa"/>
              <w:left w:w="0" w:type="dxa"/>
              <w:bottom w:w="0" w:type="dxa"/>
              <w:right w:w="0" w:type="dxa"/>
            </w:tcMar>
            <w:vAlign w:val="center"/>
          </w:tcPr>
          <w:p w14:paraId="33EAF4D4"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24</w:t>
            </w:r>
            <w:r w:rsidR="00460707">
              <w:rPr>
                <w:rFonts w:ascii="Arial" w:eastAsia="Arial" w:hAnsi="Arial" w:cs="Arial"/>
                <w:color w:val="111111"/>
                <w:sz w:val="16"/>
                <w:szCs w:val="16"/>
              </w:rPr>
              <w:t>.</w:t>
            </w:r>
            <w:r w:rsidRPr="006D271E">
              <w:rPr>
                <w:rFonts w:ascii="Arial" w:eastAsia="Arial" w:hAnsi="Arial" w:cs="Arial"/>
                <w:color w:val="111111"/>
                <w:sz w:val="16"/>
                <w:szCs w:val="16"/>
              </w:rPr>
              <w:t>347</w:t>
            </w:r>
            <w:r w:rsidR="00460707">
              <w:rPr>
                <w:rFonts w:ascii="Arial" w:eastAsia="Arial" w:hAnsi="Arial" w:cs="Arial"/>
                <w:color w:val="111111"/>
                <w:sz w:val="16"/>
                <w:szCs w:val="16"/>
              </w:rPr>
              <w:t>,</w:t>
            </w:r>
            <w:r w:rsidRPr="006D271E">
              <w:rPr>
                <w:rFonts w:ascii="Arial" w:eastAsia="Arial" w:hAnsi="Arial" w:cs="Arial"/>
                <w:color w:val="111111"/>
                <w:sz w:val="16"/>
                <w:szCs w:val="16"/>
              </w:rPr>
              <w:t>2</w:t>
            </w:r>
          </w:p>
        </w:tc>
        <w:tc>
          <w:tcPr>
            <w:tcW w:w="0" w:type="auto"/>
            <w:shd w:val="clear" w:color="auto" w:fill="B0E3FB"/>
            <w:tcMar>
              <w:top w:w="0" w:type="dxa"/>
              <w:left w:w="0" w:type="dxa"/>
              <w:bottom w:w="0" w:type="dxa"/>
              <w:right w:w="0" w:type="dxa"/>
            </w:tcMar>
            <w:vAlign w:val="center"/>
          </w:tcPr>
          <w:p w14:paraId="57BF2E8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1,8</w:t>
            </w:r>
          </w:p>
        </w:tc>
      </w:tr>
      <w:tr w:rsidR="006D271E" w:rsidRPr="006D271E" w14:paraId="43BC608E" w14:textId="77777777">
        <w:trPr>
          <w:cantSplit/>
          <w:jc w:val="center"/>
        </w:trPr>
        <w:tc>
          <w:tcPr>
            <w:tcW w:w="0" w:type="auto"/>
            <w:shd w:val="clear" w:color="auto" w:fill="FFFFFF"/>
            <w:tcMar>
              <w:top w:w="0" w:type="dxa"/>
              <w:left w:w="0" w:type="dxa"/>
              <w:bottom w:w="0" w:type="dxa"/>
              <w:right w:w="0" w:type="dxa"/>
            </w:tcMar>
            <w:vAlign w:val="center"/>
          </w:tcPr>
          <w:p w14:paraId="5B36A17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59DCBAED" w14:textId="77777777" w:rsidR="009813B9" w:rsidRPr="006D271E" w:rsidRDefault="006D271E" w:rsidP="00444756">
            <w:pPr>
              <w:spacing w:before="40" w:after="40"/>
              <w:ind w:left="40" w:right="40"/>
              <w:rPr>
                <w:sz w:val="16"/>
                <w:szCs w:val="16"/>
              </w:rPr>
            </w:pPr>
            <w:r w:rsidRPr="006D271E">
              <w:rPr>
                <w:rFonts w:ascii="Arial" w:eastAsia="Arial" w:hAnsi="Arial" w:cs="Arial"/>
                <w:b/>
                <w:color w:val="111111"/>
                <w:sz w:val="16"/>
                <w:szCs w:val="16"/>
              </w:rPr>
              <w:t xml:space="preserve">Dodatek za pomoč in </w:t>
            </w:r>
            <w:r w:rsidR="00444756">
              <w:rPr>
                <w:rFonts w:ascii="Arial" w:eastAsia="Arial" w:hAnsi="Arial" w:cs="Arial"/>
                <w:b/>
                <w:color w:val="111111"/>
                <w:sz w:val="16"/>
                <w:szCs w:val="16"/>
              </w:rPr>
              <w:t>p</w:t>
            </w:r>
            <w:r w:rsidRPr="006D271E">
              <w:rPr>
                <w:rFonts w:ascii="Arial" w:eastAsia="Arial" w:hAnsi="Arial" w:cs="Arial"/>
                <w:b/>
                <w:color w:val="111111"/>
                <w:sz w:val="16"/>
                <w:szCs w:val="16"/>
              </w:rPr>
              <w:t>ostrežbo</w:t>
            </w:r>
            <w:r w:rsidR="00444756" w:rsidRPr="006D271E">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03FC037F"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761EDA1A"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179</w:t>
            </w:r>
            <w:r w:rsidR="00460707">
              <w:rPr>
                <w:rFonts w:ascii="Arial" w:eastAsia="Arial" w:hAnsi="Arial" w:cs="Arial"/>
                <w:color w:val="111111"/>
                <w:sz w:val="16"/>
                <w:szCs w:val="16"/>
              </w:rPr>
              <w:t>,</w:t>
            </w:r>
            <w:r w:rsidRPr="006D271E">
              <w:rPr>
                <w:rFonts w:ascii="Arial" w:eastAsia="Arial" w:hAnsi="Arial" w:cs="Arial"/>
                <w:color w:val="111111"/>
                <w:sz w:val="16"/>
                <w:szCs w:val="16"/>
              </w:rPr>
              <w:t>5</w:t>
            </w:r>
          </w:p>
        </w:tc>
        <w:tc>
          <w:tcPr>
            <w:tcW w:w="0" w:type="auto"/>
            <w:shd w:val="clear" w:color="auto" w:fill="FFFFFF"/>
            <w:tcMar>
              <w:top w:w="0" w:type="dxa"/>
              <w:left w:w="0" w:type="dxa"/>
              <w:bottom w:w="0" w:type="dxa"/>
              <w:right w:w="0" w:type="dxa"/>
            </w:tcMar>
            <w:vAlign w:val="center"/>
          </w:tcPr>
          <w:p w14:paraId="18A215C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1,7</w:t>
            </w:r>
          </w:p>
        </w:tc>
        <w:tc>
          <w:tcPr>
            <w:tcW w:w="0" w:type="auto"/>
            <w:shd w:val="clear" w:color="auto" w:fill="FFFFFF"/>
            <w:tcMar>
              <w:top w:w="0" w:type="dxa"/>
              <w:left w:w="0" w:type="dxa"/>
              <w:bottom w:w="0" w:type="dxa"/>
              <w:right w:w="0" w:type="dxa"/>
            </w:tcMar>
            <w:vAlign w:val="center"/>
          </w:tcPr>
          <w:p w14:paraId="1D2A305D"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8</w:t>
            </w:r>
            <w:r w:rsidR="00460707">
              <w:rPr>
                <w:rFonts w:ascii="Arial" w:eastAsia="Arial" w:hAnsi="Arial" w:cs="Arial"/>
                <w:color w:val="111111"/>
                <w:sz w:val="16"/>
                <w:szCs w:val="16"/>
              </w:rPr>
              <w:t>9,0</w:t>
            </w:r>
          </w:p>
        </w:tc>
        <w:tc>
          <w:tcPr>
            <w:tcW w:w="0" w:type="auto"/>
            <w:shd w:val="clear" w:color="auto" w:fill="FFFFFF"/>
            <w:tcMar>
              <w:top w:w="0" w:type="dxa"/>
              <w:left w:w="0" w:type="dxa"/>
              <w:bottom w:w="0" w:type="dxa"/>
              <w:right w:w="0" w:type="dxa"/>
            </w:tcMar>
            <w:vAlign w:val="center"/>
          </w:tcPr>
          <w:p w14:paraId="768E14A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0,6</w:t>
            </w:r>
          </w:p>
        </w:tc>
      </w:tr>
      <w:tr w:rsidR="006D271E" w:rsidRPr="006D271E" w14:paraId="00B4C83E" w14:textId="77777777">
        <w:trPr>
          <w:cantSplit/>
          <w:jc w:val="center"/>
        </w:trPr>
        <w:tc>
          <w:tcPr>
            <w:tcW w:w="0" w:type="auto"/>
            <w:shd w:val="clear" w:color="auto" w:fill="B0E3FB"/>
            <w:tcMar>
              <w:top w:w="0" w:type="dxa"/>
              <w:left w:w="0" w:type="dxa"/>
              <w:bottom w:w="0" w:type="dxa"/>
              <w:right w:w="0" w:type="dxa"/>
            </w:tcMar>
            <w:vAlign w:val="center"/>
          </w:tcPr>
          <w:p w14:paraId="2CD0FF7A"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8E5C7A1" w14:textId="77777777" w:rsidR="009813B9" w:rsidRPr="006D271E" w:rsidRDefault="006D271E" w:rsidP="00444756">
            <w:pPr>
              <w:spacing w:before="40" w:after="40"/>
              <w:ind w:left="40" w:right="40"/>
              <w:rPr>
                <w:sz w:val="16"/>
                <w:szCs w:val="16"/>
              </w:rPr>
            </w:pPr>
            <w:r w:rsidRPr="006D271E">
              <w:rPr>
                <w:rFonts w:ascii="Arial" w:eastAsia="Arial" w:hAnsi="Arial" w:cs="Arial"/>
                <w:b/>
                <w:color w:val="111111"/>
                <w:sz w:val="16"/>
                <w:szCs w:val="16"/>
              </w:rPr>
              <w:t>Posmrtnine</w:t>
            </w:r>
          </w:p>
        </w:tc>
        <w:tc>
          <w:tcPr>
            <w:tcW w:w="0" w:type="auto"/>
            <w:shd w:val="clear" w:color="auto" w:fill="B0E3FB"/>
            <w:tcMar>
              <w:top w:w="0" w:type="dxa"/>
              <w:left w:w="0" w:type="dxa"/>
              <w:bottom w:w="0" w:type="dxa"/>
              <w:right w:w="0" w:type="dxa"/>
            </w:tcMar>
            <w:vAlign w:val="center"/>
          </w:tcPr>
          <w:p w14:paraId="5228634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72764574"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194</w:t>
            </w:r>
            <w:r w:rsidR="00460707">
              <w:rPr>
                <w:rFonts w:ascii="Arial" w:eastAsia="Arial" w:hAnsi="Arial" w:cs="Arial"/>
                <w:color w:val="111111"/>
                <w:sz w:val="16"/>
                <w:szCs w:val="16"/>
              </w:rPr>
              <w:t>,</w:t>
            </w:r>
            <w:r w:rsidRPr="006D271E">
              <w:rPr>
                <w:rFonts w:ascii="Arial" w:eastAsia="Arial" w:hAnsi="Arial" w:cs="Arial"/>
                <w:color w:val="111111"/>
                <w:sz w:val="16"/>
                <w:szCs w:val="16"/>
              </w:rPr>
              <w:t>2</w:t>
            </w:r>
          </w:p>
        </w:tc>
        <w:tc>
          <w:tcPr>
            <w:tcW w:w="0" w:type="auto"/>
            <w:shd w:val="clear" w:color="auto" w:fill="B0E3FB"/>
            <w:tcMar>
              <w:top w:w="0" w:type="dxa"/>
              <w:left w:w="0" w:type="dxa"/>
              <w:bottom w:w="0" w:type="dxa"/>
              <w:right w:w="0" w:type="dxa"/>
            </w:tcMar>
            <w:vAlign w:val="center"/>
          </w:tcPr>
          <w:p w14:paraId="3E53741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-43,1</w:t>
            </w:r>
          </w:p>
        </w:tc>
        <w:tc>
          <w:tcPr>
            <w:tcW w:w="0" w:type="auto"/>
            <w:shd w:val="clear" w:color="auto" w:fill="B0E3FB"/>
            <w:tcMar>
              <w:top w:w="0" w:type="dxa"/>
              <w:left w:w="0" w:type="dxa"/>
              <w:bottom w:w="0" w:type="dxa"/>
              <w:right w:w="0" w:type="dxa"/>
            </w:tcMar>
            <w:vAlign w:val="center"/>
          </w:tcPr>
          <w:p w14:paraId="2299876D"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54</w:t>
            </w:r>
            <w:r w:rsidR="00460707">
              <w:rPr>
                <w:rFonts w:ascii="Arial" w:eastAsia="Arial" w:hAnsi="Arial" w:cs="Arial"/>
                <w:color w:val="111111"/>
                <w:sz w:val="16"/>
                <w:szCs w:val="16"/>
              </w:rPr>
              <w:t>,7</w:t>
            </w:r>
          </w:p>
        </w:tc>
        <w:tc>
          <w:tcPr>
            <w:tcW w:w="0" w:type="auto"/>
            <w:shd w:val="clear" w:color="auto" w:fill="B0E3FB"/>
            <w:tcMar>
              <w:top w:w="0" w:type="dxa"/>
              <w:left w:w="0" w:type="dxa"/>
              <w:bottom w:w="0" w:type="dxa"/>
              <w:right w:w="0" w:type="dxa"/>
            </w:tcMar>
            <w:vAlign w:val="center"/>
          </w:tcPr>
          <w:p w14:paraId="76ED17B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-66,2</w:t>
            </w:r>
          </w:p>
        </w:tc>
      </w:tr>
      <w:tr w:rsidR="006D271E" w:rsidRPr="006D271E" w14:paraId="45419B5D" w14:textId="77777777">
        <w:trPr>
          <w:cantSplit/>
          <w:jc w:val="center"/>
        </w:trPr>
        <w:tc>
          <w:tcPr>
            <w:tcW w:w="0" w:type="auto"/>
            <w:shd w:val="clear" w:color="auto" w:fill="FFFFFF"/>
            <w:tcMar>
              <w:top w:w="0" w:type="dxa"/>
              <w:left w:w="0" w:type="dxa"/>
              <w:bottom w:w="0" w:type="dxa"/>
              <w:right w:w="0" w:type="dxa"/>
            </w:tcMar>
            <w:vAlign w:val="center"/>
          </w:tcPr>
          <w:p w14:paraId="32729B8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71C4B1C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Osebna asistenca/komunikacijski dodatek</w:t>
            </w:r>
          </w:p>
        </w:tc>
        <w:tc>
          <w:tcPr>
            <w:tcW w:w="0" w:type="auto"/>
            <w:shd w:val="clear" w:color="auto" w:fill="FFFFFF"/>
            <w:tcMar>
              <w:top w:w="0" w:type="dxa"/>
              <w:left w:w="0" w:type="dxa"/>
              <w:bottom w:w="0" w:type="dxa"/>
              <w:right w:w="0" w:type="dxa"/>
            </w:tcMar>
            <w:vAlign w:val="center"/>
          </w:tcPr>
          <w:p w14:paraId="21E505AF"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6A17D979"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444</w:t>
            </w:r>
            <w:r w:rsidR="00460707">
              <w:rPr>
                <w:rFonts w:ascii="Arial" w:eastAsia="Arial" w:hAnsi="Arial" w:cs="Arial"/>
                <w:color w:val="111111"/>
                <w:sz w:val="16"/>
                <w:szCs w:val="16"/>
              </w:rPr>
              <w:t>,</w:t>
            </w:r>
            <w:r w:rsidRPr="006D271E">
              <w:rPr>
                <w:rFonts w:ascii="Arial" w:eastAsia="Arial" w:hAnsi="Arial" w:cs="Arial"/>
                <w:color w:val="111111"/>
                <w:sz w:val="16"/>
                <w:szCs w:val="16"/>
              </w:rPr>
              <w:t>3</w:t>
            </w:r>
          </w:p>
        </w:tc>
        <w:tc>
          <w:tcPr>
            <w:tcW w:w="0" w:type="auto"/>
            <w:shd w:val="clear" w:color="auto" w:fill="FFFFFF"/>
            <w:tcMar>
              <w:top w:w="0" w:type="dxa"/>
              <w:left w:w="0" w:type="dxa"/>
              <w:bottom w:w="0" w:type="dxa"/>
              <w:right w:w="0" w:type="dxa"/>
            </w:tcMar>
            <w:vAlign w:val="center"/>
          </w:tcPr>
          <w:p w14:paraId="2FFEDB1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6,3</w:t>
            </w:r>
          </w:p>
        </w:tc>
        <w:tc>
          <w:tcPr>
            <w:tcW w:w="0" w:type="auto"/>
            <w:shd w:val="clear" w:color="auto" w:fill="FFFFFF"/>
            <w:tcMar>
              <w:top w:w="0" w:type="dxa"/>
              <w:left w:w="0" w:type="dxa"/>
              <w:bottom w:w="0" w:type="dxa"/>
              <w:right w:w="0" w:type="dxa"/>
            </w:tcMar>
            <w:vAlign w:val="center"/>
          </w:tcPr>
          <w:p w14:paraId="5F26C210"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221</w:t>
            </w:r>
            <w:r w:rsidR="00460707">
              <w:rPr>
                <w:rFonts w:ascii="Arial" w:eastAsia="Arial" w:hAnsi="Arial" w:cs="Arial"/>
                <w:color w:val="111111"/>
                <w:sz w:val="16"/>
                <w:szCs w:val="16"/>
              </w:rPr>
              <w:t>,9</w:t>
            </w:r>
          </w:p>
        </w:tc>
        <w:tc>
          <w:tcPr>
            <w:tcW w:w="0" w:type="auto"/>
            <w:shd w:val="clear" w:color="auto" w:fill="FFFFFF"/>
            <w:tcMar>
              <w:top w:w="0" w:type="dxa"/>
              <w:left w:w="0" w:type="dxa"/>
              <w:bottom w:w="0" w:type="dxa"/>
              <w:right w:w="0" w:type="dxa"/>
            </w:tcMar>
            <w:vAlign w:val="center"/>
          </w:tcPr>
          <w:p w14:paraId="6CEFC41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5,6</w:t>
            </w:r>
          </w:p>
        </w:tc>
      </w:tr>
      <w:tr w:rsidR="006D271E" w:rsidRPr="006D271E" w14:paraId="555F6D8D" w14:textId="77777777">
        <w:trPr>
          <w:cantSplit/>
          <w:jc w:val="center"/>
        </w:trPr>
        <w:tc>
          <w:tcPr>
            <w:tcW w:w="0" w:type="auto"/>
            <w:shd w:val="clear" w:color="auto" w:fill="B0E3FB"/>
            <w:tcMar>
              <w:top w:w="0" w:type="dxa"/>
              <w:left w:w="0" w:type="dxa"/>
              <w:bottom w:w="0" w:type="dxa"/>
              <w:right w:w="0" w:type="dxa"/>
            </w:tcMar>
            <w:vAlign w:val="center"/>
          </w:tcPr>
          <w:p w14:paraId="00F21AE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2FDBFEA"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Pogrebnine</w:t>
            </w:r>
          </w:p>
        </w:tc>
        <w:tc>
          <w:tcPr>
            <w:tcW w:w="0" w:type="auto"/>
            <w:shd w:val="clear" w:color="auto" w:fill="B0E3FB"/>
            <w:tcMar>
              <w:top w:w="0" w:type="dxa"/>
              <w:left w:w="0" w:type="dxa"/>
              <w:bottom w:w="0" w:type="dxa"/>
              <w:right w:w="0" w:type="dxa"/>
            </w:tcMar>
            <w:vAlign w:val="center"/>
          </w:tcPr>
          <w:p w14:paraId="3BB86B38"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2CF62846"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459</w:t>
            </w:r>
            <w:r w:rsidR="00460707">
              <w:rPr>
                <w:rFonts w:ascii="Arial" w:eastAsia="Arial" w:hAnsi="Arial" w:cs="Arial"/>
                <w:color w:val="111111"/>
                <w:sz w:val="16"/>
                <w:szCs w:val="16"/>
              </w:rPr>
              <w:t>,</w:t>
            </w:r>
            <w:r w:rsidRPr="006D271E">
              <w:rPr>
                <w:rFonts w:ascii="Arial" w:eastAsia="Arial" w:hAnsi="Arial" w:cs="Arial"/>
                <w:color w:val="111111"/>
                <w:sz w:val="16"/>
                <w:szCs w:val="16"/>
              </w:rPr>
              <w:t>2</w:t>
            </w:r>
          </w:p>
        </w:tc>
        <w:tc>
          <w:tcPr>
            <w:tcW w:w="0" w:type="auto"/>
            <w:shd w:val="clear" w:color="auto" w:fill="B0E3FB"/>
            <w:tcMar>
              <w:top w:w="0" w:type="dxa"/>
              <w:left w:w="0" w:type="dxa"/>
              <w:bottom w:w="0" w:type="dxa"/>
              <w:right w:w="0" w:type="dxa"/>
            </w:tcMar>
            <w:vAlign w:val="center"/>
          </w:tcPr>
          <w:p w14:paraId="7A73D29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-38,8</w:t>
            </w:r>
          </w:p>
        </w:tc>
        <w:tc>
          <w:tcPr>
            <w:tcW w:w="0" w:type="auto"/>
            <w:shd w:val="clear" w:color="auto" w:fill="B0E3FB"/>
            <w:tcMar>
              <w:top w:w="0" w:type="dxa"/>
              <w:left w:w="0" w:type="dxa"/>
              <w:bottom w:w="0" w:type="dxa"/>
              <w:right w:w="0" w:type="dxa"/>
            </w:tcMar>
            <w:vAlign w:val="center"/>
          </w:tcPr>
          <w:p w14:paraId="48636198"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126</w:t>
            </w:r>
            <w:r w:rsidR="00460707">
              <w:rPr>
                <w:rFonts w:ascii="Arial" w:eastAsia="Arial" w:hAnsi="Arial" w:cs="Arial"/>
                <w:color w:val="111111"/>
                <w:sz w:val="16"/>
                <w:szCs w:val="16"/>
              </w:rPr>
              <w:t>,</w:t>
            </w:r>
            <w:r w:rsidRPr="006D271E">
              <w:rPr>
                <w:rFonts w:ascii="Arial" w:eastAsia="Arial" w:hAnsi="Arial" w:cs="Arial"/>
                <w:color w:val="111111"/>
                <w:sz w:val="16"/>
                <w:szCs w:val="16"/>
              </w:rPr>
              <w:t>0</w:t>
            </w:r>
          </w:p>
        </w:tc>
        <w:tc>
          <w:tcPr>
            <w:tcW w:w="0" w:type="auto"/>
            <w:shd w:val="clear" w:color="auto" w:fill="B0E3FB"/>
            <w:tcMar>
              <w:top w:w="0" w:type="dxa"/>
              <w:left w:w="0" w:type="dxa"/>
              <w:bottom w:w="0" w:type="dxa"/>
              <w:right w:w="0" w:type="dxa"/>
            </w:tcMar>
            <w:vAlign w:val="center"/>
          </w:tcPr>
          <w:p w14:paraId="27A3E39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-64,2</w:t>
            </w:r>
          </w:p>
        </w:tc>
      </w:tr>
      <w:tr w:rsidR="006D271E" w:rsidRPr="006D271E" w14:paraId="1F68C52F" w14:textId="77777777">
        <w:trPr>
          <w:cantSplit/>
          <w:jc w:val="center"/>
        </w:trPr>
        <w:tc>
          <w:tcPr>
            <w:tcW w:w="0" w:type="auto"/>
            <w:shd w:val="clear" w:color="auto" w:fill="FFFFFF"/>
            <w:tcMar>
              <w:top w:w="0" w:type="dxa"/>
              <w:left w:w="0" w:type="dxa"/>
              <w:bottom w:w="0" w:type="dxa"/>
              <w:right w:w="0" w:type="dxa"/>
            </w:tcMar>
            <w:vAlign w:val="center"/>
          </w:tcPr>
          <w:p w14:paraId="48FA958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504878E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Družinski pomočnik</w:t>
            </w:r>
          </w:p>
        </w:tc>
        <w:tc>
          <w:tcPr>
            <w:tcW w:w="0" w:type="auto"/>
            <w:shd w:val="clear" w:color="auto" w:fill="FFFFFF"/>
            <w:tcMar>
              <w:top w:w="0" w:type="dxa"/>
              <w:left w:w="0" w:type="dxa"/>
              <w:bottom w:w="0" w:type="dxa"/>
              <w:right w:w="0" w:type="dxa"/>
            </w:tcMar>
            <w:vAlign w:val="center"/>
          </w:tcPr>
          <w:p w14:paraId="0752E341"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11E4E3F9"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658</w:t>
            </w:r>
            <w:r w:rsidR="00460707">
              <w:rPr>
                <w:rFonts w:ascii="Arial" w:eastAsia="Arial" w:hAnsi="Arial" w:cs="Arial"/>
                <w:color w:val="111111"/>
                <w:sz w:val="16"/>
                <w:szCs w:val="16"/>
              </w:rPr>
              <w:t>,</w:t>
            </w:r>
            <w:r w:rsidRPr="006D271E">
              <w:rPr>
                <w:rFonts w:ascii="Arial" w:eastAsia="Arial" w:hAnsi="Arial" w:cs="Arial"/>
                <w:color w:val="111111"/>
                <w:sz w:val="16"/>
                <w:szCs w:val="16"/>
              </w:rPr>
              <w:t>9</w:t>
            </w:r>
          </w:p>
        </w:tc>
        <w:tc>
          <w:tcPr>
            <w:tcW w:w="0" w:type="auto"/>
            <w:shd w:val="clear" w:color="auto" w:fill="FFFFFF"/>
            <w:tcMar>
              <w:top w:w="0" w:type="dxa"/>
              <w:left w:w="0" w:type="dxa"/>
              <w:bottom w:w="0" w:type="dxa"/>
              <w:right w:w="0" w:type="dxa"/>
            </w:tcMar>
            <w:vAlign w:val="center"/>
          </w:tcPr>
          <w:p w14:paraId="150A732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-19,0</w:t>
            </w:r>
          </w:p>
        </w:tc>
        <w:tc>
          <w:tcPr>
            <w:tcW w:w="0" w:type="auto"/>
            <w:shd w:val="clear" w:color="auto" w:fill="FFFFFF"/>
            <w:tcMar>
              <w:top w:w="0" w:type="dxa"/>
              <w:left w:w="0" w:type="dxa"/>
              <w:bottom w:w="0" w:type="dxa"/>
              <w:right w:w="0" w:type="dxa"/>
            </w:tcMar>
            <w:vAlign w:val="center"/>
          </w:tcPr>
          <w:p w14:paraId="4CF001F2"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328</w:t>
            </w:r>
            <w:r w:rsidR="00460707">
              <w:rPr>
                <w:rFonts w:ascii="Arial" w:eastAsia="Arial" w:hAnsi="Arial" w:cs="Arial"/>
                <w:color w:val="111111"/>
                <w:sz w:val="16"/>
                <w:szCs w:val="16"/>
              </w:rPr>
              <w:t>,0</w:t>
            </w:r>
          </w:p>
        </w:tc>
        <w:tc>
          <w:tcPr>
            <w:tcW w:w="0" w:type="auto"/>
            <w:shd w:val="clear" w:color="auto" w:fill="FFFFFF"/>
            <w:tcMar>
              <w:top w:w="0" w:type="dxa"/>
              <w:left w:w="0" w:type="dxa"/>
              <w:bottom w:w="0" w:type="dxa"/>
              <w:right w:w="0" w:type="dxa"/>
            </w:tcMar>
            <w:vAlign w:val="center"/>
          </w:tcPr>
          <w:p w14:paraId="2E8780E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-18,0</w:t>
            </w:r>
          </w:p>
        </w:tc>
      </w:tr>
      <w:tr w:rsidR="006D271E" w:rsidRPr="006D271E" w14:paraId="239A5BE6" w14:textId="77777777">
        <w:trPr>
          <w:cantSplit/>
          <w:jc w:val="center"/>
        </w:trPr>
        <w:tc>
          <w:tcPr>
            <w:tcW w:w="0" w:type="auto"/>
            <w:shd w:val="clear" w:color="auto" w:fill="B0E3FB"/>
            <w:tcMar>
              <w:top w:w="0" w:type="dxa"/>
              <w:left w:w="0" w:type="dxa"/>
              <w:bottom w:w="0" w:type="dxa"/>
              <w:right w:w="0" w:type="dxa"/>
            </w:tcMar>
            <w:vAlign w:val="center"/>
          </w:tcPr>
          <w:p w14:paraId="11615672"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5E3E19F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Delno plačilo za izgubljeni dohodek</w:t>
            </w:r>
          </w:p>
        </w:tc>
        <w:tc>
          <w:tcPr>
            <w:tcW w:w="0" w:type="auto"/>
            <w:shd w:val="clear" w:color="auto" w:fill="B0E3FB"/>
            <w:tcMar>
              <w:top w:w="0" w:type="dxa"/>
              <w:left w:w="0" w:type="dxa"/>
              <w:bottom w:w="0" w:type="dxa"/>
              <w:right w:w="0" w:type="dxa"/>
            </w:tcMar>
            <w:vAlign w:val="center"/>
          </w:tcPr>
          <w:p w14:paraId="0F78298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0FDDC40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6245A3">
              <w:rPr>
                <w:rFonts w:ascii="Arial" w:eastAsia="Arial" w:hAnsi="Arial" w:cs="Arial"/>
                <w:color w:val="111111"/>
                <w:sz w:val="16"/>
                <w:szCs w:val="16"/>
              </w:rPr>
              <w:t>.</w:t>
            </w:r>
            <w:r w:rsidRPr="006D271E">
              <w:rPr>
                <w:rFonts w:ascii="Arial" w:eastAsia="Arial" w:hAnsi="Arial" w:cs="Arial"/>
                <w:color w:val="111111"/>
                <w:sz w:val="16"/>
                <w:szCs w:val="16"/>
              </w:rPr>
              <w:t>319</w:t>
            </w:r>
            <w:r w:rsidR="00460707">
              <w:rPr>
                <w:rFonts w:ascii="Arial" w:eastAsia="Arial" w:hAnsi="Arial" w:cs="Arial"/>
                <w:color w:val="111111"/>
                <w:sz w:val="16"/>
                <w:szCs w:val="16"/>
              </w:rPr>
              <w:t>,</w:t>
            </w:r>
            <w:r w:rsidRPr="006D271E">
              <w:rPr>
                <w:rFonts w:ascii="Arial" w:eastAsia="Arial" w:hAnsi="Arial" w:cs="Arial"/>
                <w:color w:val="111111"/>
                <w:sz w:val="16"/>
                <w:szCs w:val="16"/>
              </w:rPr>
              <w:t>9</w:t>
            </w:r>
          </w:p>
        </w:tc>
        <w:tc>
          <w:tcPr>
            <w:tcW w:w="0" w:type="auto"/>
            <w:shd w:val="clear" w:color="auto" w:fill="B0E3FB"/>
            <w:tcMar>
              <w:top w:w="0" w:type="dxa"/>
              <w:left w:w="0" w:type="dxa"/>
              <w:bottom w:w="0" w:type="dxa"/>
              <w:right w:w="0" w:type="dxa"/>
            </w:tcMar>
            <w:vAlign w:val="center"/>
          </w:tcPr>
          <w:p w14:paraId="49B561C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11,6</w:t>
            </w:r>
          </w:p>
        </w:tc>
        <w:tc>
          <w:tcPr>
            <w:tcW w:w="0" w:type="auto"/>
            <w:shd w:val="clear" w:color="auto" w:fill="B0E3FB"/>
            <w:tcMar>
              <w:top w:w="0" w:type="dxa"/>
              <w:left w:w="0" w:type="dxa"/>
              <w:bottom w:w="0" w:type="dxa"/>
              <w:right w:w="0" w:type="dxa"/>
            </w:tcMar>
            <w:vAlign w:val="center"/>
          </w:tcPr>
          <w:p w14:paraId="4E7431EF"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637</w:t>
            </w:r>
            <w:r w:rsidR="00460707">
              <w:rPr>
                <w:rFonts w:ascii="Arial" w:eastAsia="Arial" w:hAnsi="Arial" w:cs="Arial"/>
                <w:color w:val="111111"/>
                <w:sz w:val="16"/>
                <w:szCs w:val="16"/>
              </w:rPr>
              <w:t>,4</w:t>
            </w:r>
          </w:p>
        </w:tc>
        <w:tc>
          <w:tcPr>
            <w:tcW w:w="0" w:type="auto"/>
            <w:shd w:val="clear" w:color="auto" w:fill="B0E3FB"/>
            <w:tcMar>
              <w:top w:w="0" w:type="dxa"/>
              <w:left w:w="0" w:type="dxa"/>
              <w:bottom w:w="0" w:type="dxa"/>
              <w:right w:w="0" w:type="dxa"/>
            </w:tcMar>
            <w:vAlign w:val="center"/>
          </w:tcPr>
          <w:p w14:paraId="5AAC6B3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8,8</w:t>
            </w:r>
          </w:p>
        </w:tc>
      </w:tr>
      <w:tr w:rsidR="006D271E" w:rsidRPr="006D271E" w14:paraId="700E420E" w14:textId="77777777">
        <w:trPr>
          <w:cantSplit/>
          <w:jc w:val="center"/>
        </w:trPr>
        <w:tc>
          <w:tcPr>
            <w:tcW w:w="0" w:type="auto"/>
            <w:shd w:val="clear" w:color="auto" w:fill="FFFFFF"/>
            <w:tcMar>
              <w:top w:w="0" w:type="dxa"/>
              <w:left w:w="0" w:type="dxa"/>
              <w:bottom w:w="0" w:type="dxa"/>
              <w:right w:w="0" w:type="dxa"/>
            </w:tcMar>
            <w:vAlign w:val="center"/>
          </w:tcPr>
          <w:p w14:paraId="73C4597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4EAA604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tcPr>
          <w:p w14:paraId="793BBF61"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0429F2AA"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6245A3">
              <w:rPr>
                <w:rFonts w:ascii="Arial" w:eastAsia="Arial" w:hAnsi="Arial" w:cs="Arial"/>
                <w:color w:val="111111"/>
                <w:sz w:val="16"/>
                <w:szCs w:val="16"/>
              </w:rPr>
              <w:t>.</w:t>
            </w:r>
            <w:r w:rsidRPr="006D271E">
              <w:rPr>
                <w:rFonts w:ascii="Arial" w:eastAsia="Arial" w:hAnsi="Arial" w:cs="Arial"/>
                <w:color w:val="111111"/>
                <w:sz w:val="16"/>
                <w:szCs w:val="16"/>
              </w:rPr>
              <w:t>970</w:t>
            </w:r>
            <w:r w:rsidR="00460707">
              <w:rPr>
                <w:rFonts w:ascii="Arial" w:eastAsia="Arial" w:hAnsi="Arial" w:cs="Arial"/>
                <w:color w:val="111111"/>
                <w:sz w:val="16"/>
                <w:szCs w:val="16"/>
              </w:rPr>
              <w:t>,</w:t>
            </w:r>
            <w:r w:rsidRPr="006D271E">
              <w:rPr>
                <w:rFonts w:ascii="Arial" w:eastAsia="Arial" w:hAnsi="Arial" w:cs="Arial"/>
                <w:color w:val="111111"/>
                <w:sz w:val="16"/>
                <w:szCs w:val="16"/>
              </w:rPr>
              <w:t>8</w:t>
            </w:r>
          </w:p>
        </w:tc>
        <w:tc>
          <w:tcPr>
            <w:tcW w:w="0" w:type="auto"/>
            <w:shd w:val="clear" w:color="auto" w:fill="FFFFFF"/>
            <w:tcMar>
              <w:top w:w="0" w:type="dxa"/>
              <w:left w:w="0" w:type="dxa"/>
              <w:bottom w:w="0" w:type="dxa"/>
              <w:right w:w="0" w:type="dxa"/>
            </w:tcMar>
            <w:vAlign w:val="center"/>
          </w:tcPr>
          <w:p w14:paraId="584F122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3,4</w:t>
            </w:r>
          </w:p>
        </w:tc>
        <w:tc>
          <w:tcPr>
            <w:tcW w:w="0" w:type="auto"/>
            <w:shd w:val="clear" w:color="auto" w:fill="FFFFFF"/>
            <w:tcMar>
              <w:top w:w="0" w:type="dxa"/>
              <w:left w:w="0" w:type="dxa"/>
              <w:bottom w:w="0" w:type="dxa"/>
              <w:right w:w="0" w:type="dxa"/>
            </w:tcMar>
            <w:vAlign w:val="center"/>
          </w:tcPr>
          <w:p w14:paraId="6C77B34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986</w:t>
            </w:r>
            <w:r w:rsidR="00460707">
              <w:rPr>
                <w:rFonts w:ascii="Arial" w:eastAsia="Arial" w:hAnsi="Arial" w:cs="Arial"/>
                <w:color w:val="111111"/>
                <w:sz w:val="16"/>
                <w:szCs w:val="16"/>
              </w:rPr>
              <w:t>,7</w:t>
            </w:r>
          </w:p>
        </w:tc>
        <w:tc>
          <w:tcPr>
            <w:tcW w:w="0" w:type="auto"/>
            <w:shd w:val="clear" w:color="auto" w:fill="FFFFFF"/>
            <w:tcMar>
              <w:top w:w="0" w:type="dxa"/>
              <w:left w:w="0" w:type="dxa"/>
              <w:bottom w:w="0" w:type="dxa"/>
              <w:right w:w="0" w:type="dxa"/>
            </w:tcMar>
            <w:vAlign w:val="center"/>
          </w:tcPr>
          <w:p w14:paraId="4724F66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3,0</w:t>
            </w:r>
          </w:p>
        </w:tc>
      </w:tr>
      <w:tr w:rsidR="006D271E" w:rsidRPr="006D271E" w14:paraId="7C704985" w14:textId="77777777">
        <w:trPr>
          <w:cantSplit/>
          <w:jc w:val="center"/>
        </w:trPr>
        <w:tc>
          <w:tcPr>
            <w:tcW w:w="0" w:type="auto"/>
            <w:shd w:val="clear" w:color="auto" w:fill="B0E3FB"/>
            <w:tcMar>
              <w:top w:w="0" w:type="dxa"/>
              <w:left w:w="0" w:type="dxa"/>
              <w:bottom w:w="0" w:type="dxa"/>
              <w:right w:w="0" w:type="dxa"/>
            </w:tcMar>
            <w:vAlign w:val="center"/>
          </w:tcPr>
          <w:p w14:paraId="6E09157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D892BCD"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Varstveni dodatek</w:t>
            </w:r>
          </w:p>
        </w:tc>
        <w:tc>
          <w:tcPr>
            <w:tcW w:w="0" w:type="auto"/>
            <w:shd w:val="clear" w:color="auto" w:fill="B0E3FB"/>
            <w:tcMar>
              <w:top w:w="0" w:type="dxa"/>
              <w:left w:w="0" w:type="dxa"/>
              <w:bottom w:w="0" w:type="dxa"/>
              <w:right w:w="0" w:type="dxa"/>
            </w:tcMar>
            <w:vAlign w:val="center"/>
          </w:tcPr>
          <w:p w14:paraId="426252E1"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11261DF"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7</w:t>
            </w:r>
            <w:r w:rsidR="00460707">
              <w:rPr>
                <w:rFonts w:ascii="Arial" w:eastAsia="Arial" w:hAnsi="Arial" w:cs="Arial"/>
                <w:color w:val="111111"/>
                <w:sz w:val="16"/>
                <w:szCs w:val="16"/>
              </w:rPr>
              <w:t>.</w:t>
            </w:r>
            <w:r w:rsidRPr="006D271E">
              <w:rPr>
                <w:rFonts w:ascii="Arial" w:eastAsia="Arial" w:hAnsi="Arial" w:cs="Arial"/>
                <w:color w:val="111111"/>
                <w:sz w:val="16"/>
                <w:szCs w:val="16"/>
              </w:rPr>
              <w:t>211</w:t>
            </w:r>
            <w:r w:rsidR="00460707">
              <w:rPr>
                <w:rFonts w:ascii="Arial" w:eastAsia="Arial" w:hAnsi="Arial" w:cs="Arial"/>
                <w:color w:val="111111"/>
                <w:sz w:val="16"/>
                <w:szCs w:val="16"/>
              </w:rPr>
              <w:t>,</w:t>
            </w:r>
            <w:r w:rsidRPr="006D271E">
              <w:rPr>
                <w:rFonts w:ascii="Arial" w:eastAsia="Arial" w:hAnsi="Arial" w:cs="Arial"/>
                <w:color w:val="111111"/>
                <w:sz w:val="16"/>
                <w:szCs w:val="16"/>
              </w:rPr>
              <w:t>3</w:t>
            </w:r>
          </w:p>
        </w:tc>
        <w:tc>
          <w:tcPr>
            <w:tcW w:w="0" w:type="auto"/>
            <w:shd w:val="clear" w:color="auto" w:fill="B0E3FB"/>
            <w:tcMar>
              <w:top w:w="0" w:type="dxa"/>
              <w:left w:w="0" w:type="dxa"/>
              <w:bottom w:w="0" w:type="dxa"/>
              <w:right w:w="0" w:type="dxa"/>
            </w:tcMar>
            <w:vAlign w:val="center"/>
          </w:tcPr>
          <w:p w14:paraId="4941839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4,6</w:t>
            </w:r>
          </w:p>
        </w:tc>
        <w:tc>
          <w:tcPr>
            <w:tcW w:w="0" w:type="auto"/>
            <w:shd w:val="clear" w:color="auto" w:fill="B0E3FB"/>
            <w:tcMar>
              <w:top w:w="0" w:type="dxa"/>
              <w:left w:w="0" w:type="dxa"/>
              <w:bottom w:w="0" w:type="dxa"/>
              <w:right w:w="0" w:type="dxa"/>
            </w:tcMar>
            <w:vAlign w:val="center"/>
          </w:tcPr>
          <w:p w14:paraId="716176E4"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3</w:t>
            </w:r>
            <w:r w:rsidR="00460707">
              <w:rPr>
                <w:rFonts w:ascii="Arial" w:eastAsia="Arial" w:hAnsi="Arial" w:cs="Arial"/>
                <w:color w:val="111111"/>
                <w:sz w:val="16"/>
                <w:szCs w:val="16"/>
              </w:rPr>
              <w:t>.</w:t>
            </w:r>
            <w:r w:rsidRPr="006D271E">
              <w:rPr>
                <w:rFonts w:ascii="Arial" w:eastAsia="Arial" w:hAnsi="Arial" w:cs="Arial"/>
                <w:color w:val="111111"/>
                <w:sz w:val="16"/>
                <w:szCs w:val="16"/>
              </w:rPr>
              <w:t>603</w:t>
            </w:r>
            <w:r w:rsidR="00460707">
              <w:rPr>
                <w:rFonts w:ascii="Arial" w:eastAsia="Arial" w:hAnsi="Arial" w:cs="Arial"/>
                <w:color w:val="111111"/>
                <w:sz w:val="16"/>
                <w:szCs w:val="16"/>
              </w:rPr>
              <w:t>,</w:t>
            </w:r>
            <w:r w:rsidRPr="006D271E">
              <w:rPr>
                <w:rFonts w:ascii="Arial" w:eastAsia="Arial" w:hAnsi="Arial" w:cs="Arial"/>
                <w:color w:val="111111"/>
                <w:sz w:val="16"/>
                <w:szCs w:val="16"/>
              </w:rPr>
              <w:t>1</w:t>
            </w:r>
          </w:p>
        </w:tc>
        <w:tc>
          <w:tcPr>
            <w:tcW w:w="0" w:type="auto"/>
            <w:shd w:val="clear" w:color="auto" w:fill="B0E3FB"/>
            <w:tcMar>
              <w:top w:w="0" w:type="dxa"/>
              <w:left w:w="0" w:type="dxa"/>
              <w:bottom w:w="0" w:type="dxa"/>
              <w:right w:w="0" w:type="dxa"/>
            </w:tcMar>
            <w:vAlign w:val="center"/>
          </w:tcPr>
          <w:p w14:paraId="431AF68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3,4</w:t>
            </w:r>
          </w:p>
        </w:tc>
      </w:tr>
      <w:tr w:rsidR="006D271E" w:rsidRPr="006D271E" w14:paraId="1683F760" w14:textId="77777777">
        <w:trPr>
          <w:cantSplit/>
          <w:jc w:val="center"/>
        </w:trPr>
        <w:tc>
          <w:tcPr>
            <w:tcW w:w="0" w:type="auto"/>
            <w:shd w:val="clear" w:color="auto" w:fill="FFFFFF"/>
            <w:tcMar>
              <w:top w:w="0" w:type="dxa"/>
              <w:left w:w="0" w:type="dxa"/>
              <w:bottom w:w="0" w:type="dxa"/>
              <w:right w:w="0" w:type="dxa"/>
            </w:tcMar>
            <w:vAlign w:val="center"/>
          </w:tcPr>
          <w:p w14:paraId="7AC16128"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67B946D2"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Osebna asistenca</w:t>
            </w:r>
          </w:p>
        </w:tc>
        <w:tc>
          <w:tcPr>
            <w:tcW w:w="0" w:type="auto"/>
            <w:shd w:val="clear" w:color="auto" w:fill="FFFFFF"/>
            <w:tcMar>
              <w:top w:w="0" w:type="dxa"/>
              <w:left w:w="0" w:type="dxa"/>
              <w:bottom w:w="0" w:type="dxa"/>
              <w:right w:w="0" w:type="dxa"/>
            </w:tcMar>
            <w:vAlign w:val="center"/>
          </w:tcPr>
          <w:p w14:paraId="49DED9E7"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055A572D"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8</w:t>
            </w:r>
            <w:r w:rsidR="00460707">
              <w:rPr>
                <w:rFonts w:ascii="Arial" w:eastAsia="Arial" w:hAnsi="Arial" w:cs="Arial"/>
                <w:color w:val="111111"/>
                <w:sz w:val="16"/>
                <w:szCs w:val="16"/>
              </w:rPr>
              <w:t>.</w:t>
            </w:r>
            <w:r w:rsidRPr="006D271E">
              <w:rPr>
                <w:rFonts w:ascii="Arial" w:eastAsia="Arial" w:hAnsi="Arial" w:cs="Arial"/>
                <w:color w:val="111111"/>
                <w:sz w:val="16"/>
                <w:szCs w:val="16"/>
              </w:rPr>
              <w:t>779</w:t>
            </w:r>
            <w:r w:rsidR="00460707">
              <w:rPr>
                <w:rFonts w:ascii="Arial" w:eastAsia="Arial" w:hAnsi="Arial" w:cs="Arial"/>
                <w:color w:val="111111"/>
                <w:sz w:val="16"/>
                <w:szCs w:val="16"/>
              </w:rPr>
              <w:t>,</w:t>
            </w:r>
            <w:r w:rsidRPr="006D271E">
              <w:rPr>
                <w:rFonts w:ascii="Arial" w:eastAsia="Arial" w:hAnsi="Arial" w:cs="Arial"/>
                <w:color w:val="111111"/>
                <w:sz w:val="16"/>
                <w:szCs w:val="16"/>
              </w:rPr>
              <w:t>4</w:t>
            </w:r>
          </w:p>
        </w:tc>
        <w:tc>
          <w:tcPr>
            <w:tcW w:w="0" w:type="auto"/>
            <w:shd w:val="clear" w:color="auto" w:fill="FFFFFF"/>
            <w:tcMar>
              <w:top w:w="0" w:type="dxa"/>
              <w:left w:w="0" w:type="dxa"/>
              <w:bottom w:w="0" w:type="dxa"/>
              <w:right w:w="0" w:type="dxa"/>
            </w:tcMar>
            <w:vAlign w:val="center"/>
          </w:tcPr>
          <w:p w14:paraId="75CF0E2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-7,0</w:t>
            </w:r>
          </w:p>
        </w:tc>
        <w:tc>
          <w:tcPr>
            <w:tcW w:w="0" w:type="auto"/>
            <w:shd w:val="clear" w:color="auto" w:fill="FFFFFF"/>
            <w:tcMar>
              <w:top w:w="0" w:type="dxa"/>
              <w:left w:w="0" w:type="dxa"/>
              <w:bottom w:w="0" w:type="dxa"/>
              <w:right w:w="0" w:type="dxa"/>
            </w:tcMar>
            <w:vAlign w:val="center"/>
          </w:tcPr>
          <w:p w14:paraId="235F8A0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c>
          <w:tcPr>
            <w:tcW w:w="0" w:type="auto"/>
            <w:shd w:val="clear" w:color="auto" w:fill="FFFFFF"/>
            <w:tcMar>
              <w:top w:w="0" w:type="dxa"/>
              <w:left w:w="0" w:type="dxa"/>
              <w:bottom w:w="0" w:type="dxa"/>
              <w:right w:w="0" w:type="dxa"/>
            </w:tcMar>
            <w:vAlign w:val="center"/>
          </w:tcPr>
          <w:p w14:paraId="233DD79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r>
      <w:tr w:rsidR="006D271E" w:rsidRPr="006D271E" w14:paraId="77D85E8E" w14:textId="77777777">
        <w:trPr>
          <w:cantSplit/>
          <w:jc w:val="center"/>
        </w:trPr>
        <w:tc>
          <w:tcPr>
            <w:tcW w:w="0" w:type="auto"/>
            <w:shd w:val="clear" w:color="auto" w:fill="B0E3FB"/>
            <w:tcMar>
              <w:top w:w="0" w:type="dxa"/>
              <w:left w:w="0" w:type="dxa"/>
              <w:bottom w:w="0" w:type="dxa"/>
              <w:right w:w="0" w:type="dxa"/>
            </w:tcMar>
            <w:vAlign w:val="center"/>
          </w:tcPr>
          <w:p w14:paraId="5FB5D09A"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5D107CA9"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Oprostitve plačila socialno varstvenih storitev</w:t>
            </w:r>
          </w:p>
        </w:tc>
        <w:tc>
          <w:tcPr>
            <w:tcW w:w="0" w:type="auto"/>
            <w:shd w:val="clear" w:color="auto" w:fill="B0E3FB"/>
            <w:tcMar>
              <w:top w:w="0" w:type="dxa"/>
              <w:left w:w="0" w:type="dxa"/>
              <w:bottom w:w="0" w:type="dxa"/>
              <w:right w:w="0" w:type="dxa"/>
            </w:tcMar>
            <w:vAlign w:val="center"/>
          </w:tcPr>
          <w:p w14:paraId="5C8B3BA1"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647B8054"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9</w:t>
            </w:r>
            <w:r w:rsidR="00460707">
              <w:rPr>
                <w:rFonts w:ascii="Arial" w:eastAsia="Arial" w:hAnsi="Arial" w:cs="Arial"/>
                <w:color w:val="111111"/>
                <w:sz w:val="16"/>
                <w:szCs w:val="16"/>
              </w:rPr>
              <w:t>.</w:t>
            </w:r>
            <w:r w:rsidRPr="006D271E">
              <w:rPr>
                <w:rFonts w:ascii="Arial" w:eastAsia="Arial" w:hAnsi="Arial" w:cs="Arial"/>
                <w:color w:val="111111"/>
                <w:sz w:val="16"/>
                <w:szCs w:val="16"/>
              </w:rPr>
              <w:t>521</w:t>
            </w:r>
            <w:r w:rsidR="00460707">
              <w:rPr>
                <w:rFonts w:ascii="Arial" w:eastAsia="Arial" w:hAnsi="Arial" w:cs="Arial"/>
                <w:color w:val="111111"/>
                <w:sz w:val="16"/>
                <w:szCs w:val="16"/>
              </w:rPr>
              <w:t>,</w:t>
            </w:r>
            <w:r w:rsidRPr="006D271E">
              <w:rPr>
                <w:rFonts w:ascii="Arial" w:eastAsia="Arial" w:hAnsi="Arial" w:cs="Arial"/>
                <w:color w:val="111111"/>
                <w:sz w:val="16"/>
                <w:szCs w:val="16"/>
              </w:rPr>
              <w:t>0</w:t>
            </w:r>
          </w:p>
        </w:tc>
        <w:tc>
          <w:tcPr>
            <w:tcW w:w="0" w:type="auto"/>
            <w:shd w:val="clear" w:color="auto" w:fill="B0E3FB"/>
            <w:tcMar>
              <w:top w:w="0" w:type="dxa"/>
              <w:left w:w="0" w:type="dxa"/>
              <w:bottom w:w="0" w:type="dxa"/>
              <w:right w:w="0" w:type="dxa"/>
            </w:tcMar>
            <w:vAlign w:val="center"/>
          </w:tcPr>
          <w:p w14:paraId="70F7057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-1,6</w:t>
            </w:r>
          </w:p>
        </w:tc>
        <w:tc>
          <w:tcPr>
            <w:tcW w:w="0" w:type="auto"/>
            <w:shd w:val="clear" w:color="auto" w:fill="B0E3FB"/>
            <w:tcMar>
              <w:top w:w="0" w:type="dxa"/>
              <w:left w:w="0" w:type="dxa"/>
              <w:bottom w:w="0" w:type="dxa"/>
              <w:right w:w="0" w:type="dxa"/>
            </w:tcMar>
            <w:vAlign w:val="center"/>
          </w:tcPr>
          <w:p w14:paraId="4F9A4043"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w:t>
            </w:r>
            <w:r w:rsidR="00460707">
              <w:rPr>
                <w:rFonts w:ascii="Arial" w:eastAsia="Arial" w:hAnsi="Arial" w:cs="Arial"/>
                <w:color w:val="111111"/>
                <w:sz w:val="16"/>
                <w:szCs w:val="16"/>
              </w:rPr>
              <w:t>.</w:t>
            </w:r>
            <w:r w:rsidRPr="006D271E">
              <w:rPr>
                <w:rFonts w:ascii="Arial" w:eastAsia="Arial" w:hAnsi="Arial" w:cs="Arial"/>
                <w:color w:val="111111"/>
                <w:sz w:val="16"/>
                <w:szCs w:val="16"/>
              </w:rPr>
              <w:t>728</w:t>
            </w:r>
            <w:r w:rsidR="00460707">
              <w:rPr>
                <w:rFonts w:ascii="Arial" w:eastAsia="Arial" w:hAnsi="Arial" w:cs="Arial"/>
                <w:color w:val="111111"/>
                <w:sz w:val="16"/>
                <w:szCs w:val="16"/>
              </w:rPr>
              <w:t>,8</w:t>
            </w:r>
          </w:p>
        </w:tc>
        <w:tc>
          <w:tcPr>
            <w:tcW w:w="0" w:type="auto"/>
            <w:shd w:val="clear" w:color="auto" w:fill="B0E3FB"/>
            <w:tcMar>
              <w:top w:w="0" w:type="dxa"/>
              <w:left w:w="0" w:type="dxa"/>
              <w:bottom w:w="0" w:type="dxa"/>
              <w:right w:w="0" w:type="dxa"/>
            </w:tcMar>
            <w:vAlign w:val="center"/>
          </w:tcPr>
          <w:p w14:paraId="6BA0187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-2,2</w:t>
            </w:r>
          </w:p>
        </w:tc>
      </w:tr>
      <w:tr w:rsidR="006D271E" w:rsidRPr="006D271E" w14:paraId="7688CEF8" w14:textId="77777777">
        <w:trPr>
          <w:cantSplit/>
          <w:jc w:val="center"/>
        </w:trPr>
        <w:tc>
          <w:tcPr>
            <w:tcW w:w="0" w:type="auto"/>
            <w:shd w:val="clear" w:color="auto" w:fill="FFFFFF"/>
            <w:tcMar>
              <w:top w:w="0" w:type="dxa"/>
              <w:left w:w="0" w:type="dxa"/>
              <w:bottom w:w="0" w:type="dxa"/>
              <w:right w:w="0" w:type="dxa"/>
            </w:tcMar>
            <w:vAlign w:val="center"/>
          </w:tcPr>
          <w:p w14:paraId="42B0643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0400C0B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tcPr>
          <w:p w14:paraId="2BECD058"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3701807C"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3</w:t>
            </w:r>
            <w:r w:rsidR="00460707">
              <w:rPr>
                <w:rFonts w:ascii="Arial" w:eastAsia="Arial" w:hAnsi="Arial" w:cs="Arial"/>
                <w:color w:val="111111"/>
                <w:sz w:val="16"/>
                <w:szCs w:val="16"/>
              </w:rPr>
              <w:t>.</w:t>
            </w:r>
            <w:r w:rsidRPr="006D271E">
              <w:rPr>
                <w:rFonts w:ascii="Arial" w:eastAsia="Arial" w:hAnsi="Arial" w:cs="Arial"/>
                <w:color w:val="111111"/>
                <w:sz w:val="16"/>
                <w:szCs w:val="16"/>
              </w:rPr>
              <w:t>496</w:t>
            </w:r>
            <w:r w:rsidR="00460707">
              <w:rPr>
                <w:rFonts w:ascii="Arial" w:eastAsia="Arial" w:hAnsi="Arial" w:cs="Arial"/>
                <w:color w:val="111111"/>
                <w:sz w:val="16"/>
                <w:szCs w:val="16"/>
              </w:rPr>
              <w:t>,5</w:t>
            </w:r>
          </w:p>
        </w:tc>
        <w:tc>
          <w:tcPr>
            <w:tcW w:w="0" w:type="auto"/>
            <w:shd w:val="clear" w:color="auto" w:fill="FFFFFF"/>
            <w:tcMar>
              <w:top w:w="0" w:type="dxa"/>
              <w:left w:w="0" w:type="dxa"/>
              <w:bottom w:w="0" w:type="dxa"/>
              <w:right w:w="0" w:type="dxa"/>
            </w:tcMar>
            <w:vAlign w:val="center"/>
          </w:tcPr>
          <w:p w14:paraId="4FAAD79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11,9</w:t>
            </w:r>
          </w:p>
        </w:tc>
        <w:tc>
          <w:tcPr>
            <w:tcW w:w="0" w:type="auto"/>
            <w:shd w:val="clear" w:color="auto" w:fill="FFFFFF"/>
            <w:tcMar>
              <w:top w:w="0" w:type="dxa"/>
              <w:left w:w="0" w:type="dxa"/>
              <w:bottom w:w="0" w:type="dxa"/>
              <w:right w:w="0" w:type="dxa"/>
            </w:tcMar>
            <w:vAlign w:val="center"/>
          </w:tcPr>
          <w:p w14:paraId="681D545B"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1</w:t>
            </w:r>
            <w:r w:rsidR="00460707">
              <w:rPr>
                <w:rFonts w:ascii="Arial" w:eastAsia="Arial" w:hAnsi="Arial" w:cs="Arial"/>
                <w:color w:val="111111"/>
                <w:sz w:val="16"/>
                <w:szCs w:val="16"/>
              </w:rPr>
              <w:t>.</w:t>
            </w:r>
            <w:r w:rsidRPr="006D271E">
              <w:rPr>
                <w:rFonts w:ascii="Arial" w:eastAsia="Arial" w:hAnsi="Arial" w:cs="Arial"/>
                <w:color w:val="111111"/>
                <w:sz w:val="16"/>
                <w:szCs w:val="16"/>
              </w:rPr>
              <w:t>754</w:t>
            </w:r>
            <w:r w:rsidR="00460707">
              <w:rPr>
                <w:rFonts w:ascii="Arial" w:eastAsia="Arial" w:hAnsi="Arial" w:cs="Arial"/>
                <w:color w:val="111111"/>
                <w:sz w:val="16"/>
                <w:szCs w:val="16"/>
              </w:rPr>
              <w:t>,</w:t>
            </w:r>
            <w:r w:rsidRPr="006D271E">
              <w:rPr>
                <w:rFonts w:ascii="Arial" w:eastAsia="Arial" w:hAnsi="Arial" w:cs="Arial"/>
                <w:color w:val="111111"/>
                <w:sz w:val="16"/>
                <w:szCs w:val="16"/>
              </w:rPr>
              <w:t>1</w:t>
            </w:r>
          </w:p>
        </w:tc>
        <w:tc>
          <w:tcPr>
            <w:tcW w:w="0" w:type="auto"/>
            <w:shd w:val="clear" w:color="auto" w:fill="FFFFFF"/>
            <w:tcMar>
              <w:top w:w="0" w:type="dxa"/>
              <w:left w:w="0" w:type="dxa"/>
              <w:bottom w:w="0" w:type="dxa"/>
              <w:right w:w="0" w:type="dxa"/>
            </w:tcMar>
            <w:vAlign w:val="center"/>
          </w:tcPr>
          <w:p w14:paraId="483A101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11,9</w:t>
            </w:r>
          </w:p>
        </w:tc>
      </w:tr>
      <w:tr w:rsidR="006D271E" w:rsidRPr="006D271E" w14:paraId="070CBC79" w14:textId="77777777">
        <w:trPr>
          <w:cantSplit/>
          <w:jc w:val="center"/>
        </w:trPr>
        <w:tc>
          <w:tcPr>
            <w:tcW w:w="0" w:type="auto"/>
            <w:shd w:val="clear" w:color="auto" w:fill="B0E3FB"/>
            <w:tcMar>
              <w:top w:w="0" w:type="dxa"/>
              <w:left w:w="0" w:type="dxa"/>
              <w:bottom w:w="0" w:type="dxa"/>
              <w:right w:w="0" w:type="dxa"/>
            </w:tcMar>
            <w:vAlign w:val="center"/>
          </w:tcPr>
          <w:p w14:paraId="7979074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3318894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tcPr>
          <w:p w14:paraId="4F565C74"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3F259FD0"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w:t>
            </w:r>
            <w:r w:rsidR="00460707">
              <w:rPr>
                <w:rFonts w:ascii="Arial" w:eastAsia="Arial" w:hAnsi="Arial" w:cs="Arial"/>
                <w:color w:val="111111"/>
                <w:sz w:val="16"/>
                <w:szCs w:val="16"/>
              </w:rPr>
              <w:t>.</w:t>
            </w:r>
            <w:r w:rsidRPr="006D271E">
              <w:rPr>
                <w:rFonts w:ascii="Arial" w:eastAsia="Arial" w:hAnsi="Arial" w:cs="Arial"/>
                <w:color w:val="111111"/>
                <w:sz w:val="16"/>
                <w:szCs w:val="16"/>
              </w:rPr>
              <w:t>979</w:t>
            </w:r>
            <w:r w:rsidR="00460707">
              <w:rPr>
                <w:rFonts w:ascii="Arial" w:eastAsia="Arial" w:hAnsi="Arial" w:cs="Arial"/>
                <w:color w:val="111111"/>
                <w:sz w:val="16"/>
                <w:szCs w:val="16"/>
              </w:rPr>
              <w:t>,6</w:t>
            </w:r>
          </w:p>
        </w:tc>
        <w:tc>
          <w:tcPr>
            <w:tcW w:w="0" w:type="auto"/>
            <w:shd w:val="clear" w:color="auto" w:fill="B0E3FB"/>
            <w:tcMar>
              <w:top w:w="0" w:type="dxa"/>
              <w:left w:w="0" w:type="dxa"/>
              <w:bottom w:w="0" w:type="dxa"/>
              <w:right w:w="0" w:type="dxa"/>
            </w:tcMar>
            <w:vAlign w:val="center"/>
          </w:tcPr>
          <w:p w14:paraId="2170C7F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4,5</w:t>
            </w:r>
          </w:p>
        </w:tc>
        <w:tc>
          <w:tcPr>
            <w:tcW w:w="0" w:type="auto"/>
            <w:shd w:val="clear" w:color="auto" w:fill="B0E3FB"/>
            <w:tcMar>
              <w:top w:w="0" w:type="dxa"/>
              <w:left w:w="0" w:type="dxa"/>
              <w:bottom w:w="0" w:type="dxa"/>
              <w:right w:w="0" w:type="dxa"/>
            </w:tcMar>
            <w:vAlign w:val="center"/>
          </w:tcPr>
          <w:p w14:paraId="7EB3A9DD"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w:t>
            </w:r>
            <w:r w:rsidR="00460707">
              <w:rPr>
                <w:rFonts w:ascii="Arial" w:eastAsia="Arial" w:hAnsi="Arial" w:cs="Arial"/>
                <w:color w:val="111111"/>
                <w:sz w:val="16"/>
                <w:szCs w:val="16"/>
              </w:rPr>
              <w:t>.</w:t>
            </w:r>
            <w:r w:rsidRPr="006D271E">
              <w:rPr>
                <w:rFonts w:ascii="Arial" w:eastAsia="Arial" w:hAnsi="Arial" w:cs="Arial"/>
                <w:color w:val="111111"/>
                <w:sz w:val="16"/>
                <w:szCs w:val="16"/>
              </w:rPr>
              <w:t>630</w:t>
            </w:r>
            <w:r w:rsidR="00460707">
              <w:rPr>
                <w:rFonts w:ascii="Arial" w:eastAsia="Arial" w:hAnsi="Arial" w:cs="Arial"/>
                <w:color w:val="111111"/>
                <w:sz w:val="16"/>
                <w:szCs w:val="16"/>
              </w:rPr>
              <w:t>,</w:t>
            </w:r>
            <w:r w:rsidRPr="006D271E">
              <w:rPr>
                <w:rFonts w:ascii="Arial" w:eastAsia="Arial" w:hAnsi="Arial" w:cs="Arial"/>
                <w:color w:val="111111"/>
                <w:sz w:val="16"/>
                <w:szCs w:val="16"/>
              </w:rPr>
              <w:t>3</w:t>
            </w:r>
          </w:p>
        </w:tc>
        <w:tc>
          <w:tcPr>
            <w:tcW w:w="0" w:type="auto"/>
            <w:shd w:val="clear" w:color="auto" w:fill="B0E3FB"/>
            <w:tcMar>
              <w:top w:w="0" w:type="dxa"/>
              <w:left w:w="0" w:type="dxa"/>
              <w:bottom w:w="0" w:type="dxa"/>
              <w:right w:w="0" w:type="dxa"/>
            </w:tcMar>
            <w:vAlign w:val="center"/>
          </w:tcPr>
          <w:p w14:paraId="4D88756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-5,9</w:t>
            </w:r>
          </w:p>
        </w:tc>
      </w:tr>
      <w:tr w:rsidR="006D271E" w:rsidRPr="006D271E" w14:paraId="73ED5D13" w14:textId="77777777">
        <w:trPr>
          <w:cantSplit/>
          <w:jc w:val="center"/>
        </w:trPr>
        <w:tc>
          <w:tcPr>
            <w:tcW w:w="0" w:type="auto"/>
            <w:shd w:val="clear" w:color="auto" w:fill="FFFFFF"/>
            <w:tcMar>
              <w:top w:w="0" w:type="dxa"/>
              <w:left w:w="0" w:type="dxa"/>
              <w:bottom w:w="0" w:type="dxa"/>
              <w:right w:w="0" w:type="dxa"/>
            </w:tcMar>
            <w:vAlign w:val="center"/>
          </w:tcPr>
          <w:p w14:paraId="0EA72F7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3ED3F8D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Denarna socialna pomoč</w:t>
            </w:r>
          </w:p>
        </w:tc>
        <w:tc>
          <w:tcPr>
            <w:tcW w:w="0" w:type="auto"/>
            <w:shd w:val="clear" w:color="auto" w:fill="FFFFFF"/>
            <w:tcMar>
              <w:top w:w="0" w:type="dxa"/>
              <w:left w:w="0" w:type="dxa"/>
              <w:bottom w:w="0" w:type="dxa"/>
              <w:right w:w="0" w:type="dxa"/>
            </w:tcMar>
            <w:vAlign w:val="center"/>
          </w:tcPr>
          <w:p w14:paraId="64FD1994"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CCB30AF"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48</w:t>
            </w:r>
            <w:r w:rsidR="00460707">
              <w:rPr>
                <w:rFonts w:ascii="Arial" w:eastAsia="Arial" w:hAnsi="Arial" w:cs="Arial"/>
                <w:color w:val="111111"/>
                <w:sz w:val="16"/>
                <w:szCs w:val="16"/>
              </w:rPr>
              <w:t>.</w:t>
            </w:r>
            <w:r w:rsidRPr="006D271E">
              <w:rPr>
                <w:rFonts w:ascii="Arial" w:eastAsia="Arial" w:hAnsi="Arial" w:cs="Arial"/>
                <w:color w:val="111111"/>
                <w:sz w:val="16"/>
                <w:szCs w:val="16"/>
              </w:rPr>
              <w:t>798</w:t>
            </w:r>
            <w:r w:rsidR="00460707">
              <w:rPr>
                <w:rFonts w:ascii="Arial" w:eastAsia="Arial" w:hAnsi="Arial" w:cs="Arial"/>
                <w:color w:val="111111"/>
                <w:sz w:val="16"/>
                <w:szCs w:val="16"/>
              </w:rPr>
              <w:t>,</w:t>
            </w:r>
            <w:r w:rsidRPr="006D271E">
              <w:rPr>
                <w:rFonts w:ascii="Arial" w:eastAsia="Arial" w:hAnsi="Arial" w:cs="Arial"/>
                <w:color w:val="111111"/>
                <w:sz w:val="16"/>
                <w:szCs w:val="16"/>
              </w:rPr>
              <w:t>1</w:t>
            </w:r>
          </w:p>
        </w:tc>
        <w:tc>
          <w:tcPr>
            <w:tcW w:w="0" w:type="auto"/>
            <w:shd w:val="clear" w:color="auto" w:fill="FFFFFF"/>
            <w:tcMar>
              <w:top w:w="0" w:type="dxa"/>
              <w:left w:w="0" w:type="dxa"/>
              <w:bottom w:w="0" w:type="dxa"/>
              <w:right w:w="0" w:type="dxa"/>
            </w:tcMar>
            <w:vAlign w:val="center"/>
          </w:tcPr>
          <w:p w14:paraId="7A17955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16,4</w:t>
            </w:r>
          </w:p>
        </w:tc>
        <w:tc>
          <w:tcPr>
            <w:tcW w:w="0" w:type="auto"/>
            <w:shd w:val="clear" w:color="auto" w:fill="FFFFFF"/>
            <w:tcMar>
              <w:top w:w="0" w:type="dxa"/>
              <w:left w:w="0" w:type="dxa"/>
              <w:bottom w:w="0" w:type="dxa"/>
              <w:right w:w="0" w:type="dxa"/>
            </w:tcMar>
            <w:vAlign w:val="center"/>
          </w:tcPr>
          <w:p w14:paraId="75C84C45" w14:textId="77777777" w:rsidR="009813B9" w:rsidRPr="006D271E" w:rsidRDefault="006D271E" w:rsidP="00460707">
            <w:pPr>
              <w:spacing w:before="40" w:after="40"/>
              <w:ind w:left="40" w:right="40"/>
              <w:jc w:val="center"/>
              <w:rPr>
                <w:sz w:val="16"/>
                <w:szCs w:val="16"/>
              </w:rPr>
            </w:pPr>
            <w:r w:rsidRPr="006D271E">
              <w:rPr>
                <w:rFonts w:ascii="Arial" w:eastAsia="Arial" w:hAnsi="Arial" w:cs="Arial"/>
                <w:color w:val="111111"/>
                <w:sz w:val="16"/>
                <w:szCs w:val="16"/>
              </w:rPr>
              <w:t>24</w:t>
            </w:r>
            <w:r w:rsidR="00460707">
              <w:rPr>
                <w:rFonts w:ascii="Arial" w:eastAsia="Arial" w:hAnsi="Arial" w:cs="Arial"/>
                <w:color w:val="111111"/>
                <w:sz w:val="16"/>
                <w:szCs w:val="16"/>
              </w:rPr>
              <w:t>.</w:t>
            </w:r>
            <w:r w:rsidRPr="006D271E">
              <w:rPr>
                <w:rFonts w:ascii="Arial" w:eastAsia="Arial" w:hAnsi="Arial" w:cs="Arial"/>
                <w:color w:val="111111"/>
                <w:sz w:val="16"/>
                <w:szCs w:val="16"/>
              </w:rPr>
              <w:t>712</w:t>
            </w:r>
            <w:r w:rsidR="00460707">
              <w:rPr>
                <w:rFonts w:ascii="Arial" w:eastAsia="Arial" w:hAnsi="Arial" w:cs="Arial"/>
                <w:color w:val="111111"/>
                <w:sz w:val="16"/>
                <w:szCs w:val="16"/>
              </w:rPr>
              <w:t>,</w:t>
            </w:r>
            <w:r w:rsidRPr="006D271E">
              <w:rPr>
                <w:rFonts w:ascii="Arial" w:eastAsia="Arial" w:hAnsi="Arial" w:cs="Arial"/>
                <w:color w:val="111111"/>
                <w:sz w:val="16"/>
                <w:szCs w:val="16"/>
              </w:rPr>
              <w:t>4</w:t>
            </w:r>
          </w:p>
        </w:tc>
        <w:tc>
          <w:tcPr>
            <w:tcW w:w="0" w:type="auto"/>
            <w:shd w:val="clear" w:color="auto" w:fill="FFFFFF"/>
            <w:tcMar>
              <w:top w:w="0" w:type="dxa"/>
              <w:left w:w="0" w:type="dxa"/>
              <w:bottom w:w="0" w:type="dxa"/>
              <w:right w:w="0" w:type="dxa"/>
            </w:tcMar>
            <w:vAlign w:val="center"/>
          </w:tcPr>
          <w:p w14:paraId="2022D90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16,4</w:t>
            </w:r>
          </w:p>
        </w:tc>
      </w:tr>
      <w:tr w:rsidR="009813B9" w:rsidRPr="006D271E" w14:paraId="6EB9A6DE" w14:textId="77777777">
        <w:trPr>
          <w:cantSplit/>
          <w:jc w:val="center"/>
        </w:trPr>
        <w:tc>
          <w:tcPr>
            <w:tcW w:w="0" w:type="auto"/>
            <w:gridSpan w:val="7"/>
            <w:shd w:val="clear" w:color="auto" w:fill="FFFFFF"/>
            <w:tcMar>
              <w:top w:w="0" w:type="dxa"/>
              <w:left w:w="0" w:type="dxa"/>
              <w:bottom w:w="0" w:type="dxa"/>
              <w:right w:w="0" w:type="dxa"/>
            </w:tcMar>
            <w:vAlign w:val="center"/>
          </w:tcPr>
          <w:p w14:paraId="7418992F" w14:textId="77777777" w:rsidR="009813B9" w:rsidRPr="006D271E" w:rsidRDefault="006D271E" w:rsidP="00444756">
            <w:pPr>
              <w:spacing w:after="0"/>
              <w:rPr>
                <w:sz w:val="16"/>
                <w:szCs w:val="16"/>
              </w:rPr>
            </w:pPr>
            <w:r w:rsidRPr="006D271E">
              <w:rPr>
                <w:rFonts w:ascii="Arial" w:eastAsia="Arial" w:hAnsi="Arial" w:cs="Arial"/>
                <w:color w:val="000000"/>
                <w:sz w:val="16"/>
                <w:szCs w:val="16"/>
                <w:vertAlign w:val="superscript"/>
              </w:rPr>
              <w:t>*</w:t>
            </w:r>
            <w:r w:rsidRPr="006D271E">
              <w:rPr>
                <w:rFonts w:ascii="Arial" w:eastAsia="Arial" w:hAnsi="Arial" w:cs="Arial"/>
                <w:color w:val="000000"/>
                <w:sz w:val="16"/>
                <w:szCs w:val="16"/>
              </w:rPr>
              <w:t xml:space="preserve">Pravica dodatek za pomoč in postrežbo ni samostojna, dodeljuje se v okviru varstvenega dodatka ali denarne socialne pomoči; </w:t>
            </w:r>
            <w:r w:rsidRPr="006D271E">
              <w:rPr>
                <w:rFonts w:ascii="Arial" w:eastAsia="Arial" w:hAnsi="Arial" w:cs="Arial"/>
                <w:color w:val="000000"/>
                <w:sz w:val="16"/>
                <w:szCs w:val="16"/>
                <w:vertAlign w:val="superscript"/>
              </w:rPr>
              <w:t>**</w:t>
            </w:r>
            <w:r w:rsidRPr="006D271E">
              <w:rPr>
                <w:rFonts w:ascii="Arial" w:eastAsia="Arial" w:hAnsi="Arial" w:cs="Arial"/>
                <w:color w:val="000000"/>
                <w:sz w:val="16"/>
                <w:szCs w:val="16"/>
              </w:rPr>
              <w:t>Dodatek za veliko družino se izplačuje enkrat letno. Podatek za zadnji mesec je odraz vlog zaradi sprememb št. otrok med letom in je zelo variabilen.</w:t>
            </w:r>
          </w:p>
        </w:tc>
      </w:tr>
      <w:tr w:rsidR="006D271E" w:rsidRPr="006D271E" w14:paraId="4539870C"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63438A28"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311815F2"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Skupni znesek </w:t>
            </w:r>
            <w:r>
              <w:rPr>
                <w:rFonts w:ascii="Arial" w:eastAsia="Arial" w:hAnsi="Arial" w:cs="Arial"/>
                <w:b/>
                <w:color w:val="111111"/>
                <w:sz w:val="16"/>
                <w:szCs w:val="16"/>
              </w:rPr>
              <w:t>2020</w:t>
            </w:r>
          </w:p>
        </w:tc>
        <w:tc>
          <w:tcPr>
            <w:tcW w:w="0" w:type="auto"/>
            <w:shd w:val="clear" w:color="auto" w:fill="8BC9E8"/>
            <w:tcMar>
              <w:top w:w="0" w:type="dxa"/>
              <w:left w:w="0" w:type="dxa"/>
              <w:bottom w:w="0" w:type="dxa"/>
              <w:right w:w="0" w:type="dxa"/>
            </w:tcMar>
            <w:vAlign w:val="center"/>
          </w:tcPr>
          <w:p w14:paraId="040EB098"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Medletna rast (%) </w:t>
            </w:r>
            <w:r>
              <w:rPr>
                <w:rFonts w:ascii="Arial" w:eastAsia="Arial" w:hAnsi="Arial" w:cs="Arial"/>
                <w:b/>
                <w:color w:val="111111"/>
                <w:sz w:val="16"/>
                <w:szCs w:val="16"/>
              </w:rPr>
              <w:t>2020/2019</w:t>
            </w:r>
          </w:p>
        </w:tc>
        <w:tc>
          <w:tcPr>
            <w:tcW w:w="0" w:type="auto"/>
            <w:shd w:val="clear" w:color="auto" w:fill="8BC9E8"/>
            <w:tcMar>
              <w:top w:w="0" w:type="dxa"/>
              <w:left w:w="0" w:type="dxa"/>
              <w:bottom w:w="0" w:type="dxa"/>
              <w:right w:w="0" w:type="dxa"/>
            </w:tcMar>
            <w:vAlign w:val="center"/>
          </w:tcPr>
          <w:p w14:paraId="42997C3A"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Znesek  v mesecu </w:t>
            </w:r>
            <w:r>
              <w:rPr>
                <w:rFonts w:ascii="Arial" w:eastAsia="Arial" w:hAnsi="Arial" w:cs="Arial"/>
                <w:b/>
                <w:color w:val="111111"/>
                <w:sz w:val="16"/>
                <w:szCs w:val="16"/>
              </w:rPr>
              <w:t>I</w:t>
            </w:r>
          </w:p>
        </w:tc>
        <w:tc>
          <w:tcPr>
            <w:tcW w:w="0" w:type="auto"/>
            <w:shd w:val="clear" w:color="auto" w:fill="8BC9E8"/>
            <w:tcMar>
              <w:top w:w="0" w:type="dxa"/>
              <w:left w:w="0" w:type="dxa"/>
              <w:bottom w:w="0" w:type="dxa"/>
              <w:right w:w="0" w:type="dxa"/>
            </w:tcMar>
            <w:vAlign w:val="center"/>
          </w:tcPr>
          <w:p w14:paraId="153FA214"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Medletna rast </w:t>
            </w:r>
            <w:r>
              <w:rPr>
                <w:rFonts w:ascii="Arial" w:eastAsia="Arial" w:hAnsi="Arial" w:cs="Arial"/>
                <w:b/>
                <w:color w:val="111111"/>
                <w:sz w:val="16"/>
                <w:szCs w:val="16"/>
              </w:rPr>
              <w:t>I 21/I 20</w:t>
            </w:r>
            <w:r w:rsidRPr="006D271E">
              <w:rPr>
                <w:rFonts w:ascii="Arial" w:eastAsia="Arial" w:hAnsi="Arial" w:cs="Arial"/>
                <w:b/>
                <w:color w:val="111111"/>
                <w:sz w:val="16"/>
                <w:szCs w:val="16"/>
              </w:rPr>
              <w:t xml:space="preserve"> (%)</w:t>
            </w:r>
          </w:p>
        </w:tc>
      </w:tr>
      <w:tr w:rsidR="00EC30AE" w:rsidRPr="006D271E" w14:paraId="2D591B10" w14:textId="77777777" w:rsidTr="00EC30AE">
        <w:trPr>
          <w:gridAfter w:val="2"/>
          <w:cantSplit/>
          <w:jc w:val="center"/>
        </w:trPr>
        <w:tc>
          <w:tcPr>
            <w:tcW w:w="0" w:type="auto"/>
            <w:shd w:val="clear" w:color="auto" w:fill="B0E3FB"/>
            <w:tcMar>
              <w:top w:w="0" w:type="dxa"/>
              <w:left w:w="0" w:type="dxa"/>
              <w:bottom w:w="0" w:type="dxa"/>
              <w:right w:w="0" w:type="dxa"/>
            </w:tcMar>
            <w:vAlign w:val="center"/>
          </w:tcPr>
          <w:p w14:paraId="4AFEB086" w14:textId="77777777" w:rsidR="00EC30AE" w:rsidRPr="006D271E" w:rsidRDefault="00EC30AE" w:rsidP="00EC30AE">
            <w:pPr>
              <w:spacing w:before="40" w:after="40"/>
              <w:ind w:left="40" w:right="40"/>
              <w:rPr>
                <w:sz w:val="16"/>
                <w:szCs w:val="16"/>
              </w:rPr>
            </w:pPr>
            <w:r w:rsidRPr="006D271E">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tcPr>
          <w:p w14:paraId="27C6E45D" w14:textId="77777777" w:rsidR="00EC30AE" w:rsidRPr="00EC30AE" w:rsidRDefault="00EC30AE" w:rsidP="00EC30AE">
            <w:pPr>
              <w:spacing w:before="40" w:after="40"/>
              <w:ind w:left="40" w:right="40"/>
              <w:jc w:val="center"/>
              <w:rPr>
                <w:rFonts w:ascii="Arial" w:eastAsia="Arial" w:hAnsi="Arial" w:cs="Arial"/>
                <w:color w:val="111111"/>
                <w:sz w:val="16"/>
                <w:szCs w:val="16"/>
              </w:rPr>
            </w:pPr>
            <w:r w:rsidRPr="00EC30AE">
              <w:rPr>
                <w:rFonts w:ascii="Arial" w:eastAsia="Arial" w:hAnsi="Arial" w:cs="Arial"/>
                <w:color w:val="111111"/>
                <w:sz w:val="16"/>
                <w:szCs w:val="16"/>
              </w:rPr>
              <w:t>245.700</w:t>
            </w:r>
            <w:r>
              <w:rPr>
                <w:rFonts w:ascii="Arial" w:eastAsia="Arial" w:hAnsi="Arial" w:cs="Arial"/>
                <w:color w:val="111111"/>
                <w:sz w:val="16"/>
                <w:szCs w:val="16"/>
              </w:rPr>
              <w:t>,5</w:t>
            </w:r>
          </w:p>
        </w:tc>
        <w:tc>
          <w:tcPr>
            <w:tcW w:w="0" w:type="auto"/>
            <w:shd w:val="clear" w:color="auto" w:fill="B0E3FB"/>
            <w:tcMar>
              <w:top w:w="0" w:type="dxa"/>
              <w:left w:w="0" w:type="dxa"/>
              <w:bottom w:w="0" w:type="dxa"/>
              <w:right w:w="0" w:type="dxa"/>
            </w:tcMar>
            <w:vAlign w:val="center"/>
          </w:tcPr>
          <w:p w14:paraId="14339BE7" w14:textId="77777777" w:rsidR="00EC30AE" w:rsidRPr="00EC30AE" w:rsidRDefault="00EC30AE" w:rsidP="00EC30AE">
            <w:pPr>
              <w:spacing w:before="40" w:after="40"/>
              <w:ind w:left="40" w:right="40"/>
              <w:jc w:val="center"/>
              <w:rPr>
                <w:rFonts w:ascii="Arial" w:eastAsia="Arial" w:hAnsi="Arial" w:cs="Arial"/>
                <w:color w:val="111111"/>
                <w:sz w:val="16"/>
                <w:szCs w:val="16"/>
              </w:rPr>
            </w:pPr>
            <w:r w:rsidRPr="00EC30AE">
              <w:rPr>
                <w:rFonts w:ascii="Arial" w:eastAsia="Arial" w:hAnsi="Arial" w:cs="Arial"/>
                <w:color w:val="111111"/>
                <w:sz w:val="16"/>
                <w:szCs w:val="16"/>
              </w:rPr>
              <w:t>44,0</w:t>
            </w:r>
          </w:p>
        </w:tc>
        <w:tc>
          <w:tcPr>
            <w:tcW w:w="0" w:type="auto"/>
            <w:shd w:val="clear" w:color="auto" w:fill="B0E3FB"/>
            <w:tcMar>
              <w:top w:w="0" w:type="dxa"/>
              <w:left w:w="0" w:type="dxa"/>
              <w:bottom w:w="0" w:type="dxa"/>
              <w:right w:w="0" w:type="dxa"/>
            </w:tcMar>
            <w:vAlign w:val="center"/>
          </w:tcPr>
          <w:p w14:paraId="1AF0B7C6" w14:textId="77777777" w:rsidR="00EC30AE" w:rsidRPr="006D271E" w:rsidRDefault="00EC30AE" w:rsidP="00EC30AE">
            <w:pPr>
              <w:spacing w:before="40" w:after="40"/>
              <w:ind w:left="40" w:right="40"/>
              <w:jc w:val="center"/>
              <w:rPr>
                <w:sz w:val="16"/>
                <w:szCs w:val="16"/>
              </w:rPr>
            </w:pPr>
            <w:r>
              <w:rPr>
                <w:rFonts w:ascii="Arial" w:eastAsia="Arial" w:hAnsi="Arial" w:cs="Arial"/>
                <w:color w:val="111111"/>
                <w:sz w:val="16"/>
                <w:szCs w:val="16"/>
              </w:rPr>
              <w:t>22.405,</w:t>
            </w:r>
            <w:r w:rsidRPr="006D271E">
              <w:rPr>
                <w:rFonts w:ascii="Arial" w:eastAsia="Arial" w:hAnsi="Arial" w:cs="Arial"/>
                <w:color w:val="111111"/>
                <w:sz w:val="16"/>
                <w:szCs w:val="16"/>
              </w:rPr>
              <w:t>2</w:t>
            </w:r>
          </w:p>
        </w:tc>
        <w:tc>
          <w:tcPr>
            <w:tcW w:w="0" w:type="auto"/>
            <w:shd w:val="clear" w:color="auto" w:fill="B0E3FB"/>
            <w:tcMar>
              <w:top w:w="0" w:type="dxa"/>
              <w:left w:w="0" w:type="dxa"/>
              <w:bottom w:w="0" w:type="dxa"/>
              <w:right w:w="0" w:type="dxa"/>
            </w:tcMar>
            <w:vAlign w:val="center"/>
          </w:tcPr>
          <w:p w14:paraId="1FC6EC04" w14:textId="77777777" w:rsidR="00EC30AE" w:rsidRPr="006D271E" w:rsidRDefault="00EC30AE" w:rsidP="00EC30AE">
            <w:pPr>
              <w:spacing w:before="40" w:after="40"/>
              <w:ind w:left="40" w:right="40"/>
              <w:jc w:val="center"/>
              <w:rPr>
                <w:sz w:val="16"/>
                <w:szCs w:val="16"/>
              </w:rPr>
            </w:pPr>
            <w:r w:rsidRPr="006D271E">
              <w:rPr>
                <w:rFonts w:ascii="Arial" w:eastAsia="Arial" w:hAnsi="Arial" w:cs="Arial"/>
                <w:color w:val="111111"/>
                <w:sz w:val="16"/>
                <w:szCs w:val="16"/>
              </w:rPr>
              <w:t>11,3</w:t>
            </w:r>
          </w:p>
        </w:tc>
      </w:tr>
      <w:tr w:rsidR="00EC30AE" w:rsidRPr="006D271E" w14:paraId="1609ECDF" w14:textId="77777777" w:rsidTr="00EC30AE">
        <w:trPr>
          <w:gridAfter w:val="2"/>
          <w:cantSplit/>
          <w:jc w:val="center"/>
        </w:trPr>
        <w:tc>
          <w:tcPr>
            <w:tcW w:w="0" w:type="auto"/>
            <w:shd w:val="clear" w:color="auto" w:fill="FFFFFF"/>
            <w:tcMar>
              <w:top w:w="0" w:type="dxa"/>
              <w:left w:w="0" w:type="dxa"/>
              <w:bottom w:w="0" w:type="dxa"/>
              <w:right w:w="0" w:type="dxa"/>
            </w:tcMar>
            <w:vAlign w:val="center"/>
          </w:tcPr>
          <w:p w14:paraId="4E7004D6" w14:textId="77777777" w:rsidR="00EC30AE" w:rsidRPr="006D271E" w:rsidRDefault="00EC30AE" w:rsidP="00EC30AE">
            <w:pPr>
              <w:spacing w:before="40" w:after="40"/>
              <w:ind w:left="40" w:right="40"/>
              <w:rPr>
                <w:sz w:val="16"/>
                <w:szCs w:val="16"/>
              </w:rPr>
            </w:pPr>
            <w:r w:rsidRPr="006D271E">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tcPr>
          <w:p w14:paraId="3A765F48" w14:textId="77777777" w:rsidR="00EC30AE" w:rsidRPr="00EC30AE" w:rsidRDefault="00EC30AE" w:rsidP="00EC30AE">
            <w:pPr>
              <w:spacing w:before="40" w:after="40"/>
              <w:ind w:left="40" w:right="40"/>
              <w:jc w:val="center"/>
              <w:rPr>
                <w:rFonts w:ascii="Arial" w:eastAsia="Arial" w:hAnsi="Arial" w:cs="Arial"/>
                <w:color w:val="111111"/>
                <w:sz w:val="16"/>
                <w:szCs w:val="16"/>
              </w:rPr>
            </w:pPr>
            <w:r w:rsidRPr="00EC30AE">
              <w:rPr>
                <w:rFonts w:ascii="Arial" w:eastAsia="Arial" w:hAnsi="Arial" w:cs="Arial"/>
                <w:color w:val="111111"/>
                <w:sz w:val="16"/>
                <w:szCs w:val="16"/>
              </w:rPr>
              <w:t>472</w:t>
            </w:r>
            <w:r>
              <w:rPr>
                <w:rFonts w:ascii="Arial" w:eastAsia="Arial" w:hAnsi="Arial" w:cs="Arial"/>
                <w:color w:val="111111"/>
                <w:sz w:val="16"/>
                <w:szCs w:val="16"/>
              </w:rPr>
              <w:t>,1</w:t>
            </w:r>
          </w:p>
        </w:tc>
        <w:tc>
          <w:tcPr>
            <w:tcW w:w="0" w:type="auto"/>
            <w:shd w:val="clear" w:color="auto" w:fill="FFFFFF"/>
            <w:tcMar>
              <w:top w:w="0" w:type="dxa"/>
              <w:left w:w="0" w:type="dxa"/>
              <w:bottom w:w="0" w:type="dxa"/>
              <w:right w:w="0" w:type="dxa"/>
            </w:tcMar>
            <w:vAlign w:val="center"/>
          </w:tcPr>
          <w:p w14:paraId="6A322951" w14:textId="77777777" w:rsidR="00EC30AE" w:rsidRPr="00EC30AE" w:rsidRDefault="00EC30AE" w:rsidP="00EC30AE">
            <w:pPr>
              <w:spacing w:before="40" w:after="40"/>
              <w:ind w:left="40" w:right="40"/>
              <w:jc w:val="center"/>
              <w:rPr>
                <w:rFonts w:ascii="Arial" w:eastAsia="Arial" w:hAnsi="Arial" w:cs="Arial"/>
                <w:color w:val="111111"/>
                <w:sz w:val="16"/>
                <w:szCs w:val="16"/>
              </w:rPr>
            </w:pPr>
            <w:r w:rsidRPr="00EC30AE">
              <w:rPr>
                <w:rFonts w:ascii="Arial" w:eastAsia="Arial" w:hAnsi="Arial" w:cs="Arial"/>
                <w:color w:val="111111"/>
                <w:sz w:val="16"/>
                <w:szCs w:val="16"/>
              </w:rPr>
              <w:t>-8,5</w:t>
            </w:r>
          </w:p>
        </w:tc>
        <w:tc>
          <w:tcPr>
            <w:tcW w:w="0" w:type="auto"/>
            <w:shd w:val="clear" w:color="auto" w:fill="FFFFFF"/>
            <w:tcMar>
              <w:top w:w="0" w:type="dxa"/>
              <w:left w:w="0" w:type="dxa"/>
              <w:bottom w:w="0" w:type="dxa"/>
              <w:right w:w="0" w:type="dxa"/>
            </w:tcMar>
            <w:vAlign w:val="center"/>
          </w:tcPr>
          <w:p w14:paraId="2167F24D" w14:textId="77777777" w:rsidR="00EC30AE" w:rsidRPr="006D271E" w:rsidRDefault="00EC30AE" w:rsidP="00EC30AE">
            <w:pPr>
              <w:spacing w:before="40" w:after="40"/>
              <w:ind w:left="40" w:right="40"/>
              <w:jc w:val="center"/>
              <w:rPr>
                <w:sz w:val="16"/>
                <w:szCs w:val="16"/>
              </w:rPr>
            </w:pPr>
            <w:r w:rsidRPr="006D271E">
              <w:rPr>
                <w:rFonts w:ascii="Arial" w:eastAsia="Arial" w:hAnsi="Arial" w:cs="Arial"/>
                <w:color w:val="111111"/>
                <w:sz w:val="16"/>
                <w:szCs w:val="16"/>
              </w:rPr>
              <w:t>33</w:t>
            </w:r>
            <w:r>
              <w:rPr>
                <w:rFonts w:ascii="Arial" w:eastAsia="Arial" w:hAnsi="Arial" w:cs="Arial"/>
                <w:color w:val="111111"/>
                <w:sz w:val="16"/>
                <w:szCs w:val="16"/>
              </w:rPr>
              <w:t>,</w:t>
            </w:r>
            <w:r w:rsidRPr="006D271E">
              <w:rPr>
                <w:rFonts w:ascii="Arial" w:eastAsia="Arial" w:hAnsi="Arial" w:cs="Arial"/>
                <w:color w:val="111111"/>
                <w:sz w:val="16"/>
                <w:szCs w:val="16"/>
              </w:rPr>
              <w:t>9</w:t>
            </w:r>
          </w:p>
        </w:tc>
        <w:tc>
          <w:tcPr>
            <w:tcW w:w="0" w:type="auto"/>
            <w:shd w:val="clear" w:color="auto" w:fill="FFFFFF"/>
            <w:tcMar>
              <w:top w:w="0" w:type="dxa"/>
              <w:left w:w="0" w:type="dxa"/>
              <w:bottom w:w="0" w:type="dxa"/>
              <w:right w:w="0" w:type="dxa"/>
            </w:tcMar>
            <w:vAlign w:val="center"/>
          </w:tcPr>
          <w:p w14:paraId="2BC740B3" w14:textId="77777777" w:rsidR="00EC30AE" w:rsidRPr="006D271E" w:rsidRDefault="00EC30AE" w:rsidP="00EC30AE">
            <w:pPr>
              <w:spacing w:before="40" w:after="40"/>
              <w:ind w:left="40" w:right="40"/>
              <w:jc w:val="center"/>
              <w:rPr>
                <w:sz w:val="16"/>
                <w:szCs w:val="16"/>
              </w:rPr>
            </w:pPr>
            <w:r w:rsidRPr="006D271E">
              <w:rPr>
                <w:rFonts w:ascii="Arial" w:eastAsia="Arial" w:hAnsi="Arial" w:cs="Arial"/>
                <w:color w:val="111111"/>
                <w:sz w:val="16"/>
                <w:szCs w:val="16"/>
              </w:rPr>
              <w:t>-13,0</w:t>
            </w:r>
          </w:p>
        </w:tc>
      </w:tr>
    </w:tbl>
    <w:p w14:paraId="15D0D253" w14:textId="77777777" w:rsidR="00BA34F4" w:rsidRDefault="00BA34F4">
      <w:pPr>
        <w:pStyle w:val="Telobesedila"/>
        <w:rPr>
          <w:b/>
        </w:rPr>
        <w:sectPr w:rsidR="00BA34F4">
          <w:pgSz w:w="12240" w:h="15840"/>
          <w:pgMar w:top="1417" w:right="1417" w:bottom="1417" w:left="1417" w:header="708" w:footer="708" w:gutter="0"/>
          <w:cols w:space="708"/>
        </w:sectPr>
      </w:pPr>
    </w:p>
    <w:p w14:paraId="07216D2F" w14:textId="77777777" w:rsidR="009813B9" w:rsidRDefault="006D271E">
      <w:pPr>
        <w:pStyle w:val="Telobesedila"/>
      </w:pPr>
      <w:r>
        <w:rPr>
          <w:b/>
        </w:rPr>
        <w:lastRenderedPageBreak/>
        <w:t>Tabela 2 Število upravičencev do socialnih transferjev po pravicah, leto 202</w:t>
      </w:r>
      <w:r w:rsidR="001D4551">
        <w:rPr>
          <w:b/>
        </w:rPr>
        <w:t>1</w:t>
      </w:r>
    </w:p>
    <w:tbl>
      <w:tblPr>
        <w:tblW w:w="0" w:type="auto"/>
        <w:jc w:val="center"/>
        <w:tblLook w:val="0420" w:firstRow="1" w:lastRow="0" w:firstColumn="0" w:lastColumn="0" w:noHBand="0" w:noVBand="1"/>
      </w:tblPr>
      <w:tblGrid>
        <w:gridCol w:w="1279"/>
        <w:gridCol w:w="2504"/>
        <w:gridCol w:w="1232"/>
        <w:gridCol w:w="1318"/>
        <w:gridCol w:w="1125"/>
        <w:gridCol w:w="867"/>
        <w:gridCol w:w="1081"/>
      </w:tblGrid>
      <w:tr w:rsidR="006D271E" w:rsidRPr="006D271E" w14:paraId="38EA2AD5" w14:textId="77777777">
        <w:trPr>
          <w:cantSplit/>
          <w:tblHeader/>
          <w:jc w:val="center"/>
        </w:trPr>
        <w:tc>
          <w:tcPr>
            <w:tcW w:w="0" w:type="auto"/>
            <w:shd w:val="clear" w:color="auto" w:fill="8BC9E8"/>
            <w:tcMar>
              <w:top w:w="0" w:type="dxa"/>
              <w:left w:w="0" w:type="dxa"/>
              <w:bottom w:w="0" w:type="dxa"/>
              <w:right w:w="0" w:type="dxa"/>
            </w:tcMar>
            <w:vAlign w:val="center"/>
          </w:tcPr>
          <w:p w14:paraId="28664BF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tcPr>
          <w:p w14:paraId="777C01F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6B63468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Vrsta pravice</w:t>
            </w:r>
          </w:p>
        </w:tc>
        <w:tc>
          <w:tcPr>
            <w:tcW w:w="0" w:type="auto"/>
            <w:shd w:val="clear" w:color="auto" w:fill="8BC9E8"/>
            <w:tcMar>
              <w:top w:w="0" w:type="dxa"/>
              <w:left w:w="0" w:type="dxa"/>
              <w:bottom w:w="0" w:type="dxa"/>
              <w:right w:w="0" w:type="dxa"/>
            </w:tcMar>
            <w:vAlign w:val="center"/>
          </w:tcPr>
          <w:p w14:paraId="5A958A13"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Povprečno število I-II</w:t>
            </w:r>
          </w:p>
        </w:tc>
        <w:tc>
          <w:tcPr>
            <w:tcW w:w="0" w:type="auto"/>
            <w:shd w:val="clear" w:color="auto" w:fill="8BC9E8"/>
            <w:tcMar>
              <w:top w:w="0" w:type="dxa"/>
              <w:left w:w="0" w:type="dxa"/>
              <w:bottom w:w="0" w:type="dxa"/>
              <w:right w:w="0" w:type="dxa"/>
            </w:tcMar>
            <w:vAlign w:val="center"/>
          </w:tcPr>
          <w:p w14:paraId="35DEDD6F"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Medletna rast (%) I-II 21/I-II 20</w:t>
            </w:r>
          </w:p>
        </w:tc>
        <w:tc>
          <w:tcPr>
            <w:tcW w:w="0" w:type="auto"/>
            <w:shd w:val="clear" w:color="auto" w:fill="8BC9E8"/>
            <w:tcMar>
              <w:top w:w="0" w:type="dxa"/>
              <w:left w:w="0" w:type="dxa"/>
              <w:bottom w:w="0" w:type="dxa"/>
              <w:right w:w="0" w:type="dxa"/>
            </w:tcMar>
            <w:vAlign w:val="center"/>
          </w:tcPr>
          <w:p w14:paraId="41E1BFB2"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Število v mesecu II</w:t>
            </w:r>
          </w:p>
        </w:tc>
        <w:tc>
          <w:tcPr>
            <w:tcW w:w="0" w:type="auto"/>
            <w:shd w:val="clear" w:color="auto" w:fill="8BC9E8"/>
            <w:tcMar>
              <w:top w:w="0" w:type="dxa"/>
              <w:left w:w="0" w:type="dxa"/>
              <w:bottom w:w="0" w:type="dxa"/>
              <w:right w:w="0" w:type="dxa"/>
            </w:tcMar>
            <w:vAlign w:val="center"/>
          </w:tcPr>
          <w:p w14:paraId="0C83D760"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Medletna rast (%) II 21/II 20</w:t>
            </w:r>
          </w:p>
        </w:tc>
      </w:tr>
      <w:tr w:rsidR="006D271E" w:rsidRPr="006D271E" w14:paraId="19AFA59E" w14:textId="77777777">
        <w:trPr>
          <w:cantSplit/>
          <w:jc w:val="center"/>
        </w:trPr>
        <w:tc>
          <w:tcPr>
            <w:tcW w:w="0" w:type="auto"/>
            <w:shd w:val="clear" w:color="auto" w:fill="B0E3FB"/>
            <w:tcMar>
              <w:top w:w="0" w:type="dxa"/>
              <w:left w:w="0" w:type="dxa"/>
              <w:bottom w:w="0" w:type="dxa"/>
              <w:right w:w="0" w:type="dxa"/>
            </w:tcMar>
            <w:vAlign w:val="center"/>
          </w:tcPr>
          <w:p w14:paraId="0A7A069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065CC20E" w14:textId="77777777" w:rsidR="009813B9" w:rsidRPr="006D271E" w:rsidRDefault="006D271E" w:rsidP="006D271E">
            <w:pPr>
              <w:spacing w:before="40" w:after="40"/>
              <w:ind w:left="40" w:right="40"/>
              <w:rPr>
                <w:sz w:val="16"/>
                <w:szCs w:val="16"/>
              </w:rPr>
            </w:pPr>
            <w:r w:rsidRPr="006D271E">
              <w:rPr>
                <w:rFonts w:ascii="Arial" w:eastAsia="Arial" w:hAnsi="Arial" w:cs="Arial"/>
                <w:b/>
                <w:color w:val="111111"/>
                <w:sz w:val="16"/>
                <w:szCs w:val="16"/>
              </w:rPr>
              <w:t>Vinjete</w:t>
            </w:r>
          </w:p>
        </w:tc>
        <w:tc>
          <w:tcPr>
            <w:tcW w:w="0" w:type="auto"/>
            <w:shd w:val="clear" w:color="auto" w:fill="B0E3FB"/>
            <w:tcMar>
              <w:top w:w="0" w:type="dxa"/>
              <w:left w:w="0" w:type="dxa"/>
              <w:bottom w:w="0" w:type="dxa"/>
              <w:right w:w="0" w:type="dxa"/>
            </w:tcMar>
            <w:vAlign w:val="center"/>
          </w:tcPr>
          <w:p w14:paraId="2F8D40B8"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8F89E1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151</w:t>
            </w:r>
          </w:p>
        </w:tc>
        <w:tc>
          <w:tcPr>
            <w:tcW w:w="0" w:type="auto"/>
            <w:shd w:val="clear" w:color="auto" w:fill="B0E3FB"/>
            <w:tcMar>
              <w:top w:w="0" w:type="dxa"/>
              <w:left w:w="0" w:type="dxa"/>
              <w:bottom w:w="0" w:type="dxa"/>
              <w:right w:w="0" w:type="dxa"/>
            </w:tcMar>
            <w:vAlign w:val="center"/>
          </w:tcPr>
          <w:p w14:paraId="54D5007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-7,9</w:t>
            </w:r>
          </w:p>
        </w:tc>
        <w:tc>
          <w:tcPr>
            <w:tcW w:w="0" w:type="auto"/>
            <w:shd w:val="clear" w:color="auto" w:fill="B0E3FB"/>
            <w:tcMar>
              <w:top w:w="0" w:type="dxa"/>
              <w:left w:w="0" w:type="dxa"/>
              <w:bottom w:w="0" w:type="dxa"/>
              <w:right w:w="0" w:type="dxa"/>
            </w:tcMar>
            <w:vAlign w:val="center"/>
          </w:tcPr>
          <w:p w14:paraId="0A7FAC9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151</w:t>
            </w:r>
          </w:p>
        </w:tc>
        <w:tc>
          <w:tcPr>
            <w:tcW w:w="0" w:type="auto"/>
            <w:shd w:val="clear" w:color="auto" w:fill="B0E3FB"/>
            <w:tcMar>
              <w:top w:w="0" w:type="dxa"/>
              <w:left w:w="0" w:type="dxa"/>
              <w:bottom w:w="0" w:type="dxa"/>
              <w:right w:w="0" w:type="dxa"/>
            </w:tcMar>
            <w:vAlign w:val="center"/>
          </w:tcPr>
          <w:p w14:paraId="5F0D3B7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r>
      <w:tr w:rsidR="006D271E" w:rsidRPr="006D271E" w14:paraId="1423FC4D" w14:textId="77777777">
        <w:trPr>
          <w:cantSplit/>
          <w:jc w:val="center"/>
        </w:trPr>
        <w:tc>
          <w:tcPr>
            <w:tcW w:w="0" w:type="auto"/>
            <w:shd w:val="clear" w:color="auto" w:fill="FFFFFF"/>
            <w:tcMar>
              <w:top w:w="0" w:type="dxa"/>
              <w:left w:w="0" w:type="dxa"/>
              <w:bottom w:w="0" w:type="dxa"/>
              <w:right w:w="0" w:type="dxa"/>
            </w:tcMar>
            <w:vAlign w:val="center"/>
          </w:tcPr>
          <w:p w14:paraId="0271604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5286B73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Dodatek za veliko družino</w:t>
            </w:r>
            <w:r>
              <w:rPr>
                <w:rFonts w:ascii="Arial" w:eastAsia="Arial" w:hAnsi="Arial" w:cs="Arial"/>
                <w:b/>
                <w:color w:val="111111"/>
                <w:sz w:val="16"/>
                <w:szCs w:val="16"/>
              </w:rPr>
              <w:t>*</w:t>
            </w:r>
          </w:p>
        </w:tc>
        <w:tc>
          <w:tcPr>
            <w:tcW w:w="0" w:type="auto"/>
            <w:shd w:val="clear" w:color="auto" w:fill="FFFFFF"/>
            <w:tcMar>
              <w:top w:w="0" w:type="dxa"/>
              <w:left w:w="0" w:type="dxa"/>
              <w:bottom w:w="0" w:type="dxa"/>
              <w:right w:w="0" w:type="dxa"/>
            </w:tcMar>
            <w:vAlign w:val="center"/>
          </w:tcPr>
          <w:p w14:paraId="152FA0C3"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F3712E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739</w:t>
            </w:r>
          </w:p>
        </w:tc>
        <w:tc>
          <w:tcPr>
            <w:tcW w:w="0" w:type="auto"/>
            <w:shd w:val="clear" w:color="auto" w:fill="FFFFFF"/>
            <w:tcMar>
              <w:top w:w="0" w:type="dxa"/>
              <w:left w:w="0" w:type="dxa"/>
              <w:bottom w:w="0" w:type="dxa"/>
              <w:right w:w="0" w:type="dxa"/>
            </w:tcMar>
            <w:vAlign w:val="center"/>
          </w:tcPr>
          <w:p w14:paraId="5EDD45B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-97,4</w:t>
            </w:r>
          </w:p>
        </w:tc>
        <w:tc>
          <w:tcPr>
            <w:tcW w:w="0" w:type="auto"/>
            <w:shd w:val="clear" w:color="auto" w:fill="FFFFFF"/>
            <w:tcMar>
              <w:top w:w="0" w:type="dxa"/>
              <w:left w:w="0" w:type="dxa"/>
              <w:bottom w:w="0" w:type="dxa"/>
              <w:right w:w="0" w:type="dxa"/>
            </w:tcMar>
            <w:vAlign w:val="center"/>
          </w:tcPr>
          <w:p w14:paraId="69C86BD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155</w:t>
            </w:r>
          </w:p>
        </w:tc>
        <w:tc>
          <w:tcPr>
            <w:tcW w:w="0" w:type="auto"/>
            <w:shd w:val="clear" w:color="auto" w:fill="FFFFFF"/>
            <w:tcMar>
              <w:top w:w="0" w:type="dxa"/>
              <w:left w:w="0" w:type="dxa"/>
              <w:bottom w:w="0" w:type="dxa"/>
              <w:right w:w="0" w:type="dxa"/>
            </w:tcMar>
            <w:vAlign w:val="center"/>
          </w:tcPr>
          <w:p w14:paraId="48DE530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-58,7</w:t>
            </w:r>
          </w:p>
        </w:tc>
      </w:tr>
      <w:tr w:rsidR="006D271E" w:rsidRPr="006D271E" w14:paraId="565A1506" w14:textId="77777777">
        <w:trPr>
          <w:cantSplit/>
          <w:jc w:val="center"/>
        </w:trPr>
        <w:tc>
          <w:tcPr>
            <w:tcW w:w="0" w:type="auto"/>
            <w:shd w:val="clear" w:color="auto" w:fill="B0E3FB"/>
            <w:tcMar>
              <w:top w:w="0" w:type="dxa"/>
              <w:left w:w="0" w:type="dxa"/>
              <w:bottom w:w="0" w:type="dxa"/>
              <w:right w:w="0" w:type="dxa"/>
            </w:tcMar>
            <w:vAlign w:val="center"/>
          </w:tcPr>
          <w:p w14:paraId="4392D7C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36C19BF"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Rejnine</w:t>
            </w:r>
          </w:p>
        </w:tc>
        <w:tc>
          <w:tcPr>
            <w:tcW w:w="0" w:type="auto"/>
            <w:shd w:val="clear" w:color="auto" w:fill="B0E3FB"/>
            <w:tcMar>
              <w:top w:w="0" w:type="dxa"/>
              <w:left w:w="0" w:type="dxa"/>
              <w:bottom w:w="0" w:type="dxa"/>
              <w:right w:w="0" w:type="dxa"/>
            </w:tcMar>
            <w:vAlign w:val="center"/>
          </w:tcPr>
          <w:p w14:paraId="1524A049"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B0E3FB"/>
            <w:tcMar>
              <w:top w:w="0" w:type="dxa"/>
              <w:left w:w="0" w:type="dxa"/>
              <w:bottom w:w="0" w:type="dxa"/>
              <w:right w:w="0" w:type="dxa"/>
            </w:tcMar>
            <w:vAlign w:val="center"/>
          </w:tcPr>
          <w:p w14:paraId="3925D99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823</w:t>
            </w:r>
          </w:p>
        </w:tc>
        <w:tc>
          <w:tcPr>
            <w:tcW w:w="0" w:type="auto"/>
            <w:shd w:val="clear" w:color="auto" w:fill="B0E3FB"/>
            <w:tcMar>
              <w:top w:w="0" w:type="dxa"/>
              <w:left w:w="0" w:type="dxa"/>
              <w:bottom w:w="0" w:type="dxa"/>
              <w:right w:w="0" w:type="dxa"/>
            </w:tcMar>
            <w:vAlign w:val="center"/>
          </w:tcPr>
          <w:p w14:paraId="7C18BA0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-3,6</w:t>
            </w:r>
          </w:p>
        </w:tc>
        <w:tc>
          <w:tcPr>
            <w:tcW w:w="0" w:type="auto"/>
            <w:shd w:val="clear" w:color="auto" w:fill="B0E3FB"/>
            <w:tcMar>
              <w:top w:w="0" w:type="dxa"/>
              <w:left w:w="0" w:type="dxa"/>
              <w:bottom w:w="0" w:type="dxa"/>
              <w:right w:w="0" w:type="dxa"/>
            </w:tcMar>
            <w:vAlign w:val="center"/>
          </w:tcPr>
          <w:p w14:paraId="5BA6D39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820</w:t>
            </w:r>
          </w:p>
        </w:tc>
        <w:tc>
          <w:tcPr>
            <w:tcW w:w="0" w:type="auto"/>
            <w:shd w:val="clear" w:color="auto" w:fill="B0E3FB"/>
            <w:tcMar>
              <w:top w:w="0" w:type="dxa"/>
              <w:left w:w="0" w:type="dxa"/>
              <w:bottom w:w="0" w:type="dxa"/>
              <w:right w:w="0" w:type="dxa"/>
            </w:tcMar>
            <w:vAlign w:val="center"/>
          </w:tcPr>
          <w:p w14:paraId="2A10820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-3,5</w:t>
            </w:r>
          </w:p>
        </w:tc>
      </w:tr>
      <w:tr w:rsidR="006D271E" w:rsidRPr="006D271E" w14:paraId="03BBE659" w14:textId="77777777">
        <w:trPr>
          <w:cantSplit/>
          <w:jc w:val="center"/>
        </w:trPr>
        <w:tc>
          <w:tcPr>
            <w:tcW w:w="0" w:type="auto"/>
            <w:shd w:val="clear" w:color="auto" w:fill="FFFFFF"/>
            <w:tcMar>
              <w:top w:w="0" w:type="dxa"/>
              <w:left w:w="0" w:type="dxa"/>
              <w:bottom w:w="0" w:type="dxa"/>
              <w:right w:w="0" w:type="dxa"/>
            </w:tcMar>
            <w:vAlign w:val="center"/>
          </w:tcPr>
          <w:p w14:paraId="58E55B0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71E1D8D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Plačilo prispevkov (4 ali več otrok)</w:t>
            </w:r>
          </w:p>
        </w:tc>
        <w:tc>
          <w:tcPr>
            <w:tcW w:w="0" w:type="auto"/>
            <w:shd w:val="clear" w:color="auto" w:fill="FFFFFF"/>
            <w:tcMar>
              <w:top w:w="0" w:type="dxa"/>
              <w:left w:w="0" w:type="dxa"/>
              <w:bottom w:w="0" w:type="dxa"/>
              <w:right w:w="0" w:type="dxa"/>
            </w:tcMar>
            <w:vAlign w:val="center"/>
          </w:tcPr>
          <w:p w14:paraId="0048538D"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71B9F88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944</w:t>
            </w:r>
          </w:p>
        </w:tc>
        <w:tc>
          <w:tcPr>
            <w:tcW w:w="0" w:type="auto"/>
            <w:shd w:val="clear" w:color="auto" w:fill="FFFFFF"/>
            <w:tcMar>
              <w:top w:w="0" w:type="dxa"/>
              <w:left w:w="0" w:type="dxa"/>
              <w:bottom w:w="0" w:type="dxa"/>
              <w:right w:w="0" w:type="dxa"/>
            </w:tcMar>
            <w:vAlign w:val="center"/>
          </w:tcPr>
          <w:p w14:paraId="0681192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-5,7</w:t>
            </w:r>
          </w:p>
        </w:tc>
        <w:tc>
          <w:tcPr>
            <w:tcW w:w="0" w:type="auto"/>
            <w:shd w:val="clear" w:color="auto" w:fill="FFFFFF"/>
            <w:tcMar>
              <w:top w:w="0" w:type="dxa"/>
              <w:left w:w="0" w:type="dxa"/>
              <w:bottom w:w="0" w:type="dxa"/>
              <w:right w:w="0" w:type="dxa"/>
            </w:tcMar>
            <w:vAlign w:val="center"/>
          </w:tcPr>
          <w:p w14:paraId="21AE026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942</w:t>
            </w:r>
          </w:p>
        </w:tc>
        <w:tc>
          <w:tcPr>
            <w:tcW w:w="0" w:type="auto"/>
            <w:shd w:val="clear" w:color="auto" w:fill="FFFFFF"/>
            <w:tcMar>
              <w:top w:w="0" w:type="dxa"/>
              <w:left w:w="0" w:type="dxa"/>
              <w:bottom w:w="0" w:type="dxa"/>
              <w:right w:w="0" w:type="dxa"/>
            </w:tcMar>
            <w:vAlign w:val="center"/>
          </w:tcPr>
          <w:p w14:paraId="2B9EBCC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-5,8</w:t>
            </w:r>
          </w:p>
        </w:tc>
      </w:tr>
      <w:tr w:rsidR="006D271E" w:rsidRPr="006D271E" w14:paraId="5D1C6069" w14:textId="77777777">
        <w:trPr>
          <w:cantSplit/>
          <w:jc w:val="center"/>
        </w:trPr>
        <w:tc>
          <w:tcPr>
            <w:tcW w:w="0" w:type="auto"/>
            <w:shd w:val="clear" w:color="auto" w:fill="B0E3FB"/>
            <w:tcMar>
              <w:top w:w="0" w:type="dxa"/>
              <w:left w:w="0" w:type="dxa"/>
              <w:bottom w:w="0" w:type="dxa"/>
              <w:right w:w="0" w:type="dxa"/>
            </w:tcMar>
            <w:vAlign w:val="center"/>
          </w:tcPr>
          <w:p w14:paraId="5A809A9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12B70D1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Starševski dodatek</w:t>
            </w:r>
          </w:p>
        </w:tc>
        <w:tc>
          <w:tcPr>
            <w:tcW w:w="0" w:type="auto"/>
            <w:shd w:val="clear" w:color="auto" w:fill="B0E3FB"/>
            <w:tcMar>
              <w:top w:w="0" w:type="dxa"/>
              <w:left w:w="0" w:type="dxa"/>
              <w:bottom w:w="0" w:type="dxa"/>
              <w:right w:w="0" w:type="dxa"/>
            </w:tcMar>
            <w:vAlign w:val="center"/>
          </w:tcPr>
          <w:p w14:paraId="137DDF5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EEE822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2.720</w:t>
            </w:r>
          </w:p>
        </w:tc>
        <w:tc>
          <w:tcPr>
            <w:tcW w:w="0" w:type="auto"/>
            <w:shd w:val="clear" w:color="auto" w:fill="B0E3FB"/>
            <w:tcMar>
              <w:top w:w="0" w:type="dxa"/>
              <w:left w:w="0" w:type="dxa"/>
              <w:bottom w:w="0" w:type="dxa"/>
              <w:right w:w="0" w:type="dxa"/>
            </w:tcMar>
            <w:vAlign w:val="center"/>
          </w:tcPr>
          <w:p w14:paraId="7F03A85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5,9</w:t>
            </w:r>
          </w:p>
        </w:tc>
        <w:tc>
          <w:tcPr>
            <w:tcW w:w="0" w:type="auto"/>
            <w:shd w:val="clear" w:color="auto" w:fill="B0E3FB"/>
            <w:tcMar>
              <w:top w:w="0" w:type="dxa"/>
              <w:left w:w="0" w:type="dxa"/>
              <w:bottom w:w="0" w:type="dxa"/>
              <w:right w:w="0" w:type="dxa"/>
            </w:tcMar>
            <w:vAlign w:val="center"/>
          </w:tcPr>
          <w:p w14:paraId="4A5E2F2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2.670</w:t>
            </w:r>
          </w:p>
        </w:tc>
        <w:tc>
          <w:tcPr>
            <w:tcW w:w="0" w:type="auto"/>
            <w:shd w:val="clear" w:color="auto" w:fill="B0E3FB"/>
            <w:tcMar>
              <w:top w:w="0" w:type="dxa"/>
              <w:left w:w="0" w:type="dxa"/>
              <w:bottom w:w="0" w:type="dxa"/>
              <w:right w:w="0" w:type="dxa"/>
            </w:tcMar>
            <w:vAlign w:val="center"/>
          </w:tcPr>
          <w:p w14:paraId="1A44D14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2,9</w:t>
            </w:r>
          </w:p>
        </w:tc>
      </w:tr>
      <w:tr w:rsidR="006D271E" w:rsidRPr="006D271E" w14:paraId="5E842CB2" w14:textId="77777777">
        <w:trPr>
          <w:cantSplit/>
          <w:jc w:val="center"/>
        </w:trPr>
        <w:tc>
          <w:tcPr>
            <w:tcW w:w="0" w:type="auto"/>
            <w:shd w:val="clear" w:color="auto" w:fill="FFFFFF"/>
            <w:tcMar>
              <w:top w:w="0" w:type="dxa"/>
              <w:left w:w="0" w:type="dxa"/>
              <w:bottom w:w="0" w:type="dxa"/>
              <w:right w:w="0" w:type="dxa"/>
            </w:tcMar>
            <w:vAlign w:val="center"/>
          </w:tcPr>
          <w:p w14:paraId="24AB860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63413A8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Pomoč ob rojstvu otroka</w:t>
            </w:r>
            <w:r>
              <w:rPr>
                <w:rFonts w:ascii="Arial" w:eastAsia="Arial" w:hAnsi="Arial" w:cs="Arial"/>
                <w:b/>
                <w:color w:val="111111"/>
                <w:sz w:val="16"/>
                <w:szCs w:val="16"/>
              </w:rPr>
              <w:t>*</w:t>
            </w:r>
          </w:p>
        </w:tc>
        <w:tc>
          <w:tcPr>
            <w:tcW w:w="0" w:type="auto"/>
            <w:shd w:val="clear" w:color="auto" w:fill="FFFFFF"/>
            <w:tcMar>
              <w:top w:w="0" w:type="dxa"/>
              <w:left w:w="0" w:type="dxa"/>
              <w:bottom w:w="0" w:type="dxa"/>
              <w:right w:w="0" w:type="dxa"/>
            </w:tcMar>
            <w:vAlign w:val="center"/>
          </w:tcPr>
          <w:p w14:paraId="586FC055"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23274E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5.146</w:t>
            </w:r>
          </w:p>
        </w:tc>
        <w:tc>
          <w:tcPr>
            <w:tcW w:w="0" w:type="auto"/>
            <w:shd w:val="clear" w:color="auto" w:fill="FFFFFF"/>
            <w:tcMar>
              <w:top w:w="0" w:type="dxa"/>
              <w:left w:w="0" w:type="dxa"/>
              <w:bottom w:w="0" w:type="dxa"/>
              <w:right w:w="0" w:type="dxa"/>
            </w:tcMar>
            <w:vAlign w:val="center"/>
          </w:tcPr>
          <w:p w14:paraId="74BC0E6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49,0</w:t>
            </w:r>
          </w:p>
        </w:tc>
        <w:tc>
          <w:tcPr>
            <w:tcW w:w="0" w:type="auto"/>
            <w:shd w:val="clear" w:color="auto" w:fill="FFFFFF"/>
            <w:tcMar>
              <w:top w:w="0" w:type="dxa"/>
              <w:left w:w="0" w:type="dxa"/>
              <w:bottom w:w="0" w:type="dxa"/>
              <w:right w:w="0" w:type="dxa"/>
            </w:tcMar>
            <w:vAlign w:val="center"/>
          </w:tcPr>
          <w:p w14:paraId="6D812D4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1.577</w:t>
            </w:r>
          </w:p>
        </w:tc>
        <w:tc>
          <w:tcPr>
            <w:tcW w:w="0" w:type="auto"/>
            <w:shd w:val="clear" w:color="auto" w:fill="FFFFFF"/>
            <w:tcMar>
              <w:top w:w="0" w:type="dxa"/>
              <w:left w:w="0" w:type="dxa"/>
              <w:bottom w:w="0" w:type="dxa"/>
              <w:right w:w="0" w:type="dxa"/>
            </w:tcMar>
            <w:vAlign w:val="center"/>
          </w:tcPr>
          <w:p w14:paraId="0FB2EEE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-9,7</w:t>
            </w:r>
          </w:p>
        </w:tc>
      </w:tr>
      <w:tr w:rsidR="006D271E" w:rsidRPr="006D271E" w14:paraId="46E3019C" w14:textId="77777777">
        <w:trPr>
          <w:cantSplit/>
          <w:jc w:val="center"/>
        </w:trPr>
        <w:tc>
          <w:tcPr>
            <w:tcW w:w="0" w:type="auto"/>
            <w:shd w:val="clear" w:color="auto" w:fill="B0E3FB"/>
            <w:tcMar>
              <w:top w:w="0" w:type="dxa"/>
              <w:left w:w="0" w:type="dxa"/>
              <w:bottom w:w="0" w:type="dxa"/>
              <w:right w:w="0" w:type="dxa"/>
            </w:tcMar>
            <w:vAlign w:val="center"/>
          </w:tcPr>
          <w:p w14:paraId="0FB3908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6BBE859" w14:textId="77777777" w:rsidR="009813B9" w:rsidRPr="006D271E" w:rsidRDefault="006D271E" w:rsidP="006D271E">
            <w:pPr>
              <w:spacing w:before="40" w:after="40"/>
              <w:ind w:left="40" w:right="40"/>
              <w:rPr>
                <w:sz w:val="16"/>
                <w:szCs w:val="16"/>
              </w:rPr>
            </w:pPr>
            <w:r w:rsidRPr="006D271E">
              <w:rPr>
                <w:rFonts w:ascii="Arial" w:eastAsia="Arial" w:hAnsi="Arial" w:cs="Arial"/>
                <w:b/>
                <w:color w:val="111111"/>
                <w:sz w:val="16"/>
                <w:szCs w:val="16"/>
              </w:rPr>
              <w:t>Štipendije sklada</w:t>
            </w:r>
          </w:p>
        </w:tc>
        <w:tc>
          <w:tcPr>
            <w:tcW w:w="0" w:type="auto"/>
            <w:shd w:val="clear" w:color="auto" w:fill="B0E3FB"/>
            <w:tcMar>
              <w:top w:w="0" w:type="dxa"/>
              <w:left w:w="0" w:type="dxa"/>
              <w:bottom w:w="0" w:type="dxa"/>
              <w:right w:w="0" w:type="dxa"/>
            </w:tcMar>
            <w:vAlign w:val="center"/>
          </w:tcPr>
          <w:p w14:paraId="21CD9AB7"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67B5260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8.718</w:t>
            </w:r>
          </w:p>
        </w:tc>
        <w:tc>
          <w:tcPr>
            <w:tcW w:w="0" w:type="auto"/>
            <w:shd w:val="clear" w:color="auto" w:fill="B0E3FB"/>
            <w:tcMar>
              <w:top w:w="0" w:type="dxa"/>
              <w:left w:w="0" w:type="dxa"/>
              <w:bottom w:w="0" w:type="dxa"/>
              <w:right w:w="0" w:type="dxa"/>
            </w:tcMar>
            <w:vAlign w:val="center"/>
          </w:tcPr>
          <w:p w14:paraId="2B81130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5,1</w:t>
            </w:r>
          </w:p>
        </w:tc>
        <w:tc>
          <w:tcPr>
            <w:tcW w:w="0" w:type="auto"/>
            <w:shd w:val="clear" w:color="auto" w:fill="B0E3FB"/>
            <w:tcMar>
              <w:top w:w="0" w:type="dxa"/>
              <w:left w:w="0" w:type="dxa"/>
              <w:bottom w:w="0" w:type="dxa"/>
              <w:right w:w="0" w:type="dxa"/>
            </w:tcMar>
            <w:vAlign w:val="center"/>
          </w:tcPr>
          <w:p w14:paraId="11C361F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8.910</w:t>
            </w:r>
          </w:p>
        </w:tc>
        <w:tc>
          <w:tcPr>
            <w:tcW w:w="0" w:type="auto"/>
            <w:shd w:val="clear" w:color="auto" w:fill="B0E3FB"/>
            <w:tcMar>
              <w:top w:w="0" w:type="dxa"/>
              <w:left w:w="0" w:type="dxa"/>
              <w:bottom w:w="0" w:type="dxa"/>
              <w:right w:w="0" w:type="dxa"/>
            </w:tcMar>
            <w:vAlign w:val="center"/>
          </w:tcPr>
          <w:p w14:paraId="0F90F3B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7,4</w:t>
            </w:r>
          </w:p>
        </w:tc>
      </w:tr>
      <w:tr w:rsidR="006D271E" w:rsidRPr="006D271E" w14:paraId="6C75FB39" w14:textId="77777777">
        <w:trPr>
          <w:cantSplit/>
          <w:jc w:val="center"/>
        </w:trPr>
        <w:tc>
          <w:tcPr>
            <w:tcW w:w="0" w:type="auto"/>
            <w:shd w:val="clear" w:color="auto" w:fill="FFFFFF"/>
            <w:tcMar>
              <w:top w:w="0" w:type="dxa"/>
              <w:left w:w="0" w:type="dxa"/>
              <w:bottom w:w="0" w:type="dxa"/>
              <w:right w:w="0" w:type="dxa"/>
            </w:tcMar>
            <w:vAlign w:val="center"/>
          </w:tcPr>
          <w:p w14:paraId="0DC18BC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551B029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Krajši delovni čas</w:t>
            </w:r>
          </w:p>
        </w:tc>
        <w:tc>
          <w:tcPr>
            <w:tcW w:w="0" w:type="auto"/>
            <w:shd w:val="clear" w:color="auto" w:fill="FFFFFF"/>
            <w:tcMar>
              <w:top w:w="0" w:type="dxa"/>
              <w:left w:w="0" w:type="dxa"/>
              <w:bottom w:w="0" w:type="dxa"/>
              <w:right w:w="0" w:type="dxa"/>
            </w:tcMar>
            <w:vAlign w:val="center"/>
          </w:tcPr>
          <w:p w14:paraId="083E48E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587F595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13.024</w:t>
            </w:r>
          </w:p>
        </w:tc>
        <w:tc>
          <w:tcPr>
            <w:tcW w:w="0" w:type="auto"/>
            <w:shd w:val="clear" w:color="auto" w:fill="FFFFFF"/>
            <w:tcMar>
              <w:top w:w="0" w:type="dxa"/>
              <w:left w:w="0" w:type="dxa"/>
              <w:bottom w:w="0" w:type="dxa"/>
              <w:right w:w="0" w:type="dxa"/>
            </w:tcMar>
            <w:vAlign w:val="center"/>
          </w:tcPr>
          <w:p w14:paraId="2892A0B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-10,0</w:t>
            </w:r>
          </w:p>
        </w:tc>
        <w:tc>
          <w:tcPr>
            <w:tcW w:w="0" w:type="auto"/>
            <w:shd w:val="clear" w:color="auto" w:fill="FFFFFF"/>
            <w:tcMar>
              <w:top w:w="0" w:type="dxa"/>
              <w:left w:w="0" w:type="dxa"/>
              <w:bottom w:w="0" w:type="dxa"/>
              <w:right w:w="0" w:type="dxa"/>
            </w:tcMar>
            <w:vAlign w:val="center"/>
          </w:tcPr>
          <w:p w14:paraId="1C2C64F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13.132</w:t>
            </w:r>
          </w:p>
        </w:tc>
        <w:tc>
          <w:tcPr>
            <w:tcW w:w="0" w:type="auto"/>
            <w:shd w:val="clear" w:color="auto" w:fill="FFFFFF"/>
            <w:tcMar>
              <w:top w:w="0" w:type="dxa"/>
              <w:left w:w="0" w:type="dxa"/>
              <w:bottom w:w="0" w:type="dxa"/>
              <w:right w:w="0" w:type="dxa"/>
            </w:tcMar>
            <w:vAlign w:val="center"/>
          </w:tcPr>
          <w:p w14:paraId="6E2A6BC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-9,8</w:t>
            </w:r>
          </w:p>
        </w:tc>
      </w:tr>
      <w:tr w:rsidR="006D271E" w:rsidRPr="006D271E" w14:paraId="7334234E" w14:textId="77777777">
        <w:trPr>
          <w:cantSplit/>
          <w:jc w:val="center"/>
        </w:trPr>
        <w:tc>
          <w:tcPr>
            <w:tcW w:w="0" w:type="auto"/>
            <w:shd w:val="clear" w:color="auto" w:fill="B0E3FB"/>
            <w:tcMar>
              <w:top w:w="0" w:type="dxa"/>
              <w:left w:w="0" w:type="dxa"/>
              <w:bottom w:w="0" w:type="dxa"/>
              <w:right w:w="0" w:type="dxa"/>
            </w:tcMar>
            <w:vAlign w:val="center"/>
          </w:tcPr>
          <w:p w14:paraId="0533A7A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29B290F3" w14:textId="77777777" w:rsidR="009813B9" w:rsidRPr="006D271E" w:rsidRDefault="006D271E" w:rsidP="006D271E">
            <w:pPr>
              <w:spacing w:before="40" w:after="40"/>
              <w:ind w:left="40" w:right="40"/>
              <w:rPr>
                <w:sz w:val="16"/>
                <w:szCs w:val="16"/>
              </w:rPr>
            </w:pPr>
            <w:r w:rsidRPr="006D271E">
              <w:rPr>
                <w:rFonts w:ascii="Arial" w:eastAsia="Arial" w:hAnsi="Arial" w:cs="Arial"/>
                <w:b/>
                <w:color w:val="111111"/>
                <w:sz w:val="16"/>
                <w:szCs w:val="16"/>
              </w:rPr>
              <w:t>Starševski dopusti in nadomestila</w:t>
            </w:r>
          </w:p>
        </w:tc>
        <w:tc>
          <w:tcPr>
            <w:tcW w:w="0" w:type="auto"/>
            <w:shd w:val="clear" w:color="auto" w:fill="B0E3FB"/>
            <w:tcMar>
              <w:top w:w="0" w:type="dxa"/>
              <w:left w:w="0" w:type="dxa"/>
              <w:bottom w:w="0" w:type="dxa"/>
              <w:right w:w="0" w:type="dxa"/>
            </w:tcMar>
            <w:vAlign w:val="center"/>
          </w:tcPr>
          <w:p w14:paraId="426F7C5D"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4A02DD9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20.437</w:t>
            </w:r>
          </w:p>
        </w:tc>
        <w:tc>
          <w:tcPr>
            <w:tcW w:w="0" w:type="auto"/>
            <w:shd w:val="clear" w:color="auto" w:fill="B0E3FB"/>
            <w:tcMar>
              <w:top w:w="0" w:type="dxa"/>
              <w:left w:w="0" w:type="dxa"/>
              <w:bottom w:w="0" w:type="dxa"/>
              <w:right w:w="0" w:type="dxa"/>
            </w:tcMar>
            <w:vAlign w:val="center"/>
          </w:tcPr>
          <w:p w14:paraId="6AFADF1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-4,3</w:t>
            </w:r>
          </w:p>
        </w:tc>
        <w:tc>
          <w:tcPr>
            <w:tcW w:w="0" w:type="auto"/>
            <w:shd w:val="clear" w:color="auto" w:fill="B0E3FB"/>
            <w:tcMar>
              <w:top w:w="0" w:type="dxa"/>
              <w:left w:w="0" w:type="dxa"/>
              <w:bottom w:w="0" w:type="dxa"/>
              <w:right w:w="0" w:type="dxa"/>
            </w:tcMar>
            <w:vAlign w:val="center"/>
          </w:tcPr>
          <w:p w14:paraId="354D3FE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20.226</w:t>
            </w:r>
          </w:p>
        </w:tc>
        <w:tc>
          <w:tcPr>
            <w:tcW w:w="0" w:type="auto"/>
            <w:shd w:val="clear" w:color="auto" w:fill="B0E3FB"/>
            <w:tcMar>
              <w:top w:w="0" w:type="dxa"/>
              <w:left w:w="0" w:type="dxa"/>
              <w:bottom w:w="0" w:type="dxa"/>
              <w:right w:w="0" w:type="dxa"/>
            </w:tcMar>
            <w:vAlign w:val="center"/>
          </w:tcPr>
          <w:p w14:paraId="6F999D4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-3,9</w:t>
            </w:r>
          </w:p>
        </w:tc>
      </w:tr>
      <w:tr w:rsidR="006D271E" w:rsidRPr="006D271E" w14:paraId="575D1570" w14:textId="77777777">
        <w:trPr>
          <w:cantSplit/>
          <w:jc w:val="center"/>
        </w:trPr>
        <w:tc>
          <w:tcPr>
            <w:tcW w:w="0" w:type="auto"/>
            <w:shd w:val="clear" w:color="auto" w:fill="FFFFFF"/>
            <w:tcMar>
              <w:top w:w="0" w:type="dxa"/>
              <w:left w:w="0" w:type="dxa"/>
              <w:bottom w:w="0" w:type="dxa"/>
              <w:right w:w="0" w:type="dxa"/>
            </w:tcMar>
            <w:vAlign w:val="center"/>
          </w:tcPr>
          <w:p w14:paraId="323B584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9B5854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Državna štipendija</w:t>
            </w:r>
          </w:p>
        </w:tc>
        <w:tc>
          <w:tcPr>
            <w:tcW w:w="0" w:type="auto"/>
            <w:shd w:val="clear" w:color="auto" w:fill="FFFFFF"/>
            <w:tcMar>
              <w:top w:w="0" w:type="dxa"/>
              <w:left w:w="0" w:type="dxa"/>
              <w:bottom w:w="0" w:type="dxa"/>
              <w:right w:w="0" w:type="dxa"/>
            </w:tcMar>
            <w:vAlign w:val="center"/>
          </w:tcPr>
          <w:p w14:paraId="33C63867"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66E91D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55.129</w:t>
            </w:r>
          </w:p>
        </w:tc>
        <w:tc>
          <w:tcPr>
            <w:tcW w:w="0" w:type="auto"/>
            <w:shd w:val="clear" w:color="auto" w:fill="FFFFFF"/>
            <w:tcMar>
              <w:top w:w="0" w:type="dxa"/>
              <w:left w:w="0" w:type="dxa"/>
              <w:bottom w:w="0" w:type="dxa"/>
              <w:right w:w="0" w:type="dxa"/>
            </w:tcMar>
            <w:vAlign w:val="center"/>
          </w:tcPr>
          <w:p w14:paraId="6ADD0D4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-0,5</w:t>
            </w:r>
          </w:p>
        </w:tc>
        <w:tc>
          <w:tcPr>
            <w:tcW w:w="0" w:type="auto"/>
            <w:shd w:val="clear" w:color="auto" w:fill="FFFFFF"/>
            <w:tcMar>
              <w:top w:w="0" w:type="dxa"/>
              <w:left w:w="0" w:type="dxa"/>
              <w:bottom w:w="0" w:type="dxa"/>
              <w:right w:w="0" w:type="dxa"/>
            </w:tcMar>
            <w:vAlign w:val="center"/>
          </w:tcPr>
          <w:p w14:paraId="3D53AE3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55.202</w:t>
            </w:r>
          </w:p>
        </w:tc>
        <w:tc>
          <w:tcPr>
            <w:tcW w:w="0" w:type="auto"/>
            <w:shd w:val="clear" w:color="auto" w:fill="FFFFFF"/>
            <w:tcMar>
              <w:top w:w="0" w:type="dxa"/>
              <w:left w:w="0" w:type="dxa"/>
              <w:bottom w:w="0" w:type="dxa"/>
              <w:right w:w="0" w:type="dxa"/>
            </w:tcMar>
            <w:vAlign w:val="center"/>
          </w:tcPr>
          <w:p w14:paraId="4E4F683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-0,5</w:t>
            </w:r>
          </w:p>
        </w:tc>
      </w:tr>
      <w:tr w:rsidR="006D271E" w:rsidRPr="006D271E" w14:paraId="46CB2B90" w14:textId="77777777">
        <w:trPr>
          <w:cantSplit/>
          <w:jc w:val="center"/>
        </w:trPr>
        <w:tc>
          <w:tcPr>
            <w:tcW w:w="0" w:type="auto"/>
            <w:shd w:val="clear" w:color="auto" w:fill="B0E3FB"/>
            <w:tcMar>
              <w:top w:w="0" w:type="dxa"/>
              <w:left w:w="0" w:type="dxa"/>
              <w:bottom w:w="0" w:type="dxa"/>
              <w:right w:w="0" w:type="dxa"/>
            </w:tcMar>
            <w:vAlign w:val="center"/>
          </w:tcPr>
          <w:p w14:paraId="290C4A4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578A181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Subvencija vrtca</w:t>
            </w:r>
          </w:p>
        </w:tc>
        <w:tc>
          <w:tcPr>
            <w:tcW w:w="0" w:type="auto"/>
            <w:shd w:val="clear" w:color="auto" w:fill="B0E3FB"/>
            <w:tcMar>
              <w:top w:w="0" w:type="dxa"/>
              <w:left w:w="0" w:type="dxa"/>
              <w:bottom w:w="0" w:type="dxa"/>
              <w:right w:w="0" w:type="dxa"/>
            </w:tcMar>
            <w:vAlign w:val="center"/>
          </w:tcPr>
          <w:p w14:paraId="67CA7707"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5D45377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74.653</w:t>
            </w:r>
          </w:p>
        </w:tc>
        <w:tc>
          <w:tcPr>
            <w:tcW w:w="0" w:type="auto"/>
            <w:shd w:val="clear" w:color="auto" w:fill="B0E3FB"/>
            <w:tcMar>
              <w:top w:w="0" w:type="dxa"/>
              <w:left w:w="0" w:type="dxa"/>
              <w:bottom w:w="0" w:type="dxa"/>
              <w:right w:w="0" w:type="dxa"/>
            </w:tcMar>
            <w:vAlign w:val="center"/>
          </w:tcPr>
          <w:p w14:paraId="436E781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-1,0</w:t>
            </w:r>
          </w:p>
        </w:tc>
        <w:tc>
          <w:tcPr>
            <w:tcW w:w="0" w:type="auto"/>
            <w:shd w:val="clear" w:color="auto" w:fill="B0E3FB"/>
            <w:tcMar>
              <w:top w:w="0" w:type="dxa"/>
              <w:left w:w="0" w:type="dxa"/>
              <w:bottom w:w="0" w:type="dxa"/>
              <w:right w:w="0" w:type="dxa"/>
            </w:tcMar>
            <w:vAlign w:val="center"/>
          </w:tcPr>
          <w:p w14:paraId="0003229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74.646</w:t>
            </w:r>
          </w:p>
        </w:tc>
        <w:tc>
          <w:tcPr>
            <w:tcW w:w="0" w:type="auto"/>
            <w:shd w:val="clear" w:color="auto" w:fill="B0E3FB"/>
            <w:tcMar>
              <w:top w:w="0" w:type="dxa"/>
              <w:left w:w="0" w:type="dxa"/>
              <w:bottom w:w="0" w:type="dxa"/>
              <w:right w:w="0" w:type="dxa"/>
            </w:tcMar>
            <w:vAlign w:val="center"/>
          </w:tcPr>
          <w:p w14:paraId="1351DE5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-1,1</w:t>
            </w:r>
          </w:p>
        </w:tc>
      </w:tr>
      <w:tr w:rsidR="006D271E" w:rsidRPr="006D271E" w14:paraId="3403EA91" w14:textId="77777777">
        <w:trPr>
          <w:cantSplit/>
          <w:jc w:val="center"/>
        </w:trPr>
        <w:tc>
          <w:tcPr>
            <w:tcW w:w="0" w:type="auto"/>
            <w:shd w:val="clear" w:color="auto" w:fill="FFFFFF"/>
            <w:tcMar>
              <w:top w:w="0" w:type="dxa"/>
              <w:left w:w="0" w:type="dxa"/>
              <w:bottom w:w="0" w:type="dxa"/>
              <w:right w:w="0" w:type="dxa"/>
            </w:tcMar>
            <w:vAlign w:val="center"/>
          </w:tcPr>
          <w:p w14:paraId="7B52FBF4"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3998B07C"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Otroški dodatek</w:t>
            </w:r>
            <w:r w:rsidRPr="006D271E">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31B74DCE"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6030999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325.220</w:t>
            </w:r>
          </w:p>
        </w:tc>
        <w:tc>
          <w:tcPr>
            <w:tcW w:w="0" w:type="auto"/>
            <w:shd w:val="clear" w:color="auto" w:fill="FFFFFF"/>
            <w:tcMar>
              <w:top w:w="0" w:type="dxa"/>
              <w:left w:w="0" w:type="dxa"/>
              <w:bottom w:w="0" w:type="dxa"/>
              <w:right w:w="0" w:type="dxa"/>
            </w:tcMar>
            <w:vAlign w:val="center"/>
          </w:tcPr>
          <w:p w14:paraId="4382550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0,4</w:t>
            </w:r>
          </w:p>
        </w:tc>
        <w:tc>
          <w:tcPr>
            <w:tcW w:w="0" w:type="auto"/>
            <w:shd w:val="clear" w:color="auto" w:fill="FFFFFF"/>
            <w:tcMar>
              <w:top w:w="0" w:type="dxa"/>
              <w:left w:w="0" w:type="dxa"/>
              <w:bottom w:w="0" w:type="dxa"/>
              <w:right w:w="0" w:type="dxa"/>
            </w:tcMar>
            <w:vAlign w:val="center"/>
          </w:tcPr>
          <w:p w14:paraId="7A04FFC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325.146</w:t>
            </w:r>
          </w:p>
        </w:tc>
        <w:tc>
          <w:tcPr>
            <w:tcW w:w="0" w:type="auto"/>
            <w:shd w:val="clear" w:color="auto" w:fill="FFFFFF"/>
            <w:tcMar>
              <w:top w:w="0" w:type="dxa"/>
              <w:left w:w="0" w:type="dxa"/>
              <w:bottom w:w="0" w:type="dxa"/>
              <w:right w:w="0" w:type="dxa"/>
            </w:tcMar>
            <w:vAlign w:val="center"/>
          </w:tcPr>
          <w:p w14:paraId="2CD64AE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0,3</w:t>
            </w:r>
          </w:p>
        </w:tc>
      </w:tr>
      <w:tr w:rsidR="006D271E" w:rsidRPr="006D271E" w14:paraId="4870CB74" w14:textId="77777777">
        <w:trPr>
          <w:cantSplit/>
          <w:jc w:val="center"/>
        </w:trPr>
        <w:tc>
          <w:tcPr>
            <w:tcW w:w="0" w:type="auto"/>
            <w:shd w:val="clear" w:color="auto" w:fill="B0E3FB"/>
            <w:tcMar>
              <w:top w:w="0" w:type="dxa"/>
              <w:left w:w="0" w:type="dxa"/>
              <w:bottom w:w="0" w:type="dxa"/>
              <w:right w:w="0" w:type="dxa"/>
            </w:tcMar>
            <w:vAlign w:val="center"/>
          </w:tcPr>
          <w:p w14:paraId="154A7912"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5136A7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Dodatek za pomoč in postrežbo</w:t>
            </w:r>
          </w:p>
        </w:tc>
        <w:tc>
          <w:tcPr>
            <w:tcW w:w="0" w:type="auto"/>
            <w:shd w:val="clear" w:color="auto" w:fill="B0E3FB"/>
            <w:tcMar>
              <w:top w:w="0" w:type="dxa"/>
              <w:left w:w="0" w:type="dxa"/>
              <w:bottom w:w="0" w:type="dxa"/>
              <w:right w:w="0" w:type="dxa"/>
            </w:tcMar>
            <w:vAlign w:val="center"/>
          </w:tcPr>
          <w:p w14:paraId="34E79F7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34DE2C7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440</w:t>
            </w:r>
          </w:p>
        </w:tc>
        <w:tc>
          <w:tcPr>
            <w:tcW w:w="0" w:type="auto"/>
            <w:shd w:val="clear" w:color="auto" w:fill="B0E3FB"/>
            <w:tcMar>
              <w:top w:w="0" w:type="dxa"/>
              <w:left w:w="0" w:type="dxa"/>
              <w:bottom w:w="0" w:type="dxa"/>
              <w:right w:w="0" w:type="dxa"/>
            </w:tcMar>
            <w:vAlign w:val="center"/>
          </w:tcPr>
          <w:p w14:paraId="4A5DAC7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2,3</w:t>
            </w:r>
          </w:p>
        </w:tc>
        <w:tc>
          <w:tcPr>
            <w:tcW w:w="0" w:type="auto"/>
            <w:shd w:val="clear" w:color="auto" w:fill="B0E3FB"/>
            <w:tcMar>
              <w:top w:w="0" w:type="dxa"/>
              <w:left w:w="0" w:type="dxa"/>
              <w:bottom w:w="0" w:type="dxa"/>
              <w:right w:w="0" w:type="dxa"/>
            </w:tcMar>
            <w:vAlign w:val="center"/>
          </w:tcPr>
          <w:p w14:paraId="06AD86F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436</w:t>
            </w:r>
          </w:p>
        </w:tc>
        <w:tc>
          <w:tcPr>
            <w:tcW w:w="0" w:type="auto"/>
            <w:shd w:val="clear" w:color="auto" w:fill="B0E3FB"/>
            <w:tcMar>
              <w:top w:w="0" w:type="dxa"/>
              <w:left w:w="0" w:type="dxa"/>
              <w:bottom w:w="0" w:type="dxa"/>
              <w:right w:w="0" w:type="dxa"/>
            </w:tcMar>
            <w:vAlign w:val="center"/>
          </w:tcPr>
          <w:p w14:paraId="4A1FFE6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1,4</w:t>
            </w:r>
          </w:p>
        </w:tc>
      </w:tr>
      <w:tr w:rsidR="006D271E" w:rsidRPr="006D271E" w14:paraId="07B3AFB8" w14:textId="77777777">
        <w:trPr>
          <w:cantSplit/>
          <w:jc w:val="center"/>
        </w:trPr>
        <w:tc>
          <w:tcPr>
            <w:tcW w:w="0" w:type="auto"/>
            <w:shd w:val="clear" w:color="auto" w:fill="FFFFFF"/>
            <w:tcMar>
              <w:top w:w="0" w:type="dxa"/>
              <w:left w:w="0" w:type="dxa"/>
              <w:bottom w:w="0" w:type="dxa"/>
              <w:right w:w="0" w:type="dxa"/>
            </w:tcMar>
            <w:vAlign w:val="center"/>
          </w:tcPr>
          <w:p w14:paraId="2A3A06E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0F274C4C"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Posmrtnine</w:t>
            </w:r>
            <w:r>
              <w:rPr>
                <w:rFonts w:ascii="Arial" w:eastAsia="Arial" w:hAnsi="Arial" w:cs="Arial"/>
                <w:b/>
                <w:color w:val="111111"/>
                <w:sz w:val="16"/>
                <w:szCs w:val="16"/>
              </w:rPr>
              <w:t>*</w:t>
            </w:r>
          </w:p>
        </w:tc>
        <w:tc>
          <w:tcPr>
            <w:tcW w:w="0" w:type="auto"/>
            <w:shd w:val="clear" w:color="auto" w:fill="FFFFFF"/>
            <w:tcMar>
              <w:top w:w="0" w:type="dxa"/>
              <w:left w:w="0" w:type="dxa"/>
              <w:bottom w:w="0" w:type="dxa"/>
              <w:right w:w="0" w:type="dxa"/>
            </w:tcMar>
            <w:vAlign w:val="center"/>
          </w:tcPr>
          <w:p w14:paraId="71A6AF90"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22AA0AB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483</w:t>
            </w:r>
          </w:p>
        </w:tc>
        <w:tc>
          <w:tcPr>
            <w:tcW w:w="0" w:type="auto"/>
            <w:shd w:val="clear" w:color="auto" w:fill="FFFFFF"/>
            <w:tcMar>
              <w:top w:w="0" w:type="dxa"/>
              <w:left w:w="0" w:type="dxa"/>
              <w:bottom w:w="0" w:type="dxa"/>
              <w:right w:w="0" w:type="dxa"/>
            </w:tcMar>
            <w:vAlign w:val="center"/>
          </w:tcPr>
          <w:p w14:paraId="706AF65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-43,1</w:t>
            </w:r>
          </w:p>
        </w:tc>
        <w:tc>
          <w:tcPr>
            <w:tcW w:w="0" w:type="auto"/>
            <w:shd w:val="clear" w:color="auto" w:fill="FFFFFF"/>
            <w:tcMar>
              <w:top w:w="0" w:type="dxa"/>
              <w:left w:w="0" w:type="dxa"/>
              <w:bottom w:w="0" w:type="dxa"/>
              <w:right w:w="0" w:type="dxa"/>
            </w:tcMar>
            <w:vAlign w:val="center"/>
          </w:tcPr>
          <w:p w14:paraId="527A115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136</w:t>
            </w:r>
          </w:p>
        </w:tc>
        <w:tc>
          <w:tcPr>
            <w:tcW w:w="0" w:type="auto"/>
            <w:shd w:val="clear" w:color="auto" w:fill="FFFFFF"/>
            <w:tcMar>
              <w:top w:w="0" w:type="dxa"/>
              <w:left w:w="0" w:type="dxa"/>
              <w:bottom w:w="0" w:type="dxa"/>
              <w:right w:w="0" w:type="dxa"/>
            </w:tcMar>
            <w:vAlign w:val="center"/>
          </w:tcPr>
          <w:p w14:paraId="2FF93D5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-66,2</w:t>
            </w:r>
          </w:p>
        </w:tc>
      </w:tr>
      <w:tr w:rsidR="006D271E" w:rsidRPr="006D271E" w14:paraId="587FC196" w14:textId="77777777">
        <w:trPr>
          <w:cantSplit/>
          <w:jc w:val="center"/>
        </w:trPr>
        <w:tc>
          <w:tcPr>
            <w:tcW w:w="0" w:type="auto"/>
            <w:shd w:val="clear" w:color="auto" w:fill="B0E3FB"/>
            <w:tcMar>
              <w:top w:w="0" w:type="dxa"/>
              <w:left w:w="0" w:type="dxa"/>
              <w:bottom w:w="0" w:type="dxa"/>
              <w:right w:w="0" w:type="dxa"/>
            </w:tcMar>
            <w:vAlign w:val="center"/>
          </w:tcPr>
          <w:p w14:paraId="1368C94A"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5FECC2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Pogrebnine</w:t>
            </w:r>
            <w:r>
              <w:rPr>
                <w:rFonts w:ascii="Arial" w:eastAsia="Arial" w:hAnsi="Arial" w:cs="Arial"/>
                <w:b/>
                <w:color w:val="111111"/>
                <w:sz w:val="16"/>
                <w:szCs w:val="16"/>
              </w:rPr>
              <w:t>*</w:t>
            </w:r>
          </w:p>
        </w:tc>
        <w:tc>
          <w:tcPr>
            <w:tcW w:w="0" w:type="auto"/>
            <w:shd w:val="clear" w:color="auto" w:fill="B0E3FB"/>
            <w:tcMar>
              <w:top w:w="0" w:type="dxa"/>
              <w:left w:w="0" w:type="dxa"/>
              <w:bottom w:w="0" w:type="dxa"/>
              <w:right w:w="0" w:type="dxa"/>
            </w:tcMar>
            <w:vAlign w:val="center"/>
          </w:tcPr>
          <w:p w14:paraId="0AEA33A9"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5CC7EC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572</w:t>
            </w:r>
          </w:p>
        </w:tc>
        <w:tc>
          <w:tcPr>
            <w:tcW w:w="0" w:type="auto"/>
            <w:shd w:val="clear" w:color="auto" w:fill="B0E3FB"/>
            <w:tcMar>
              <w:top w:w="0" w:type="dxa"/>
              <w:left w:w="0" w:type="dxa"/>
              <w:bottom w:w="0" w:type="dxa"/>
              <w:right w:w="0" w:type="dxa"/>
            </w:tcMar>
            <w:vAlign w:val="center"/>
          </w:tcPr>
          <w:p w14:paraId="2129AFA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-38,9</w:t>
            </w:r>
          </w:p>
        </w:tc>
        <w:tc>
          <w:tcPr>
            <w:tcW w:w="0" w:type="auto"/>
            <w:shd w:val="clear" w:color="auto" w:fill="B0E3FB"/>
            <w:tcMar>
              <w:top w:w="0" w:type="dxa"/>
              <w:left w:w="0" w:type="dxa"/>
              <w:bottom w:w="0" w:type="dxa"/>
              <w:right w:w="0" w:type="dxa"/>
            </w:tcMar>
            <w:vAlign w:val="center"/>
          </w:tcPr>
          <w:p w14:paraId="57456FF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157</w:t>
            </w:r>
          </w:p>
        </w:tc>
        <w:tc>
          <w:tcPr>
            <w:tcW w:w="0" w:type="auto"/>
            <w:shd w:val="clear" w:color="auto" w:fill="B0E3FB"/>
            <w:tcMar>
              <w:top w:w="0" w:type="dxa"/>
              <w:left w:w="0" w:type="dxa"/>
              <w:bottom w:w="0" w:type="dxa"/>
              <w:right w:w="0" w:type="dxa"/>
            </w:tcMar>
            <w:vAlign w:val="center"/>
          </w:tcPr>
          <w:p w14:paraId="1DE4403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-64,2</w:t>
            </w:r>
          </w:p>
        </w:tc>
      </w:tr>
      <w:tr w:rsidR="006D271E" w:rsidRPr="006D271E" w14:paraId="074966DA" w14:textId="77777777">
        <w:trPr>
          <w:cantSplit/>
          <w:jc w:val="center"/>
        </w:trPr>
        <w:tc>
          <w:tcPr>
            <w:tcW w:w="0" w:type="auto"/>
            <w:shd w:val="clear" w:color="auto" w:fill="FFFFFF"/>
            <w:tcMar>
              <w:top w:w="0" w:type="dxa"/>
              <w:left w:w="0" w:type="dxa"/>
              <w:bottom w:w="0" w:type="dxa"/>
              <w:right w:w="0" w:type="dxa"/>
            </w:tcMar>
            <w:vAlign w:val="center"/>
          </w:tcPr>
          <w:p w14:paraId="3832884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05A233F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Družinski pomočnik</w:t>
            </w:r>
          </w:p>
        </w:tc>
        <w:tc>
          <w:tcPr>
            <w:tcW w:w="0" w:type="auto"/>
            <w:shd w:val="clear" w:color="auto" w:fill="FFFFFF"/>
            <w:tcMar>
              <w:top w:w="0" w:type="dxa"/>
              <w:left w:w="0" w:type="dxa"/>
              <w:bottom w:w="0" w:type="dxa"/>
              <w:right w:w="0" w:type="dxa"/>
            </w:tcMar>
            <w:vAlign w:val="center"/>
          </w:tcPr>
          <w:p w14:paraId="3AB0DC28"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2DFAB84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639</w:t>
            </w:r>
          </w:p>
        </w:tc>
        <w:tc>
          <w:tcPr>
            <w:tcW w:w="0" w:type="auto"/>
            <w:shd w:val="clear" w:color="auto" w:fill="FFFFFF"/>
            <w:tcMar>
              <w:top w:w="0" w:type="dxa"/>
              <w:left w:w="0" w:type="dxa"/>
              <w:bottom w:w="0" w:type="dxa"/>
              <w:right w:w="0" w:type="dxa"/>
            </w:tcMar>
            <w:vAlign w:val="center"/>
          </w:tcPr>
          <w:p w14:paraId="067D770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-20,3</w:t>
            </w:r>
          </w:p>
        </w:tc>
        <w:tc>
          <w:tcPr>
            <w:tcW w:w="0" w:type="auto"/>
            <w:shd w:val="clear" w:color="auto" w:fill="FFFFFF"/>
            <w:tcMar>
              <w:top w:w="0" w:type="dxa"/>
              <w:left w:w="0" w:type="dxa"/>
              <w:bottom w:w="0" w:type="dxa"/>
              <w:right w:w="0" w:type="dxa"/>
            </w:tcMar>
            <w:vAlign w:val="center"/>
          </w:tcPr>
          <w:p w14:paraId="164B461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635</w:t>
            </w:r>
          </w:p>
        </w:tc>
        <w:tc>
          <w:tcPr>
            <w:tcW w:w="0" w:type="auto"/>
            <w:shd w:val="clear" w:color="auto" w:fill="FFFFFF"/>
            <w:tcMar>
              <w:top w:w="0" w:type="dxa"/>
              <w:left w:w="0" w:type="dxa"/>
              <w:bottom w:w="0" w:type="dxa"/>
              <w:right w:w="0" w:type="dxa"/>
            </w:tcMar>
            <w:vAlign w:val="center"/>
          </w:tcPr>
          <w:p w14:paraId="60CBD8C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-19,4</w:t>
            </w:r>
          </w:p>
        </w:tc>
      </w:tr>
      <w:tr w:rsidR="006D271E" w:rsidRPr="006D271E" w14:paraId="71A6590D" w14:textId="77777777">
        <w:trPr>
          <w:cantSplit/>
          <w:jc w:val="center"/>
        </w:trPr>
        <w:tc>
          <w:tcPr>
            <w:tcW w:w="0" w:type="auto"/>
            <w:shd w:val="clear" w:color="auto" w:fill="B0E3FB"/>
            <w:tcMar>
              <w:top w:w="0" w:type="dxa"/>
              <w:left w:w="0" w:type="dxa"/>
              <w:bottom w:w="0" w:type="dxa"/>
              <w:right w:w="0" w:type="dxa"/>
            </w:tcMar>
            <w:vAlign w:val="center"/>
          </w:tcPr>
          <w:p w14:paraId="25FB710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A2B8CA8"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Delno plačilo za izgubljeni dohodek</w:t>
            </w:r>
          </w:p>
        </w:tc>
        <w:tc>
          <w:tcPr>
            <w:tcW w:w="0" w:type="auto"/>
            <w:shd w:val="clear" w:color="auto" w:fill="B0E3FB"/>
            <w:tcMar>
              <w:top w:w="0" w:type="dxa"/>
              <w:left w:w="0" w:type="dxa"/>
              <w:bottom w:w="0" w:type="dxa"/>
              <w:right w:w="0" w:type="dxa"/>
            </w:tcMar>
            <w:vAlign w:val="center"/>
          </w:tcPr>
          <w:p w14:paraId="33BFD995"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620AE6B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940</w:t>
            </w:r>
          </w:p>
        </w:tc>
        <w:tc>
          <w:tcPr>
            <w:tcW w:w="0" w:type="auto"/>
            <w:shd w:val="clear" w:color="auto" w:fill="B0E3FB"/>
            <w:tcMar>
              <w:top w:w="0" w:type="dxa"/>
              <w:left w:w="0" w:type="dxa"/>
              <w:bottom w:w="0" w:type="dxa"/>
              <w:right w:w="0" w:type="dxa"/>
            </w:tcMar>
            <w:vAlign w:val="center"/>
          </w:tcPr>
          <w:p w14:paraId="5742068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8,6</w:t>
            </w:r>
          </w:p>
        </w:tc>
        <w:tc>
          <w:tcPr>
            <w:tcW w:w="0" w:type="auto"/>
            <w:shd w:val="clear" w:color="auto" w:fill="B0E3FB"/>
            <w:tcMar>
              <w:top w:w="0" w:type="dxa"/>
              <w:left w:w="0" w:type="dxa"/>
              <w:bottom w:w="0" w:type="dxa"/>
              <w:right w:w="0" w:type="dxa"/>
            </w:tcMar>
            <w:vAlign w:val="center"/>
          </w:tcPr>
          <w:p w14:paraId="1B0108D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937</w:t>
            </w:r>
          </w:p>
        </w:tc>
        <w:tc>
          <w:tcPr>
            <w:tcW w:w="0" w:type="auto"/>
            <w:shd w:val="clear" w:color="auto" w:fill="B0E3FB"/>
            <w:tcMar>
              <w:top w:w="0" w:type="dxa"/>
              <w:left w:w="0" w:type="dxa"/>
              <w:bottom w:w="0" w:type="dxa"/>
              <w:right w:w="0" w:type="dxa"/>
            </w:tcMar>
            <w:vAlign w:val="center"/>
          </w:tcPr>
          <w:p w14:paraId="11BBEE0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7,7</w:t>
            </w:r>
          </w:p>
        </w:tc>
      </w:tr>
      <w:tr w:rsidR="006D271E" w:rsidRPr="006D271E" w14:paraId="27094606" w14:textId="77777777">
        <w:trPr>
          <w:cantSplit/>
          <w:jc w:val="center"/>
        </w:trPr>
        <w:tc>
          <w:tcPr>
            <w:tcW w:w="0" w:type="auto"/>
            <w:shd w:val="clear" w:color="auto" w:fill="FFFFFF"/>
            <w:tcMar>
              <w:top w:w="0" w:type="dxa"/>
              <w:left w:w="0" w:type="dxa"/>
              <w:bottom w:w="0" w:type="dxa"/>
              <w:right w:w="0" w:type="dxa"/>
            </w:tcMar>
            <w:vAlign w:val="center"/>
          </w:tcPr>
          <w:p w14:paraId="15B34CE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1A98D85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Osebna asistenca/komunikacijski dodatek</w:t>
            </w:r>
          </w:p>
        </w:tc>
        <w:tc>
          <w:tcPr>
            <w:tcW w:w="0" w:type="auto"/>
            <w:shd w:val="clear" w:color="auto" w:fill="FFFFFF"/>
            <w:tcMar>
              <w:top w:w="0" w:type="dxa"/>
              <w:left w:w="0" w:type="dxa"/>
              <w:bottom w:w="0" w:type="dxa"/>
              <w:right w:w="0" w:type="dxa"/>
            </w:tcMar>
            <w:vAlign w:val="center"/>
          </w:tcPr>
          <w:p w14:paraId="74AF2B9B"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7F28E28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1.481</w:t>
            </w:r>
          </w:p>
        </w:tc>
        <w:tc>
          <w:tcPr>
            <w:tcW w:w="0" w:type="auto"/>
            <w:shd w:val="clear" w:color="auto" w:fill="FFFFFF"/>
            <w:tcMar>
              <w:top w:w="0" w:type="dxa"/>
              <w:left w:w="0" w:type="dxa"/>
              <w:bottom w:w="0" w:type="dxa"/>
              <w:right w:w="0" w:type="dxa"/>
            </w:tcMar>
            <w:vAlign w:val="center"/>
          </w:tcPr>
          <w:p w14:paraId="5E8638D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6,3</w:t>
            </w:r>
          </w:p>
        </w:tc>
        <w:tc>
          <w:tcPr>
            <w:tcW w:w="0" w:type="auto"/>
            <w:shd w:val="clear" w:color="auto" w:fill="FFFFFF"/>
            <w:tcMar>
              <w:top w:w="0" w:type="dxa"/>
              <w:left w:w="0" w:type="dxa"/>
              <w:bottom w:w="0" w:type="dxa"/>
              <w:right w:w="0" w:type="dxa"/>
            </w:tcMar>
            <w:vAlign w:val="center"/>
          </w:tcPr>
          <w:p w14:paraId="5E3E8E8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1.479</w:t>
            </w:r>
          </w:p>
        </w:tc>
        <w:tc>
          <w:tcPr>
            <w:tcW w:w="0" w:type="auto"/>
            <w:shd w:val="clear" w:color="auto" w:fill="FFFFFF"/>
            <w:tcMar>
              <w:top w:w="0" w:type="dxa"/>
              <w:left w:w="0" w:type="dxa"/>
              <w:bottom w:w="0" w:type="dxa"/>
              <w:right w:w="0" w:type="dxa"/>
            </w:tcMar>
            <w:vAlign w:val="center"/>
          </w:tcPr>
          <w:p w14:paraId="20EFB54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5,6</w:t>
            </w:r>
          </w:p>
        </w:tc>
      </w:tr>
      <w:tr w:rsidR="006D271E" w:rsidRPr="006D271E" w14:paraId="409C731D" w14:textId="77777777">
        <w:trPr>
          <w:cantSplit/>
          <w:jc w:val="center"/>
        </w:trPr>
        <w:tc>
          <w:tcPr>
            <w:tcW w:w="0" w:type="auto"/>
            <w:shd w:val="clear" w:color="auto" w:fill="B0E3FB"/>
            <w:tcMar>
              <w:top w:w="0" w:type="dxa"/>
              <w:left w:w="0" w:type="dxa"/>
              <w:bottom w:w="0" w:type="dxa"/>
              <w:right w:w="0" w:type="dxa"/>
            </w:tcMar>
            <w:vAlign w:val="center"/>
          </w:tcPr>
          <w:p w14:paraId="29D00BA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2D5AE2DA" w14:textId="77777777" w:rsidR="009813B9" w:rsidRPr="006D271E" w:rsidRDefault="006D271E" w:rsidP="006D271E">
            <w:pPr>
              <w:spacing w:before="40" w:after="40"/>
              <w:ind w:left="40" w:right="40"/>
              <w:rPr>
                <w:sz w:val="16"/>
                <w:szCs w:val="16"/>
              </w:rPr>
            </w:pPr>
            <w:r w:rsidRPr="006D271E">
              <w:rPr>
                <w:rFonts w:ascii="Arial" w:eastAsia="Arial" w:hAnsi="Arial" w:cs="Arial"/>
                <w:b/>
                <w:color w:val="111111"/>
                <w:sz w:val="16"/>
                <w:szCs w:val="16"/>
              </w:rPr>
              <w:t>Osebna asistenca</w:t>
            </w:r>
          </w:p>
        </w:tc>
        <w:tc>
          <w:tcPr>
            <w:tcW w:w="0" w:type="auto"/>
            <w:shd w:val="clear" w:color="auto" w:fill="B0E3FB"/>
            <w:tcMar>
              <w:top w:w="0" w:type="dxa"/>
              <w:left w:w="0" w:type="dxa"/>
              <w:bottom w:w="0" w:type="dxa"/>
              <w:right w:w="0" w:type="dxa"/>
            </w:tcMar>
            <w:vAlign w:val="center"/>
          </w:tcPr>
          <w:p w14:paraId="12BD83FD"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storitev</w:t>
            </w:r>
          </w:p>
        </w:tc>
        <w:tc>
          <w:tcPr>
            <w:tcW w:w="0" w:type="auto"/>
            <w:shd w:val="clear" w:color="auto" w:fill="B0E3FB"/>
            <w:tcMar>
              <w:top w:w="0" w:type="dxa"/>
              <w:left w:w="0" w:type="dxa"/>
              <w:bottom w:w="0" w:type="dxa"/>
              <w:right w:w="0" w:type="dxa"/>
            </w:tcMar>
            <w:vAlign w:val="center"/>
          </w:tcPr>
          <w:p w14:paraId="0B7D3CA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2.472</w:t>
            </w:r>
          </w:p>
        </w:tc>
        <w:tc>
          <w:tcPr>
            <w:tcW w:w="0" w:type="auto"/>
            <w:shd w:val="clear" w:color="auto" w:fill="B0E3FB"/>
            <w:tcMar>
              <w:top w:w="0" w:type="dxa"/>
              <w:left w:w="0" w:type="dxa"/>
              <w:bottom w:w="0" w:type="dxa"/>
              <w:right w:w="0" w:type="dxa"/>
            </w:tcMar>
            <w:vAlign w:val="center"/>
          </w:tcPr>
          <w:p w14:paraId="5E8BBD6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93,1</w:t>
            </w:r>
          </w:p>
        </w:tc>
        <w:tc>
          <w:tcPr>
            <w:tcW w:w="0" w:type="auto"/>
            <w:shd w:val="clear" w:color="auto" w:fill="B0E3FB"/>
            <w:tcMar>
              <w:top w:w="0" w:type="dxa"/>
              <w:left w:w="0" w:type="dxa"/>
              <w:bottom w:w="0" w:type="dxa"/>
              <w:right w:w="0" w:type="dxa"/>
            </w:tcMar>
            <w:vAlign w:val="center"/>
          </w:tcPr>
          <w:p w14:paraId="31EE459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c>
          <w:tcPr>
            <w:tcW w:w="0" w:type="auto"/>
            <w:shd w:val="clear" w:color="auto" w:fill="B0E3FB"/>
            <w:tcMar>
              <w:top w:w="0" w:type="dxa"/>
              <w:left w:w="0" w:type="dxa"/>
              <w:bottom w:w="0" w:type="dxa"/>
              <w:right w:w="0" w:type="dxa"/>
            </w:tcMar>
            <w:vAlign w:val="center"/>
          </w:tcPr>
          <w:p w14:paraId="1CF00FD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w:t>
            </w:r>
          </w:p>
        </w:tc>
      </w:tr>
      <w:tr w:rsidR="006D271E" w:rsidRPr="006D271E" w14:paraId="006AECBE" w14:textId="77777777">
        <w:trPr>
          <w:cantSplit/>
          <w:jc w:val="center"/>
        </w:trPr>
        <w:tc>
          <w:tcPr>
            <w:tcW w:w="0" w:type="auto"/>
            <w:shd w:val="clear" w:color="auto" w:fill="FFFFFF"/>
            <w:tcMar>
              <w:top w:w="0" w:type="dxa"/>
              <w:left w:w="0" w:type="dxa"/>
              <w:bottom w:w="0" w:type="dxa"/>
              <w:right w:w="0" w:type="dxa"/>
            </w:tcMar>
            <w:vAlign w:val="center"/>
          </w:tcPr>
          <w:p w14:paraId="4CF8E85D"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03F726E8"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tcPr>
          <w:p w14:paraId="3B9C5412"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7751FC7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8.058</w:t>
            </w:r>
          </w:p>
        </w:tc>
        <w:tc>
          <w:tcPr>
            <w:tcW w:w="0" w:type="auto"/>
            <w:shd w:val="clear" w:color="auto" w:fill="FFFFFF"/>
            <w:tcMar>
              <w:top w:w="0" w:type="dxa"/>
              <w:left w:w="0" w:type="dxa"/>
              <w:bottom w:w="0" w:type="dxa"/>
              <w:right w:w="0" w:type="dxa"/>
            </w:tcMar>
            <w:vAlign w:val="center"/>
          </w:tcPr>
          <w:p w14:paraId="1F4E8D5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2,8</w:t>
            </w:r>
          </w:p>
        </w:tc>
        <w:tc>
          <w:tcPr>
            <w:tcW w:w="0" w:type="auto"/>
            <w:shd w:val="clear" w:color="auto" w:fill="FFFFFF"/>
            <w:tcMar>
              <w:top w:w="0" w:type="dxa"/>
              <w:left w:w="0" w:type="dxa"/>
              <w:bottom w:w="0" w:type="dxa"/>
              <w:right w:w="0" w:type="dxa"/>
            </w:tcMar>
            <w:vAlign w:val="center"/>
          </w:tcPr>
          <w:p w14:paraId="238FFF1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8.060</w:t>
            </w:r>
          </w:p>
        </w:tc>
        <w:tc>
          <w:tcPr>
            <w:tcW w:w="0" w:type="auto"/>
            <w:shd w:val="clear" w:color="auto" w:fill="FFFFFF"/>
            <w:tcMar>
              <w:top w:w="0" w:type="dxa"/>
              <w:left w:w="0" w:type="dxa"/>
              <w:bottom w:w="0" w:type="dxa"/>
              <w:right w:w="0" w:type="dxa"/>
            </w:tcMar>
            <w:vAlign w:val="center"/>
          </w:tcPr>
          <w:p w14:paraId="663AFF8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2,3</w:t>
            </w:r>
          </w:p>
        </w:tc>
      </w:tr>
      <w:tr w:rsidR="006D271E" w:rsidRPr="006D271E" w14:paraId="63ADBE2E" w14:textId="77777777">
        <w:trPr>
          <w:cantSplit/>
          <w:jc w:val="center"/>
        </w:trPr>
        <w:tc>
          <w:tcPr>
            <w:tcW w:w="0" w:type="auto"/>
            <w:shd w:val="clear" w:color="auto" w:fill="B0E3FB"/>
            <w:tcMar>
              <w:top w:w="0" w:type="dxa"/>
              <w:left w:w="0" w:type="dxa"/>
              <w:bottom w:w="0" w:type="dxa"/>
              <w:right w:w="0" w:type="dxa"/>
            </w:tcMar>
            <w:vAlign w:val="center"/>
          </w:tcPr>
          <w:p w14:paraId="2108D5B2"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AFAC8A2"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Oprostitve plačila socialno varstvenih storitev</w:t>
            </w:r>
          </w:p>
        </w:tc>
        <w:tc>
          <w:tcPr>
            <w:tcW w:w="0" w:type="auto"/>
            <w:shd w:val="clear" w:color="auto" w:fill="B0E3FB"/>
            <w:tcMar>
              <w:top w:w="0" w:type="dxa"/>
              <w:left w:w="0" w:type="dxa"/>
              <w:bottom w:w="0" w:type="dxa"/>
              <w:right w:w="0" w:type="dxa"/>
            </w:tcMar>
            <w:vAlign w:val="center"/>
          </w:tcPr>
          <w:p w14:paraId="31EFD252"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58645F6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8.291</w:t>
            </w:r>
          </w:p>
        </w:tc>
        <w:tc>
          <w:tcPr>
            <w:tcW w:w="0" w:type="auto"/>
            <w:shd w:val="clear" w:color="auto" w:fill="B0E3FB"/>
            <w:tcMar>
              <w:top w:w="0" w:type="dxa"/>
              <w:left w:w="0" w:type="dxa"/>
              <w:bottom w:w="0" w:type="dxa"/>
              <w:right w:w="0" w:type="dxa"/>
            </w:tcMar>
            <w:vAlign w:val="center"/>
          </w:tcPr>
          <w:p w14:paraId="1DAC63B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-3,6</w:t>
            </w:r>
          </w:p>
        </w:tc>
        <w:tc>
          <w:tcPr>
            <w:tcW w:w="0" w:type="auto"/>
            <w:shd w:val="clear" w:color="auto" w:fill="B0E3FB"/>
            <w:tcMar>
              <w:top w:w="0" w:type="dxa"/>
              <w:left w:w="0" w:type="dxa"/>
              <w:bottom w:w="0" w:type="dxa"/>
              <w:right w:w="0" w:type="dxa"/>
            </w:tcMar>
            <w:vAlign w:val="center"/>
          </w:tcPr>
          <w:p w14:paraId="797AE60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8.216</w:t>
            </w:r>
          </w:p>
        </w:tc>
        <w:tc>
          <w:tcPr>
            <w:tcW w:w="0" w:type="auto"/>
            <w:shd w:val="clear" w:color="auto" w:fill="B0E3FB"/>
            <w:tcMar>
              <w:top w:w="0" w:type="dxa"/>
              <w:left w:w="0" w:type="dxa"/>
              <w:bottom w:w="0" w:type="dxa"/>
              <w:right w:w="0" w:type="dxa"/>
            </w:tcMar>
            <w:vAlign w:val="center"/>
          </w:tcPr>
          <w:p w14:paraId="7AD8A13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-4,5</w:t>
            </w:r>
          </w:p>
        </w:tc>
      </w:tr>
      <w:tr w:rsidR="006D271E" w:rsidRPr="006D271E" w14:paraId="1227B9D2" w14:textId="77777777">
        <w:trPr>
          <w:cantSplit/>
          <w:jc w:val="center"/>
        </w:trPr>
        <w:tc>
          <w:tcPr>
            <w:tcW w:w="0" w:type="auto"/>
            <w:shd w:val="clear" w:color="auto" w:fill="FFFFFF"/>
            <w:tcMar>
              <w:top w:w="0" w:type="dxa"/>
              <w:left w:w="0" w:type="dxa"/>
              <w:bottom w:w="0" w:type="dxa"/>
              <w:right w:w="0" w:type="dxa"/>
            </w:tcMar>
            <w:vAlign w:val="center"/>
          </w:tcPr>
          <w:p w14:paraId="1B65C6A7"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2A82A34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Varstveni dodatek</w:t>
            </w:r>
          </w:p>
        </w:tc>
        <w:tc>
          <w:tcPr>
            <w:tcW w:w="0" w:type="auto"/>
            <w:shd w:val="clear" w:color="auto" w:fill="FFFFFF"/>
            <w:tcMar>
              <w:top w:w="0" w:type="dxa"/>
              <w:left w:w="0" w:type="dxa"/>
              <w:bottom w:w="0" w:type="dxa"/>
              <w:right w:w="0" w:type="dxa"/>
            </w:tcMar>
            <w:vAlign w:val="center"/>
          </w:tcPr>
          <w:p w14:paraId="70BE8D84"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948000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23.506</w:t>
            </w:r>
          </w:p>
        </w:tc>
        <w:tc>
          <w:tcPr>
            <w:tcW w:w="0" w:type="auto"/>
            <w:shd w:val="clear" w:color="auto" w:fill="FFFFFF"/>
            <w:tcMar>
              <w:top w:w="0" w:type="dxa"/>
              <w:left w:w="0" w:type="dxa"/>
              <w:bottom w:w="0" w:type="dxa"/>
              <w:right w:w="0" w:type="dxa"/>
            </w:tcMar>
            <w:vAlign w:val="center"/>
          </w:tcPr>
          <w:p w14:paraId="3A360F25"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9,1</w:t>
            </w:r>
          </w:p>
        </w:tc>
        <w:tc>
          <w:tcPr>
            <w:tcW w:w="0" w:type="auto"/>
            <w:shd w:val="clear" w:color="auto" w:fill="FFFFFF"/>
            <w:tcMar>
              <w:top w:w="0" w:type="dxa"/>
              <w:left w:w="0" w:type="dxa"/>
              <w:bottom w:w="0" w:type="dxa"/>
              <w:right w:w="0" w:type="dxa"/>
            </w:tcMar>
            <w:vAlign w:val="center"/>
          </w:tcPr>
          <w:p w14:paraId="46EFC8EC"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23.539</w:t>
            </w:r>
          </w:p>
        </w:tc>
        <w:tc>
          <w:tcPr>
            <w:tcW w:w="0" w:type="auto"/>
            <w:shd w:val="clear" w:color="auto" w:fill="FFFFFF"/>
            <w:tcMar>
              <w:top w:w="0" w:type="dxa"/>
              <w:left w:w="0" w:type="dxa"/>
              <w:bottom w:w="0" w:type="dxa"/>
              <w:right w:w="0" w:type="dxa"/>
            </w:tcMar>
            <w:vAlign w:val="center"/>
          </w:tcPr>
          <w:p w14:paraId="77FBCE5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7,7</w:t>
            </w:r>
          </w:p>
        </w:tc>
      </w:tr>
      <w:tr w:rsidR="006D271E" w:rsidRPr="006D271E" w14:paraId="1DF1121C" w14:textId="77777777">
        <w:trPr>
          <w:cantSplit/>
          <w:jc w:val="center"/>
        </w:trPr>
        <w:tc>
          <w:tcPr>
            <w:tcW w:w="0" w:type="auto"/>
            <w:shd w:val="clear" w:color="auto" w:fill="B0E3FB"/>
            <w:tcMar>
              <w:top w:w="0" w:type="dxa"/>
              <w:left w:w="0" w:type="dxa"/>
              <w:bottom w:w="0" w:type="dxa"/>
              <w:right w:w="0" w:type="dxa"/>
            </w:tcMar>
            <w:vAlign w:val="center"/>
          </w:tcPr>
          <w:p w14:paraId="19107B7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285C62D6"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Prispevek za zdravstveno zavarovanje</w:t>
            </w:r>
          </w:p>
        </w:tc>
        <w:tc>
          <w:tcPr>
            <w:tcW w:w="0" w:type="auto"/>
            <w:shd w:val="clear" w:color="auto" w:fill="B0E3FB"/>
            <w:tcMar>
              <w:top w:w="0" w:type="dxa"/>
              <w:left w:w="0" w:type="dxa"/>
              <w:bottom w:w="0" w:type="dxa"/>
              <w:right w:w="0" w:type="dxa"/>
            </w:tcMar>
            <w:vAlign w:val="center"/>
          </w:tcPr>
          <w:p w14:paraId="7B487BD6"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26C3C79D"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56.507</w:t>
            </w:r>
          </w:p>
        </w:tc>
        <w:tc>
          <w:tcPr>
            <w:tcW w:w="0" w:type="auto"/>
            <w:shd w:val="clear" w:color="auto" w:fill="B0E3FB"/>
            <w:tcMar>
              <w:top w:w="0" w:type="dxa"/>
              <w:left w:w="0" w:type="dxa"/>
              <w:bottom w:w="0" w:type="dxa"/>
              <w:right w:w="0" w:type="dxa"/>
            </w:tcMar>
            <w:vAlign w:val="center"/>
          </w:tcPr>
          <w:p w14:paraId="3FCDAA1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18,9</w:t>
            </w:r>
          </w:p>
        </w:tc>
        <w:tc>
          <w:tcPr>
            <w:tcW w:w="0" w:type="auto"/>
            <w:shd w:val="clear" w:color="auto" w:fill="B0E3FB"/>
            <w:tcMar>
              <w:top w:w="0" w:type="dxa"/>
              <w:left w:w="0" w:type="dxa"/>
              <w:bottom w:w="0" w:type="dxa"/>
              <w:right w:w="0" w:type="dxa"/>
            </w:tcMar>
            <w:vAlign w:val="center"/>
          </w:tcPr>
          <w:p w14:paraId="5002852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57.176</w:t>
            </w:r>
          </w:p>
        </w:tc>
        <w:tc>
          <w:tcPr>
            <w:tcW w:w="0" w:type="auto"/>
            <w:shd w:val="clear" w:color="auto" w:fill="B0E3FB"/>
            <w:tcMar>
              <w:top w:w="0" w:type="dxa"/>
              <w:left w:w="0" w:type="dxa"/>
              <w:bottom w:w="0" w:type="dxa"/>
              <w:right w:w="0" w:type="dxa"/>
            </w:tcMar>
            <w:vAlign w:val="center"/>
          </w:tcPr>
          <w:p w14:paraId="0BBAF26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19,0</w:t>
            </w:r>
          </w:p>
        </w:tc>
      </w:tr>
      <w:tr w:rsidR="006D271E" w:rsidRPr="006D271E" w14:paraId="2E32AB1D" w14:textId="77777777">
        <w:trPr>
          <w:cantSplit/>
          <w:jc w:val="center"/>
        </w:trPr>
        <w:tc>
          <w:tcPr>
            <w:tcW w:w="0" w:type="auto"/>
            <w:shd w:val="clear" w:color="auto" w:fill="FFFFFF"/>
            <w:tcMar>
              <w:top w:w="0" w:type="dxa"/>
              <w:left w:w="0" w:type="dxa"/>
              <w:bottom w:w="0" w:type="dxa"/>
              <w:right w:w="0" w:type="dxa"/>
            </w:tcMar>
            <w:vAlign w:val="center"/>
          </w:tcPr>
          <w:p w14:paraId="44508FB8"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61A64DA0"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Pravica do kritja polne vrednosti zdravstvenih storitev</w:t>
            </w:r>
          </w:p>
        </w:tc>
        <w:tc>
          <w:tcPr>
            <w:tcW w:w="0" w:type="auto"/>
            <w:shd w:val="clear" w:color="auto" w:fill="FFFFFF"/>
            <w:tcMar>
              <w:top w:w="0" w:type="dxa"/>
              <w:left w:w="0" w:type="dxa"/>
              <w:bottom w:w="0" w:type="dxa"/>
              <w:right w:w="0" w:type="dxa"/>
            </w:tcMar>
            <w:vAlign w:val="center"/>
          </w:tcPr>
          <w:p w14:paraId="43FCCD6A"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546130A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69.716</w:t>
            </w:r>
          </w:p>
        </w:tc>
        <w:tc>
          <w:tcPr>
            <w:tcW w:w="0" w:type="auto"/>
            <w:shd w:val="clear" w:color="auto" w:fill="FFFFFF"/>
            <w:tcMar>
              <w:top w:w="0" w:type="dxa"/>
              <w:left w:w="0" w:type="dxa"/>
              <w:bottom w:w="0" w:type="dxa"/>
              <w:right w:w="0" w:type="dxa"/>
            </w:tcMar>
            <w:vAlign w:val="center"/>
          </w:tcPr>
          <w:p w14:paraId="2F935127"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17,4</w:t>
            </w:r>
          </w:p>
        </w:tc>
        <w:tc>
          <w:tcPr>
            <w:tcW w:w="0" w:type="auto"/>
            <w:shd w:val="clear" w:color="auto" w:fill="FFFFFF"/>
            <w:tcMar>
              <w:top w:w="0" w:type="dxa"/>
              <w:left w:w="0" w:type="dxa"/>
              <w:bottom w:w="0" w:type="dxa"/>
              <w:right w:w="0" w:type="dxa"/>
            </w:tcMar>
            <w:vAlign w:val="center"/>
          </w:tcPr>
          <w:p w14:paraId="419D15A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70.434</w:t>
            </w:r>
          </w:p>
        </w:tc>
        <w:tc>
          <w:tcPr>
            <w:tcW w:w="0" w:type="auto"/>
            <w:shd w:val="clear" w:color="auto" w:fill="FFFFFF"/>
            <w:tcMar>
              <w:top w:w="0" w:type="dxa"/>
              <w:left w:w="0" w:type="dxa"/>
              <w:bottom w:w="0" w:type="dxa"/>
              <w:right w:w="0" w:type="dxa"/>
            </w:tcMar>
            <w:vAlign w:val="center"/>
          </w:tcPr>
          <w:p w14:paraId="42541190"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17,3</w:t>
            </w:r>
          </w:p>
        </w:tc>
      </w:tr>
      <w:tr w:rsidR="006D271E" w:rsidRPr="006D271E" w14:paraId="1DA172E4" w14:textId="77777777">
        <w:trPr>
          <w:cantSplit/>
          <w:jc w:val="center"/>
        </w:trPr>
        <w:tc>
          <w:tcPr>
            <w:tcW w:w="0" w:type="auto"/>
            <w:shd w:val="clear" w:color="auto" w:fill="B0E3FB"/>
            <w:tcMar>
              <w:top w:w="0" w:type="dxa"/>
              <w:left w:w="0" w:type="dxa"/>
              <w:bottom w:w="0" w:type="dxa"/>
              <w:right w:w="0" w:type="dxa"/>
            </w:tcMar>
            <w:vAlign w:val="center"/>
          </w:tcPr>
          <w:p w14:paraId="68DB3D4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3DCB443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tcPr>
          <w:p w14:paraId="3A04768D"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5844DC22"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12.266</w:t>
            </w:r>
          </w:p>
        </w:tc>
        <w:tc>
          <w:tcPr>
            <w:tcW w:w="0" w:type="auto"/>
            <w:shd w:val="clear" w:color="auto" w:fill="B0E3FB"/>
            <w:tcMar>
              <w:top w:w="0" w:type="dxa"/>
              <w:left w:w="0" w:type="dxa"/>
              <w:bottom w:w="0" w:type="dxa"/>
              <w:right w:w="0" w:type="dxa"/>
            </w:tcMar>
            <w:vAlign w:val="center"/>
          </w:tcPr>
          <w:p w14:paraId="64BDE72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5,1</w:t>
            </w:r>
          </w:p>
        </w:tc>
        <w:tc>
          <w:tcPr>
            <w:tcW w:w="0" w:type="auto"/>
            <w:shd w:val="clear" w:color="auto" w:fill="B0E3FB"/>
            <w:tcMar>
              <w:top w:w="0" w:type="dxa"/>
              <w:left w:w="0" w:type="dxa"/>
              <w:bottom w:w="0" w:type="dxa"/>
              <w:right w:w="0" w:type="dxa"/>
            </w:tcMar>
            <w:vAlign w:val="center"/>
          </w:tcPr>
          <w:p w14:paraId="645ABFF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12.817</w:t>
            </w:r>
          </w:p>
        </w:tc>
        <w:tc>
          <w:tcPr>
            <w:tcW w:w="0" w:type="auto"/>
            <w:shd w:val="clear" w:color="auto" w:fill="B0E3FB"/>
            <w:tcMar>
              <w:top w:w="0" w:type="dxa"/>
              <w:left w:w="0" w:type="dxa"/>
              <w:bottom w:w="0" w:type="dxa"/>
              <w:right w:w="0" w:type="dxa"/>
            </w:tcMar>
            <w:vAlign w:val="center"/>
          </w:tcPr>
          <w:p w14:paraId="0882D13B"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-5,9</w:t>
            </w:r>
          </w:p>
        </w:tc>
      </w:tr>
      <w:tr w:rsidR="006D271E" w:rsidRPr="006D271E" w14:paraId="5E61C926" w14:textId="77777777">
        <w:trPr>
          <w:cantSplit/>
          <w:jc w:val="center"/>
        </w:trPr>
        <w:tc>
          <w:tcPr>
            <w:tcW w:w="0" w:type="auto"/>
            <w:shd w:val="clear" w:color="auto" w:fill="FFFFFF"/>
            <w:tcMar>
              <w:top w:w="0" w:type="dxa"/>
              <w:left w:w="0" w:type="dxa"/>
              <w:bottom w:w="0" w:type="dxa"/>
              <w:right w:w="0" w:type="dxa"/>
            </w:tcMar>
            <w:vAlign w:val="center"/>
          </w:tcPr>
          <w:p w14:paraId="55C15FFB"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768C0123"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tcPr>
          <w:p w14:paraId="74149D90"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55ED9546"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13.150</w:t>
            </w:r>
          </w:p>
        </w:tc>
        <w:tc>
          <w:tcPr>
            <w:tcW w:w="0" w:type="auto"/>
            <w:shd w:val="clear" w:color="auto" w:fill="FFFFFF"/>
            <w:tcMar>
              <w:top w:w="0" w:type="dxa"/>
              <w:left w:w="0" w:type="dxa"/>
              <w:bottom w:w="0" w:type="dxa"/>
              <w:right w:w="0" w:type="dxa"/>
            </w:tcMar>
            <w:vAlign w:val="center"/>
          </w:tcPr>
          <w:p w14:paraId="168470E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9,0</w:t>
            </w:r>
          </w:p>
        </w:tc>
        <w:tc>
          <w:tcPr>
            <w:tcW w:w="0" w:type="auto"/>
            <w:shd w:val="clear" w:color="auto" w:fill="FFFFFF"/>
            <w:tcMar>
              <w:top w:w="0" w:type="dxa"/>
              <w:left w:w="0" w:type="dxa"/>
              <w:bottom w:w="0" w:type="dxa"/>
              <w:right w:w="0" w:type="dxa"/>
            </w:tcMar>
            <w:vAlign w:val="center"/>
          </w:tcPr>
          <w:p w14:paraId="71ED0D6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13.183</w:t>
            </w:r>
          </w:p>
        </w:tc>
        <w:tc>
          <w:tcPr>
            <w:tcW w:w="0" w:type="auto"/>
            <w:shd w:val="clear" w:color="auto" w:fill="FFFFFF"/>
            <w:tcMar>
              <w:top w:w="0" w:type="dxa"/>
              <w:left w:w="0" w:type="dxa"/>
              <w:bottom w:w="0" w:type="dxa"/>
              <w:right w:w="0" w:type="dxa"/>
            </w:tcMar>
            <w:vAlign w:val="center"/>
          </w:tcPr>
          <w:p w14:paraId="2E2862C4"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8,9</w:t>
            </w:r>
          </w:p>
        </w:tc>
      </w:tr>
      <w:tr w:rsidR="006D271E" w:rsidRPr="006D271E" w14:paraId="779128E5" w14:textId="77777777">
        <w:trPr>
          <w:cantSplit/>
          <w:jc w:val="center"/>
        </w:trPr>
        <w:tc>
          <w:tcPr>
            <w:tcW w:w="0" w:type="auto"/>
            <w:shd w:val="clear" w:color="auto" w:fill="B0E3FB"/>
            <w:tcMar>
              <w:top w:w="0" w:type="dxa"/>
              <w:left w:w="0" w:type="dxa"/>
              <w:bottom w:w="0" w:type="dxa"/>
              <w:right w:w="0" w:type="dxa"/>
            </w:tcMar>
            <w:vAlign w:val="center"/>
          </w:tcPr>
          <w:p w14:paraId="686EAFBD"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7958C5F1"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Denarna socialna pomoč</w:t>
            </w:r>
          </w:p>
        </w:tc>
        <w:tc>
          <w:tcPr>
            <w:tcW w:w="0" w:type="auto"/>
            <w:shd w:val="clear" w:color="auto" w:fill="B0E3FB"/>
            <w:tcMar>
              <w:top w:w="0" w:type="dxa"/>
              <w:left w:w="0" w:type="dxa"/>
              <w:bottom w:w="0" w:type="dxa"/>
              <w:right w:w="0" w:type="dxa"/>
            </w:tcMar>
            <w:vAlign w:val="center"/>
          </w:tcPr>
          <w:p w14:paraId="5DAE980C" w14:textId="77777777" w:rsidR="009813B9" w:rsidRPr="006D271E" w:rsidRDefault="006D271E">
            <w:pPr>
              <w:spacing w:before="40" w:after="40"/>
              <w:ind w:left="40" w:right="40"/>
              <w:rPr>
                <w:sz w:val="16"/>
                <w:szCs w:val="16"/>
              </w:rPr>
            </w:pPr>
            <w:r w:rsidRPr="006D271E">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0E0BFAF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108.883</w:t>
            </w:r>
          </w:p>
        </w:tc>
        <w:tc>
          <w:tcPr>
            <w:tcW w:w="0" w:type="auto"/>
            <w:shd w:val="clear" w:color="auto" w:fill="B0E3FB"/>
            <w:tcMar>
              <w:top w:w="0" w:type="dxa"/>
              <w:left w:w="0" w:type="dxa"/>
              <w:bottom w:w="0" w:type="dxa"/>
              <w:right w:w="0" w:type="dxa"/>
            </w:tcMar>
            <w:vAlign w:val="center"/>
          </w:tcPr>
          <w:p w14:paraId="7CA7EA89"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16,0</w:t>
            </w:r>
          </w:p>
        </w:tc>
        <w:tc>
          <w:tcPr>
            <w:tcW w:w="0" w:type="auto"/>
            <w:shd w:val="clear" w:color="auto" w:fill="B0E3FB"/>
            <w:tcMar>
              <w:top w:w="0" w:type="dxa"/>
              <w:left w:w="0" w:type="dxa"/>
              <w:bottom w:w="0" w:type="dxa"/>
              <w:right w:w="0" w:type="dxa"/>
            </w:tcMar>
            <w:vAlign w:val="center"/>
          </w:tcPr>
          <w:p w14:paraId="50DD7FEE"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109.996</w:t>
            </w:r>
          </w:p>
        </w:tc>
        <w:tc>
          <w:tcPr>
            <w:tcW w:w="0" w:type="auto"/>
            <w:shd w:val="clear" w:color="auto" w:fill="B0E3FB"/>
            <w:tcMar>
              <w:top w:w="0" w:type="dxa"/>
              <w:left w:w="0" w:type="dxa"/>
              <w:bottom w:w="0" w:type="dxa"/>
              <w:right w:w="0" w:type="dxa"/>
            </w:tcMar>
            <w:vAlign w:val="center"/>
          </w:tcPr>
          <w:p w14:paraId="5C81B888"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15,7</w:t>
            </w:r>
          </w:p>
        </w:tc>
      </w:tr>
      <w:tr w:rsidR="009813B9" w:rsidRPr="006D271E" w14:paraId="6670B6D0" w14:textId="77777777">
        <w:trPr>
          <w:cantSplit/>
          <w:jc w:val="center"/>
        </w:trPr>
        <w:tc>
          <w:tcPr>
            <w:tcW w:w="0" w:type="auto"/>
            <w:gridSpan w:val="7"/>
            <w:shd w:val="clear" w:color="auto" w:fill="FFFFFF"/>
            <w:tcMar>
              <w:top w:w="0" w:type="dxa"/>
              <w:left w:w="0" w:type="dxa"/>
              <w:bottom w:w="0" w:type="dxa"/>
              <w:right w:w="0" w:type="dxa"/>
            </w:tcMar>
            <w:vAlign w:val="center"/>
          </w:tcPr>
          <w:p w14:paraId="16DAE430" w14:textId="77777777" w:rsidR="009813B9" w:rsidRPr="006D271E" w:rsidRDefault="006D271E" w:rsidP="006D271E">
            <w:pPr>
              <w:spacing w:after="0"/>
              <w:rPr>
                <w:sz w:val="16"/>
                <w:szCs w:val="16"/>
              </w:rPr>
            </w:pPr>
            <w:r w:rsidRPr="006D271E">
              <w:rPr>
                <w:rFonts w:ascii="Arial" w:eastAsia="Arial" w:hAnsi="Arial" w:cs="Arial"/>
                <w:color w:val="000000"/>
                <w:sz w:val="16"/>
                <w:szCs w:val="16"/>
                <w:vertAlign w:val="superscript"/>
              </w:rPr>
              <w:t>*</w:t>
            </w:r>
            <w:r w:rsidRPr="006D271E">
              <w:rPr>
                <w:rFonts w:ascii="Arial" w:eastAsia="Arial" w:hAnsi="Arial" w:cs="Arial"/>
                <w:color w:val="000000"/>
                <w:sz w:val="16"/>
                <w:szCs w:val="16"/>
              </w:rPr>
              <w:t xml:space="preserve">Število upravičencev je izračunano kot vsota po mesecih.; </w:t>
            </w:r>
            <w:r w:rsidRPr="006D271E">
              <w:rPr>
                <w:rFonts w:ascii="Arial" w:eastAsia="Arial" w:hAnsi="Arial" w:cs="Arial"/>
                <w:color w:val="000000"/>
                <w:sz w:val="16"/>
                <w:szCs w:val="16"/>
                <w:vertAlign w:val="superscript"/>
              </w:rPr>
              <w:t>**</w:t>
            </w:r>
            <w:r>
              <w:rPr>
                <w:rFonts w:ascii="Arial" w:eastAsia="Arial" w:hAnsi="Arial" w:cs="Arial"/>
                <w:color w:val="000000"/>
                <w:sz w:val="16"/>
                <w:szCs w:val="16"/>
              </w:rPr>
              <w:t>Prikazano je število otrok.</w:t>
            </w:r>
          </w:p>
        </w:tc>
      </w:tr>
      <w:tr w:rsidR="006D271E" w:rsidRPr="006D271E" w14:paraId="566312A4"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0D223E4E"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75BCE9A9"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Povprečno mesečno število upravičencev </w:t>
            </w:r>
            <w:r>
              <w:rPr>
                <w:rFonts w:ascii="Arial" w:eastAsia="Arial" w:hAnsi="Arial" w:cs="Arial"/>
                <w:b/>
                <w:color w:val="111111"/>
                <w:sz w:val="16"/>
                <w:szCs w:val="16"/>
              </w:rPr>
              <w:t>2020</w:t>
            </w:r>
          </w:p>
        </w:tc>
        <w:tc>
          <w:tcPr>
            <w:tcW w:w="0" w:type="auto"/>
            <w:shd w:val="clear" w:color="auto" w:fill="8BC9E8"/>
            <w:tcMar>
              <w:top w:w="0" w:type="dxa"/>
              <w:left w:w="0" w:type="dxa"/>
              <w:bottom w:w="0" w:type="dxa"/>
              <w:right w:w="0" w:type="dxa"/>
            </w:tcMar>
            <w:vAlign w:val="center"/>
          </w:tcPr>
          <w:p w14:paraId="6B5CE27E"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Medletna rast (%)</w:t>
            </w:r>
            <w:r>
              <w:rPr>
                <w:rFonts w:ascii="Arial" w:eastAsia="Arial" w:hAnsi="Arial" w:cs="Arial"/>
                <w:b/>
                <w:color w:val="111111"/>
                <w:sz w:val="16"/>
                <w:szCs w:val="16"/>
              </w:rPr>
              <w:t xml:space="preserve"> 20</w:t>
            </w:r>
            <w:r w:rsidRPr="006D271E">
              <w:rPr>
                <w:rFonts w:ascii="Arial" w:eastAsia="Arial" w:hAnsi="Arial" w:cs="Arial"/>
                <w:b/>
                <w:color w:val="111111"/>
                <w:sz w:val="16"/>
                <w:szCs w:val="16"/>
              </w:rPr>
              <w:t>20/</w:t>
            </w:r>
            <w:r>
              <w:rPr>
                <w:rFonts w:ascii="Arial" w:eastAsia="Arial" w:hAnsi="Arial" w:cs="Arial"/>
                <w:b/>
                <w:color w:val="111111"/>
                <w:sz w:val="16"/>
                <w:szCs w:val="16"/>
              </w:rPr>
              <w:t>20</w:t>
            </w:r>
            <w:r w:rsidRPr="006D271E">
              <w:rPr>
                <w:rFonts w:ascii="Arial" w:eastAsia="Arial" w:hAnsi="Arial" w:cs="Arial"/>
                <w:b/>
                <w:color w:val="111111"/>
                <w:sz w:val="16"/>
                <w:szCs w:val="16"/>
              </w:rPr>
              <w:t>19</w:t>
            </w:r>
          </w:p>
        </w:tc>
        <w:tc>
          <w:tcPr>
            <w:tcW w:w="0" w:type="auto"/>
            <w:shd w:val="clear" w:color="auto" w:fill="8BC9E8"/>
            <w:tcMar>
              <w:top w:w="0" w:type="dxa"/>
              <w:left w:w="0" w:type="dxa"/>
              <w:bottom w:w="0" w:type="dxa"/>
              <w:right w:w="0" w:type="dxa"/>
            </w:tcMar>
            <w:vAlign w:val="center"/>
          </w:tcPr>
          <w:p w14:paraId="6569DD67" w14:textId="77777777" w:rsidR="009813B9" w:rsidRPr="006D271E" w:rsidRDefault="006D271E" w:rsidP="006D271E">
            <w:pPr>
              <w:spacing w:before="40" w:after="40"/>
              <w:ind w:left="40" w:right="40"/>
              <w:jc w:val="center"/>
              <w:rPr>
                <w:sz w:val="16"/>
                <w:szCs w:val="16"/>
              </w:rPr>
            </w:pPr>
            <w:r w:rsidRPr="006D271E">
              <w:rPr>
                <w:rFonts w:ascii="Arial" w:eastAsia="Arial" w:hAnsi="Arial" w:cs="Arial"/>
                <w:b/>
                <w:color w:val="111111"/>
                <w:sz w:val="16"/>
                <w:szCs w:val="16"/>
              </w:rPr>
              <w:t xml:space="preserve">Upravičencev v mesecu </w:t>
            </w:r>
            <w:r>
              <w:rPr>
                <w:rFonts w:ascii="Arial" w:eastAsia="Arial" w:hAnsi="Arial" w:cs="Arial"/>
                <w:b/>
                <w:color w:val="111111"/>
                <w:sz w:val="16"/>
                <w:szCs w:val="16"/>
              </w:rPr>
              <w:t>I</w:t>
            </w:r>
          </w:p>
        </w:tc>
        <w:tc>
          <w:tcPr>
            <w:tcW w:w="0" w:type="auto"/>
            <w:shd w:val="clear" w:color="auto" w:fill="8BC9E8"/>
            <w:tcMar>
              <w:top w:w="0" w:type="dxa"/>
              <w:left w:w="0" w:type="dxa"/>
              <w:bottom w:w="0" w:type="dxa"/>
              <w:right w:w="0" w:type="dxa"/>
            </w:tcMar>
            <w:vAlign w:val="center"/>
          </w:tcPr>
          <w:p w14:paraId="295FAC55" w14:textId="77777777" w:rsidR="009813B9" w:rsidRPr="006D271E" w:rsidRDefault="006D271E">
            <w:pPr>
              <w:spacing w:before="40" w:after="40"/>
              <w:ind w:left="40" w:right="40"/>
              <w:jc w:val="center"/>
              <w:rPr>
                <w:sz w:val="16"/>
                <w:szCs w:val="16"/>
              </w:rPr>
            </w:pPr>
            <w:r w:rsidRPr="006D271E">
              <w:rPr>
                <w:rFonts w:ascii="Arial" w:eastAsia="Arial" w:hAnsi="Arial" w:cs="Arial"/>
                <w:b/>
                <w:color w:val="111111"/>
                <w:sz w:val="16"/>
                <w:szCs w:val="16"/>
              </w:rPr>
              <w:t>M</w:t>
            </w:r>
            <w:r>
              <w:rPr>
                <w:rFonts w:ascii="Arial" w:eastAsia="Arial" w:hAnsi="Arial" w:cs="Arial"/>
                <w:b/>
                <w:color w:val="111111"/>
                <w:sz w:val="16"/>
                <w:szCs w:val="16"/>
              </w:rPr>
              <w:t>edletna rast I 21/I 20</w:t>
            </w:r>
            <w:r w:rsidRPr="006D271E">
              <w:rPr>
                <w:rFonts w:ascii="Arial" w:eastAsia="Arial" w:hAnsi="Arial" w:cs="Arial"/>
                <w:b/>
                <w:color w:val="111111"/>
                <w:sz w:val="16"/>
                <w:szCs w:val="16"/>
              </w:rPr>
              <w:t xml:space="preserve"> (%)</w:t>
            </w:r>
          </w:p>
        </w:tc>
      </w:tr>
      <w:tr w:rsidR="006D271E" w:rsidRPr="006D271E" w14:paraId="6781E5E5" w14:textId="77777777">
        <w:trPr>
          <w:gridAfter w:val="2"/>
          <w:cantSplit/>
          <w:jc w:val="center"/>
        </w:trPr>
        <w:tc>
          <w:tcPr>
            <w:tcW w:w="0" w:type="auto"/>
            <w:shd w:val="clear" w:color="auto" w:fill="B0E3FB"/>
            <w:tcMar>
              <w:top w:w="0" w:type="dxa"/>
              <w:left w:w="0" w:type="dxa"/>
              <w:bottom w:w="0" w:type="dxa"/>
              <w:right w:w="0" w:type="dxa"/>
            </w:tcMar>
            <w:vAlign w:val="center"/>
          </w:tcPr>
          <w:p w14:paraId="31CF0EA5"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tcPr>
          <w:p w14:paraId="6F71AD73" w14:textId="77777777" w:rsidR="009813B9" w:rsidRPr="006D271E" w:rsidRDefault="00EC30AE">
            <w:pPr>
              <w:spacing w:before="40" w:after="40"/>
              <w:ind w:left="40" w:right="40"/>
              <w:jc w:val="center"/>
              <w:rPr>
                <w:sz w:val="16"/>
                <w:szCs w:val="16"/>
              </w:rPr>
            </w:pPr>
            <w:r>
              <w:rPr>
                <w:rFonts w:ascii="Arial" w:eastAsia="Arial" w:hAnsi="Arial" w:cs="Arial"/>
                <w:color w:val="111111"/>
                <w:sz w:val="16"/>
                <w:szCs w:val="16"/>
              </w:rPr>
              <w:t>25.949</w:t>
            </w:r>
          </w:p>
        </w:tc>
        <w:tc>
          <w:tcPr>
            <w:tcW w:w="0" w:type="auto"/>
            <w:shd w:val="clear" w:color="auto" w:fill="B0E3FB"/>
            <w:tcMar>
              <w:top w:w="0" w:type="dxa"/>
              <w:left w:w="0" w:type="dxa"/>
              <w:bottom w:w="0" w:type="dxa"/>
              <w:right w:w="0" w:type="dxa"/>
            </w:tcMar>
            <w:vAlign w:val="center"/>
          </w:tcPr>
          <w:p w14:paraId="771808FD" w14:textId="77777777" w:rsidR="009813B9" w:rsidRPr="006D271E" w:rsidRDefault="00EC30AE">
            <w:pPr>
              <w:spacing w:before="40" w:after="40"/>
              <w:ind w:left="40" w:right="40"/>
              <w:jc w:val="center"/>
              <w:rPr>
                <w:sz w:val="16"/>
                <w:szCs w:val="16"/>
              </w:rPr>
            </w:pPr>
            <w:r>
              <w:rPr>
                <w:rFonts w:ascii="Arial" w:eastAsia="Arial" w:hAnsi="Arial" w:cs="Arial"/>
                <w:color w:val="111111"/>
                <w:sz w:val="16"/>
                <w:szCs w:val="16"/>
              </w:rPr>
              <w:t>34,4</w:t>
            </w:r>
          </w:p>
        </w:tc>
        <w:tc>
          <w:tcPr>
            <w:tcW w:w="0" w:type="auto"/>
            <w:shd w:val="clear" w:color="auto" w:fill="B0E3FB"/>
            <w:tcMar>
              <w:top w:w="0" w:type="dxa"/>
              <w:left w:w="0" w:type="dxa"/>
              <w:bottom w:w="0" w:type="dxa"/>
              <w:right w:w="0" w:type="dxa"/>
            </w:tcMar>
            <w:vAlign w:val="center"/>
          </w:tcPr>
          <w:p w14:paraId="701DC79F"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27.991</w:t>
            </w:r>
          </w:p>
        </w:tc>
        <w:tc>
          <w:tcPr>
            <w:tcW w:w="0" w:type="auto"/>
            <w:shd w:val="clear" w:color="auto" w:fill="B0E3FB"/>
            <w:tcMar>
              <w:top w:w="0" w:type="dxa"/>
              <w:left w:w="0" w:type="dxa"/>
              <w:bottom w:w="0" w:type="dxa"/>
              <w:right w:w="0" w:type="dxa"/>
            </w:tcMar>
            <w:vAlign w:val="center"/>
          </w:tcPr>
          <w:p w14:paraId="41800663"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9,5</w:t>
            </w:r>
          </w:p>
        </w:tc>
      </w:tr>
      <w:tr w:rsidR="006D271E" w:rsidRPr="006D271E" w14:paraId="1FCC7240" w14:textId="77777777">
        <w:trPr>
          <w:gridAfter w:val="2"/>
          <w:cantSplit/>
          <w:jc w:val="center"/>
        </w:trPr>
        <w:tc>
          <w:tcPr>
            <w:tcW w:w="0" w:type="auto"/>
            <w:shd w:val="clear" w:color="auto" w:fill="FFFFFF"/>
            <w:tcMar>
              <w:top w:w="0" w:type="dxa"/>
              <w:left w:w="0" w:type="dxa"/>
              <w:bottom w:w="0" w:type="dxa"/>
              <w:right w:w="0" w:type="dxa"/>
            </w:tcMar>
            <w:vAlign w:val="center"/>
          </w:tcPr>
          <w:p w14:paraId="7D5D6B8A" w14:textId="77777777" w:rsidR="009813B9" w:rsidRPr="006D271E" w:rsidRDefault="006D271E">
            <w:pPr>
              <w:spacing w:before="40" w:after="40"/>
              <w:ind w:left="40" w:right="40"/>
              <w:rPr>
                <w:sz w:val="16"/>
                <w:szCs w:val="16"/>
              </w:rPr>
            </w:pPr>
            <w:r w:rsidRPr="006D271E">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tcPr>
          <w:p w14:paraId="03F375D0" w14:textId="77777777" w:rsidR="009813B9" w:rsidRPr="006D271E" w:rsidRDefault="00EC30AE">
            <w:pPr>
              <w:spacing w:before="40" w:after="40"/>
              <w:ind w:left="40" w:right="40"/>
              <w:jc w:val="center"/>
              <w:rPr>
                <w:sz w:val="16"/>
                <w:szCs w:val="16"/>
              </w:rPr>
            </w:pPr>
            <w:r>
              <w:rPr>
                <w:rFonts w:ascii="Arial" w:eastAsia="Arial" w:hAnsi="Arial" w:cs="Arial"/>
                <w:color w:val="111111"/>
                <w:sz w:val="16"/>
                <w:szCs w:val="16"/>
              </w:rPr>
              <w:t>290</w:t>
            </w:r>
          </w:p>
        </w:tc>
        <w:tc>
          <w:tcPr>
            <w:tcW w:w="0" w:type="auto"/>
            <w:shd w:val="clear" w:color="auto" w:fill="FFFFFF"/>
            <w:tcMar>
              <w:top w:w="0" w:type="dxa"/>
              <w:left w:w="0" w:type="dxa"/>
              <w:bottom w:w="0" w:type="dxa"/>
              <w:right w:w="0" w:type="dxa"/>
            </w:tcMar>
            <w:vAlign w:val="center"/>
          </w:tcPr>
          <w:p w14:paraId="2DFB5699" w14:textId="77777777" w:rsidR="009813B9" w:rsidRPr="006D271E" w:rsidRDefault="006D271E" w:rsidP="00EC30AE">
            <w:pPr>
              <w:spacing w:before="40" w:after="40"/>
              <w:ind w:left="40" w:right="40"/>
              <w:jc w:val="center"/>
              <w:rPr>
                <w:sz w:val="16"/>
                <w:szCs w:val="16"/>
              </w:rPr>
            </w:pPr>
            <w:r w:rsidRPr="006D271E">
              <w:rPr>
                <w:rFonts w:ascii="Arial" w:eastAsia="Arial" w:hAnsi="Arial" w:cs="Arial"/>
                <w:color w:val="111111"/>
                <w:sz w:val="16"/>
                <w:szCs w:val="16"/>
              </w:rPr>
              <w:t>-</w:t>
            </w:r>
            <w:r w:rsidR="00EC30AE">
              <w:rPr>
                <w:rFonts w:ascii="Arial" w:eastAsia="Arial" w:hAnsi="Arial" w:cs="Arial"/>
                <w:color w:val="111111"/>
                <w:sz w:val="16"/>
                <w:szCs w:val="16"/>
              </w:rPr>
              <w:t>14,5</w:t>
            </w:r>
          </w:p>
        </w:tc>
        <w:tc>
          <w:tcPr>
            <w:tcW w:w="0" w:type="auto"/>
            <w:shd w:val="clear" w:color="auto" w:fill="FFFFFF"/>
            <w:tcMar>
              <w:top w:w="0" w:type="dxa"/>
              <w:left w:w="0" w:type="dxa"/>
              <w:bottom w:w="0" w:type="dxa"/>
              <w:right w:w="0" w:type="dxa"/>
            </w:tcMar>
            <w:vAlign w:val="center"/>
          </w:tcPr>
          <w:p w14:paraId="1E36019A"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253</w:t>
            </w:r>
          </w:p>
        </w:tc>
        <w:tc>
          <w:tcPr>
            <w:tcW w:w="0" w:type="auto"/>
            <w:shd w:val="clear" w:color="auto" w:fill="FFFFFF"/>
            <w:tcMar>
              <w:top w:w="0" w:type="dxa"/>
              <w:left w:w="0" w:type="dxa"/>
              <w:bottom w:w="0" w:type="dxa"/>
              <w:right w:w="0" w:type="dxa"/>
            </w:tcMar>
            <w:vAlign w:val="center"/>
          </w:tcPr>
          <w:p w14:paraId="18E83881" w14:textId="77777777" w:rsidR="009813B9" w:rsidRPr="006D271E" w:rsidRDefault="006D271E">
            <w:pPr>
              <w:spacing w:before="40" w:after="40"/>
              <w:ind w:left="40" w:right="40"/>
              <w:jc w:val="center"/>
              <w:rPr>
                <w:sz w:val="16"/>
                <w:szCs w:val="16"/>
              </w:rPr>
            </w:pPr>
            <w:r w:rsidRPr="006D271E">
              <w:rPr>
                <w:rFonts w:ascii="Arial" w:eastAsia="Arial" w:hAnsi="Arial" w:cs="Arial"/>
                <w:color w:val="111111"/>
                <w:sz w:val="16"/>
                <w:szCs w:val="16"/>
              </w:rPr>
              <w:t>-9,6</w:t>
            </w:r>
          </w:p>
        </w:tc>
      </w:tr>
    </w:tbl>
    <w:p w14:paraId="0147BC5F" w14:textId="77777777" w:rsidR="00BA34F4" w:rsidRDefault="00BA34F4">
      <w:pPr>
        <w:pStyle w:val="Telobesedila"/>
        <w:rPr>
          <w:b/>
        </w:rPr>
        <w:sectPr w:rsidR="00BA34F4">
          <w:pgSz w:w="12240" w:h="15840"/>
          <w:pgMar w:top="1417" w:right="1417" w:bottom="1417" w:left="1417" w:header="708" w:footer="708" w:gutter="0"/>
          <w:cols w:space="708"/>
        </w:sectPr>
      </w:pPr>
    </w:p>
    <w:p w14:paraId="3812480D" w14:textId="77777777" w:rsidR="009813B9" w:rsidRDefault="006D271E">
      <w:pPr>
        <w:pStyle w:val="Telobesedila"/>
      </w:pPr>
      <w:r>
        <w:rPr>
          <w:b/>
        </w:rPr>
        <w:lastRenderedPageBreak/>
        <w:t>Tabela 3 Povprečni mesečni znesek na upravičenca v letu 202</w:t>
      </w:r>
      <w:r w:rsidR="00062D01">
        <w:rPr>
          <w:b/>
        </w:rPr>
        <w:t>1</w:t>
      </w:r>
      <w:r>
        <w:rPr>
          <w:b/>
        </w:rPr>
        <w:t xml:space="preserve"> do socialnih transferjev po pravicah</w:t>
      </w:r>
    </w:p>
    <w:tbl>
      <w:tblPr>
        <w:tblW w:w="0" w:type="auto"/>
        <w:jc w:val="center"/>
        <w:tblLook w:val="0420" w:firstRow="1" w:lastRow="0" w:firstColumn="0" w:lastColumn="0" w:noHBand="0" w:noVBand="1"/>
      </w:tblPr>
      <w:tblGrid>
        <w:gridCol w:w="2143"/>
        <w:gridCol w:w="3584"/>
        <w:gridCol w:w="2099"/>
        <w:gridCol w:w="1405"/>
      </w:tblGrid>
      <w:tr w:rsidR="00062D01" w14:paraId="2E2D4D30" w14:textId="77777777" w:rsidTr="00062D01">
        <w:trPr>
          <w:cantSplit/>
          <w:tblHeader/>
          <w:jc w:val="center"/>
        </w:trPr>
        <w:tc>
          <w:tcPr>
            <w:tcW w:w="0" w:type="auto"/>
            <w:shd w:val="clear" w:color="auto" w:fill="8BC9E8"/>
            <w:tcMar>
              <w:top w:w="0" w:type="dxa"/>
              <w:left w:w="0" w:type="dxa"/>
              <w:bottom w:w="0" w:type="dxa"/>
              <w:right w:w="0" w:type="dxa"/>
            </w:tcMar>
            <w:vAlign w:val="center"/>
            <w:hideMark/>
          </w:tcPr>
          <w:p w14:paraId="3062F5C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hideMark/>
          </w:tcPr>
          <w:p w14:paraId="5F7B1361"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hideMark/>
          </w:tcPr>
          <w:p w14:paraId="0FA34C67" w14:textId="77777777" w:rsidR="00062D01" w:rsidRDefault="00062D01">
            <w:pPr>
              <w:spacing w:before="40" w:after="40" w:line="256" w:lineRule="auto"/>
              <w:ind w:left="40" w:right="40"/>
              <w:jc w:val="center"/>
              <w:rPr>
                <w:sz w:val="16"/>
                <w:szCs w:val="16"/>
              </w:rPr>
            </w:pPr>
            <w:r>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hideMark/>
          </w:tcPr>
          <w:p w14:paraId="06B6CEEF" w14:textId="77777777" w:rsidR="00062D01" w:rsidRDefault="00062D01">
            <w:pPr>
              <w:spacing w:before="40" w:after="40" w:line="256" w:lineRule="auto"/>
              <w:ind w:left="40" w:right="40"/>
              <w:jc w:val="center"/>
              <w:rPr>
                <w:sz w:val="16"/>
                <w:szCs w:val="16"/>
              </w:rPr>
            </w:pPr>
            <w:r>
              <w:rPr>
                <w:rFonts w:ascii="Arial" w:eastAsia="Arial" w:hAnsi="Arial" w:cs="Arial"/>
                <w:b/>
                <w:color w:val="111111"/>
                <w:sz w:val="16"/>
                <w:szCs w:val="16"/>
              </w:rPr>
              <w:t>Medletna rast (%)</w:t>
            </w:r>
          </w:p>
        </w:tc>
      </w:tr>
      <w:tr w:rsidR="00062D01" w14:paraId="5B175DA9" w14:textId="77777777" w:rsidTr="00062D01">
        <w:trPr>
          <w:cantSplit/>
          <w:jc w:val="center"/>
        </w:trPr>
        <w:tc>
          <w:tcPr>
            <w:tcW w:w="0" w:type="auto"/>
            <w:shd w:val="clear" w:color="auto" w:fill="B0E3FB"/>
            <w:tcMar>
              <w:top w:w="0" w:type="dxa"/>
              <w:left w:w="0" w:type="dxa"/>
              <w:bottom w:w="0" w:type="dxa"/>
              <w:right w:w="0" w:type="dxa"/>
            </w:tcMar>
            <w:vAlign w:val="center"/>
            <w:hideMark/>
          </w:tcPr>
          <w:p w14:paraId="1AF70447"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116BE978"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Otroški dodatek</w:t>
            </w:r>
          </w:p>
        </w:tc>
        <w:tc>
          <w:tcPr>
            <w:tcW w:w="0" w:type="auto"/>
            <w:shd w:val="clear" w:color="auto" w:fill="B0E3FB"/>
            <w:tcMar>
              <w:top w:w="0" w:type="dxa"/>
              <w:left w:w="0" w:type="dxa"/>
              <w:bottom w:w="0" w:type="dxa"/>
              <w:right w:w="0" w:type="dxa"/>
            </w:tcMar>
            <w:vAlign w:val="center"/>
            <w:hideMark/>
          </w:tcPr>
          <w:p w14:paraId="73E8539E"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63,4</w:t>
            </w:r>
          </w:p>
        </w:tc>
        <w:tc>
          <w:tcPr>
            <w:tcW w:w="0" w:type="auto"/>
            <w:shd w:val="clear" w:color="auto" w:fill="B0E3FB"/>
            <w:tcMar>
              <w:top w:w="0" w:type="dxa"/>
              <w:left w:w="0" w:type="dxa"/>
              <w:bottom w:w="0" w:type="dxa"/>
              <w:right w:w="0" w:type="dxa"/>
            </w:tcMar>
            <w:vAlign w:val="center"/>
            <w:hideMark/>
          </w:tcPr>
          <w:p w14:paraId="32DCC8F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-1,8</w:t>
            </w:r>
          </w:p>
        </w:tc>
      </w:tr>
      <w:tr w:rsidR="00062D01" w14:paraId="36929358" w14:textId="77777777" w:rsidTr="00062D01">
        <w:trPr>
          <w:cantSplit/>
          <w:jc w:val="center"/>
        </w:trPr>
        <w:tc>
          <w:tcPr>
            <w:tcW w:w="0" w:type="auto"/>
            <w:shd w:val="clear" w:color="auto" w:fill="FFFFFF"/>
            <w:tcMar>
              <w:top w:w="0" w:type="dxa"/>
              <w:left w:w="0" w:type="dxa"/>
              <w:bottom w:w="0" w:type="dxa"/>
              <w:right w:w="0" w:type="dxa"/>
            </w:tcMar>
            <w:vAlign w:val="center"/>
            <w:hideMark/>
          </w:tcPr>
          <w:p w14:paraId="2A710EBD"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hideMark/>
          </w:tcPr>
          <w:p w14:paraId="4E4F232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Vinjete</w:t>
            </w:r>
          </w:p>
        </w:tc>
        <w:tc>
          <w:tcPr>
            <w:tcW w:w="0" w:type="auto"/>
            <w:shd w:val="clear" w:color="auto" w:fill="FFFFFF"/>
            <w:tcMar>
              <w:top w:w="0" w:type="dxa"/>
              <w:left w:w="0" w:type="dxa"/>
              <w:bottom w:w="0" w:type="dxa"/>
              <w:right w:w="0" w:type="dxa"/>
            </w:tcMar>
            <w:vAlign w:val="center"/>
            <w:hideMark/>
          </w:tcPr>
          <w:p w14:paraId="4D05703B"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110,0</w:t>
            </w:r>
          </w:p>
        </w:tc>
        <w:tc>
          <w:tcPr>
            <w:tcW w:w="0" w:type="auto"/>
            <w:shd w:val="clear" w:color="auto" w:fill="FFFFFF"/>
            <w:tcMar>
              <w:top w:w="0" w:type="dxa"/>
              <w:left w:w="0" w:type="dxa"/>
              <w:bottom w:w="0" w:type="dxa"/>
              <w:right w:w="0" w:type="dxa"/>
            </w:tcMar>
            <w:vAlign w:val="center"/>
            <w:hideMark/>
          </w:tcPr>
          <w:p w14:paraId="64AF5D13"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0,0</w:t>
            </w:r>
          </w:p>
        </w:tc>
      </w:tr>
      <w:tr w:rsidR="00062D01" w14:paraId="64D05F6E" w14:textId="77777777" w:rsidTr="00062D01">
        <w:trPr>
          <w:cantSplit/>
          <w:jc w:val="center"/>
        </w:trPr>
        <w:tc>
          <w:tcPr>
            <w:tcW w:w="0" w:type="auto"/>
            <w:shd w:val="clear" w:color="auto" w:fill="B0E3FB"/>
            <w:tcMar>
              <w:top w:w="0" w:type="dxa"/>
              <w:left w:w="0" w:type="dxa"/>
              <w:bottom w:w="0" w:type="dxa"/>
              <w:right w:w="0" w:type="dxa"/>
            </w:tcMar>
            <w:vAlign w:val="center"/>
            <w:hideMark/>
          </w:tcPr>
          <w:p w14:paraId="302B70F5"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0D99469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Državna štipendija</w:t>
            </w:r>
          </w:p>
        </w:tc>
        <w:tc>
          <w:tcPr>
            <w:tcW w:w="0" w:type="auto"/>
            <w:shd w:val="clear" w:color="auto" w:fill="B0E3FB"/>
            <w:tcMar>
              <w:top w:w="0" w:type="dxa"/>
              <w:left w:w="0" w:type="dxa"/>
              <w:bottom w:w="0" w:type="dxa"/>
              <w:right w:w="0" w:type="dxa"/>
            </w:tcMar>
            <w:vAlign w:val="center"/>
            <w:hideMark/>
          </w:tcPr>
          <w:p w14:paraId="4C36C62F"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111,7</w:t>
            </w:r>
          </w:p>
        </w:tc>
        <w:tc>
          <w:tcPr>
            <w:tcW w:w="0" w:type="auto"/>
            <w:shd w:val="clear" w:color="auto" w:fill="B0E3FB"/>
            <w:tcMar>
              <w:top w:w="0" w:type="dxa"/>
              <w:left w:w="0" w:type="dxa"/>
              <w:bottom w:w="0" w:type="dxa"/>
              <w:right w:w="0" w:type="dxa"/>
            </w:tcMar>
            <w:vAlign w:val="center"/>
            <w:hideMark/>
          </w:tcPr>
          <w:p w14:paraId="6C5DC80C"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0,3</w:t>
            </w:r>
          </w:p>
        </w:tc>
      </w:tr>
      <w:tr w:rsidR="00062D01" w14:paraId="57CCC212" w14:textId="77777777" w:rsidTr="00062D01">
        <w:trPr>
          <w:cantSplit/>
          <w:jc w:val="center"/>
        </w:trPr>
        <w:tc>
          <w:tcPr>
            <w:tcW w:w="0" w:type="auto"/>
            <w:shd w:val="clear" w:color="auto" w:fill="FFFFFF"/>
            <w:tcMar>
              <w:top w:w="0" w:type="dxa"/>
              <w:left w:w="0" w:type="dxa"/>
              <w:bottom w:w="0" w:type="dxa"/>
              <w:right w:w="0" w:type="dxa"/>
            </w:tcMar>
            <w:vAlign w:val="center"/>
            <w:hideMark/>
          </w:tcPr>
          <w:p w14:paraId="28E9EE88"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hideMark/>
          </w:tcPr>
          <w:p w14:paraId="31709CA4"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Krajši delovni čas</w:t>
            </w:r>
          </w:p>
        </w:tc>
        <w:tc>
          <w:tcPr>
            <w:tcW w:w="0" w:type="auto"/>
            <w:shd w:val="clear" w:color="auto" w:fill="FFFFFF"/>
            <w:tcMar>
              <w:top w:w="0" w:type="dxa"/>
              <w:left w:w="0" w:type="dxa"/>
              <w:bottom w:w="0" w:type="dxa"/>
              <w:right w:w="0" w:type="dxa"/>
            </w:tcMar>
            <w:vAlign w:val="center"/>
            <w:hideMark/>
          </w:tcPr>
          <w:p w14:paraId="4836131F"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129,0</w:t>
            </w:r>
          </w:p>
        </w:tc>
        <w:tc>
          <w:tcPr>
            <w:tcW w:w="0" w:type="auto"/>
            <w:shd w:val="clear" w:color="auto" w:fill="FFFFFF"/>
            <w:tcMar>
              <w:top w:w="0" w:type="dxa"/>
              <w:left w:w="0" w:type="dxa"/>
              <w:bottom w:w="0" w:type="dxa"/>
              <w:right w:w="0" w:type="dxa"/>
            </w:tcMar>
            <w:vAlign w:val="center"/>
            <w:hideMark/>
          </w:tcPr>
          <w:p w14:paraId="5D887A68"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9,6</w:t>
            </w:r>
          </w:p>
        </w:tc>
      </w:tr>
      <w:tr w:rsidR="00062D01" w14:paraId="2F938AA5" w14:textId="77777777" w:rsidTr="00062D01">
        <w:trPr>
          <w:cantSplit/>
          <w:jc w:val="center"/>
        </w:trPr>
        <w:tc>
          <w:tcPr>
            <w:tcW w:w="0" w:type="auto"/>
            <w:shd w:val="clear" w:color="auto" w:fill="B0E3FB"/>
            <w:tcMar>
              <w:top w:w="0" w:type="dxa"/>
              <w:left w:w="0" w:type="dxa"/>
              <w:bottom w:w="0" w:type="dxa"/>
              <w:right w:w="0" w:type="dxa"/>
            </w:tcMar>
            <w:vAlign w:val="center"/>
            <w:hideMark/>
          </w:tcPr>
          <w:p w14:paraId="653E01A8"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16D2710F"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Štipendije sklada</w:t>
            </w:r>
          </w:p>
        </w:tc>
        <w:tc>
          <w:tcPr>
            <w:tcW w:w="0" w:type="auto"/>
            <w:shd w:val="clear" w:color="auto" w:fill="B0E3FB"/>
            <w:tcMar>
              <w:top w:w="0" w:type="dxa"/>
              <w:left w:w="0" w:type="dxa"/>
              <w:bottom w:w="0" w:type="dxa"/>
              <w:right w:w="0" w:type="dxa"/>
            </w:tcMar>
            <w:vAlign w:val="center"/>
            <w:hideMark/>
          </w:tcPr>
          <w:p w14:paraId="22481CE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229,5</w:t>
            </w:r>
          </w:p>
        </w:tc>
        <w:tc>
          <w:tcPr>
            <w:tcW w:w="0" w:type="auto"/>
            <w:shd w:val="clear" w:color="auto" w:fill="B0E3FB"/>
            <w:tcMar>
              <w:top w:w="0" w:type="dxa"/>
              <w:left w:w="0" w:type="dxa"/>
              <w:bottom w:w="0" w:type="dxa"/>
              <w:right w:w="0" w:type="dxa"/>
            </w:tcMar>
            <w:vAlign w:val="center"/>
            <w:hideMark/>
          </w:tcPr>
          <w:p w14:paraId="438A66B8"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4,5</w:t>
            </w:r>
          </w:p>
        </w:tc>
      </w:tr>
      <w:tr w:rsidR="00062D01" w14:paraId="4604B817" w14:textId="77777777" w:rsidTr="00062D01">
        <w:trPr>
          <w:cantSplit/>
          <w:jc w:val="center"/>
        </w:trPr>
        <w:tc>
          <w:tcPr>
            <w:tcW w:w="0" w:type="auto"/>
            <w:shd w:val="clear" w:color="auto" w:fill="FFFFFF"/>
            <w:tcMar>
              <w:top w:w="0" w:type="dxa"/>
              <w:left w:w="0" w:type="dxa"/>
              <w:bottom w:w="0" w:type="dxa"/>
              <w:right w:w="0" w:type="dxa"/>
            </w:tcMar>
            <w:vAlign w:val="center"/>
            <w:hideMark/>
          </w:tcPr>
          <w:p w14:paraId="4A3AA1B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hideMark/>
          </w:tcPr>
          <w:p w14:paraId="465A2DFD"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Starševski dodatek</w:t>
            </w:r>
          </w:p>
        </w:tc>
        <w:tc>
          <w:tcPr>
            <w:tcW w:w="0" w:type="auto"/>
            <w:shd w:val="clear" w:color="auto" w:fill="FFFFFF"/>
            <w:tcMar>
              <w:top w:w="0" w:type="dxa"/>
              <w:left w:w="0" w:type="dxa"/>
              <w:bottom w:w="0" w:type="dxa"/>
              <w:right w:w="0" w:type="dxa"/>
            </w:tcMar>
            <w:vAlign w:val="center"/>
            <w:hideMark/>
          </w:tcPr>
          <w:p w14:paraId="0CA31436"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251,3</w:t>
            </w:r>
          </w:p>
        </w:tc>
        <w:tc>
          <w:tcPr>
            <w:tcW w:w="0" w:type="auto"/>
            <w:shd w:val="clear" w:color="auto" w:fill="FFFFFF"/>
            <w:tcMar>
              <w:top w:w="0" w:type="dxa"/>
              <w:left w:w="0" w:type="dxa"/>
              <w:bottom w:w="0" w:type="dxa"/>
              <w:right w:w="0" w:type="dxa"/>
            </w:tcMar>
            <w:vAlign w:val="center"/>
            <w:hideMark/>
          </w:tcPr>
          <w:p w14:paraId="674B122A"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6,5</w:t>
            </w:r>
          </w:p>
        </w:tc>
      </w:tr>
      <w:tr w:rsidR="00062D01" w14:paraId="6C35C7EB" w14:textId="77777777" w:rsidTr="00062D01">
        <w:trPr>
          <w:cantSplit/>
          <w:jc w:val="center"/>
        </w:trPr>
        <w:tc>
          <w:tcPr>
            <w:tcW w:w="0" w:type="auto"/>
            <w:shd w:val="clear" w:color="auto" w:fill="B0E3FB"/>
            <w:tcMar>
              <w:top w:w="0" w:type="dxa"/>
              <w:left w:w="0" w:type="dxa"/>
              <w:bottom w:w="0" w:type="dxa"/>
              <w:right w:w="0" w:type="dxa"/>
            </w:tcMar>
            <w:vAlign w:val="center"/>
            <w:hideMark/>
          </w:tcPr>
          <w:p w14:paraId="3E17143C"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16701F6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Plačilo prispevkov (4 ali več otrok)</w:t>
            </w:r>
          </w:p>
        </w:tc>
        <w:tc>
          <w:tcPr>
            <w:tcW w:w="0" w:type="auto"/>
            <w:shd w:val="clear" w:color="auto" w:fill="B0E3FB"/>
            <w:tcMar>
              <w:top w:w="0" w:type="dxa"/>
              <w:left w:w="0" w:type="dxa"/>
              <w:bottom w:w="0" w:type="dxa"/>
              <w:right w:w="0" w:type="dxa"/>
            </w:tcMar>
            <w:vAlign w:val="center"/>
            <w:hideMark/>
          </w:tcPr>
          <w:p w14:paraId="6670C76B"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308,7</w:t>
            </w:r>
          </w:p>
        </w:tc>
        <w:tc>
          <w:tcPr>
            <w:tcW w:w="0" w:type="auto"/>
            <w:shd w:val="clear" w:color="auto" w:fill="B0E3FB"/>
            <w:tcMar>
              <w:top w:w="0" w:type="dxa"/>
              <w:left w:w="0" w:type="dxa"/>
              <w:bottom w:w="0" w:type="dxa"/>
              <w:right w:w="0" w:type="dxa"/>
            </w:tcMar>
            <w:vAlign w:val="center"/>
            <w:hideMark/>
          </w:tcPr>
          <w:p w14:paraId="0F9F4564"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8,8</w:t>
            </w:r>
          </w:p>
        </w:tc>
      </w:tr>
      <w:tr w:rsidR="00062D01" w14:paraId="3FF9E008" w14:textId="77777777" w:rsidTr="00062D01">
        <w:trPr>
          <w:cantSplit/>
          <w:jc w:val="center"/>
        </w:trPr>
        <w:tc>
          <w:tcPr>
            <w:tcW w:w="0" w:type="auto"/>
            <w:shd w:val="clear" w:color="auto" w:fill="FFFFFF"/>
            <w:tcMar>
              <w:top w:w="0" w:type="dxa"/>
              <w:left w:w="0" w:type="dxa"/>
              <w:bottom w:w="0" w:type="dxa"/>
              <w:right w:w="0" w:type="dxa"/>
            </w:tcMar>
            <w:vAlign w:val="center"/>
            <w:hideMark/>
          </w:tcPr>
          <w:p w14:paraId="66438438"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hideMark/>
          </w:tcPr>
          <w:p w14:paraId="4734504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Pomoč ob rojstvu otroka</w:t>
            </w:r>
          </w:p>
        </w:tc>
        <w:tc>
          <w:tcPr>
            <w:tcW w:w="0" w:type="auto"/>
            <w:shd w:val="clear" w:color="auto" w:fill="FFFFFF"/>
            <w:tcMar>
              <w:top w:w="0" w:type="dxa"/>
              <w:left w:w="0" w:type="dxa"/>
              <w:bottom w:w="0" w:type="dxa"/>
              <w:right w:w="0" w:type="dxa"/>
            </w:tcMar>
            <w:vAlign w:val="center"/>
            <w:hideMark/>
          </w:tcPr>
          <w:p w14:paraId="3CF992C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347,5</w:t>
            </w:r>
          </w:p>
        </w:tc>
        <w:tc>
          <w:tcPr>
            <w:tcW w:w="0" w:type="auto"/>
            <w:shd w:val="clear" w:color="auto" w:fill="FFFFFF"/>
            <w:tcMar>
              <w:top w:w="0" w:type="dxa"/>
              <w:left w:w="0" w:type="dxa"/>
              <w:bottom w:w="0" w:type="dxa"/>
              <w:right w:w="0" w:type="dxa"/>
            </w:tcMar>
            <w:vAlign w:val="center"/>
            <w:hideMark/>
          </w:tcPr>
          <w:p w14:paraId="4D7FEED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19,2</w:t>
            </w:r>
          </w:p>
        </w:tc>
      </w:tr>
      <w:tr w:rsidR="00062D01" w14:paraId="256DD6B6" w14:textId="77777777" w:rsidTr="00062D01">
        <w:trPr>
          <w:cantSplit/>
          <w:jc w:val="center"/>
        </w:trPr>
        <w:tc>
          <w:tcPr>
            <w:tcW w:w="0" w:type="auto"/>
            <w:shd w:val="clear" w:color="auto" w:fill="B0E3FB"/>
            <w:tcMar>
              <w:top w:w="0" w:type="dxa"/>
              <w:left w:w="0" w:type="dxa"/>
              <w:bottom w:w="0" w:type="dxa"/>
              <w:right w:w="0" w:type="dxa"/>
            </w:tcMar>
            <w:vAlign w:val="center"/>
            <w:hideMark/>
          </w:tcPr>
          <w:p w14:paraId="70146267"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590FFEE8"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Dodatek za veliko družino</w:t>
            </w:r>
          </w:p>
        </w:tc>
        <w:tc>
          <w:tcPr>
            <w:tcW w:w="0" w:type="auto"/>
            <w:shd w:val="clear" w:color="auto" w:fill="B0E3FB"/>
            <w:tcMar>
              <w:top w:w="0" w:type="dxa"/>
              <w:left w:w="0" w:type="dxa"/>
              <w:bottom w:w="0" w:type="dxa"/>
              <w:right w:w="0" w:type="dxa"/>
            </w:tcMar>
            <w:vAlign w:val="center"/>
            <w:hideMark/>
          </w:tcPr>
          <w:p w14:paraId="55B2DCE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412,2</w:t>
            </w:r>
          </w:p>
        </w:tc>
        <w:tc>
          <w:tcPr>
            <w:tcW w:w="0" w:type="auto"/>
            <w:shd w:val="clear" w:color="auto" w:fill="B0E3FB"/>
            <w:tcMar>
              <w:top w:w="0" w:type="dxa"/>
              <w:left w:w="0" w:type="dxa"/>
              <w:bottom w:w="0" w:type="dxa"/>
              <w:right w:w="0" w:type="dxa"/>
            </w:tcMar>
            <w:vAlign w:val="center"/>
            <w:hideMark/>
          </w:tcPr>
          <w:p w14:paraId="49D25759"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0,3</w:t>
            </w:r>
          </w:p>
        </w:tc>
      </w:tr>
      <w:tr w:rsidR="00062D01" w14:paraId="7A1414A0" w14:textId="77777777" w:rsidTr="00062D01">
        <w:trPr>
          <w:cantSplit/>
          <w:jc w:val="center"/>
        </w:trPr>
        <w:tc>
          <w:tcPr>
            <w:tcW w:w="0" w:type="auto"/>
            <w:shd w:val="clear" w:color="auto" w:fill="FFFFFF"/>
            <w:tcMar>
              <w:top w:w="0" w:type="dxa"/>
              <w:left w:w="0" w:type="dxa"/>
              <w:bottom w:w="0" w:type="dxa"/>
              <w:right w:w="0" w:type="dxa"/>
            </w:tcMar>
            <w:vAlign w:val="center"/>
            <w:hideMark/>
          </w:tcPr>
          <w:p w14:paraId="01D2D4BF"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hideMark/>
          </w:tcPr>
          <w:p w14:paraId="10384196"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Rejnine</w:t>
            </w:r>
          </w:p>
        </w:tc>
        <w:tc>
          <w:tcPr>
            <w:tcW w:w="0" w:type="auto"/>
            <w:shd w:val="clear" w:color="auto" w:fill="FFFFFF"/>
            <w:tcMar>
              <w:top w:w="0" w:type="dxa"/>
              <w:left w:w="0" w:type="dxa"/>
              <w:bottom w:w="0" w:type="dxa"/>
              <w:right w:w="0" w:type="dxa"/>
            </w:tcMar>
            <w:vAlign w:val="center"/>
            <w:hideMark/>
          </w:tcPr>
          <w:p w14:paraId="5938D2B0"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552,7</w:t>
            </w:r>
          </w:p>
        </w:tc>
        <w:tc>
          <w:tcPr>
            <w:tcW w:w="0" w:type="auto"/>
            <w:shd w:val="clear" w:color="auto" w:fill="FFFFFF"/>
            <w:tcMar>
              <w:top w:w="0" w:type="dxa"/>
              <w:left w:w="0" w:type="dxa"/>
              <w:bottom w:w="0" w:type="dxa"/>
              <w:right w:w="0" w:type="dxa"/>
            </w:tcMar>
            <w:vAlign w:val="center"/>
            <w:hideMark/>
          </w:tcPr>
          <w:p w14:paraId="73F7877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-0,8</w:t>
            </w:r>
          </w:p>
        </w:tc>
      </w:tr>
      <w:tr w:rsidR="00062D01" w14:paraId="2B9FEFB6" w14:textId="77777777" w:rsidTr="00062D01">
        <w:trPr>
          <w:cantSplit/>
          <w:jc w:val="center"/>
        </w:trPr>
        <w:tc>
          <w:tcPr>
            <w:tcW w:w="0" w:type="auto"/>
            <w:shd w:val="clear" w:color="auto" w:fill="B0E3FB"/>
            <w:tcMar>
              <w:top w:w="0" w:type="dxa"/>
              <w:left w:w="0" w:type="dxa"/>
              <w:bottom w:w="0" w:type="dxa"/>
              <w:right w:w="0" w:type="dxa"/>
            </w:tcMar>
            <w:vAlign w:val="center"/>
            <w:hideMark/>
          </w:tcPr>
          <w:p w14:paraId="6F6833D6"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hideMark/>
          </w:tcPr>
          <w:p w14:paraId="0B99805F"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Starševski dopusti in nadomestila</w:t>
            </w:r>
          </w:p>
        </w:tc>
        <w:tc>
          <w:tcPr>
            <w:tcW w:w="0" w:type="auto"/>
            <w:shd w:val="clear" w:color="auto" w:fill="B0E3FB"/>
            <w:tcMar>
              <w:top w:w="0" w:type="dxa"/>
              <w:left w:w="0" w:type="dxa"/>
              <w:bottom w:w="0" w:type="dxa"/>
              <w:right w:w="0" w:type="dxa"/>
            </w:tcMar>
            <w:vAlign w:val="center"/>
            <w:hideMark/>
          </w:tcPr>
          <w:p w14:paraId="1ADE7815"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1.192,1</w:t>
            </w:r>
          </w:p>
        </w:tc>
        <w:tc>
          <w:tcPr>
            <w:tcW w:w="0" w:type="auto"/>
            <w:shd w:val="clear" w:color="auto" w:fill="B0E3FB"/>
            <w:tcMar>
              <w:top w:w="0" w:type="dxa"/>
              <w:left w:w="0" w:type="dxa"/>
              <w:bottom w:w="0" w:type="dxa"/>
              <w:right w:w="0" w:type="dxa"/>
            </w:tcMar>
            <w:vAlign w:val="center"/>
            <w:hideMark/>
          </w:tcPr>
          <w:p w14:paraId="63B1809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6,2</w:t>
            </w:r>
          </w:p>
        </w:tc>
      </w:tr>
      <w:tr w:rsidR="00062D01" w14:paraId="60DB63EE" w14:textId="77777777" w:rsidTr="00062D01">
        <w:trPr>
          <w:cantSplit/>
          <w:jc w:val="center"/>
        </w:trPr>
        <w:tc>
          <w:tcPr>
            <w:tcW w:w="0" w:type="auto"/>
            <w:shd w:val="clear" w:color="auto" w:fill="FFFFFF"/>
            <w:tcMar>
              <w:top w:w="0" w:type="dxa"/>
              <w:left w:w="0" w:type="dxa"/>
              <w:bottom w:w="0" w:type="dxa"/>
              <w:right w:w="0" w:type="dxa"/>
            </w:tcMar>
            <w:vAlign w:val="center"/>
            <w:hideMark/>
          </w:tcPr>
          <w:p w14:paraId="31BBE971"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hideMark/>
          </w:tcPr>
          <w:p w14:paraId="10F7631A"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hideMark/>
          </w:tcPr>
          <w:p w14:paraId="7DA1A81F"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122,3</w:t>
            </w:r>
          </w:p>
        </w:tc>
        <w:tc>
          <w:tcPr>
            <w:tcW w:w="0" w:type="auto"/>
            <w:shd w:val="clear" w:color="auto" w:fill="FFFFFF"/>
            <w:tcMar>
              <w:top w:w="0" w:type="dxa"/>
              <w:left w:w="0" w:type="dxa"/>
              <w:bottom w:w="0" w:type="dxa"/>
              <w:right w:w="0" w:type="dxa"/>
            </w:tcMar>
            <w:vAlign w:val="center"/>
            <w:hideMark/>
          </w:tcPr>
          <w:p w14:paraId="3DBB98A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0,6</w:t>
            </w:r>
          </w:p>
        </w:tc>
      </w:tr>
      <w:tr w:rsidR="00062D01" w14:paraId="42C840E9" w14:textId="77777777" w:rsidTr="00062D01">
        <w:trPr>
          <w:cantSplit/>
          <w:jc w:val="center"/>
        </w:trPr>
        <w:tc>
          <w:tcPr>
            <w:tcW w:w="0" w:type="auto"/>
            <w:shd w:val="clear" w:color="auto" w:fill="B0E3FB"/>
            <w:tcMar>
              <w:top w:w="0" w:type="dxa"/>
              <w:left w:w="0" w:type="dxa"/>
              <w:bottom w:w="0" w:type="dxa"/>
              <w:right w:w="0" w:type="dxa"/>
            </w:tcMar>
            <w:vAlign w:val="center"/>
            <w:hideMark/>
          </w:tcPr>
          <w:p w14:paraId="5B957C9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hideMark/>
          </w:tcPr>
          <w:p w14:paraId="10D8E87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Osebna asistenca/komunikacijski dodatek</w:t>
            </w:r>
          </w:p>
        </w:tc>
        <w:tc>
          <w:tcPr>
            <w:tcW w:w="0" w:type="auto"/>
            <w:shd w:val="clear" w:color="auto" w:fill="B0E3FB"/>
            <w:tcMar>
              <w:top w:w="0" w:type="dxa"/>
              <w:left w:w="0" w:type="dxa"/>
              <w:bottom w:w="0" w:type="dxa"/>
              <w:right w:w="0" w:type="dxa"/>
            </w:tcMar>
            <w:vAlign w:val="center"/>
            <w:hideMark/>
          </w:tcPr>
          <w:p w14:paraId="6C5A3D78"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150,0</w:t>
            </w:r>
          </w:p>
        </w:tc>
        <w:tc>
          <w:tcPr>
            <w:tcW w:w="0" w:type="auto"/>
            <w:shd w:val="clear" w:color="auto" w:fill="B0E3FB"/>
            <w:tcMar>
              <w:top w:w="0" w:type="dxa"/>
              <w:left w:w="0" w:type="dxa"/>
              <w:bottom w:w="0" w:type="dxa"/>
              <w:right w:w="0" w:type="dxa"/>
            </w:tcMar>
            <w:vAlign w:val="center"/>
            <w:hideMark/>
          </w:tcPr>
          <w:p w14:paraId="5CF51F8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0,0</w:t>
            </w:r>
          </w:p>
        </w:tc>
      </w:tr>
      <w:tr w:rsidR="00062D01" w14:paraId="3C5F1856" w14:textId="77777777" w:rsidTr="00062D01">
        <w:trPr>
          <w:cantSplit/>
          <w:jc w:val="center"/>
        </w:trPr>
        <w:tc>
          <w:tcPr>
            <w:tcW w:w="0" w:type="auto"/>
            <w:shd w:val="clear" w:color="auto" w:fill="FFFFFF"/>
            <w:tcMar>
              <w:top w:w="0" w:type="dxa"/>
              <w:left w:w="0" w:type="dxa"/>
              <w:bottom w:w="0" w:type="dxa"/>
              <w:right w:w="0" w:type="dxa"/>
            </w:tcMar>
            <w:vAlign w:val="center"/>
            <w:hideMark/>
          </w:tcPr>
          <w:p w14:paraId="176EF89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hideMark/>
          </w:tcPr>
          <w:p w14:paraId="1742CF49"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Varstveni dodatek</w:t>
            </w:r>
          </w:p>
        </w:tc>
        <w:tc>
          <w:tcPr>
            <w:tcW w:w="0" w:type="auto"/>
            <w:shd w:val="clear" w:color="auto" w:fill="FFFFFF"/>
            <w:tcMar>
              <w:top w:w="0" w:type="dxa"/>
              <w:left w:w="0" w:type="dxa"/>
              <w:bottom w:w="0" w:type="dxa"/>
              <w:right w:w="0" w:type="dxa"/>
            </w:tcMar>
            <w:vAlign w:val="center"/>
            <w:hideMark/>
          </w:tcPr>
          <w:p w14:paraId="7916D99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153,4</w:t>
            </w:r>
          </w:p>
        </w:tc>
        <w:tc>
          <w:tcPr>
            <w:tcW w:w="0" w:type="auto"/>
            <w:shd w:val="clear" w:color="auto" w:fill="FFFFFF"/>
            <w:tcMar>
              <w:top w:w="0" w:type="dxa"/>
              <w:left w:w="0" w:type="dxa"/>
              <w:bottom w:w="0" w:type="dxa"/>
              <w:right w:w="0" w:type="dxa"/>
            </w:tcMar>
            <w:vAlign w:val="center"/>
            <w:hideMark/>
          </w:tcPr>
          <w:p w14:paraId="7CA761C7"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-4,1</w:t>
            </w:r>
          </w:p>
        </w:tc>
      </w:tr>
      <w:tr w:rsidR="00062D01" w14:paraId="3DD4400F" w14:textId="77777777" w:rsidTr="00062D01">
        <w:trPr>
          <w:cantSplit/>
          <w:jc w:val="center"/>
        </w:trPr>
        <w:tc>
          <w:tcPr>
            <w:tcW w:w="0" w:type="auto"/>
            <w:shd w:val="clear" w:color="auto" w:fill="B0E3FB"/>
            <w:tcMar>
              <w:top w:w="0" w:type="dxa"/>
              <w:left w:w="0" w:type="dxa"/>
              <w:bottom w:w="0" w:type="dxa"/>
              <w:right w:w="0" w:type="dxa"/>
            </w:tcMar>
            <w:vAlign w:val="center"/>
            <w:hideMark/>
          </w:tcPr>
          <w:p w14:paraId="27357DA0"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hideMark/>
          </w:tcPr>
          <w:p w14:paraId="4A21298F"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Dodatek za pomoč in postrežbo</w:t>
            </w:r>
          </w:p>
        </w:tc>
        <w:tc>
          <w:tcPr>
            <w:tcW w:w="0" w:type="auto"/>
            <w:shd w:val="clear" w:color="auto" w:fill="B0E3FB"/>
            <w:tcMar>
              <w:top w:w="0" w:type="dxa"/>
              <w:left w:w="0" w:type="dxa"/>
              <w:bottom w:w="0" w:type="dxa"/>
              <w:right w:w="0" w:type="dxa"/>
            </w:tcMar>
            <w:vAlign w:val="center"/>
            <w:hideMark/>
          </w:tcPr>
          <w:p w14:paraId="754422E5"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204,3</w:t>
            </w:r>
          </w:p>
        </w:tc>
        <w:tc>
          <w:tcPr>
            <w:tcW w:w="0" w:type="auto"/>
            <w:shd w:val="clear" w:color="auto" w:fill="B0E3FB"/>
            <w:tcMar>
              <w:top w:w="0" w:type="dxa"/>
              <w:left w:w="0" w:type="dxa"/>
              <w:bottom w:w="0" w:type="dxa"/>
              <w:right w:w="0" w:type="dxa"/>
            </w:tcMar>
            <w:vAlign w:val="center"/>
            <w:hideMark/>
          </w:tcPr>
          <w:p w14:paraId="51FBA420"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-0,6</w:t>
            </w:r>
          </w:p>
        </w:tc>
      </w:tr>
      <w:tr w:rsidR="00062D01" w14:paraId="1E118C04" w14:textId="77777777" w:rsidTr="00062D01">
        <w:trPr>
          <w:cantSplit/>
          <w:jc w:val="center"/>
        </w:trPr>
        <w:tc>
          <w:tcPr>
            <w:tcW w:w="0" w:type="auto"/>
            <w:shd w:val="clear" w:color="auto" w:fill="FFFFFF"/>
            <w:tcMar>
              <w:top w:w="0" w:type="dxa"/>
              <w:left w:w="0" w:type="dxa"/>
              <w:bottom w:w="0" w:type="dxa"/>
              <w:right w:w="0" w:type="dxa"/>
            </w:tcMar>
            <w:vAlign w:val="center"/>
            <w:hideMark/>
          </w:tcPr>
          <w:p w14:paraId="12AA5086"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hideMark/>
          </w:tcPr>
          <w:p w14:paraId="2ADFECB0"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Posmrtnine</w:t>
            </w:r>
          </w:p>
        </w:tc>
        <w:tc>
          <w:tcPr>
            <w:tcW w:w="0" w:type="auto"/>
            <w:shd w:val="clear" w:color="auto" w:fill="FFFFFF"/>
            <w:tcMar>
              <w:top w:w="0" w:type="dxa"/>
              <w:left w:w="0" w:type="dxa"/>
              <w:bottom w:w="0" w:type="dxa"/>
              <w:right w:w="0" w:type="dxa"/>
            </w:tcMar>
            <w:vAlign w:val="center"/>
            <w:hideMark/>
          </w:tcPr>
          <w:p w14:paraId="6B87E4C4"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402,2</w:t>
            </w:r>
          </w:p>
        </w:tc>
        <w:tc>
          <w:tcPr>
            <w:tcW w:w="0" w:type="auto"/>
            <w:shd w:val="clear" w:color="auto" w:fill="FFFFFF"/>
            <w:tcMar>
              <w:top w:w="0" w:type="dxa"/>
              <w:left w:w="0" w:type="dxa"/>
              <w:bottom w:w="0" w:type="dxa"/>
              <w:right w:w="0" w:type="dxa"/>
            </w:tcMar>
            <w:vAlign w:val="center"/>
            <w:hideMark/>
          </w:tcPr>
          <w:p w14:paraId="5760225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-0,0</w:t>
            </w:r>
          </w:p>
        </w:tc>
      </w:tr>
      <w:tr w:rsidR="00062D01" w14:paraId="1CEFAD18" w14:textId="77777777" w:rsidTr="00062D01">
        <w:trPr>
          <w:cantSplit/>
          <w:jc w:val="center"/>
        </w:trPr>
        <w:tc>
          <w:tcPr>
            <w:tcW w:w="0" w:type="auto"/>
            <w:shd w:val="clear" w:color="auto" w:fill="B0E3FB"/>
            <w:tcMar>
              <w:top w:w="0" w:type="dxa"/>
              <w:left w:w="0" w:type="dxa"/>
              <w:bottom w:w="0" w:type="dxa"/>
              <w:right w:w="0" w:type="dxa"/>
            </w:tcMar>
            <w:vAlign w:val="center"/>
            <w:hideMark/>
          </w:tcPr>
          <w:p w14:paraId="22354255"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hideMark/>
          </w:tcPr>
          <w:p w14:paraId="703E784A"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Družinski pomočnik</w:t>
            </w:r>
          </w:p>
        </w:tc>
        <w:tc>
          <w:tcPr>
            <w:tcW w:w="0" w:type="auto"/>
            <w:shd w:val="clear" w:color="auto" w:fill="B0E3FB"/>
            <w:tcMar>
              <w:top w:w="0" w:type="dxa"/>
              <w:left w:w="0" w:type="dxa"/>
              <w:bottom w:w="0" w:type="dxa"/>
              <w:right w:w="0" w:type="dxa"/>
            </w:tcMar>
            <w:vAlign w:val="center"/>
            <w:hideMark/>
          </w:tcPr>
          <w:p w14:paraId="27999EA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515,6</w:t>
            </w:r>
          </w:p>
        </w:tc>
        <w:tc>
          <w:tcPr>
            <w:tcW w:w="0" w:type="auto"/>
            <w:shd w:val="clear" w:color="auto" w:fill="B0E3FB"/>
            <w:tcMar>
              <w:top w:w="0" w:type="dxa"/>
              <w:left w:w="0" w:type="dxa"/>
              <w:bottom w:w="0" w:type="dxa"/>
              <w:right w:w="0" w:type="dxa"/>
            </w:tcMar>
            <w:vAlign w:val="center"/>
            <w:hideMark/>
          </w:tcPr>
          <w:p w14:paraId="4B692CFC"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1,6</w:t>
            </w:r>
          </w:p>
        </w:tc>
      </w:tr>
      <w:tr w:rsidR="00062D01" w14:paraId="612A660D" w14:textId="77777777" w:rsidTr="00062D01">
        <w:trPr>
          <w:cantSplit/>
          <w:jc w:val="center"/>
        </w:trPr>
        <w:tc>
          <w:tcPr>
            <w:tcW w:w="0" w:type="auto"/>
            <w:shd w:val="clear" w:color="auto" w:fill="FFFFFF"/>
            <w:tcMar>
              <w:top w:w="0" w:type="dxa"/>
              <w:left w:w="0" w:type="dxa"/>
              <w:bottom w:w="0" w:type="dxa"/>
              <w:right w:w="0" w:type="dxa"/>
            </w:tcMar>
            <w:vAlign w:val="center"/>
            <w:hideMark/>
          </w:tcPr>
          <w:p w14:paraId="31D03AA0"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hideMark/>
          </w:tcPr>
          <w:p w14:paraId="1C65DBDA"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Oprostitve plačila socialno varstvenih storitev</w:t>
            </w:r>
          </w:p>
        </w:tc>
        <w:tc>
          <w:tcPr>
            <w:tcW w:w="0" w:type="auto"/>
            <w:shd w:val="clear" w:color="auto" w:fill="FFFFFF"/>
            <w:tcMar>
              <w:top w:w="0" w:type="dxa"/>
              <w:left w:w="0" w:type="dxa"/>
              <w:bottom w:w="0" w:type="dxa"/>
              <w:right w:w="0" w:type="dxa"/>
            </w:tcMar>
            <w:vAlign w:val="center"/>
            <w:hideMark/>
          </w:tcPr>
          <w:p w14:paraId="0AAFF7D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574,2</w:t>
            </w:r>
          </w:p>
        </w:tc>
        <w:tc>
          <w:tcPr>
            <w:tcW w:w="0" w:type="auto"/>
            <w:shd w:val="clear" w:color="auto" w:fill="FFFFFF"/>
            <w:tcMar>
              <w:top w:w="0" w:type="dxa"/>
              <w:left w:w="0" w:type="dxa"/>
              <w:bottom w:w="0" w:type="dxa"/>
              <w:right w:w="0" w:type="dxa"/>
            </w:tcMar>
            <w:vAlign w:val="center"/>
            <w:hideMark/>
          </w:tcPr>
          <w:p w14:paraId="1BC49F92"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2,2</w:t>
            </w:r>
          </w:p>
        </w:tc>
      </w:tr>
      <w:tr w:rsidR="00062D01" w14:paraId="470A9E0F" w14:textId="77777777" w:rsidTr="00062D01">
        <w:trPr>
          <w:cantSplit/>
          <w:jc w:val="center"/>
        </w:trPr>
        <w:tc>
          <w:tcPr>
            <w:tcW w:w="0" w:type="auto"/>
            <w:shd w:val="clear" w:color="auto" w:fill="B0E3FB"/>
            <w:tcMar>
              <w:top w:w="0" w:type="dxa"/>
              <w:left w:w="0" w:type="dxa"/>
              <w:bottom w:w="0" w:type="dxa"/>
              <w:right w:w="0" w:type="dxa"/>
            </w:tcMar>
            <w:vAlign w:val="center"/>
            <w:hideMark/>
          </w:tcPr>
          <w:p w14:paraId="3299DB89"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hideMark/>
          </w:tcPr>
          <w:p w14:paraId="5387F64D"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Delno plačilo za izgubljeni dohodek</w:t>
            </w:r>
          </w:p>
        </w:tc>
        <w:tc>
          <w:tcPr>
            <w:tcW w:w="0" w:type="auto"/>
            <w:shd w:val="clear" w:color="auto" w:fill="B0E3FB"/>
            <w:tcMar>
              <w:top w:w="0" w:type="dxa"/>
              <w:left w:w="0" w:type="dxa"/>
              <w:bottom w:w="0" w:type="dxa"/>
              <w:right w:w="0" w:type="dxa"/>
            </w:tcMar>
            <w:vAlign w:val="center"/>
            <w:hideMark/>
          </w:tcPr>
          <w:p w14:paraId="2200D884"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702,0</w:t>
            </w:r>
          </w:p>
        </w:tc>
        <w:tc>
          <w:tcPr>
            <w:tcW w:w="0" w:type="auto"/>
            <w:shd w:val="clear" w:color="auto" w:fill="B0E3FB"/>
            <w:tcMar>
              <w:top w:w="0" w:type="dxa"/>
              <w:left w:w="0" w:type="dxa"/>
              <w:bottom w:w="0" w:type="dxa"/>
              <w:right w:w="0" w:type="dxa"/>
            </w:tcMar>
            <w:vAlign w:val="center"/>
            <w:hideMark/>
          </w:tcPr>
          <w:p w14:paraId="157F130D"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2,8</w:t>
            </w:r>
          </w:p>
        </w:tc>
      </w:tr>
      <w:tr w:rsidR="00062D01" w14:paraId="4BE9C2F3" w14:textId="77777777" w:rsidTr="00062D01">
        <w:trPr>
          <w:cantSplit/>
          <w:jc w:val="center"/>
        </w:trPr>
        <w:tc>
          <w:tcPr>
            <w:tcW w:w="0" w:type="auto"/>
            <w:shd w:val="clear" w:color="auto" w:fill="FFFFFF"/>
            <w:tcMar>
              <w:top w:w="0" w:type="dxa"/>
              <w:left w:w="0" w:type="dxa"/>
              <w:bottom w:w="0" w:type="dxa"/>
              <w:right w:w="0" w:type="dxa"/>
            </w:tcMar>
            <w:vAlign w:val="center"/>
            <w:hideMark/>
          </w:tcPr>
          <w:p w14:paraId="7D5E7219"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hideMark/>
          </w:tcPr>
          <w:p w14:paraId="2B4C2251"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Pogrebnine</w:t>
            </w:r>
          </w:p>
        </w:tc>
        <w:tc>
          <w:tcPr>
            <w:tcW w:w="0" w:type="auto"/>
            <w:shd w:val="clear" w:color="auto" w:fill="FFFFFF"/>
            <w:tcMar>
              <w:top w:w="0" w:type="dxa"/>
              <w:left w:w="0" w:type="dxa"/>
              <w:bottom w:w="0" w:type="dxa"/>
              <w:right w:w="0" w:type="dxa"/>
            </w:tcMar>
            <w:vAlign w:val="center"/>
            <w:hideMark/>
          </w:tcPr>
          <w:p w14:paraId="22CD535F"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802,8</w:t>
            </w:r>
          </w:p>
        </w:tc>
        <w:tc>
          <w:tcPr>
            <w:tcW w:w="0" w:type="auto"/>
            <w:shd w:val="clear" w:color="auto" w:fill="FFFFFF"/>
            <w:tcMar>
              <w:top w:w="0" w:type="dxa"/>
              <w:left w:w="0" w:type="dxa"/>
              <w:bottom w:w="0" w:type="dxa"/>
              <w:right w:w="0" w:type="dxa"/>
            </w:tcMar>
            <w:vAlign w:val="center"/>
            <w:hideMark/>
          </w:tcPr>
          <w:p w14:paraId="3A04241A"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0,2</w:t>
            </w:r>
          </w:p>
        </w:tc>
      </w:tr>
      <w:tr w:rsidR="00062D01" w14:paraId="598731FB" w14:textId="77777777" w:rsidTr="00062D01">
        <w:trPr>
          <w:cantSplit/>
          <w:jc w:val="center"/>
        </w:trPr>
        <w:tc>
          <w:tcPr>
            <w:tcW w:w="0" w:type="auto"/>
            <w:shd w:val="clear" w:color="auto" w:fill="B0E3FB"/>
            <w:tcMar>
              <w:top w:w="0" w:type="dxa"/>
              <w:left w:w="0" w:type="dxa"/>
              <w:bottom w:w="0" w:type="dxa"/>
              <w:right w:w="0" w:type="dxa"/>
            </w:tcMar>
            <w:vAlign w:val="center"/>
            <w:hideMark/>
          </w:tcPr>
          <w:p w14:paraId="61E8C562"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hideMark/>
          </w:tcPr>
          <w:p w14:paraId="39E92A07"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Osebna asistenca</w:t>
            </w:r>
          </w:p>
        </w:tc>
        <w:tc>
          <w:tcPr>
            <w:tcW w:w="0" w:type="auto"/>
            <w:shd w:val="clear" w:color="auto" w:fill="B0E3FB"/>
            <w:tcMar>
              <w:top w:w="0" w:type="dxa"/>
              <w:left w:w="0" w:type="dxa"/>
              <w:bottom w:w="0" w:type="dxa"/>
              <w:right w:w="0" w:type="dxa"/>
            </w:tcMar>
            <w:vAlign w:val="center"/>
            <w:hideMark/>
          </w:tcPr>
          <w:p w14:paraId="40FE17D3"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3.551,5</w:t>
            </w:r>
          </w:p>
        </w:tc>
        <w:tc>
          <w:tcPr>
            <w:tcW w:w="0" w:type="auto"/>
            <w:shd w:val="clear" w:color="auto" w:fill="B0E3FB"/>
            <w:tcMar>
              <w:top w:w="0" w:type="dxa"/>
              <w:left w:w="0" w:type="dxa"/>
              <w:bottom w:w="0" w:type="dxa"/>
              <w:right w:w="0" w:type="dxa"/>
            </w:tcMar>
            <w:vAlign w:val="center"/>
            <w:hideMark/>
          </w:tcPr>
          <w:p w14:paraId="6EE4C5DA"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-3,8</w:t>
            </w:r>
          </w:p>
        </w:tc>
      </w:tr>
      <w:tr w:rsidR="00062D01" w14:paraId="33B77371" w14:textId="77777777" w:rsidTr="00062D01">
        <w:trPr>
          <w:cantSplit/>
          <w:jc w:val="center"/>
        </w:trPr>
        <w:tc>
          <w:tcPr>
            <w:tcW w:w="0" w:type="auto"/>
            <w:shd w:val="clear" w:color="auto" w:fill="FFFFFF"/>
            <w:tcMar>
              <w:top w:w="0" w:type="dxa"/>
              <w:left w:w="0" w:type="dxa"/>
              <w:bottom w:w="0" w:type="dxa"/>
              <w:right w:w="0" w:type="dxa"/>
            </w:tcMar>
            <w:vAlign w:val="center"/>
            <w:hideMark/>
          </w:tcPr>
          <w:p w14:paraId="329558B4"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hideMark/>
          </w:tcPr>
          <w:p w14:paraId="2678C829"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hideMark/>
          </w:tcPr>
          <w:p w14:paraId="02A38D69"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133,0</w:t>
            </w:r>
          </w:p>
        </w:tc>
        <w:tc>
          <w:tcPr>
            <w:tcW w:w="0" w:type="auto"/>
            <w:shd w:val="clear" w:color="auto" w:fill="FFFFFF"/>
            <w:tcMar>
              <w:top w:w="0" w:type="dxa"/>
              <w:left w:w="0" w:type="dxa"/>
              <w:bottom w:w="0" w:type="dxa"/>
              <w:right w:w="0" w:type="dxa"/>
            </w:tcMar>
            <w:vAlign w:val="center"/>
            <w:hideMark/>
          </w:tcPr>
          <w:p w14:paraId="5774B7AE"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2,7</w:t>
            </w:r>
          </w:p>
        </w:tc>
      </w:tr>
      <w:tr w:rsidR="00062D01" w14:paraId="6400D519" w14:textId="77777777" w:rsidTr="00062D01">
        <w:trPr>
          <w:cantSplit/>
          <w:jc w:val="center"/>
        </w:trPr>
        <w:tc>
          <w:tcPr>
            <w:tcW w:w="0" w:type="auto"/>
            <w:shd w:val="clear" w:color="auto" w:fill="B0E3FB"/>
            <w:tcMar>
              <w:top w:w="0" w:type="dxa"/>
              <w:left w:w="0" w:type="dxa"/>
              <w:bottom w:w="0" w:type="dxa"/>
              <w:right w:w="0" w:type="dxa"/>
            </w:tcMar>
            <w:vAlign w:val="center"/>
            <w:hideMark/>
          </w:tcPr>
          <w:p w14:paraId="1FD48FB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hideMark/>
          </w:tcPr>
          <w:p w14:paraId="389B2FC2"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hideMark/>
          </w:tcPr>
          <w:p w14:paraId="3484071C"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202,9</w:t>
            </w:r>
          </w:p>
        </w:tc>
        <w:tc>
          <w:tcPr>
            <w:tcW w:w="0" w:type="auto"/>
            <w:shd w:val="clear" w:color="auto" w:fill="B0E3FB"/>
            <w:tcMar>
              <w:top w:w="0" w:type="dxa"/>
              <w:left w:w="0" w:type="dxa"/>
              <w:bottom w:w="0" w:type="dxa"/>
              <w:right w:w="0" w:type="dxa"/>
            </w:tcMar>
            <w:vAlign w:val="center"/>
            <w:hideMark/>
          </w:tcPr>
          <w:p w14:paraId="48118AA6"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-0,5</w:t>
            </w:r>
          </w:p>
        </w:tc>
      </w:tr>
      <w:tr w:rsidR="00062D01" w14:paraId="04721DE0" w14:textId="77777777" w:rsidTr="00062D01">
        <w:trPr>
          <w:cantSplit/>
          <w:jc w:val="center"/>
        </w:trPr>
        <w:tc>
          <w:tcPr>
            <w:tcW w:w="0" w:type="auto"/>
            <w:shd w:val="clear" w:color="auto" w:fill="FFFFFF"/>
            <w:tcMar>
              <w:top w:w="0" w:type="dxa"/>
              <w:left w:w="0" w:type="dxa"/>
              <w:bottom w:w="0" w:type="dxa"/>
              <w:right w:w="0" w:type="dxa"/>
            </w:tcMar>
            <w:vAlign w:val="center"/>
            <w:hideMark/>
          </w:tcPr>
          <w:p w14:paraId="0EFC1546"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hideMark/>
          </w:tcPr>
          <w:p w14:paraId="77C8D533"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Denarna socialna pomoč</w:t>
            </w:r>
          </w:p>
        </w:tc>
        <w:tc>
          <w:tcPr>
            <w:tcW w:w="0" w:type="auto"/>
            <w:shd w:val="clear" w:color="auto" w:fill="FFFFFF"/>
            <w:tcMar>
              <w:top w:w="0" w:type="dxa"/>
              <w:left w:w="0" w:type="dxa"/>
              <w:bottom w:w="0" w:type="dxa"/>
              <w:right w:w="0" w:type="dxa"/>
            </w:tcMar>
            <w:vAlign w:val="center"/>
            <w:hideMark/>
          </w:tcPr>
          <w:p w14:paraId="6EA7FD43"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224,1</w:t>
            </w:r>
          </w:p>
        </w:tc>
        <w:tc>
          <w:tcPr>
            <w:tcW w:w="0" w:type="auto"/>
            <w:shd w:val="clear" w:color="auto" w:fill="FFFFFF"/>
            <w:tcMar>
              <w:top w:w="0" w:type="dxa"/>
              <w:left w:w="0" w:type="dxa"/>
              <w:bottom w:w="0" w:type="dxa"/>
              <w:right w:w="0" w:type="dxa"/>
            </w:tcMar>
            <w:vAlign w:val="center"/>
            <w:hideMark/>
          </w:tcPr>
          <w:p w14:paraId="3DABD75F"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0,3</w:t>
            </w:r>
          </w:p>
        </w:tc>
      </w:tr>
      <w:tr w:rsidR="00062D01" w14:paraId="34A1C9A7" w14:textId="77777777" w:rsidTr="00062D01">
        <w:trPr>
          <w:cantSplit/>
          <w:tblHeader/>
          <w:jc w:val="center"/>
        </w:trPr>
        <w:tc>
          <w:tcPr>
            <w:tcW w:w="0" w:type="auto"/>
            <w:shd w:val="clear" w:color="auto" w:fill="8BC9E8"/>
            <w:tcMar>
              <w:top w:w="0" w:type="dxa"/>
              <w:left w:w="0" w:type="dxa"/>
              <w:bottom w:w="0" w:type="dxa"/>
              <w:right w:w="0" w:type="dxa"/>
            </w:tcMar>
            <w:vAlign w:val="center"/>
            <w:hideMark/>
          </w:tcPr>
          <w:p w14:paraId="28F0BCF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hideMark/>
          </w:tcPr>
          <w:p w14:paraId="368F32F7" w14:textId="77777777" w:rsidR="00062D01" w:rsidRDefault="00062D01">
            <w:pPr>
              <w:spacing w:before="40" w:after="40" w:line="256" w:lineRule="auto"/>
              <w:ind w:left="40" w:right="40"/>
              <w:jc w:val="center"/>
              <w:rPr>
                <w:sz w:val="16"/>
                <w:szCs w:val="16"/>
              </w:rPr>
            </w:pPr>
            <w:r>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hideMark/>
          </w:tcPr>
          <w:p w14:paraId="2EA30DA4" w14:textId="77777777" w:rsidR="00062D01" w:rsidRDefault="00062D01">
            <w:pPr>
              <w:spacing w:before="40" w:after="40" w:line="256" w:lineRule="auto"/>
              <w:ind w:left="40" w:right="40"/>
              <w:jc w:val="center"/>
              <w:rPr>
                <w:sz w:val="16"/>
                <w:szCs w:val="16"/>
              </w:rPr>
            </w:pPr>
            <w:r>
              <w:rPr>
                <w:rFonts w:ascii="Arial" w:eastAsia="Arial" w:hAnsi="Arial" w:cs="Arial"/>
                <w:b/>
                <w:color w:val="111111"/>
                <w:sz w:val="16"/>
                <w:szCs w:val="16"/>
              </w:rPr>
              <w:t>Medletna rast (%)</w:t>
            </w:r>
          </w:p>
        </w:tc>
        <w:tc>
          <w:tcPr>
            <w:tcW w:w="0" w:type="auto"/>
            <w:vAlign w:val="center"/>
            <w:hideMark/>
          </w:tcPr>
          <w:p w14:paraId="404F133C" w14:textId="77777777" w:rsidR="00062D01" w:rsidRDefault="00062D01">
            <w:pPr>
              <w:spacing w:after="0" w:line="256" w:lineRule="auto"/>
              <w:rPr>
                <w:sz w:val="20"/>
                <w:szCs w:val="20"/>
                <w:lang w:val="sl-SI" w:eastAsia="sl-SI"/>
              </w:rPr>
            </w:pPr>
          </w:p>
        </w:tc>
      </w:tr>
      <w:tr w:rsidR="00062D01" w14:paraId="679B9127" w14:textId="77777777" w:rsidTr="00062D01">
        <w:trPr>
          <w:cantSplit/>
          <w:jc w:val="center"/>
        </w:trPr>
        <w:tc>
          <w:tcPr>
            <w:tcW w:w="0" w:type="auto"/>
            <w:shd w:val="clear" w:color="auto" w:fill="B0E3FB"/>
            <w:tcMar>
              <w:top w:w="0" w:type="dxa"/>
              <w:left w:w="0" w:type="dxa"/>
              <w:bottom w:w="0" w:type="dxa"/>
              <w:right w:w="0" w:type="dxa"/>
            </w:tcMar>
            <w:vAlign w:val="center"/>
            <w:hideMark/>
          </w:tcPr>
          <w:p w14:paraId="3DC1D1E0"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hideMark/>
          </w:tcPr>
          <w:p w14:paraId="4F9D5FC8"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800,4</w:t>
            </w:r>
          </w:p>
        </w:tc>
        <w:tc>
          <w:tcPr>
            <w:tcW w:w="0" w:type="auto"/>
            <w:shd w:val="clear" w:color="auto" w:fill="B0E3FB"/>
            <w:tcMar>
              <w:top w:w="0" w:type="dxa"/>
              <w:left w:w="0" w:type="dxa"/>
              <w:bottom w:w="0" w:type="dxa"/>
              <w:right w:w="0" w:type="dxa"/>
            </w:tcMar>
            <w:vAlign w:val="center"/>
            <w:hideMark/>
          </w:tcPr>
          <w:p w14:paraId="63705A97"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1,7</w:t>
            </w:r>
          </w:p>
        </w:tc>
        <w:tc>
          <w:tcPr>
            <w:tcW w:w="0" w:type="auto"/>
            <w:vAlign w:val="center"/>
            <w:hideMark/>
          </w:tcPr>
          <w:p w14:paraId="68503203" w14:textId="77777777" w:rsidR="00062D01" w:rsidRDefault="00062D01">
            <w:pPr>
              <w:spacing w:after="0" w:line="256" w:lineRule="auto"/>
              <w:rPr>
                <w:sz w:val="20"/>
                <w:szCs w:val="20"/>
                <w:lang w:val="sl-SI" w:eastAsia="sl-SI"/>
              </w:rPr>
            </w:pPr>
          </w:p>
        </w:tc>
      </w:tr>
      <w:tr w:rsidR="00062D01" w14:paraId="33335099" w14:textId="77777777" w:rsidTr="00062D01">
        <w:trPr>
          <w:cantSplit/>
          <w:jc w:val="center"/>
        </w:trPr>
        <w:tc>
          <w:tcPr>
            <w:tcW w:w="0" w:type="auto"/>
            <w:shd w:val="clear" w:color="auto" w:fill="FFFFFF"/>
            <w:tcMar>
              <w:top w:w="0" w:type="dxa"/>
              <w:left w:w="0" w:type="dxa"/>
              <w:bottom w:w="0" w:type="dxa"/>
              <w:right w:w="0" w:type="dxa"/>
            </w:tcMar>
            <w:vAlign w:val="center"/>
            <w:hideMark/>
          </w:tcPr>
          <w:p w14:paraId="561C6CDE" w14:textId="77777777" w:rsidR="00062D01" w:rsidRDefault="00062D01">
            <w:pPr>
              <w:spacing w:before="40" w:after="40" w:line="256" w:lineRule="auto"/>
              <w:ind w:left="40" w:right="40"/>
              <w:rPr>
                <w:sz w:val="16"/>
                <w:szCs w:val="16"/>
              </w:rPr>
            </w:pPr>
            <w:r>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hideMark/>
          </w:tcPr>
          <w:p w14:paraId="1B89697A"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134,1</w:t>
            </w:r>
          </w:p>
        </w:tc>
        <w:tc>
          <w:tcPr>
            <w:tcW w:w="0" w:type="auto"/>
            <w:shd w:val="clear" w:color="auto" w:fill="FFFFFF"/>
            <w:tcMar>
              <w:top w:w="0" w:type="dxa"/>
              <w:left w:w="0" w:type="dxa"/>
              <w:bottom w:w="0" w:type="dxa"/>
              <w:right w:w="0" w:type="dxa"/>
            </w:tcMar>
            <w:vAlign w:val="center"/>
            <w:hideMark/>
          </w:tcPr>
          <w:p w14:paraId="01A02539" w14:textId="77777777" w:rsidR="00062D01" w:rsidRDefault="00062D01">
            <w:pPr>
              <w:spacing w:before="40" w:after="40" w:line="256" w:lineRule="auto"/>
              <w:ind w:left="40" w:right="40"/>
              <w:jc w:val="center"/>
              <w:rPr>
                <w:sz w:val="16"/>
                <w:szCs w:val="16"/>
              </w:rPr>
            </w:pPr>
            <w:r>
              <w:rPr>
                <w:rFonts w:ascii="Arial" w:eastAsia="Arial" w:hAnsi="Arial" w:cs="Arial"/>
                <w:color w:val="111111"/>
                <w:sz w:val="16"/>
                <w:szCs w:val="16"/>
              </w:rPr>
              <w:t>-3,8</w:t>
            </w:r>
          </w:p>
        </w:tc>
        <w:tc>
          <w:tcPr>
            <w:tcW w:w="0" w:type="auto"/>
            <w:vAlign w:val="center"/>
            <w:hideMark/>
          </w:tcPr>
          <w:p w14:paraId="77C09C26" w14:textId="77777777" w:rsidR="00062D01" w:rsidRDefault="00062D01">
            <w:pPr>
              <w:spacing w:after="0" w:line="256" w:lineRule="auto"/>
              <w:rPr>
                <w:sz w:val="20"/>
                <w:szCs w:val="20"/>
                <w:lang w:val="sl-SI" w:eastAsia="sl-SI"/>
              </w:rPr>
            </w:pPr>
          </w:p>
        </w:tc>
      </w:tr>
    </w:tbl>
    <w:p w14:paraId="52A7C716" w14:textId="77777777" w:rsidR="009813B9" w:rsidRDefault="006D271E">
      <w:r>
        <w:br w:type="page"/>
      </w:r>
    </w:p>
    <w:p w14:paraId="098D781A" w14:textId="77777777" w:rsidR="009813B9" w:rsidRDefault="006D271E">
      <w:pPr>
        <w:pStyle w:val="Telobesedila"/>
      </w:pPr>
      <w:r>
        <w:rPr>
          <w:b/>
        </w:rPr>
        <w:lastRenderedPageBreak/>
        <w:t>Slika 3 Mesečna dinamika transferjev, zneski in število upravičencev</w:t>
      </w:r>
    </w:p>
    <w:p w14:paraId="13454082" w14:textId="77777777" w:rsidR="009813B9" w:rsidRDefault="006D271E" w:rsidP="001D4551">
      <w:pPr>
        <w:pStyle w:val="Telobesedila"/>
        <w:jc w:val="center"/>
      </w:pPr>
      <w:r>
        <w:rPr>
          <w:noProof/>
          <w:lang w:val="sl-SI" w:eastAsia="sl-SI"/>
        </w:rPr>
        <w:drawing>
          <wp:inline distT="0" distB="0" distL="0" distR="0" wp14:anchorId="3BE1ACD4" wp14:editId="5BB01F33">
            <wp:extent cx="5493327" cy="7516091"/>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a-1.png"/>
                    <pic:cNvPicPr>
                      <a:picLocks noChangeAspect="1" noChangeArrowheads="1"/>
                    </pic:cNvPicPr>
                  </pic:nvPicPr>
                  <pic:blipFill>
                    <a:blip r:embed="rId13"/>
                    <a:stretch>
                      <a:fillRect/>
                    </a:stretch>
                  </pic:blipFill>
                  <pic:spPr bwMode="auto">
                    <a:xfrm>
                      <a:off x="0" y="0"/>
                      <a:ext cx="5498626" cy="7523341"/>
                    </a:xfrm>
                    <a:prstGeom prst="rect">
                      <a:avLst/>
                    </a:prstGeom>
                    <a:noFill/>
                    <a:ln w="9525">
                      <a:noFill/>
                      <a:headEnd/>
                      <a:tailEnd/>
                    </a:ln>
                  </pic:spPr>
                </pic:pic>
              </a:graphicData>
            </a:graphic>
          </wp:inline>
        </w:drawing>
      </w:r>
    </w:p>
    <w:p w14:paraId="62C88481" w14:textId="77777777" w:rsidR="009813B9" w:rsidRDefault="006D271E">
      <w:r>
        <w:br w:type="page"/>
      </w:r>
    </w:p>
    <w:p w14:paraId="41903B6E" w14:textId="77777777" w:rsidR="009813B9" w:rsidRDefault="006D271E" w:rsidP="001D4551">
      <w:pPr>
        <w:pStyle w:val="Telobesedila"/>
        <w:jc w:val="center"/>
      </w:pPr>
      <w:r>
        <w:rPr>
          <w:noProof/>
          <w:lang w:val="sl-SI" w:eastAsia="sl-SI"/>
        </w:rPr>
        <w:lastRenderedPageBreak/>
        <w:drawing>
          <wp:inline distT="0" distB="0" distL="0" distR="0" wp14:anchorId="0EA9CDBC" wp14:editId="23464F7C">
            <wp:extent cx="5659582" cy="7758546"/>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b-1.png"/>
                    <pic:cNvPicPr>
                      <a:picLocks noChangeAspect="1" noChangeArrowheads="1"/>
                    </pic:cNvPicPr>
                  </pic:nvPicPr>
                  <pic:blipFill>
                    <a:blip r:embed="rId14"/>
                    <a:stretch>
                      <a:fillRect/>
                    </a:stretch>
                  </pic:blipFill>
                  <pic:spPr bwMode="auto">
                    <a:xfrm>
                      <a:off x="0" y="0"/>
                      <a:ext cx="5664755" cy="7765638"/>
                    </a:xfrm>
                    <a:prstGeom prst="rect">
                      <a:avLst/>
                    </a:prstGeom>
                    <a:noFill/>
                    <a:ln w="9525">
                      <a:noFill/>
                      <a:headEnd/>
                      <a:tailEnd/>
                    </a:ln>
                  </pic:spPr>
                </pic:pic>
              </a:graphicData>
            </a:graphic>
          </wp:inline>
        </w:drawing>
      </w:r>
    </w:p>
    <w:p w14:paraId="5544BA62" w14:textId="77777777" w:rsidR="009813B9" w:rsidRDefault="006D271E">
      <w:r>
        <w:br w:type="page"/>
      </w:r>
    </w:p>
    <w:p w14:paraId="48AF301F" w14:textId="77777777" w:rsidR="009813B9" w:rsidRDefault="006D271E">
      <w:pPr>
        <w:pStyle w:val="Telobesedila"/>
      </w:pPr>
      <w:r>
        <w:rPr>
          <w:noProof/>
          <w:lang w:val="sl-SI" w:eastAsia="sl-SI"/>
        </w:rPr>
        <w:lastRenderedPageBreak/>
        <w:drawing>
          <wp:inline distT="0" distB="0" distL="0" distR="0" wp14:anchorId="5B6405A3" wp14:editId="273923E5">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Pr>
          <w:noProof/>
          <w:lang w:val="sl-SI" w:eastAsia="sl-SI"/>
        </w:rPr>
        <w:drawing>
          <wp:inline distT="0" distB="0" distL="0" distR="0" wp14:anchorId="5622CE53" wp14:editId="10522098">
            <wp:extent cx="5969000" cy="249612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03D5EC08" w14:textId="77777777" w:rsidR="009813B9" w:rsidRDefault="006D271E">
      <w:r>
        <w:br w:type="page"/>
      </w:r>
    </w:p>
    <w:p w14:paraId="40CCAF6B" w14:textId="77777777" w:rsidR="009813B9" w:rsidRDefault="006D271E">
      <w:pPr>
        <w:pStyle w:val="Telobesedila"/>
      </w:pPr>
      <w:r>
        <w:rPr>
          <w:b/>
        </w:rPr>
        <w:lastRenderedPageBreak/>
        <w:t>Slika 4 Medletne rasti zneskov in števila upravičencev po pravicah</w:t>
      </w:r>
    </w:p>
    <w:p w14:paraId="077284C6" w14:textId="77777777" w:rsidR="009813B9" w:rsidRDefault="006D271E" w:rsidP="001D4551">
      <w:pPr>
        <w:pStyle w:val="Telobesedila"/>
        <w:jc w:val="center"/>
      </w:pPr>
      <w:r>
        <w:rPr>
          <w:noProof/>
          <w:lang w:val="sl-SI" w:eastAsia="sl-SI"/>
        </w:rPr>
        <w:drawing>
          <wp:inline distT="0" distB="0" distL="0" distR="0" wp14:anchorId="39B923E9" wp14:editId="0EA3806F">
            <wp:extent cx="5424055" cy="7613073"/>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a-1.png"/>
                    <pic:cNvPicPr>
                      <a:picLocks noChangeAspect="1" noChangeArrowheads="1"/>
                    </pic:cNvPicPr>
                  </pic:nvPicPr>
                  <pic:blipFill>
                    <a:blip r:embed="rId17"/>
                    <a:stretch>
                      <a:fillRect/>
                    </a:stretch>
                  </pic:blipFill>
                  <pic:spPr bwMode="auto">
                    <a:xfrm>
                      <a:off x="0" y="0"/>
                      <a:ext cx="5434160" cy="7627256"/>
                    </a:xfrm>
                    <a:prstGeom prst="rect">
                      <a:avLst/>
                    </a:prstGeom>
                    <a:noFill/>
                    <a:ln w="9525">
                      <a:noFill/>
                      <a:headEnd/>
                      <a:tailEnd/>
                    </a:ln>
                  </pic:spPr>
                </pic:pic>
              </a:graphicData>
            </a:graphic>
          </wp:inline>
        </w:drawing>
      </w:r>
    </w:p>
    <w:p w14:paraId="4F5C5ECB" w14:textId="77777777" w:rsidR="009813B9" w:rsidRDefault="006D271E">
      <w:r>
        <w:br w:type="page"/>
      </w:r>
    </w:p>
    <w:p w14:paraId="25AD7ACC" w14:textId="77777777" w:rsidR="009813B9" w:rsidRDefault="006D271E">
      <w:pPr>
        <w:pStyle w:val="Telobesedila"/>
      </w:pPr>
      <w:r>
        <w:rPr>
          <w:noProof/>
          <w:lang w:val="sl-SI" w:eastAsia="sl-SI"/>
        </w:rPr>
        <w:lastRenderedPageBreak/>
        <w:drawing>
          <wp:inline distT="0" distB="0" distL="0" distR="0" wp14:anchorId="3182CD2F" wp14:editId="02065A05">
            <wp:extent cx="5860473" cy="8153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b-1.png"/>
                    <pic:cNvPicPr>
                      <a:picLocks noChangeAspect="1" noChangeArrowheads="1"/>
                    </pic:cNvPicPr>
                  </pic:nvPicPr>
                  <pic:blipFill>
                    <a:blip r:embed="rId18"/>
                    <a:stretch>
                      <a:fillRect/>
                    </a:stretch>
                  </pic:blipFill>
                  <pic:spPr bwMode="auto">
                    <a:xfrm>
                      <a:off x="0" y="0"/>
                      <a:ext cx="5863930" cy="8158210"/>
                    </a:xfrm>
                    <a:prstGeom prst="rect">
                      <a:avLst/>
                    </a:prstGeom>
                    <a:noFill/>
                    <a:ln w="9525">
                      <a:noFill/>
                      <a:headEnd/>
                      <a:tailEnd/>
                    </a:ln>
                  </pic:spPr>
                </pic:pic>
              </a:graphicData>
            </a:graphic>
          </wp:inline>
        </w:drawing>
      </w:r>
    </w:p>
    <w:p w14:paraId="0B4CB0EA" w14:textId="77777777" w:rsidR="009813B9" w:rsidRDefault="006D271E" w:rsidP="00536915">
      <w:pPr>
        <w:pStyle w:val="Telobesedila"/>
        <w:jc w:val="center"/>
      </w:pPr>
      <w:r>
        <w:rPr>
          <w:noProof/>
          <w:lang w:val="sl-SI" w:eastAsia="sl-SI"/>
        </w:rPr>
        <w:lastRenderedPageBreak/>
        <w:drawing>
          <wp:inline distT="0" distB="0" distL="0" distR="0" wp14:anchorId="48B83268" wp14:editId="5D728949">
            <wp:extent cx="3965608" cy="2454442"/>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1.png"/>
                    <pic:cNvPicPr>
                      <a:picLocks noChangeAspect="1" noChangeArrowheads="1"/>
                    </pic:cNvPicPr>
                  </pic:nvPicPr>
                  <pic:blipFill>
                    <a:blip r:embed="rId19"/>
                    <a:stretch>
                      <a:fillRect/>
                    </a:stretch>
                  </pic:blipFill>
                  <pic:spPr bwMode="auto">
                    <a:xfrm>
                      <a:off x="0" y="0"/>
                      <a:ext cx="3965608" cy="2454442"/>
                    </a:xfrm>
                    <a:prstGeom prst="rect">
                      <a:avLst/>
                    </a:prstGeom>
                    <a:noFill/>
                    <a:ln w="9525">
                      <a:noFill/>
                      <a:headEnd/>
                      <a:tailEnd/>
                    </a:ln>
                  </pic:spPr>
                </pic:pic>
              </a:graphicData>
            </a:graphic>
          </wp:inline>
        </w:drawing>
      </w:r>
      <w:r>
        <w:rPr>
          <w:noProof/>
          <w:lang w:val="sl-SI" w:eastAsia="sl-SI"/>
        </w:rPr>
        <w:drawing>
          <wp:inline distT="0" distB="0" distL="0" distR="0" wp14:anchorId="0E09ADA2" wp14:editId="2456D9D9">
            <wp:extent cx="3965608" cy="245444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2.png"/>
                    <pic:cNvPicPr>
                      <a:picLocks noChangeAspect="1" noChangeArrowheads="1"/>
                    </pic:cNvPicPr>
                  </pic:nvPicPr>
                  <pic:blipFill>
                    <a:blip r:embed="rId20"/>
                    <a:stretch>
                      <a:fillRect/>
                    </a:stretch>
                  </pic:blipFill>
                  <pic:spPr bwMode="auto">
                    <a:xfrm>
                      <a:off x="0" y="0"/>
                      <a:ext cx="3965608" cy="2454442"/>
                    </a:xfrm>
                    <a:prstGeom prst="rect">
                      <a:avLst/>
                    </a:prstGeom>
                    <a:noFill/>
                    <a:ln w="9525">
                      <a:noFill/>
                      <a:headEnd/>
                      <a:tailEnd/>
                    </a:ln>
                  </pic:spPr>
                </pic:pic>
              </a:graphicData>
            </a:graphic>
          </wp:inline>
        </w:drawing>
      </w:r>
    </w:p>
    <w:p w14:paraId="182BBB74" w14:textId="77777777" w:rsidR="009813B9" w:rsidRDefault="009813B9">
      <w:pPr>
        <w:pStyle w:val="Telobesedila"/>
      </w:pPr>
    </w:p>
    <w:p w14:paraId="60C31EB1" w14:textId="77777777" w:rsidR="001D4551" w:rsidRDefault="001D4551">
      <w:pPr>
        <w:pStyle w:val="Telobesedila"/>
        <w:rPr>
          <w:b/>
        </w:rPr>
        <w:sectPr w:rsidR="001D4551">
          <w:pgSz w:w="12240" w:h="15840"/>
          <w:pgMar w:top="1417" w:right="1417" w:bottom="1417" w:left="1417" w:header="708" w:footer="708" w:gutter="0"/>
          <w:cols w:space="708"/>
        </w:sectPr>
      </w:pPr>
    </w:p>
    <w:p w14:paraId="387D4611" w14:textId="77777777" w:rsidR="009813B9" w:rsidRDefault="006D271E">
      <w:pPr>
        <w:pStyle w:val="Telobesedila"/>
      </w:pPr>
      <w:r>
        <w:rPr>
          <w:b/>
        </w:rPr>
        <w:lastRenderedPageBreak/>
        <w:t>Slika 5 Zneski na upravičenca po pravicah</w:t>
      </w:r>
    </w:p>
    <w:p w14:paraId="38F5C4E1" w14:textId="77777777" w:rsidR="009813B9" w:rsidRDefault="006D271E" w:rsidP="001D4551">
      <w:pPr>
        <w:pStyle w:val="Telobesedila"/>
        <w:jc w:val="center"/>
      </w:pPr>
      <w:r>
        <w:rPr>
          <w:noProof/>
          <w:lang w:val="sl-SI" w:eastAsia="sl-SI"/>
        </w:rPr>
        <w:drawing>
          <wp:inline distT="0" distB="0" distL="0" distR="0" wp14:anchorId="32F023F0" wp14:editId="419F7A51">
            <wp:extent cx="5347446" cy="7578437"/>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3-1.png"/>
                    <pic:cNvPicPr>
                      <a:picLocks noChangeAspect="1" noChangeArrowheads="1"/>
                    </pic:cNvPicPr>
                  </pic:nvPicPr>
                  <pic:blipFill>
                    <a:blip r:embed="rId21"/>
                    <a:stretch>
                      <a:fillRect/>
                    </a:stretch>
                  </pic:blipFill>
                  <pic:spPr bwMode="auto">
                    <a:xfrm>
                      <a:off x="0" y="0"/>
                      <a:ext cx="5355715" cy="7590156"/>
                    </a:xfrm>
                    <a:prstGeom prst="rect">
                      <a:avLst/>
                    </a:prstGeom>
                    <a:noFill/>
                    <a:ln w="9525">
                      <a:noFill/>
                      <a:headEnd/>
                      <a:tailEnd/>
                    </a:ln>
                  </pic:spPr>
                </pic:pic>
              </a:graphicData>
            </a:graphic>
          </wp:inline>
        </w:drawing>
      </w:r>
    </w:p>
    <w:p w14:paraId="478EC940" w14:textId="77777777" w:rsidR="009813B9" w:rsidRDefault="006D271E">
      <w:r>
        <w:br w:type="page"/>
      </w:r>
    </w:p>
    <w:p w14:paraId="4BCB6A1A" w14:textId="77777777" w:rsidR="009813B9" w:rsidRDefault="006D271E">
      <w:pPr>
        <w:pStyle w:val="Naslov3"/>
      </w:pPr>
      <w:bookmarkStart w:id="6" w:name="letni-podatki"/>
      <w:r>
        <w:lastRenderedPageBreak/>
        <w:t>Letni podatki</w:t>
      </w:r>
      <w:bookmarkEnd w:id="6"/>
    </w:p>
    <w:p w14:paraId="55B236B8" w14:textId="77777777" w:rsidR="009813B9" w:rsidRDefault="006D271E">
      <w:pPr>
        <w:pStyle w:val="FirstParagraph"/>
      </w:pPr>
      <w:r>
        <w:rPr>
          <w:b/>
        </w:rPr>
        <w:t>Slika 6 Letni podatki po pravicah in agregirani podatki po regijah</w:t>
      </w:r>
    </w:p>
    <w:p w14:paraId="30EA116D" w14:textId="77777777" w:rsidR="009813B9" w:rsidRDefault="006D271E" w:rsidP="001D4551">
      <w:pPr>
        <w:pStyle w:val="Telobesedila"/>
        <w:jc w:val="center"/>
      </w:pPr>
      <w:r>
        <w:rPr>
          <w:noProof/>
          <w:lang w:val="sl-SI" w:eastAsia="sl-SI"/>
        </w:rPr>
        <w:drawing>
          <wp:inline distT="0" distB="0" distL="0" distR="0" wp14:anchorId="1E243DE2" wp14:editId="6F66D360">
            <wp:extent cx="4731327" cy="7232073"/>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1.png"/>
                    <pic:cNvPicPr>
                      <a:picLocks noChangeAspect="1" noChangeArrowheads="1"/>
                    </pic:cNvPicPr>
                  </pic:nvPicPr>
                  <pic:blipFill>
                    <a:blip r:embed="rId22"/>
                    <a:stretch>
                      <a:fillRect/>
                    </a:stretch>
                  </pic:blipFill>
                  <pic:spPr bwMode="auto">
                    <a:xfrm>
                      <a:off x="0" y="0"/>
                      <a:ext cx="4744080" cy="7251566"/>
                    </a:xfrm>
                    <a:prstGeom prst="rect">
                      <a:avLst/>
                    </a:prstGeom>
                    <a:noFill/>
                    <a:ln w="9525">
                      <a:noFill/>
                      <a:headEnd/>
                      <a:tailEnd/>
                    </a:ln>
                  </pic:spPr>
                </pic:pic>
              </a:graphicData>
            </a:graphic>
          </wp:inline>
        </w:drawing>
      </w:r>
    </w:p>
    <w:p w14:paraId="1EAB619C" w14:textId="77777777" w:rsidR="009813B9" w:rsidRDefault="006D271E">
      <w:r>
        <w:br w:type="page"/>
      </w:r>
    </w:p>
    <w:p w14:paraId="2FCC5D70" w14:textId="77777777" w:rsidR="009813B9" w:rsidRDefault="006D271E">
      <w:pPr>
        <w:pStyle w:val="Telobesedila"/>
      </w:pPr>
      <w:r>
        <w:rPr>
          <w:noProof/>
          <w:lang w:val="sl-SI" w:eastAsia="sl-SI"/>
        </w:rPr>
        <w:lastRenderedPageBreak/>
        <w:drawing>
          <wp:inline distT="0" distB="0" distL="0" distR="0" wp14:anchorId="56C806A1" wp14:editId="52B338F6">
            <wp:extent cx="5846619" cy="350520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b-1.png"/>
                    <pic:cNvPicPr>
                      <a:picLocks noChangeAspect="1" noChangeArrowheads="1"/>
                    </pic:cNvPicPr>
                  </pic:nvPicPr>
                  <pic:blipFill>
                    <a:blip r:embed="rId23"/>
                    <a:stretch>
                      <a:fillRect/>
                    </a:stretch>
                  </pic:blipFill>
                  <pic:spPr bwMode="auto">
                    <a:xfrm>
                      <a:off x="0" y="0"/>
                      <a:ext cx="5854740" cy="3510069"/>
                    </a:xfrm>
                    <a:prstGeom prst="rect">
                      <a:avLst/>
                    </a:prstGeom>
                    <a:noFill/>
                    <a:ln w="9525">
                      <a:noFill/>
                      <a:headEnd/>
                      <a:tailEnd/>
                    </a:ln>
                  </pic:spPr>
                </pic:pic>
              </a:graphicData>
            </a:graphic>
          </wp:inline>
        </w:drawing>
      </w:r>
    </w:p>
    <w:p w14:paraId="4E295B44" w14:textId="77777777" w:rsidR="009813B9" w:rsidRPr="001D4551" w:rsidRDefault="006D271E">
      <w:pPr>
        <w:pStyle w:val="Telobesedila"/>
        <w:rPr>
          <w:sz w:val="18"/>
          <w:szCs w:val="18"/>
        </w:rPr>
      </w:pPr>
      <w:r w:rsidRPr="001D4551">
        <w:rPr>
          <w:sz w:val="18"/>
          <w:szCs w:val="18"/>
        </w:rPr>
        <w:t>Opomba: Pri posameznih pravicah je število upravičencev izračunano kot mesečno povprečje, razen DVD, POS, POG, PRO in VI. Pri otroškem dodatku je prikazano število otrok.</w:t>
      </w:r>
    </w:p>
    <w:p w14:paraId="239F27C8" w14:textId="77777777" w:rsidR="009813B9" w:rsidRDefault="006D271E">
      <w:r>
        <w:br w:type="page"/>
      </w:r>
    </w:p>
    <w:p w14:paraId="2BC5E299" w14:textId="77777777" w:rsidR="009813B9" w:rsidRDefault="006D271E">
      <w:pPr>
        <w:pStyle w:val="Telobesedila"/>
      </w:pPr>
      <w:r>
        <w:rPr>
          <w:b/>
        </w:rPr>
        <w:lastRenderedPageBreak/>
        <w:t>Slika 7 Letni podatki glede na dohodkovni razred</w:t>
      </w:r>
    </w:p>
    <w:p w14:paraId="6192D13C" w14:textId="77777777" w:rsidR="009813B9" w:rsidRDefault="006D271E">
      <w:pPr>
        <w:pStyle w:val="Telobesedila"/>
      </w:pPr>
      <w:r>
        <w:rPr>
          <w:noProof/>
          <w:lang w:val="sl-SI" w:eastAsia="sl-SI"/>
        </w:rPr>
        <w:drawing>
          <wp:inline distT="0" distB="0" distL="0" distR="0" wp14:anchorId="409D137A" wp14:editId="65010E8D">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5871D9D7" w14:textId="77777777" w:rsidR="009813B9" w:rsidRDefault="006D271E">
      <w:pPr>
        <w:pStyle w:val="Telobesedila"/>
      </w:pPr>
      <w:r>
        <w:rPr>
          <w:noProof/>
          <w:lang w:val="sl-SI" w:eastAsia="sl-SI"/>
        </w:rPr>
        <w:drawing>
          <wp:inline distT="0" distB="0" distL="0" distR="0" wp14:anchorId="74983241" wp14:editId="0DCCCB32">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22BEEE4A" w14:textId="77777777" w:rsidR="009813B9" w:rsidRDefault="006D271E">
      <w:pPr>
        <w:pStyle w:val="Telobesedila"/>
      </w:pPr>
      <w:r>
        <w:rPr>
          <w:noProof/>
          <w:lang w:val="sl-SI" w:eastAsia="sl-SI"/>
        </w:rPr>
        <w:lastRenderedPageBreak/>
        <w:drawing>
          <wp:inline distT="0" distB="0" distL="0" distR="0" wp14:anchorId="049C0014" wp14:editId="6FBBBA9B">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11C856EA" w14:textId="77777777" w:rsidR="009813B9" w:rsidRPr="001D4551" w:rsidRDefault="006D271E">
      <w:pPr>
        <w:pStyle w:val="Telobesedila"/>
        <w:rPr>
          <w:sz w:val="18"/>
          <w:szCs w:val="18"/>
        </w:rPr>
      </w:pPr>
      <w:r w:rsidRPr="001D4551">
        <w:rPr>
          <w:sz w:val="18"/>
          <w:szCs w:val="18"/>
        </w:rPr>
        <w:t xml:space="preserve">Opomba: </w:t>
      </w:r>
      <w:r w:rsidR="00E16082">
        <w:rPr>
          <w:sz w:val="18"/>
          <w:szCs w:val="18"/>
        </w:rPr>
        <w:t>Š</w:t>
      </w:r>
      <w:r w:rsidRPr="001D4551">
        <w:rPr>
          <w:sz w:val="18"/>
          <w:szCs w:val="18"/>
        </w:rPr>
        <w:t xml:space="preserve">tevilo upravičencev </w:t>
      </w:r>
      <w:r w:rsidR="00E16082">
        <w:rPr>
          <w:sz w:val="18"/>
          <w:szCs w:val="18"/>
        </w:rPr>
        <w:t xml:space="preserve">je </w:t>
      </w:r>
      <w:r w:rsidRPr="001D4551">
        <w:rPr>
          <w:sz w:val="18"/>
          <w:szCs w:val="18"/>
        </w:rPr>
        <w:t>izračunano kot mesečno povprečje.</w:t>
      </w:r>
    </w:p>
    <w:p w14:paraId="4DBB142B" w14:textId="77777777" w:rsidR="009813B9" w:rsidRDefault="006D271E">
      <w:r>
        <w:br w:type="page"/>
      </w:r>
    </w:p>
    <w:p w14:paraId="1D018233" w14:textId="77777777" w:rsidR="009813B9" w:rsidRDefault="006D271E">
      <w:pPr>
        <w:pStyle w:val="Naslov3"/>
      </w:pPr>
      <w:bookmarkStart w:id="7" w:name="letni-podatki-na-prebivalca"/>
      <w:r>
        <w:lastRenderedPageBreak/>
        <w:t>Letni podatki na prebivalca</w:t>
      </w:r>
      <w:bookmarkEnd w:id="7"/>
    </w:p>
    <w:p w14:paraId="5DECAA6E" w14:textId="77777777" w:rsidR="009813B9" w:rsidRDefault="006D271E">
      <w:pPr>
        <w:pStyle w:val="FirstParagraph"/>
      </w:pPr>
      <w:r>
        <w:rPr>
          <w:b/>
        </w:rPr>
        <w:t>Slika 8 Letni podatki po pravicah in statističnih regijah glede na 100.000 prebivalcev</w:t>
      </w:r>
    </w:p>
    <w:p w14:paraId="5B5317E0" w14:textId="77777777" w:rsidR="009813B9" w:rsidRDefault="006D271E">
      <w:pPr>
        <w:pStyle w:val="Telobesedila"/>
      </w:pPr>
      <w:r>
        <w:rPr>
          <w:noProof/>
          <w:lang w:val="sl-SI" w:eastAsia="sl-SI"/>
        </w:rPr>
        <w:drawing>
          <wp:inline distT="0" distB="0" distL="0" distR="0" wp14:anchorId="0FF2C71F" wp14:editId="6FCD98A5">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r>
        <w:rPr>
          <w:noProof/>
          <w:lang w:val="sl-SI" w:eastAsia="sl-SI"/>
        </w:rPr>
        <w:drawing>
          <wp:inline distT="0" distB="0" distL="0" distR="0" wp14:anchorId="3D65EE79" wp14:editId="0A7A6D9B">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2.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1DC7C505" w14:textId="77777777" w:rsidR="009813B9" w:rsidRDefault="006D271E">
      <w:pPr>
        <w:pStyle w:val="Telobesedila"/>
      </w:pPr>
      <w:r>
        <w:rPr>
          <w:noProof/>
          <w:lang w:val="sl-SI" w:eastAsia="sl-SI"/>
        </w:rPr>
        <w:lastRenderedPageBreak/>
        <w:drawing>
          <wp:inline distT="0" distB="0" distL="0" distR="0" wp14:anchorId="15CB7807" wp14:editId="39C8582B">
            <wp:extent cx="5969000" cy="2438246"/>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c-1.png"/>
                    <pic:cNvPicPr>
                      <a:picLocks noChangeAspect="1" noChangeArrowheads="1"/>
                    </pic:cNvPicPr>
                  </pic:nvPicPr>
                  <pic:blipFill>
                    <a:blip r:embed="rId29"/>
                    <a:stretch>
                      <a:fillRect/>
                    </a:stretch>
                  </pic:blipFill>
                  <pic:spPr bwMode="auto">
                    <a:xfrm>
                      <a:off x="0" y="0"/>
                      <a:ext cx="5969000" cy="2438246"/>
                    </a:xfrm>
                    <a:prstGeom prst="rect">
                      <a:avLst/>
                    </a:prstGeom>
                    <a:noFill/>
                    <a:ln w="9525">
                      <a:noFill/>
                      <a:headEnd/>
                      <a:tailEnd/>
                    </a:ln>
                  </pic:spPr>
                </pic:pic>
              </a:graphicData>
            </a:graphic>
          </wp:inline>
        </w:drawing>
      </w:r>
    </w:p>
    <w:p w14:paraId="13DDFFB9" w14:textId="77777777" w:rsidR="009813B9" w:rsidRDefault="006D271E">
      <w:pPr>
        <w:pStyle w:val="Telobesedila"/>
      </w:pPr>
      <w:r>
        <w:rPr>
          <w:noProof/>
          <w:lang w:val="sl-SI" w:eastAsia="sl-SI"/>
        </w:rPr>
        <w:drawing>
          <wp:inline distT="0" distB="0" distL="0" distR="0" wp14:anchorId="55EB493B" wp14:editId="3E652D95">
            <wp:extent cx="5969000" cy="48837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a-1.png"/>
                    <pic:cNvPicPr>
                      <a:picLocks noChangeAspect="1" noChangeArrowheads="1"/>
                    </pic:cNvPicPr>
                  </pic:nvPicPr>
                  <pic:blipFill>
                    <a:blip r:embed="rId30"/>
                    <a:stretch>
                      <a:fillRect/>
                    </a:stretch>
                  </pic:blipFill>
                  <pic:spPr bwMode="auto">
                    <a:xfrm>
                      <a:off x="0" y="0"/>
                      <a:ext cx="5969000" cy="4883727"/>
                    </a:xfrm>
                    <a:prstGeom prst="rect">
                      <a:avLst/>
                    </a:prstGeom>
                    <a:noFill/>
                    <a:ln w="9525">
                      <a:noFill/>
                      <a:headEnd/>
                      <a:tailEnd/>
                    </a:ln>
                  </pic:spPr>
                </pic:pic>
              </a:graphicData>
            </a:graphic>
          </wp:inline>
        </w:drawing>
      </w:r>
    </w:p>
    <w:p w14:paraId="46A82ACF" w14:textId="77777777" w:rsidR="009813B9" w:rsidRDefault="006D271E">
      <w:pPr>
        <w:pStyle w:val="Telobesedila"/>
      </w:pPr>
      <w:r>
        <w:rPr>
          <w:noProof/>
          <w:lang w:val="sl-SI" w:eastAsia="sl-SI"/>
        </w:rPr>
        <w:lastRenderedPageBreak/>
        <w:drawing>
          <wp:inline distT="0" distB="0" distL="0" distR="0" wp14:anchorId="4A927C1A" wp14:editId="70AFDC84">
            <wp:extent cx="5969000" cy="48837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b-1.png"/>
                    <pic:cNvPicPr>
                      <a:picLocks noChangeAspect="1" noChangeArrowheads="1"/>
                    </pic:cNvPicPr>
                  </pic:nvPicPr>
                  <pic:blipFill>
                    <a:blip r:embed="rId31"/>
                    <a:stretch>
                      <a:fillRect/>
                    </a:stretch>
                  </pic:blipFill>
                  <pic:spPr bwMode="auto">
                    <a:xfrm>
                      <a:off x="0" y="0"/>
                      <a:ext cx="5969000" cy="4883727"/>
                    </a:xfrm>
                    <a:prstGeom prst="rect">
                      <a:avLst/>
                    </a:prstGeom>
                    <a:noFill/>
                    <a:ln w="9525">
                      <a:noFill/>
                      <a:headEnd/>
                      <a:tailEnd/>
                    </a:ln>
                  </pic:spPr>
                </pic:pic>
              </a:graphicData>
            </a:graphic>
          </wp:inline>
        </w:drawing>
      </w:r>
    </w:p>
    <w:p w14:paraId="3C7F0F6E" w14:textId="77777777" w:rsidR="009813B9" w:rsidRDefault="006D271E">
      <w:pPr>
        <w:pStyle w:val="Telobesedila"/>
      </w:pPr>
      <w:r>
        <w:rPr>
          <w:noProof/>
          <w:lang w:val="sl-SI" w:eastAsia="sl-SI"/>
        </w:rPr>
        <w:drawing>
          <wp:inline distT="0" distB="0" distL="0" distR="0" wp14:anchorId="25ABA373" wp14:editId="44AA310B">
            <wp:extent cx="5969000" cy="24961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c-1.png"/>
                    <pic:cNvPicPr>
                      <a:picLocks noChangeAspect="1" noChangeArrowheads="1"/>
                    </pic:cNvPicPr>
                  </pic:nvPicPr>
                  <pic:blipFill>
                    <a:blip r:embed="rId32"/>
                    <a:stretch>
                      <a:fillRect/>
                    </a:stretch>
                  </pic:blipFill>
                  <pic:spPr bwMode="auto">
                    <a:xfrm>
                      <a:off x="0" y="0"/>
                      <a:ext cx="5969000" cy="2496127"/>
                    </a:xfrm>
                    <a:prstGeom prst="rect">
                      <a:avLst/>
                    </a:prstGeom>
                    <a:noFill/>
                    <a:ln w="9525">
                      <a:noFill/>
                      <a:headEnd/>
                      <a:tailEnd/>
                    </a:ln>
                  </pic:spPr>
                </pic:pic>
              </a:graphicData>
            </a:graphic>
          </wp:inline>
        </w:drawing>
      </w:r>
    </w:p>
    <w:p w14:paraId="717FCCB2" w14:textId="77777777" w:rsidR="009813B9" w:rsidRDefault="006D271E">
      <w:r>
        <w:br w:type="page"/>
      </w:r>
    </w:p>
    <w:p w14:paraId="4EDCAB6B" w14:textId="77777777" w:rsidR="009813B9" w:rsidRDefault="006D271E">
      <w:pPr>
        <w:pStyle w:val="Naslov3"/>
      </w:pPr>
      <w:bookmarkStart w:id="8" w:name="starševski-dopusti-in-nadomestila"/>
      <w:r>
        <w:lastRenderedPageBreak/>
        <w:t>Starševski dopusti in nadomestila</w:t>
      </w:r>
      <w:bookmarkEnd w:id="8"/>
    </w:p>
    <w:p w14:paraId="02A9114D" w14:textId="77777777" w:rsidR="009813B9" w:rsidRDefault="006D271E">
      <w:pPr>
        <w:pStyle w:val="FirstParagraph"/>
      </w:pPr>
      <w:r>
        <w:rPr>
          <w:b/>
        </w:rPr>
        <w:t>Tabela 4 Povprečni mesečni znesek na upravičenca v letu 202</w:t>
      </w:r>
      <w:r w:rsidR="006244EB">
        <w:rPr>
          <w:b/>
        </w:rPr>
        <w:t>1</w:t>
      </w:r>
      <w:r>
        <w:rPr>
          <w:b/>
        </w:rPr>
        <w:t xml:space="preserve"> do starševskih nadomestil po pravicah</w:t>
      </w:r>
    </w:p>
    <w:tbl>
      <w:tblPr>
        <w:tblW w:w="0" w:type="auto"/>
        <w:jc w:val="center"/>
        <w:tblLook w:val="0420" w:firstRow="1" w:lastRow="0" w:firstColumn="0" w:lastColumn="0" w:noHBand="0" w:noVBand="1"/>
      </w:tblPr>
      <w:tblGrid>
        <w:gridCol w:w="3521"/>
        <w:gridCol w:w="2099"/>
        <w:gridCol w:w="1405"/>
      </w:tblGrid>
      <w:tr w:rsidR="009813B9" w:rsidRPr="001D4551" w14:paraId="53E06355" w14:textId="77777777" w:rsidTr="001D4551">
        <w:trPr>
          <w:cantSplit/>
          <w:tblHeader/>
          <w:jc w:val="center"/>
        </w:trPr>
        <w:tc>
          <w:tcPr>
            <w:tcW w:w="0" w:type="auto"/>
            <w:shd w:val="clear" w:color="auto" w:fill="8BC9E8"/>
            <w:tcMar>
              <w:top w:w="0" w:type="dxa"/>
              <w:left w:w="0" w:type="dxa"/>
              <w:bottom w:w="0" w:type="dxa"/>
              <w:right w:w="0" w:type="dxa"/>
            </w:tcMar>
            <w:vAlign w:val="center"/>
          </w:tcPr>
          <w:p w14:paraId="2B0959E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20CA4C09" w14:textId="77777777" w:rsidR="009813B9" w:rsidRPr="001D4551" w:rsidRDefault="006D271E">
            <w:pPr>
              <w:spacing w:before="40" w:after="40"/>
              <w:ind w:left="40" w:right="40"/>
              <w:jc w:val="center"/>
              <w:rPr>
                <w:sz w:val="16"/>
                <w:szCs w:val="16"/>
              </w:rPr>
            </w:pPr>
            <w:r w:rsidRPr="001D4551">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0BD3B556" w14:textId="77777777" w:rsidR="009813B9" w:rsidRPr="001D4551" w:rsidRDefault="006D271E">
            <w:pPr>
              <w:spacing w:before="40" w:after="40"/>
              <w:ind w:left="40" w:right="40"/>
              <w:jc w:val="center"/>
              <w:rPr>
                <w:sz w:val="16"/>
                <w:szCs w:val="16"/>
              </w:rPr>
            </w:pPr>
            <w:r w:rsidRPr="001D4551">
              <w:rPr>
                <w:rFonts w:ascii="Arial" w:eastAsia="Arial" w:hAnsi="Arial" w:cs="Arial"/>
                <w:b/>
                <w:color w:val="111111"/>
                <w:sz w:val="16"/>
                <w:szCs w:val="16"/>
              </w:rPr>
              <w:t>Medletna rast (%)</w:t>
            </w:r>
          </w:p>
        </w:tc>
      </w:tr>
      <w:tr w:rsidR="009813B9" w:rsidRPr="001D4551" w14:paraId="74295A1C" w14:textId="77777777" w:rsidTr="001D4551">
        <w:trPr>
          <w:cantSplit/>
          <w:jc w:val="center"/>
        </w:trPr>
        <w:tc>
          <w:tcPr>
            <w:tcW w:w="0" w:type="auto"/>
            <w:shd w:val="clear" w:color="auto" w:fill="B0E3FB"/>
            <w:tcMar>
              <w:top w:w="0" w:type="dxa"/>
              <w:left w:w="0" w:type="dxa"/>
              <w:bottom w:w="0" w:type="dxa"/>
              <w:right w:w="0" w:type="dxa"/>
            </w:tcMar>
            <w:vAlign w:val="center"/>
          </w:tcPr>
          <w:p w14:paraId="624F8B78"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Starševski dopust in starševsko nadomestilo</w:t>
            </w:r>
          </w:p>
        </w:tc>
        <w:tc>
          <w:tcPr>
            <w:tcW w:w="0" w:type="auto"/>
            <w:shd w:val="clear" w:color="auto" w:fill="B0E3FB"/>
            <w:tcMar>
              <w:top w:w="0" w:type="dxa"/>
              <w:left w:w="0" w:type="dxa"/>
              <w:bottom w:w="0" w:type="dxa"/>
              <w:right w:w="0" w:type="dxa"/>
            </w:tcMar>
            <w:vAlign w:val="center"/>
          </w:tcPr>
          <w:p w14:paraId="20A66166"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1.277,5</w:t>
            </w:r>
          </w:p>
        </w:tc>
        <w:tc>
          <w:tcPr>
            <w:tcW w:w="0" w:type="auto"/>
            <w:shd w:val="clear" w:color="auto" w:fill="B0E3FB"/>
            <w:tcMar>
              <w:top w:w="0" w:type="dxa"/>
              <w:left w:w="0" w:type="dxa"/>
              <w:bottom w:w="0" w:type="dxa"/>
              <w:right w:w="0" w:type="dxa"/>
            </w:tcMar>
            <w:vAlign w:val="center"/>
          </w:tcPr>
          <w:p w14:paraId="29F341A0"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3,9</w:t>
            </w:r>
          </w:p>
        </w:tc>
      </w:tr>
      <w:tr w:rsidR="009813B9" w:rsidRPr="001D4551" w14:paraId="6DA59B91" w14:textId="77777777" w:rsidTr="001D4551">
        <w:trPr>
          <w:cantSplit/>
          <w:jc w:val="center"/>
        </w:trPr>
        <w:tc>
          <w:tcPr>
            <w:tcW w:w="0" w:type="auto"/>
            <w:shd w:val="clear" w:color="auto" w:fill="FFFFFF"/>
            <w:tcMar>
              <w:top w:w="0" w:type="dxa"/>
              <w:left w:w="0" w:type="dxa"/>
              <w:bottom w:w="0" w:type="dxa"/>
              <w:right w:w="0" w:type="dxa"/>
            </w:tcMar>
            <w:vAlign w:val="center"/>
          </w:tcPr>
          <w:p w14:paraId="7172CCD8"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Materinski dopust in materinsko nadomestilo</w:t>
            </w:r>
          </w:p>
        </w:tc>
        <w:tc>
          <w:tcPr>
            <w:tcW w:w="0" w:type="auto"/>
            <w:shd w:val="clear" w:color="auto" w:fill="FFFFFF"/>
            <w:tcMar>
              <w:top w:w="0" w:type="dxa"/>
              <w:left w:w="0" w:type="dxa"/>
              <w:bottom w:w="0" w:type="dxa"/>
              <w:right w:w="0" w:type="dxa"/>
            </w:tcMar>
            <w:vAlign w:val="center"/>
          </w:tcPr>
          <w:p w14:paraId="5C29713B"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1.176,7</w:t>
            </w:r>
          </w:p>
        </w:tc>
        <w:tc>
          <w:tcPr>
            <w:tcW w:w="0" w:type="auto"/>
            <w:shd w:val="clear" w:color="auto" w:fill="FFFFFF"/>
            <w:tcMar>
              <w:top w:w="0" w:type="dxa"/>
              <w:left w:w="0" w:type="dxa"/>
              <w:bottom w:w="0" w:type="dxa"/>
              <w:right w:w="0" w:type="dxa"/>
            </w:tcMar>
            <w:vAlign w:val="center"/>
          </w:tcPr>
          <w:p w14:paraId="3CE9BA87"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8,9</w:t>
            </w:r>
          </w:p>
        </w:tc>
      </w:tr>
      <w:tr w:rsidR="009813B9" w:rsidRPr="001D4551" w14:paraId="4D5DDC61" w14:textId="77777777" w:rsidTr="001D4551">
        <w:trPr>
          <w:cantSplit/>
          <w:jc w:val="center"/>
        </w:trPr>
        <w:tc>
          <w:tcPr>
            <w:tcW w:w="0" w:type="auto"/>
            <w:shd w:val="clear" w:color="auto" w:fill="B0E3FB"/>
            <w:tcMar>
              <w:top w:w="0" w:type="dxa"/>
              <w:left w:w="0" w:type="dxa"/>
              <w:bottom w:w="0" w:type="dxa"/>
              <w:right w:w="0" w:type="dxa"/>
            </w:tcMar>
            <w:vAlign w:val="center"/>
          </w:tcPr>
          <w:p w14:paraId="054DF14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Očetovski dopust in očetovsko nadomestilo</w:t>
            </w:r>
          </w:p>
        </w:tc>
        <w:tc>
          <w:tcPr>
            <w:tcW w:w="0" w:type="auto"/>
            <w:shd w:val="clear" w:color="auto" w:fill="B0E3FB"/>
            <w:tcMar>
              <w:top w:w="0" w:type="dxa"/>
              <w:left w:w="0" w:type="dxa"/>
              <w:bottom w:w="0" w:type="dxa"/>
              <w:right w:w="0" w:type="dxa"/>
            </w:tcMar>
            <w:vAlign w:val="center"/>
          </w:tcPr>
          <w:p w14:paraId="1A2EF8E8"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726,3</w:t>
            </w:r>
          </w:p>
        </w:tc>
        <w:tc>
          <w:tcPr>
            <w:tcW w:w="0" w:type="auto"/>
            <w:shd w:val="clear" w:color="auto" w:fill="B0E3FB"/>
            <w:tcMar>
              <w:top w:w="0" w:type="dxa"/>
              <w:left w:w="0" w:type="dxa"/>
              <w:bottom w:w="0" w:type="dxa"/>
              <w:right w:w="0" w:type="dxa"/>
            </w:tcMar>
            <w:vAlign w:val="center"/>
          </w:tcPr>
          <w:p w14:paraId="170F9F45"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8,0</w:t>
            </w:r>
          </w:p>
        </w:tc>
      </w:tr>
      <w:tr w:rsidR="009813B9" w:rsidRPr="001D4551" w14:paraId="26E29D3E" w14:textId="77777777" w:rsidTr="001D4551">
        <w:trPr>
          <w:cantSplit/>
          <w:jc w:val="center"/>
        </w:trPr>
        <w:tc>
          <w:tcPr>
            <w:tcW w:w="0" w:type="auto"/>
            <w:shd w:val="clear" w:color="auto" w:fill="FFFFFF"/>
            <w:tcMar>
              <w:top w:w="0" w:type="dxa"/>
              <w:left w:w="0" w:type="dxa"/>
              <w:bottom w:w="0" w:type="dxa"/>
              <w:right w:w="0" w:type="dxa"/>
            </w:tcMar>
            <w:vAlign w:val="center"/>
          </w:tcPr>
          <w:p w14:paraId="24DC4590"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Nadomestilo v času odmora za dojenje</w:t>
            </w:r>
          </w:p>
        </w:tc>
        <w:tc>
          <w:tcPr>
            <w:tcW w:w="0" w:type="auto"/>
            <w:shd w:val="clear" w:color="auto" w:fill="FFFFFF"/>
            <w:tcMar>
              <w:top w:w="0" w:type="dxa"/>
              <w:left w:w="0" w:type="dxa"/>
              <w:bottom w:w="0" w:type="dxa"/>
              <w:right w:w="0" w:type="dxa"/>
            </w:tcMar>
            <w:vAlign w:val="center"/>
          </w:tcPr>
          <w:p w14:paraId="3165745D"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155,2</w:t>
            </w:r>
          </w:p>
        </w:tc>
        <w:tc>
          <w:tcPr>
            <w:tcW w:w="0" w:type="auto"/>
            <w:shd w:val="clear" w:color="auto" w:fill="FFFFFF"/>
            <w:tcMar>
              <w:top w:w="0" w:type="dxa"/>
              <w:left w:w="0" w:type="dxa"/>
              <w:bottom w:w="0" w:type="dxa"/>
              <w:right w:w="0" w:type="dxa"/>
            </w:tcMar>
            <w:vAlign w:val="center"/>
          </w:tcPr>
          <w:p w14:paraId="1C2DDF77"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463,6</w:t>
            </w:r>
          </w:p>
        </w:tc>
      </w:tr>
      <w:tr w:rsidR="009813B9" w:rsidRPr="001D4551" w14:paraId="3040A967" w14:textId="77777777" w:rsidTr="001D4551">
        <w:trPr>
          <w:cantSplit/>
          <w:jc w:val="center"/>
        </w:trPr>
        <w:tc>
          <w:tcPr>
            <w:tcW w:w="0" w:type="auto"/>
            <w:gridSpan w:val="3"/>
            <w:shd w:val="clear" w:color="auto" w:fill="FFFFFF"/>
            <w:tcMar>
              <w:top w:w="0" w:type="dxa"/>
              <w:left w:w="0" w:type="dxa"/>
              <w:bottom w:w="0" w:type="dxa"/>
              <w:right w:w="0" w:type="dxa"/>
            </w:tcMar>
            <w:vAlign w:val="center"/>
          </w:tcPr>
          <w:p w14:paraId="5EB71229" w14:textId="77777777" w:rsidR="009813B9" w:rsidRPr="001D4551" w:rsidRDefault="006D271E">
            <w:pPr>
              <w:spacing w:after="0"/>
              <w:rPr>
                <w:sz w:val="16"/>
                <w:szCs w:val="16"/>
              </w:rPr>
            </w:pPr>
            <w:r w:rsidRPr="001D4551">
              <w:rPr>
                <w:rFonts w:ascii="Arial" w:eastAsia="Arial" w:hAnsi="Arial" w:cs="Arial"/>
                <w:color w:val="000000"/>
                <w:sz w:val="16"/>
                <w:szCs w:val="16"/>
              </w:rPr>
              <w:t>Vir: MDDSZ</w:t>
            </w:r>
          </w:p>
        </w:tc>
      </w:tr>
    </w:tbl>
    <w:p w14:paraId="3BAFAD95" w14:textId="77777777" w:rsidR="009813B9" w:rsidRDefault="006D271E">
      <w:r>
        <w:br w:type="page"/>
      </w:r>
    </w:p>
    <w:p w14:paraId="5DA30CD0" w14:textId="77777777" w:rsidR="009813B9" w:rsidRDefault="006D271E">
      <w:pPr>
        <w:pStyle w:val="Telobesedila"/>
      </w:pPr>
      <w:r>
        <w:rPr>
          <w:b/>
        </w:rPr>
        <w:lastRenderedPageBreak/>
        <w:t>Slika 9 Mesečna dinamika transferjev, zneski in število upravičencev</w:t>
      </w:r>
    </w:p>
    <w:p w14:paraId="532F5FAD" w14:textId="77777777" w:rsidR="001D4551" w:rsidRDefault="006D271E" w:rsidP="001D4551">
      <w:pPr>
        <w:pStyle w:val="Telobesedila"/>
        <w:jc w:val="center"/>
      </w:pPr>
      <w:r>
        <w:rPr>
          <w:noProof/>
          <w:lang w:val="sl-SI" w:eastAsia="sl-SI"/>
        </w:rPr>
        <w:drawing>
          <wp:inline distT="0" distB="0" distL="0" distR="0" wp14:anchorId="50284AA9" wp14:editId="34C5232A">
            <wp:extent cx="5340928" cy="38100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1.png"/>
                    <pic:cNvPicPr>
                      <a:picLocks noChangeAspect="1" noChangeArrowheads="1"/>
                    </pic:cNvPicPr>
                  </pic:nvPicPr>
                  <pic:blipFill>
                    <a:blip r:embed="rId33"/>
                    <a:stretch>
                      <a:fillRect/>
                    </a:stretch>
                  </pic:blipFill>
                  <pic:spPr bwMode="auto">
                    <a:xfrm>
                      <a:off x="0" y="0"/>
                      <a:ext cx="5352847" cy="3818503"/>
                    </a:xfrm>
                    <a:prstGeom prst="rect">
                      <a:avLst/>
                    </a:prstGeom>
                    <a:noFill/>
                    <a:ln w="9525">
                      <a:noFill/>
                      <a:headEnd/>
                      <a:tailEnd/>
                    </a:ln>
                  </pic:spPr>
                </pic:pic>
              </a:graphicData>
            </a:graphic>
          </wp:inline>
        </w:drawing>
      </w:r>
    </w:p>
    <w:p w14:paraId="5B766110" w14:textId="77777777" w:rsidR="009813B9" w:rsidRDefault="006D271E" w:rsidP="001D4551">
      <w:pPr>
        <w:pStyle w:val="Telobesedila"/>
        <w:jc w:val="center"/>
      </w:pPr>
      <w:r>
        <w:rPr>
          <w:noProof/>
          <w:lang w:val="sl-SI" w:eastAsia="sl-SI"/>
        </w:rPr>
        <w:drawing>
          <wp:inline distT="0" distB="0" distL="0" distR="0" wp14:anchorId="09E2E012" wp14:editId="5FBAD5E6">
            <wp:extent cx="5039985" cy="380480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2.png"/>
                    <pic:cNvPicPr>
                      <a:picLocks noChangeAspect="1" noChangeArrowheads="1"/>
                    </pic:cNvPicPr>
                  </pic:nvPicPr>
                  <pic:blipFill>
                    <a:blip r:embed="rId34"/>
                    <a:stretch>
                      <a:fillRect/>
                    </a:stretch>
                  </pic:blipFill>
                  <pic:spPr bwMode="auto">
                    <a:xfrm>
                      <a:off x="0" y="0"/>
                      <a:ext cx="5046889" cy="3810017"/>
                    </a:xfrm>
                    <a:prstGeom prst="rect">
                      <a:avLst/>
                    </a:prstGeom>
                    <a:noFill/>
                    <a:ln w="9525">
                      <a:noFill/>
                      <a:headEnd/>
                      <a:tailEnd/>
                    </a:ln>
                  </pic:spPr>
                </pic:pic>
              </a:graphicData>
            </a:graphic>
          </wp:inline>
        </w:drawing>
      </w:r>
    </w:p>
    <w:p w14:paraId="67768E42" w14:textId="77777777" w:rsidR="009813B9" w:rsidRDefault="009813B9"/>
    <w:p w14:paraId="4A3C65F3" w14:textId="77777777" w:rsidR="009813B9" w:rsidRDefault="006D271E">
      <w:pPr>
        <w:pStyle w:val="Telobesedila"/>
      </w:pPr>
      <w:r>
        <w:rPr>
          <w:b/>
        </w:rPr>
        <w:t>Slika 10 Medletne rasti zneskov in števila upravičencev po pravicah</w:t>
      </w:r>
    </w:p>
    <w:p w14:paraId="0A1FEB4E" w14:textId="77777777" w:rsidR="009813B9" w:rsidRDefault="006D271E">
      <w:pPr>
        <w:pStyle w:val="Telobesedila"/>
      </w:pPr>
      <w:r>
        <w:rPr>
          <w:noProof/>
          <w:lang w:val="sl-SI" w:eastAsia="sl-SI"/>
        </w:rPr>
        <w:drawing>
          <wp:inline distT="0" distB="0" distL="0" distR="0" wp14:anchorId="1DACBDB6" wp14:editId="06F6AAD7">
            <wp:extent cx="5969000" cy="3581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1.png"/>
                    <pic:cNvPicPr>
                      <a:picLocks noChangeAspect="1" noChangeArrowheads="1"/>
                    </pic:cNvPicPr>
                  </pic:nvPicPr>
                  <pic:blipFill>
                    <a:blip r:embed="rId35"/>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4004A4AA" wp14:editId="0D2DEE32">
            <wp:extent cx="5969000" cy="35814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2.png"/>
                    <pic:cNvPicPr>
                      <a:picLocks noChangeAspect="1" noChangeArrowheads="1"/>
                    </pic:cNvPicPr>
                  </pic:nvPicPr>
                  <pic:blipFill>
                    <a:blip r:embed="rId36"/>
                    <a:stretch>
                      <a:fillRect/>
                    </a:stretch>
                  </pic:blipFill>
                  <pic:spPr bwMode="auto">
                    <a:xfrm>
                      <a:off x="0" y="0"/>
                      <a:ext cx="5969000" cy="3581400"/>
                    </a:xfrm>
                    <a:prstGeom prst="rect">
                      <a:avLst/>
                    </a:prstGeom>
                    <a:noFill/>
                    <a:ln w="9525">
                      <a:noFill/>
                      <a:headEnd/>
                      <a:tailEnd/>
                    </a:ln>
                  </pic:spPr>
                </pic:pic>
              </a:graphicData>
            </a:graphic>
          </wp:inline>
        </w:drawing>
      </w:r>
    </w:p>
    <w:p w14:paraId="0592C284" w14:textId="77777777" w:rsidR="009813B9" w:rsidRDefault="006D271E">
      <w:r>
        <w:br w:type="page"/>
      </w:r>
    </w:p>
    <w:p w14:paraId="6A3CF7C0" w14:textId="77777777" w:rsidR="009813B9" w:rsidRDefault="006D271E">
      <w:pPr>
        <w:pStyle w:val="Naslov3"/>
      </w:pPr>
      <w:bookmarkStart w:id="9" w:name="X98b6774fa5f993a79dde33706747e9167da23f4"/>
      <w:r>
        <w:lastRenderedPageBreak/>
        <w:t>Oprostitve plačil socialno varstvenih storitev</w:t>
      </w:r>
      <w:bookmarkEnd w:id="9"/>
    </w:p>
    <w:p w14:paraId="3FF96AA0" w14:textId="77777777" w:rsidR="009813B9" w:rsidRDefault="006D271E">
      <w:pPr>
        <w:pStyle w:val="FirstParagraph"/>
      </w:pPr>
      <w:r>
        <w:rPr>
          <w:b/>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2899"/>
        <w:gridCol w:w="2099"/>
        <w:gridCol w:w="1405"/>
      </w:tblGrid>
      <w:tr w:rsidR="009813B9" w:rsidRPr="001D4551" w14:paraId="7F2E0DF0" w14:textId="77777777" w:rsidTr="001D4551">
        <w:trPr>
          <w:cantSplit/>
          <w:tblHeader/>
          <w:jc w:val="center"/>
        </w:trPr>
        <w:tc>
          <w:tcPr>
            <w:tcW w:w="0" w:type="auto"/>
            <w:shd w:val="clear" w:color="auto" w:fill="8BC9E8"/>
            <w:tcMar>
              <w:top w:w="0" w:type="dxa"/>
              <w:left w:w="0" w:type="dxa"/>
              <w:bottom w:w="0" w:type="dxa"/>
              <w:right w:w="0" w:type="dxa"/>
            </w:tcMar>
            <w:vAlign w:val="center"/>
          </w:tcPr>
          <w:p w14:paraId="5E7C48DA"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6103AD08" w14:textId="77777777" w:rsidR="009813B9" w:rsidRPr="001D4551" w:rsidRDefault="006D271E">
            <w:pPr>
              <w:spacing w:before="40" w:after="40"/>
              <w:ind w:left="40" w:right="40"/>
              <w:jc w:val="center"/>
              <w:rPr>
                <w:sz w:val="16"/>
                <w:szCs w:val="16"/>
              </w:rPr>
            </w:pPr>
            <w:r w:rsidRPr="001D4551">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651203F0" w14:textId="77777777" w:rsidR="009813B9" w:rsidRPr="001D4551" w:rsidRDefault="006D271E">
            <w:pPr>
              <w:spacing w:before="40" w:after="40"/>
              <w:ind w:left="40" w:right="40"/>
              <w:jc w:val="center"/>
              <w:rPr>
                <w:sz w:val="16"/>
                <w:szCs w:val="16"/>
              </w:rPr>
            </w:pPr>
            <w:r w:rsidRPr="001D4551">
              <w:rPr>
                <w:rFonts w:ascii="Arial" w:eastAsia="Arial" w:hAnsi="Arial" w:cs="Arial"/>
                <w:b/>
                <w:color w:val="111111"/>
                <w:sz w:val="16"/>
                <w:szCs w:val="16"/>
              </w:rPr>
              <w:t>Medletna rast (%)</w:t>
            </w:r>
          </w:p>
        </w:tc>
      </w:tr>
      <w:tr w:rsidR="009813B9" w:rsidRPr="001D4551" w14:paraId="33733E20" w14:textId="77777777" w:rsidTr="001D4551">
        <w:trPr>
          <w:cantSplit/>
          <w:jc w:val="center"/>
        </w:trPr>
        <w:tc>
          <w:tcPr>
            <w:tcW w:w="0" w:type="auto"/>
            <w:shd w:val="clear" w:color="auto" w:fill="B0E3FB"/>
            <w:tcMar>
              <w:top w:w="0" w:type="dxa"/>
              <w:left w:w="0" w:type="dxa"/>
              <w:bottom w:w="0" w:type="dxa"/>
              <w:right w:w="0" w:type="dxa"/>
            </w:tcMar>
            <w:vAlign w:val="center"/>
          </w:tcPr>
          <w:p w14:paraId="24D9A4C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Institucionalno varstvo</w:t>
            </w:r>
          </w:p>
        </w:tc>
        <w:tc>
          <w:tcPr>
            <w:tcW w:w="0" w:type="auto"/>
            <w:shd w:val="clear" w:color="auto" w:fill="B0E3FB"/>
            <w:tcMar>
              <w:top w:w="0" w:type="dxa"/>
              <w:left w:w="0" w:type="dxa"/>
              <w:bottom w:w="0" w:type="dxa"/>
              <w:right w:w="0" w:type="dxa"/>
            </w:tcMar>
            <w:vAlign w:val="center"/>
          </w:tcPr>
          <w:p w14:paraId="4C93320C"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602,5</w:t>
            </w:r>
          </w:p>
        </w:tc>
        <w:tc>
          <w:tcPr>
            <w:tcW w:w="0" w:type="auto"/>
            <w:shd w:val="clear" w:color="auto" w:fill="B0E3FB"/>
            <w:tcMar>
              <w:top w:w="0" w:type="dxa"/>
              <w:left w:w="0" w:type="dxa"/>
              <w:bottom w:w="0" w:type="dxa"/>
              <w:right w:w="0" w:type="dxa"/>
            </w:tcMar>
            <w:vAlign w:val="center"/>
          </w:tcPr>
          <w:p w14:paraId="45F3C256"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2,8</w:t>
            </w:r>
          </w:p>
        </w:tc>
      </w:tr>
      <w:tr w:rsidR="009813B9" w:rsidRPr="001D4551" w14:paraId="50BCCE87" w14:textId="77777777" w:rsidTr="001D4551">
        <w:trPr>
          <w:cantSplit/>
          <w:jc w:val="center"/>
        </w:trPr>
        <w:tc>
          <w:tcPr>
            <w:tcW w:w="0" w:type="auto"/>
            <w:shd w:val="clear" w:color="auto" w:fill="FFFFFF"/>
            <w:tcMar>
              <w:top w:w="0" w:type="dxa"/>
              <w:left w:w="0" w:type="dxa"/>
              <w:bottom w:w="0" w:type="dxa"/>
              <w:right w:w="0" w:type="dxa"/>
            </w:tcMar>
            <w:vAlign w:val="center"/>
          </w:tcPr>
          <w:p w14:paraId="6723262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Nadomestna oblika bivanja in oskrbe</w:t>
            </w:r>
          </w:p>
        </w:tc>
        <w:tc>
          <w:tcPr>
            <w:tcW w:w="0" w:type="auto"/>
            <w:shd w:val="clear" w:color="auto" w:fill="FFFFFF"/>
            <w:tcMar>
              <w:top w:w="0" w:type="dxa"/>
              <w:left w:w="0" w:type="dxa"/>
              <w:bottom w:w="0" w:type="dxa"/>
              <w:right w:w="0" w:type="dxa"/>
            </w:tcMar>
            <w:vAlign w:val="center"/>
          </w:tcPr>
          <w:p w14:paraId="4A7B2F16"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587,6</w:t>
            </w:r>
          </w:p>
        </w:tc>
        <w:tc>
          <w:tcPr>
            <w:tcW w:w="0" w:type="auto"/>
            <w:shd w:val="clear" w:color="auto" w:fill="FFFFFF"/>
            <w:tcMar>
              <w:top w:w="0" w:type="dxa"/>
              <w:left w:w="0" w:type="dxa"/>
              <w:bottom w:w="0" w:type="dxa"/>
              <w:right w:w="0" w:type="dxa"/>
            </w:tcMar>
            <w:vAlign w:val="center"/>
          </w:tcPr>
          <w:p w14:paraId="72CA2A11"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-6,2</w:t>
            </w:r>
          </w:p>
        </w:tc>
      </w:tr>
      <w:tr w:rsidR="009813B9" w:rsidRPr="001D4551" w14:paraId="26AFD1D5" w14:textId="77777777" w:rsidTr="001D4551">
        <w:trPr>
          <w:cantSplit/>
          <w:jc w:val="center"/>
        </w:trPr>
        <w:tc>
          <w:tcPr>
            <w:tcW w:w="0" w:type="auto"/>
            <w:shd w:val="clear" w:color="auto" w:fill="B0E3FB"/>
            <w:tcMar>
              <w:top w:w="0" w:type="dxa"/>
              <w:left w:w="0" w:type="dxa"/>
              <w:bottom w:w="0" w:type="dxa"/>
              <w:right w:w="0" w:type="dxa"/>
            </w:tcMar>
            <w:vAlign w:val="center"/>
          </w:tcPr>
          <w:p w14:paraId="764BF0B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Pomoč družini na domu</w:t>
            </w:r>
          </w:p>
        </w:tc>
        <w:tc>
          <w:tcPr>
            <w:tcW w:w="0" w:type="auto"/>
            <w:shd w:val="clear" w:color="auto" w:fill="B0E3FB"/>
            <w:tcMar>
              <w:top w:w="0" w:type="dxa"/>
              <w:left w:w="0" w:type="dxa"/>
              <w:bottom w:w="0" w:type="dxa"/>
              <w:right w:w="0" w:type="dxa"/>
            </w:tcMar>
            <w:vAlign w:val="center"/>
          </w:tcPr>
          <w:p w14:paraId="5A5EE7AF"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93,1</w:t>
            </w:r>
          </w:p>
        </w:tc>
        <w:tc>
          <w:tcPr>
            <w:tcW w:w="0" w:type="auto"/>
            <w:shd w:val="clear" w:color="auto" w:fill="B0E3FB"/>
            <w:tcMar>
              <w:top w:w="0" w:type="dxa"/>
              <w:left w:w="0" w:type="dxa"/>
              <w:bottom w:w="0" w:type="dxa"/>
              <w:right w:w="0" w:type="dxa"/>
            </w:tcMar>
            <w:vAlign w:val="center"/>
          </w:tcPr>
          <w:p w14:paraId="05EB15CB" w14:textId="77777777" w:rsidR="009813B9" w:rsidRPr="001D4551" w:rsidRDefault="006D271E">
            <w:pPr>
              <w:spacing w:before="40" w:after="40"/>
              <w:ind w:left="40" w:right="40"/>
              <w:jc w:val="center"/>
              <w:rPr>
                <w:sz w:val="16"/>
                <w:szCs w:val="16"/>
              </w:rPr>
            </w:pPr>
            <w:r w:rsidRPr="001D4551">
              <w:rPr>
                <w:rFonts w:ascii="Arial" w:eastAsia="Arial" w:hAnsi="Arial" w:cs="Arial"/>
                <w:color w:val="111111"/>
                <w:sz w:val="16"/>
                <w:szCs w:val="16"/>
              </w:rPr>
              <w:t>-3,4</w:t>
            </w:r>
          </w:p>
        </w:tc>
      </w:tr>
      <w:tr w:rsidR="009813B9" w:rsidRPr="001D4551" w14:paraId="38E6C2EF" w14:textId="77777777" w:rsidTr="001D4551">
        <w:trPr>
          <w:cantSplit/>
          <w:jc w:val="center"/>
        </w:trPr>
        <w:tc>
          <w:tcPr>
            <w:tcW w:w="0" w:type="auto"/>
            <w:gridSpan w:val="3"/>
            <w:shd w:val="clear" w:color="auto" w:fill="FFFFFF"/>
            <w:tcMar>
              <w:top w:w="0" w:type="dxa"/>
              <w:left w:w="0" w:type="dxa"/>
              <w:bottom w:w="0" w:type="dxa"/>
              <w:right w:w="0" w:type="dxa"/>
            </w:tcMar>
            <w:vAlign w:val="center"/>
          </w:tcPr>
          <w:p w14:paraId="42119DFD" w14:textId="77777777" w:rsidR="009813B9" w:rsidRPr="001D4551" w:rsidRDefault="006D271E">
            <w:pPr>
              <w:spacing w:after="0"/>
              <w:rPr>
                <w:sz w:val="16"/>
                <w:szCs w:val="16"/>
              </w:rPr>
            </w:pPr>
            <w:r w:rsidRPr="001D4551">
              <w:rPr>
                <w:rFonts w:ascii="Arial" w:eastAsia="Arial" w:hAnsi="Arial" w:cs="Arial"/>
                <w:color w:val="000000"/>
                <w:sz w:val="16"/>
                <w:szCs w:val="16"/>
              </w:rPr>
              <w:t>Vir: MDDSZ</w:t>
            </w:r>
          </w:p>
        </w:tc>
      </w:tr>
    </w:tbl>
    <w:p w14:paraId="07D1245E" w14:textId="77777777" w:rsidR="009813B9" w:rsidRDefault="006D271E">
      <w:r>
        <w:br w:type="page"/>
      </w:r>
    </w:p>
    <w:p w14:paraId="7D6CDFF2" w14:textId="77777777" w:rsidR="009813B9" w:rsidRDefault="006D271E">
      <w:pPr>
        <w:pStyle w:val="Telobesedila"/>
      </w:pPr>
      <w:r>
        <w:rPr>
          <w:b/>
        </w:rPr>
        <w:lastRenderedPageBreak/>
        <w:t>Slika 11 Mesečna dinamika transferjev, zneski in število upravičencev</w:t>
      </w:r>
    </w:p>
    <w:p w14:paraId="54D830C9" w14:textId="77777777" w:rsidR="009813B9" w:rsidRDefault="006D271E">
      <w:pPr>
        <w:pStyle w:val="Telobesedila"/>
      </w:pPr>
      <w:r>
        <w:rPr>
          <w:noProof/>
          <w:lang w:val="sl-SI" w:eastAsia="sl-SI"/>
        </w:rPr>
        <w:drawing>
          <wp:inline distT="0" distB="0" distL="0" distR="0" wp14:anchorId="36179EE0" wp14:editId="4336BF62">
            <wp:extent cx="5969000" cy="35814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1.png"/>
                    <pic:cNvPicPr>
                      <a:picLocks noChangeAspect="1" noChangeArrowheads="1"/>
                    </pic:cNvPicPr>
                  </pic:nvPicPr>
                  <pic:blipFill>
                    <a:blip r:embed="rId37"/>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2658DB6F" wp14:editId="39E6FA15">
            <wp:extent cx="5969000" cy="3581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2.png"/>
                    <pic:cNvPicPr>
                      <a:picLocks noChangeAspect="1" noChangeArrowheads="1"/>
                    </pic:cNvPicPr>
                  </pic:nvPicPr>
                  <pic:blipFill>
                    <a:blip r:embed="rId38"/>
                    <a:stretch>
                      <a:fillRect/>
                    </a:stretch>
                  </pic:blipFill>
                  <pic:spPr bwMode="auto">
                    <a:xfrm>
                      <a:off x="0" y="0"/>
                      <a:ext cx="5969000" cy="3581400"/>
                    </a:xfrm>
                    <a:prstGeom prst="rect">
                      <a:avLst/>
                    </a:prstGeom>
                    <a:noFill/>
                    <a:ln w="9525">
                      <a:noFill/>
                      <a:headEnd/>
                      <a:tailEnd/>
                    </a:ln>
                  </pic:spPr>
                </pic:pic>
              </a:graphicData>
            </a:graphic>
          </wp:inline>
        </w:drawing>
      </w:r>
    </w:p>
    <w:p w14:paraId="04D48230" w14:textId="77777777" w:rsidR="009813B9" w:rsidRDefault="006D271E">
      <w:r>
        <w:br w:type="page"/>
      </w:r>
    </w:p>
    <w:p w14:paraId="679325E1" w14:textId="77777777" w:rsidR="009813B9" w:rsidRDefault="006D271E">
      <w:pPr>
        <w:pStyle w:val="Telobesedila"/>
      </w:pPr>
      <w:r>
        <w:rPr>
          <w:b/>
        </w:rPr>
        <w:lastRenderedPageBreak/>
        <w:t>Slika 12 Medletne rasti zneskov in števila upravičencev po pravicah</w:t>
      </w:r>
    </w:p>
    <w:p w14:paraId="13211CA8" w14:textId="77777777" w:rsidR="009813B9" w:rsidRDefault="006D271E" w:rsidP="001D4551">
      <w:pPr>
        <w:pStyle w:val="Telobesedila"/>
        <w:jc w:val="center"/>
      </w:pPr>
      <w:r>
        <w:rPr>
          <w:noProof/>
          <w:lang w:val="sl-SI" w:eastAsia="sl-SI"/>
        </w:rPr>
        <w:drawing>
          <wp:inline distT="0" distB="0" distL="0" distR="0" wp14:anchorId="6D14B96A" wp14:editId="4F1A03C7">
            <wp:extent cx="5969000" cy="35814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340FD544" wp14:editId="5E7561BA">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78550C6E" w14:textId="77777777" w:rsidR="001D4551" w:rsidRDefault="001D4551">
      <w:pPr>
        <w:pStyle w:val="Naslov4"/>
        <w:sectPr w:rsidR="001D4551">
          <w:pgSz w:w="12240" w:h="15840"/>
          <w:pgMar w:top="1417" w:right="1417" w:bottom="1417" w:left="1417" w:header="708" w:footer="708" w:gutter="0"/>
          <w:cols w:space="708"/>
        </w:sectPr>
      </w:pPr>
      <w:bookmarkStart w:id="10" w:name="opis-pravic"/>
    </w:p>
    <w:p w14:paraId="71CAC906" w14:textId="77777777" w:rsidR="009813B9" w:rsidRDefault="006D271E">
      <w:pPr>
        <w:pStyle w:val="Naslov4"/>
      </w:pPr>
      <w:r>
        <w:lastRenderedPageBreak/>
        <w:t>Opis pravic</w:t>
      </w:r>
      <w:bookmarkEnd w:id="10"/>
    </w:p>
    <w:p w14:paraId="0B8EEF22" w14:textId="77777777" w:rsidR="009813B9" w:rsidRDefault="006D271E">
      <w:pPr>
        <w:pStyle w:val="FirstParagraph"/>
      </w:pPr>
      <w:r>
        <w:rPr>
          <w:b/>
        </w:rPr>
        <w:t>Tabela 12 Klasifikacija pravic glede na funkcijo, vsebino in način prejemanja</w:t>
      </w:r>
    </w:p>
    <w:tbl>
      <w:tblPr>
        <w:tblW w:w="5000" w:type="pct"/>
        <w:jc w:val="center"/>
        <w:tblLook w:val="0420" w:firstRow="1" w:lastRow="0" w:firstColumn="0" w:lastColumn="0" w:noHBand="0" w:noVBand="1"/>
      </w:tblPr>
      <w:tblGrid>
        <w:gridCol w:w="1833"/>
        <w:gridCol w:w="1833"/>
        <w:gridCol w:w="2002"/>
        <w:gridCol w:w="1833"/>
        <w:gridCol w:w="1833"/>
        <w:gridCol w:w="1833"/>
        <w:gridCol w:w="1839"/>
      </w:tblGrid>
      <w:tr w:rsidR="009813B9" w:rsidRPr="001D4551" w14:paraId="106EE33E" w14:textId="77777777" w:rsidTr="001D4551">
        <w:trPr>
          <w:cantSplit/>
          <w:tblHeader/>
          <w:jc w:val="center"/>
        </w:trPr>
        <w:tc>
          <w:tcPr>
            <w:tcW w:w="714" w:type="pct"/>
            <w:shd w:val="clear" w:color="auto" w:fill="8BC9E8"/>
            <w:tcMar>
              <w:top w:w="0" w:type="dxa"/>
              <w:left w:w="0" w:type="dxa"/>
              <w:bottom w:w="0" w:type="dxa"/>
              <w:right w:w="0" w:type="dxa"/>
            </w:tcMar>
            <w:vAlign w:val="center"/>
          </w:tcPr>
          <w:p w14:paraId="057899E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Funkcija</w:t>
            </w:r>
          </w:p>
        </w:tc>
        <w:tc>
          <w:tcPr>
            <w:tcW w:w="714" w:type="pct"/>
            <w:shd w:val="clear" w:color="auto" w:fill="8BC9E8"/>
            <w:tcMar>
              <w:top w:w="0" w:type="dxa"/>
              <w:left w:w="0" w:type="dxa"/>
              <w:bottom w:w="0" w:type="dxa"/>
              <w:right w:w="0" w:type="dxa"/>
            </w:tcMar>
            <w:vAlign w:val="center"/>
          </w:tcPr>
          <w:p w14:paraId="7EB44538"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Šifra</w:t>
            </w:r>
          </w:p>
        </w:tc>
        <w:tc>
          <w:tcPr>
            <w:tcW w:w="714" w:type="pct"/>
            <w:shd w:val="clear" w:color="auto" w:fill="8BC9E8"/>
            <w:tcMar>
              <w:top w:w="0" w:type="dxa"/>
              <w:left w:w="0" w:type="dxa"/>
              <w:bottom w:w="0" w:type="dxa"/>
              <w:right w:w="0" w:type="dxa"/>
            </w:tcMar>
            <w:vAlign w:val="center"/>
          </w:tcPr>
          <w:p w14:paraId="64D0788B"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Pravica</w:t>
            </w:r>
          </w:p>
        </w:tc>
        <w:tc>
          <w:tcPr>
            <w:tcW w:w="714" w:type="pct"/>
            <w:shd w:val="clear" w:color="auto" w:fill="8BC9E8"/>
            <w:tcMar>
              <w:top w:w="0" w:type="dxa"/>
              <w:left w:w="0" w:type="dxa"/>
              <w:bottom w:w="0" w:type="dxa"/>
              <w:right w:w="0" w:type="dxa"/>
            </w:tcMar>
            <w:vAlign w:val="center"/>
          </w:tcPr>
          <w:p w14:paraId="2CAD486F"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Vsebina</w:t>
            </w:r>
          </w:p>
        </w:tc>
        <w:tc>
          <w:tcPr>
            <w:tcW w:w="714" w:type="pct"/>
            <w:shd w:val="clear" w:color="auto" w:fill="8BC9E8"/>
            <w:tcMar>
              <w:top w:w="0" w:type="dxa"/>
              <w:left w:w="0" w:type="dxa"/>
              <w:bottom w:w="0" w:type="dxa"/>
              <w:right w:w="0" w:type="dxa"/>
            </w:tcMar>
            <w:vAlign w:val="center"/>
          </w:tcPr>
          <w:p w14:paraId="0EC09F4C"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Vsebina.podrobno</w:t>
            </w:r>
          </w:p>
        </w:tc>
        <w:tc>
          <w:tcPr>
            <w:tcW w:w="714" w:type="pct"/>
            <w:shd w:val="clear" w:color="auto" w:fill="8BC9E8"/>
            <w:tcMar>
              <w:top w:w="0" w:type="dxa"/>
              <w:left w:w="0" w:type="dxa"/>
              <w:bottom w:w="0" w:type="dxa"/>
              <w:right w:w="0" w:type="dxa"/>
            </w:tcMar>
            <w:vAlign w:val="center"/>
          </w:tcPr>
          <w:p w14:paraId="0EABD95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Način.prejemanja</w:t>
            </w:r>
          </w:p>
        </w:tc>
        <w:tc>
          <w:tcPr>
            <w:tcW w:w="714" w:type="pct"/>
            <w:shd w:val="clear" w:color="auto" w:fill="8BC9E8"/>
            <w:tcMar>
              <w:top w:w="0" w:type="dxa"/>
              <w:left w:w="0" w:type="dxa"/>
              <w:bottom w:w="0" w:type="dxa"/>
              <w:right w:w="0" w:type="dxa"/>
            </w:tcMar>
            <w:vAlign w:val="center"/>
          </w:tcPr>
          <w:p w14:paraId="71BD90F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Klasifikacija</w:t>
            </w:r>
          </w:p>
        </w:tc>
      </w:tr>
      <w:tr w:rsidR="009813B9" w:rsidRPr="001D4551" w14:paraId="7B40D2CB" w14:textId="77777777" w:rsidTr="001D4551">
        <w:trPr>
          <w:cantSplit/>
          <w:jc w:val="center"/>
        </w:trPr>
        <w:tc>
          <w:tcPr>
            <w:tcW w:w="714" w:type="pct"/>
            <w:shd w:val="clear" w:color="auto" w:fill="B0E3FB"/>
            <w:tcMar>
              <w:top w:w="0" w:type="dxa"/>
              <w:left w:w="0" w:type="dxa"/>
              <w:bottom w:w="0" w:type="dxa"/>
              <w:right w:w="0" w:type="dxa"/>
            </w:tcMar>
            <w:vAlign w:val="center"/>
          </w:tcPr>
          <w:p w14:paraId="09108C1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Blaginja</w:t>
            </w:r>
          </w:p>
        </w:tc>
        <w:tc>
          <w:tcPr>
            <w:tcW w:w="714" w:type="pct"/>
            <w:shd w:val="clear" w:color="auto" w:fill="B0E3FB"/>
            <w:tcMar>
              <w:top w:w="0" w:type="dxa"/>
              <w:left w:w="0" w:type="dxa"/>
              <w:bottom w:w="0" w:type="dxa"/>
              <w:right w:w="0" w:type="dxa"/>
            </w:tcMar>
            <w:vAlign w:val="center"/>
          </w:tcPr>
          <w:p w14:paraId="5ADAAAD7"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11D8D034"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45B8030D"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3F59F159"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788CC52F"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4B75A4D1" w14:textId="77777777" w:rsidR="009813B9" w:rsidRPr="001D4551" w:rsidRDefault="009813B9">
            <w:pPr>
              <w:spacing w:before="40" w:after="40"/>
              <w:ind w:left="40" w:right="40"/>
              <w:rPr>
                <w:sz w:val="16"/>
                <w:szCs w:val="16"/>
              </w:rPr>
            </w:pPr>
          </w:p>
        </w:tc>
      </w:tr>
      <w:tr w:rsidR="009813B9" w:rsidRPr="001D4551" w14:paraId="1D0176CC" w14:textId="77777777" w:rsidTr="001D4551">
        <w:trPr>
          <w:cantSplit/>
          <w:jc w:val="center"/>
        </w:trPr>
        <w:tc>
          <w:tcPr>
            <w:tcW w:w="714" w:type="pct"/>
            <w:shd w:val="clear" w:color="auto" w:fill="FFFFFF"/>
            <w:tcMar>
              <w:top w:w="0" w:type="dxa"/>
              <w:left w:w="0" w:type="dxa"/>
              <w:bottom w:w="0" w:type="dxa"/>
              <w:right w:w="0" w:type="dxa"/>
            </w:tcMar>
            <w:vAlign w:val="center"/>
          </w:tcPr>
          <w:p w14:paraId="00E3B308"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3A57E1F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DVD</w:t>
            </w:r>
          </w:p>
        </w:tc>
        <w:tc>
          <w:tcPr>
            <w:tcW w:w="714" w:type="pct"/>
            <w:shd w:val="clear" w:color="auto" w:fill="FFFFFF"/>
            <w:tcMar>
              <w:top w:w="0" w:type="dxa"/>
              <w:left w:w="0" w:type="dxa"/>
              <w:bottom w:w="0" w:type="dxa"/>
              <w:right w:w="0" w:type="dxa"/>
            </w:tcMar>
            <w:vAlign w:val="center"/>
          </w:tcPr>
          <w:p w14:paraId="5885ADE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Dodatek za veliko družino</w:t>
            </w:r>
          </w:p>
        </w:tc>
        <w:tc>
          <w:tcPr>
            <w:tcW w:w="714" w:type="pct"/>
            <w:shd w:val="clear" w:color="auto" w:fill="FFFFFF"/>
            <w:tcMar>
              <w:top w:w="0" w:type="dxa"/>
              <w:left w:w="0" w:type="dxa"/>
              <w:bottom w:w="0" w:type="dxa"/>
              <w:right w:w="0" w:type="dxa"/>
            </w:tcMar>
            <w:vAlign w:val="center"/>
          </w:tcPr>
          <w:p w14:paraId="1B6E74E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77879BE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velikih družin</w:t>
            </w:r>
          </w:p>
        </w:tc>
        <w:tc>
          <w:tcPr>
            <w:tcW w:w="714" w:type="pct"/>
            <w:shd w:val="clear" w:color="auto" w:fill="FFFFFF"/>
            <w:tcMar>
              <w:top w:w="0" w:type="dxa"/>
              <w:left w:w="0" w:type="dxa"/>
              <w:bottom w:w="0" w:type="dxa"/>
              <w:right w:w="0" w:type="dxa"/>
            </w:tcMar>
            <w:vAlign w:val="center"/>
          </w:tcPr>
          <w:p w14:paraId="2874F2E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2996E5FA"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4EBDCD4E" w14:textId="77777777" w:rsidTr="001D4551">
        <w:trPr>
          <w:cantSplit/>
          <w:jc w:val="center"/>
        </w:trPr>
        <w:tc>
          <w:tcPr>
            <w:tcW w:w="714" w:type="pct"/>
            <w:shd w:val="clear" w:color="auto" w:fill="B0E3FB"/>
            <w:tcMar>
              <w:top w:w="0" w:type="dxa"/>
              <w:left w:w="0" w:type="dxa"/>
              <w:bottom w:w="0" w:type="dxa"/>
              <w:right w:w="0" w:type="dxa"/>
            </w:tcMar>
            <w:vAlign w:val="center"/>
          </w:tcPr>
          <w:p w14:paraId="5C3734D1"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4CF2256B"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DS</w:t>
            </w:r>
          </w:p>
        </w:tc>
        <w:tc>
          <w:tcPr>
            <w:tcW w:w="714" w:type="pct"/>
            <w:shd w:val="clear" w:color="auto" w:fill="B0E3FB"/>
            <w:tcMar>
              <w:top w:w="0" w:type="dxa"/>
              <w:left w:w="0" w:type="dxa"/>
              <w:bottom w:w="0" w:type="dxa"/>
              <w:right w:w="0" w:type="dxa"/>
            </w:tcMar>
            <w:vAlign w:val="center"/>
          </w:tcPr>
          <w:p w14:paraId="00925E81"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Državna štipendija</w:t>
            </w:r>
          </w:p>
        </w:tc>
        <w:tc>
          <w:tcPr>
            <w:tcW w:w="714" w:type="pct"/>
            <w:shd w:val="clear" w:color="auto" w:fill="B0E3FB"/>
            <w:tcMar>
              <w:top w:w="0" w:type="dxa"/>
              <w:left w:w="0" w:type="dxa"/>
              <w:bottom w:w="0" w:type="dxa"/>
              <w:right w:w="0" w:type="dxa"/>
            </w:tcMar>
            <w:vAlign w:val="center"/>
          </w:tcPr>
          <w:p w14:paraId="0A402C2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5AEB350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Izobraževanje</w:t>
            </w:r>
          </w:p>
        </w:tc>
        <w:tc>
          <w:tcPr>
            <w:tcW w:w="714" w:type="pct"/>
            <w:shd w:val="clear" w:color="auto" w:fill="B0E3FB"/>
            <w:tcMar>
              <w:top w:w="0" w:type="dxa"/>
              <w:left w:w="0" w:type="dxa"/>
              <w:bottom w:w="0" w:type="dxa"/>
              <w:right w:w="0" w:type="dxa"/>
            </w:tcMar>
            <w:vAlign w:val="center"/>
          </w:tcPr>
          <w:p w14:paraId="0C5E36DC"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156B418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1C5EDC81" w14:textId="77777777" w:rsidTr="001D4551">
        <w:trPr>
          <w:cantSplit/>
          <w:jc w:val="center"/>
        </w:trPr>
        <w:tc>
          <w:tcPr>
            <w:tcW w:w="714" w:type="pct"/>
            <w:shd w:val="clear" w:color="auto" w:fill="FFFFFF"/>
            <w:tcMar>
              <w:top w:w="0" w:type="dxa"/>
              <w:left w:w="0" w:type="dxa"/>
              <w:bottom w:w="0" w:type="dxa"/>
              <w:right w:w="0" w:type="dxa"/>
            </w:tcMar>
            <w:vAlign w:val="center"/>
          </w:tcPr>
          <w:p w14:paraId="627A0D70"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7F62754C"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KC</w:t>
            </w:r>
          </w:p>
        </w:tc>
        <w:tc>
          <w:tcPr>
            <w:tcW w:w="714" w:type="pct"/>
            <w:shd w:val="clear" w:color="auto" w:fill="FFFFFF"/>
            <w:tcMar>
              <w:top w:w="0" w:type="dxa"/>
              <w:left w:w="0" w:type="dxa"/>
              <w:bottom w:w="0" w:type="dxa"/>
              <w:right w:w="0" w:type="dxa"/>
            </w:tcMar>
            <w:vAlign w:val="center"/>
          </w:tcPr>
          <w:p w14:paraId="7F3AEF3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Krajši delovni čas</w:t>
            </w:r>
          </w:p>
        </w:tc>
        <w:tc>
          <w:tcPr>
            <w:tcW w:w="714" w:type="pct"/>
            <w:shd w:val="clear" w:color="auto" w:fill="FFFFFF"/>
            <w:tcMar>
              <w:top w:w="0" w:type="dxa"/>
              <w:left w:w="0" w:type="dxa"/>
              <w:bottom w:w="0" w:type="dxa"/>
              <w:right w:w="0" w:type="dxa"/>
            </w:tcMar>
            <w:vAlign w:val="center"/>
          </w:tcPr>
          <w:p w14:paraId="12F85F6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5D7102CE"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ob rojstvu otroka</w:t>
            </w:r>
          </w:p>
        </w:tc>
        <w:tc>
          <w:tcPr>
            <w:tcW w:w="714" w:type="pct"/>
            <w:shd w:val="clear" w:color="auto" w:fill="FFFFFF"/>
            <w:tcMar>
              <w:top w:w="0" w:type="dxa"/>
              <w:left w:w="0" w:type="dxa"/>
              <w:bottom w:w="0" w:type="dxa"/>
              <w:right w:w="0" w:type="dxa"/>
            </w:tcMar>
            <w:vAlign w:val="center"/>
          </w:tcPr>
          <w:p w14:paraId="5385738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pravica iz zavarovanja</w:t>
            </w:r>
          </w:p>
        </w:tc>
        <w:tc>
          <w:tcPr>
            <w:tcW w:w="714" w:type="pct"/>
            <w:shd w:val="clear" w:color="auto" w:fill="FFFFFF"/>
            <w:tcMar>
              <w:top w:w="0" w:type="dxa"/>
              <w:left w:w="0" w:type="dxa"/>
              <w:bottom w:w="0" w:type="dxa"/>
              <w:right w:w="0" w:type="dxa"/>
            </w:tcMar>
            <w:vAlign w:val="center"/>
          </w:tcPr>
          <w:p w14:paraId="41ACC71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3A394D91" w14:textId="77777777" w:rsidTr="001D4551">
        <w:trPr>
          <w:cantSplit/>
          <w:jc w:val="center"/>
        </w:trPr>
        <w:tc>
          <w:tcPr>
            <w:tcW w:w="714" w:type="pct"/>
            <w:shd w:val="clear" w:color="auto" w:fill="B0E3FB"/>
            <w:tcMar>
              <w:top w:w="0" w:type="dxa"/>
              <w:left w:w="0" w:type="dxa"/>
              <w:bottom w:w="0" w:type="dxa"/>
              <w:right w:w="0" w:type="dxa"/>
            </w:tcMar>
            <w:vAlign w:val="center"/>
          </w:tcPr>
          <w:p w14:paraId="7E3E1335"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2E73C9FF"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OD</w:t>
            </w:r>
          </w:p>
        </w:tc>
        <w:tc>
          <w:tcPr>
            <w:tcW w:w="714" w:type="pct"/>
            <w:shd w:val="clear" w:color="auto" w:fill="B0E3FB"/>
            <w:tcMar>
              <w:top w:w="0" w:type="dxa"/>
              <w:left w:w="0" w:type="dxa"/>
              <w:bottom w:w="0" w:type="dxa"/>
              <w:right w:w="0" w:type="dxa"/>
            </w:tcMar>
            <w:vAlign w:val="center"/>
          </w:tcPr>
          <w:p w14:paraId="2B190B4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Otroški dodatek</w:t>
            </w:r>
          </w:p>
        </w:tc>
        <w:tc>
          <w:tcPr>
            <w:tcW w:w="714" w:type="pct"/>
            <w:shd w:val="clear" w:color="auto" w:fill="B0E3FB"/>
            <w:tcMar>
              <w:top w:w="0" w:type="dxa"/>
              <w:left w:w="0" w:type="dxa"/>
              <w:bottom w:w="0" w:type="dxa"/>
              <w:right w:w="0" w:type="dxa"/>
            </w:tcMar>
            <w:vAlign w:val="center"/>
          </w:tcPr>
          <w:p w14:paraId="7AD2CC9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03FF3A8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Otroški dodatek</w:t>
            </w:r>
          </w:p>
        </w:tc>
        <w:tc>
          <w:tcPr>
            <w:tcW w:w="714" w:type="pct"/>
            <w:shd w:val="clear" w:color="auto" w:fill="B0E3FB"/>
            <w:tcMar>
              <w:top w:w="0" w:type="dxa"/>
              <w:left w:w="0" w:type="dxa"/>
              <w:bottom w:w="0" w:type="dxa"/>
              <w:right w:w="0" w:type="dxa"/>
            </w:tcMar>
            <w:vAlign w:val="center"/>
          </w:tcPr>
          <w:p w14:paraId="71755B7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3E4362FD"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3C96D5D8" w14:textId="77777777" w:rsidTr="001D4551">
        <w:trPr>
          <w:cantSplit/>
          <w:jc w:val="center"/>
        </w:trPr>
        <w:tc>
          <w:tcPr>
            <w:tcW w:w="714" w:type="pct"/>
            <w:shd w:val="clear" w:color="auto" w:fill="FFFFFF"/>
            <w:tcMar>
              <w:top w:w="0" w:type="dxa"/>
              <w:left w:w="0" w:type="dxa"/>
              <w:bottom w:w="0" w:type="dxa"/>
              <w:right w:w="0" w:type="dxa"/>
            </w:tcMar>
            <w:vAlign w:val="center"/>
          </w:tcPr>
          <w:p w14:paraId="43617C5B"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0DEC903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PP</w:t>
            </w:r>
          </w:p>
        </w:tc>
        <w:tc>
          <w:tcPr>
            <w:tcW w:w="714" w:type="pct"/>
            <w:shd w:val="clear" w:color="auto" w:fill="FFFFFF"/>
            <w:tcMar>
              <w:top w:w="0" w:type="dxa"/>
              <w:left w:w="0" w:type="dxa"/>
              <w:bottom w:w="0" w:type="dxa"/>
              <w:right w:w="0" w:type="dxa"/>
            </w:tcMar>
            <w:vAlign w:val="center"/>
          </w:tcPr>
          <w:p w14:paraId="4766648D"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Plačilo prispevkov (4 ali več otrok)</w:t>
            </w:r>
          </w:p>
        </w:tc>
        <w:tc>
          <w:tcPr>
            <w:tcW w:w="714" w:type="pct"/>
            <w:shd w:val="clear" w:color="auto" w:fill="FFFFFF"/>
            <w:tcMar>
              <w:top w:w="0" w:type="dxa"/>
              <w:left w:w="0" w:type="dxa"/>
              <w:bottom w:w="0" w:type="dxa"/>
              <w:right w:w="0" w:type="dxa"/>
            </w:tcMar>
            <w:vAlign w:val="center"/>
          </w:tcPr>
          <w:p w14:paraId="3E2C60B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47884BF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velikih družin</w:t>
            </w:r>
          </w:p>
        </w:tc>
        <w:tc>
          <w:tcPr>
            <w:tcW w:w="714" w:type="pct"/>
            <w:shd w:val="clear" w:color="auto" w:fill="FFFFFF"/>
            <w:tcMar>
              <w:top w:w="0" w:type="dxa"/>
              <w:left w:w="0" w:type="dxa"/>
              <w:bottom w:w="0" w:type="dxa"/>
              <w:right w:w="0" w:type="dxa"/>
            </w:tcMar>
            <w:vAlign w:val="center"/>
          </w:tcPr>
          <w:p w14:paraId="52D70EA2"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pravica iz zavarovanja</w:t>
            </w:r>
          </w:p>
        </w:tc>
        <w:tc>
          <w:tcPr>
            <w:tcW w:w="714" w:type="pct"/>
            <w:shd w:val="clear" w:color="auto" w:fill="FFFFFF"/>
            <w:tcMar>
              <w:top w:w="0" w:type="dxa"/>
              <w:left w:w="0" w:type="dxa"/>
              <w:bottom w:w="0" w:type="dxa"/>
              <w:right w:w="0" w:type="dxa"/>
            </w:tcMar>
            <w:vAlign w:val="center"/>
          </w:tcPr>
          <w:p w14:paraId="1F5936C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1B7538D2" w14:textId="77777777" w:rsidTr="001D4551">
        <w:trPr>
          <w:cantSplit/>
          <w:jc w:val="center"/>
        </w:trPr>
        <w:tc>
          <w:tcPr>
            <w:tcW w:w="714" w:type="pct"/>
            <w:shd w:val="clear" w:color="auto" w:fill="B0E3FB"/>
            <w:tcMar>
              <w:top w:w="0" w:type="dxa"/>
              <w:left w:w="0" w:type="dxa"/>
              <w:bottom w:w="0" w:type="dxa"/>
              <w:right w:w="0" w:type="dxa"/>
            </w:tcMar>
            <w:vAlign w:val="center"/>
          </w:tcPr>
          <w:p w14:paraId="019694BE"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08D4E54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PRO</w:t>
            </w:r>
          </w:p>
        </w:tc>
        <w:tc>
          <w:tcPr>
            <w:tcW w:w="714" w:type="pct"/>
            <w:shd w:val="clear" w:color="auto" w:fill="B0E3FB"/>
            <w:tcMar>
              <w:top w:w="0" w:type="dxa"/>
              <w:left w:w="0" w:type="dxa"/>
              <w:bottom w:w="0" w:type="dxa"/>
              <w:right w:w="0" w:type="dxa"/>
            </w:tcMar>
            <w:vAlign w:val="center"/>
          </w:tcPr>
          <w:p w14:paraId="6A6C0392"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Pomoč ob rojstvu otroka</w:t>
            </w:r>
          </w:p>
        </w:tc>
        <w:tc>
          <w:tcPr>
            <w:tcW w:w="714" w:type="pct"/>
            <w:shd w:val="clear" w:color="auto" w:fill="B0E3FB"/>
            <w:tcMar>
              <w:top w:w="0" w:type="dxa"/>
              <w:left w:w="0" w:type="dxa"/>
              <w:bottom w:w="0" w:type="dxa"/>
              <w:right w:w="0" w:type="dxa"/>
            </w:tcMar>
            <w:vAlign w:val="center"/>
          </w:tcPr>
          <w:p w14:paraId="4CD1E14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2ABC2BD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ob rojstvu otroka</w:t>
            </w:r>
          </w:p>
        </w:tc>
        <w:tc>
          <w:tcPr>
            <w:tcW w:w="714" w:type="pct"/>
            <w:shd w:val="clear" w:color="auto" w:fill="B0E3FB"/>
            <w:tcMar>
              <w:top w:w="0" w:type="dxa"/>
              <w:left w:w="0" w:type="dxa"/>
              <w:bottom w:w="0" w:type="dxa"/>
              <w:right w:w="0" w:type="dxa"/>
            </w:tcMar>
            <w:vAlign w:val="center"/>
          </w:tcPr>
          <w:p w14:paraId="0FEBE40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6796B39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0A89798B" w14:textId="77777777" w:rsidTr="001D4551">
        <w:trPr>
          <w:cantSplit/>
          <w:jc w:val="center"/>
        </w:trPr>
        <w:tc>
          <w:tcPr>
            <w:tcW w:w="714" w:type="pct"/>
            <w:shd w:val="clear" w:color="auto" w:fill="FFFFFF"/>
            <w:tcMar>
              <w:top w:w="0" w:type="dxa"/>
              <w:left w:w="0" w:type="dxa"/>
              <w:bottom w:w="0" w:type="dxa"/>
              <w:right w:w="0" w:type="dxa"/>
            </w:tcMar>
            <w:vAlign w:val="center"/>
          </w:tcPr>
          <w:p w14:paraId="7B119F43"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6E17B86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RE</w:t>
            </w:r>
          </w:p>
        </w:tc>
        <w:tc>
          <w:tcPr>
            <w:tcW w:w="714" w:type="pct"/>
            <w:shd w:val="clear" w:color="auto" w:fill="FFFFFF"/>
            <w:tcMar>
              <w:top w:w="0" w:type="dxa"/>
              <w:left w:w="0" w:type="dxa"/>
              <w:bottom w:w="0" w:type="dxa"/>
              <w:right w:w="0" w:type="dxa"/>
            </w:tcMar>
            <w:vAlign w:val="center"/>
          </w:tcPr>
          <w:p w14:paraId="1F0A83B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Rejnine</w:t>
            </w:r>
          </w:p>
        </w:tc>
        <w:tc>
          <w:tcPr>
            <w:tcW w:w="714" w:type="pct"/>
            <w:shd w:val="clear" w:color="auto" w:fill="FFFFFF"/>
            <w:tcMar>
              <w:top w:w="0" w:type="dxa"/>
              <w:left w:w="0" w:type="dxa"/>
              <w:bottom w:w="0" w:type="dxa"/>
              <w:right w:w="0" w:type="dxa"/>
            </w:tcMar>
            <w:vAlign w:val="center"/>
          </w:tcPr>
          <w:p w14:paraId="716BC8C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4F02C7E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za otroke, ki potrebujejo oskrbo in vzgojo v drugi družini</w:t>
            </w:r>
          </w:p>
        </w:tc>
        <w:tc>
          <w:tcPr>
            <w:tcW w:w="714" w:type="pct"/>
            <w:shd w:val="clear" w:color="auto" w:fill="FFFFFF"/>
            <w:tcMar>
              <w:top w:w="0" w:type="dxa"/>
              <w:left w:w="0" w:type="dxa"/>
              <w:bottom w:w="0" w:type="dxa"/>
              <w:right w:w="0" w:type="dxa"/>
            </w:tcMar>
            <w:vAlign w:val="center"/>
          </w:tcPr>
          <w:p w14:paraId="38BB863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storitev</w:t>
            </w:r>
          </w:p>
        </w:tc>
        <w:tc>
          <w:tcPr>
            <w:tcW w:w="714" w:type="pct"/>
            <w:shd w:val="clear" w:color="auto" w:fill="FFFFFF"/>
            <w:tcMar>
              <w:top w:w="0" w:type="dxa"/>
              <w:left w:w="0" w:type="dxa"/>
              <w:bottom w:w="0" w:type="dxa"/>
              <w:right w:w="0" w:type="dxa"/>
            </w:tcMar>
            <w:vAlign w:val="center"/>
          </w:tcPr>
          <w:p w14:paraId="0D18C6A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7FE7F40D" w14:textId="77777777" w:rsidTr="001D4551">
        <w:trPr>
          <w:cantSplit/>
          <w:jc w:val="center"/>
        </w:trPr>
        <w:tc>
          <w:tcPr>
            <w:tcW w:w="714" w:type="pct"/>
            <w:shd w:val="clear" w:color="auto" w:fill="B0E3FB"/>
            <w:tcMar>
              <w:top w:w="0" w:type="dxa"/>
              <w:left w:w="0" w:type="dxa"/>
              <w:bottom w:w="0" w:type="dxa"/>
              <w:right w:w="0" w:type="dxa"/>
            </w:tcMar>
            <w:vAlign w:val="center"/>
          </w:tcPr>
          <w:p w14:paraId="5708758E"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7A929AE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SD</w:t>
            </w:r>
          </w:p>
        </w:tc>
        <w:tc>
          <w:tcPr>
            <w:tcW w:w="714" w:type="pct"/>
            <w:shd w:val="clear" w:color="auto" w:fill="B0E3FB"/>
            <w:tcMar>
              <w:top w:w="0" w:type="dxa"/>
              <w:left w:w="0" w:type="dxa"/>
              <w:bottom w:w="0" w:type="dxa"/>
              <w:right w:w="0" w:type="dxa"/>
            </w:tcMar>
            <w:vAlign w:val="center"/>
          </w:tcPr>
          <w:p w14:paraId="654E8E3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Starševski dodatek</w:t>
            </w:r>
          </w:p>
        </w:tc>
        <w:tc>
          <w:tcPr>
            <w:tcW w:w="714" w:type="pct"/>
            <w:shd w:val="clear" w:color="auto" w:fill="B0E3FB"/>
            <w:tcMar>
              <w:top w:w="0" w:type="dxa"/>
              <w:left w:w="0" w:type="dxa"/>
              <w:bottom w:w="0" w:type="dxa"/>
              <w:right w:w="0" w:type="dxa"/>
            </w:tcMar>
            <w:vAlign w:val="center"/>
          </w:tcPr>
          <w:p w14:paraId="11B2308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7BFCFB3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ob rojstvu otroka</w:t>
            </w:r>
          </w:p>
        </w:tc>
        <w:tc>
          <w:tcPr>
            <w:tcW w:w="714" w:type="pct"/>
            <w:shd w:val="clear" w:color="auto" w:fill="B0E3FB"/>
            <w:tcMar>
              <w:top w:w="0" w:type="dxa"/>
              <w:left w:w="0" w:type="dxa"/>
              <w:bottom w:w="0" w:type="dxa"/>
              <w:right w:w="0" w:type="dxa"/>
            </w:tcMar>
            <w:vAlign w:val="center"/>
          </w:tcPr>
          <w:p w14:paraId="333D7792"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5820DDC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315D4212" w14:textId="77777777" w:rsidTr="001D4551">
        <w:trPr>
          <w:cantSplit/>
          <w:jc w:val="center"/>
        </w:trPr>
        <w:tc>
          <w:tcPr>
            <w:tcW w:w="714" w:type="pct"/>
            <w:shd w:val="clear" w:color="auto" w:fill="FFFFFF"/>
            <w:tcMar>
              <w:top w:w="0" w:type="dxa"/>
              <w:left w:w="0" w:type="dxa"/>
              <w:bottom w:w="0" w:type="dxa"/>
              <w:right w:w="0" w:type="dxa"/>
            </w:tcMar>
            <w:vAlign w:val="center"/>
          </w:tcPr>
          <w:p w14:paraId="008A86BF"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5D5FEFC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SD/SN</w:t>
            </w:r>
          </w:p>
        </w:tc>
        <w:tc>
          <w:tcPr>
            <w:tcW w:w="714" w:type="pct"/>
            <w:shd w:val="clear" w:color="auto" w:fill="FFFFFF"/>
            <w:tcMar>
              <w:top w:w="0" w:type="dxa"/>
              <w:left w:w="0" w:type="dxa"/>
              <w:bottom w:w="0" w:type="dxa"/>
              <w:right w:w="0" w:type="dxa"/>
            </w:tcMar>
            <w:vAlign w:val="center"/>
          </w:tcPr>
          <w:p w14:paraId="447E8D72"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Starševski dopusti in nadomestila</w:t>
            </w:r>
          </w:p>
        </w:tc>
        <w:tc>
          <w:tcPr>
            <w:tcW w:w="714" w:type="pct"/>
            <w:shd w:val="clear" w:color="auto" w:fill="FFFFFF"/>
            <w:tcMar>
              <w:top w:w="0" w:type="dxa"/>
              <w:left w:w="0" w:type="dxa"/>
              <w:bottom w:w="0" w:type="dxa"/>
              <w:right w:w="0" w:type="dxa"/>
            </w:tcMar>
            <w:vAlign w:val="center"/>
          </w:tcPr>
          <w:p w14:paraId="46051FC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4DA145E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ob rojstvu otroka</w:t>
            </w:r>
          </w:p>
        </w:tc>
        <w:tc>
          <w:tcPr>
            <w:tcW w:w="714" w:type="pct"/>
            <w:shd w:val="clear" w:color="auto" w:fill="FFFFFF"/>
            <w:tcMar>
              <w:top w:w="0" w:type="dxa"/>
              <w:left w:w="0" w:type="dxa"/>
              <w:bottom w:w="0" w:type="dxa"/>
              <w:right w:w="0" w:type="dxa"/>
            </w:tcMar>
            <w:vAlign w:val="center"/>
          </w:tcPr>
          <w:p w14:paraId="3F03674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pravica iz zavarovanja</w:t>
            </w:r>
          </w:p>
        </w:tc>
        <w:tc>
          <w:tcPr>
            <w:tcW w:w="714" w:type="pct"/>
            <w:shd w:val="clear" w:color="auto" w:fill="FFFFFF"/>
            <w:tcMar>
              <w:top w:w="0" w:type="dxa"/>
              <w:left w:w="0" w:type="dxa"/>
              <w:bottom w:w="0" w:type="dxa"/>
              <w:right w:w="0" w:type="dxa"/>
            </w:tcMar>
            <w:vAlign w:val="center"/>
          </w:tcPr>
          <w:p w14:paraId="009D65F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272C4BEC" w14:textId="77777777" w:rsidTr="001D4551">
        <w:trPr>
          <w:cantSplit/>
          <w:jc w:val="center"/>
        </w:trPr>
        <w:tc>
          <w:tcPr>
            <w:tcW w:w="714" w:type="pct"/>
            <w:shd w:val="clear" w:color="auto" w:fill="B0E3FB"/>
            <w:tcMar>
              <w:top w:w="0" w:type="dxa"/>
              <w:left w:w="0" w:type="dxa"/>
              <w:bottom w:w="0" w:type="dxa"/>
              <w:right w:w="0" w:type="dxa"/>
            </w:tcMar>
            <w:vAlign w:val="center"/>
          </w:tcPr>
          <w:p w14:paraId="61BC6CC1"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14A500A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VR</w:t>
            </w:r>
          </w:p>
        </w:tc>
        <w:tc>
          <w:tcPr>
            <w:tcW w:w="714" w:type="pct"/>
            <w:shd w:val="clear" w:color="auto" w:fill="B0E3FB"/>
            <w:tcMar>
              <w:top w:w="0" w:type="dxa"/>
              <w:left w:w="0" w:type="dxa"/>
              <w:bottom w:w="0" w:type="dxa"/>
              <w:right w:w="0" w:type="dxa"/>
            </w:tcMar>
            <w:vAlign w:val="center"/>
          </w:tcPr>
          <w:p w14:paraId="1916718A"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Subvencija vrtca</w:t>
            </w:r>
          </w:p>
        </w:tc>
        <w:tc>
          <w:tcPr>
            <w:tcW w:w="714" w:type="pct"/>
            <w:shd w:val="clear" w:color="auto" w:fill="B0E3FB"/>
            <w:tcMar>
              <w:top w:w="0" w:type="dxa"/>
              <w:left w:w="0" w:type="dxa"/>
              <w:bottom w:w="0" w:type="dxa"/>
              <w:right w:w="0" w:type="dxa"/>
            </w:tcMar>
            <w:vAlign w:val="center"/>
          </w:tcPr>
          <w:p w14:paraId="0D0E8C6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022E34E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 vrtca</w:t>
            </w:r>
          </w:p>
        </w:tc>
        <w:tc>
          <w:tcPr>
            <w:tcW w:w="714" w:type="pct"/>
            <w:shd w:val="clear" w:color="auto" w:fill="B0E3FB"/>
            <w:tcMar>
              <w:top w:w="0" w:type="dxa"/>
              <w:left w:w="0" w:type="dxa"/>
              <w:bottom w:w="0" w:type="dxa"/>
              <w:right w:w="0" w:type="dxa"/>
            </w:tcMar>
            <w:vAlign w:val="center"/>
          </w:tcPr>
          <w:p w14:paraId="41AF31D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w:t>
            </w:r>
          </w:p>
        </w:tc>
        <w:tc>
          <w:tcPr>
            <w:tcW w:w="714" w:type="pct"/>
            <w:shd w:val="clear" w:color="auto" w:fill="B0E3FB"/>
            <w:tcMar>
              <w:top w:w="0" w:type="dxa"/>
              <w:left w:w="0" w:type="dxa"/>
              <w:bottom w:w="0" w:type="dxa"/>
              <w:right w:w="0" w:type="dxa"/>
            </w:tcMar>
            <w:vAlign w:val="center"/>
          </w:tcPr>
          <w:p w14:paraId="7917F55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2E71B0D0" w14:textId="77777777" w:rsidTr="001D4551">
        <w:trPr>
          <w:cantSplit/>
          <w:jc w:val="center"/>
        </w:trPr>
        <w:tc>
          <w:tcPr>
            <w:tcW w:w="714" w:type="pct"/>
            <w:shd w:val="clear" w:color="auto" w:fill="FFFFFF"/>
            <w:tcMar>
              <w:top w:w="0" w:type="dxa"/>
              <w:left w:w="0" w:type="dxa"/>
              <w:bottom w:w="0" w:type="dxa"/>
              <w:right w:w="0" w:type="dxa"/>
            </w:tcMar>
            <w:vAlign w:val="center"/>
          </w:tcPr>
          <w:p w14:paraId="6969687C"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0BDA4F6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ST</w:t>
            </w:r>
          </w:p>
        </w:tc>
        <w:tc>
          <w:tcPr>
            <w:tcW w:w="714" w:type="pct"/>
            <w:shd w:val="clear" w:color="auto" w:fill="FFFFFF"/>
            <w:tcMar>
              <w:top w:w="0" w:type="dxa"/>
              <w:left w:w="0" w:type="dxa"/>
              <w:bottom w:w="0" w:type="dxa"/>
              <w:right w:w="0" w:type="dxa"/>
            </w:tcMar>
            <w:vAlign w:val="center"/>
          </w:tcPr>
          <w:p w14:paraId="512469D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Štipendije sklada</w:t>
            </w:r>
          </w:p>
        </w:tc>
        <w:tc>
          <w:tcPr>
            <w:tcW w:w="714" w:type="pct"/>
            <w:shd w:val="clear" w:color="auto" w:fill="FFFFFF"/>
            <w:tcMar>
              <w:top w:w="0" w:type="dxa"/>
              <w:left w:w="0" w:type="dxa"/>
              <w:bottom w:w="0" w:type="dxa"/>
              <w:right w:w="0" w:type="dxa"/>
            </w:tcMar>
            <w:vAlign w:val="center"/>
          </w:tcPr>
          <w:p w14:paraId="7CFD7E5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23E5185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Izobraževanje</w:t>
            </w:r>
          </w:p>
        </w:tc>
        <w:tc>
          <w:tcPr>
            <w:tcW w:w="714" w:type="pct"/>
            <w:shd w:val="clear" w:color="auto" w:fill="FFFFFF"/>
            <w:tcMar>
              <w:top w:w="0" w:type="dxa"/>
              <w:left w:w="0" w:type="dxa"/>
              <w:bottom w:w="0" w:type="dxa"/>
              <w:right w:w="0" w:type="dxa"/>
            </w:tcMar>
            <w:vAlign w:val="center"/>
          </w:tcPr>
          <w:p w14:paraId="26E38CC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029BCF7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Izobraževanje</w:t>
            </w:r>
          </w:p>
        </w:tc>
      </w:tr>
      <w:tr w:rsidR="009813B9" w:rsidRPr="001D4551" w14:paraId="4040051B" w14:textId="77777777" w:rsidTr="001D4551">
        <w:trPr>
          <w:cantSplit/>
          <w:jc w:val="center"/>
        </w:trPr>
        <w:tc>
          <w:tcPr>
            <w:tcW w:w="714" w:type="pct"/>
            <w:shd w:val="clear" w:color="auto" w:fill="B0E3FB"/>
            <w:tcMar>
              <w:top w:w="0" w:type="dxa"/>
              <w:left w:w="0" w:type="dxa"/>
              <w:bottom w:w="0" w:type="dxa"/>
              <w:right w:w="0" w:type="dxa"/>
            </w:tcMar>
            <w:vAlign w:val="center"/>
          </w:tcPr>
          <w:p w14:paraId="5A98ED16"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37CC477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VI</w:t>
            </w:r>
          </w:p>
        </w:tc>
        <w:tc>
          <w:tcPr>
            <w:tcW w:w="714" w:type="pct"/>
            <w:shd w:val="clear" w:color="auto" w:fill="B0E3FB"/>
            <w:tcMar>
              <w:top w:w="0" w:type="dxa"/>
              <w:left w:w="0" w:type="dxa"/>
              <w:bottom w:w="0" w:type="dxa"/>
              <w:right w:w="0" w:type="dxa"/>
            </w:tcMar>
            <w:vAlign w:val="center"/>
          </w:tcPr>
          <w:p w14:paraId="32DDD42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Vinjete</w:t>
            </w:r>
          </w:p>
        </w:tc>
        <w:tc>
          <w:tcPr>
            <w:tcW w:w="714" w:type="pct"/>
            <w:shd w:val="clear" w:color="auto" w:fill="B0E3FB"/>
            <w:tcMar>
              <w:top w:w="0" w:type="dxa"/>
              <w:left w:w="0" w:type="dxa"/>
              <w:bottom w:w="0" w:type="dxa"/>
              <w:right w:w="0" w:type="dxa"/>
            </w:tcMar>
            <w:vAlign w:val="center"/>
          </w:tcPr>
          <w:p w14:paraId="0321B48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3F17E51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velikih družin in invalidov</w:t>
            </w:r>
          </w:p>
        </w:tc>
        <w:tc>
          <w:tcPr>
            <w:tcW w:w="714" w:type="pct"/>
            <w:shd w:val="clear" w:color="auto" w:fill="B0E3FB"/>
            <w:tcMar>
              <w:top w:w="0" w:type="dxa"/>
              <w:left w:w="0" w:type="dxa"/>
              <w:bottom w:w="0" w:type="dxa"/>
              <w:right w:w="0" w:type="dxa"/>
            </w:tcMar>
            <w:vAlign w:val="center"/>
          </w:tcPr>
          <w:p w14:paraId="12BC0D0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534CB17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3769274A" w14:textId="77777777" w:rsidTr="001D4551">
        <w:trPr>
          <w:cantSplit/>
          <w:jc w:val="center"/>
        </w:trPr>
        <w:tc>
          <w:tcPr>
            <w:tcW w:w="714" w:type="pct"/>
            <w:shd w:val="clear" w:color="auto" w:fill="FFFFFF"/>
            <w:tcMar>
              <w:top w:w="0" w:type="dxa"/>
              <w:left w:w="0" w:type="dxa"/>
              <w:bottom w:w="0" w:type="dxa"/>
              <w:right w:w="0" w:type="dxa"/>
            </w:tcMar>
            <w:vAlign w:val="center"/>
          </w:tcPr>
          <w:p w14:paraId="7310BA7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Solidarnost</w:t>
            </w:r>
          </w:p>
        </w:tc>
        <w:tc>
          <w:tcPr>
            <w:tcW w:w="714" w:type="pct"/>
            <w:shd w:val="clear" w:color="auto" w:fill="FFFFFF"/>
            <w:tcMar>
              <w:top w:w="0" w:type="dxa"/>
              <w:left w:w="0" w:type="dxa"/>
              <w:bottom w:w="0" w:type="dxa"/>
              <w:right w:w="0" w:type="dxa"/>
            </w:tcMar>
            <w:vAlign w:val="center"/>
          </w:tcPr>
          <w:p w14:paraId="63CE6961"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00AD9BB6"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1F3B570E"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428787EF"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6476A49D"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369619D1" w14:textId="77777777" w:rsidR="009813B9" w:rsidRPr="001D4551" w:rsidRDefault="009813B9">
            <w:pPr>
              <w:spacing w:before="40" w:after="40"/>
              <w:ind w:left="40" w:right="40"/>
              <w:rPr>
                <w:sz w:val="16"/>
                <w:szCs w:val="16"/>
              </w:rPr>
            </w:pPr>
          </w:p>
        </w:tc>
      </w:tr>
      <w:tr w:rsidR="009813B9" w:rsidRPr="001D4551" w14:paraId="7AA4AC6D" w14:textId="77777777" w:rsidTr="001D4551">
        <w:trPr>
          <w:cantSplit/>
          <w:jc w:val="center"/>
        </w:trPr>
        <w:tc>
          <w:tcPr>
            <w:tcW w:w="714" w:type="pct"/>
            <w:shd w:val="clear" w:color="auto" w:fill="B0E3FB"/>
            <w:tcMar>
              <w:top w:w="0" w:type="dxa"/>
              <w:left w:w="0" w:type="dxa"/>
              <w:bottom w:w="0" w:type="dxa"/>
              <w:right w:w="0" w:type="dxa"/>
            </w:tcMar>
            <w:vAlign w:val="center"/>
          </w:tcPr>
          <w:p w14:paraId="58151CD8"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3D0077F1"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DI</w:t>
            </w:r>
          </w:p>
        </w:tc>
        <w:tc>
          <w:tcPr>
            <w:tcW w:w="714" w:type="pct"/>
            <w:shd w:val="clear" w:color="auto" w:fill="B0E3FB"/>
            <w:tcMar>
              <w:top w:w="0" w:type="dxa"/>
              <w:left w:w="0" w:type="dxa"/>
              <w:bottom w:w="0" w:type="dxa"/>
              <w:right w:w="0" w:type="dxa"/>
            </w:tcMar>
            <w:vAlign w:val="center"/>
          </w:tcPr>
          <w:p w14:paraId="56061A7D"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Delno plačilo za izgubljeni dohodek</w:t>
            </w:r>
          </w:p>
        </w:tc>
        <w:tc>
          <w:tcPr>
            <w:tcW w:w="714" w:type="pct"/>
            <w:shd w:val="clear" w:color="auto" w:fill="B0E3FB"/>
            <w:tcMar>
              <w:top w:w="0" w:type="dxa"/>
              <w:left w:w="0" w:type="dxa"/>
              <w:bottom w:w="0" w:type="dxa"/>
              <w:right w:w="0" w:type="dxa"/>
            </w:tcMar>
            <w:vAlign w:val="center"/>
          </w:tcPr>
          <w:p w14:paraId="4333014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B0E3FB"/>
            <w:tcMar>
              <w:top w:w="0" w:type="dxa"/>
              <w:left w:w="0" w:type="dxa"/>
              <w:bottom w:w="0" w:type="dxa"/>
              <w:right w:w="0" w:type="dxa"/>
            </w:tcMar>
            <w:vAlign w:val="center"/>
          </w:tcPr>
          <w:p w14:paraId="16C3FE4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za otroke, ki potrebujejo posebno nego</w:t>
            </w:r>
          </w:p>
        </w:tc>
        <w:tc>
          <w:tcPr>
            <w:tcW w:w="714" w:type="pct"/>
            <w:shd w:val="clear" w:color="auto" w:fill="B0E3FB"/>
            <w:tcMar>
              <w:top w:w="0" w:type="dxa"/>
              <w:left w:w="0" w:type="dxa"/>
              <w:bottom w:w="0" w:type="dxa"/>
              <w:right w:w="0" w:type="dxa"/>
            </w:tcMar>
            <w:vAlign w:val="center"/>
          </w:tcPr>
          <w:p w14:paraId="77FE66DE"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pravica iz zavarovanja</w:t>
            </w:r>
          </w:p>
        </w:tc>
        <w:tc>
          <w:tcPr>
            <w:tcW w:w="714" w:type="pct"/>
            <w:shd w:val="clear" w:color="auto" w:fill="B0E3FB"/>
            <w:tcMar>
              <w:top w:w="0" w:type="dxa"/>
              <w:left w:w="0" w:type="dxa"/>
              <w:bottom w:w="0" w:type="dxa"/>
              <w:right w:w="0" w:type="dxa"/>
            </w:tcMar>
            <w:vAlign w:val="center"/>
          </w:tcPr>
          <w:p w14:paraId="75BD4FA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22664CB3" w14:textId="77777777" w:rsidTr="001D4551">
        <w:trPr>
          <w:cantSplit/>
          <w:jc w:val="center"/>
        </w:trPr>
        <w:tc>
          <w:tcPr>
            <w:tcW w:w="714" w:type="pct"/>
            <w:shd w:val="clear" w:color="auto" w:fill="FFFFFF"/>
            <w:tcMar>
              <w:top w:w="0" w:type="dxa"/>
              <w:left w:w="0" w:type="dxa"/>
              <w:bottom w:w="0" w:type="dxa"/>
              <w:right w:w="0" w:type="dxa"/>
            </w:tcMar>
            <w:vAlign w:val="center"/>
          </w:tcPr>
          <w:p w14:paraId="1A77C2D1"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7F79911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DN</w:t>
            </w:r>
          </w:p>
        </w:tc>
        <w:tc>
          <w:tcPr>
            <w:tcW w:w="714" w:type="pct"/>
            <w:shd w:val="clear" w:color="auto" w:fill="FFFFFF"/>
            <w:tcMar>
              <w:top w:w="0" w:type="dxa"/>
              <w:left w:w="0" w:type="dxa"/>
              <w:bottom w:w="0" w:type="dxa"/>
              <w:right w:w="0" w:type="dxa"/>
            </w:tcMar>
            <w:vAlign w:val="center"/>
          </w:tcPr>
          <w:p w14:paraId="75BFC591"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Dodatek za nego otroka</w:t>
            </w:r>
          </w:p>
        </w:tc>
        <w:tc>
          <w:tcPr>
            <w:tcW w:w="714" w:type="pct"/>
            <w:shd w:val="clear" w:color="auto" w:fill="FFFFFF"/>
            <w:tcMar>
              <w:top w:w="0" w:type="dxa"/>
              <w:left w:w="0" w:type="dxa"/>
              <w:bottom w:w="0" w:type="dxa"/>
              <w:right w:w="0" w:type="dxa"/>
            </w:tcMar>
            <w:vAlign w:val="center"/>
          </w:tcPr>
          <w:p w14:paraId="590B3E1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in prejemki družine</w:t>
            </w:r>
          </w:p>
        </w:tc>
        <w:tc>
          <w:tcPr>
            <w:tcW w:w="714" w:type="pct"/>
            <w:shd w:val="clear" w:color="auto" w:fill="FFFFFF"/>
            <w:tcMar>
              <w:top w:w="0" w:type="dxa"/>
              <w:left w:w="0" w:type="dxa"/>
              <w:bottom w:w="0" w:type="dxa"/>
              <w:right w:w="0" w:type="dxa"/>
            </w:tcMar>
            <w:vAlign w:val="center"/>
          </w:tcPr>
          <w:p w14:paraId="1F59E04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Pravice za otroke, ki potrebujejo posebno nego</w:t>
            </w:r>
          </w:p>
        </w:tc>
        <w:tc>
          <w:tcPr>
            <w:tcW w:w="714" w:type="pct"/>
            <w:shd w:val="clear" w:color="auto" w:fill="FFFFFF"/>
            <w:tcMar>
              <w:top w:w="0" w:type="dxa"/>
              <w:left w:w="0" w:type="dxa"/>
              <w:bottom w:w="0" w:type="dxa"/>
              <w:right w:w="0" w:type="dxa"/>
            </w:tcMar>
            <w:vAlign w:val="center"/>
          </w:tcPr>
          <w:p w14:paraId="55FE018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0C8D439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Družine in otroci</w:t>
            </w:r>
          </w:p>
        </w:tc>
      </w:tr>
      <w:tr w:rsidR="009813B9" w:rsidRPr="001D4551" w14:paraId="5A6D420A" w14:textId="77777777" w:rsidTr="001D4551">
        <w:trPr>
          <w:cantSplit/>
          <w:jc w:val="center"/>
        </w:trPr>
        <w:tc>
          <w:tcPr>
            <w:tcW w:w="714" w:type="pct"/>
            <w:shd w:val="clear" w:color="auto" w:fill="B0E3FB"/>
            <w:tcMar>
              <w:top w:w="0" w:type="dxa"/>
              <w:left w:w="0" w:type="dxa"/>
              <w:bottom w:w="0" w:type="dxa"/>
              <w:right w:w="0" w:type="dxa"/>
            </w:tcMar>
            <w:vAlign w:val="center"/>
          </w:tcPr>
          <w:p w14:paraId="499930E4"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14F567B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DPP</w:t>
            </w:r>
          </w:p>
        </w:tc>
        <w:tc>
          <w:tcPr>
            <w:tcW w:w="714" w:type="pct"/>
            <w:shd w:val="clear" w:color="auto" w:fill="B0E3FB"/>
            <w:tcMar>
              <w:top w:w="0" w:type="dxa"/>
              <w:left w:w="0" w:type="dxa"/>
              <w:bottom w:w="0" w:type="dxa"/>
              <w:right w:w="0" w:type="dxa"/>
            </w:tcMar>
            <w:vAlign w:val="center"/>
          </w:tcPr>
          <w:p w14:paraId="25984C2B"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Dodatek za pomoč in postrežbo</w:t>
            </w:r>
          </w:p>
        </w:tc>
        <w:tc>
          <w:tcPr>
            <w:tcW w:w="714" w:type="pct"/>
            <w:shd w:val="clear" w:color="auto" w:fill="B0E3FB"/>
            <w:tcMar>
              <w:top w:w="0" w:type="dxa"/>
              <w:left w:w="0" w:type="dxa"/>
              <w:bottom w:w="0" w:type="dxa"/>
              <w:right w:w="0" w:type="dxa"/>
            </w:tcMar>
            <w:vAlign w:val="center"/>
          </w:tcPr>
          <w:p w14:paraId="5EAED70D"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747CE7DC"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Dodatek za pomoč in postrežbo</w:t>
            </w:r>
          </w:p>
        </w:tc>
        <w:tc>
          <w:tcPr>
            <w:tcW w:w="714" w:type="pct"/>
            <w:shd w:val="clear" w:color="auto" w:fill="B0E3FB"/>
            <w:tcMar>
              <w:top w:w="0" w:type="dxa"/>
              <w:left w:w="0" w:type="dxa"/>
              <w:bottom w:w="0" w:type="dxa"/>
              <w:right w:w="0" w:type="dxa"/>
            </w:tcMar>
            <w:vAlign w:val="center"/>
          </w:tcPr>
          <w:p w14:paraId="76D7D07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506554A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01E9BF2F" w14:textId="77777777" w:rsidTr="001D4551">
        <w:trPr>
          <w:cantSplit/>
          <w:jc w:val="center"/>
        </w:trPr>
        <w:tc>
          <w:tcPr>
            <w:tcW w:w="714" w:type="pct"/>
            <w:shd w:val="clear" w:color="auto" w:fill="FFFFFF"/>
            <w:tcMar>
              <w:top w:w="0" w:type="dxa"/>
              <w:left w:w="0" w:type="dxa"/>
              <w:bottom w:w="0" w:type="dxa"/>
              <w:right w:w="0" w:type="dxa"/>
            </w:tcMar>
            <w:vAlign w:val="center"/>
          </w:tcPr>
          <w:p w14:paraId="2C8B5C64"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79642B3C"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DR</w:t>
            </w:r>
          </w:p>
        </w:tc>
        <w:tc>
          <w:tcPr>
            <w:tcW w:w="714" w:type="pct"/>
            <w:shd w:val="clear" w:color="auto" w:fill="FFFFFF"/>
            <w:tcMar>
              <w:top w:w="0" w:type="dxa"/>
              <w:left w:w="0" w:type="dxa"/>
              <w:bottom w:w="0" w:type="dxa"/>
              <w:right w:w="0" w:type="dxa"/>
            </w:tcMar>
            <w:vAlign w:val="center"/>
          </w:tcPr>
          <w:p w14:paraId="12DBA4DF"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Družinski pomočnik</w:t>
            </w:r>
          </w:p>
        </w:tc>
        <w:tc>
          <w:tcPr>
            <w:tcW w:w="714" w:type="pct"/>
            <w:shd w:val="clear" w:color="auto" w:fill="FFFFFF"/>
            <w:tcMar>
              <w:top w:w="0" w:type="dxa"/>
              <w:left w:w="0" w:type="dxa"/>
              <w:bottom w:w="0" w:type="dxa"/>
              <w:right w:w="0" w:type="dxa"/>
            </w:tcMar>
            <w:vAlign w:val="center"/>
          </w:tcPr>
          <w:p w14:paraId="0F50AD1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250D406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Družinski pomočnik</w:t>
            </w:r>
          </w:p>
        </w:tc>
        <w:tc>
          <w:tcPr>
            <w:tcW w:w="714" w:type="pct"/>
            <w:shd w:val="clear" w:color="auto" w:fill="FFFFFF"/>
            <w:tcMar>
              <w:top w:w="0" w:type="dxa"/>
              <w:left w:w="0" w:type="dxa"/>
              <w:bottom w:w="0" w:type="dxa"/>
              <w:right w:w="0" w:type="dxa"/>
            </w:tcMar>
            <w:vAlign w:val="center"/>
          </w:tcPr>
          <w:p w14:paraId="086C31E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storitev</w:t>
            </w:r>
          </w:p>
        </w:tc>
        <w:tc>
          <w:tcPr>
            <w:tcW w:w="714" w:type="pct"/>
            <w:shd w:val="clear" w:color="auto" w:fill="FFFFFF"/>
            <w:tcMar>
              <w:top w:w="0" w:type="dxa"/>
              <w:left w:w="0" w:type="dxa"/>
              <w:bottom w:w="0" w:type="dxa"/>
              <w:right w:w="0" w:type="dxa"/>
            </w:tcMar>
            <w:vAlign w:val="center"/>
          </w:tcPr>
          <w:p w14:paraId="39C2D17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542C1AB0" w14:textId="77777777" w:rsidTr="001D4551">
        <w:trPr>
          <w:cantSplit/>
          <w:jc w:val="center"/>
        </w:trPr>
        <w:tc>
          <w:tcPr>
            <w:tcW w:w="714" w:type="pct"/>
            <w:shd w:val="clear" w:color="auto" w:fill="B0E3FB"/>
            <w:tcMar>
              <w:top w:w="0" w:type="dxa"/>
              <w:left w:w="0" w:type="dxa"/>
              <w:bottom w:w="0" w:type="dxa"/>
              <w:right w:w="0" w:type="dxa"/>
            </w:tcMar>
            <w:vAlign w:val="center"/>
          </w:tcPr>
          <w:p w14:paraId="7F582D76"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74D4FB5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SO</w:t>
            </w:r>
          </w:p>
        </w:tc>
        <w:tc>
          <w:tcPr>
            <w:tcW w:w="714" w:type="pct"/>
            <w:shd w:val="clear" w:color="auto" w:fill="B0E3FB"/>
            <w:tcMar>
              <w:top w:w="0" w:type="dxa"/>
              <w:left w:w="0" w:type="dxa"/>
              <w:bottom w:w="0" w:type="dxa"/>
              <w:right w:w="0" w:type="dxa"/>
            </w:tcMar>
            <w:vAlign w:val="center"/>
          </w:tcPr>
          <w:p w14:paraId="29BAD93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Oprostitve plačila socialno varstvenih storitev</w:t>
            </w:r>
          </w:p>
        </w:tc>
        <w:tc>
          <w:tcPr>
            <w:tcW w:w="714" w:type="pct"/>
            <w:shd w:val="clear" w:color="auto" w:fill="B0E3FB"/>
            <w:tcMar>
              <w:top w:w="0" w:type="dxa"/>
              <w:left w:w="0" w:type="dxa"/>
              <w:bottom w:w="0" w:type="dxa"/>
              <w:right w:w="0" w:type="dxa"/>
            </w:tcMar>
            <w:vAlign w:val="center"/>
          </w:tcPr>
          <w:p w14:paraId="002B53F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19410DCA"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Oprostitve plačila socialno varstvenih storitev</w:t>
            </w:r>
          </w:p>
        </w:tc>
        <w:tc>
          <w:tcPr>
            <w:tcW w:w="714" w:type="pct"/>
            <w:shd w:val="clear" w:color="auto" w:fill="B0E3FB"/>
            <w:tcMar>
              <w:top w:w="0" w:type="dxa"/>
              <w:left w:w="0" w:type="dxa"/>
              <w:bottom w:w="0" w:type="dxa"/>
              <w:right w:w="0" w:type="dxa"/>
            </w:tcMar>
            <w:vAlign w:val="center"/>
          </w:tcPr>
          <w:p w14:paraId="6FBAB6CD"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w:t>
            </w:r>
          </w:p>
        </w:tc>
        <w:tc>
          <w:tcPr>
            <w:tcW w:w="714" w:type="pct"/>
            <w:shd w:val="clear" w:color="auto" w:fill="B0E3FB"/>
            <w:tcMar>
              <w:top w:w="0" w:type="dxa"/>
              <w:left w:w="0" w:type="dxa"/>
              <w:bottom w:w="0" w:type="dxa"/>
              <w:right w:w="0" w:type="dxa"/>
            </w:tcMar>
            <w:vAlign w:val="center"/>
          </w:tcPr>
          <w:p w14:paraId="6903DC6C"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3B406BD4" w14:textId="77777777" w:rsidTr="001D4551">
        <w:trPr>
          <w:cantSplit/>
          <w:jc w:val="center"/>
        </w:trPr>
        <w:tc>
          <w:tcPr>
            <w:tcW w:w="714" w:type="pct"/>
            <w:shd w:val="clear" w:color="auto" w:fill="FFFFFF"/>
            <w:tcMar>
              <w:top w:w="0" w:type="dxa"/>
              <w:left w:w="0" w:type="dxa"/>
              <w:bottom w:w="0" w:type="dxa"/>
              <w:right w:w="0" w:type="dxa"/>
            </w:tcMar>
            <w:vAlign w:val="center"/>
          </w:tcPr>
          <w:p w14:paraId="3B08AAA7"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5687A4E7"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OA</w:t>
            </w:r>
          </w:p>
        </w:tc>
        <w:tc>
          <w:tcPr>
            <w:tcW w:w="714" w:type="pct"/>
            <w:shd w:val="clear" w:color="auto" w:fill="FFFFFF"/>
            <w:tcMar>
              <w:top w:w="0" w:type="dxa"/>
              <w:left w:w="0" w:type="dxa"/>
              <w:bottom w:w="0" w:type="dxa"/>
              <w:right w:w="0" w:type="dxa"/>
            </w:tcMar>
            <w:vAlign w:val="center"/>
          </w:tcPr>
          <w:p w14:paraId="2CCE22C3"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Osebna asistenca</w:t>
            </w:r>
          </w:p>
        </w:tc>
        <w:tc>
          <w:tcPr>
            <w:tcW w:w="714" w:type="pct"/>
            <w:shd w:val="clear" w:color="auto" w:fill="FFFFFF"/>
            <w:tcMar>
              <w:top w:w="0" w:type="dxa"/>
              <w:left w:w="0" w:type="dxa"/>
              <w:bottom w:w="0" w:type="dxa"/>
              <w:right w:w="0" w:type="dxa"/>
            </w:tcMar>
            <w:vAlign w:val="center"/>
          </w:tcPr>
          <w:p w14:paraId="7B185B7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7078FEA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Osebna asistenca</w:t>
            </w:r>
          </w:p>
        </w:tc>
        <w:tc>
          <w:tcPr>
            <w:tcW w:w="714" w:type="pct"/>
            <w:shd w:val="clear" w:color="auto" w:fill="FFFFFF"/>
            <w:tcMar>
              <w:top w:w="0" w:type="dxa"/>
              <w:left w:w="0" w:type="dxa"/>
              <w:bottom w:w="0" w:type="dxa"/>
              <w:right w:w="0" w:type="dxa"/>
            </w:tcMar>
            <w:vAlign w:val="center"/>
          </w:tcPr>
          <w:p w14:paraId="6CCD34A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storitev</w:t>
            </w:r>
          </w:p>
        </w:tc>
        <w:tc>
          <w:tcPr>
            <w:tcW w:w="714" w:type="pct"/>
            <w:shd w:val="clear" w:color="auto" w:fill="FFFFFF"/>
            <w:tcMar>
              <w:top w:w="0" w:type="dxa"/>
              <w:left w:w="0" w:type="dxa"/>
              <w:bottom w:w="0" w:type="dxa"/>
              <w:right w:w="0" w:type="dxa"/>
            </w:tcMar>
            <w:vAlign w:val="center"/>
          </w:tcPr>
          <w:p w14:paraId="17693C7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67B0DE9B" w14:textId="77777777" w:rsidTr="001D4551">
        <w:trPr>
          <w:cantSplit/>
          <w:jc w:val="center"/>
        </w:trPr>
        <w:tc>
          <w:tcPr>
            <w:tcW w:w="714" w:type="pct"/>
            <w:shd w:val="clear" w:color="auto" w:fill="B0E3FB"/>
            <w:tcMar>
              <w:top w:w="0" w:type="dxa"/>
              <w:left w:w="0" w:type="dxa"/>
              <w:bottom w:w="0" w:type="dxa"/>
              <w:right w:w="0" w:type="dxa"/>
            </w:tcMar>
            <w:vAlign w:val="center"/>
          </w:tcPr>
          <w:p w14:paraId="3175875F"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04D71BCF"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OA/KD</w:t>
            </w:r>
          </w:p>
        </w:tc>
        <w:tc>
          <w:tcPr>
            <w:tcW w:w="714" w:type="pct"/>
            <w:shd w:val="clear" w:color="auto" w:fill="B0E3FB"/>
            <w:tcMar>
              <w:top w:w="0" w:type="dxa"/>
              <w:left w:w="0" w:type="dxa"/>
              <w:bottom w:w="0" w:type="dxa"/>
              <w:right w:w="0" w:type="dxa"/>
            </w:tcMar>
            <w:vAlign w:val="center"/>
          </w:tcPr>
          <w:p w14:paraId="4B5294F0"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Osebna asistenca/komunikacijski dodatek</w:t>
            </w:r>
          </w:p>
        </w:tc>
        <w:tc>
          <w:tcPr>
            <w:tcW w:w="714" w:type="pct"/>
            <w:shd w:val="clear" w:color="auto" w:fill="B0E3FB"/>
            <w:tcMar>
              <w:top w:w="0" w:type="dxa"/>
              <w:left w:w="0" w:type="dxa"/>
              <w:bottom w:w="0" w:type="dxa"/>
              <w:right w:w="0" w:type="dxa"/>
            </w:tcMar>
            <w:vAlign w:val="center"/>
          </w:tcPr>
          <w:p w14:paraId="3A2892A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418E035A"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Osebna asistenca</w:t>
            </w:r>
          </w:p>
        </w:tc>
        <w:tc>
          <w:tcPr>
            <w:tcW w:w="714" w:type="pct"/>
            <w:shd w:val="clear" w:color="auto" w:fill="B0E3FB"/>
            <w:tcMar>
              <w:top w:w="0" w:type="dxa"/>
              <w:left w:w="0" w:type="dxa"/>
              <w:bottom w:w="0" w:type="dxa"/>
              <w:right w:w="0" w:type="dxa"/>
            </w:tcMar>
            <w:vAlign w:val="center"/>
          </w:tcPr>
          <w:p w14:paraId="00237DD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storitev</w:t>
            </w:r>
          </w:p>
        </w:tc>
        <w:tc>
          <w:tcPr>
            <w:tcW w:w="714" w:type="pct"/>
            <w:shd w:val="clear" w:color="auto" w:fill="B0E3FB"/>
            <w:tcMar>
              <w:top w:w="0" w:type="dxa"/>
              <w:left w:w="0" w:type="dxa"/>
              <w:bottom w:w="0" w:type="dxa"/>
              <w:right w:w="0" w:type="dxa"/>
            </w:tcMar>
            <w:vAlign w:val="center"/>
          </w:tcPr>
          <w:p w14:paraId="6CA0963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03AB23C5" w14:textId="77777777" w:rsidTr="001D4551">
        <w:trPr>
          <w:cantSplit/>
          <w:jc w:val="center"/>
        </w:trPr>
        <w:tc>
          <w:tcPr>
            <w:tcW w:w="714" w:type="pct"/>
            <w:shd w:val="clear" w:color="auto" w:fill="FFFFFF"/>
            <w:tcMar>
              <w:top w:w="0" w:type="dxa"/>
              <w:left w:w="0" w:type="dxa"/>
              <w:bottom w:w="0" w:type="dxa"/>
              <w:right w:w="0" w:type="dxa"/>
            </w:tcMar>
            <w:vAlign w:val="center"/>
          </w:tcPr>
          <w:p w14:paraId="0758C1F2"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73150806"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POG</w:t>
            </w:r>
          </w:p>
        </w:tc>
        <w:tc>
          <w:tcPr>
            <w:tcW w:w="714" w:type="pct"/>
            <w:shd w:val="clear" w:color="auto" w:fill="FFFFFF"/>
            <w:tcMar>
              <w:top w:w="0" w:type="dxa"/>
              <w:left w:w="0" w:type="dxa"/>
              <w:bottom w:w="0" w:type="dxa"/>
              <w:right w:w="0" w:type="dxa"/>
            </w:tcMar>
            <w:vAlign w:val="center"/>
          </w:tcPr>
          <w:p w14:paraId="08E1C758"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Pogrebnine</w:t>
            </w:r>
          </w:p>
        </w:tc>
        <w:tc>
          <w:tcPr>
            <w:tcW w:w="714" w:type="pct"/>
            <w:shd w:val="clear" w:color="auto" w:fill="FFFFFF"/>
            <w:tcMar>
              <w:top w:w="0" w:type="dxa"/>
              <w:left w:w="0" w:type="dxa"/>
              <w:bottom w:w="0" w:type="dxa"/>
              <w:right w:w="0" w:type="dxa"/>
            </w:tcMar>
            <w:vAlign w:val="center"/>
          </w:tcPr>
          <w:p w14:paraId="58A9238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6BC3EFF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Pogrebnine</w:t>
            </w:r>
          </w:p>
        </w:tc>
        <w:tc>
          <w:tcPr>
            <w:tcW w:w="714" w:type="pct"/>
            <w:shd w:val="clear" w:color="auto" w:fill="FFFFFF"/>
            <w:tcMar>
              <w:top w:w="0" w:type="dxa"/>
              <w:left w:w="0" w:type="dxa"/>
              <w:bottom w:w="0" w:type="dxa"/>
              <w:right w:w="0" w:type="dxa"/>
            </w:tcMar>
            <w:vAlign w:val="center"/>
          </w:tcPr>
          <w:p w14:paraId="56D9CA5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7C34764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Preživeli družinski člani</w:t>
            </w:r>
          </w:p>
        </w:tc>
      </w:tr>
      <w:tr w:rsidR="009813B9" w:rsidRPr="001D4551" w14:paraId="3A320D28" w14:textId="77777777" w:rsidTr="001D4551">
        <w:trPr>
          <w:cantSplit/>
          <w:jc w:val="center"/>
        </w:trPr>
        <w:tc>
          <w:tcPr>
            <w:tcW w:w="714" w:type="pct"/>
            <w:shd w:val="clear" w:color="auto" w:fill="B0E3FB"/>
            <w:tcMar>
              <w:top w:w="0" w:type="dxa"/>
              <w:left w:w="0" w:type="dxa"/>
              <w:bottom w:w="0" w:type="dxa"/>
              <w:right w:w="0" w:type="dxa"/>
            </w:tcMar>
            <w:vAlign w:val="center"/>
          </w:tcPr>
          <w:p w14:paraId="5787EE3E"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14CBAAC6"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POS</w:t>
            </w:r>
          </w:p>
        </w:tc>
        <w:tc>
          <w:tcPr>
            <w:tcW w:w="714" w:type="pct"/>
            <w:shd w:val="clear" w:color="auto" w:fill="B0E3FB"/>
            <w:tcMar>
              <w:top w:w="0" w:type="dxa"/>
              <w:left w:w="0" w:type="dxa"/>
              <w:bottom w:w="0" w:type="dxa"/>
              <w:right w:w="0" w:type="dxa"/>
            </w:tcMar>
            <w:vAlign w:val="center"/>
          </w:tcPr>
          <w:p w14:paraId="64633722"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Posmrtnine</w:t>
            </w:r>
          </w:p>
        </w:tc>
        <w:tc>
          <w:tcPr>
            <w:tcW w:w="714" w:type="pct"/>
            <w:shd w:val="clear" w:color="auto" w:fill="B0E3FB"/>
            <w:tcMar>
              <w:top w:w="0" w:type="dxa"/>
              <w:left w:w="0" w:type="dxa"/>
              <w:bottom w:w="0" w:type="dxa"/>
              <w:right w:w="0" w:type="dxa"/>
            </w:tcMar>
            <w:vAlign w:val="center"/>
          </w:tcPr>
          <w:p w14:paraId="4D46FEF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37AF83D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Posmrtnine</w:t>
            </w:r>
          </w:p>
        </w:tc>
        <w:tc>
          <w:tcPr>
            <w:tcW w:w="714" w:type="pct"/>
            <w:shd w:val="clear" w:color="auto" w:fill="B0E3FB"/>
            <w:tcMar>
              <w:top w:w="0" w:type="dxa"/>
              <w:left w:w="0" w:type="dxa"/>
              <w:bottom w:w="0" w:type="dxa"/>
              <w:right w:w="0" w:type="dxa"/>
            </w:tcMar>
            <w:vAlign w:val="center"/>
          </w:tcPr>
          <w:p w14:paraId="6360FD6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1AE7659E"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Preživeli družinski člani</w:t>
            </w:r>
          </w:p>
        </w:tc>
      </w:tr>
      <w:tr w:rsidR="009813B9" w:rsidRPr="001D4551" w14:paraId="5D117178" w14:textId="77777777" w:rsidTr="001D4551">
        <w:trPr>
          <w:cantSplit/>
          <w:jc w:val="center"/>
        </w:trPr>
        <w:tc>
          <w:tcPr>
            <w:tcW w:w="714" w:type="pct"/>
            <w:shd w:val="clear" w:color="auto" w:fill="FFFFFF"/>
            <w:tcMar>
              <w:top w:w="0" w:type="dxa"/>
              <w:left w:w="0" w:type="dxa"/>
              <w:bottom w:w="0" w:type="dxa"/>
              <w:right w:w="0" w:type="dxa"/>
            </w:tcMar>
            <w:vAlign w:val="center"/>
          </w:tcPr>
          <w:p w14:paraId="2D2F7832"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1122E6A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OZ</w:t>
            </w:r>
          </w:p>
        </w:tc>
        <w:tc>
          <w:tcPr>
            <w:tcW w:w="714" w:type="pct"/>
            <w:shd w:val="clear" w:color="auto" w:fill="FFFFFF"/>
            <w:tcMar>
              <w:top w:w="0" w:type="dxa"/>
              <w:left w:w="0" w:type="dxa"/>
              <w:bottom w:w="0" w:type="dxa"/>
              <w:right w:w="0" w:type="dxa"/>
            </w:tcMar>
            <w:vAlign w:val="center"/>
          </w:tcPr>
          <w:p w14:paraId="02F6D834"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Pravica do kritja polne vrednosti zdravstvenih storitev</w:t>
            </w:r>
          </w:p>
        </w:tc>
        <w:tc>
          <w:tcPr>
            <w:tcW w:w="714" w:type="pct"/>
            <w:shd w:val="clear" w:color="auto" w:fill="FFFFFF"/>
            <w:tcMar>
              <w:top w:w="0" w:type="dxa"/>
              <w:left w:w="0" w:type="dxa"/>
              <w:bottom w:w="0" w:type="dxa"/>
              <w:right w:w="0" w:type="dxa"/>
            </w:tcMar>
            <w:vAlign w:val="center"/>
          </w:tcPr>
          <w:p w14:paraId="52D1065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37EC8A4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Zdravstveno varstvo</w:t>
            </w:r>
          </w:p>
        </w:tc>
        <w:tc>
          <w:tcPr>
            <w:tcW w:w="714" w:type="pct"/>
            <w:shd w:val="clear" w:color="auto" w:fill="FFFFFF"/>
            <w:tcMar>
              <w:top w:w="0" w:type="dxa"/>
              <w:left w:w="0" w:type="dxa"/>
              <w:bottom w:w="0" w:type="dxa"/>
              <w:right w:w="0" w:type="dxa"/>
            </w:tcMar>
            <w:vAlign w:val="center"/>
          </w:tcPr>
          <w:p w14:paraId="08819465"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w:t>
            </w:r>
          </w:p>
        </w:tc>
        <w:tc>
          <w:tcPr>
            <w:tcW w:w="714" w:type="pct"/>
            <w:shd w:val="clear" w:color="auto" w:fill="FFFFFF"/>
            <w:tcMar>
              <w:top w:w="0" w:type="dxa"/>
              <w:left w:w="0" w:type="dxa"/>
              <w:bottom w:w="0" w:type="dxa"/>
              <w:right w:w="0" w:type="dxa"/>
            </w:tcMar>
            <w:vAlign w:val="center"/>
          </w:tcPr>
          <w:p w14:paraId="6E26AEEB"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439EC7BD" w14:textId="77777777" w:rsidTr="001D4551">
        <w:trPr>
          <w:cantSplit/>
          <w:jc w:val="center"/>
        </w:trPr>
        <w:tc>
          <w:tcPr>
            <w:tcW w:w="714" w:type="pct"/>
            <w:shd w:val="clear" w:color="auto" w:fill="B0E3FB"/>
            <w:tcMar>
              <w:top w:w="0" w:type="dxa"/>
              <w:left w:w="0" w:type="dxa"/>
              <w:bottom w:w="0" w:type="dxa"/>
              <w:right w:w="0" w:type="dxa"/>
            </w:tcMar>
            <w:vAlign w:val="center"/>
          </w:tcPr>
          <w:p w14:paraId="013AEB6E"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4C667E7A"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DZ</w:t>
            </w:r>
          </w:p>
        </w:tc>
        <w:tc>
          <w:tcPr>
            <w:tcW w:w="714" w:type="pct"/>
            <w:shd w:val="clear" w:color="auto" w:fill="B0E3FB"/>
            <w:tcMar>
              <w:top w:w="0" w:type="dxa"/>
              <w:left w:w="0" w:type="dxa"/>
              <w:bottom w:w="0" w:type="dxa"/>
              <w:right w:w="0" w:type="dxa"/>
            </w:tcMar>
            <w:vAlign w:val="center"/>
          </w:tcPr>
          <w:p w14:paraId="130EEBE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Prispevek za zdravstveno zavarovanje</w:t>
            </w:r>
          </w:p>
        </w:tc>
        <w:tc>
          <w:tcPr>
            <w:tcW w:w="714" w:type="pct"/>
            <w:shd w:val="clear" w:color="auto" w:fill="B0E3FB"/>
            <w:tcMar>
              <w:top w:w="0" w:type="dxa"/>
              <w:left w:w="0" w:type="dxa"/>
              <w:bottom w:w="0" w:type="dxa"/>
              <w:right w:w="0" w:type="dxa"/>
            </w:tcMar>
            <w:vAlign w:val="center"/>
          </w:tcPr>
          <w:p w14:paraId="3E7D0391"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5CFE94C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Zdravstveno varstvo</w:t>
            </w:r>
          </w:p>
        </w:tc>
        <w:tc>
          <w:tcPr>
            <w:tcW w:w="714" w:type="pct"/>
            <w:shd w:val="clear" w:color="auto" w:fill="B0E3FB"/>
            <w:tcMar>
              <w:top w:w="0" w:type="dxa"/>
              <w:left w:w="0" w:type="dxa"/>
              <w:bottom w:w="0" w:type="dxa"/>
              <w:right w:w="0" w:type="dxa"/>
            </w:tcMar>
            <w:vAlign w:val="center"/>
          </w:tcPr>
          <w:p w14:paraId="2D9FBFD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w:t>
            </w:r>
          </w:p>
        </w:tc>
        <w:tc>
          <w:tcPr>
            <w:tcW w:w="714" w:type="pct"/>
            <w:shd w:val="clear" w:color="auto" w:fill="B0E3FB"/>
            <w:tcMar>
              <w:top w:w="0" w:type="dxa"/>
              <w:left w:w="0" w:type="dxa"/>
              <w:bottom w:w="0" w:type="dxa"/>
              <w:right w:w="0" w:type="dxa"/>
            </w:tcMar>
            <w:vAlign w:val="center"/>
          </w:tcPr>
          <w:p w14:paraId="648E56A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Bolezen in invalidnost</w:t>
            </w:r>
          </w:p>
        </w:tc>
      </w:tr>
      <w:tr w:rsidR="009813B9" w:rsidRPr="001D4551" w14:paraId="5BD52A4C" w14:textId="77777777" w:rsidTr="001D4551">
        <w:trPr>
          <w:cantSplit/>
          <w:jc w:val="center"/>
        </w:trPr>
        <w:tc>
          <w:tcPr>
            <w:tcW w:w="714" w:type="pct"/>
            <w:shd w:val="clear" w:color="auto" w:fill="FFFFFF"/>
            <w:tcMar>
              <w:top w:w="0" w:type="dxa"/>
              <w:left w:w="0" w:type="dxa"/>
              <w:bottom w:w="0" w:type="dxa"/>
              <w:right w:w="0" w:type="dxa"/>
            </w:tcMar>
            <w:vAlign w:val="center"/>
          </w:tcPr>
          <w:p w14:paraId="3D6188A9"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61C47D8E"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VD</w:t>
            </w:r>
          </w:p>
        </w:tc>
        <w:tc>
          <w:tcPr>
            <w:tcW w:w="714" w:type="pct"/>
            <w:shd w:val="clear" w:color="auto" w:fill="FFFFFF"/>
            <w:tcMar>
              <w:top w:w="0" w:type="dxa"/>
              <w:left w:w="0" w:type="dxa"/>
              <w:bottom w:w="0" w:type="dxa"/>
              <w:right w:w="0" w:type="dxa"/>
            </w:tcMar>
            <w:vAlign w:val="center"/>
          </w:tcPr>
          <w:p w14:paraId="4A119956"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Varstveni dodatek</w:t>
            </w:r>
          </w:p>
        </w:tc>
        <w:tc>
          <w:tcPr>
            <w:tcW w:w="714" w:type="pct"/>
            <w:shd w:val="clear" w:color="auto" w:fill="FFFFFF"/>
            <w:tcMar>
              <w:top w:w="0" w:type="dxa"/>
              <w:left w:w="0" w:type="dxa"/>
              <w:bottom w:w="0" w:type="dxa"/>
              <w:right w:w="0" w:type="dxa"/>
            </w:tcMar>
            <w:vAlign w:val="center"/>
          </w:tcPr>
          <w:p w14:paraId="20344F89"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11DC05B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Varstveni dodatek</w:t>
            </w:r>
          </w:p>
        </w:tc>
        <w:tc>
          <w:tcPr>
            <w:tcW w:w="714" w:type="pct"/>
            <w:shd w:val="clear" w:color="auto" w:fill="FFFFFF"/>
            <w:tcMar>
              <w:top w:w="0" w:type="dxa"/>
              <w:left w:w="0" w:type="dxa"/>
              <w:bottom w:w="0" w:type="dxa"/>
              <w:right w:w="0" w:type="dxa"/>
            </w:tcMar>
            <w:vAlign w:val="center"/>
          </w:tcPr>
          <w:p w14:paraId="40D37014"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0A7F971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74C68BA1" w14:textId="77777777" w:rsidTr="001D4551">
        <w:trPr>
          <w:cantSplit/>
          <w:jc w:val="center"/>
        </w:trPr>
        <w:tc>
          <w:tcPr>
            <w:tcW w:w="714" w:type="pct"/>
            <w:shd w:val="clear" w:color="auto" w:fill="B0E3FB"/>
            <w:tcMar>
              <w:top w:w="0" w:type="dxa"/>
              <w:left w:w="0" w:type="dxa"/>
              <w:bottom w:w="0" w:type="dxa"/>
              <w:right w:w="0" w:type="dxa"/>
            </w:tcMar>
            <w:vAlign w:val="center"/>
          </w:tcPr>
          <w:p w14:paraId="1BC47BA1"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Ublažitev šokov</w:t>
            </w:r>
          </w:p>
        </w:tc>
        <w:tc>
          <w:tcPr>
            <w:tcW w:w="714" w:type="pct"/>
            <w:shd w:val="clear" w:color="auto" w:fill="B0E3FB"/>
            <w:tcMar>
              <w:top w:w="0" w:type="dxa"/>
              <w:left w:w="0" w:type="dxa"/>
              <w:bottom w:w="0" w:type="dxa"/>
              <w:right w:w="0" w:type="dxa"/>
            </w:tcMar>
            <w:vAlign w:val="center"/>
          </w:tcPr>
          <w:p w14:paraId="5BC7970B"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12FA6CBF"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2C2A9682"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78DCB8C3"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46A9123E"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5F2DA2AC" w14:textId="77777777" w:rsidR="009813B9" w:rsidRPr="001D4551" w:rsidRDefault="009813B9">
            <w:pPr>
              <w:spacing w:before="40" w:after="40"/>
              <w:ind w:left="40" w:right="40"/>
              <w:rPr>
                <w:sz w:val="16"/>
                <w:szCs w:val="16"/>
              </w:rPr>
            </w:pPr>
          </w:p>
        </w:tc>
      </w:tr>
      <w:tr w:rsidR="009813B9" w:rsidRPr="001D4551" w14:paraId="2FDDF05A" w14:textId="77777777" w:rsidTr="001D4551">
        <w:trPr>
          <w:cantSplit/>
          <w:jc w:val="center"/>
        </w:trPr>
        <w:tc>
          <w:tcPr>
            <w:tcW w:w="714" w:type="pct"/>
            <w:shd w:val="clear" w:color="auto" w:fill="FFFFFF"/>
            <w:tcMar>
              <w:top w:w="0" w:type="dxa"/>
              <w:left w:w="0" w:type="dxa"/>
              <w:bottom w:w="0" w:type="dxa"/>
              <w:right w:w="0" w:type="dxa"/>
            </w:tcMar>
            <w:vAlign w:val="center"/>
          </w:tcPr>
          <w:p w14:paraId="7FE795F2"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72706BDB"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DP</w:t>
            </w:r>
          </w:p>
        </w:tc>
        <w:tc>
          <w:tcPr>
            <w:tcW w:w="714" w:type="pct"/>
            <w:shd w:val="clear" w:color="auto" w:fill="FFFFFF"/>
            <w:tcMar>
              <w:top w:w="0" w:type="dxa"/>
              <w:left w:w="0" w:type="dxa"/>
              <w:bottom w:w="0" w:type="dxa"/>
              <w:right w:w="0" w:type="dxa"/>
            </w:tcMar>
            <w:vAlign w:val="center"/>
          </w:tcPr>
          <w:p w14:paraId="5DE6B601"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Denarna socialna pomoč</w:t>
            </w:r>
          </w:p>
        </w:tc>
        <w:tc>
          <w:tcPr>
            <w:tcW w:w="714" w:type="pct"/>
            <w:shd w:val="clear" w:color="auto" w:fill="FFFFFF"/>
            <w:tcMar>
              <w:top w:w="0" w:type="dxa"/>
              <w:left w:w="0" w:type="dxa"/>
              <w:bottom w:w="0" w:type="dxa"/>
              <w:right w:w="0" w:type="dxa"/>
            </w:tcMar>
            <w:vAlign w:val="center"/>
          </w:tcPr>
          <w:p w14:paraId="76E13188"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38362132"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Denarna socialna pomoč</w:t>
            </w:r>
          </w:p>
        </w:tc>
        <w:tc>
          <w:tcPr>
            <w:tcW w:w="714" w:type="pct"/>
            <w:shd w:val="clear" w:color="auto" w:fill="FFFFFF"/>
            <w:tcMar>
              <w:top w:w="0" w:type="dxa"/>
              <w:left w:w="0" w:type="dxa"/>
              <w:bottom w:w="0" w:type="dxa"/>
              <w:right w:w="0" w:type="dxa"/>
            </w:tcMar>
            <w:vAlign w:val="center"/>
          </w:tcPr>
          <w:p w14:paraId="0FA45F7F"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FFFFFF"/>
            <w:tcMar>
              <w:top w:w="0" w:type="dxa"/>
              <w:left w:w="0" w:type="dxa"/>
              <w:bottom w:w="0" w:type="dxa"/>
              <w:right w:w="0" w:type="dxa"/>
            </w:tcMar>
            <w:vAlign w:val="center"/>
          </w:tcPr>
          <w:p w14:paraId="2FF046EE"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1A1654DA" w14:textId="77777777" w:rsidTr="001D4551">
        <w:trPr>
          <w:cantSplit/>
          <w:jc w:val="center"/>
        </w:trPr>
        <w:tc>
          <w:tcPr>
            <w:tcW w:w="714" w:type="pct"/>
            <w:shd w:val="clear" w:color="auto" w:fill="B0E3FB"/>
            <w:tcMar>
              <w:top w:w="0" w:type="dxa"/>
              <w:left w:w="0" w:type="dxa"/>
              <w:bottom w:w="0" w:type="dxa"/>
              <w:right w:w="0" w:type="dxa"/>
            </w:tcMar>
            <w:vAlign w:val="center"/>
          </w:tcPr>
          <w:p w14:paraId="705A8901" w14:textId="77777777" w:rsidR="009813B9" w:rsidRPr="001D4551" w:rsidRDefault="009813B9">
            <w:pPr>
              <w:spacing w:before="40" w:after="40"/>
              <w:ind w:left="40" w:right="40"/>
              <w:rPr>
                <w:sz w:val="16"/>
                <w:szCs w:val="16"/>
              </w:rPr>
            </w:pPr>
          </w:p>
        </w:tc>
        <w:tc>
          <w:tcPr>
            <w:tcW w:w="714" w:type="pct"/>
            <w:shd w:val="clear" w:color="auto" w:fill="B0E3FB"/>
            <w:tcMar>
              <w:top w:w="0" w:type="dxa"/>
              <w:left w:w="0" w:type="dxa"/>
              <w:bottom w:w="0" w:type="dxa"/>
              <w:right w:w="0" w:type="dxa"/>
            </w:tcMar>
            <w:vAlign w:val="center"/>
          </w:tcPr>
          <w:p w14:paraId="5C46E32C"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IDP</w:t>
            </w:r>
          </w:p>
        </w:tc>
        <w:tc>
          <w:tcPr>
            <w:tcW w:w="714" w:type="pct"/>
            <w:shd w:val="clear" w:color="auto" w:fill="B0E3FB"/>
            <w:tcMar>
              <w:top w:w="0" w:type="dxa"/>
              <w:left w:w="0" w:type="dxa"/>
              <w:bottom w:w="0" w:type="dxa"/>
              <w:right w:w="0" w:type="dxa"/>
            </w:tcMar>
            <w:vAlign w:val="center"/>
          </w:tcPr>
          <w:p w14:paraId="2685F9E9"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Izredna denarna pomoč</w:t>
            </w:r>
          </w:p>
        </w:tc>
        <w:tc>
          <w:tcPr>
            <w:tcW w:w="714" w:type="pct"/>
            <w:shd w:val="clear" w:color="auto" w:fill="B0E3FB"/>
            <w:tcMar>
              <w:top w:w="0" w:type="dxa"/>
              <w:left w:w="0" w:type="dxa"/>
              <w:bottom w:w="0" w:type="dxa"/>
              <w:right w:w="0" w:type="dxa"/>
            </w:tcMar>
            <w:vAlign w:val="center"/>
          </w:tcPr>
          <w:p w14:paraId="7CD11AD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B0E3FB"/>
            <w:tcMar>
              <w:top w:w="0" w:type="dxa"/>
              <w:left w:w="0" w:type="dxa"/>
              <w:bottom w:w="0" w:type="dxa"/>
              <w:right w:w="0" w:type="dxa"/>
            </w:tcMar>
            <w:vAlign w:val="center"/>
          </w:tcPr>
          <w:p w14:paraId="7CFF709C"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Izredna denarna pomoč</w:t>
            </w:r>
          </w:p>
        </w:tc>
        <w:tc>
          <w:tcPr>
            <w:tcW w:w="714" w:type="pct"/>
            <w:shd w:val="clear" w:color="auto" w:fill="B0E3FB"/>
            <w:tcMar>
              <w:top w:w="0" w:type="dxa"/>
              <w:left w:w="0" w:type="dxa"/>
              <w:bottom w:w="0" w:type="dxa"/>
              <w:right w:w="0" w:type="dxa"/>
            </w:tcMar>
            <w:vAlign w:val="center"/>
          </w:tcPr>
          <w:p w14:paraId="6E900E0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prejemek</w:t>
            </w:r>
          </w:p>
        </w:tc>
        <w:tc>
          <w:tcPr>
            <w:tcW w:w="714" w:type="pct"/>
            <w:shd w:val="clear" w:color="auto" w:fill="B0E3FB"/>
            <w:tcMar>
              <w:top w:w="0" w:type="dxa"/>
              <w:left w:w="0" w:type="dxa"/>
              <w:bottom w:w="0" w:type="dxa"/>
              <w:right w:w="0" w:type="dxa"/>
            </w:tcMar>
            <w:vAlign w:val="center"/>
          </w:tcPr>
          <w:p w14:paraId="2776F80A"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055852C1" w14:textId="77777777" w:rsidTr="001D4551">
        <w:trPr>
          <w:cantSplit/>
          <w:jc w:val="center"/>
        </w:trPr>
        <w:tc>
          <w:tcPr>
            <w:tcW w:w="714" w:type="pct"/>
            <w:shd w:val="clear" w:color="auto" w:fill="FFFFFF"/>
            <w:tcMar>
              <w:top w:w="0" w:type="dxa"/>
              <w:left w:w="0" w:type="dxa"/>
              <w:bottom w:w="0" w:type="dxa"/>
              <w:right w:w="0" w:type="dxa"/>
            </w:tcMar>
            <w:vAlign w:val="center"/>
          </w:tcPr>
          <w:p w14:paraId="65C1F208" w14:textId="77777777" w:rsidR="009813B9" w:rsidRPr="001D4551" w:rsidRDefault="009813B9">
            <w:pPr>
              <w:spacing w:before="40" w:after="40"/>
              <w:ind w:left="40" w:right="40"/>
              <w:rPr>
                <w:sz w:val="16"/>
                <w:szCs w:val="16"/>
              </w:rPr>
            </w:pPr>
          </w:p>
        </w:tc>
        <w:tc>
          <w:tcPr>
            <w:tcW w:w="714" w:type="pct"/>
            <w:shd w:val="clear" w:color="auto" w:fill="FFFFFF"/>
            <w:tcMar>
              <w:top w:w="0" w:type="dxa"/>
              <w:left w:w="0" w:type="dxa"/>
              <w:bottom w:w="0" w:type="dxa"/>
              <w:right w:w="0" w:type="dxa"/>
            </w:tcMar>
            <w:vAlign w:val="center"/>
          </w:tcPr>
          <w:p w14:paraId="5C6EF7A5"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SNA</w:t>
            </w:r>
          </w:p>
        </w:tc>
        <w:tc>
          <w:tcPr>
            <w:tcW w:w="714" w:type="pct"/>
            <w:shd w:val="clear" w:color="auto" w:fill="FFFFFF"/>
            <w:tcMar>
              <w:top w:w="0" w:type="dxa"/>
              <w:left w:w="0" w:type="dxa"/>
              <w:bottom w:w="0" w:type="dxa"/>
              <w:right w:w="0" w:type="dxa"/>
            </w:tcMar>
            <w:vAlign w:val="center"/>
          </w:tcPr>
          <w:p w14:paraId="281F4D82" w14:textId="77777777" w:rsidR="009813B9" w:rsidRPr="001D4551" w:rsidRDefault="006D271E">
            <w:pPr>
              <w:spacing w:before="40" w:after="40"/>
              <w:ind w:left="40" w:right="40"/>
              <w:rPr>
                <w:sz w:val="16"/>
                <w:szCs w:val="16"/>
              </w:rPr>
            </w:pPr>
            <w:r w:rsidRPr="001D4551">
              <w:rPr>
                <w:rFonts w:ascii="Arial" w:eastAsia="Arial" w:hAnsi="Arial" w:cs="Arial"/>
                <w:b/>
                <w:color w:val="111111"/>
                <w:sz w:val="16"/>
                <w:szCs w:val="16"/>
              </w:rPr>
              <w:t>Subvencija najemnine</w:t>
            </w:r>
          </w:p>
        </w:tc>
        <w:tc>
          <w:tcPr>
            <w:tcW w:w="714" w:type="pct"/>
            <w:shd w:val="clear" w:color="auto" w:fill="FFFFFF"/>
            <w:tcMar>
              <w:top w:w="0" w:type="dxa"/>
              <w:left w:w="0" w:type="dxa"/>
              <w:bottom w:w="0" w:type="dxa"/>
              <w:right w:w="0" w:type="dxa"/>
            </w:tcMar>
            <w:vAlign w:val="center"/>
          </w:tcPr>
          <w:p w14:paraId="53ED4287"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Socialno varstvo</w:t>
            </w:r>
          </w:p>
        </w:tc>
        <w:tc>
          <w:tcPr>
            <w:tcW w:w="714" w:type="pct"/>
            <w:shd w:val="clear" w:color="auto" w:fill="FFFFFF"/>
            <w:tcMar>
              <w:top w:w="0" w:type="dxa"/>
              <w:left w:w="0" w:type="dxa"/>
              <w:bottom w:w="0" w:type="dxa"/>
              <w:right w:w="0" w:type="dxa"/>
            </w:tcMar>
            <w:vAlign w:val="center"/>
          </w:tcPr>
          <w:p w14:paraId="501E07C3"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 najemnine</w:t>
            </w:r>
          </w:p>
        </w:tc>
        <w:tc>
          <w:tcPr>
            <w:tcW w:w="714" w:type="pct"/>
            <w:shd w:val="clear" w:color="auto" w:fill="FFFFFF"/>
            <w:tcMar>
              <w:top w:w="0" w:type="dxa"/>
              <w:left w:w="0" w:type="dxa"/>
              <w:bottom w:w="0" w:type="dxa"/>
              <w:right w:w="0" w:type="dxa"/>
            </w:tcMar>
            <w:vAlign w:val="center"/>
          </w:tcPr>
          <w:p w14:paraId="2B1CB210"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subvencija</w:t>
            </w:r>
          </w:p>
        </w:tc>
        <w:tc>
          <w:tcPr>
            <w:tcW w:w="714" w:type="pct"/>
            <w:shd w:val="clear" w:color="auto" w:fill="FFFFFF"/>
            <w:tcMar>
              <w:top w:w="0" w:type="dxa"/>
              <w:left w:w="0" w:type="dxa"/>
              <w:bottom w:w="0" w:type="dxa"/>
              <w:right w:w="0" w:type="dxa"/>
            </w:tcMar>
            <w:vAlign w:val="center"/>
          </w:tcPr>
          <w:p w14:paraId="06E7CAB6" w14:textId="77777777" w:rsidR="009813B9" w:rsidRPr="001D4551" w:rsidRDefault="006D271E">
            <w:pPr>
              <w:spacing w:before="40" w:after="40"/>
              <w:ind w:left="40" w:right="40"/>
              <w:rPr>
                <w:sz w:val="16"/>
                <w:szCs w:val="16"/>
              </w:rPr>
            </w:pPr>
            <w:r w:rsidRPr="001D4551">
              <w:rPr>
                <w:rFonts w:ascii="Arial" w:eastAsia="Arial" w:hAnsi="Arial" w:cs="Arial"/>
                <w:color w:val="111111"/>
                <w:sz w:val="16"/>
                <w:szCs w:val="16"/>
              </w:rPr>
              <w:t>Druge oblike socialne izključenosti</w:t>
            </w:r>
          </w:p>
        </w:tc>
      </w:tr>
      <w:tr w:rsidR="009813B9" w:rsidRPr="001D4551" w14:paraId="3DC6E01F" w14:textId="77777777" w:rsidTr="001D4551">
        <w:trPr>
          <w:cantSplit/>
          <w:jc w:val="center"/>
        </w:trPr>
        <w:tc>
          <w:tcPr>
            <w:tcW w:w="5000" w:type="pct"/>
            <w:gridSpan w:val="7"/>
            <w:shd w:val="clear" w:color="auto" w:fill="FFFFFF"/>
            <w:tcMar>
              <w:top w:w="0" w:type="dxa"/>
              <w:left w:w="0" w:type="dxa"/>
              <w:bottom w:w="0" w:type="dxa"/>
              <w:right w:w="0" w:type="dxa"/>
            </w:tcMar>
            <w:vAlign w:val="center"/>
          </w:tcPr>
          <w:p w14:paraId="286B7727" w14:textId="77777777" w:rsidR="009813B9" w:rsidRPr="001D4551" w:rsidRDefault="006D271E">
            <w:pPr>
              <w:spacing w:after="0"/>
              <w:rPr>
                <w:sz w:val="16"/>
                <w:szCs w:val="16"/>
              </w:rPr>
            </w:pPr>
            <w:r w:rsidRPr="001D4551">
              <w:rPr>
                <w:rFonts w:ascii="Arial" w:eastAsia="Arial" w:hAnsi="Arial" w:cs="Arial"/>
                <w:color w:val="000000"/>
                <w:sz w:val="16"/>
                <w:szCs w:val="16"/>
              </w:rPr>
              <w:t>Vir: MDDSZ</w:t>
            </w:r>
          </w:p>
        </w:tc>
      </w:tr>
    </w:tbl>
    <w:p w14:paraId="1190CDA5" w14:textId="77777777" w:rsidR="001D4551" w:rsidRDefault="001D4551">
      <w:pPr>
        <w:pStyle w:val="Telobesedila"/>
        <w:rPr>
          <w:b/>
        </w:rPr>
        <w:sectPr w:rsidR="001D4551" w:rsidSect="001D4551">
          <w:pgSz w:w="15840" w:h="12240" w:orient="landscape"/>
          <w:pgMar w:top="1417" w:right="1417" w:bottom="1417" w:left="1417" w:header="708" w:footer="708" w:gutter="0"/>
          <w:cols w:space="708"/>
          <w:docGrid w:linePitch="326"/>
        </w:sectPr>
      </w:pPr>
    </w:p>
    <w:p w14:paraId="7B2DF83F" w14:textId="77777777" w:rsidR="009813B9" w:rsidRDefault="006D271E">
      <w:pPr>
        <w:pStyle w:val="Telobesedila"/>
      </w:pPr>
      <w:r>
        <w:rPr>
          <w:b/>
        </w:rPr>
        <w:lastRenderedPageBreak/>
        <w:t>Denarna socialna pomoč</w:t>
      </w:r>
      <w:r>
        <w:t xml:space="preserve"> je socialno varstveni prejemek, do katerega so upravičene osebe, ki si zase in za svoje družinske člane iz upravičenih razlogov ne morejo zagotoviti minimalnega dohodka za preživetje.</w:t>
      </w:r>
    </w:p>
    <w:p w14:paraId="2D9989C4" w14:textId="77777777" w:rsidR="009813B9" w:rsidRDefault="006D271E">
      <w:pPr>
        <w:pStyle w:val="Telobesedila"/>
      </w:pPr>
      <w:r>
        <w:rPr>
          <w:b/>
        </w:rPr>
        <w:t>Varstveni dodatek</w:t>
      </w:r>
      <w:r>
        <w:t xml:space="preserve"> je socialno varstven prejemek, do katerega so upravičene osebe, ki so oz. bi lahko bile upravičene do denarne socialne pomoči in so trajno nezaposljive, trajno nezmožne za delo ali nezaposlene starejše od 63/65 let.</w:t>
      </w:r>
    </w:p>
    <w:p w14:paraId="7646E7DC" w14:textId="77777777" w:rsidR="009813B9" w:rsidRDefault="006D271E">
      <w:pPr>
        <w:pStyle w:val="Telobesedila"/>
      </w:pPr>
      <w:r>
        <w:rPr>
          <w:b/>
        </w:rPr>
        <w:t>Izredna denarna socialna pomoč</w:t>
      </w:r>
      <w: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1939E3F3" w14:textId="77777777" w:rsidR="009813B9" w:rsidRDefault="006D271E">
      <w:pPr>
        <w:pStyle w:val="Telobesedila"/>
      </w:pPr>
      <w:r>
        <w:rPr>
          <w:b/>
        </w:rPr>
        <w:t>Dodatek za pomoč in postrežbo</w:t>
      </w:r>
      <w: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CEAB306" w14:textId="77777777" w:rsidR="009813B9" w:rsidRDefault="006D271E">
      <w:pPr>
        <w:pStyle w:val="Telobesedila"/>
      </w:pPr>
      <w:r>
        <w:rPr>
          <w:b/>
        </w:rPr>
        <w:t>Otroški dodatek</w:t>
      </w:r>
      <w:r>
        <w:t xml:space="preserve"> je denarni prejemek, s katerim se staršem zagotovi sredstva za preživljanje, vzgojo in izobraževanje otroka.</w:t>
      </w:r>
    </w:p>
    <w:p w14:paraId="32E2CD8A" w14:textId="77777777" w:rsidR="009813B9" w:rsidRDefault="006D271E">
      <w:pPr>
        <w:pStyle w:val="Telobesedila"/>
      </w:pPr>
      <w:r>
        <w:rPr>
          <w:b/>
        </w:rPr>
        <w:t>Dodatek za veliko družino</w:t>
      </w:r>
      <w:r>
        <w:t xml:space="preserve"> je družinski letni prejemek, namenjen družini s tremi ali več otroci.</w:t>
      </w:r>
    </w:p>
    <w:p w14:paraId="41F3F13D" w14:textId="77777777" w:rsidR="009813B9" w:rsidRDefault="006D271E">
      <w:pPr>
        <w:pStyle w:val="Telobesedila"/>
      </w:pPr>
      <w:r>
        <w:rPr>
          <w:b/>
        </w:rPr>
        <w:t>Državna štipendija</w:t>
      </w:r>
      <w:r>
        <w:t xml:space="preserve"> je namenjena dijakom in študentom, ki se izobražujejo in izhajajo iz socialno šibkejših družin.</w:t>
      </w:r>
    </w:p>
    <w:p w14:paraId="467A7D4A" w14:textId="77777777" w:rsidR="009813B9" w:rsidRDefault="006D271E">
      <w:pPr>
        <w:pStyle w:val="Telobesedila"/>
      </w:pPr>
      <w:r>
        <w:rPr>
          <w:b/>
        </w:rPr>
        <w:t>Pravica do plačila pogrebnine</w:t>
      </w:r>
      <w:r>
        <w:t xml:space="preserve"> je posebna oblika izredne denarne socialne pomoči kot pomoč pri kritju stroškov pogreba.</w:t>
      </w:r>
    </w:p>
    <w:p w14:paraId="64254856" w14:textId="77777777" w:rsidR="009813B9" w:rsidRDefault="006D271E">
      <w:pPr>
        <w:pStyle w:val="Telobesedila"/>
      </w:pPr>
      <w:r>
        <w:rPr>
          <w:b/>
        </w:rPr>
        <w:t>Pravica do plačila posmrtnine</w:t>
      </w:r>
      <w:r>
        <w:t xml:space="preserve"> je posebna oblika izredne denarne socialne pomoči po smrti družinskega člana.</w:t>
      </w:r>
    </w:p>
    <w:p w14:paraId="0554FDE3" w14:textId="77777777" w:rsidR="009813B9" w:rsidRDefault="006D271E">
      <w:pPr>
        <w:pStyle w:val="Telobesedila"/>
      </w:pPr>
      <w:r>
        <w:rPr>
          <w:b/>
        </w:rPr>
        <w:t>Rejnine</w:t>
      </w:r>
      <w:r>
        <w:t xml:space="preserve"> Rejnik je za otroka v rejništvu upravičen do mesečne rejnine, ki zajema oskrbnino in plačilo dela. Rejnikom, ki opravljajo rejniško dejavnost kot poklic, se poleg rejnine zagotovi tudi plačilo prispevkov za socialno varnost.</w:t>
      </w:r>
    </w:p>
    <w:p w14:paraId="289C9D7F" w14:textId="77777777" w:rsidR="009813B9" w:rsidRDefault="006D271E">
      <w:pPr>
        <w:pStyle w:val="Telobesedila"/>
      </w:pPr>
      <w:r>
        <w:rPr>
          <w:b/>
        </w:rPr>
        <w:t>Dodatek za nego otroka</w:t>
      </w:r>
      <w:r>
        <w:t xml:space="preserve"> je denarni dodatek za otroka, ki potrebuje posebno nego in varstvo.</w:t>
      </w:r>
    </w:p>
    <w:p w14:paraId="1B52D52D" w14:textId="77777777" w:rsidR="009813B9" w:rsidRDefault="006D271E">
      <w:pPr>
        <w:pStyle w:val="Telobesedila"/>
      </w:pPr>
      <w:r>
        <w:rPr>
          <w:b/>
        </w:rPr>
        <w:t>Starševski dodatek</w:t>
      </w:r>
      <w:r>
        <w:t xml:space="preserve"> je denarna pomoč staršem, kadar po rojstvu otroka niso upravičeni do nadomestil po ZSDP.</w:t>
      </w:r>
    </w:p>
    <w:p w14:paraId="53C8D020" w14:textId="77777777" w:rsidR="009813B9" w:rsidRDefault="006D271E">
      <w:pPr>
        <w:pStyle w:val="Telobesedila"/>
      </w:pPr>
      <w:r>
        <w:rPr>
          <w:b/>
        </w:rPr>
        <w:t>Pomoč ob rojstvu otroka</w:t>
      </w:r>
      <w:r>
        <w:t xml:space="preserve"> je enkratni denarni prejemek, namenjen nakupu opreme za otroka. Pred ZSDP-1 se je namesto denarnega prejemka lahko zagotovila oprema v obliki zavitka.</w:t>
      </w:r>
    </w:p>
    <w:p w14:paraId="59E53EFB" w14:textId="77777777" w:rsidR="009813B9" w:rsidRDefault="006D271E">
      <w:pPr>
        <w:pStyle w:val="Telobesedila"/>
      </w:pPr>
      <w:r>
        <w:rPr>
          <w:b/>
        </w:rPr>
        <w:t>Krajši delovni čas</w:t>
      </w:r>
      <w:r>
        <w:t xml:space="preserve"> je pravica do dela s krajšim delovnim časom enega od staršev, ki otroka dejansko neguje in varuje.</w:t>
      </w:r>
    </w:p>
    <w:p w14:paraId="4AADF77A" w14:textId="77777777" w:rsidR="009813B9" w:rsidRDefault="006D271E">
      <w:pPr>
        <w:pStyle w:val="Telobesedila"/>
      </w:pPr>
      <w:r>
        <w:rPr>
          <w:b/>
        </w:rPr>
        <w:t>Plačilo prispevkov v primeru štirih ali več otrok</w:t>
      </w:r>
      <w: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EFBEA6D" w14:textId="77777777" w:rsidR="009813B9" w:rsidRDefault="006D271E">
      <w:pPr>
        <w:pStyle w:val="Telobesedila"/>
      </w:pPr>
      <w:r>
        <w:rPr>
          <w:b/>
        </w:rPr>
        <w:lastRenderedPageBreak/>
        <w:t>Delno plačilo za izgubljeni dohodek</w:t>
      </w:r>
      <w: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15D08AC" w14:textId="77777777" w:rsidR="009813B9" w:rsidRDefault="006D271E">
      <w:pPr>
        <w:pStyle w:val="Telobesedila"/>
      </w:pPr>
      <w:r>
        <w:rPr>
          <w:b/>
        </w:rPr>
        <w:t>Osebna asistenca</w:t>
      </w:r>
      <w: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922ADB7" w14:textId="77777777" w:rsidR="009813B9" w:rsidRDefault="006D271E">
      <w:pPr>
        <w:pStyle w:val="Telobesedila"/>
      </w:pPr>
      <w:r>
        <w:rPr>
          <w:b/>
        </w:rPr>
        <w:t>Komunikacijski dodatek</w:t>
      </w:r>
      <w:r>
        <w:t xml:space="preserve"> je pravica, ki se lahko dodeli gluhi, slepi ali gluhoslepi osebi, ki izmed storitev osebne asistence potrebuje zgolj pomoč pri komunikaciji in spremstvu.</w:t>
      </w:r>
    </w:p>
    <w:p w14:paraId="626F0970" w14:textId="77777777" w:rsidR="009813B9" w:rsidRDefault="006D271E">
      <w:pPr>
        <w:pStyle w:val="Telobesedila"/>
      </w:pPr>
      <w:r>
        <w:rPr>
          <w:b/>
        </w:rPr>
        <w:t>Starševsko nadomestilo in starševski dopust</w:t>
      </w:r>
      <w: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58CA0439" w14:textId="77777777" w:rsidR="009813B9" w:rsidRDefault="006D271E">
      <w:pPr>
        <w:numPr>
          <w:ilvl w:val="0"/>
          <w:numId w:val="3"/>
        </w:numPr>
      </w:pPr>
      <w:r>
        <w:rPr>
          <w:b/>
        </w:rPr>
        <w:t>Materinski dopust in nadomestilo</w:t>
      </w:r>
      <w:r>
        <w:t xml:space="preserve"> (nekdaj “porodniški dopust in nadomestilo”)</w:t>
      </w:r>
    </w:p>
    <w:p w14:paraId="5910E62F" w14:textId="77777777" w:rsidR="009813B9" w:rsidRDefault="006D271E">
      <w:pPr>
        <w:numPr>
          <w:ilvl w:val="0"/>
          <w:numId w:val="3"/>
        </w:numPr>
      </w:pPr>
      <w:r>
        <w:rPr>
          <w:b/>
        </w:rPr>
        <w:t>Materinski dopust brez nadomestila</w:t>
      </w:r>
      <w:r>
        <w:t xml:space="preserve"> (nekdaj “porodniško nadomestilo brez dopusta”)</w:t>
      </w:r>
    </w:p>
    <w:p w14:paraId="785B6CFE" w14:textId="77777777" w:rsidR="009813B9" w:rsidRDefault="006D271E">
      <w:pPr>
        <w:numPr>
          <w:ilvl w:val="0"/>
          <w:numId w:val="3"/>
        </w:numPr>
      </w:pPr>
      <w:r>
        <w:rPr>
          <w:b/>
        </w:rPr>
        <w:t>Starševski dopust in nadomestilo</w:t>
      </w:r>
      <w:r>
        <w:t xml:space="preserve"> (nekdaj “dopust in nadomestilo za nego in varstvo otroka”)</w:t>
      </w:r>
    </w:p>
    <w:p w14:paraId="667136E5" w14:textId="77777777" w:rsidR="009813B9" w:rsidRDefault="006D271E">
      <w:pPr>
        <w:numPr>
          <w:ilvl w:val="0"/>
          <w:numId w:val="3"/>
        </w:numPr>
      </w:pPr>
      <w:r>
        <w:rPr>
          <w:b/>
        </w:rPr>
        <w:t>Starševsko nadomestilo brez dopusta</w:t>
      </w:r>
      <w:r>
        <w:t xml:space="preserve"> (nekdaj “nadomestilo za nego in varstvo otroka brez dopusta”)</w:t>
      </w:r>
    </w:p>
    <w:p w14:paraId="2053DB51" w14:textId="77777777" w:rsidR="009813B9" w:rsidRDefault="006D271E">
      <w:pPr>
        <w:numPr>
          <w:ilvl w:val="0"/>
          <w:numId w:val="3"/>
        </w:numPr>
      </w:pPr>
      <w:r>
        <w:rPr>
          <w:b/>
        </w:rPr>
        <w:t>Naknadni starševski dopust in nadomestilo</w:t>
      </w:r>
      <w:r>
        <w:t xml:space="preserve"> (nekdaj “naknadni dopust in nadomestilo za nego in varstvo otroka”)</w:t>
      </w:r>
    </w:p>
    <w:p w14:paraId="4C116A06" w14:textId="77777777" w:rsidR="009813B9" w:rsidRDefault="006D271E">
      <w:pPr>
        <w:numPr>
          <w:ilvl w:val="0"/>
          <w:numId w:val="3"/>
        </w:numPr>
      </w:pPr>
      <w:r>
        <w:rPr>
          <w:b/>
        </w:rPr>
        <w:t>Naknadno starševsko nadomestilo brez dopusta</w:t>
      </w:r>
      <w:r>
        <w:t xml:space="preserve"> (nekdaj “naknadno nadomestilo za nego in varstvo otroka brez dopusta”)</w:t>
      </w:r>
    </w:p>
    <w:p w14:paraId="531D397A" w14:textId="77777777" w:rsidR="009813B9" w:rsidRDefault="006D271E">
      <w:pPr>
        <w:numPr>
          <w:ilvl w:val="0"/>
          <w:numId w:val="3"/>
        </w:numPr>
      </w:pPr>
      <w:r>
        <w:rPr>
          <w:b/>
        </w:rPr>
        <w:t>Očetovski dopust in nadomestilo</w:t>
      </w:r>
      <w:r>
        <w:t xml:space="preserve"> ter </w:t>
      </w:r>
      <w:r>
        <w:rPr>
          <w:b/>
        </w:rPr>
        <w:t>očetovsko nadomestilo brez dopusta</w:t>
      </w:r>
    </w:p>
    <w:p w14:paraId="2332DA3C" w14:textId="77777777" w:rsidR="009813B9" w:rsidRDefault="006D271E">
      <w:pPr>
        <w:numPr>
          <w:ilvl w:val="0"/>
          <w:numId w:val="3"/>
        </w:numPr>
      </w:pPr>
      <w:r>
        <w:rPr>
          <w:b/>
        </w:rPr>
        <w:t>Očetovski dopust in nadomestilo za posvojitelje</w:t>
      </w:r>
      <w:r>
        <w:t xml:space="preserve"> ter </w:t>
      </w:r>
      <w:r>
        <w:rPr>
          <w:b/>
        </w:rPr>
        <w:t>očetovsko nadomestilo brez dopusta za posvojitelje</w:t>
      </w:r>
    </w:p>
    <w:p w14:paraId="70EAEC43" w14:textId="77777777" w:rsidR="009813B9" w:rsidRDefault="006D271E">
      <w:pPr>
        <w:numPr>
          <w:ilvl w:val="0"/>
          <w:numId w:val="3"/>
        </w:numPr>
      </w:pPr>
      <w:r>
        <w:rPr>
          <w:b/>
        </w:rPr>
        <w:t>Starševski dopust in nadomestilo za posvojitelje</w:t>
      </w:r>
      <w:r>
        <w:t xml:space="preserve"> (nekdaj “posvojiteljski dopust in nadomestilo”) ter </w:t>
      </w:r>
      <w:r>
        <w:rPr>
          <w:b/>
        </w:rPr>
        <w:t>starševsko nadomestilo za posvojitelje brez dopusta</w:t>
      </w:r>
      <w:r>
        <w:t xml:space="preserve"> (nekdaj “posvojiteljsko nadomestilo brez dopusta”)</w:t>
      </w:r>
    </w:p>
    <w:p w14:paraId="7F76B694" w14:textId="77777777" w:rsidR="009813B9" w:rsidRDefault="006D271E">
      <w:pPr>
        <w:numPr>
          <w:ilvl w:val="0"/>
          <w:numId w:val="3"/>
        </w:numPr>
      </w:pPr>
      <w:r>
        <w:rPr>
          <w:b/>
        </w:rPr>
        <w:t>Nadomestilo/plačilo prispevkov v času odmora za dojenje</w:t>
      </w:r>
    </w:p>
    <w:p w14:paraId="08474FDE" w14:textId="77777777" w:rsidR="009813B9" w:rsidRDefault="006D271E">
      <w:pPr>
        <w:pStyle w:val="FirstParagraph"/>
      </w:pPr>
      <w:r>
        <w:rPr>
          <w:b/>
        </w:rPr>
        <w:lastRenderedPageBreak/>
        <w:t>Oprostitve plačila socialno varstvenih storitev.</w:t>
      </w:r>
      <w: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2CFB41E" w14:textId="77777777" w:rsidR="009813B9" w:rsidRDefault="006D271E">
      <w:pPr>
        <w:pStyle w:val="Telobesedila"/>
      </w:pPr>
      <w: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653DACC7" w14:textId="77777777" w:rsidR="009813B9" w:rsidRDefault="006D271E">
      <w:pPr>
        <w:numPr>
          <w:ilvl w:val="0"/>
          <w:numId w:val="4"/>
        </w:numPr>
      </w:pPr>
      <w:r>
        <w:rPr>
          <w:b/>
        </w:rPr>
        <w:t>Institucionalno varstvo</w:t>
      </w:r>
    </w:p>
    <w:p w14:paraId="0A1A2BE2" w14:textId="77777777" w:rsidR="009813B9" w:rsidRDefault="006D271E">
      <w:pPr>
        <w:numPr>
          <w:ilvl w:val="0"/>
          <w:numId w:val="4"/>
        </w:numPr>
      </w:pPr>
      <w:r>
        <w:rPr>
          <w:b/>
        </w:rPr>
        <w:t>Pomoč družini na domu</w:t>
      </w:r>
    </w:p>
    <w:p w14:paraId="29122B8F" w14:textId="77777777" w:rsidR="009813B9" w:rsidRDefault="006D271E">
      <w:pPr>
        <w:numPr>
          <w:ilvl w:val="0"/>
          <w:numId w:val="4"/>
        </w:numPr>
      </w:pPr>
      <w:r>
        <w:rPr>
          <w:b/>
        </w:rPr>
        <w:t>Nadomestna oblika bivanja ali oskrbe</w:t>
      </w:r>
      <w:r>
        <w:t xml:space="preserve"> zunaj mreže javne službe za upravičence do institucionalnega varstva</w:t>
      </w:r>
    </w:p>
    <w:p w14:paraId="391DD81A" w14:textId="77777777" w:rsidR="009813B9" w:rsidRDefault="006D271E">
      <w:pPr>
        <w:pStyle w:val="FirstParagraph"/>
      </w:pPr>
      <w:r>
        <w:rPr>
          <w:b/>
        </w:rPr>
        <w:t>Družinski pomočnik.</w:t>
      </w:r>
      <w: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8F83E67" w14:textId="77777777" w:rsidR="009813B9" w:rsidRDefault="006D271E">
      <w:pPr>
        <w:pStyle w:val="Telobesedila"/>
      </w:pPr>
      <w:r>
        <w:rPr>
          <w:b/>
        </w:rPr>
        <w:t>Subvencija vrtca.</w:t>
      </w:r>
      <w:r>
        <w:t xml:space="preserve"> Višina plačila vrtca se ugotavlja glede na povprečni mesečni dohodek na osebo in se določi v odstotku od cene programa za vrtec in na podlagi uvrstitve v dohodkovni razred.</w:t>
      </w:r>
    </w:p>
    <w:p w14:paraId="767ED0E7" w14:textId="77777777" w:rsidR="009813B9" w:rsidRDefault="006D271E">
      <w:pPr>
        <w:pStyle w:val="Telobesedila"/>
      </w:pPr>
      <w:r>
        <w:rPr>
          <w:b/>
        </w:rPr>
        <w:t>Štipendije sklada:</w:t>
      </w:r>
    </w:p>
    <w:p w14:paraId="7A2125CD" w14:textId="77777777" w:rsidR="009813B9" w:rsidRDefault="006D271E">
      <w:pPr>
        <w:numPr>
          <w:ilvl w:val="0"/>
          <w:numId w:val="5"/>
        </w:numPr>
      </w:pPr>
      <w:r>
        <w:rPr>
          <w:b/>
        </w:rPr>
        <w:t>Zoisova štipendija</w:t>
      </w:r>
      <w:r>
        <w:t xml:space="preserve"> je namenjena najboljšim dijakom in študentom kot spodbuda za doseganje izjemnih dosežkov in s tem ustvarjanje dodane vrednosti na področju znanja, raziskovanja in razvojne dejavnosti.</w:t>
      </w:r>
    </w:p>
    <w:p w14:paraId="64B41B49" w14:textId="77777777" w:rsidR="009813B9" w:rsidRDefault="006D271E">
      <w:pPr>
        <w:numPr>
          <w:ilvl w:val="0"/>
          <w:numId w:val="5"/>
        </w:numPr>
      </w:pPr>
      <w:r>
        <w:rPr>
          <w:b/>
        </w:rPr>
        <w:t>Štipendija za deficitarne poklice</w:t>
      </w:r>
      <w:r>
        <w:t xml:space="preserve"> je namenjena spodbujanju mladih za vpis v izobraževalne programe za poklice, ki so prepoznani kot deficitarni.</w:t>
      </w:r>
    </w:p>
    <w:p w14:paraId="6C87BC6C" w14:textId="77777777" w:rsidR="009813B9" w:rsidRDefault="006D271E">
      <w:pPr>
        <w:numPr>
          <w:ilvl w:val="0"/>
          <w:numId w:val="5"/>
        </w:numPr>
      </w:pPr>
      <w:r>
        <w:rPr>
          <w:b/>
        </w:rPr>
        <w:t>Štipendije Ad futura</w:t>
      </w:r>
      <w:r>
        <w:t xml:space="preserve"> so namenjene spodbujanju mednarodne mobilnosti dijakov, študentov in strokovnjakov.</w:t>
      </w:r>
    </w:p>
    <w:p w14:paraId="2E547392" w14:textId="77777777" w:rsidR="009813B9" w:rsidRDefault="006D271E">
      <w:pPr>
        <w:numPr>
          <w:ilvl w:val="0"/>
          <w:numId w:val="5"/>
        </w:numPr>
      </w:pPr>
      <w:r>
        <w:rPr>
          <w:b/>
        </w:rPr>
        <w:t>Štipendija za Slovence v zamejstvu in po svetu</w:t>
      </w:r>
      <w:r>
        <w:t xml:space="preserve"> je namenjena pripadnikom avtohtone slovenske narodne skupnosti v sosednjih državah za študij v tujini.</w:t>
      </w:r>
    </w:p>
    <w:p w14:paraId="78E27716" w14:textId="77777777" w:rsidR="009813B9" w:rsidRDefault="006D271E">
      <w:pPr>
        <w:numPr>
          <w:ilvl w:val="0"/>
          <w:numId w:val="5"/>
        </w:numPr>
      </w:pPr>
      <w:r>
        <w:rPr>
          <w:b/>
        </w:rPr>
        <w:t>Sofinanciranje znanstvenoraziskovalne mobilnosti</w:t>
      </w:r>
      <w:r>
        <w:t xml:space="preserve"> je namenjeno usposabljanju raziskovalcev v tujini ter za znanstveno raziskovanje tujcev v Sloveniji.</w:t>
      </w:r>
    </w:p>
    <w:p w14:paraId="22FF7909" w14:textId="77777777" w:rsidR="009813B9" w:rsidRDefault="006D271E">
      <w:pPr>
        <w:pStyle w:val="FirstParagraph"/>
      </w:pPr>
      <w:r>
        <w:t>Vir: MDDSZ</w:t>
      </w:r>
    </w:p>
    <w:sectPr w:rsidR="009813B9" w:rsidSect="001D4551">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5015" w14:textId="77777777" w:rsidR="0050774C" w:rsidRDefault="0050774C">
      <w:pPr>
        <w:spacing w:after="0"/>
      </w:pPr>
      <w:r>
        <w:separator/>
      </w:r>
    </w:p>
  </w:endnote>
  <w:endnote w:type="continuationSeparator" w:id="0">
    <w:p w14:paraId="38FF1090" w14:textId="77777777" w:rsidR="0050774C" w:rsidRDefault="00507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279D" w14:textId="77777777" w:rsidR="0050774C" w:rsidRDefault="0050774C">
      <w:r>
        <w:separator/>
      </w:r>
    </w:p>
  </w:footnote>
  <w:footnote w:type="continuationSeparator" w:id="0">
    <w:p w14:paraId="60FF2671" w14:textId="77777777" w:rsidR="0050774C" w:rsidRDefault="0050774C">
      <w:r>
        <w:continuationSeparator/>
      </w:r>
    </w:p>
  </w:footnote>
  <w:footnote w:id="1">
    <w:p w14:paraId="1031E1E6" w14:textId="77777777" w:rsidR="00E16082" w:rsidRDefault="00E16082" w:rsidP="00444756">
      <w:pPr>
        <w:pStyle w:val="Sprotnaopomba-besedilo"/>
        <w:rPr>
          <w:sz w:val="18"/>
          <w:szCs w:val="18"/>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4B3ECE6" w14:textId="77777777" w:rsidR="00E16082" w:rsidRDefault="00E16082" w:rsidP="00444756">
      <w:pPr>
        <w:pStyle w:val="Sprotnaopomba-besedilo"/>
        <w:rPr>
          <w:sz w:val="20"/>
          <w:szCs w:val="20"/>
          <w:lang w:val="sl-SI"/>
        </w:rPr>
      </w:pPr>
      <w:r>
        <w:rPr>
          <w:rStyle w:val="Sprotnaopomba-sklic"/>
          <w:sz w:val="20"/>
          <w:szCs w:val="20"/>
        </w:rPr>
        <w:footnoteRef/>
      </w:r>
      <w:r>
        <w:rPr>
          <w:sz w:val="20"/>
          <w:szCs w:val="20"/>
          <w:lang w:val="es-ES_tradnl"/>
        </w:rPr>
        <w:t xml:space="preserve"> </w:t>
      </w:r>
      <w:r>
        <w:rPr>
          <w:sz w:val="18"/>
          <w:szCs w:val="18"/>
          <w:lang w:val="sl-SI"/>
        </w:rPr>
        <w:t>Za pravico osebna asistenca ter transferje, ki jih izplačuje ZRSZ, so podatki na voljo le do januarja.</w:t>
      </w:r>
    </w:p>
  </w:footnote>
  <w:footnote w:id="3">
    <w:p w14:paraId="6594242C" w14:textId="77777777" w:rsidR="00E16082" w:rsidRDefault="00E16082" w:rsidP="00444756">
      <w:pPr>
        <w:pStyle w:val="Sprotnaopomba-besedilo"/>
        <w:spacing w:after="0"/>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7F3C860B" w14:textId="77777777" w:rsidR="00E16082" w:rsidRPr="00137EA8" w:rsidRDefault="00E16082" w:rsidP="00444756">
      <w:pPr>
        <w:pStyle w:val="Sprotnaopomba-besedilo"/>
        <w:rPr>
          <w:sz w:val="18"/>
          <w:szCs w:val="18"/>
          <w:lang w:val="sl-SI"/>
        </w:rPr>
      </w:pPr>
      <w:r>
        <w:rPr>
          <w:rStyle w:val="Sprotnaopomba-sklic"/>
        </w:rPr>
        <w:footnoteRef/>
      </w:r>
      <w:r>
        <w:t xml:space="preserve"> </w:t>
      </w:r>
      <w:r w:rsidRPr="00137EA8">
        <w:rPr>
          <w:sz w:val="18"/>
          <w:szCs w:val="18"/>
          <w:lang w:val="sl-SI"/>
        </w:rPr>
        <w:t xml:space="preserve">Podatki </w:t>
      </w:r>
      <w:r>
        <w:rPr>
          <w:sz w:val="18"/>
          <w:szCs w:val="18"/>
          <w:lang w:val="sl-SI"/>
        </w:rPr>
        <w:t>še niso dokončni in so lahko kasneje revidirani.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768BC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6C5D"/>
    <w:rsid w:val="00011C8B"/>
    <w:rsid w:val="00014C62"/>
    <w:rsid w:val="00054C1F"/>
    <w:rsid w:val="00062D01"/>
    <w:rsid w:val="001403BB"/>
    <w:rsid w:val="001A4E2F"/>
    <w:rsid w:val="001B2889"/>
    <w:rsid w:val="001D4551"/>
    <w:rsid w:val="001E4F5C"/>
    <w:rsid w:val="00256321"/>
    <w:rsid w:val="0029021B"/>
    <w:rsid w:val="002C581A"/>
    <w:rsid w:val="002E30A4"/>
    <w:rsid w:val="00343C96"/>
    <w:rsid w:val="00361C77"/>
    <w:rsid w:val="00362E6B"/>
    <w:rsid w:val="00397349"/>
    <w:rsid w:val="003D3DE9"/>
    <w:rsid w:val="00444756"/>
    <w:rsid w:val="00460707"/>
    <w:rsid w:val="00477DCF"/>
    <w:rsid w:val="004B34F5"/>
    <w:rsid w:val="004E29B3"/>
    <w:rsid w:val="0050774C"/>
    <w:rsid w:val="005224DE"/>
    <w:rsid w:val="00534E8B"/>
    <w:rsid w:val="00536915"/>
    <w:rsid w:val="00540578"/>
    <w:rsid w:val="00590D07"/>
    <w:rsid w:val="0060664D"/>
    <w:rsid w:val="006244EB"/>
    <w:rsid w:val="006245A3"/>
    <w:rsid w:val="00634BC0"/>
    <w:rsid w:val="00683097"/>
    <w:rsid w:val="006D271E"/>
    <w:rsid w:val="00784D58"/>
    <w:rsid w:val="00791F54"/>
    <w:rsid w:val="00801F9F"/>
    <w:rsid w:val="0081615D"/>
    <w:rsid w:val="00843C20"/>
    <w:rsid w:val="008C4934"/>
    <w:rsid w:val="008D6863"/>
    <w:rsid w:val="00921FD0"/>
    <w:rsid w:val="009664FF"/>
    <w:rsid w:val="009813B9"/>
    <w:rsid w:val="00AA7467"/>
    <w:rsid w:val="00B86B75"/>
    <w:rsid w:val="00BA34F4"/>
    <w:rsid w:val="00BC48D5"/>
    <w:rsid w:val="00C36279"/>
    <w:rsid w:val="00C932E8"/>
    <w:rsid w:val="00CB4E01"/>
    <w:rsid w:val="00D22482"/>
    <w:rsid w:val="00D35818"/>
    <w:rsid w:val="00D46A5D"/>
    <w:rsid w:val="00DD0702"/>
    <w:rsid w:val="00DE5C34"/>
    <w:rsid w:val="00DF59A5"/>
    <w:rsid w:val="00E16082"/>
    <w:rsid w:val="00E315A3"/>
    <w:rsid w:val="00E5121D"/>
    <w:rsid w:val="00EA716B"/>
    <w:rsid w:val="00EC30AE"/>
    <w:rsid w:val="00EC4399"/>
    <w:rsid w:val="00EF1D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8133"/>
  <w15:docId w15:val="{2CBC5FD9-CB56-4141-B8E7-95D91822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Sprotnaopomba-besediloZnak">
    <w:name w:val="Sprotna opomba - besedilo Znak"/>
    <w:basedOn w:val="Privzetapisavaodstavka"/>
    <w:link w:val="Sprotnaopomba-besedilo"/>
    <w:uiPriority w:val="9"/>
    <w:rsid w:val="00536915"/>
  </w:style>
  <w:style w:type="character" w:customStyle="1" w:styleId="TelobesedilaZnak">
    <w:name w:val="Telo besedila Znak"/>
    <w:basedOn w:val="Privzetapisavaodstavka"/>
    <w:link w:val="Telobesedila"/>
    <w:rsid w:val="00444756"/>
    <w:rPr>
      <w:sz w:val="22"/>
    </w:rPr>
  </w:style>
  <w:style w:type="character" w:styleId="Pripombasklic">
    <w:name w:val="annotation reference"/>
    <w:basedOn w:val="Privzetapisavaodstavka"/>
    <w:semiHidden/>
    <w:unhideWhenUsed/>
    <w:rsid w:val="00791F54"/>
    <w:rPr>
      <w:sz w:val="16"/>
      <w:szCs w:val="16"/>
    </w:rPr>
  </w:style>
  <w:style w:type="paragraph" w:styleId="Pripombabesedilo">
    <w:name w:val="annotation text"/>
    <w:basedOn w:val="Navaden"/>
    <w:link w:val="PripombabesediloZnak"/>
    <w:semiHidden/>
    <w:unhideWhenUsed/>
    <w:rsid w:val="00791F54"/>
    <w:rPr>
      <w:sz w:val="20"/>
      <w:szCs w:val="20"/>
    </w:rPr>
  </w:style>
  <w:style w:type="character" w:customStyle="1" w:styleId="PripombabesediloZnak">
    <w:name w:val="Pripomba – besedilo Znak"/>
    <w:basedOn w:val="Privzetapisavaodstavka"/>
    <w:link w:val="Pripombabesedilo"/>
    <w:semiHidden/>
    <w:rsid w:val="00791F54"/>
    <w:rPr>
      <w:sz w:val="20"/>
      <w:szCs w:val="20"/>
    </w:rPr>
  </w:style>
  <w:style w:type="paragraph" w:styleId="Zadevapripombe">
    <w:name w:val="annotation subject"/>
    <w:basedOn w:val="Pripombabesedilo"/>
    <w:next w:val="Pripombabesedilo"/>
    <w:link w:val="ZadevapripombeZnak"/>
    <w:semiHidden/>
    <w:unhideWhenUsed/>
    <w:rsid w:val="00791F54"/>
    <w:rPr>
      <w:b/>
      <w:bCs/>
    </w:rPr>
  </w:style>
  <w:style w:type="character" w:customStyle="1" w:styleId="ZadevapripombeZnak">
    <w:name w:val="Zadeva pripombe Znak"/>
    <w:basedOn w:val="PripombabesediloZnak"/>
    <w:link w:val="Zadevapripombe"/>
    <w:semiHidden/>
    <w:rsid w:val="00791F54"/>
    <w:rPr>
      <w:b/>
      <w:bCs/>
      <w:sz w:val="20"/>
      <w:szCs w:val="20"/>
    </w:rPr>
  </w:style>
  <w:style w:type="paragraph" w:styleId="Besedilooblaka">
    <w:name w:val="Balloon Text"/>
    <w:basedOn w:val="Navaden"/>
    <w:link w:val="BesedilooblakaZnak"/>
    <w:semiHidden/>
    <w:unhideWhenUsed/>
    <w:rsid w:val="00791F54"/>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791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556114">
      <w:bodyDiv w:val="1"/>
      <w:marLeft w:val="0"/>
      <w:marRight w:val="0"/>
      <w:marTop w:val="0"/>
      <w:marBottom w:val="0"/>
      <w:divBdr>
        <w:top w:val="none" w:sz="0" w:space="0" w:color="auto"/>
        <w:left w:val="none" w:sz="0" w:space="0" w:color="auto"/>
        <w:bottom w:val="none" w:sz="0" w:space="0" w:color="auto"/>
        <w:right w:val="none" w:sz="0" w:space="0" w:color="auto"/>
      </w:divBdr>
    </w:div>
    <w:div w:id="1661077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CD651C-E0CC-41D6-8282-7ABCBBF1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5088</Words>
  <Characters>29002</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Ana Kreft</cp:lastModifiedBy>
  <cp:revision>2</cp:revision>
  <dcterms:created xsi:type="dcterms:W3CDTF">2021-03-20T07:14:00Z</dcterms:created>
  <dcterms:modified xsi:type="dcterms:W3CDTF">2021-03-20T07:14:00Z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