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5.0 -->
  <w:body>
    <w:p>
      <w:pPr>
        <w:pStyle w:val="zamik"/>
        <w:pBdr>
          <w:top w:val="none" w:sz="0" w:space="24" w:color="auto"/>
        </w:pBdr>
        <w:spacing w:before="0" w:after="210"/>
        <w:ind w:left="0" w:right="0"/>
        <w:jc w:val="both"/>
        <w:rPr>
          <w:rFonts w:ascii="Arial" w:eastAsia="Arial" w:hAnsi="Arial" w:cs="Arial"/>
          <w:sz w:val="21"/>
          <w:szCs w:val="21"/>
        </w:rPr>
      </w:pPr>
      <w:r>
        <w:rPr>
          <w:rFonts w:ascii="Arial" w:eastAsia="Arial" w:hAnsi="Arial" w:cs="Arial"/>
          <w:sz w:val="21"/>
          <w:szCs w:val="21"/>
        </w:rPr>
        <w:t>Na podlagi drugega odstavka 5. člena Zakona o duševnem zdravju (Uradni list RS, št. 77/08, 46/15 – odl. US, 44/19 – odl. US, 109/23 in 136/23 – ZIUZDS) minister za solidarno prihodnost v soglasju z ministrico za zdravje izdaja</w:t>
      </w:r>
    </w:p>
    <w:p>
      <w:pPr>
        <w:pStyle w:val="center"/>
        <w:spacing w:before="210" w:after="210"/>
        <w:ind w:left="0" w:right="0"/>
        <w:rPr>
          <w:rFonts w:ascii="Arial" w:eastAsia="Arial" w:hAnsi="Arial" w:cs="Arial"/>
          <w:b/>
          <w:bCs/>
          <w:caps/>
          <w:sz w:val="21"/>
          <w:szCs w:val="21"/>
        </w:rPr>
      </w:pPr>
      <w:r>
        <w:rPr>
          <w:rFonts w:ascii="Arial" w:eastAsia="Arial" w:hAnsi="Arial" w:cs="Arial"/>
          <w:b/>
          <w:bCs/>
          <w:caps/>
          <w:sz w:val="21"/>
          <w:szCs w:val="21"/>
        </w:rPr>
        <w:t>P R A V I L N I K</w:t>
      </w:r>
    </w:p>
    <w:p>
      <w:pPr>
        <w:pStyle w:val="center"/>
        <w:spacing w:before="210" w:after="210"/>
        <w:ind w:left="0" w:right="0"/>
        <w:rPr>
          <w:rFonts w:ascii="Arial" w:eastAsia="Arial" w:hAnsi="Arial" w:cs="Arial"/>
          <w:b/>
          <w:bCs/>
          <w:caps/>
          <w:sz w:val="21"/>
          <w:szCs w:val="21"/>
        </w:rPr>
      </w:pPr>
      <w:r>
        <w:rPr>
          <w:rFonts w:ascii="Arial" w:eastAsia="Arial" w:hAnsi="Arial" w:cs="Arial"/>
          <w:b/>
          <w:bCs/>
          <w:caps/>
          <w:sz w:val="21"/>
          <w:szCs w:val="21"/>
        </w:rPr>
        <w:t>o tehničnih, prostorskih in kadrovskih pogojih za verifikacijo varovanih oddelkov pri izvajalcih institucionalnega varstva in postopku njihove verifikacije</w:t>
      </w:r>
    </w:p>
    <w:p>
      <w:pPr>
        <w:pStyle w:val="center"/>
        <w:pBdr>
          <w:top w:val="none" w:sz="0" w:space="24" w:color="auto"/>
        </w:pBdr>
        <w:spacing w:before="210" w:after="210"/>
        <w:ind w:left="0" w:right="0"/>
        <w:rPr>
          <w:rFonts w:ascii="Arial" w:eastAsia="Arial" w:hAnsi="Arial" w:cs="Arial"/>
          <w:caps/>
          <w:sz w:val="21"/>
          <w:szCs w:val="21"/>
        </w:rPr>
      </w:pPr>
      <w:r>
        <w:rPr>
          <w:rFonts w:ascii="Arial" w:eastAsia="Arial" w:hAnsi="Arial" w:cs="Arial"/>
          <w:caps/>
          <w:sz w:val="21"/>
          <w:szCs w:val="21"/>
        </w:rPr>
        <w:t>I. SPLOŠNE DOLOČBE</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1.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(vsebina)</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Ta pravilnik določa tehnične, prostorske in kadrovske pogoje za verifikacijo varovanih oddelkov pri izvajalcih socialnovarstvene storitve celodnevno institucionalno varstvo na področju socialnega varstva (v nadaljnjem besedilu: izvajalec) ter postopek njihove verifikacije.</w:t>
      </w:r>
    </w:p>
    <w:p>
      <w:pPr>
        <w:pStyle w:val="center"/>
        <w:pBdr>
          <w:top w:val="none" w:sz="0" w:space="24" w:color="auto"/>
        </w:pBdr>
        <w:spacing w:before="210" w:after="210"/>
        <w:ind w:left="0" w:right="0"/>
        <w:rPr>
          <w:rFonts w:ascii="Arial" w:eastAsia="Arial" w:hAnsi="Arial" w:cs="Arial"/>
          <w:caps/>
          <w:sz w:val="21"/>
          <w:szCs w:val="21"/>
        </w:rPr>
      </w:pPr>
      <w:r>
        <w:rPr>
          <w:rFonts w:ascii="Arial" w:eastAsia="Arial" w:hAnsi="Arial" w:cs="Arial"/>
          <w:caps/>
          <w:sz w:val="21"/>
          <w:szCs w:val="21"/>
        </w:rPr>
        <w:t>II. TEHNIČNI IN PROSTORSKI POGOJI ZA VAROVANE ODDELKE</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2.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(bivalne enote)</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Varovani oddelek pri izvajalcu (v nadaljnjem besedilu: varovani oddelek) se organizira v obliki bivalnih enot za največ 12 oseb v skladu s pravilnikom, ki ureja minimalne tehnične zahteve za izvajalce socialnovarstvenih storitev za področje institucionalnega varstva, in pravilnikom, ki ureja standarde in normative socialnovarstvenih storitev.</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3.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(prostori)</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(1) Na varovanem oddelku se poleg prostora za izvajanje posebnih varovalnih ukrepov (v nadaljnjem besedilu: prostor za PVU) v skladu z zakonom, ki ureja duševno zdravje, lahko organizira tudi prostor za počitek in sproščanje napetosti.</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 xml:space="preserve">(2) PVU ter prostor za počitek in sproščanje napetosti sta ozvočena in pod videonadzorom, vrata so od znotraj zvočno oblazinjena, površina posameznega prostora znaša od 12 m </w:t>
      </w:r>
      <w:r>
        <w:rPr>
          <w:rFonts w:ascii="Arial" w:eastAsia="Arial" w:hAnsi="Arial" w:cs="Arial"/>
          <w:sz w:val="26"/>
          <w:szCs w:val="26"/>
          <w:vertAlign w:val="superscript"/>
        </w:rPr>
        <w:t>2</w:t>
      </w:r>
      <w:r>
        <w:rPr>
          <w:rFonts w:ascii="Arial" w:eastAsia="Arial" w:hAnsi="Arial" w:cs="Arial"/>
          <w:sz w:val="21"/>
          <w:szCs w:val="21"/>
        </w:rPr>
        <w:t xml:space="preserve">do 20 m </w:t>
      </w:r>
      <w:r>
        <w:rPr>
          <w:rFonts w:ascii="Arial" w:eastAsia="Arial" w:hAnsi="Arial" w:cs="Arial"/>
          <w:sz w:val="26"/>
          <w:szCs w:val="26"/>
          <w:vertAlign w:val="superscript"/>
        </w:rPr>
        <w:t>2</w:t>
      </w:r>
      <w:r>
        <w:rPr>
          <w:rFonts w:ascii="Arial" w:eastAsia="Arial" w:hAnsi="Arial" w:cs="Arial"/>
          <w:sz w:val="21"/>
          <w:szCs w:val="21"/>
        </w:rPr>
        <w:t>. Vrata prostorov se morajo odpirati navzven ali so drsna. Svetla širina vrat je najmanj 100 cm.</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(3) Prostor za PVU ni obvezen za varovani oddelek za osebe, ki zaradi posledic upada kognitivnih funkcij potrebujejo delno ali popolno pomoč in nadzor.</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4.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(tehnični pogoji)</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(1) Prostori v varovanem oddelku so razporejeni in označeni tako, da omogočajo enostavno orientacijo v prostoru.</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(2) Vsi dostopi in vhodi v varovani oddelek zagotavljajo hiter in enostaven dostop ter so nadzorovani s tehničnim varovanjem oziroma varovanje zagotavlja osebje pri izvajalcu.</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(3) Osebi, ki biva v varovanem oddelku, je poleg sobe za bivanje dostopen skupen prostor, ki omogoča varno izvajanje družabnih, psihosocialnih in terapevtskih dnevnih aktivnosti (v nadaljnjem besedilu: dnevni prostor), ter omogočen dostop do varnih odprtih prostorov oziroma zunanjih površin, ki so namenjene tudi kajenju. Dnevni prostor izpolnjuje pogoje v skladu s pravilnikom, ki ureja minimalne tehnične zahteve za izvajalce socialnovarstvenih storitev za področje institucionalnega varstva.</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(4) Prostor za PVU je opremljen tako, da pri osebi, ki ga uporablja, ne pride do poškodbe, in tako, da se v njem izvaja stalno tehnično varovanje, ki vključuje zvočni in vizualni stik z osebjem pri izvajalcu.</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(5) Varovanje, zaščita in nadzor na varovanem oddelku se zagotavljajo zlasti z osebjem ali tehničnim varovanjem za zagotavljanje varnosti, samostojnosti in dvosmerne komunikacije.</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(6) Za izvajanje varovanja, zaščite in nadzora na varovanem oddelku izvajalec sprejme interni akt, s katerim določi najmanj:</w:t>
      </w:r>
    </w:p>
    <w:p>
      <w:pPr>
        <w:pStyle w:val="alineazaodstavkom"/>
        <w:spacing w:before="210" w:after="210"/>
        <w:ind w:left="425" w:right="0"/>
        <w:rPr>
          <w:rFonts w:ascii="Arial" w:eastAsia="Arial" w:hAnsi="Arial" w:cs="Arial"/>
          <w:sz w:val="21"/>
          <w:szCs w:val="21"/>
        </w:rPr>
      </w:pPr>
      <w:r>
        <w:rPr>
          <w:rFonts w:ascii="Arial" w:eastAsia="Arial" w:hAnsi="Arial" w:cs="Arial"/>
          <w:sz w:val="21"/>
          <w:szCs w:val="21"/>
        </w:rPr>
        <w:t>-     organizacijsko shemo zaposlenih na varovanem oddelku;</w:t>
      </w:r>
    </w:p>
    <w:p>
      <w:pPr>
        <w:pStyle w:val="alineazaodstavkom"/>
        <w:spacing w:before="210" w:after="210"/>
        <w:ind w:left="425" w:right="0"/>
        <w:rPr>
          <w:rFonts w:ascii="Arial" w:eastAsia="Arial" w:hAnsi="Arial" w:cs="Arial"/>
          <w:sz w:val="21"/>
          <w:szCs w:val="21"/>
        </w:rPr>
      </w:pPr>
      <w:r>
        <w:rPr>
          <w:rFonts w:ascii="Arial" w:eastAsia="Arial" w:hAnsi="Arial" w:cs="Arial"/>
          <w:sz w:val="21"/>
          <w:szCs w:val="21"/>
        </w:rPr>
        <w:t>-     vrsto, način uporabe, namen in pogoje uporabe tehničnih sredstev (kot so tehnični pripomočki oziroma naprave za spremljanje gibanja oseb, komunikacijo in spremljanje na daljavo) na varovanem oddelku;</w:t>
      </w:r>
    </w:p>
    <w:p>
      <w:pPr>
        <w:pStyle w:val="alineazaodstavkom"/>
        <w:spacing w:before="210" w:after="210"/>
        <w:ind w:left="425" w:right="0"/>
        <w:rPr>
          <w:rFonts w:ascii="Arial" w:eastAsia="Arial" w:hAnsi="Arial" w:cs="Arial"/>
          <w:sz w:val="21"/>
          <w:szCs w:val="21"/>
        </w:rPr>
      </w:pPr>
      <w:r>
        <w:rPr>
          <w:rFonts w:ascii="Arial" w:eastAsia="Arial" w:hAnsi="Arial" w:cs="Arial"/>
          <w:sz w:val="21"/>
          <w:szCs w:val="21"/>
        </w:rPr>
        <w:t>-     program usposabljanja zaposlenih, ki delajo na varovanem oddelku.</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5.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(kadrovski pogoji izvajalcev z varovanimi oddelki)</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(1) Glede na število oseb na varovanem oddelku izvajalec za varovani oddelek zagotovi število zdravstvenih delavcev v skladu z zakonom, ki ureja duševno zdravje.</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(2) Glede na število oseb na varovanem oddelku izvajalec za storitve socialne oskrbe za varovani oddelek zagotovi število zaposlenih v skladu s pravilnikom, ki ureja standarde in normative socialnovarstvenih storitev, najmanj v deležu, kot ga na število oseb na varovanem oddelku določa zakon, ki ureja duševno zdravje.</w:t>
      </w:r>
    </w:p>
    <w:p>
      <w:pPr>
        <w:pStyle w:val="center"/>
        <w:pBdr>
          <w:top w:val="none" w:sz="0" w:space="24" w:color="auto"/>
        </w:pBdr>
        <w:spacing w:before="210" w:after="210"/>
        <w:ind w:left="0" w:right="0"/>
        <w:rPr>
          <w:rFonts w:ascii="Arial" w:eastAsia="Arial" w:hAnsi="Arial" w:cs="Arial"/>
          <w:caps/>
          <w:sz w:val="21"/>
          <w:szCs w:val="21"/>
        </w:rPr>
      </w:pPr>
      <w:r>
        <w:rPr>
          <w:rFonts w:ascii="Arial" w:eastAsia="Arial" w:hAnsi="Arial" w:cs="Arial"/>
          <w:caps/>
          <w:sz w:val="21"/>
          <w:szCs w:val="21"/>
        </w:rPr>
        <w:t>III. POSTOPEK VERIFIKACIJE VAROVANEGA ODDELKA</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6.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(verifikacija varovanega oddelka)</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Izvajalec za vsak varovani oddelek pridobi verifikacijo ministrstva, pristojnega za institucionalno varstvo (v nadaljnjem besedilu: ministrstvo).</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7.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(komisija)</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(1) Za postopek verifikacije varovanega oddelka minister, pristojen za institucionalno varstvo (v nadaljnjem besedilu: minister), imenuje komisijo, ki ima šest članov, pri čemer je vsaj en član strokovnjak s področja gradbeništva ali tehničnih strok.</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(2) Izvajalec vlogo za verifikacijo varovanega oddelka vloži na ministrstvu.</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(3) Vzorec obrazca vloge iz prejšnjega odstavka ministrstvo objavi na osrednjem spletnem mestu državne uprave.</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(4) Komisija na podlagi predložene dokumentacije opravi ogled varovanega oddelka za verifikacijo in preveri, ali varovani oddelek izpolnjuje pogoje v skladu z zakonom, ki ureja duševno zdravje, in tem pravilnikom.</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(5) Komisija vodi zapisnik o svojem delu. Na podlagi ugotovitev komisije minister izda sklep o verifikaciji varovanega oddelka.</w:t>
      </w:r>
    </w:p>
    <w:p>
      <w:pPr>
        <w:pStyle w:val="center"/>
        <w:pBdr>
          <w:top w:val="none" w:sz="0" w:space="24" w:color="auto"/>
        </w:pBdr>
        <w:spacing w:before="210" w:after="210"/>
        <w:ind w:left="0" w:right="0"/>
        <w:rPr>
          <w:rFonts w:ascii="Arial" w:eastAsia="Arial" w:hAnsi="Arial" w:cs="Arial"/>
          <w:caps/>
          <w:sz w:val="21"/>
          <w:szCs w:val="21"/>
        </w:rPr>
      </w:pPr>
      <w:r>
        <w:rPr>
          <w:rFonts w:ascii="Arial" w:eastAsia="Arial" w:hAnsi="Arial" w:cs="Arial"/>
          <w:caps/>
          <w:sz w:val="21"/>
          <w:szCs w:val="21"/>
        </w:rPr>
        <w:t>IV. PREHODNE IN KONČNA DOLOČBA</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8.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(uskladitev prostorskih in kadrovskih pogojev)</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(1) Izvajalci z varovanimi oddelki, ki so bili verificirani v skladu s Pravilnikom o kadrovskih, tehničnih in prostorskih pogojih za izvajanje nalog na področju duševnega zdravja za izvajalce institucionalnega varstva ter centre za socialno delo ter o postopku njihove verifikacije (Uradni list RS, št. 97/09, 84/12 in 85/14; v nadaljnjem besedilu: Pravilnik), in izvajalci z varovanimi oddelki, verificiranimi v skladu z drugim odstavkom 9. člena tega pravilnika, uskladijo prostorske pogoje v skladu s tem pravilnikom najpozneje do 31. decembra 2026.</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(2) Izvajalci z varovanimi oddelki, ki so bili verificirani v skladu s Pravilnikom, uskladijo kadrovske pogoje v skladu s tem pravilnikom najpozneje do 30. junija 2024.</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9.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(prenehanje uporabe)</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(1) Z dnem uveljavitve tega pravilnika se za izvajalce institucionalnega varstva, kot jih določa Pravilnik, prenehajo uporabljati določbe Pravilnika.</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(2) Ne glede na prejšnji odstavek se za dokončanje postopkov verifikacije varovanih oddelkov, ki so se začeli pred uveljavitvijo tega pravilnika, uporabljajo določbe Pravilnika, razen drugega odstavka 8. člena Pravilnika, in drugi odstavek 5. člena tega pravilnika.</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10. člen</w:t>
      </w:r>
    </w:p>
    <w:p>
      <w:pPr>
        <w:pStyle w:val="center"/>
        <w:pBdr>
          <w:top w:val="none" w:sz="0" w:space="24" w:color="auto"/>
        </w:pBdr>
        <w:spacing w:before="210" w:after="210"/>
        <w:ind w:left="0" w:right="0"/>
        <w:rPr>
          <w:rFonts w:ascii="Arial" w:eastAsia="Arial" w:hAnsi="Arial" w:cs="Arial"/>
          <w:b/>
          <w:bCs/>
          <w:sz w:val="21"/>
          <w:szCs w:val="21"/>
        </w:rPr>
      </w:pPr>
      <w:r>
        <w:rPr>
          <w:rFonts w:ascii="Arial" w:eastAsia="Arial" w:hAnsi="Arial" w:cs="Arial"/>
          <w:b/>
          <w:bCs/>
          <w:sz w:val="21"/>
          <w:szCs w:val="21"/>
        </w:rPr>
        <w:t>(začetek veljavnosti)</w:t>
      </w:r>
    </w:p>
    <w:p>
      <w:pPr>
        <w:pStyle w:val="zamik"/>
        <w:pBdr>
          <w:top w:val="none" w:sz="0" w:space="12" w:color="auto"/>
        </w:pBdr>
        <w:spacing w:before="210" w:after="210"/>
        <w:ind w:left="0" w:right="0"/>
        <w:jc w:val="both"/>
        <w:rPr>
          <w:rFonts w:ascii="Arial" w:eastAsia="Arial" w:hAnsi="Arial" w:cs="Arial"/>
          <w:sz w:val="21"/>
          <w:szCs w:val="21"/>
        </w:rPr>
      </w:pPr>
      <w:r>
        <w:rPr>
          <w:rFonts w:ascii="Arial" w:eastAsia="Arial" w:hAnsi="Arial" w:cs="Arial"/>
          <w:sz w:val="21"/>
          <w:szCs w:val="21"/>
        </w:rPr>
        <w:t>Ta pravilnik začne veljati petnajsti dan po objavi v Uradnem listu Republike Slovenije.</w:t>
      </w:r>
    </w:p>
    <w:p>
      <w:pPr>
        <w:pStyle w:val="evidencnastevilka"/>
        <w:spacing w:before="210" w:after="210"/>
        <w:ind w:left="0" w:right="0"/>
        <w:rPr>
          <w:rFonts w:ascii="Arial" w:eastAsia="Arial" w:hAnsi="Arial" w:cs="Arial"/>
          <w:sz w:val="21"/>
          <w:szCs w:val="21"/>
        </w:rPr>
      </w:pPr>
      <w:r>
        <w:rPr>
          <w:rFonts w:ascii="Arial" w:eastAsia="Arial" w:hAnsi="Arial" w:cs="Arial"/>
          <w:sz w:val="21"/>
          <w:szCs w:val="21"/>
        </w:rPr>
        <w:t>Št. 0072-5/2024</w:t>
      </w:r>
    </w:p>
    <w:p>
      <w:pPr>
        <w:pStyle w:val="podpisnik"/>
        <w:spacing w:before="210" w:after="210"/>
        <w:ind w:left="5669" w:right="0"/>
        <w:rPr>
          <w:rFonts w:ascii="Arial" w:eastAsia="Arial" w:hAnsi="Arial" w:cs="Arial"/>
          <w:sz w:val="21"/>
          <w:szCs w:val="21"/>
        </w:rPr>
      </w:pPr>
      <w:r>
        <w:rPr>
          <w:rFonts w:ascii="Arial" w:eastAsia="Arial" w:hAnsi="Arial" w:cs="Arial"/>
          <w:sz w:val="21"/>
          <w:szCs w:val="21"/>
        </w:rPr>
        <w:t>Ljubljana, dne 29. marca 2024</w:t>
      </w:r>
    </w:p>
    <w:p>
      <w:pPr>
        <w:pStyle w:val="evidencnastevilka"/>
        <w:spacing w:before="210" w:after="210"/>
        <w:ind w:left="0" w:right="0"/>
        <w:rPr>
          <w:rFonts w:ascii="Arial" w:eastAsia="Arial" w:hAnsi="Arial" w:cs="Arial"/>
          <w:sz w:val="21"/>
          <w:szCs w:val="21"/>
        </w:rPr>
      </w:pPr>
      <w:r>
        <w:rPr>
          <w:rFonts w:ascii="Arial" w:eastAsia="Arial" w:hAnsi="Arial" w:cs="Arial"/>
          <w:sz w:val="21"/>
          <w:szCs w:val="21"/>
        </w:rPr>
        <w:t>EVA 2024-2720-0009</w:t>
      </w:r>
    </w:p>
    <w:p>
      <w:pPr>
        <w:pStyle w:val="podpisnik"/>
        <w:spacing w:before="210" w:after="210"/>
        <w:ind w:left="5669" w:right="0"/>
        <w:rPr>
          <w:rFonts w:ascii="Arial" w:eastAsia="Arial" w:hAnsi="Arial" w:cs="Arial"/>
          <w:sz w:val="21"/>
          <w:szCs w:val="21"/>
        </w:rPr>
      </w:pPr>
      <w:r>
        <w:rPr>
          <w:rFonts w:ascii="Arial" w:eastAsia="Arial" w:hAnsi="Arial" w:cs="Arial"/>
          <w:sz w:val="21"/>
          <w:szCs w:val="21"/>
        </w:rPr>
        <w:t xml:space="preserve">Simon Maljevac </w:t>
      </w:r>
    </w:p>
    <w:p>
      <w:pPr>
        <w:ind w:left="0" w:right="0"/>
        <w:rPr>
          <w:rFonts w:ascii="Arial" w:eastAsia="Arial" w:hAnsi="Arial" w:cs="Arial"/>
        </w:rPr>
      </w:pPr>
      <w:r>
        <w:rPr>
          <w:rFonts w:ascii="Arial" w:eastAsia="Arial" w:hAnsi="Arial" w:cs="Arial"/>
        </w:rPr>
        <w:t xml:space="preserve">minister </w:t>
      </w:r>
    </w:p>
    <w:p>
      <w:pPr>
        <w:ind w:left="0" w:right="0"/>
        <w:rPr>
          <w:rFonts w:ascii="Arial" w:eastAsia="Arial" w:hAnsi="Arial" w:cs="Arial"/>
        </w:rPr>
      </w:pPr>
      <w:r>
        <w:rPr>
          <w:rFonts w:ascii="Arial" w:eastAsia="Arial" w:hAnsi="Arial" w:cs="Arial"/>
        </w:rPr>
        <w:t xml:space="preserve">za solidarno prihodnost </w:t>
      </w:r>
    </w:p>
    <w:p>
      <w:pPr>
        <w:pStyle w:val="podpisnik"/>
        <w:spacing w:before="210" w:after="210"/>
        <w:ind w:left="5669" w:right="0"/>
        <w:rPr>
          <w:rFonts w:ascii="Arial" w:eastAsia="Arial" w:hAnsi="Arial" w:cs="Arial"/>
          <w:sz w:val="21"/>
          <w:szCs w:val="21"/>
        </w:rPr>
      </w:pPr>
      <w:r>
        <w:rPr>
          <w:rFonts w:ascii="Arial" w:eastAsia="Arial" w:hAnsi="Arial" w:cs="Arial"/>
          <w:sz w:val="21"/>
          <w:szCs w:val="21"/>
        </w:rPr>
        <w:t xml:space="preserve">Soglašam! </w:t>
      </w:r>
    </w:p>
    <w:p>
      <w:pPr>
        <w:ind w:left="0" w:right="0"/>
        <w:rPr>
          <w:rFonts w:ascii="Arial" w:eastAsia="Arial" w:hAnsi="Arial" w:cs="Arial"/>
        </w:rPr>
      </w:pPr>
      <w:r>
        <w:rPr>
          <w:rFonts w:ascii="Arial" w:eastAsia="Arial" w:hAnsi="Arial" w:cs="Arial"/>
        </w:rPr>
        <w:t xml:space="preserve">Dr. Valentina Prevolnik Rupel </w:t>
      </w:r>
    </w:p>
    <w:p>
      <w:pPr>
        <w:ind w:left="0" w:right="0"/>
        <w:rPr>
          <w:rFonts w:ascii="Arial" w:eastAsia="Arial" w:hAnsi="Arial" w:cs="Arial"/>
        </w:rPr>
      </w:pPr>
      <w:r>
        <w:rPr>
          <w:rFonts w:ascii="Arial" w:eastAsia="Arial" w:hAnsi="Arial" w:cs="Arial"/>
        </w:rPr>
        <w:t xml:space="preserve">ministrica </w:t>
      </w:r>
    </w:p>
    <w:p>
      <w:pPr>
        <w:spacing w:after="0"/>
        <w:ind w:left="0" w:right="0"/>
        <w:rPr>
          <w:rFonts w:ascii="Arial" w:eastAsia="Arial" w:hAnsi="Arial" w:cs="Arial"/>
        </w:rPr>
      </w:pPr>
      <w:r>
        <w:rPr>
          <w:rFonts w:ascii="Arial" w:eastAsia="Arial" w:hAnsi="Arial" w:cs="Arial"/>
        </w:rPr>
        <w:t xml:space="preserve">za zdravje </w:t>
      </w:r>
    </w:p>
    <w:p w:rsidR="00A77B3E"/>
    <w:sectPr>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ainText">
    <w:name w:val="mainText"/>
    <w:basedOn w:val="Normal"/>
  </w:style>
  <w:style w:type="paragraph" w:customStyle="1" w:styleId="zamik">
    <w:name w:val="zamik"/>
    <w:basedOn w:val="Normal"/>
    <w:pPr>
      <w:ind w:firstLine="1021"/>
    </w:pPr>
  </w:style>
  <w:style w:type="paragraph" w:customStyle="1" w:styleId="center">
    <w:name w:val="center"/>
    <w:basedOn w:val="Normal"/>
    <w:pPr>
      <w:jc w:val="center"/>
    </w:pPr>
  </w:style>
  <w:style w:type="paragraph" w:customStyle="1" w:styleId="alineazaodstavkom">
    <w:name w:val="alinea_za_odstavkom"/>
    <w:basedOn w:val="Normal"/>
    <w:pPr>
      <w:ind w:hanging="425"/>
      <w:jc w:val="both"/>
    </w:pPr>
  </w:style>
  <w:style w:type="paragraph" w:customStyle="1" w:styleId="evidencnastevilka">
    <w:name w:val="evidencna_stevilka"/>
    <w:basedOn w:val="Normal"/>
    <w:pPr>
      <w:jc w:val="both"/>
    </w:pPr>
  </w:style>
  <w:style w:type="paragraph" w:customStyle="1" w:styleId="podpisnik">
    <w:name w:val="podpisnik"/>
    <w:basedOn w:val="Normal"/>
    <w:pPr>
      <w:pBdr>
        <w:top w:val="none" w:sz="0" w:space="24" w:color="auto"/>
      </w:pBdr>
      <w:jc w:val="center"/>
    </w:pPr>
  </w:style>
  <w:style w:type="paragraph" w:customStyle="1" w:styleId="p">
    <w:name w:val="p"/>
    <w:basedOn w:val="Normal"/>
    <w:rPr>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PRAV15312 NPB0</dc:title>
  <cp:revision>1</cp:revision>
</cp:coreProperties>
</file>