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694C" w14:textId="381EA3DF" w:rsidR="00CA269C" w:rsidRPr="00CB6E9B" w:rsidRDefault="00FF5DE6" w:rsidP="00CA269C">
      <w:pPr>
        <w:jc w:val="center"/>
        <w:rPr>
          <w:rFonts w:ascii="Arial" w:hAnsi="Arial" w:cs="Arial"/>
          <w:b/>
          <w:bCs/>
          <w:sz w:val="20"/>
          <w:szCs w:val="20"/>
        </w:rPr>
      </w:pPr>
      <w:r w:rsidRPr="00CB6E9B">
        <w:rPr>
          <w:rFonts w:ascii="Arial" w:hAnsi="Arial" w:cs="Arial"/>
          <w:b/>
          <w:bCs/>
          <w:sz w:val="20"/>
          <w:szCs w:val="20"/>
        </w:rPr>
        <w:t xml:space="preserve">Javni razpis za invalidska podjetja in zaposlitvene centre s svetovalci za uvajanje prožnejših načinov dela, prilagojenih potrebam invalidov </w:t>
      </w:r>
    </w:p>
    <w:p w14:paraId="2217C749" w14:textId="0E00945B" w:rsidR="000F4209" w:rsidRDefault="000F4209" w:rsidP="002E2A35">
      <w:pPr>
        <w:jc w:val="center"/>
        <w:rPr>
          <w:rFonts w:ascii="Arial" w:hAnsi="Arial" w:cs="Arial"/>
          <w:b/>
          <w:bCs/>
          <w:sz w:val="20"/>
          <w:szCs w:val="20"/>
        </w:rPr>
      </w:pPr>
      <w:r>
        <w:rPr>
          <w:rFonts w:ascii="Arial" w:hAnsi="Arial" w:cs="Arial"/>
          <w:b/>
          <w:bCs/>
          <w:sz w:val="20"/>
          <w:szCs w:val="20"/>
        </w:rPr>
        <w:t xml:space="preserve">Odgovori na vprašanja </w:t>
      </w:r>
      <w:r w:rsidR="00606816">
        <w:rPr>
          <w:rFonts w:ascii="Arial" w:hAnsi="Arial" w:cs="Arial"/>
          <w:b/>
          <w:bCs/>
          <w:sz w:val="20"/>
          <w:szCs w:val="20"/>
        </w:rPr>
        <w:t>4</w:t>
      </w:r>
      <w:r>
        <w:rPr>
          <w:rFonts w:ascii="Arial" w:hAnsi="Arial" w:cs="Arial"/>
          <w:b/>
          <w:bCs/>
          <w:sz w:val="20"/>
          <w:szCs w:val="20"/>
        </w:rPr>
        <w:t xml:space="preserve"> (prejeti od </w:t>
      </w:r>
      <w:r w:rsidR="00A55BDA">
        <w:rPr>
          <w:rFonts w:ascii="Arial" w:hAnsi="Arial" w:cs="Arial"/>
          <w:b/>
          <w:bCs/>
          <w:sz w:val="20"/>
          <w:szCs w:val="20"/>
        </w:rPr>
        <w:t>19</w:t>
      </w:r>
      <w:r>
        <w:rPr>
          <w:rFonts w:ascii="Arial" w:hAnsi="Arial" w:cs="Arial"/>
          <w:b/>
          <w:bCs/>
          <w:sz w:val="20"/>
          <w:szCs w:val="20"/>
        </w:rPr>
        <w:t>. 1</w:t>
      </w:r>
      <w:r w:rsidR="00A55BDA">
        <w:rPr>
          <w:rFonts w:ascii="Arial" w:hAnsi="Arial" w:cs="Arial"/>
          <w:b/>
          <w:bCs/>
          <w:sz w:val="20"/>
          <w:szCs w:val="20"/>
        </w:rPr>
        <w:t>2</w:t>
      </w:r>
      <w:r>
        <w:rPr>
          <w:rFonts w:ascii="Arial" w:hAnsi="Arial" w:cs="Arial"/>
          <w:b/>
          <w:bCs/>
          <w:sz w:val="20"/>
          <w:szCs w:val="20"/>
        </w:rPr>
        <w:t>. 2023</w:t>
      </w:r>
      <w:r w:rsidR="00606816">
        <w:rPr>
          <w:rFonts w:ascii="Arial" w:hAnsi="Arial" w:cs="Arial"/>
          <w:b/>
          <w:bCs/>
          <w:sz w:val="20"/>
          <w:szCs w:val="20"/>
        </w:rPr>
        <w:t xml:space="preserve"> do 17. 1. 2024</w:t>
      </w:r>
      <w:r>
        <w:rPr>
          <w:rFonts w:ascii="Arial" w:hAnsi="Arial" w:cs="Arial"/>
          <w:b/>
          <w:bCs/>
          <w:sz w:val="20"/>
          <w:szCs w:val="20"/>
        </w:rPr>
        <w:t>)</w:t>
      </w:r>
    </w:p>
    <w:p w14:paraId="5B5846A3" w14:textId="77777777" w:rsidR="00B3465A" w:rsidRPr="00CB6E9B" w:rsidRDefault="00B3465A" w:rsidP="00114A74">
      <w:pPr>
        <w:rPr>
          <w:rFonts w:ascii="Arial" w:hAnsi="Arial" w:cs="Arial"/>
          <w:sz w:val="20"/>
          <w:szCs w:val="20"/>
        </w:rPr>
      </w:pPr>
    </w:p>
    <w:p w14:paraId="6891FFF8" w14:textId="14AC2E9F" w:rsidR="00114A74" w:rsidRPr="00CB6E9B" w:rsidRDefault="00974AF3" w:rsidP="00606816">
      <w:pPr>
        <w:pStyle w:val="Odstavekseznama"/>
        <w:numPr>
          <w:ilvl w:val="0"/>
          <w:numId w:val="2"/>
        </w:numPr>
        <w:spacing w:after="0" w:line="260" w:lineRule="exact"/>
        <w:jc w:val="both"/>
        <w:rPr>
          <w:rFonts w:ascii="Arial" w:hAnsi="Arial" w:cs="Arial"/>
          <w:b/>
          <w:bCs/>
          <w:sz w:val="20"/>
          <w:szCs w:val="20"/>
        </w:rPr>
      </w:pPr>
      <w:r>
        <w:rPr>
          <w:rFonts w:ascii="Arial" w:hAnsi="Arial" w:cs="Arial"/>
          <w:b/>
          <w:bCs/>
          <w:color w:val="000000"/>
          <w:sz w:val="20"/>
          <w:szCs w:val="20"/>
        </w:rPr>
        <w:t xml:space="preserve">Pojasnilo </w:t>
      </w:r>
      <w:r w:rsidR="0005023B">
        <w:rPr>
          <w:rFonts w:ascii="Arial" w:hAnsi="Arial" w:cs="Arial"/>
          <w:b/>
          <w:bCs/>
          <w:color w:val="000000"/>
          <w:sz w:val="20"/>
          <w:szCs w:val="20"/>
        </w:rPr>
        <w:t xml:space="preserve">glede </w:t>
      </w:r>
      <w:r w:rsidR="00972120">
        <w:rPr>
          <w:rFonts w:ascii="Arial" w:hAnsi="Arial" w:cs="Arial"/>
          <w:b/>
          <w:bCs/>
          <w:color w:val="000000"/>
          <w:sz w:val="20"/>
          <w:szCs w:val="20"/>
        </w:rPr>
        <w:t xml:space="preserve">zahtevka za plačilo </w:t>
      </w:r>
      <w:r w:rsidR="0005023B">
        <w:rPr>
          <w:rFonts w:ascii="Arial" w:hAnsi="Arial" w:cs="Arial"/>
          <w:b/>
          <w:bCs/>
          <w:color w:val="000000"/>
          <w:sz w:val="20"/>
          <w:szCs w:val="20"/>
        </w:rPr>
        <w:t>in DDV-ja</w:t>
      </w:r>
    </w:p>
    <w:p w14:paraId="00E571E8" w14:textId="3DE2AB0D" w:rsidR="00114A74" w:rsidRPr="0005023B" w:rsidRDefault="0005023B" w:rsidP="0005023B">
      <w:pPr>
        <w:spacing w:after="0" w:line="260" w:lineRule="exact"/>
        <w:ind w:left="709"/>
        <w:jc w:val="both"/>
        <w:rPr>
          <w:rFonts w:ascii="Arial" w:hAnsi="Arial" w:cs="Arial"/>
          <w:sz w:val="20"/>
          <w:szCs w:val="20"/>
        </w:rPr>
      </w:pPr>
      <w:r w:rsidRPr="0005023B">
        <w:rPr>
          <w:rFonts w:ascii="Arial" w:hAnsi="Arial" w:cs="Arial"/>
          <w:sz w:val="20"/>
          <w:szCs w:val="20"/>
        </w:rPr>
        <w:t xml:space="preserve">Ministrstvo (MDDSZ) bo na podlagi zahtevka za izplačilo projektnemu partnerju izvedlo povračilo nastalih ter plačanih stroškov, ki se bo </w:t>
      </w:r>
      <w:proofErr w:type="gramStart"/>
      <w:r w:rsidRPr="0005023B">
        <w:rPr>
          <w:rFonts w:ascii="Arial" w:hAnsi="Arial" w:cs="Arial"/>
          <w:sz w:val="20"/>
          <w:szCs w:val="20"/>
        </w:rPr>
        <w:t>nanašalo</w:t>
      </w:r>
      <w:proofErr w:type="gramEnd"/>
      <w:r w:rsidRPr="0005023B">
        <w:rPr>
          <w:rFonts w:ascii="Arial" w:hAnsi="Arial" w:cs="Arial"/>
          <w:sz w:val="20"/>
          <w:szCs w:val="20"/>
        </w:rPr>
        <w:t xml:space="preserve"> na zaključene/izvedene faze I in/ali izvedene faze II projekta, skladno s točko 5.3 javnega razpisa</w:t>
      </w:r>
      <w:r w:rsidR="00114A74" w:rsidRPr="0005023B">
        <w:rPr>
          <w:rFonts w:ascii="Arial" w:hAnsi="Arial" w:cs="Arial"/>
          <w:sz w:val="20"/>
          <w:szCs w:val="20"/>
        </w:rPr>
        <w:t>.</w:t>
      </w:r>
    </w:p>
    <w:p w14:paraId="1A9EC957" w14:textId="266C2033" w:rsidR="0005023B" w:rsidRPr="0005023B" w:rsidRDefault="0005023B" w:rsidP="0005023B">
      <w:pPr>
        <w:spacing w:after="0" w:line="260" w:lineRule="exact"/>
        <w:ind w:left="709"/>
        <w:jc w:val="both"/>
        <w:rPr>
          <w:rFonts w:ascii="Arial" w:hAnsi="Arial" w:cs="Arial"/>
          <w:sz w:val="20"/>
          <w:szCs w:val="20"/>
        </w:rPr>
      </w:pPr>
      <w:r w:rsidRPr="0005023B">
        <w:rPr>
          <w:rFonts w:ascii="Arial" w:hAnsi="Arial" w:cs="Arial"/>
          <w:sz w:val="20"/>
          <w:szCs w:val="20"/>
        </w:rPr>
        <w:t>Glede na navedeno plačilo ministrstva projektnemu partnerju ne predstavlja plačila kupcu ali naročniku za dobavljeno blago oziroma opravljeno storitev, ki bi bila predmet obdavčitve, temveč gre zgolj za povračilo stroškov/izdatkov projektnemu partnerju (t.</w:t>
      </w:r>
      <w:r w:rsidRPr="0005023B">
        <w:rPr>
          <w:rFonts w:ascii="Arial" w:hAnsi="Arial" w:cs="Arial"/>
          <w:sz w:val="20"/>
          <w:szCs w:val="20"/>
        </w:rPr>
        <w:t xml:space="preserve"> </w:t>
      </w:r>
      <w:r w:rsidRPr="0005023B">
        <w:rPr>
          <w:rFonts w:ascii="Arial" w:hAnsi="Arial" w:cs="Arial"/>
          <w:sz w:val="20"/>
          <w:szCs w:val="20"/>
        </w:rPr>
        <w:t>i. subvencija, dotacija)</w:t>
      </w:r>
      <w:r w:rsidRPr="0005023B">
        <w:rPr>
          <w:rFonts w:ascii="Arial" w:hAnsi="Arial" w:cs="Arial"/>
          <w:sz w:val="20"/>
          <w:szCs w:val="20"/>
        </w:rPr>
        <w:t>.</w:t>
      </w:r>
    </w:p>
    <w:p w14:paraId="5DF5B805" w14:textId="65D52568" w:rsidR="0005023B" w:rsidRPr="0005023B" w:rsidRDefault="0005023B" w:rsidP="0005023B">
      <w:pPr>
        <w:spacing w:after="0" w:line="260" w:lineRule="exact"/>
        <w:ind w:left="709"/>
        <w:jc w:val="both"/>
        <w:rPr>
          <w:rFonts w:ascii="Arial" w:hAnsi="Arial" w:cs="Arial"/>
          <w:sz w:val="20"/>
          <w:szCs w:val="20"/>
        </w:rPr>
      </w:pPr>
      <w:r w:rsidRPr="0005023B">
        <w:rPr>
          <w:rFonts w:ascii="Arial" w:hAnsi="Arial" w:cs="Arial"/>
          <w:sz w:val="20"/>
          <w:szCs w:val="20"/>
        </w:rPr>
        <w:t>Predmet obdavčitve v tem primeru so zgolj plačila projektnega partnerja izbranemu izvajalcu storitve. Projektni partner v tem primeru plača račun, z vključenim DDV, ki pa ga zaradi pravil javnega razpisa, ne dobi povrnjenega od ministrstva v okviru zahtevka za izplačilo (ker strošek DDV ni upravičen strošek)</w:t>
      </w:r>
      <w:r w:rsidRPr="0005023B">
        <w:rPr>
          <w:rFonts w:ascii="Arial" w:hAnsi="Arial" w:cs="Arial"/>
          <w:sz w:val="20"/>
          <w:szCs w:val="20"/>
        </w:rPr>
        <w:t>.</w:t>
      </w:r>
    </w:p>
    <w:p w14:paraId="19EEB060" w14:textId="77777777" w:rsidR="0005023B" w:rsidRPr="0005023B" w:rsidRDefault="0005023B" w:rsidP="0005023B">
      <w:pPr>
        <w:spacing w:after="0" w:line="260" w:lineRule="exact"/>
        <w:ind w:left="709"/>
        <w:jc w:val="both"/>
        <w:rPr>
          <w:rFonts w:ascii="Arial" w:hAnsi="Arial" w:cs="Arial"/>
          <w:sz w:val="20"/>
          <w:szCs w:val="20"/>
        </w:rPr>
      </w:pPr>
      <w:r w:rsidRPr="0005023B">
        <w:rPr>
          <w:rFonts w:ascii="Arial" w:hAnsi="Arial" w:cs="Arial"/>
          <w:sz w:val="20"/>
          <w:szCs w:val="20"/>
        </w:rPr>
        <w:t xml:space="preserve">Skladno z navedenim: </w:t>
      </w:r>
    </w:p>
    <w:p w14:paraId="74F11855" w14:textId="77777777" w:rsidR="0005023B" w:rsidRPr="0005023B" w:rsidRDefault="0005023B" w:rsidP="0005023B">
      <w:pPr>
        <w:numPr>
          <w:ilvl w:val="0"/>
          <w:numId w:val="7"/>
        </w:numPr>
        <w:spacing w:after="0" w:line="260" w:lineRule="exact"/>
        <w:ind w:left="993" w:hanging="283"/>
        <w:jc w:val="both"/>
        <w:rPr>
          <w:rFonts w:ascii="Arial" w:eastAsia="Times New Roman" w:hAnsi="Arial" w:cs="Arial"/>
          <w:sz w:val="20"/>
          <w:szCs w:val="20"/>
        </w:rPr>
      </w:pPr>
      <w:r w:rsidRPr="0005023B">
        <w:rPr>
          <w:rFonts w:ascii="Arial" w:eastAsia="Times New Roman" w:hAnsi="Arial" w:cs="Arial"/>
          <w:sz w:val="20"/>
          <w:szCs w:val="20"/>
        </w:rPr>
        <w:t xml:space="preserve">plačila oz. povračila projektnemu partnerju s strani ministrstva </w:t>
      </w:r>
      <w:r w:rsidRPr="0005023B">
        <w:rPr>
          <w:rFonts w:ascii="Arial" w:eastAsia="Times New Roman" w:hAnsi="Arial" w:cs="Arial"/>
          <w:b/>
          <w:bCs/>
          <w:sz w:val="20"/>
          <w:szCs w:val="20"/>
        </w:rPr>
        <w:t>niso</w:t>
      </w:r>
      <w:r w:rsidRPr="0005023B">
        <w:rPr>
          <w:rFonts w:ascii="Arial" w:eastAsia="Times New Roman" w:hAnsi="Arial" w:cs="Arial"/>
          <w:sz w:val="20"/>
          <w:szCs w:val="20"/>
        </w:rPr>
        <w:t xml:space="preserve"> obravnavana kot obdavčljiv promet z vidika davka na dodano vrednost, </w:t>
      </w:r>
    </w:p>
    <w:p w14:paraId="603F5D54" w14:textId="77777777" w:rsidR="0005023B" w:rsidRPr="0005023B" w:rsidRDefault="0005023B" w:rsidP="0005023B">
      <w:pPr>
        <w:numPr>
          <w:ilvl w:val="0"/>
          <w:numId w:val="7"/>
        </w:numPr>
        <w:spacing w:after="0" w:line="260" w:lineRule="exact"/>
        <w:ind w:left="993" w:hanging="283"/>
        <w:jc w:val="both"/>
        <w:rPr>
          <w:rFonts w:ascii="Arial" w:eastAsia="Times New Roman" w:hAnsi="Arial" w:cs="Arial"/>
          <w:sz w:val="20"/>
          <w:szCs w:val="20"/>
        </w:rPr>
      </w:pPr>
      <w:r w:rsidRPr="0005023B">
        <w:rPr>
          <w:rFonts w:ascii="Arial" w:eastAsia="Times New Roman" w:hAnsi="Arial" w:cs="Arial"/>
          <w:sz w:val="20"/>
          <w:szCs w:val="20"/>
        </w:rPr>
        <w:t xml:space="preserve">plačila oz. povračila </w:t>
      </w:r>
      <w:r w:rsidRPr="0005023B">
        <w:rPr>
          <w:rFonts w:ascii="Arial" w:eastAsia="Times New Roman" w:hAnsi="Arial" w:cs="Arial"/>
          <w:b/>
          <w:bCs/>
          <w:sz w:val="20"/>
          <w:szCs w:val="20"/>
        </w:rPr>
        <w:t>se</w:t>
      </w:r>
      <w:r w:rsidRPr="0005023B">
        <w:rPr>
          <w:rFonts w:ascii="Arial" w:eastAsia="Times New Roman" w:hAnsi="Arial" w:cs="Arial"/>
          <w:sz w:val="20"/>
          <w:szCs w:val="20"/>
        </w:rPr>
        <w:t xml:space="preserve"> </w:t>
      </w:r>
      <w:proofErr w:type="gramStart"/>
      <w:r w:rsidRPr="0005023B">
        <w:rPr>
          <w:rFonts w:ascii="Arial" w:eastAsia="Times New Roman" w:hAnsi="Arial" w:cs="Arial"/>
          <w:sz w:val="20"/>
          <w:szCs w:val="20"/>
        </w:rPr>
        <w:t>smatrajo</w:t>
      </w:r>
      <w:proofErr w:type="gramEnd"/>
      <w:r w:rsidRPr="0005023B">
        <w:rPr>
          <w:rFonts w:ascii="Arial" w:eastAsia="Times New Roman" w:hAnsi="Arial" w:cs="Arial"/>
          <w:sz w:val="20"/>
          <w:szCs w:val="20"/>
        </w:rPr>
        <w:t xml:space="preserve"> za t. i. prave subvencije, ki ne štejejo za dobavo blaga, storitev v skladu z ZDDV-1, </w:t>
      </w:r>
    </w:p>
    <w:p w14:paraId="79EC4172" w14:textId="3FF6664F" w:rsidR="0005023B" w:rsidRPr="0005023B" w:rsidRDefault="0005023B" w:rsidP="0005023B">
      <w:pPr>
        <w:numPr>
          <w:ilvl w:val="0"/>
          <w:numId w:val="7"/>
        </w:numPr>
        <w:spacing w:after="0" w:line="260" w:lineRule="exact"/>
        <w:ind w:left="993" w:hanging="283"/>
        <w:jc w:val="both"/>
        <w:rPr>
          <w:rFonts w:ascii="Arial" w:eastAsia="Times New Roman" w:hAnsi="Arial" w:cs="Arial"/>
          <w:sz w:val="20"/>
          <w:szCs w:val="20"/>
        </w:rPr>
      </w:pPr>
      <w:r w:rsidRPr="0005023B">
        <w:rPr>
          <w:rFonts w:ascii="Arial" w:eastAsia="Times New Roman" w:hAnsi="Arial" w:cs="Arial"/>
          <w:sz w:val="20"/>
          <w:szCs w:val="20"/>
        </w:rPr>
        <w:t>projektni partner je zavezan za plačilo DDV izključno v odnosu do izbranega zunanjega izvajalca, ob plačilu računa za izvedeno storitev – oz. se plačilo DDV izvede</w:t>
      </w:r>
      <w:proofErr w:type="gramStart"/>
      <w:r w:rsidRPr="0005023B">
        <w:rPr>
          <w:rFonts w:ascii="Arial" w:eastAsia="Times New Roman" w:hAnsi="Arial" w:cs="Arial"/>
          <w:sz w:val="20"/>
          <w:szCs w:val="20"/>
        </w:rPr>
        <w:t xml:space="preserve"> v</w:t>
      </w:r>
      <w:proofErr w:type="gramEnd"/>
      <w:r w:rsidRPr="0005023B">
        <w:rPr>
          <w:rFonts w:ascii="Arial" w:eastAsia="Times New Roman" w:hAnsi="Arial" w:cs="Arial"/>
          <w:sz w:val="20"/>
          <w:szCs w:val="20"/>
        </w:rPr>
        <w:t xml:space="preserve"> kolikor je projektni partner davčni zavezanec ali se mu ta promet všteva v obdavčljivi promet z vidika ZDDV-1 (prag 50.000 €),</w:t>
      </w:r>
    </w:p>
    <w:p w14:paraId="6ABFCAF9" w14:textId="6C3E3FEB" w:rsidR="0005023B" w:rsidRPr="0005023B" w:rsidRDefault="0005023B" w:rsidP="0005023B">
      <w:pPr>
        <w:numPr>
          <w:ilvl w:val="0"/>
          <w:numId w:val="7"/>
        </w:numPr>
        <w:spacing w:after="0" w:line="260" w:lineRule="exact"/>
        <w:ind w:left="993" w:hanging="283"/>
        <w:jc w:val="both"/>
        <w:rPr>
          <w:rFonts w:ascii="Arial" w:eastAsia="Times New Roman" w:hAnsi="Arial" w:cs="Arial"/>
          <w:sz w:val="20"/>
          <w:szCs w:val="20"/>
        </w:rPr>
      </w:pPr>
      <w:r w:rsidRPr="0005023B">
        <w:rPr>
          <w:rFonts w:ascii="Arial" w:eastAsia="Times New Roman" w:hAnsi="Arial" w:cs="Arial"/>
          <w:sz w:val="20"/>
          <w:szCs w:val="20"/>
        </w:rPr>
        <w:t>projektni partner na zahtevku za izplačilo ne uveljavlja povračila stroška/izdatka stroška DDV (</w:t>
      </w:r>
      <w:proofErr w:type="gramStart"/>
      <w:r w:rsidRPr="0005023B">
        <w:rPr>
          <w:rFonts w:ascii="Arial" w:eastAsia="Times New Roman" w:hAnsi="Arial" w:cs="Arial"/>
          <w:sz w:val="20"/>
          <w:szCs w:val="20"/>
        </w:rPr>
        <w:t>v kolikor</w:t>
      </w:r>
      <w:proofErr w:type="gramEnd"/>
      <w:r w:rsidRPr="0005023B">
        <w:rPr>
          <w:rFonts w:ascii="Arial" w:eastAsia="Times New Roman" w:hAnsi="Arial" w:cs="Arial"/>
          <w:sz w:val="20"/>
          <w:szCs w:val="20"/>
        </w:rPr>
        <w:t xml:space="preserve"> mu je ta strošek nastal), ker ni upravičen strošek javnega razpisa</w:t>
      </w:r>
      <w:r w:rsidRPr="0005023B">
        <w:rPr>
          <w:rFonts w:ascii="Arial" w:eastAsia="Times New Roman" w:hAnsi="Arial" w:cs="Arial"/>
          <w:sz w:val="20"/>
          <w:szCs w:val="20"/>
        </w:rPr>
        <w:t>.</w:t>
      </w:r>
    </w:p>
    <w:p w14:paraId="3D08E39E" w14:textId="62AE0D54" w:rsidR="0005023B" w:rsidRDefault="0005023B" w:rsidP="0005023B">
      <w:pPr>
        <w:spacing w:after="0" w:line="260" w:lineRule="exact"/>
        <w:ind w:left="658"/>
        <w:jc w:val="both"/>
        <w:rPr>
          <w:rFonts w:ascii="Arial" w:hAnsi="Arial" w:cs="Arial"/>
          <w:sz w:val="20"/>
          <w:szCs w:val="20"/>
        </w:rPr>
      </w:pPr>
    </w:p>
    <w:p w14:paraId="2D3BEB93" w14:textId="18706299" w:rsidR="00114A74" w:rsidRPr="00617A7D" w:rsidRDefault="00E32A9C" w:rsidP="00C42299">
      <w:pPr>
        <w:pStyle w:val="Odstavekseznama"/>
        <w:numPr>
          <w:ilvl w:val="0"/>
          <w:numId w:val="2"/>
        </w:numPr>
        <w:spacing w:after="0" w:line="260" w:lineRule="exact"/>
        <w:jc w:val="both"/>
        <w:rPr>
          <w:rFonts w:ascii="Arial" w:hAnsi="Arial" w:cs="Arial"/>
          <w:b/>
          <w:bCs/>
          <w:sz w:val="20"/>
          <w:szCs w:val="20"/>
        </w:rPr>
      </w:pPr>
      <w:r w:rsidRPr="00617A7D">
        <w:rPr>
          <w:rFonts w:ascii="Arial" w:hAnsi="Arial" w:cs="Arial"/>
          <w:b/>
          <w:bCs/>
          <w:sz w:val="20"/>
          <w:szCs w:val="20"/>
        </w:rPr>
        <w:t xml:space="preserve">Ali lahko iz prijavnega obrazca izbrišemo partnerja </w:t>
      </w:r>
      <w:r w:rsidRPr="00617A7D">
        <w:rPr>
          <w:rFonts w:ascii="Arial" w:hAnsi="Arial" w:cs="Arial"/>
          <w:b/>
          <w:bCs/>
          <w:sz w:val="20"/>
          <w:szCs w:val="20"/>
        </w:rPr>
        <w:t>2</w:t>
      </w:r>
      <w:r w:rsidRPr="00617A7D">
        <w:rPr>
          <w:rFonts w:ascii="Arial" w:hAnsi="Arial" w:cs="Arial"/>
          <w:b/>
          <w:bCs/>
          <w:sz w:val="20"/>
          <w:szCs w:val="20"/>
        </w:rPr>
        <w:t>, če imamo samo enega partnerja</w:t>
      </w:r>
      <w:r w:rsidR="00114A74" w:rsidRPr="00617A7D">
        <w:rPr>
          <w:rFonts w:ascii="Arial" w:hAnsi="Arial" w:cs="Arial"/>
          <w:b/>
          <w:bCs/>
          <w:color w:val="000000"/>
          <w:sz w:val="20"/>
          <w:szCs w:val="20"/>
        </w:rPr>
        <w:t>?</w:t>
      </w:r>
    </w:p>
    <w:p w14:paraId="7E1B38A3" w14:textId="347122AF" w:rsidR="00A55BDA" w:rsidRPr="00617A7D" w:rsidRDefault="00E32A9C" w:rsidP="00C42299">
      <w:pPr>
        <w:autoSpaceDE w:val="0"/>
        <w:autoSpaceDN w:val="0"/>
        <w:adjustRightInd w:val="0"/>
        <w:spacing w:after="0" w:line="260" w:lineRule="exact"/>
        <w:ind w:left="658"/>
        <w:jc w:val="both"/>
        <w:rPr>
          <w:rFonts w:ascii="Arial" w:hAnsi="Arial" w:cs="Arial"/>
          <w:sz w:val="20"/>
          <w:szCs w:val="20"/>
        </w:rPr>
      </w:pPr>
      <w:r w:rsidRPr="00617A7D">
        <w:rPr>
          <w:rFonts w:ascii="Arial" w:hAnsi="Arial" w:cs="Arial"/>
          <w:sz w:val="20"/>
          <w:szCs w:val="20"/>
        </w:rPr>
        <w:t>Podvajanje osnovnih podatkov o podjetju (naziv, pravna oblika, naslov, odgovorna oseba, dejanski lastnik, matična in davčna številka, naziv banke) seveda ni potrebno v primeru, da obe fazi izvaja en projektni partner. Ostali podatki se nanašajo na referenčne projekte, ki jih je treba navesti za vsako fazo posebej</w:t>
      </w:r>
      <w:r w:rsidR="00A55BDA" w:rsidRPr="00617A7D">
        <w:rPr>
          <w:rFonts w:ascii="Arial" w:hAnsi="Arial" w:cs="Arial"/>
          <w:sz w:val="20"/>
          <w:szCs w:val="20"/>
        </w:rPr>
        <w:t>.</w:t>
      </w:r>
    </w:p>
    <w:p w14:paraId="28D057E8" w14:textId="1BA9AE90" w:rsidR="009739CA" w:rsidRPr="00617A7D" w:rsidRDefault="009739CA" w:rsidP="00C42299">
      <w:pPr>
        <w:autoSpaceDE w:val="0"/>
        <w:autoSpaceDN w:val="0"/>
        <w:adjustRightInd w:val="0"/>
        <w:spacing w:after="0" w:line="260" w:lineRule="exact"/>
        <w:jc w:val="both"/>
        <w:rPr>
          <w:rFonts w:ascii="Arial" w:hAnsi="Arial" w:cs="Arial"/>
          <w:color w:val="000000"/>
          <w:sz w:val="20"/>
          <w:szCs w:val="20"/>
        </w:rPr>
      </w:pPr>
    </w:p>
    <w:p w14:paraId="12F3349A" w14:textId="77777777" w:rsidR="0005023B" w:rsidRPr="00617A7D" w:rsidRDefault="0005023B" w:rsidP="0005023B">
      <w:pPr>
        <w:pStyle w:val="Odstavekseznama"/>
        <w:numPr>
          <w:ilvl w:val="0"/>
          <w:numId w:val="2"/>
        </w:numPr>
        <w:spacing w:after="0" w:line="260" w:lineRule="exact"/>
        <w:jc w:val="both"/>
        <w:rPr>
          <w:rFonts w:ascii="Arial" w:hAnsi="Arial" w:cs="Arial"/>
          <w:b/>
          <w:bCs/>
          <w:sz w:val="20"/>
          <w:szCs w:val="20"/>
        </w:rPr>
      </w:pPr>
      <w:r w:rsidRPr="00617A7D">
        <w:rPr>
          <w:rFonts w:ascii="Arial" w:hAnsi="Arial" w:cs="Arial"/>
          <w:b/>
          <w:bCs/>
          <w:color w:val="000000"/>
          <w:sz w:val="20"/>
          <w:szCs w:val="20"/>
        </w:rPr>
        <w:t>So lahko predložene reference strokovnjakov starejše od 5 let</w:t>
      </w:r>
      <w:r w:rsidRPr="00617A7D">
        <w:rPr>
          <w:rFonts w:ascii="Arial" w:hAnsi="Arial" w:cs="Arial"/>
          <w:b/>
          <w:bCs/>
          <w:sz w:val="20"/>
          <w:szCs w:val="20"/>
        </w:rPr>
        <w:t>?</w:t>
      </w:r>
    </w:p>
    <w:p w14:paraId="1735BAA2" w14:textId="77777777" w:rsidR="0005023B" w:rsidRPr="00617A7D" w:rsidRDefault="0005023B" w:rsidP="0005023B">
      <w:pPr>
        <w:spacing w:after="0" w:line="260" w:lineRule="exact"/>
        <w:ind w:left="658"/>
        <w:jc w:val="both"/>
        <w:rPr>
          <w:rFonts w:ascii="Arial" w:hAnsi="Arial" w:cs="Arial"/>
          <w:sz w:val="20"/>
          <w:szCs w:val="20"/>
        </w:rPr>
      </w:pPr>
      <w:r w:rsidRPr="00617A7D">
        <w:rPr>
          <w:rFonts w:ascii="Arial" w:hAnsi="Arial" w:cs="Arial"/>
          <w:sz w:val="20"/>
          <w:szCs w:val="20"/>
        </w:rPr>
        <w:t>Reference projektnega partnerja na področju aktivnosti faze II, ki so starejše od 5 let, za ta javni razpis ne štejejo kot relevantne. Glej 6.3 Specifični pogoji za prijavitelje in projektne partnerje (sklop 1 in sklop 2), točka 2.</w:t>
      </w:r>
    </w:p>
    <w:p w14:paraId="7FD80091" w14:textId="77777777" w:rsidR="005E109D" w:rsidRPr="00617A7D" w:rsidRDefault="005E109D" w:rsidP="005E109D">
      <w:pPr>
        <w:autoSpaceDE w:val="0"/>
        <w:autoSpaceDN w:val="0"/>
        <w:adjustRightInd w:val="0"/>
        <w:spacing w:after="0" w:line="260" w:lineRule="exact"/>
        <w:jc w:val="both"/>
        <w:rPr>
          <w:rFonts w:ascii="Arial" w:hAnsi="Arial" w:cs="Arial"/>
          <w:color w:val="000000"/>
          <w:sz w:val="20"/>
          <w:szCs w:val="20"/>
        </w:rPr>
      </w:pPr>
    </w:p>
    <w:p w14:paraId="1C9AB184" w14:textId="394790E3" w:rsidR="005E109D" w:rsidRPr="005E109D" w:rsidRDefault="005E109D" w:rsidP="005E109D">
      <w:pPr>
        <w:pStyle w:val="Odstavekseznama"/>
        <w:numPr>
          <w:ilvl w:val="0"/>
          <w:numId w:val="2"/>
        </w:numPr>
        <w:spacing w:after="0" w:line="260" w:lineRule="exact"/>
        <w:jc w:val="both"/>
        <w:rPr>
          <w:rFonts w:ascii="Arial" w:hAnsi="Arial" w:cs="Arial"/>
          <w:b/>
          <w:bCs/>
          <w:sz w:val="20"/>
          <w:szCs w:val="20"/>
        </w:rPr>
      </w:pPr>
      <w:r w:rsidRPr="005E109D">
        <w:rPr>
          <w:rFonts w:ascii="Arial" w:hAnsi="Arial" w:cs="Arial"/>
          <w:b/>
          <w:bCs/>
          <w:color w:val="000000"/>
          <w:sz w:val="20"/>
          <w:szCs w:val="20"/>
        </w:rPr>
        <w:t xml:space="preserve">So vodstveni položaji v različnih organizacijah ustrezna referenca </w:t>
      </w:r>
      <w:r>
        <w:rPr>
          <w:rFonts w:ascii="Arial" w:hAnsi="Arial" w:cs="Arial"/>
          <w:b/>
          <w:bCs/>
          <w:color w:val="000000"/>
          <w:sz w:val="20"/>
          <w:szCs w:val="20"/>
        </w:rPr>
        <w:t>strokovnjakov</w:t>
      </w:r>
      <w:r w:rsidRPr="005E109D">
        <w:rPr>
          <w:rFonts w:ascii="Arial" w:hAnsi="Arial" w:cs="Arial"/>
          <w:b/>
          <w:bCs/>
          <w:sz w:val="20"/>
          <w:szCs w:val="20"/>
        </w:rPr>
        <w:t>?</w:t>
      </w:r>
    </w:p>
    <w:p w14:paraId="7598CBB9" w14:textId="2DA1C2DF" w:rsidR="005E109D" w:rsidRPr="005E109D" w:rsidRDefault="005E109D" w:rsidP="005E109D">
      <w:pPr>
        <w:spacing w:after="0" w:line="260" w:lineRule="exact"/>
        <w:ind w:left="658"/>
        <w:jc w:val="both"/>
        <w:rPr>
          <w:rFonts w:ascii="Arial" w:hAnsi="Arial" w:cs="Arial"/>
          <w:sz w:val="20"/>
          <w:szCs w:val="20"/>
        </w:rPr>
      </w:pPr>
      <w:r w:rsidRPr="005E109D">
        <w:rPr>
          <w:rFonts w:ascii="Arial" w:hAnsi="Arial" w:cs="Arial"/>
          <w:sz w:val="20"/>
          <w:szCs w:val="20"/>
        </w:rPr>
        <w:t>Reference strokovnjakov, ki izvajajo projektne aktivnosti</w:t>
      </w:r>
      <w:proofErr w:type="gramStart"/>
      <w:r w:rsidRPr="005E109D">
        <w:rPr>
          <w:rFonts w:ascii="Arial" w:hAnsi="Arial" w:cs="Arial"/>
          <w:sz w:val="20"/>
          <w:szCs w:val="20"/>
        </w:rPr>
        <w:t xml:space="preserve"> morajo</w:t>
      </w:r>
      <w:proofErr w:type="gramEnd"/>
      <w:r w:rsidRPr="005E109D">
        <w:rPr>
          <w:rFonts w:ascii="Arial" w:hAnsi="Arial" w:cs="Arial"/>
          <w:sz w:val="20"/>
          <w:szCs w:val="20"/>
        </w:rPr>
        <w:t xml:space="preserve"> izkazovati, da so bili vključeni v delo, na katero se glasi referenca. </w:t>
      </w:r>
      <w:proofErr w:type="gramStart"/>
      <w:r>
        <w:rPr>
          <w:rFonts w:ascii="Arial" w:hAnsi="Arial" w:cs="Arial"/>
          <w:sz w:val="20"/>
          <w:szCs w:val="20"/>
        </w:rPr>
        <w:t>V</w:t>
      </w:r>
      <w:r w:rsidRPr="005E109D">
        <w:rPr>
          <w:rFonts w:ascii="Arial" w:hAnsi="Arial" w:cs="Arial"/>
          <w:sz w:val="20"/>
          <w:szCs w:val="20"/>
        </w:rPr>
        <w:t>odstveni položaj v organizaciji</w:t>
      </w:r>
      <w:proofErr w:type="gramEnd"/>
      <w:r w:rsidRPr="005E109D">
        <w:rPr>
          <w:rFonts w:ascii="Arial" w:hAnsi="Arial" w:cs="Arial"/>
          <w:sz w:val="20"/>
          <w:szCs w:val="20"/>
        </w:rPr>
        <w:t xml:space="preserve"> ni zagotovilo za vključenost v delo oziroma strokovnost posameznika za vsa področja dela organizacije.</w:t>
      </w:r>
    </w:p>
    <w:p w14:paraId="01CC6FF2" w14:textId="14AA6BC2" w:rsidR="005E109D" w:rsidRDefault="005E109D" w:rsidP="005E109D">
      <w:pPr>
        <w:pStyle w:val="Odstavekseznama"/>
        <w:spacing w:after="0" w:line="260" w:lineRule="exact"/>
        <w:ind w:left="644"/>
        <w:jc w:val="both"/>
        <w:rPr>
          <w:rFonts w:ascii="Arial" w:hAnsi="Arial" w:cs="Arial"/>
          <w:b/>
          <w:bCs/>
          <w:color w:val="000000"/>
          <w:sz w:val="20"/>
          <w:szCs w:val="20"/>
        </w:rPr>
      </w:pPr>
    </w:p>
    <w:p w14:paraId="4B70B223" w14:textId="0A559AEE" w:rsidR="005E109D" w:rsidRPr="003E631E" w:rsidRDefault="005E109D" w:rsidP="00472C79">
      <w:pPr>
        <w:pStyle w:val="Odstavekseznama"/>
        <w:numPr>
          <w:ilvl w:val="0"/>
          <w:numId w:val="2"/>
        </w:numPr>
        <w:autoSpaceDE w:val="0"/>
        <w:autoSpaceDN w:val="0"/>
        <w:adjustRightInd w:val="0"/>
        <w:spacing w:after="0" w:line="260" w:lineRule="exact"/>
        <w:jc w:val="both"/>
        <w:rPr>
          <w:rFonts w:ascii="Arial" w:hAnsi="Arial" w:cs="Arial"/>
          <w:b/>
          <w:bCs/>
          <w:sz w:val="20"/>
          <w:szCs w:val="20"/>
        </w:rPr>
      </w:pPr>
      <w:r w:rsidRPr="003E631E">
        <w:rPr>
          <w:rFonts w:ascii="Arial" w:hAnsi="Arial" w:cs="Arial"/>
          <w:b/>
          <w:bCs/>
          <w:color w:val="000000"/>
          <w:sz w:val="20"/>
          <w:szCs w:val="20"/>
        </w:rPr>
        <w:t>P</w:t>
      </w:r>
      <w:r w:rsidRPr="003E631E">
        <w:rPr>
          <w:rFonts w:ascii="Arial" w:hAnsi="Arial" w:cs="Arial"/>
          <w:b/>
          <w:bCs/>
          <w:sz w:val="20"/>
          <w:szCs w:val="20"/>
        </w:rPr>
        <w:t xml:space="preserve">rojektnem partnerju, ki je samostojni podjetnik </w:t>
      </w:r>
      <w:r w:rsidRPr="003E631E">
        <w:rPr>
          <w:rFonts w:ascii="Arial" w:hAnsi="Arial" w:cs="Arial"/>
          <w:b/>
          <w:bCs/>
          <w:sz w:val="20"/>
          <w:szCs w:val="20"/>
        </w:rPr>
        <w:t>(</w:t>
      </w:r>
      <w:proofErr w:type="gramStart"/>
      <w:r w:rsidRPr="003E631E">
        <w:rPr>
          <w:rFonts w:ascii="Arial" w:hAnsi="Arial" w:cs="Arial"/>
          <w:b/>
          <w:bCs/>
          <w:sz w:val="20"/>
          <w:szCs w:val="20"/>
        </w:rPr>
        <w:t>s.</w:t>
      </w:r>
      <w:proofErr w:type="gramEnd"/>
      <w:r w:rsidRPr="003E631E">
        <w:rPr>
          <w:rFonts w:ascii="Arial" w:hAnsi="Arial" w:cs="Arial"/>
          <w:b/>
          <w:bCs/>
          <w:sz w:val="20"/>
          <w:szCs w:val="20"/>
        </w:rPr>
        <w:t>p.</w:t>
      </w:r>
      <w:r w:rsidRPr="003E631E">
        <w:rPr>
          <w:rFonts w:ascii="Arial" w:hAnsi="Arial" w:cs="Arial"/>
          <w:b/>
          <w:bCs/>
          <w:sz w:val="20"/>
          <w:szCs w:val="20"/>
        </w:rPr>
        <w:t>)</w:t>
      </w:r>
      <w:r w:rsidR="003E631E" w:rsidRPr="003E631E">
        <w:rPr>
          <w:rFonts w:ascii="Arial" w:hAnsi="Arial" w:cs="Arial"/>
          <w:b/>
          <w:bCs/>
          <w:sz w:val="20"/>
          <w:szCs w:val="20"/>
        </w:rPr>
        <w:t>, se</w:t>
      </w:r>
      <w:r w:rsidRPr="003E631E">
        <w:rPr>
          <w:rFonts w:ascii="Arial" w:hAnsi="Arial" w:cs="Arial"/>
          <w:b/>
          <w:bCs/>
          <w:sz w:val="20"/>
          <w:szCs w:val="20"/>
        </w:rPr>
        <w:t xml:space="preserve"> upošteva strošek po stroškovniku glede na SSE B v višini 84,17 EUR.</w:t>
      </w:r>
      <w:r w:rsidRPr="003E631E">
        <w:rPr>
          <w:rFonts w:ascii="Arial" w:hAnsi="Arial" w:cs="Arial"/>
          <w:b/>
          <w:bCs/>
          <w:sz w:val="20"/>
          <w:szCs w:val="20"/>
        </w:rPr>
        <w:t xml:space="preserve"> K</w:t>
      </w:r>
      <w:r w:rsidRPr="003E631E">
        <w:rPr>
          <w:rFonts w:ascii="Arial" w:hAnsi="Arial" w:cs="Arial"/>
          <w:b/>
          <w:bCs/>
          <w:sz w:val="20"/>
          <w:szCs w:val="20"/>
        </w:rPr>
        <w:t xml:space="preserve">ateri priznani strošek pa velja za zaposlene osebe pri </w:t>
      </w:r>
      <w:proofErr w:type="gramStart"/>
      <w:r w:rsidR="003E631E">
        <w:rPr>
          <w:rFonts w:ascii="Arial" w:hAnsi="Arial" w:cs="Arial"/>
          <w:b/>
          <w:bCs/>
          <w:sz w:val="20"/>
          <w:szCs w:val="20"/>
        </w:rPr>
        <w:t>s.</w:t>
      </w:r>
      <w:proofErr w:type="gramEnd"/>
      <w:r w:rsidR="003E631E">
        <w:rPr>
          <w:rFonts w:ascii="Arial" w:hAnsi="Arial" w:cs="Arial"/>
          <w:b/>
          <w:bCs/>
          <w:sz w:val="20"/>
          <w:szCs w:val="20"/>
        </w:rPr>
        <w:t>p.-ju</w:t>
      </w:r>
      <w:r w:rsidRPr="003E631E">
        <w:rPr>
          <w:rFonts w:ascii="Arial" w:hAnsi="Arial" w:cs="Arial"/>
          <w:b/>
          <w:bCs/>
          <w:sz w:val="20"/>
          <w:szCs w:val="20"/>
        </w:rPr>
        <w:t xml:space="preserve"> – SSE A ali SSE B?</w:t>
      </w:r>
    </w:p>
    <w:p w14:paraId="7A0AA467" w14:textId="1B8B6098" w:rsidR="00A55BDA" w:rsidRDefault="003E631E" w:rsidP="00C42299">
      <w:pPr>
        <w:pStyle w:val="Odstavekseznama"/>
        <w:spacing w:after="0" w:line="260" w:lineRule="exact"/>
        <w:ind w:left="644"/>
        <w:jc w:val="both"/>
        <w:rPr>
          <w:rFonts w:ascii="Arial" w:hAnsi="Arial" w:cs="Arial"/>
          <w:sz w:val="20"/>
          <w:szCs w:val="20"/>
        </w:rPr>
      </w:pPr>
      <w:r w:rsidRPr="003E631E">
        <w:rPr>
          <w:rFonts w:ascii="Arial" w:hAnsi="Arial" w:cs="Arial"/>
          <w:sz w:val="20"/>
          <w:szCs w:val="20"/>
        </w:rPr>
        <w:t>Za zaposlene pri projektnem partnerju velja SSE A, ne glede na obliko gospodarske družbe</w:t>
      </w:r>
      <w:r w:rsidRPr="003E631E">
        <w:rPr>
          <w:rFonts w:ascii="Arial" w:hAnsi="Arial" w:cs="Arial"/>
          <w:sz w:val="20"/>
          <w:szCs w:val="20"/>
        </w:rPr>
        <w:t>.</w:t>
      </w:r>
    </w:p>
    <w:p w14:paraId="63FED31B" w14:textId="77777777" w:rsidR="00972120" w:rsidRDefault="00972120" w:rsidP="00972120">
      <w:pPr>
        <w:pStyle w:val="Odstavekseznama"/>
        <w:spacing w:after="0" w:line="260" w:lineRule="exact"/>
        <w:ind w:left="644"/>
        <w:jc w:val="both"/>
        <w:rPr>
          <w:rFonts w:ascii="Arial" w:hAnsi="Arial" w:cs="Arial"/>
          <w:b/>
          <w:bCs/>
          <w:color w:val="000000"/>
          <w:sz w:val="20"/>
          <w:szCs w:val="20"/>
        </w:rPr>
      </w:pPr>
    </w:p>
    <w:p w14:paraId="41F5A7EC" w14:textId="2090DA35" w:rsidR="00972120" w:rsidRPr="00972120" w:rsidRDefault="00972120" w:rsidP="00972120">
      <w:pPr>
        <w:pStyle w:val="Odstavekseznama"/>
        <w:numPr>
          <w:ilvl w:val="0"/>
          <w:numId w:val="2"/>
        </w:numPr>
        <w:autoSpaceDE w:val="0"/>
        <w:autoSpaceDN w:val="0"/>
        <w:adjustRightInd w:val="0"/>
        <w:spacing w:after="0" w:line="260" w:lineRule="exact"/>
        <w:jc w:val="both"/>
        <w:rPr>
          <w:rFonts w:ascii="Arial" w:hAnsi="Arial" w:cs="Arial"/>
          <w:b/>
          <w:bCs/>
          <w:sz w:val="20"/>
          <w:szCs w:val="20"/>
        </w:rPr>
      </w:pPr>
      <w:r w:rsidRPr="00972120">
        <w:rPr>
          <w:rFonts w:ascii="Arial" w:hAnsi="Arial" w:cs="Arial"/>
          <w:b/>
          <w:bCs/>
          <w:sz w:val="20"/>
          <w:szCs w:val="20"/>
        </w:rPr>
        <w:lastRenderedPageBreak/>
        <w:t xml:space="preserve">Ali je v primeru, če prijavitelj faze </w:t>
      </w:r>
      <w:r>
        <w:rPr>
          <w:rFonts w:ascii="Arial" w:hAnsi="Arial" w:cs="Arial"/>
          <w:b/>
          <w:bCs/>
          <w:sz w:val="20"/>
          <w:szCs w:val="20"/>
        </w:rPr>
        <w:t>I</w:t>
      </w:r>
      <w:r w:rsidRPr="00972120">
        <w:rPr>
          <w:rFonts w:ascii="Arial" w:hAnsi="Arial" w:cs="Arial"/>
          <w:b/>
          <w:bCs/>
          <w:sz w:val="20"/>
          <w:szCs w:val="20"/>
        </w:rPr>
        <w:t xml:space="preserve"> ne bo izvedel v za to </w:t>
      </w:r>
      <w:proofErr w:type="gramStart"/>
      <w:r w:rsidRPr="00972120">
        <w:rPr>
          <w:rFonts w:ascii="Arial" w:hAnsi="Arial" w:cs="Arial"/>
          <w:b/>
          <w:bCs/>
          <w:sz w:val="20"/>
          <w:szCs w:val="20"/>
        </w:rPr>
        <w:t>predvidenem</w:t>
      </w:r>
      <w:proofErr w:type="gramEnd"/>
      <w:r w:rsidRPr="00972120">
        <w:rPr>
          <w:rFonts w:ascii="Arial" w:hAnsi="Arial" w:cs="Arial"/>
          <w:b/>
          <w:bCs/>
          <w:sz w:val="20"/>
          <w:szCs w:val="20"/>
        </w:rPr>
        <w:t xml:space="preserve"> roku, mogoče doseči podaljšanje roka za izvedbo na podlagi vloge, ki jo poda na Ministrstvo za delo, družino, socialne zadeve in enake možnosti?</w:t>
      </w:r>
    </w:p>
    <w:p w14:paraId="0837DEE8" w14:textId="7C146B77" w:rsidR="00972120" w:rsidRDefault="00972120" w:rsidP="00972120">
      <w:pPr>
        <w:pStyle w:val="Odstavekseznama"/>
        <w:spacing w:after="0" w:line="260" w:lineRule="exact"/>
        <w:ind w:left="644"/>
        <w:jc w:val="both"/>
        <w:rPr>
          <w:rFonts w:ascii="Arial" w:hAnsi="Arial" w:cs="Arial"/>
          <w:sz w:val="20"/>
          <w:szCs w:val="20"/>
        </w:rPr>
      </w:pPr>
      <w:r>
        <w:rPr>
          <w:rFonts w:ascii="Arial" w:hAnsi="Arial" w:cs="Arial"/>
          <w:sz w:val="20"/>
          <w:szCs w:val="20"/>
        </w:rPr>
        <w:t>D</w:t>
      </w:r>
      <w:r w:rsidRPr="003E631E">
        <w:rPr>
          <w:rFonts w:ascii="Arial" w:hAnsi="Arial" w:cs="Arial"/>
          <w:sz w:val="20"/>
          <w:szCs w:val="20"/>
        </w:rPr>
        <w:t>a.</w:t>
      </w:r>
    </w:p>
    <w:p w14:paraId="366BBDCD" w14:textId="5E5D27D4" w:rsidR="00317ED6" w:rsidRDefault="00317ED6" w:rsidP="00972120">
      <w:pPr>
        <w:pStyle w:val="Odstavekseznama"/>
        <w:spacing w:after="0" w:line="260" w:lineRule="exact"/>
        <w:ind w:left="644"/>
        <w:jc w:val="both"/>
        <w:rPr>
          <w:rFonts w:ascii="Arial" w:hAnsi="Arial" w:cs="Arial"/>
          <w:sz w:val="20"/>
          <w:szCs w:val="20"/>
        </w:rPr>
      </w:pPr>
    </w:p>
    <w:p w14:paraId="49BEAA64" w14:textId="665D997C" w:rsidR="00317ED6" w:rsidRPr="00317ED6" w:rsidRDefault="00317ED6" w:rsidP="00317ED6">
      <w:pPr>
        <w:pStyle w:val="Odstavekseznama"/>
        <w:numPr>
          <w:ilvl w:val="0"/>
          <w:numId w:val="2"/>
        </w:numPr>
        <w:autoSpaceDE w:val="0"/>
        <w:autoSpaceDN w:val="0"/>
        <w:adjustRightInd w:val="0"/>
        <w:spacing w:after="0" w:line="260" w:lineRule="exact"/>
        <w:jc w:val="both"/>
        <w:rPr>
          <w:rFonts w:ascii="Arial" w:hAnsi="Arial" w:cs="Arial"/>
          <w:b/>
          <w:bCs/>
          <w:sz w:val="20"/>
          <w:szCs w:val="20"/>
        </w:rPr>
      </w:pPr>
      <w:r>
        <w:rPr>
          <w:rFonts w:ascii="Arial" w:hAnsi="Arial" w:cs="Arial"/>
          <w:b/>
          <w:bCs/>
          <w:sz w:val="20"/>
          <w:szCs w:val="20"/>
        </w:rPr>
        <w:t>Pojasnilo glede ločenega</w:t>
      </w:r>
      <w:r w:rsidRPr="00317ED6">
        <w:rPr>
          <w:rFonts w:ascii="Arial" w:hAnsi="Arial" w:cs="Arial"/>
          <w:b/>
          <w:bCs/>
          <w:sz w:val="20"/>
          <w:szCs w:val="20"/>
        </w:rPr>
        <w:t xml:space="preserve"> </w:t>
      </w:r>
      <w:r w:rsidR="00F65EE7">
        <w:rPr>
          <w:rFonts w:ascii="Arial" w:hAnsi="Arial" w:cs="Arial"/>
          <w:b/>
          <w:bCs/>
          <w:sz w:val="20"/>
          <w:szCs w:val="20"/>
        </w:rPr>
        <w:t>knjigovodstva in stroškovnih mest</w:t>
      </w:r>
    </w:p>
    <w:p w14:paraId="702C1D4B" w14:textId="77777777" w:rsidR="00F65EE7" w:rsidRPr="00F65EE7" w:rsidRDefault="00F65EE7" w:rsidP="00F65EE7">
      <w:pPr>
        <w:spacing w:after="0" w:line="260" w:lineRule="exact"/>
        <w:ind w:left="658"/>
        <w:rPr>
          <w:rFonts w:ascii="Arial" w:hAnsi="Arial" w:cs="Arial"/>
          <w:sz w:val="20"/>
          <w:szCs w:val="20"/>
        </w:rPr>
      </w:pPr>
      <w:r w:rsidRPr="00F65EE7">
        <w:rPr>
          <w:rFonts w:ascii="Arial" w:hAnsi="Arial" w:cs="Arial"/>
          <w:sz w:val="20"/>
          <w:szCs w:val="20"/>
        </w:rPr>
        <w:t>Skladno s pravili NOO je zahtevano enostavno preverjanje stroškov, kar omogoča posebno stroškovno mesto ali temu enakovreden način vodenja knjigovodstva.</w:t>
      </w:r>
    </w:p>
    <w:p w14:paraId="329BAAE6" w14:textId="676CB390" w:rsidR="00317ED6" w:rsidRPr="00F65EE7" w:rsidRDefault="00F65EE7" w:rsidP="00F65EE7">
      <w:pPr>
        <w:spacing w:after="0" w:line="260" w:lineRule="exact"/>
        <w:ind w:left="658"/>
        <w:jc w:val="both"/>
        <w:rPr>
          <w:rFonts w:ascii="Arial" w:hAnsi="Arial" w:cs="Arial"/>
          <w:sz w:val="20"/>
          <w:szCs w:val="20"/>
        </w:rPr>
      </w:pPr>
      <w:r w:rsidRPr="00F65EE7">
        <w:rPr>
          <w:rFonts w:ascii="Arial" w:hAnsi="Arial" w:cs="Arial"/>
          <w:sz w:val="20"/>
          <w:szCs w:val="20"/>
        </w:rPr>
        <w:t>Na ločenem stroškovnem mestu/računovodski kodi (na primer podkonto) se v primeru poenostavljenih oblik stroškov, kamor spadajo tudi stroški na enoto, knjižijo le prihodki oziroma prilivi, medtem ko stroškov (izdatkov), ki se nanašajo in poplačujejo iz prejetih sredstev, ni treba evidentirati na stroškovnem mestu/kodi operacije</w:t>
      </w:r>
      <w:r w:rsidR="00317ED6" w:rsidRPr="00F65EE7">
        <w:rPr>
          <w:rFonts w:ascii="Arial" w:hAnsi="Arial" w:cs="Arial"/>
          <w:sz w:val="20"/>
          <w:szCs w:val="20"/>
        </w:rPr>
        <w:t>.</w:t>
      </w:r>
    </w:p>
    <w:p w14:paraId="36CDDF5C" w14:textId="18F81AF7" w:rsidR="00317ED6" w:rsidRDefault="00317ED6" w:rsidP="00972120">
      <w:pPr>
        <w:pStyle w:val="Odstavekseznama"/>
        <w:spacing w:after="0" w:line="260" w:lineRule="exact"/>
        <w:ind w:left="644"/>
        <w:jc w:val="both"/>
        <w:rPr>
          <w:rFonts w:ascii="Arial" w:hAnsi="Arial" w:cs="Arial"/>
          <w:color w:val="000000"/>
          <w:sz w:val="20"/>
          <w:szCs w:val="20"/>
        </w:rPr>
      </w:pPr>
    </w:p>
    <w:p w14:paraId="0A101F23" w14:textId="249FBC78" w:rsidR="00317ED6" w:rsidRPr="00972120" w:rsidRDefault="00F65EE7" w:rsidP="00317ED6">
      <w:pPr>
        <w:pStyle w:val="Odstavekseznama"/>
        <w:numPr>
          <w:ilvl w:val="0"/>
          <w:numId w:val="2"/>
        </w:numPr>
        <w:autoSpaceDE w:val="0"/>
        <w:autoSpaceDN w:val="0"/>
        <w:adjustRightInd w:val="0"/>
        <w:spacing w:after="0" w:line="260" w:lineRule="exact"/>
        <w:jc w:val="both"/>
        <w:rPr>
          <w:rFonts w:ascii="Arial" w:hAnsi="Arial" w:cs="Arial"/>
          <w:b/>
          <w:bCs/>
          <w:sz w:val="20"/>
          <w:szCs w:val="20"/>
        </w:rPr>
      </w:pPr>
      <w:r>
        <w:rPr>
          <w:rFonts w:ascii="Arial" w:hAnsi="Arial" w:cs="Arial"/>
          <w:b/>
          <w:bCs/>
          <w:sz w:val="20"/>
          <w:szCs w:val="20"/>
        </w:rPr>
        <w:t xml:space="preserve">Pojasnilo glede </w:t>
      </w:r>
      <w:r>
        <w:rPr>
          <w:rFonts w:ascii="Arial" w:hAnsi="Arial" w:cs="Arial"/>
          <w:b/>
          <w:bCs/>
          <w:sz w:val="20"/>
          <w:szCs w:val="20"/>
        </w:rPr>
        <w:t>26. člena pogodbe o financiranju</w:t>
      </w:r>
    </w:p>
    <w:p w14:paraId="2787290E" w14:textId="547F32E2" w:rsidR="00317ED6" w:rsidRPr="00F65EE7" w:rsidRDefault="00F65EE7" w:rsidP="00317ED6">
      <w:pPr>
        <w:pStyle w:val="Odstavekseznama"/>
        <w:spacing w:after="0" w:line="260" w:lineRule="exact"/>
        <w:ind w:left="644"/>
        <w:jc w:val="both"/>
        <w:rPr>
          <w:rFonts w:ascii="Arial" w:hAnsi="Arial" w:cs="Arial"/>
          <w:sz w:val="20"/>
          <w:szCs w:val="20"/>
        </w:rPr>
      </w:pPr>
      <w:proofErr w:type="gramStart"/>
      <w:r w:rsidRPr="00F65EE7">
        <w:rPr>
          <w:rFonts w:ascii="Arial" w:hAnsi="Arial" w:cs="Arial"/>
          <w:sz w:val="20"/>
          <w:szCs w:val="20"/>
        </w:rPr>
        <w:t>Pogodbeno določilo</w:t>
      </w:r>
      <w:proofErr w:type="gramEnd"/>
      <w:r w:rsidRPr="00F65EE7">
        <w:rPr>
          <w:rFonts w:ascii="Arial" w:hAnsi="Arial" w:cs="Arial"/>
          <w:sz w:val="20"/>
          <w:szCs w:val="20"/>
        </w:rPr>
        <w:t xml:space="preserve"> v nobenem primeru ne predvideva oz. dopušča retroaktivne veljave pravnih aktov, za katero se strinjamo, da je prepovedana. Člen določa opcijo spremembe pravnih predpisov, ki vplivajo na izvajanje projektov in v nobenem primeru ne posegajo v določbe javnega razpisa (torej ne posegajo v vsebino zaključenega postopka javnega razpisa). Sprememba predpisa in vpliv na izvajanje projekta velja od trenutka sprejema/veljavnosti pravnega predpisa in sklenitve aneksa k pogodbi. Primer je npr. da </w:t>
      </w:r>
      <w:proofErr w:type="gramStart"/>
      <w:r w:rsidRPr="00F65EE7">
        <w:rPr>
          <w:rFonts w:ascii="Arial" w:hAnsi="Arial" w:cs="Arial"/>
          <w:sz w:val="20"/>
          <w:szCs w:val="20"/>
        </w:rPr>
        <w:t>EU predpis</w:t>
      </w:r>
      <w:proofErr w:type="gramEnd"/>
      <w:r w:rsidRPr="00F65EE7">
        <w:rPr>
          <w:rFonts w:ascii="Arial" w:hAnsi="Arial" w:cs="Arial"/>
          <w:sz w:val="20"/>
          <w:szCs w:val="20"/>
        </w:rPr>
        <w:t xml:space="preserve"> zahteva dodatno dokazilo. Nikakor pa ne more takšna sprememba vplivati na projekt na način, ki bi posegel v pridobljene pravice izbranega prijavitelja ali dodeljena javna sredstva, sploh pa ne na način, da bi s tem poslabšal njegov položaj, tj. položaj pogodbenik</w:t>
      </w:r>
      <w:r w:rsidR="00317ED6" w:rsidRPr="00F65EE7">
        <w:rPr>
          <w:rFonts w:ascii="Arial" w:hAnsi="Arial" w:cs="Arial"/>
          <w:sz w:val="20"/>
          <w:szCs w:val="20"/>
        </w:rPr>
        <w:t>a.</w:t>
      </w:r>
    </w:p>
    <w:p w14:paraId="012F2E4E" w14:textId="77777777" w:rsidR="00317ED6" w:rsidRPr="003E631E" w:rsidRDefault="00317ED6" w:rsidP="00972120">
      <w:pPr>
        <w:pStyle w:val="Odstavekseznama"/>
        <w:spacing w:after="0" w:line="260" w:lineRule="exact"/>
        <w:ind w:left="644"/>
        <w:jc w:val="both"/>
        <w:rPr>
          <w:rFonts w:ascii="Arial" w:hAnsi="Arial" w:cs="Arial"/>
          <w:color w:val="000000"/>
          <w:sz w:val="20"/>
          <w:szCs w:val="20"/>
        </w:rPr>
      </w:pPr>
    </w:p>
    <w:sectPr w:rsidR="00317ED6" w:rsidRPr="003E63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91A2" w14:textId="77777777" w:rsidR="002C1312" w:rsidRDefault="002C1312" w:rsidP="002C1312">
      <w:pPr>
        <w:spacing w:after="0" w:line="240" w:lineRule="auto"/>
      </w:pPr>
      <w:r>
        <w:separator/>
      </w:r>
    </w:p>
  </w:endnote>
  <w:endnote w:type="continuationSeparator" w:id="0">
    <w:p w14:paraId="5509275B" w14:textId="77777777" w:rsidR="002C1312" w:rsidRDefault="002C1312" w:rsidP="002C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982151"/>
      <w:docPartObj>
        <w:docPartGallery w:val="Page Numbers (Bottom of Page)"/>
        <w:docPartUnique/>
      </w:docPartObj>
    </w:sdtPr>
    <w:sdtEndPr/>
    <w:sdtContent>
      <w:p w14:paraId="7BF37750" w14:textId="37E5FCF5" w:rsidR="002C1312" w:rsidRDefault="002C1312">
        <w:pPr>
          <w:pStyle w:val="Noga"/>
          <w:jc w:val="center"/>
        </w:pPr>
        <w:r>
          <w:fldChar w:fldCharType="begin"/>
        </w:r>
        <w:r>
          <w:instrText>PAGE   \* MERGEFORMAT</w:instrText>
        </w:r>
        <w:r>
          <w:fldChar w:fldCharType="separate"/>
        </w:r>
        <w:r>
          <w:t>2</w:t>
        </w:r>
        <w:r>
          <w:fldChar w:fldCharType="end"/>
        </w:r>
      </w:p>
    </w:sdtContent>
  </w:sdt>
  <w:p w14:paraId="15239586" w14:textId="77777777" w:rsidR="002C1312" w:rsidRDefault="002C13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263F" w14:textId="77777777" w:rsidR="002C1312" w:rsidRDefault="002C1312" w:rsidP="002C1312">
      <w:pPr>
        <w:spacing w:after="0" w:line="240" w:lineRule="auto"/>
      </w:pPr>
      <w:r>
        <w:separator/>
      </w:r>
    </w:p>
  </w:footnote>
  <w:footnote w:type="continuationSeparator" w:id="0">
    <w:p w14:paraId="21941836" w14:textId="77777777" w:rsidR="002C1312" w:rsidRDefault="002C1312" w:rsidP="002C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7BA0" w14:textId="32D6A7A1" w:rsidR="00FF5DE6" w:rsidRDefault="00FF5DE6">
    <w:pPr>
      <w:pStyle w:val="Glava"/>
    </w:pPr>
    <w:r>
      <w:rPr>
        <w:noProof/>
      </w:rPr>
      <w:drawing>
        <wp:inline distT="0" distB="0" distL="0" distR="0" wp14:anchorId="50FE6F97" wp14:editId="70BA36D6">
          <wp:extent cx="5822315" cy="774065"/>
          <wp:effectExtent l="0" t="0" r="6985"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315" cy="774065"/>
                  </a:xfrm>
                  <a:prstGeom prst="rect">
                    <a:avLst/>
                  </a:prstGeom>
                  <a:noFill/>
                </pic:spPr>
              </pic:pic>
            </a:graphicData>
          </a:graphic>
        </wp:inline>
      </w:drawing>
    </w:r>
  </w:p>
  <w:p w14:paraId="3D1EF97C" w14:textId="77777777" w:rsidR="00FF5DE6" w:rsidRDefault="00FF5DE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5C80CA"/>
    <w:lvl w:ilvl="0">
      <w:numFmt w:val="bullet"/>
      <w:lvlText w:val="*"/>
      <w:lvlJc w:val="left"/>
    </w:lvl>
  </w:abstractNum>
  <w:abstractNum w:abstractNumId="1" w15:restartNumberingAfterBreak="0">
    <w:nsid w:val="02C03835"/>
    <w:multiLevelType w:val="hybridMultilevel"/>
    <w:tmpl w:val="38A0BD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E6071"/>
    <w:multiLevelType w:val="hybridMultilevel"/>
    <w:tmpl w:val="38A0BD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4F23643"/>
    <w:multiLevelType w:val="hybridMultilevel"/>
    <w:tmpl w:val="5784E836"/>
    <w:lvl w:ilvl="0" w:tplc="BA248C2E">
      <w:start w:val="66"/>
      <w:numFmt w:val="decimal"/>
      <w:lvlText w:val="%1."/>
      <w:lvlJc w:val="left"/>
      <w:pPr>
        <w:ind w:left="644"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CA23956"/>
    <w:multiLevelType w:val="hybridMultilevel"/>
    <w:tmpl w:val="0A165710"/>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6A7086"/>
    <w:multiLevelType w:val="hybridMultilevel"/>
    <w:tmpl w:val="A55AFD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D284784"/>
    <w:multiLevelType w:val="hybridMultilevel"/>
    <w:tmpl w:val="923214EA"/>
    <w:lvl w:ilvl="0" w:tplc="B65A34B2">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627466398">
    <w:abstractNumId w:val="2"/>
  </w:num>
  <w:num w:numId="2" w16cid:durableId="697924294">
    <w:abstractNumId w:val="3"/>
  </w:num>
  <w:num w:numId="3" w16cid:durableId="1333869592">
    <w:abstractNumId w:val="5"/>
  </w:num>
  <w:num w:numId="4" w16cid:durableId="235626091">
    <w:abstractNumId w:val="1"/>
  </w:num>
  <w:num w:numId="5" w16cid:durableId="1660039318">
    <w:abstractNumId w:val="4"/>
  </w:num>
  <w:num w:numId="6" w16cid:durableId="803279928">
    <w:abstractNumId w:val="0"/>
    <w:lvlOverride w:ilvl="0">
      <w:lvl w:ilvl="0">
        <w:numFmt w:val="bullet"/>
        <w:lvlText w:val=""/>
        <w:legacy w:legacy="1" w:legacySpace="0" w:legacyIndent="0"/>
        <w:lvlJc w:val="left"/>
        <w:rPr>
          <w:rFonts w:ascii="Symbol" w:hAnsi="Symbol" w:hint="default"/>
          <w:sz w:val="22"/>
        </w:rPr>
      </w:lvl>
    </w:lvlOverride>
  </w:num>
  <w:num w:numId="7" w16cid:durableId="566379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84"/>
    <w:rsid w:val="00000B55"/>
    <w:rsid w:val="00001960"/>
    <w:rsid w:val="000101E2"/>
    <w:rsid w:val="00011D1B"/>
    <w:rsid w:val="0005023B"/>
    <w:rsid w:val="00057E80"/>
    <w:rsid w:val="00082898"/>
    <w:rsid w:val="000838DA"/>
    <w:rsid w:val="000A427E"/>
    <w:rsid w:val="000B7CC6"/>
    <w:rsid w:val="000C3743"/>
    <w:rsid w:val="000F4209"/>
    <w:rsid w:val="00114A74"/>
    <w:rsid w:val="00136FCB"/>
    <w:rsid w:val="00147030"/>
    <w:rsid w:val="00155E99"/>
    <w:rsid w:val="00171DE6"/>
    <w:rsid w:val="001724D7"/>
    <w:rsid w:val="00197D35"/>
    <w:rsid w:val="001A769B"/>
    <w:rsid w:val="001B0B87"/>
    <w:rsid w:val="001B3FFB"/>
    <w:rsid w:val="001C1217"/>
    <w:rsid w:val="001D4181"/>
    <w:rsid w:val="001D7631"/>
    <w:rsid w:val="00211E60"/>
    <w:rsid w:val="002220C5"/>
    <w:rsid w:val="002635EA"/>
    <w:rsid w:val="002842CA"/>
    <w:rsid w:val="00291258"/>
    <w:rsid w:val="00295CB2"/>
    <w:rsid w:val="002A4820"/>
    <w:rsid w:val="002B6825"/>
    <w:rsid w:val="002C1312"/>
    <w:rsid w:val="002C66A7"/>
    <w:rsid w:val="002E0553"/>
    <w:rsid w:val="002E2A35"/>
    <w:rsid w:val="002F0160"/>
    <w:rsid w:val="002F4A15"/>
    <w:rsid w:val="002F571E"/>
    <w:rsid w:val="00317ED6"/>
    <w:rsid w:val="00354EF1"/>
    <w:rsid w:val="003822D0"/>
    <w:rsid w:val="00395F4D"/>
    <w:rsid w:val="0039745E"/>
    <w:rsid w:val="003B661D"/>
    <w:rsid w:val="003D1990"/>
    <w:rsid w:val="003E631E"/>
    <w:rsid w:val="003E7819"/>
    <w:rsid w:val="003F2D4E"/>
    <w:rsid w:val="003F486A"/>
    <w:rsid w:val="00405C23"/>
    <w:rsid w:val="00417DF3"/>
    <w:rsid w:val="00435358"/>
    <w:rsid w:val="004422CC"/>
    <w:rsid w:val="004824E8"/>
    <w:rsid w:val="004A7FC5"/>
    <w:rsid w:val="004B3CBB"/>
    <w:rsid w:val="004C31C2"/>
    <w:rsid w:val="004D2484"/>
    <w:rsid w:val="00512077"/>
    <w:rsid w:val="00515F5C"/>
    <w:rsid w:val="0052377B"/>
    <w:rsid w:val="00530F96"/>
    <w:rsid w:val="00532433"/>
    <w:rsid w:val="00537F0E"/>
    <w:rsid w:val="005509EF"/>
    <w:rsid w:val="00560A94"/>
    <w:rsid w:val="00566597"/>
    <w:rsid w:val="00593E92"/>
    <w:rsid w:val="005C123A"/>
    <w:rsid w:val="005E0176"/>
    <w:rsid w:val="005E109D"/>
    <w:rsid w:val="005E28CA"/>
    <w:rsid w:val="005E6BE2"/>
    <w:rsid w:val="005F2211"/>
    <w:rsid w:val="005F5555"/>
    <w:rsid w:val="00606816"/>
    <w:rsid w:val="0061257B"/>
    <w:rsid w:val="00613644"/>
    <w:rsid w:val="006162FA"/>
    <w:rsid w:val="00617A7D"/>
    <w:rsid w:val="006311BD"/>
    <w:rsid w:val="0065083E"/>
    <w:rsid w:val="00692372"/>
    <w:rsid w:val="006A2A97"/>
    <w:rsid w:val="006A6993"/>
    <w:rsid w:val="006F2064"/>
    <w:rsid w:val="006F3093"/>
    <w:rsid w:val="006F7626"/>
    <w:rsid w:val="00730C77"/>
    <w:rsid w:val="00730DA5"/>
    <w:rsid w:val="00755685"/>
    <w:rsid w:val="00770863"/>
    <w:rsid w:val="007720A6"/>
    <w:rsid w:val="00791952"/>
    <w:rsid w:val="00797A00"/>
    <w:rsid w:val="007B5907"/>
    <w:rsid w:val="007C4C0A"/>
    <w:rsid w:val="007D1064"/>
    <w:rsid w:val="007D7C31"/>
    <w:rsid w:val="00812317"/>
    <w:rsid w:val="0081371E"/>
    <w:rsid w:val="00815813"/>
    <w:rsid w:val="008275EB"/>
    <w:rsid w:val="00861709"/>
    <w:rsid w:val="008652D7"/>
    <w:rsid w:val="008715C6"/>
    <w:rsid w:val="00895B9B"/>
    <w:rsid w:val="008C1CED"/>
    <w:rsid w:val="008C7096"/>
    <w:rsid w:val="008D70BE"/>
    <w:rsid w:val="008E5C30"/>
    <w:rsid w:val="00900BF1"/>
    <w:rsid w:val="009016A6"/>
    <w:rsid w:val="00903A8F"/>
    <w:rsid w:val="0092084D"/>
    <w:rsid w:val="0092589C"/>
    <w:rsid w:val="009327C6"/>
    <w:rsid w:val="0093562F"/>
    <w:rsid w:val="00941BCF"/>
    <w:rsid w:val="00951EFD"/>
    <w:rsid w:val="00972120"/>
    <w:rsid w:val="00973868"/>
    <w:rsid w:val="009739CA"/>
    <w:rsid w:val="00974AF3"/>
    <w:rsid w:val="009757BE"/>
    <w:rsid w:val="009C08A1"/>
    <w:rsid w:val="00A239AB"/>
    <w:rsid w:val="00A34D46"/>
    <w:rsid w:val="00A352DD"/>
    <w:rsid w:val="00A37F65"/>
    <w:rsid w:val="00A55BDA"/>
    <w:rsid w:val="00A95655"/>
    <w:rsid w:val="00A97AEA"/>
    <w:rsid w:val="00AC513D"/>
    <w:rsid w:val="00AE2822"/>
    <w:rsid w:val="00B10CB2"/>
    <w:rsid w:val="00B27D56"/>
    <w:rsid w:val="00B3465A"/>
    <w:rsid w:val="00B526CD"/>
    <w:rsid w:val="00B5782F"/>
    <w:rsid w:val="00B6106F"/>
    <w:rsid w:val="00B63FDA"/>
    <w:rsid w:val="00B9047C"/>
    <w:rsid w:val="00B91597"/>
    <w:rsid w:val="00B918AC"/>
    <w:rsid w:val="00B96A00"/>
    <w:rsid w:val="00BB3A8B"/>
    <w:rsid w:val="00BD0609"/>
    <w:rsid w:val="00BE0D22"/>
    <w:rsid w:val="00BE6FB6"/>
    <w:rsid w:val="00C00523"/>
    <w:rsid w:val="00C00D93"/>
    <w:rsid w:val="00C4213B"/>
    <w:rsid w:val="00C42299"/>
    <w:rsid w:val="00C428C2"/>
    <w:rsid w:val="00C662DD"/>
    <w:rsid w:val="00C7536A"/>
    <w:rsid w:val="00C92545"/>
    <w:rsid w:val="00CA269C"/>
    <w:rsid w:val="00CA7A3D"/>
    <w:rsid w:val="00CB30BC"/>
    <w:rsid w:val="00CB6E9B"/>
    <w:rsid w:val="00CF50A0"/>
    <w:rsid w:val="00CF70BC"/>
    <w:rsid w:val="00CF7A98"/>
    <w:rsid w:val="00D045B6"/>
    <w:rsid w:val="00D630B3"/>
    <w:rsid w:val="00D6497F"/>
    <w:rsid w:val="00D66C14"/>
    <w:rsid w:val="00DE057A"/>
    <w:rsid w:val="00DE1EB6"/>
    <w:rsid w:val="00DE5AD9"/>
    <w:rsid w:val="00E06387"/>
    <w:rsid w:val="00E12252"/>
    <w:rsid w:val="00E16463"/>
    <w:rsid w:val="00E21EA6"/>
    <w:rsid w:val="00E32A9C"/>
    <w:rsid w:val="00E34F31"/>
    <w:rsid w:val="00E479E1"/>
    <w:rsid w:val="00E52E22"/>
    <w:rsid w:val="00E638DC"/>
    <w:rsid w:val="00E663E9"/>
    <w:rsid w:val="00E92338"/>
    <w:rsid w:val="00ED05BE"/>
    <w:rsid w:val="00EF5BB7"/>
    <w:rsid w:val="00F213B0"/>
    <w:rsid w:val="00F65EE7"/>
    <w:rsid w:val="00F81693"/>
    <w:rsid w:val="00FA1F5D"/>
    <w:rsid w:val="00FB76AC"/>
    <w:rsid w:val="00FD16DE"/>
    <w:rsid w:val="00FE3615"/>
    <w:rsid w:val="00FF5AED"/>
    <w:rsid w:val="00FF5DE6"/>
    <w:rsid w:val="00FF7B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A47E52"/>
  <w15:chartTrackingRefBased/>
  <w15:docId w15:val="{7941D8F7-230B-4A4F-8B6C-CF52B63F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838DA"/>
    <w:pPr>
      <w:ind w:left="720"/>
      <w:contextualSpacing/>
    </w:pPr>
  </w:style>
  <w:style w:type="paragraph" w:styleId="Glava">
    <w:name w:val="header"/>
    <w:basedOn w:val="Navaden"/>
    <w:link w:val="GlavaZnak"/>
    <w:uiPriority w:val="99"/>
    <w:unhideWhenUsed/>
    <w:rsid w:val="002C1312"/>
    <w:pPr>
      <w:tabs>
        <w:tab w:val="center" w:pos="4536"/>
        <w:tab w:val="right" w:pos="9072"/>
      </w:tabs>
      <w:spacing w:after="0" w:line="240" w:lineRule="auto"/>
    </w:pPr>
  </w:style>
  <w:style w:type="character" w:customStyle="1" w:styleId="GlavaZnak">
    <w:name w:val="Glava Znak"/>
    <w:basedOn w:val="Privzetapisavaodstavka"/>
    <w:link w:val="Glava"/>
    <w:uiPriority w:val="99"/>
    <w:rsid w:val="002C1312"/>
  </w:style>
  <w:style w:type="paragraph" w:styleId="Noga">
    <w:name w:val="footer"/>
    <w:basedOn w:val="Navaden"/>
    <w:link w:val="NogaZnak"/>
    <w:uiPriority w:val="99"/>
    <w:unhideWhenUsed/>
    <w:rsid w:val="002C1312"/>
    <w:pPr>
      <w:tabs>
        <w:tab w:val="center" w:pos="4536"/>
        <w:tab w:val="right" w:pos="9072"/>
      </w:tabs>
      <w:spacing w:after="0" w:line="240" w:lineRule="auto"/>
    </w:pPr>
  </w:style>
  <w:style w:type="character" w:customStyle="1" w:styleId="NogaZnak">
    <w:name w:val="Noga Znak"/>
    <w:basedOn w:val="Privzetapisavaodstavka"/>
    <w:link w:val="Noga"/>
    <w:uiPriority w:val="99"/>
    <w:rsid w:val="002C1312"/>
  </w:style>
  <w:style w:type="character" w:styleId="Hiperpovezava">
    <w:name w:val="Hyperlink"/>
    <w:basedOn w:val="Privzetapisavaodstavka"/>
    <w:uiPriority w:val="99"/>
    <w:unhideWhenUsed/>
    <w:rsid w:val="00CB6E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1993">
      <w:bodyDiv w:val="1"/>
      <w:marLeft w:val="0"/>
      <w:marRight w:val="0"/>
      <w:marTop w:val="0"/>
      <w:marBottom w:val="0"/>
      <w:divBdr>
        <w:top w:val="none" w:sz="0" w:space="0" w:color="auto"/>
        <w:left w:val="none" w:sz="0" w:space="0" w:color="auto"/>
        <w:bottom w:val="none" w:sz="0" w:space="0" w:color="auto"/>
        <w:right w:val="none" w:sz="0" w:space="0" w:color="auto"/>
      </w:divBdr>
    </w:div>
    <w:div w:id="687172738">
      <w:bodyDiv w:val="1"/>
      <w:marLeft w:val="0"/>
      <w:marRight w:val="0"/>
      <w:marTop w:val="0"/>
      <w:marBottom w:val="0"/>
      <w:divBdr>
        <w:top w:val="none" w:sz="0" w:space="0" w:color="auto"/>
        <w:left w:val="none" w:sz="0" w:space="0" w:color="auto"/>
        <w:bottom w:val="none" w:sz="0" w:space="0" w:color="auto"/>
        <w:right w:val="none" w:sz="0" w:space="0" w:color="auto"/>
      </w:divBdr>
    </w:div>
    <w:div w:id="1253851204">
      <w:bodyDiv w:val="1"/>
      <w:marLeft w:val="0"/>
      <w:marRight w:val="0"/>
      <w:marTop w:val="0"/>
      <w:marBottom w:val="0"/>
      <w:divBdr>
        <w:top w:val="none" w:sz="0" w:space="0" w:color="auto"/>
        <w:left w:val="none" w:sz="0" w:space="0" w:color="auto"/>
        <w:bottom w:val="none" w:sz="0" w:space="0" w:color="auto"/>
        <w:right w:val="none" w:sz="0" w:space="0" w:color="auto"/>
      </w:divBdr>
    </w:div>
    <w:div w:id="1646427724">
      <w:bodyDiv w:val="1"/>
      <w:marLeft w:val="0"/>
      <w:marRight w:val="0"/>
      <w:marTop w:val="0"/>
      <w:marBottom w:val="0"/>
      <w:divBdr>
        <w:top w:val="none" w:sz="0" w:space="0" w:color="auto"/>
        <w:left w:val="none" w:sz="0" w:space="0" w:color="auto"/>
        <w:bottom w:val="none" w:sz="0" w:space="0" w:color="auto"/>
        <w:right w:val="none" w:sz="0" w:space="0" w:color="auto"/>
      </w:divBdr>
    </w:div>
    <w:div w:id="17760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BDCC53-8EB3-4045-B841-D08CAC65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717</Words>
  <Characters>4089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Čučnik;ZIPS</dc:creator>
  <cp:keywords/>
  <dc:description/>
  <cp:lastModifiedBy>Mateja Gris</cp:lastModifiedBy>
  <cp:revision>9</cp:revision>
  <dcterms:created xsi:type="dcterms:W3CDTF">2024-01-19T10:23:00Z</dcterms:created>
  <dcterms:modified xsi:type="dcterms:W3CDTF">2024-01-19T11:45:00Z</dcterms:modified>
</cp:coreProperties>
</file>