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57" w:rsidRPr="00202A77" w:rsidRDefault="00BA5857" w:rsidP="00EE0997">
      <w:pPr>
        <w:pStyle w:val="datumtevilka"/>
        <w:tabs>
          <w:tab w:val="clear" w:pos="1701"/>
          <w:tab w:val="left" w:pos="1276"/>
        </w:tabs>
        <w:ind w:left="1276" w:hanging="1276"/>
        <w:jc w:val="both"/>
      </w:pPr>
      <w:bookmarkStart w:id="0" w:name="_GoBack"/>
      <w:bookmarkEnd w:id="0"/>
      <w:r w:rsidRPr="00202A77">
        <w:t xml:space="preserve">Datum: </w:t>
      </w:r>
      <w:r w:rsidRPr="00202A77">
        <w:tab/>
      </w:r>
      <w:r w:rsidR="00D85942">
        <w:t>2</w:t>
      </w:r>
      <w:r w:rsidR="008C1E1A">
        <w:t>1</w:t>
      </w:r>
      <w:r w:rsidR="00D85942">
        <w:t>. 1. 2015</w:t>
      </w:r>
      <w:r w:rsidRPr="00202A77">
        <w:t xml:space="preserve"> </w:t>
      </w:r>
    </w:p>
    <w:p w:rsidR="00BA5857" w:rsidRDefault="00BA5857" w:rsidP="00EE0997">
      <w:pPr>
        <w:tabs>
          <w:tab w:val="left" w:pos="1276"/>
        </w:tabs>
        <w:ind w:left="1276" w:hanging="1276"/>
        <w:jc w:val="both"/>
        <w:rPr>
          <w:lang w:val="sl-SI"/>
        </w:rPr>
      </w:pPr>
    </w:p>
    <w:p w:rsidR="00D85942" w:rsidRPr="00202A77" w:rsidRDefault="00D85942" w:rsidP="00EE0997">
      <w:pPr>
        <w:tabs>
          <w:tab w:val="left" w:pos="1276"/>
        </w:tabs>
        <w:ind w:left="1276" w:hanging="1276"/>
        <w:jc w:val="both"/>
        <w:rPr>
          <w:lang w:val="sl-SI"/>
        </w:rPr>
      </w:pPr>
    </w:p>
    <w:p w:rsidR="00BA5857" w:rsidRDefault="00BA5857" w:rsidP="00EE0997">
      <w:pPr>
        <w:pStyle w:val="ZADEVA"/>
        <w:tabs>
          <w:tab w:val="clear" w:pos="1701"/>
          <w:tab w:val="left" w:pos="1276"/>
        </w:tabs>
        <w:ind w:left="1276" w:hanging="1276"/>
        <w:jc w:val="both"/>
        <w:rPr>
          <w:lang w:val="sl-SI"/>
        </w:rPr>
      </w:pPr>
      <w:r w:rsidRPr="00202A77">
        <w:rPr>
          <w:lang w:val="sl-SI"/>
        </w:rPr>
        <w:t xml:space="preserve">Zadeva: </w:t>
      </w:r>
      <w:r w:rsidRPr="00202A77">
        <w:rPr>
          <w:lang w:val="sl-SI"/>
        </w:rPr>
        <w:tab/>
      </w:r>
      <w:r w:rsidR="00236E1C">
        <w:rPr>
          <w:lang w:val="sl-SI"/>
        </w:rPr>
        <w:t>Izračun</w:t>
      </w:r>
      <w:r w:rsidR="00D85942" w:rsidRPr="00D85942">
        <w:rPr>
          <w:lang w:val="sl-SI"/>
        </w:rPr>
        <w:t xml:space="preserve"> pokojninske dobe pri začasnem in občasnem delu</w:t>
      </w:r>
      <w:r w:rsidR="00D85942">
        <w:rPr>
          <w:lang w:val="sl-SI"/>
        </w:rPr>
        <w:t xml:space="preserve"> </w:t>
      </w:r>
      <w:r w:rsidR="00D85942" w:rsidRPr="00D85942">
        <w:rPr>
          <w:lang w:val="sl-SI"/>
        </w:rPr>
        <w:t>dijakov in študentov</w:t>
      </w:r>
    </w:p>
    <w:p w:rsidR="00D85942" w:rsidRPr="00202A77" w:rsidRDefault="00D85942" w:rsidP="00D85942">
      <w:pPr>
        <w:pStyle w:val="ZADEVA"/>
        <w:rPr>
          <w:lang w:val="sl-SI"/>
        </w:rPr>
      </w:pPr>
    </w:p>
    <w:p w:rsidR="00BA5857" w:rsidRDefault="00BA5857" w:rsidP="00BA5857">
      <w:pPr>
        <w:rPr>
          <w:lang w:val="sl-SI"/>
        </w:rPr>
      </w:pPr>
    </w:p>
    <w:p w:rsidR="00CE63E7" w:rsidRDefault="00236E1C" w:rsidP="00CE63E7">
      <w:pPr>
        <w:spacing w:after="200"/>
        <w:jc w:val="both"/>
        <w:rPr>
          <w:lang w:val="sl-SI"/>
        </w:rPr>
      </w:pPr>
      <w:r>
        <w:rPr>
          <w:lang w:val="sl-SI"/>
        </w:rPr>
        <w:t>Ministrstvo za delo, družino socialne zadeve in enake možnosti</w:t>
      </w:r>
      <w:r w:rsidR="00336CD2">
        <w:rPr>
          <w:lang w:val="sl-SI"/>
        </w:rPr>
        <w:t xml:space="preserve"> (MDDSZ)</w:t>
      </w:r>
      <w:r>
        <w:rPr>
          <w:lang w:val="sl-SI"/>
        </w:rPr>
        <w:t xml:space="preserve"> v nadaljevanju navaja </w:t>
      </w:r>
      <w:r w:rsidR="00D85942">
        <w:rPr>
          <w:lang w:val="sl-SI"/>
        </w:rPr>
        <w:t xml:space="preserve">pravne podlage in informativen </w:t>
      </w:r>
      <w:r w:rsidR="0009568A">
        <w:rPr>
          <w:lang w:val="sl-SI"/>
        </w:rPr>
        <w:t>primer izračunov</w:t>
      </w:r>
      <w:r w:rsidR="00D85942">
        <w:rPr>
          <w:lang w:val="sl-SI"/>
        </w:rPr>
        <w:t xml:space="preserve"> pokojninske dobe iz naslova začasnega in občasnega dela dijakov in študentov</w:t>
      </w:r>
      <w:r w:rsidR="00FE0BF4">
        <w:rPr>
          <w:lang w:val="sl-SI"/>
        </w:rPr>
        <w:t xml:space="preserve"> skladno z Zakonom o pokojninskem in invalidskem zavarovanju - ZPIZ-2 (</w:t>
      </w:r>
      <w:r w:rsidR="00CE63E7" w:rsidRPr="00CE63E7">
        <w:rPr>
          <w:lang w:val="sl-SI"/>
        </w:rPr>
        <w:t>Uradni list RS, št. 96/12, 39/13, 99/13 - ZSVarPre-C, 101/13 - ZIPRS1415, 44/14 - ORZPIZ206, 85/14 - ZUJF-B in 95/14 - ZUJF-C)</w:t>
      </w:r>
      <w:r w:rsidR="00D85942">
        <w:rPr>
          <w:lang w:val="sl-SI"/>
        </w:rPr>
        <w:t xml:space="preserve">. </w:t>
      </w:r>
    </w:p>
    <w:p w:rsidR="00D85942" w:rsidRDefault="00336CD2" w:rsidP="00CE63E7">
      <w:pPr>
        <w:spacing w:after="200"/>
        <w:jc w:val="both"/>
        <w:rPr>
          <w:lang w:val="sl-SI"/>
        </w:rPr>
      </w:pPr>
      <w:r>
        <w:rPr>
          <w:lang w:val="sl-SI"/>
        </w:rPr>
        <w:t>MDDSZ</w:t>
      </w:r>
      <w:r w:rsidR="00FE0BF4">
        <w:rPr>
          <w:lang w:val="sl-SI"/>
        </w:rPr>
        <w:t xml:space="preserve"> ni pristojno za izračunavanje pokojninske dobe zavarovancev iz pokojninskega in invalidskega zavarovanja </w:t>
      </w:r>
      <w:r>
        <w:rPr>
          <w:lang w:val="sl-SI"/>
        </w:rPr>
        <w:t>zato</w:t>
      </w:r>
      <w:r w:rsidR="00FE0BF4">
        <w:rPr>
          <w:lang w:val="sl-SI"/>
        </w:rPr>
        <w:t xml:space="preserve"> gre pri </w:t>
      </w:r>
      <w:r w:rsidR="00CE63E7">
        <w:rPr>
          <w:lang w:val="sl-SI"/>
        </w:rPr>
        <w:t>navedenih primerih</w:t>
      </w:r>
      <w:r w:rsidR="00FE0BF4">
        <w:rPr>
          <w:lang w:val="sl-SI"/>
        </w:rPr>
        <w:t xml:space="preserve"> zgolj za </w:t>
      </w:r>
      <w:r w:rsidR="00374DE3">
        <w:rPr>
          <w:lang w:val="sl-SI"/>
        </w:rPr>
        <w:t>informativne</w:t>
      </w:r>
      <w:r w:rsidR="00FE0BF4">
        <w:rPr>
          <w:lang w:val="sl-SI"/>
        </w:rPr>
        <w:t xml:space="preserve"> </w:t>
      </w:r>
      <w:r w:rsidR="00CE63E7">
        <w:rPr>
          <w:lang w:val="sl-SI"/>
        </w:rPr>
        <w:t>izračune</w:t>
      </w:r>
      <w:r w:rsidR="00FE0BF4">
        <w:rPr>
          <w:lang w:val="sl-SI"/>
        </w:rPr>
        <w:t xml:space="preserve"> pokojninske dobe ob točno določenih in navedenih predpostavkah.</w:t>
      </w:r>
      <w:r w:rsidR="0009568A">
        <w:rPr>
          <w:lang w:val="sl-SI"/>
        </w:rPr>
        <w:t xml:space="preserve"> Ustrezne</w:t>
      </w:r>
      <w:r w:rsidR="00FE0BF4">
        <w:rPr>
          <w:lang w:val="sl-SI"/>
        </w:rPr>
        <w:t xml:space="preserve"> </w:t>
      </w:r>
      <w:r w:rsidR="00CE63E7">
        <w:rPr>
          <w:lang w:val="sl-SI"/>
        </w:rPr>
        <w:t>podatke</w:t>
      </w:r>
      <w:r w:rsidR="00FE0BF4">
        <w:rPr>
          <w:lang w:val="sl-SI"/>
        </w:rPr>
        <w:t xml:space="preserve"> o </w:t>
      </w:r>
      <w:r w:rsidR="00CE63E7">
        <w:rPr>
          <w:lang w:val="sl-SI"/>
        </w:rPr>
        <w:t xml:space="preserve">dejanski </w:t>
      </w:r>
      <w:r w:rsidR="00FE0BF4">
        <w:rPr>
          <w:lang w:val="sl-SI"/>
        </w:rPr>
        <w:t>pokojninski dobi posameznega zavarovanca pa lahko le-ti pridobijo na Zavodu za pokojninsko in invalidsko zavarovanje, ki je e</w:t>
      </w:r>
      <w:r w:rsidR="00CE63E7">
        <w:rPr>
          <w:lang w:val="sl-SI"/>
        </w:rPr>
        <w:t>dini pristojen organ za podajanje te vrste informacij.</w:t>
      </w:r>
    </w:p>
    <w:p w:rsidR="00CE63E7" w:rsidRDefault="00CE63E7" w:rsidP="00FE0BF4">
      <w:pPr>
        <w:jc w:val="both"/>
        <w:rPr>
          <w:lang w:val="sl-SI"/>
        </w:rPr>
      </w:pPr>
    </w:p>
    <w:p w:rsidR="00CE63E7" w:rsidRPr="00CE63E7" w:rsidRDefault="00CE63E7" w:rsidP="00740C27">
      <w:pPr>
        <w:spacing w:after="200"/>
        <w:jc w:val="both"/>
        <w:rPr>
          <w:b/>
          <w:lang w:val="sl-SI"/>
        </w:rPr>
      </w:pPr>
      <w:r w:rsidRPr="00CE63E7">
        <w:rPr>
          <w:b/>
          <w:lang w:val="sl-SI"/>
        </w:rPr>
        <w:t>1. Pravna podlaga</w:t>
      </w:r>
    </w:p>
    <w:p w:rsidR="00A414FA" w:rsidRDefault="0022692D" w:rsidP="00A414FA">
      <w:pPr>
        <w:spacing w:after="200"/>
        <w:jc w:val="both"/>
        <w:rPr>
          <w:lang w:val="sl-SI"/>
        </w:rPr>
      </w:pPr>
      <w:r>
        <w:rPr>
          <w:lang w:val="sl-SI"/>
        </w:rPr>
        <w:t xml:space="preserve">Obveznost vključitve začasnega in občasnega dela dijakov in študentov v obvezno pokojninsko in invalidsko zavarovanje po 1. 2. 2015 </w:t>
      </w:r>
      <w:r w:rsidR="00992552">
        <w:rPr>
          <w:lang w:val="sl-SI"/>
        </w:rPr>
        <w:t xml:space="preserve">v 18. členu </w:t>
      </w:r>
      <w:r>
        <w:rPr>
          <w:lang w:val="sl-SI"/>
        </w:rPr>
        <w:t xml:space="preserve">določa </w:t>
      </w:r>
      <w:r w:rsidR="004556EE">
        <w:rPr>
          <w:lang w:val="sl-SI"/>
        </w:rPr>
        <w:t>ZPIZ-2</w:t>
      </w:r>
      <w:r w:rsidR="00992552">
        <w:rPr>
          <w:lang w:val="sl-SI"/>
        </w:rPr>
        <w:t xml:space="preserve">, skladno s </w:t>
      </w:r>
      <w:r>
        <w:rPr>
          <w:lang w:val="sl-SI"/>
        </w:rPr>
        <w:t>3. člen</w:t>
      </w:r>
      <w:r w:rsidR="00992552">
        <w:rPr>
          <w:lang w:val="sl-SI"/>
        </w:rPr>
        <w:t>om</w:t>
      </w:r>
      <w:r>
        <w:rPr>
          <w:lang w:val="sl-SI"/>
        </w:rPr>
        <w:t xml:space="preserve"> Zakona o spremembah in dopolnitvah Zakona za uravnoteženje javnih financ - ZUJF-C </w:t>
      </w:r>
      <w:r w:rsidRPr="0022692D">
        <w:rPr>
          <w:lang w:val="sl-SI"/>
        </w:rPr>
        <w:t>(Uradni list RS, št. 95/14)</w:t>
      </w:r>
      <w:r>
        <w:rPr>
          <w:lang w:val="sl-SI"/>
        </w:rPr>
        <w:t>.</w:t>
      </w:r>
      <w:r w:rsidR="00992552">
        <w:rPr>
          <w:lang w:val="sl-SI"/>
        </w:rPr>
        <w:t xml:space="preserve"> </w:t>
      </w:r>
    </w:p>
    <w:p w:rsidR="00A414FA" w:rsidRDefault="00992552" w:rsidP="00A414FA">
      <w:pPr>
        <w:spacing w:after="200"/>
        <w:jc w:val="both"/>
        <w:rPr>
          <w:rFonts w:cs="Arial"/>
          <w:szCs w:val="20"/>
          <w:lang w:val="sl-SI"/>
        </w:rPr>
      </w:pPr>
      <w:r>
        <w:rPr>
          <w:lang w:val="sl-SI"/>
        </w:rPr>
        <w:t>Opredelitev in način izračuna zavarovalne dobe</w:t>
      </w:r>
      <w:r w:rsidR="00A414FA">
        <w:rPr>
          <w:lang w:val="sl-SI"/>
        </w:rPr>
        <w:t xml:space="preserve"> </w:t>
      </w:r>
      <w:r>
        <w:rPr>
          <w:lang w:val="sl-SI"/>
        </w:rPr>
        <w:t xml:space="preserve">določa 130. člen ZPIZ-2. Ta v </w:t>
      </w:r>
      <w:r w:rsidR="00327A67">
        <w:rPr>
          <w:lang w:val="sl-SI"/>
        </w:rPr>
        <w:t xml:space="preserve">petem in šestem odstavku določa, da </w:t>
      </w:r>
      <w:r w:rsidR="00327A67" w:rsidRPr="00327A67">
        <w:rPr>
          <w:lang w:val="sl-SI"/>
        </w:rPr>
        <w:t xml:space="preserve">se </w:t>
      </w:r>
      <w:r w:rsidR="00327A67">
        <w:rPr>
          <w:lang w:val="sl-SI"/>
        </w:rPr>
        <w:t xml:space="preserve">v zavarovalno dobo </w:t>
      </w:r>
      <w:r w:rsidR="00327A67" w:rsidRPr="00327A67">
        <w:rPr>
          <w:lang w:val="sl-SI"/>
        </w:rPr>
        <w:t>šteje obdobje, ugotovljeno na podlagi skupnega letnega zneska vseh prejemkov iz drugih pravnih razmerij, ki jih je prejel zavar</w:t>
      </w:r>
      <w:r w:rsidR="00327A67">
        <w:rPr>
          <w:lang w:val="sl-SI"/>
        </w:rPr>
        <w:t xml:space="preserve">ovanec iz 18. člena </w:t>
      </w:r>
      <w:r w:rsidR="004556EE">
        <w:rPr>
          <w:lang w:val="sl-SI"/>
        </w:rPr>
        <w:t>ZPIZ-2</w:t>
      </w:r>
      <w:r w:rsidR="00327A67">
        <w:rPr>
          <w:lang w:val="sl-SI"/>
        </w:rPr>
        <w:t xml:space="preserve"> in da se </w:t>
      </w:r>
      <w:r w:rsidR="00327A67">
        <w:rPr>
          <w:rFonts w:cs="Arial"/>
          <w:szCs w:val="20"/>
          <w:lang w:val="sl-SI"/>
        </w:rPr>
        <w:t>t</w:t>
      </w:r>
      <w:r w:rsidR="00327A67" w:rsidRPr="00327A67">
        <w:rPr>
          <w:rFonts w:cs="Arial"/>
          <w:szCs w:val="20"/>
          <w:lang w:val="sl-SI"/>
        </w:rPr>
        <w:t xml:space="preserve">rajanje zavarovalne dobe ugotovi tako, da se prizna po en mesec zavarovalne dobe za vsakih doseženih 60 % povprečne mesečne plače iz leta, za katero se opravi izračun, vendar največ 12 mesecev za posamezno koledarsko leto. Če skupni letni znesek vseh prejemkov iz drugih pravnih razmerij ne dosega 60 % povprečne mesečne plače, se ugotovi trajanje zavarovalne dobe v sorazmernem delu v skladu s 135. členom </w:t>
      </w:r>
      <w:r w:rsidR="00327A67">
        <w:rPr>
          <w:rFonts w:cs="Arial"/>
          <w:szCs w:val="20"/>
          <w:lang w:val="sl-SI"/>
        </w:rPr>
        <w:t>ZPIZ-2</w:t>
      </w:r>
      <w:r w:rsidR="00327A67" w:rsidRPr="00327A67">
        <w:rPr>
          <w:rFonts w:cs="Arial"/>
          <w:szCs w:val="20"/>
          <w:lang w:val="sl-SI"/>
        </w:rPr>
        <w:t>.</w:t>
      </w:r>
      <w:r w:rsidR="00327A67">
        <w:rPr>
          <w:rFonts w:cs="Arial"/>
          <w:szCs w:val="20"/>
          <w:lang w:val="sl-SI"/>
        </w:rPr>
        <w:t xml:space="preserve"> Računanje zavarovalne in pokojninske dobe določa 135. člen ZPIZ-2, ki med drugim v prvem odstavku </w:t>
      </w:r>
      <w:r w:rsidR="00C74DD5">
        <w:rPr>
          <w:rFonts w:cs="Arial"/>
          <w:szCs w:val="20"/>
          <w:lang w:val="sl-SI"/>
        </w:rPr>
        <w:t>pravi</w:t>
      </w:r>
      <w:r w:rsidR="00327A67">
        <w:rPr>
          <w:rFonts w:cs="Arial"/>
          <w:szCs w:val="20"/>
          <w:lang w:val="sl-SI"/>
        </w:rPr>
        <w:t>, da se z</w:t>
      </w:r>
      <w:r w:rsidR="00327A67" w:rsidRPr="00327A67">
        <w:rPr>
          <w:rFonts w:cs="Arial"/>
          <w:szCs w:val="20"/>
          <w:lang w:val="sl-SI"/>
        </w:rPr>
        <w:t>avarovalna doba šteje v koledarskih letih, mesecih in dnevih, pri čemer 30 dni šteje kot en mesec, 12 mesecev pa kot eno leto.</w:t>
      </w:r>
      <w:r w:rsidR="00C74DD5">
        <w:rPr>
          <w:rFonts w:cs="Arial"/>
          <w:szCs w:val="20"/>
          <w:lang w:val="sl-SI"/>
        </w:rPr>
        <w:t xml:space="preserve"> </w:t>
      </w:r>
    </w:p>
    <w:p w:rsidR="001F602E" w:rsidRDefault="00C74DD5" w:rsidP="00A414FA">
      <w:pPr>
        <w:spacing w:after="200"/>
        <w:jc w:val="both"/>
        <w:rPr>
          <w:rFonts w:cs="Arial"/>
          <w:szCs w:val="20"/>
          <w:lang w:val="sl-SI"/>
        </w:rPr>
        <w:sectPr w:rsidR="001F602E" w:rsidSect="009471CF">
          <w:headerReference w:type="default" r:id="rId7"/>
          <w:headerReference w:type="first" r:id="rId8"/>
          <w:pgSz w:w="11900" w:h="16840" w:code="9"/>
          <w:pgMar w:top="1701" w:right="1701" w:bottom="1134" w:left="1701" w:header="2365" w:footer="794" w:gutter="0"/>
          <w:cols w:space="708"/>
          <w:titlePg/>
          <w:docGrid w:linePitch="272"/>
        </w:sectPr>
      </w:pPr>
      <w:r>
        <w:rPr>
          <w:rFonts w:cs="Arial"/>
          <w:szCs w:val="20"/>
          <w:lang w:val="sl-SI"/>
        </w:rPr>
        <w:t xml:space="preserve">410. </w:t>
      </w:r>
      <w:r w:rsidR="00AC3D4F">
        <w:rPr>
          <w:rFonts w:cs="Arial"/>
          <w:szCs w:val="20"/>
          <w:lang w:val="sl-SI"/>
        </w:rPr>
        <w:t xml:space="preserve">člen ZPIZ-2 med prehodnimi in končnimi določbami </w:t>
      </w:r>
      <w:r>
        <w:rPr>
          <w:rFonts w:cs="Arial"/>
          <w:szCs w:val="20"/>
          <w:lang w:val="sl-SI"/>
        </w:rPr>
        <w:t xml:space="preserve">določa prehodno obdobje uveljavitve </w:t>
      </w:r>
      <w:r w:rsidRPr="00C74DD5">
        <w:rPr>
          <w:rFonts w:cs="Arial"/>
          <w:szCs w:val="20"/>
          <w:lang w:val="sl-SI"/>
        </w:rPr>
        <w:t>določb o najnižji osnovi za plačilo prispevkov</w:t>
      </w:r>
      <w:r w:rsidR="00A414FA">
        <w:rPr>
          <w:rFonts w:cs="Arial"/>
          <w:szCs w:val="20"/>
          <w:lang w:val="sl-SI"/>
        </w:rPr>
        <w:t xml:space="preserve"> in dohodkovnem cenzusu.</w:t>
      </w:r>
      <w:r>
        <w:rPr>
          <w:rFonts w:cs="Arial"/>
          <w:szCs w:val="20"/>
          <w:lang w:val="sl-SI"/>
        </w:rPr>
        <w:t xml:space="preserve"> </w:t>
      </w:r>
      <w:r w:rsidR="00A414FA">
        <w:rPr>
          <w:rFonts w:cs="Arial"/>
          <w:szCs w:val="20"/>
          <w:lang w:val="sl-SI"/>
        </w:rPr>
        <w:t>Osmi odstavek 410. člena tako določa, da se n</w:t>
      </w:r>
      <w:r w:rsidR="00A414FA" w:rsidRPr="00A414FA">
        <w:rPr>
          <w:rFonts w:cs="Arial"/>
          <w:szCs w:val="20"/>
          <w:lang w:val="sl-SI"/>
        </w:rPr>
        <w:t xml:space="preserve">e glede na določbo šestega odstavka 130. člena </w:t>
      </w:r>
      <w:r w:rsidR="00A414FA">
        <w:rPr>
          <w:rFonts w:cs="Arial"/>
          <w:szCs w:val="20"/>
          <w:lang w:val="sl-SI"/>
        </w:rPr>
        <w:t>ZPIZ-2</w:t>
      </w:r>
      <w:r w:rsidR="00A414FA" w:rsidRPr="00A414FA">
        <w:rPr>
          <w:rFonts w:cs="Arial"/>
          <w:szCs w:val="20"/>
          <w:lang w:val="sl-SI"/>
        </w:rPr>
        <w:t xml:space="preserve"> zavarovancem iz 18. člena </w:t>
      </w:r>
      <w:r w:rsidR="00A414FA">
        <w:rPr>
          <w:rFonts w:cs="Arial"/>
          <w:szCs w:val="20"/>
          <w:lang w:val="sl-SI"/>
        </w:rPr>
        <w:t>ZPIZ-2</w:t>
      </w:r>
      <w:r w:rsidR="00A414FA" w:rsidRPr="00A414FA">
        <w:rPr>
          <w:rFonts w:cs="Arial"/>
          <w:szCs w:val="20"/>
          <w:lang w:val="sl-SI"/>
        </w:rPr>
        <w:t xml:space="preserve"> v prehodnem obdobju v letu 2014 prizna po en mesec zavarovalne dobe za vsakih doseženih 52 % povprečne mesečne plače iz leta, za katero se</w:t>
      </w:r>
    </w:p>
    <w:p w:rsidR="00CE63E7" w:rsidRPr="00A414FA" w:rsidRDefault="00A414FA" w:rsidP="00A414FA">
      <w:pPr>
        <w:spacing w:after="200"/>
        <w:jc w:val="both"/>
        <w:rPr>
          <w:lang w:val="sl-SI"/>
        </w:rPr>
      </w:pPr>
      <w:r w:rsidRPr="00A414FA">
        <w:rPr>
          <w:rFonts w:cs="Arial"/>
          <w:szCs w:val="20"/>
          <w:lang w:val="sl-SI"/>
        </w:rPr>
        <w:lastRenderedPageBreak/>
        <w:t xml:space="preserve"> opravi izračun, nato pa se vsako leto, dokler ne doseže 60 % povprečne mesečne plače iz leta, za katero se opravi izračun, znesek zvišuje za dve odstotni točki, tako da v letu 2015 znaša 54 %, v letu 2016 znaša 56 %, v letu 2017 pa znaša 58 % povprečne mesečne plače iz leta, za katero se opravi izračun.</w:t>
      </w:r>
      <w:r w:rsidR="00AC3D4F">
        <w:rPr>
          <w:rFonts w:cs="Arial"/>
          <w:szCs w:val="20"/>
          <w:lang w:val="sl-SI"/>
        </w:rPr>
        <w:t xml:space="preserve"> </w:t>
      </w:r>
    </w:p>
    <w:p w:rsidR="00740C27" w:rsidRDefault="001F602E" w:rsidP="00740C27">
      <w:pPr>
        <w:jc w:val="both"/>
        <w:rPr>
          <w:lang w:val="sl-SI"/>
        </w:rPr>
      </w:pPr>
      <w:r>
        <w:rPr>
          <w:lang w:val="sl-SI"/>
        </w:rPr>
        <w:t>M</w:t>
      </w:r>
      <w:r w:rsidR="00AC3D4F">
        <w:rPr>
          <w:lang w:val="sl-SI"/>
        </w:rPr>
        <w:t xml:space="preserve">ed </w:t>
      </w:r>
      <w:r>
        <w:rPr>
          <w:lang w:val="sl-SI"/>
        </w:rPr>
        <w:t xml:space="preserve">navedenimi </w:t>
      </w:r>
      <w:r w:rsidR="00AC3D4F">
        <w:rPr>
          <w:lang w:val="sl-SI"/>
        </w:rPr>
        <w:t xml:space="preserve">pravnimi podlagami povezanimi z obveznostjo vključitve in pravicami iz obveznega pokojninskega in invalidskega zavarovanje v primeru opravljanja začasnega in občasnega dela dijakov in študentov </w:t>
      </w:r>
      <w:r>
        <w:rPr>
          <w:lang w:val="sl-SI"/>
        </w:rPr>
        <w:t>so izpostavljeni</w:t>
      </w:r>
      <w:r w:rsidR="00AC3D4F">
        <w:rPr>
          <w:lang w:val="sl-SI"/>
        </w:rPr>
        <w:t xml:space="preserve"> </w:t>
      </w:r>
      <w:r>
        <w:rPr>
          <w:lang w:val="sl-SI"/>
        </w:rPr>
        <w:t>samo najbolj relevantni členi</w:t>
      </w:r>
      <w:r w:rsidR="00AC3D4F">
        <w:rPr>
          <w:lang w:val="sl-SI"/>
        </w:rPr>
        <w:t xml:space="preserve"> Zakona o pokojnins</w:t>
      </w:r>
      <w:r w:rsidR="00BE6C94">
        <w:rPr>
          <w:lang w:val="sl-SI"/>
        </w:rPr>
        <w:t>kem in invalidskem zavarovanju</w:t>
      </w:r>
      <w:r>
        <w:rPr>
          <w:lang w:val="sl-SI"/>
        </w:rPr>
        <w:t>,</w:t>
      </w:r>
      <w:r w:rsidR="00BE6C94">
        <w:rPr>
          <w:lang w:val="sl-SI"/>
        </w:rPr>
        <w:t xml:space="preserve"> pri dejanskem odločanju o obveznostih in pravicah iz tega naslova pa je seveda potrebno upoštevati določila celotnega zakona.</w:t>
      </w:r>
    </w:p>
    <w:p w:rsidR="00740C27" w:rsidRDefault="00740C27" w:rsidP="00740C27">
      <w:pPr>
        <w:spacing w:after="200"/>
        <w:jc w:val="both"/>
        <w:rPr>
          <w:lang w:val="sl-SI"/>
        </w:rPr>
      </w:pPr>
    </w:p>
    <w:p w:rsidR="00BA5857" w:rsidRPr="00740C27" w:rsidRDefault="00740C27" w:rsidP="005B4B96">
      <w:pPr>
        <w:spacing w:after="200"/>
        <w:jc w:val="both"/>
        <w:rPr>
          <w:b/>
          <w:lang w:val="sl-SI"/>
        </w:rPr>
      </w:pPr>
      <w:r w:rsidRPr="00740C27">
        <w:rPr>
          <w:b/>
          <w:lang w:val="sl-SI"/>
        </w:rPr>
        <w:t>2. Informativni izračun pokojninske dobe</w:t>
      </w:r>
    </w:p>
    <w:p w:rsidR="00D9326A" w:rsidRPr="00D9326A" w:rsidRDefault="005B4B96" w:rsidP="005B4B96">
      <w:pPr>
        <w:spacing w:after="200"/>
        <w:jc w:val="both"/>
        <w:rPr>
          <w:lang w:val="sl-SI"/>
        </w:rPr>
      </w:pPr>
      <w:r>
        <w:rPr>
          <w:lang w:val="sl-SI"/>
        </w:rPr>
        <w:t xml:space="preserve">Za izračun zavarovalne dobe so potrebni podatki o skupnem letnem zaslužku posameznika iz naslova začasnega in občasnega dela dijakov in študentov, podatek o najnižji osnovi za plačilo prispevkov in znesek povprečne bruto plače v letu, za katerega se dela izračun. </w:t>
      </w:r>
      <w:r w:rsidR="00374DE3">
        <w:rPr>
          <w:lang w:val="sl-SI"/>
        </w:rPr>
        <w:t xml:space="preserve">Za potrebe informativnega izračuna znaša najnižja osnova za plačilo prispevkov 54 % povprečne bruto plače (veljavno v 2015), znesek povprečne bruto plače za navedeno leto pa </w:t>
      </w:r>
      <w:r w:rsidR="00294121">
        <w:rPr>
          <w:u w:val="single"/>
          <w:lang w:val="sl-SI"/>
        </w:rPr>
        <w:t>1.523,18</w:t>
      </w:r>
      <w:r w:rsidR="00D9326A" w:rsidRPr="00D9326A">
        <w:rPr>
          <w:u w:val="single"/>
          <w:lang w:val="sl-SI"/>
        </w:rPr>
        <w:t xml:space="preserve"> €</w:t>
      </w:r>
      <w:r w:rsidR="00D9326A" w:rsidRPr="00D9326A">
        <w:rPr>
          <w:vertAlign w:val="superscript"/>
          <w:lang w:val="sl-SI"/>
        </w:rPr>
        <w:footnoteReference w:id="1"/>
      </w:r>
      <w:r w:rsidR="00D9326A" w:rsidRPr="00D9326A">
        <w:rPr>
          <w:lang w:val="sl-SI"/>
        </w:rPr>
        <w:t xml:space="preserve">. </w:t>
      </w:r>
    </w:p>
    <w:p w:rsidR="00D9326A" w:rsidRDefault="00D9326A" w:rsidP="005B4B96">
      <w:pPr>
        <w:spacing w:after="200"/>
        <w:jc w:val="both"/>
        <w:rPr>
          <w:lang w:val="sl-SI"/>
        </w:rPr>
      </w:pPr>
      <w:r w:rsidRPr="00D9326A">
        <w:rPr>
          <w:lang w:val="sl-SI"/>
        </w:rPr>
        <w:t xml:space="preserve">Za priznanje 1. meseca zavarovalne dobe (30 dni) v letu </w:t>
      </w:r>
      <w:r w:rsidR="00C922F6">
        <w:rPr>
          <w:lang w:val="sl-SI"/>
        </w:rPr>
        <w:t>2015</w:t>
      </w:r>
      <w:r w:rsidRPr="00D9326A">
        <w:rPr>
          <w:lang w:val="sl-SI"/>
        </w:rPr>
        <w:t xml:space="preserve"> mora posameznik na podlagi drugega pravnega razmerja </w:t>
      </w:r>
      <w:r w:rsidR="00374DE3">
        <w:rPr>
          <w:lang w:val="sl-SI"/>
        </w:rPr>
        <w:t xml:space="preserve">tako </w:t>
      </w:r>
      <w:r w:rsidRPr="00D9326A">
        <w:rPr>
          <w:lang w:val="sl-SI"/>
        </w:rPr>
        <w:t xml:space="preserve">doseči </w:t>
      </w:r>
      <w:r w:rsidRPr="00D9326A">
        <w:rPr>
          <w:u w:val="single"/>
          <w:lang w:val="sl-SI"/>
        </w:rPr>
        <w:t>54 %</w:t>
      </w:r>
      <w:r w:rsidRPr="00D9326A">
        <w:rPr>
          <w:lang w:val="sl-SI"/>
        </w:rPr>
        <w:t xml:space="preserve"> povprečne </w:t>
      </w:r>
      <w:r w:rsidR="00374DE3">
        <w:rPr>
          <w:lang w:val="sl-SI"/>
        </w:rPr>
        <w:t xml:space="preserve">bruto </w:t>
      </w:r>
      <w:r w:rsidRPr="00D9326A">
        <w:rPr>
          <w:lang w:val="sl-SI"/>
        </w:rPr>
        <w:t xml:space="preserve">plače v navedenem obdobju, torej </w:t>
      </w:r>
      <w:r w:rsidR="00294121">
        <w:rPr>
          <w:u w:val="single"/>
          <w:lang w:val="sl-SI"/>
        </w:rPr>
        <w:t>822,52</w:t>
      </w:r>
      <w:r w:rsidRPr="00637B7A">
        <w:rPr>
          <w:u w:val="single"/>
          <w:lang w:val="sl-SI"/>
        </w:rPr>
        <w:t xml:space="preserve"> €</w:t>
      </w:r>
      <w:r w:rsidRPr="00D9326A">
        <w:rPr>
          <w:lang w:val="sl-SI"/>
        </w:rPr>
        <w:t xml:space="preserve"> (1.5</w:t>
      </w:r>
      <w:r w:rsidR="00294121">
        <w:rPr>
          <w:lang w:val="sl-SI"/>
        </w:rPr>
        <w:t>23,18</w:t>
      </w:r>
      <w:r w:rsidRPr="00D9326A">
        <w:rPr>
          <w:lang w:val="sl-SI"/>
        </w:rPr>
        <w:t xml:space="preserve"> € x 54 %). Od tega dohodka pa morajo biti ustrezno obračunani in plačani prispevki za </w:t>
      </w:r>
      <w:r w:rsidR="005B4B96">
        <w:rPr>
          <w:lang w:val="sl-SI"/>
        </w:rPr>
        <w:t>pokojninsko in invalidsko zavarovanje</w:t>
      </w:r>
      <w:r w:rsidRPr="00D9326A">
        <w:rPr>
          <w:lang w:val="sl-SI"/>
        </w:rPr>
        <w:t>.</w:t>
      </w:r>
      <w:r w:rsidR="00294121">
        <w:rPr>
          <w:lang w:val="sl-SI"/>
        </w:rPr>
        <w:t xml:space="preserve"> Veljavna prispevna stopnja prispevkov za pokojninsko in invalidsko zavarovanje znaša 15,5% za prispevek zavarovanca in 8,85% za prispevek delodajalca, določena pa je v Zakonu o prispevkih za socialno varnost.</w:t>
      </w:r>
      <w:r w:rsidR="00C14B25">
        <w:rPr>
          <w:lang w:val="sl-SI"/>
        </w:rPr>
        <w:t xml:space="preserve"> Prispevke obračuna in odvede posrednik začasnega in občasnega dela dijakov in študentov.</w:t>
      </w:r>
    </w:p>
    <w:p w:rsidR="00D9326A" w:rsidRPr="00D9326A" w:rsidRDefault="00D9326A" w:rsidP="008C1E1A">
      <w:pPr>
        <w:numPr>
          <w:ilvl w:val="0"/>
          <w:numId w:val="7"/>
        </w:numPr>
        <w:spacing w:after="200"/>
        <w:ind w:left="714" w:hanging="357"/>
        <w:jc w:val="both"/>
        <w:rPr>
          <w:i/>
          <w:lang w:val="sl-SI"/>
        </w:rPr>
      </w:pPr>
      <w:r w:rsidRPr="00D9326A">
        <w:rPr>
          <w:i/>
          <w:lang w:val="sl-SI"/>
        </w:rPr>
        <w:t>Primer 1</w:t>
      </w:r>
    </w:p>
    <w:p w:rsidR="00D9326A" w:rsidRDefault="00D9326A" w:rsidP="004556EE">
      <w:pPr>
        <w:spacing w:after="200"/>
        <w:jc w:val="both"/>
        <w:rPr>
          <w:lang w:val="sl-SI"/>
        </w:rPr>
      </w:pPr>
      <w:r w:rsidRPr="00D9326A">
        <w:rPr>
          <w:lang w:val="sl-SI"/>
        </w:rPr>
        <w:t xml:space="preserve">Dijak je </w:t>
      </w:r>
      <w:r w:rsidR="00C922F6">
        <w:rPr>
          <w:lang w:val="sl-SI"/>
        </w:rPr>
        <w:t xml:space="preserve">v letu 2015 iz naslova začasnega in občasnega dela dijakov in študentov skupaj zaslužil </w:t>
      </w:r>
      <w:r w:rsidR="00C922F6" w:rsidRPr="00C22667">
        <w:rPr>
          <w:u w:val="single"/>
          <w:lang w:val="sl-SI"/>
        </w:rPr>
        <w:t>500</w:t>
      </w:r>
      <w:r w:rsidR="00C22667" w:rsidRPr="00C22667">
        <w:rPr>
          <w:u w:val="single"/>
          <w:lang w:val="sl-SI"/>
        </w:rPr>
        <w:t>,0</w:t>
      </w:r>
      <w:r w:rsidR="00637B7A">
        <w:rPr>
          <w:u w:val="single"/>
          <w:lang w:val="sl-SI"/>
        </w:rPr>
        <w:t>0</w:t>
      </w:r>
      <w:r w:rsidR="00C922F6" w:rsidRPr="00C22667">
        <w:rPr>
          <w:u w:val="single"/>
          <w:lang w:val="sl-SI"/>
        </w:rPr>
        <w:t xml:space="preserve"> </w:t>
      </w:r>
      <w:r w:rsidR="00637B7A">
        <w:rPr>
          <w:u w:val="single"/>
          <w:lang w:val="sl-SI"/>
        </w:rPr>
        <w:t>€</w:t>
      </w:r>
      <w:r w:rsidR="00C922F6" w:rsidRPr="00C22667">
        <w:rPr>
          <w:u w:val="single"/>
          <w:lang w:val="sl-SI"/>
        </w:rPr>
        <w:t xml:space="preserve"> bruto</w:t>
      </w:r>
      <w:r w:rsidRPr="00D9326A">
        <w:rPr>
          <w:lang w:val="sl-SI"/>
        </w:rPr>
        <w:t>. Znesek na napotnici je bruto znesek, ki vključuje neto izplačilo dijaku ali študentu in prispevke zavarovanca za PIZ</w:t>
      </w:r>
      <w:r w:rsidR="00C22667">
        <w:rPr>
          <w:lang w:val="sl-SI"/>
        </w:rPr>
        <w:t xml:space="preserve"> (15,5%)</w:t>
      </w:r>
      <w:r w:rsidR="00637B7A">
        <w:rPr>
          <w:lang w:val="sl-SI"/>
        </w:rPr>
        <w:t>.</w:t>
      </w:r>
      <w:r w:rsidRPr="00D9326A">
        <w:rPr>
          <w:lang w:val="sl-SI"/>
        </w:rPr>
        <w:t xml:space="preserve"> Dijak je tako </w:t>
      </w:r>
      <w:r w:rsidR="00C22667">
        <w:rPr>
          <w:lang w:val="sl-SI"/>
        </w:rPr>
        <w:t xml:space="preserve">iz tega naslova </w:t>
      </w:r>
      <w:r w:rsidR="005B4B96">
        <w:rPr>
          <w:lang w:val="sl-SI"/>
        </w:rPr>
        <w:t xml:space="preserve">v letu 2015 </w:t>
      </w:r>
      <w:r w:rsidRPr="00D9326A">
        <w:rPr>
          <w:lang w:val="sl-SI"/>
        </w:rPr>
        <w:t xml:space="preserve">prejel </w:t>
      </w:r>
      <w:r w:rsidR="00C22667">
        <w:rPr>
          <w:u w:val="single"/>
          <w:lang w:val="sl-SI"/>
        </w:rPr>
        <w:t>422,5</w:t>
      </w:r>
      <w:r w:rsidR="00637B7A">
        <w:rPr>
          <w:u w:val="single"/>
          <w:lang w:val="sl-SI"/>
        </w:rPr>
        <w:t>0</w:t>
      </w:r>
      <w:r w:rsidRPr="00D9326A">
        <w:rPr>
          <w:u w:val="single"/>
          <w:lang w:val="sl-SI"/>
        </w:rPr>
        <w:t xml:space="preserve"> € neto</w:t>
      </w:r>
      <w:r w:rsidRPr="00D9326A">
        <w:rPr>
          <w:lang w:val="sl-SI"/>
        </w:rPr>
        <w:t xml:space="preserve"> (</w:t>
      </w:r>
      <w:r w:rsidR="00C22667">
        <w:rPr>
          <w:lang w:val="sl-SI"/>
        </w:rPr>
        <w:t>500</w:t>
      </w:r>
      <w:r w:rsidR="00637B7A">
        <w:rPr>
          <w:lang w:val="sl-SI"/>
        </w:rPr>
        <w:t>,00 €</w:t>
      </w:r>
      <w:r w:rsidR="00C22667">
        <w:rPr>
          <w:lang w:val="sl-SI"/>
        </w:rPr>
        <w:t xml:space="preserve"> x 84,50 %</w:t>
      </w:r>
      <w:r w:rsidRPr="00D9326A">
        <w:rPr>
          <w:lang w:val="sl-SI"/>
        </w:rPr>
        <w:t>).</w:t>
      </w:r>
      <w:r w:rsidR="00294121">
        <w:rPr>
          <w:lang w:val="sl-SI"/>
        </w:rPr>
        <w:t xml:space="preserve"> Znesek bruto prejemka dijaka predstavlja </w:t>
      </w:r>
      <w:r w:rsidR="00B94479">
        <w:rPr>
          <w:lang w:val="sl-SI"/>
        </w:rPr>
        <w:t xml:space="preserve">61 % mesečne osnove iz 130. in 410. člena ZPIZ-2 </w:t>
      </w:r>
      <w:r w:rsidR="00B94479" w:rsidRPr="00D9326A">
        <w:rPr>
          <w:lang w:val="sl-SI"/>
        </w:rPr>
        <w:t>(</w:t>
      </w:r>
      <w:r w:rsidR="00B94479">
        <w:rPr>
          <w:lang w:val="sl-SI"/>
        </w:rPr>
        <w:t>500,00</w:t>
      </w:r>
      <w:r w:rsidR="00B94479" w:rsidRPr="00D9326A">
        <w:rPr>
          <w:lang w:val="sl-SI"/>
        </w:rPr>
        <w:t xml:space="preserve"> € / 8</w:t>
      </w:r>
      <w:r w:rsidR="00B94479">
        <w:rPr>
          <w:lang w:val="sl-SI"/>
        </w:rPr>
        <w:t>22,52</w:t>
      </w:r>
      <w:r w:rsidR="00B94479" w:rsidRPr="00D9326A">
        <w:rPr>
          <w:lang w:val="sl-SI"/>
        </w:rPr>
        <w:t xml:space="preserve"> €)</w:t>
      </w:r>
      <w:r w:rsidR="00B94479">
        <w:rPr>
          <w:lang w:val="sl-SI"/>
        </w:rPr>
        <w:t xml:space="preserve">. </w:t>
      </w:r>
      <w:r w:rsidRPr="00D9326A">
        <w:rPr>
          <w:lang w:val="sl-SI"/>
        </w:rPr>
        <w:t>Dijaku bo priznana zavarovalna doba v skupnem trajanju</w:t>
      </w:r>
      <w:r w:rsidR="00B94479" w:rsidRPr="001A6C55">
        <w:rPr>
          <w:lang w:val="sl-SI"/>
        </w:rPr>
        <w:t xml:space="preserve"> </w:t>
      </w:r>
      <w:r w:rsidR="00B94479">
        <w:rPr>
          <w:u w:val="single"/>
          <w:lang w:val="sl-SI"/>
        </w:rPr>
        <w:t>18</w:t>
      </w:r>
      <w:r w:rsidRPr="00D9326A">
        <w:rPr>
          <w:u w:val="single"/>
          <w:lang w:val="sl-SI"/>
        </w:rPr>
        <w:t xml:space="preserve"> dni</w:t>
      </w:r>
      <w:r w:rsidRPr="00D9326A">
        <w:rPr>
          <w:lang w:val="sl-SI"/>
        </w:rPr>
        <w:t xml:space="preserve"> (30 dni x 0,</w:t>
      </w:r>
      <w:r w:rsidR="00B94479">
        <w:rPr>
          <w:lang w:val="sl-SI"/>
        </w:rPr>
        <w:t>61</w:t>
      </w:r>
      <w:r w:rsidRPr="00D9326A">
        <w:rPr>
          <w:lang w:val="sl-SI"/>
        </w:rPr>
        <w:t>).</w:t>
      </w:r>
    </w:p>
    <w:p w:rsidR="00D9326A" w:rsidRDefault="00D9326A" w:rsidP="008C1E1A">
      <w:pPr>
        <w:numPr>
          <w:ilvl w:val="0"/>
          <w:numId w:val="7"/>
        </w:numPr>
        <w:spacing w:after="200"/>
        <w:ind w:left="714" w:hanging="357"/>
        <w:jc w:val="both"/>
        <w:rPr>
          <w:i/>
          <w:lang w:val="sl-SI"/>
        </w:rPr>
      </w:pPr>
      <w:r w:rsidRPr="00D9326A">
        <w:rPr>
          <w:i/>
          <w:lang w:val="sl-SI"/>
        </w:rPr>
        <w:t>Primer 2</w:t>
      </w:r>
    </w:p>
    <w:p w:rsidR="00740C27" w:rsidRDefault="00637B7A" w:rsidP="00D9326A">
      <w:pPr>
        <w:jc w:val="both"/>
        <w:rPr>
          <w:lang w:val="sl-SI"/>
        </w:rPr>
      </w:pPr>
      <w:r>
        <w:rPr>
          <w:lang w:val="sl-SI"/>
        </w:rPr>
        <w:t>Študent</w:t>
      </w:r>
      <w:r w:rsidRPr="00D9326A">
        <w:rPr>
          <w:lang w:val="sl-SI"/>
        </w:rPr>
        <w:t xml:space="preserve"> je </w:t>
      </w:r>
      <w:r>
        <w:rPr>
          <w:lang w:val="sl-SI"/>
        </w:rPr>
        <w:t xml:space="preserve">v letu 2015 iz naslova začasnega in občasnega dela dijakov in študentov skupaj zaslužil </w:t>
      </w:r>
      <w:r>
        <w:rPr>
          <w:u w:val="single"/>
          <w:lang w:val="sl-SI"/>
        </w:rPr>
        <w:t>2000</w:t>
      </w:r>
      <w:r w:rsidRPr="00C22667">
        <w:rPr>
          <w:u w:val="single"/>
          <w:lang w:val="sl-SI"/>
        </w:rPr>
        <w:t>,0</w:t>
      </w:r>
      <w:r>
        <w:rPr>
          <w:u w:val="single"/>
          <w:lang w:val="sl-SI"/>
        </w:rPr>
        <w:t>0</w:t>
      </w:r>
      <w:r w:rsidRPr="00C22667">
        <w:rPr>
          <w:u w:val="single"/>
          <w:lang w:val="sl-SI"/>
        </w:rPr>
        <w:t xml:space="preserve"> </w:t>
      </w:r>
      <w:r>
        <w:rPr>
          <w:u w:val="single"/>
          <w:lang w:val="sl-SI"/>
        </w:rPr>
        <w:t>€</w:t>
      </w:r>
      <w:r w:rsidRPr="00C22667">
        <w:rPr>
          <w:u w:val="single"/>
          <w:lang w:val="sl-SI"/>
        </w:rPr>
        <w:t xml:space="preserve"> bruto</w:t>
      </w:r>
      <w:r w:rsidRPr="00D9326A">
        <w:rPr>
          <w:lang w:val="sl-SI"/>
        </w:rPr>
        <w:t>.</w:t>
      </w:r>
      <w:r>
        <w:rPr>
          <w:lang w:val="sl-SI"/>
        </w:rPr>
        <w:t xml:space="preserve"> </w:t>
      </w:r>
      <w:r w:rsidRPr="00D9326A">
        <w:rPr>
          <w:lang w:val="sl-SI"/>
        </w:rPr>
        <w:t>Znesek na napotnici je bruto znesek, ki vključuje neto izplačilo dijaku ali študentu in prispevke zavarovanca za PIZ</w:t>
      </w:r>
      <w:r>
        <w:rPr>
          <w:lang w:val="sl-SI"/>
        </w:rPr>
        <w:t xml:space="preserve"> (15,5%). </w:t>
      </w:r>
      <w:r w:rsidR="00D9326A" w:rsidRPr="00D9326A">
        <w:rPr>
          <w:lang w:val="sl-SI"/>
        </w:rPr>
        <w:t xml:space="preserve">Študent je </w:t>
      </w:r>
      <w:r w:rsidR="005B4B96">
        <w:rPr>
          <w:lang w:val="sl-SI"/>
        </w:rPr>
        <w:t xml:space="preserve">tako </w:t>
      </w:r>
      <w:r w:rsidR="00D9326A" w:rsidRPr="00D9326A">
        <w:rPr>
          <w:lang w:val="sl-SI"/>
        </w:rPr>
        <w:t xml:space="preserve">iz tega naslova </w:t>
      </w:r>
      <w:r w:rsidR="005B4B96">
        <w:rPr>
          <w:lang w:val="sl-SI"/>
        </w:rPr>
        <w:t xml:space="preserve">v letu 2015 </w:t>
      </w:r>
      <w:r w:rsidR="00D9326A" w:rsidRPr="00D9326A">
        <w:rPr>
          <w:lang w:val="sl-SI"/>
        </w:rPr>
        <w:t xml:space="preserve">prejel </w:t>
      </w:r>
      <w:r>
        <w:rPr>
          <w:u w:val="single"/>
          <w:lang w:val="sl-SI"/>
        </w:rPr>
        <w:t>1690,00</w:t>
      </w:r>
      <w:r w:rsidR="00D9326A" w:rsidRPr="00D9326A">
        <w:rPr>
          <w:u w:val="single"/>
          <w:lang w:val="sl-SI"/>
        </w:rPr>
        <w:t xml:space="preserve"> € neto</w:t>
      </w:r>
      <w:r w:rsidR="00D9326A" w:rsidRPr="00D9326A">
        <w:rPr>
          <w:lang w:val="sl-SI"/>
        </w:rPr>
        <w:t xml:space="preserve"> (</w:t>
      </w:r>
      <w:r>
        <w:rPr>
          <w:lang w:val="sl-SI"/>
        </w:rPr>
        <w:t>2000,00 €</w:t>
      </w:r>
      <w:r w:rsidR="00D9326A" w:rsidRPr="00D9326A">
        <w:rPr>
          <w:lang w:val="sl-SI"/>
        </w:rPr>
        <w:t xml:space="preserve"> </w:t>
      </w:r>
      <w:r>
        <w:rPr>
          <w:lang w:val="sl-SI"/>
        </w:rPr>
        <w:t>x 84,5 %)</w:t>
      </w:r>
      <w:r w:rsidR="00D9326A" w:rsidRPr="00D9326A">
        <w:rPr>
          <w:lang w:val="sl-SI"/>
        </w:rPr>
        <w:t xml:space="preserve">. </w:t>
      </w:r>
      <w:r w:rsidR="00B94479">
        <w:rPr>
          <w:lang w:val="sl-SI"/>
        </w:rPr>
        <w:t xml:space="preserve">Znesek bruto prejemka dijaka predstavlja 243 % mesečne osnove iz 130. in 410. člena ZPIZ-2 </w:t>
      </w:r>
      <w:r w:rsidR="00B94479" w:rsidRPr="00D9326A">
        <w:rPr>
          <w:lang w:val="sl-SI"/>
        </w:rPr>
        <w:t>(</w:t>
      </w:r>
      <w:r w:rsidR="00B94479">
        <w:rPr>
          <w:lang w:val="sl-SI"/>
        </w:rPr>
        <w:t>2000,00</w:t>
      </w:r>
      <w:r w:rsidR="00B94479" w:rsidRPr="00D9326A">
        <w:rPr>
          <w:lang w:val="sl-SI"/>
        </w:rPr>
        <w:t xml:space="preserve"> € / 8</w:t>
      </w:r>
      <w:r w:rsidR="00B94479">
        <w:rPr>
          <w:lang w:val="sl-SI"/>
        </w:rPr>
        <w:t>22,52</w:t>
      </w:r>
      <w:r w:rsidR="00B94479" w:rsidRPr="00D9326A">
        <w:rPr>
          <w:lang w:val="sl-SI"/>
        </w:rPr>
        <w:t xml:space="preserve"> €)</w:t>
      </w:r>
      <w:r w:rsidR="00B94479">
        <w:rPr>
          <w:lang w:val="sl-SI"/>
        </w:rPr>
        <w:t xml:space="preserve">, od tega znesek 1645,04 € pokrije 2 cela meseca zavarovalne dobe, ostanek 354,96 € pa se preračuna na dneve. </w:t>
      </w:r>
      <w:r w:rsidR="00D9326A" w:rsidRPr="00D9326A">
        <w:rPr>
          <w:lang w:val="sl-SI"/>
        </w:rPr>
        <w:t xml:space="preserve">Študentu bo priznana zavarovalna doba v skupnem trajanju </w:t>
      </w:r>
      <w:r w:rsidR="009F0B88" w:rsidRPr="001A6C55">
        <w:rPr>
          <w:lang w:val="sl-SI"/>
        </w:rPr>
        <w:t>2</w:t>
      </w:r>
      <w:r w:rsidR="00D9326A" w:rsidRPr="001A6C55">
        <w:rPr>
          <w:lang w:val="sl-SI"/>
        </w:rPr>
        <w:t xml:space="preserve"> meseca </w:t>
      </w:r>
      <w:r w:rsidR="00B94479" w:rsidRPr="001A6C55">
        <w:rPr>
          <w:lang w:val="sl-SI"/>
        </w:rPr>
        <w:t xml:space="preserve">in </w:t>
      </w:r>
      <w:r w:rsidR="00B25BDD" w:rsidRPr="001A6C55">
        <w:rPr>
          <w:lang w:val="sl-SI"/>
        </w:rPr>
        <w:t xml:space="preserve">12 </w:t>
      </w:r>
      <w:r w:rsidR="00D9326A" w:rsidRPr="001A6C55">
        <w:rPr>
          <w:lang w:val="sl-SI"/>
        </w:rPr>
        <w:t>dni</w:t>
      </w:r>
      <w:r w:rsidR="00D9326A" w:rsidRPr="00D9326A">
        <w:rPr>
          <w:lang w:val="sl-SI"/>
        </w:rPr>
        <w:t xml:space="preserve"> (30 dni x </w:t>
      </w:r>
      <w:r w:rsidR="00B94479">
        <w:rPr>
          <w:lang w:val="sl-SI"/>
        </w:rPr>
        <w:t>0,43</w:t>
      </w:r>
      <w:r w:rsidR="00D9326A" w:rsidRPr="00D9326A">
        <w:rPr>
          <w:lang w:val="sl-SI"/>
        </w:rPr>
        <w:t>).</w:t>
      </w:r>
    </w:p>
    <w:p w:rsidR="00740C27" w:rsidRDefault="00740C27" w:rsidP="00BA5857">
      <w:pPr>
        <w:rPr>
          <w:lang w:val="sl-SI"/>
        </w:rPr>
      </w:pPr>
    </w:p>
    <w:p w:rsidR="00740C27" w:rsidRDefault="00336CD2" w:rsidP="00BA5857">
      <w:pPr>
        <w:rPr>
          <w:lang w:val="sl-SI"/>
        </w:rPr>
      </w:pPr>
      <w:r>
        <w:rPr>
          <w:lang w:val="sl-SI"/>
        </w:rPr>
        <w:t>S spoštovanjem,</w:t>
      </w:r>
    </w:p>
    <w:p w:rsidR="001F602E" w:rsidRDefault="001F602E" w:rsidP="00BA5857">
      <w:pPr>
        <w:rPr>
          <w:lang w:val="sl-SI"/>
        </w:rPr>
      </w:pPr>
    </w:p>
    <w:p w:rsidR="00BA5857" w:rsidRPr="00202A77" w:rsidRDefault="009F0B88" w:rsidP="009F0B88">
      <w:pPr>
        <w:pStyle w:val="podpisi"/>
        <w:rPr>
          <w:lang w:val="sl-SI"/>
        </w:rPr>
      </w:pPr>
      <w:r>
        <w:rPr>
          <w:lang w:val="sl-SI"/>
        </w:rPr>
        <w:tab/>
        <w:t xml:space="preserve">       Peter Pogačar</w:t>
      </w:r>
    </w:p>
    <w:p w:rsidR="00BA5857" w:rsidRPr="00202A77" w:rsidRDefault="009F0B88" w:rsidP="009F0B88">
      <w:pPr>
        <w:pStyle w:val="podpisi"/>
        <w:rPr>
          <w:lang w:val="sl-SI"/>
        </w:rPr>
      </w:pPr>
      <w:r>
        <w:rPr>
          <w:lang w:val="sl-SI"/>
        </w:rPr>
        <w:tab/>
        <w:t>GENERALNI DIREKTOR</w:t>
      </w:r>
    </w:p>
    <w:p w:rsidR="007D75CF" w:rsidRPr="009F0B88" w:rsidRDefault="007D75CF" w:rsidP="00BA5857">
      <w:pPr>
        <w:rPr>
          <w:lang w:val="de-AT"/>
        </w:rPr>
      </w:pPr>
    </w:p>
    <w:sectPr w:rsidR="007D75CF" w:rsidRPr="009F0B88" w:rsidSect="001F602E">
      <w:headerReference w:type="first" r:id="rId9"/>
      <w:pgSz w:w="11900" w:h="16840" w:code="9"/>
      <w:pgMar w:top="1253"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C1A" w:rsidRDefault="005D7C1A">
      <w:r>
        <w:separator/>
      </w:r>
    </w:p>
  </w:endnote>
  <w:endnote w:type="continuationSeparator" w:id="0">
    <w:p w:rsidR="005D7C1A" w:rsidRDefault="005D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Republika">
    <w:altName w:val="Times New Roman"/>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C1A" w:rsidRDefault="005D7C1A">
      <w:r>
        <w:separator/>
      </w:r>
    </w:p>
  </w:footnote>
  <w:footnote w:type="continuationSeparator" w:id="0">
    <w:p w:rsidR="005D7C1A" w:rsidRDefault="005D7C1A">
      <w:r>
        <w:continuationSeparator/>
      </w:r>
    </w:p>
  </w:footnote>
  <w:footnote w:id="1">
    <w:p w:rsidR="00B94479" w:rsidRDefault="00B94479" w:rsidP="00D9326A">
      <w:pPr>
        <w:pStyle w:val="Sprotnaopomba-besedilo"/>
      </w:pPr>
      <w:r>
        <w:rPr>
          <w:rStyle w:val="Sprotnaopomba-sklic"/>
        </w:rPr>
        <w:footnoteRef/>
      </w:r>
      <w:r>
        <w:t xml:space="preserve"> Zaradi nedostopnosti podatkov </w:t>
      </w:r>
      <w:r w:rsidR="00B25BDD">
        <w:t xml:space="preserve">o </w:t>
      </w:r>
      <w:r>
        <w:t>povprečn</w:t>
      </w:r>
      <w:r w:rsidR="00B25BDD">
        <w:t>i</w:t>
      </w:r>
      <w:r>
        <w:t xml:space="preserve"> plač</w:t>
      </w:r>
      <w:r w:rsidR="00B25BDD">
        <w:t>i</w:t>
      </w:r>
      <w:r>
        <w:t xml:space="preserve"> za leto 2015,ki bo izračunana šele v februarju 2016, se za namen navedenega informativnega izračuna uporablja zadnji znan podatek SURS to je povprečna plača za leto 2013, ki je znašala 1.523,18 € in je objavljena v uradnem listu RS, št. 15/2014.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479" w:rsidRPr="00110CBD" w:rsidRDefault="00B9447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94479" w:rsidRPr="008F3500">
      <w:trPr>
        <w:cantSplit/>
        <w:trHeight w:hRule="exact" w:val="847"/>
      </w:trPr>
      <w:tc>
        <w:tcPr>
          <w:tcW w:w="567" w:type="dxa"/>
        </w:tcPr>
        <w:p w:rsidR="00B94479" w:rsidRPr="008F3500" w:rsidRDefault="00B94479" w:rsidP="00D248DE">
          <w:pPr>
            <w:autoSpaceDE w:val="0"/>
            <w:autoSpaceDN w:val="0"/>
            <w:adjustRightInd w:val="0"/>
            <w:spacing w:line="240" w:lineRule="auto"/>
            <w:rPr>
              <w:rFonts w:ascii="Republika" w:hAnsi="Republika"/>
              <w:color w:val="529DBA"/>
              <w:sz w:val="60"/>
              <w:szCs w:val="60"/>
              <w:lang w:val="sl-SI"/>
            </w:rPr>
          </w:pPr>
        </w:p>
      </w:tc>
    </w:tr>
  </w:tbl>
  <w:p w:rsidR="00B94479" w:rsidRPr="008F3500" w:rsidRDefault="00B94479"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4292600" cy="1453515"/>
          <wp:effectExtent l="19050" t="0" r="0" b="0"/>
          <wp:wrapNone/>
          <wp:docPr id="21" name="Slika 21" descr="MDDSZ_Direkt_za_delovna_razmerja_in_pravice_iz_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_Direkt_za_delovna_razmerja_in_pravice_iz_dela"/>
                  <pic:cNvPicPr>
                    <a:picLocks noChangeAspect="1" noChangeArrowheads="1"/>
                  </pic:cNvPicPr>
                </pic:nvPicPr>
                <pic:blipFill>
                  <a:blip r:embed="rId1"/>
                  <a:srcRect/>
                  <a:stretch>
                    <a:fillRect/>
                  </a:stretch>
                </pic:blipFill>
                <pic:spPr bwMode="auto">
                  <a:xfrm>
                    <a:off x="0" y="0"/>
                    <a:ext cx="4292600" cy="1453515"/>
                  </a:xfrm>
                  <a:prstGeom prst="rect">
                    <a:avLst/>
                  </a:prstGeom>
                  <a:noFill/>
                  <a:ln w="9525">
                    <a:noFill/>
                    <a:miter lim="800000"/>
                    <a:headEnd/>
                    <a:tailEnd/>
                  </a:ln>
                </pic:spPr>
              </pic:pic>
            </a:graphicData>
          </a:graphic>
        </wp:anchor>
      </w:drawing>
    </w:r>
    <w:r>
      <w:rPr>
        <w:rFonts w:cs="Arial"/>
        <w:sz w:val="16"/>
        <w:lang w:val="sl-SI"/>
      </w:rPr>
      <w:t>Kotnikova ulica 28</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01 369 77 08</w:t>
    </w:r>
  </w:p>
  <w:p w:rsidR="00B94479" w:rsidRPr="008F3500" w:rsidRDefault="00B94479"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01 369 78 32</w:t>
    </w:r>
    <w:r w:rsidRPr="008F3500">
      <w:rPr>
        <w:rFonts w:cs="Arial"/>
        <w:sz w:val="16"/>
        <w:lang w:val="sl-SI"/>
      </w:rPr>
      <w:t xml:space="preserve"> </w:t>
    </w:r>
  </w:p>
  <w:p w:rsidR="00B94479" w:rsidRPr="008F3500" w:rsidRDefault="00B94479"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gp.mddsz@gov.si</w:t>
    </w:r>
  </w:p>
  <w:p w:rsidR="00B94479" w:rsidRPr="008F3500" w:rsidRDefault="00B94479"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www.mddsz.gov.si</w:t>
    </w:r>
  </w:p>
  <w:p w:rsidR="00B94479" w:rsidRPr="008F3500" w:rsidRDefault="00B94479"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2E" w:rsidRPr="008F3500" w:rsidRDefault="001F602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B507E37"/>
    <w:multiLevelType w:val="hybridMultilevel"/>
    <w:tmpl w:val="855214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123F71"/>
    <w:multiLevelType w:val="hybridMultilevel"/>
    <w:tmpl w:val="9588257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638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9568A"/>
    <w:rsid w:val="000A7238"/>
    <w:rsid w:val="001357B2"/>
    <w:rsid w:val="001737F2"/>
    <w:rsid w:val="0017478F"/>
    <w:rsid w:val="001A6C55"/>
    <w:rsid w:val="001F602E"/>
    <w:rsid w:val="00202A77"/>
    <w:rsid w:val="0022692D"/>
    <w:rsid w:val="00236E1C"/>
    <w:rsid w:val="0025746E"/>
    <w:rsid w:val="00271CE5"/>
    <w:rsid w:val="00282020"/>
    <w:rsid w:val="00294121"/>
    <w:rsid w:val="002A2B69"/>
    <w:rsid w:val="002E1B6D"/>
    <w:rsid w:val="00325B41"/>
    <w:rsid w:val="00327A67"/>
    <w:rsid w:val="00332426"/>
    <w:rsid w:val="00336CD2"/>
    <w:rsid w:val="003636BF"/>
    <w:rsid w:val="00371442"/>
    <w:rsid w:val="00374DE3"/>
    <w:rsid w:val="003845B4"/>
    <w:rsid w:val="00387B1A"/>
    <w:rsid w:val="003C5EE5"/>
    <w:rsid w:val="003E1C74"/>
    <w:rsid w:val="00454D66"/>
    <w:rsid w:val="004556EE"/>
    <w:rsid w:val="004657EE"/>
    <w:rsid w:val="004850FA"/>
    <w:rsid w:val="00512A36"/>
    <w:rsid w:val="00526246"/>
    <w:rsid w:val="00567106"/>
    <w:rsid w:val="005B4B96"/>
    <w:rsid w:val="005D7C1A"/>
    <w:rsid w:val="005E1D3C"/>
    <w:rsid w:val="005F2940"/>
    <w:rsid w:val="00625AE6"/>
    <w:rsid w:val="00632228"/>
    <w:rsid w:val="00632253"/>
    <w:rsid w:val="00637B7A"/>
    <w:rsid w:val="00642714"/>
    <w:rsid w:val="006455CE"/>
    <w:rsid w:val="00655841"/>
    <w:rsid w:val="00733017"/>
    <w:rsid w:val="00740C27"/>
    <w:rsid w:val="00783310"/>
    <w:rsid w:val="007A4A6D"/>
    <w:rsid w:val="007D1BCF"/>
    <w:rsid w:val="007D75CF"/>
    <w:rsid w:val="007E0440"/>
    <w:rsid w:val="007E6DC5"/>
    <w:rsid w:val="0088043C"/>
    <w:rsid w:val="00884889"/>
    <w:rsid w:val="008906C9"/>
    <w:rsid w:val="008C1E1A"/>
    <w:rsid w:val="008C5738"/>
    <w:rsid w:val="008D04F0"/>
    <w:rsid w:val="008F3500"/>
    <w:rsid w:val="00924E3C"/>
    <w:rsid w:val="009471CF"/>
    <w:rsid w:val="009612BB"/>
    <w:rsid w:val="00992552"/>
    <w:rsid w:val="009B6D4E"/>
    <w:rsid w:val="009C740A"/>
    <w:rsid w:val="009D2CE3"/>
    <w:rsid w:val="009F0B88"/>
    <w:rsid w:val="00A125C5"/>
    <w:rsid w:val="00A2451C"/>
    <w:rsid w:val="00A414FA"/>
    <w:rsid w:val="00A65EE7"/>
    <w:rsid w:val="00A70133"/>
    <w:rsid w:val="00A770A6"/>
    <w:rsid w:val="00A813B1"/>
    <w:rsid w:val="00AA3DDD"/>
    <w:rsid w:val="00AB36C4"/>
    <w:rsid w:val="00AC32B2"/>
    <w:rsid w:val="00AC3D4F"/>
    <w:rsid w:val="00B17141"/>
    <w:rsid w:val="00B25BDD"/>
    <w:rsid w:val="00B31575"/>
    <w:rsid w:val="00B8547D"/>
    <w:rsid w:val="00B94479"/>
    <w:rsid w:val="00B946DB"/>
    <w:rsid w:val="00BA5857"/>
    <w:rsid w:val="00BE6C94"/>
    <w:rsid w:val="00C14B25"/>
    <w:rsid w:val="00C22667"/>
    <w:rsid w:val="00C250D5"/>
    <w:rsid w:val="00C35666"/>
    <w:rsid w:val="00C74DD5"/>
    <w:rsid w:val="00C922F6"/>
    <w:rsid w:val="00C92898"/>
    <w:rsid w:val="00CA4340"/>
    <w:rsid w:val="00CB35B5"/>
    <w:rsid w:val="00CE5238"/>
    <w:rsid w:val="00CE63E7"/>
    <w:rsid w:val="00CE7514"/>
    <w:rsid w:val="00D04605"/>
    <w:rsid w:val="00D22035"/>
    <w:rsid w:val="00D248DE"/>
    <w:rsid w:val="00D8542D"/>
    <w:rsid w:val="00D85942"/>
    <w:rsid w:val="00D9326A"/>
    <w:rsid w:val="00DA02CE"/>
    <w:rsid w:val="00DC3CAF"/>
    <w:rsid w:val="00DC6A71"/>
    <w:rsid w:val="00E0357D"/>
    <w:rsid w:val="00E7655B"/>
    <w:rsid w:val="00ED1C3E"/>
    <w:rsid w:val="00EE0997"/>
    <w:rsid w:val="00F13D7B"/>
    <w:rsid w:val="00F240BB"/>
    <w:rsid w:val="00F57FED"/>
    <w:rsid w:val="00FE0BF4"/>
    <w:rsid w:val="00FE5E42"/>
    <w:rsid w:val="00FF01F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428299,#529dba"/>
    </o:shapedefaults>
    <o:shapelayout v:ext="edit">
      <o:idmap v:ext="edit" data="1"/>
    </o:shapelayout>
  </w:shapeDefaults>
  <w:doNotEmbedSmartTags/>
  <w:decimalSymbol w:val=","/>
  <w:listSeparator w:val=";"/>
  <w15:docId w15:val="{602BEE85-8C02-4898-8597-D059D5DD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basedOn w:val="Navaden"/>
    <w:link w:val="Sprotnaopomba-besediloZnak"/>
    <w:uiPriority w:val="99"/>
    <w:unhideWhenUsed/>
    <w:rsid w:val="00D9326A"/>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rsid w:val="00D9326A"/>
    <w:rPr>
      <w:rFonts w:asciiTheme="minorHAnsi" w:eastAsiaTheme="minorHAnsi" w:hAnsiTheme="minorHAnsi" w:cstheme="minorBidi"/>
      <w:lang w:eastAsia="en-US"/>
    </w:rPr>
  </w:style>
  <w:style w:type="character" w:styleId="Sprotnaopomba-sklic">
    <w:name w:val="footnote reference"/>
    <w:basedOn w:val="Privzetapisavaodstavka"/>
    <w:uiPriority w:val="99"/>
    <w:unhideWhenUsed/>
    <w:rsid w:val="00D9326A"/>
    <w:rPr>
      <w:vertAlign w:val="superscript"/>
    </w:rPr>
  </w:style>
  <w:style w:type="paragraph" w:styleId="Besedilooblaka">
    <w:name w:val="Balloon Text"/>
    <w:basedOn w:val="Navaden"/>
    <w:link w:val="BesedilooblakaZnak"/>
    <w:rsid w:val="001A6C5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1A6C5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4905</Characters>
  <Application>Microsoft Office Word</Application>
  <DocSecurity>4</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md280</dc:creator>
  <cp:lastModifiedBy>Mateja Poljanec</cp:lastModifiedBy>
  <cp:revision>2</cp:revision>
  <cp:lastPrinted>2010-07-16T08:41:00Z</cp:lastPrinted>
  <dcterms:created xsi:type="dcterms:W3CDTF">2019-08-07T08:12:00Z</dcterms:created>
  <dcterms:modified xsi:type="dcterms:W3CDTF">2019-08-07T08:12:00Z</dcterms:modified>
</cp:coreProperties>
</file>