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02" w:rsidRPr="009711DC" w:rsidRDefault="006A52B4" w:rsidP="009711DC">
      <w:pPr>
        <w:spacing w:before="67"/>
        <w:ind w:right="228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9711DC">
        <w:rPr>
          <w:rFonts w:ascii="Arial" w:eastAsia="Arial" w:hAnsi="Arial" w:cs="Arial"/>
          <w:b/>
          <w:color w:val="529CB9"/>
          <w:sz w:val="21"/>
          <w:szCs w:val="21"/>
          <w:lang w:val="sl-SI"/>
        </w:rPr>
        <w:t>Vročanje odpovedi pogodbe o zaposlitvi</w:t>
      </w:r>
    </w:p>
    <w:p w:rsidR="00060402" w:rsidRPr="009711DC" w:rsidRDefault="00060402" w:rsidP="009711DC">
      <w:pPr>
        <w:spacing w:before="14" w:line="200" w:lineRule="exact"/>
        <w:ind w:right="228"/>
        <w:jc w:val="both"/>
        <w:rPr>
          <w:lang w:val="sl-SI"/>
        </w:rPr>
      </w:pPr>
    </w:p>
    <w:p w:rsidR="00060402" w:rsidRPr="009711DC" w:rsidRDefault="006A52B4" w:rsidP="009711DC">
      <w:pPr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Vročanje pogodbe o zaposlitvi je urejeno v 88. členu Zakona o delovnih razmerjih (Uradni list RS, št. 21/13, </w:t>
      </w:r>
      <w:r w:rsidR="009711DC" w:rsidRPr="009711DC">
        <w:rPr>
          <w:rFonts w:ascii="Arial" w:eastAsia="Arial" w:hAnsi="Arial" w:cs="Arial"/>
          <w:sz w:val="18"/>
          <w:szCs w:val="18"/>
          <w:lang w:val="sl-SI"/>
        </w:rPr>
        <w:t>7</w:t>
      </w:r>
      <w:r w:rsidRPr="009711DC">
        <w:rPr>
          <w:rFonts w:ascii="Arial" w:eastAsia="Arial" w:hAnsi="Arial" w:cs="Arial"/>
          <w:sz w:val="18"/>
          <w:szCs w:val="18"/>
          <w:lang w:val="sl-SI"/>
        </w:rPr>
        <w:t>8/13</w:t>
      </w:r>
      <w:r w:rsidR="009711DC" w:rsidRPr="009711DC">
        <w:rPr>
          <w:rFonts w:ascii="Arial" w:eastAsia="Arial" w:hAnsi="Arial" w:cs="Arial"/>
          <w:sz w:val="18"/>
          <w:szCs w:val="18"/>
          <w:lang w:val="sl-SI"/>
        </w:rPr>
        <w:t xml:space="preserve"> </w:t>
      </w:r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– </w:t>
      </w:r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popr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., 47/15 – ZZSDT, </w:t>
      </w:r>
      <w:hyperlink r:id="rId5">
        <w:r w:rsidRPr="009711DC">
          <w:rPr>
            <w:rFonts w:ascii="Arial" w:eastAsia="Arial" w:hAnsi="Arial" w:cs="Arial"/>
            <w:sz w:val="18"/>
            <w:szCs w:val="18"/>
            <w:lang w:val="sl-SI"/>
          </w:rPr>
          <w:t>3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>3/16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PZ-F, </w:t>
      </w:r>
      <w:hyperlink r:id="rId6">
        <w:r w:rsidRPr="009711DC">
          <w:rPr>
            <w:rFonts w:ascii="Arial" w:eastAsia="Arial" w:hAnsi="Arial" w:cs="Arial"/>
            <w:sz w:val="18"/>
            <w:szCs w:val="18"/>
            <w:lang w:val="sl-SI"/>
          </w:rPr>
          <w:t>52/16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in </w:t>
        </w:r>
      </w:hyperlink>
      <w:hyperlink r:id="rId7">
        <w:r w:rsidRPr="009711DC">
          <w:rPr>
            <w:rFonts w:ascii="Arial" w:eastAsia="Arial" w:hAnsi="Arial" w:cs="Arial"/>
            <w:sz w:val="18"/>
            <w:szCs w:val="18"/>
            <w:lang w:val="sl-SI"/>
          </w:rPr>
          <w:t>15/17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>. US; v nadaljnjem besedilu: ZDR-1). Ustavno sodišče je v ustavni odločbi</w:t>
      </w:r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 številka U-I-200/15-21 in Up-936/15-20 z dne 16.3.2017 odločilo, da se razveljavi četrti odstavek 88. člena ZDR-1, ki je urejal vročanje odpovedi pogodbe o zaposlitvi delavcu in delodajalcu po pošti s priporočeno pošiljko s povratnico v skladu s predpisi </w:t>
      </w:r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o poštnih storitvah. Hkrati je določilo, da se do </w:t>
      </w:r>
      <w:r w:rsidR="009711DC" w:rsidRPr="009711DC">
        <w:rPr>
          <w:rFonts w:ascii="Arial" w:eastAsia="Arial" w:hAnsi="Arial" w:cs="Arial"/>
          <w:sz w:val="18"/>
          <w:szCs w:val="18"/>
          <w:lang w:val="sl-SI"/>
        </w:rPr>
        <w:t>d</w:t>
      </w:r>
      <w:r w:rsidRPr="009711DC">
        <w:rPr>
          <w:rFonts w:ascii="Arial" w:eastAsia="Arial" w:hAnsi="Arial" w:cs="Arial"/>
          <w:sz w:val="18"/>
          <w:szCs w:val="18"/>
          <w:lang w:val="sl-SI"/>
        </w:rPr>
        <w:t>rugačne</w:t>
      </w:r>
      <w:r w:rsidR="009711DC" w:rsidRPr="009711DC">
        <w:rPr>
          <w:rFonts w:ascii="Arial" w:eastAsia="Arial" w:hAnsi="Arial" w:cs="Arial"/>
          <w:sz w:val="18"/>
          <w:szCs w:val="18"/>
          <w:lang w:val="sl-SI"/>
        </w:rPr>
        <w:t xml:space="preserve"> </w:t>
      </w:r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ureditve za vročanje pogodbe o zaposlitvi delavcu po pošti uporabljajo pravila pravdnega postopka o osebnem vročanju (ki so urejena v 142. členu Zakona o pravdnem postopku (Uradni list RS, št. </w:t>
      </w:r>
      <w:hyperlink r:id="rId8">
        <w:r w:rsidRPr="009711DC">
          <w:rPr>
            <w:rFonts w:ascii="Arial" w:eastAsia="Arial" w:hAnsi="Arial" w:cs="Arial"/>
            <w:sz w:val="18"/>
            <w:szCs w:val="18"/>
            <w:lang w:val="sl-SI"/>
          </w:rPr>
          <w:t>73/07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>– uradno prečiščeno</w:t>
        </w:r>
      </w:hyperlink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 besedilo, </w:t>
      </w:r>
      <w:hyperlink r:id="rId9">
        <w:r w:rsidRPr="009711DC">
          <w:rPr>
            <w:rFonts w:ascii="Arial" w:eastAsia="Arial" w:hAnsi="Arial" w:cs="Arial"/>
            <w:sz w:val="18"/>
            <w:szCs w:val="18"/>
            <w:lang w:val="sl-SI"/>
          </w:rPr>
          <w:t>45/08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ZArbit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, </w:t>
      </w:r>
      <w:hyperlink r:id="rId10">
        <w:r w:rsidRPr="009711DC">
          <w:rPr>
            <w:rFonts w:ascii="Arial" w:eastAsia="Arial" w:hAnsi="Arial" w:cs="Arial"/>
            <w:sz w:val="18"/>
            <w:szCs w:val="18"/>
            <w:lang w:val="sl-SI"/>
          </w:rPr>
          <w:t>45/08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, </w:t>
        </w:r>
      </w:hyperlink>
      <w:hyperlink r:id="rId11">
        <w:r w:rsidRPr="009711DC">
          <w:rPr>
            <w:rFonts w:ascii="Arial" w:eastAsia="Arial" w:hAnsi="Arial" w:cs="Arial"/>
            <w:sz w:val="18"/>
            <w:szCs w:val="18"/>
            <w:lang w:val="sl-SI"/>
          </w:rPr>
          <w:t>111/08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 US, </w:t>
      </w:r>
      <w:hyperlink r:id="rId12">
        <w:r w:rsidRPr="009711DC">
          <w:rPr>
            <w:rFonts w:ascii="Arial" w:eastAsia="Arial" w:hAnsi="Arial" w:cs="Arial"/>
            <w:sz w:val="18"/>
            <w:szCs w:val="18"/>
            <w:lang w:val="sl-SI"/>
          </w:rPr>
          <w:t>57/09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 US, </w:t>
      </w:r>
      <w:hyperlink r:id="rId13">
        <w:r w:rsidRPr="009711DC">
          <w:rPr>
            <w:rFonts w:ascii="Arial" w:eastAsia="Arial" w:hAnsi="Arial" w:cs="Arial"/>
            <w:sz w:val="18"/>
            <w:szCs w:val="18"/>
            <w:lang w:val="sl-SI"/>
          </w:rPr>
          <w:t>12/10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 US, </w:t>
      </w:r>
      <w:hyperlink r:id="rId14">
        <w:r w:rsidRPr="009711DC">
          <w:rPr>
            <w:rFonts w:ascii="Arial" w:eastAsia="Arial" w:hAnsi="Arial" w:cs="Arial"/>
            <w:sz w:val="18"/>
            <w:szCs w:val="18"/>
            <w:lang w:val="sl-SI"/>
          </w:rPr>
          <w:t>50/10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 US, </w:t>
      </w:r>
      <w:hyperlink r:id="rId15">
        <w:r w:rsidRPr="009711DC">
          <w:rPr>
            <w:rFonts w:ascii="Arial" w:eastAsia="Arial" w:hAnsi="Arial" w:cs="Arial"/>
            <w:sz w:val="18"/>
            <w:szCs w:val="18"/>
            <w:lang w:val="sl-SI"/>
          </w:rPr>
          <w:t>107/10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 US, </w:t>
      </w:r>
      <w:hyperlink r:id="rId16">
        <w:r w:rsidRPr="009711DC">
          <w:rPr>
            <w:rFonts w:ascii="Arial" w:eastAsia="Arial" w:hAnsi="Arial" w:cs="Arial"/>
            <w:sz w:val="18"/>
            <w:szCs w:val="18"/>
            <w:lang w:val="sl-SI"/>
          </w:rPr>
          <w:t>75/12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 US, </w:t>
      </w:r>
      <w:hyperlink r:id="rId17">
        <w:r w:rsidRPr="009711DC">
          <w:rPr>
            <w:rFonts w:ascii="Arial" w:eastAsia="Arial" w:hAnsi="Arial" w:cs="Arial"/>
            <w:sz w:val="18"/>
            <w:szCs w:val="18"/>
            <w:lang w:val="sl-SI"/>
          </w:rPr>
          <w:t>40/13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 US, </w:t>
      </w:r>
      <w:hyperlink r:id="rId18">
        <w:r w:rsidRPr="009711DC">
          <w:rPr>
            <w:rFonts w:ascii="Arial" w:eastAsia="Arial" w:hAnsi="Arial" w:cs="Arial"/>
            <w:sz w:val="18"/>
            <w:szCs w:val="18"/>
            <w:lang w:val="sl-SI"/>
          </w:rPr>
          <w:t>92/13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 US, </w:t>
      </w:r>
      <w:hyperlink r:id="rId19">
        <w:r w:rsidRPr="009711DC">
          <w:rPr>
            <w:rFonts w:ascii="Arial" w:eastAsia="Arial" w:hAnsi="Arial" w:cs="Arial"/>
            <w:sz w:val="18"/>
            <w:szCs w:val="18"/>
            <w:lang w:val="sl-SI"/>
          </w:rPr>
          <w:t>10/14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 US, </w:t>
      </w:r>
      <w:hyperlink r:id="rId20">
        <w:r w:rsidRPr="009711DC">
          <w:rPr>
            <w:rFonts w:ascii="Arial" w:eastAsia="Arial" w:hAnsi="Arial" w:cs="Arial"/>
            <w:sz w:val="18"/>
            <w:szCs w:val="18"/>
            <w:lang w:val="sl-SI"/>
          </w:rPr>
          <w:t>48/15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 US, </w:t>
      </w:r>
      <w:hyperlink r:id="rId21">
        <w:r w:rsidRPr="009711DC">
          <w:rPr>
            <w:rFonts w:ascii="Arial" w:eastAsia="Arial" w:hAnsi="Arial" w:cs="Arial"/>
            <w:sz w:val="18"/>
            <w:szCs w:val="18"/>
            <w:lang w:val="sl-SI"/>
          </w:rPr>
          <w:t>6/17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proofErr w:type="spellStart"/>
      <w:r w:rsidRPr="009711DC">
        <w:rPr>
          <w:rFonts w:ascii="Arial" w:eastAsia="Arial" w:hAnsi="Arial" w:cs="Arial"/>
          <w:sz w:val="18"/>
          <w:szCs w:val="18"/>
          <w:lang w:val="sl-SI"/>
        </w:rPr>
        <w:t>odl</w:t>
      </w:r>
      <w:proofErr w:type="spellEnd"/>
      <w:r w:rsidRPr="009711DC">
        <w:rPr>
          <w:rFonts w:ascii="Arial" w:eastAsia="Arial" w:hAnsi="Arial" w:cs="Arial"/>
          <w:sz w:val="18"/>
          <w:szCs w:val="18"/>
          <w:lang w:val="sl-SI"/>
        </w:rPr>
        <w:t xml:space="preserve">. US in </w:t>
      </w:r>
      <w:hyperlink r:id="rId22">
        <w:r w:rsidRPr="009711DC">
          <w:rPr>
            <w:rFonts w:ascii="Arial" w:eastAsia="Arial" w:hAnsi="Arial" w:cs="Arial"/>
            <w:sz w:val="18"/>
            <w:szCs w:val="18"/>
            <w:lang w:val="sl-SI"/>
          </w:rPr>
          <w:t>10/17</w:t>
        </w:r>
        <w:r w:rsidRPr="009711DC">
          <w:rPr>
            <w:rFonts w:ascii="Arial" w:eastAsia="Arial" w:hAnsi="Arial" w:cs="Arial"/>
            <w:sz w:val="18"/>
            <w:szCs w:val="18"/>
            <w:lang w:val="sl-SI"/>
          </w:rPr>
          <w:t>;</w:t>
        </w:r>
      </w:hyperlink>
    </w:p>
    <w:p w:rsidR="00060402" w:rsidRPr="009711DC" w:rsidRDefault="006A52B4" w:rsidP="009711DC">
      <w:pPr>
        <w:spacing w:line="200" w:lineRule="exact"/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9711DC">
        <w:rPr>
          <w:rFonts w:ascii="Arial" w:eastAsia="Arial" w:hAnsi="Arial" w:cs="Arial"/>
          <w:sz w:val="18"/>
          <w:szCs w:val="18"/>
          <w:lang w:val="sl-SI"/>
        </w:rPr>
        <w:t>v nadaljnjem besedilu: ZPP).</w:t>
      </w:r>
    </w:p>
    <w:p w:rsidR="00060402" w:rsidRDefault="00060402" w:rsidP="009711DC">
      <w:pPr>
        <w:spacing w:before="16" w:line="260" w:lineRule="exact"/>
        <w:ind w:right="228"/>
        <w:jc w:val="both"/>
        <w:rPr>
          <w:sz w:val="26"/>
          <w:szCs w:val="26"/>
          <w:lang w:val="sl-SI"/>
        </w:rPr>
      </w:pPr>
    </w:p>
    <w:p w:rsidR="006A52B4" w:rsidRPr="009711DC" w:rsidRDefault="006A52B4" w:rsidP="009711DC">
      <w:pPr>
        <w:spacing w:before="16" w:line="260" w:lineRule="exact"/>
        <w:ind w:right="228"/>
        <w:jc w:val="both"/>
        <w:rPr>
          <w:sz w:val="26"/>
          <w:szCs w:val="26"/>
          <w:lang w:val="sl-SI"/>
        </w:rPr>
      </w:pPr>
      <w:bookmarkStart w:id="0" w:name="_GoBack"/>
      <w:bookmarkEnd w:id="0"/>
    </w:p>
    <w:p w:rsidR="00060402" w:rsidRPr="009711DC" w:rsidRDefault="006A52B4" w:rsidP="009711DC">
      <w:pPr>
        <w:ind w:right="228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9711DC">
        <w:rPr>
          <w:rFonts w:ascii="Arial" w:eastAsia="Arial" w:hAnsi="Arial" w:cs="Arial"/>
          <w:b/>
          <w:color w:val="529CB9"/>
          <w:sz w:val="21"/>
          <w:szCs w:val="21"/>
          <w:lang w:val="sl-SI"/>
        </w:rPr>
        <w:t>Kako se torej vroča odpoved pogodbe o zaposlitvi?</w:t>
      </w:r>
    </w:p>
    <w:p w:rsidR="00060402" w:rsidRPr="009711DC" w:rsidRDefault="00060402" w:rsidP="009711DC">
      <w:pPr>
        <w:spacing w:before="7" w:line="200" w:lineRule="exact"/>
        <w:ind w:right="228"/>
        <w:jc w:val="both"/>
        <w:rPr>
          <w:lang w:val="sl-SI"/>
        </w:rPr>
      </w:pPr>
    </w:p>
    <w:p w:rsidR="00060402" w:rsidRPr="006A52B4" w:rsidRDefault="006A52B4" w:rsidP="009711DC">
      <w:pPr>
        <w:spacing w:line="243" w:lineRule="auto"/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>Praviloma se odpoved pogodbe o zaposlitvi vroča v prostorih delodajalca</w:t>
      </w:r>
      <w:r w:rsidRPr="009711DC">
        <w:rPr>
          <w:rFonts w:ascii="Arial" w:eastAsia="Arial" w:hAnsi="Arial" w:cs="Arial"/>
          <w:color w:val="616060"/>
          <w:sz w:val="18"/>
          <w:szCs w:val="18"/>
          <w:lang w:val="sl-SI"/>
        </w:rPr>
        <w:t xml:space="preserve">. </w:t>
      </w:r>
      <w:r w:rsidRPr="006A52B4">
        <w:rPr>
          <w:rFonts w:ascii="Arial" w:eastAsia="Arial" w:hAnsi="Arial" w:cs="Arial"/>
          <w:sz w:val="18"/>
          <w:szCs w:val="18"/>
          <w:lang w:val="sl-SI"/>
        </w:rPr>
        <w:t>Če pogodbena stranka odkloni vročitev odpovedi, se šteje, da je bila vročitev opravljena (fikcija vročitve). Dokazno breme za vročitev oziroma odklonitev vročitve je na pogodbeni stra</w:t>
      </w:r>
      <w:r w:rsidRPr="006A52B4">
        <w:rPr>
          <w:rFonts w:ascii="Arial" w:eastAsia="Arial" w:hAnsi="Arial" w:cs="Arial"/>
          <w:sz w:val="18"/>
          <w:szCs w:val="18"/>
          <w:lang w:val="sl-SI"/>
        </w:rPr>
        <w:t>nki, ki odpoveduje pogodbo o zaposlitvi (tretji odstavek 88. člena ZDR-1).</w:t>
      </w:r>
    </w:p>
    <w:p w:rsidR="00060402" w:rsidRPr="006A52B4" w:rsidRDefault="00060402" w:rsidP="009711DC">
      <w:pPr>
        <w:spacing w:before="9" w:line="180" w:lineRule="exact"/>
        <w:ind w:right="228"/>
        <w:jc w:val="both"/>
        <w:rPr>
          <w:sz w:val="19"/>
          <w:szCs w:val="19"/>
          <w:lang w:val="sl-SI"/>
        </w:rPr>
      </w:pPr>
    </w:p>
    <w:p w:rsidR="00060402" w:rsidRPr="006A52B4" w:rsidRDefault="006A52B4" w:rsidP="009711DC">
      <w:pPr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>Če se odpoved pogodbe o zaposlitvi vroča po pošti, se za vročanje uporabljajo pravila pravdnega postopka o osebnem vročanju</w:t>
      </w:r>
      <w:r w:rsidRPr="009711DC">
        <w:rPr>
          <w:rFonts w:ascii="Arial" w:eastAsia="Arial" w:hAnsi="Arial" w:cs="Arial"/>
          <w:color w:val="616060"/>
          <w:sz w:val="18"/>
          <w:szCs w:val="18"/>
          <w:lang w:val="sl-SI"/>
        </w:rPr>
        <w:t xml:space="preserve">. </w:t>
      </w:r>
      <w:r w:rsidRPr="006A52B4">
        <w:rPr>
          <w:rFonts w:ascii="Arial" w:eastAsia="Arial" w:hAnsi="Arial" w:cs="Arial"/>
          <w:sz w:val="18"/>
          <w:szCs w:val="18"/>
          <w:lang w:val="sl-SI"/>
        </w:rPr>
        <w:t>Osebna vročitev po pošti je urejena v 142. členu ZPP. V</w:t>
      </w:r>
      <w:r w:rsidRPr="006A52B4">
        <w:rPr>
          <w:rFonts w:ascii="Arial" w:eastAsia="Arial" w:hAnsi="Arial" w:cs="Arial"/>
          <w:sz w:val="18"/>
          <w:szCs w:val="18"/>
          <w:lang w:val="sl-SI"/>
        </w:rPr>
        <w:t>ročitev se opravi osebno naslovniku. V kolikor vročevalec naslovniku odpovedi pogodbe o zaposlitvi ne more vročiti, poštno pošiljko izroči pošti v kraju, kjer naslovnik stanuje, naslovniku pa v hišnem ali izpostavljenem predalčniku oziroma na vratih stanov</w:t>
      </w:r>
      <w:r w:rsidRPr="006A52B4">
        <w:rPr>
          <w:rFonts w:ascii="Arial" w:eastAsia="Arial" w:hAnsi="Arial" w:cs="Arial"/>
          <w:sz w:val="18"/>
          <w:szCs w:val="18"/>
          <w:lang w:val="sl-SI"/>
        </w:rPr>
        <w:t>anja pusti obvestilo, v katerem je navedeno, kje ga pošiljka čaka in rok 15 dni, v katerem mora pošiljko dvigniti. Vročitev se šteje za opravljeno z dnem, ko naslovnik pisanje dvigne. V kolikor naslovnik poštne pošiljke ne dvigne v 15-dnevnem roku, se štej</w:t>
      </w:r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e, da je bila vročitev odpovedi pogodbe o zaposlitvi opravljena po poteku tega roka, na kar je naslovnik opozorjen v obvestilu. Po poteku tega roka se naslovniku poštna pošiljka – odpoved pogodbe o zaposlitvi pusti v njegovem hišnem oziroma izpostavljenem </w:t>
      </w:r>
      <w:r w:rsidRPr="006A52B4">
        <w:rPr>
          <w:rFonts w:ascii="Arial" w:eastAsia="Arial" w:hAnsi="Arial" w:cs="Arial"/>
          <w:sz w:val="18"/>
          <w:szCs w:val="18"/>
          <w:lang w:val="sl-SI"/>
        </w:rPr>
        <w:t>predalčniku.</w:t>
      </w:r>
    </w:p>
    <w:p w:rsidR="00060402" w:rsidRPr="009711DC" w:rsidRDefault="00060402" w:rsidP="009711DC">
      <w:pPr>
        <w:spacing w:before="3" w:line="200" w:lineRule="exact"/>
        <w:ind w:right="228"/>
        <w:jc w:val="both"/>
        <w:rPr>
          <w:lang w:val="sl-SI"/>
        </w:rPr>
      </w:pPr>
    </w:p>
    <w:p w:rsidR="00060402" w:rsidRPr="009711DC" w:rsidRDefault="006A52B4" w:rsidP="009711DC">
      <w:pPr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 xml:space="preserve">Za vročitev odpovedi po pošti v skladu s pravili pravdnega postopka o osebnem vročanju se uporabi posebna ovojnica (kuverta) za vročanje po pošti v pravdnem postopku. </w:t>
      </w:r>
      <w:r w:rsidRPr="006A52B4">
        <w:rPr>
          <w:rFonts w:ascii="Arial" w:eastAsia="Arial" w:hAnsi="Arial" w:cs="Arial"/>
          <w:sz w:val="18"/>
          <w:szCs w:val="18"/>
          <w:lang w:val="sl-SI"/>
        </w:rPr>
        <w:t>Obliko, vsebino in način izpolnjevanja te ovojnice določa Pravilnik o ovojn</w:t>
      </w:r>
      <w:r w:rsidRPr="006A52B4">
        <w:rPr>
          <w:rFonts w:ascii="Arial" w:eastAsia="Arial" w:hAnsi="Arial" w:cs="Arial"/>
          <w:sz w:val="18"/>
          <w:szCs w:val="18"/>
          <w:lang w:val="sl-SI"/>
        </w:rPr>
        <w:t>ici za vročanje po pošti v pravdnem postopku (Uradni list RS, št.</w:t>
      </w:r>
      <w:r w:rsidR="009711DC" w:rsidRPr="006A52B4">
        <w:rPr>
          <w:rFonts w:ascii="Arial" w:eastAsia="Arial" w:hAnsi="Arial" w:cs="Arial"/>
          <w:sz w:val="18"/>
          <w:szCs w:val="18"/>
          <w:lang w:val="sl-SI"/>
        </w:rPr>
        <w:t xml:space="preserve"> </w:t>
      </w:r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49/17). Gre za </w:t>
      </w: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 xml:space="preserve">kuverto bele barve z modrimi </w:t>
      </w:r>
      <w:proofErr w:type="spellStart"/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>predtiskanimi</w:t>
      </w:r>
      <w:proofErr w:type="spellEnd"/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 xml:space="preserve"> podatki in oznako »AR« (rdeče barve)</w:t>
      </w:r>
      <w:r w:rsid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 xml:space="preserve"> </w:t>
      </w: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>»OSEBNO! ZPP</w:t>
      </w:r>
      <w:r w:rsidRPr="006A52B4">
        <w:rPr>
          <w:rFonts w:ascii="Arial" w:eastAsia="Arial" w:hAnsi="Arial" w:cs="Arial"/>
          <w:sz w:val="18"/>
          <w:szCs w:val="18"/>
          <w:lang w:val="sl-SI"/>
        </w:rPr>
        <w:t>«, katere sestavni del so med drugim obrazec vročilnice, obvestila o prispelem pismu in obvestila (sodišču) o opravljeni vročitvi.</w:t>
      </w:r>
      <w:r w:rsidRPr="009711DC">
        <w:rPr>
          <w:rFonts w:ascii="Arial" w:eastAsia="Arial" w:hAnsi="Arial" w:cs="Arial"/>
          <w:color w:val="616060"/>
          <w:sz w:val="18"/>
          <w:szCs w:val="18"/>
          <w:lang w:val="sl-SI"/>
        </w:rPr>
        <w:t xml:space="preserve"> </w:t>
      </w: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 xml:space="preserve">Glede na to, da gre za kuverto, ki jo sicer uporabljajo sodišča za vročanje v pravdnem postopku, je treba </w:t>
      </w:r>
      <w:proofErr w:type="spellStart"/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>prednastavljeno</w:t>
      </w:r>
      <w:proofErr w:type="spellEnd"/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 xml:space="preserve"> vse</w:t>
      </w: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>bino kuverte uporabiti smiselno oziroma prilagojeno vročanju odpovedi pogodbe o zaposlitvi.</w:t>
      </w:r>
    </w:p>
    <w:p w:rsidR="00060402" w:rsidRPr="009711DC" w:rsidRDefault="00060402" w:rsidP="009711DC">
      <w:pPr>
        <w:spacing w:before="6" w:line="200" w:lineRule="exact"/>
        <w:ind w:right="228"/>
        <w:jc w:val="both"/>
        <w:rPr>
          <w:lang w:val="sl-SI"/>
        </w:rPr>
      </w:pPr>
    </w:p>
    <w:p w:rsidR="00060402" w:rsidRPr="006A52B4" w:rsidRDefault="006A52B4" w:rsidP="009711DC">
      <w:pPr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 xml:space="preserve">V posebej določenih primerih se vročitev lahko opravi z objavo na oglasnem mestu pri delodajalcu </w:t>
      </w:r>
      <w:r w:rsidRPr="006A52B4">
        <w:rPr>
          <w:rFonts w:ascii="Arial" w:eastAsia="Arial" w:hAnsi="Arial" w:cs="Arial"/>
          <w:sz w:val="18"/>
          <w:szCs w:val="18"/>
          <w:lang w:val="sl-SI"/>
        </w:rPr>
        <w:t>(če delavec nima stalnega ali začasnega prebivališča v Republiki S</w:t>
      </w:r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loveniji oziroma delavec na naslovu iz prejšnjega odstavka ni znan). Po poteku osmih dni od objave odpovedi pogodbe o zaposlitvi v zaprti ovojnici na oglasnem mestu se šteje vročitev za opravljeno. Če delodajalec na naslovu iz prejšnjega odstavka ni znan, </w:t>
      </w:r>
      <w:r w:rsidRPr="006A52B4">
        <w:rPr>
          <w:rFonts w:ascii="Arial" w:eastAsia="Arial" w:hAnsi="Arial" w:cs="Arial"/>
          <w:sz w:val="18"/>
          <w:szCs w:val="18"/>
          <w:lang w:val="sl-SI"/>
        </w:rPr>
        <w:t>se vročitev odpovedi pogodbe o zaposlitvi šteje za opravljeno, ko delavec odpoved pogodbe o zaposlitvi vroči s priporočeno pošiljko s povratnico Inšpektoratu za delo (peti odstavek 88. člena ZDR-1).</w:t>
      </w:r>
    </w:p>
    <w:p w:rsidR="00060402" w:rsidRPr="009711DC" w:rsidRDefault="00060402" w:rsidP="009711DC">
      <w:pPr>
        <w:spacing w:before="7" w:line="200" w:lineRule="exact"/>
        <w:ind w:right="228"/>
        <w:jc w:val="both"/>
        <w:rPr>
          <w:lang w:val="sl-SI"/>
        </w:rPr>
      </w:pPr>
    </w:p>
    <w:p w:rsidR="00060402" w:rsidRPr="006A52B4" w:rsidRDefault="006A52B4" w:rsidP="009711DC">
      <w:pPr>
        <w:spacing w:line="200" w:lineRule="exact"/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>Smiselna uporaba pravil pravdnega postopka ostaja za tis</w:t>
      </w: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 xml:space="preserve">ta vprašanja vročanja, ki jih ZDR-1 ne ureja </w:t>
      </w:r>
      <w:r w:rsidRPr="006A52B4">
        <w:rPr>
          <w:rFonts w:ascii="Arial" w:eastAsia="Arial" w:hAnsi="Arial" w:cs="Arial"/>
          <w:sz w:val="18"/>
          <w:szCs w:val="18"/>
          <w:lang w:val="sl-SI"/>
        </w:rPr>
        <w:t>(šesti odstavek 88. člena ZDR-1).</w:t>
      </w:r>
    </w:p>
    <w:p w:rsidR="00060402" w:rsidRDefault="00060402" w:rsidP="009711DC">
      <w:pPr>
        <w:spacing w:before="18" w:line="260" w:lineRule="exact"/>
        <w:ind w:right="228"/>
        <w:jc w:val="both"/>
        <w:rPr>
          <w:sz w:val="26"/>
          <w:szCs w:val="26"/>
          <w:lang w:val="sl-SI"/>
        </w:rPr>
      </w:pPr>
    </w:p>
    <w:p w:rsidR="00060402" w:rsidRPr="009711DC" w:rsidRDefault="006A52B4" w:rsidP="009711DC">
      <w:pPr>
        <w:ind w:right="228"/>
        <w:jc w:val="both"/>
        <w:rPr>
          <w:rFonts w:ascii="Arial" w:eastAsia="Arial" w:hAnsi="Arial" w:cs="Arial"/>
          <w:sz w:val="21"/>
          <w:szCs w:val="21"/>
          <w:lang w:val="sl-SI"/>
        </w:rPr>
      </w:pPr>
      <w:r w:rsidRPr="009711DC">
        <w:rPr>
          <w:rFonts w:ascii="Arial" w:eastAsia="Arial" w:hAnsi="Arial" w:cs="Arial"/>
          <w:b/>
          <w:color w:val="529CB9"/>
          <w:sz w:val="21"/>
          <w:szCs w:val="21"/>
          <w:lang w:val="sl-SI"/>
        </w:rPr>
        <w:t>Kdo vroča odpoved pogodbe o zaposlitvi po pravilih pravdnega postopka o osebnem</w:t>
      </w:r>
      <w:r w:rsidR="009711DC">
        <w:rPr>
          <w:rFonts w:ascii="Arial" w:eastAsia="Arial" w:hAnsi="Arial" w:cs="Arial"/>
          <w:b/>
          <w:color w:val="529CB9"/>
          <w:sz w:val="21"/>
          <w:szCs w:val="21"/>
          <w:lang w:val="sl-SI"/>
        </w:rPr>
        <w:t xml:space="preserve"> </w:t>
      </w:r>
      <w:r w:rsidRPr="009711DC">
        <w:rPr>
          <w:rFonts w:ascii="Arial" w:eastAsia="Arial" w:hAnsi="Arial" w:cs="Arial"/>
          <w:b/>
          <w:color w:val="529CB9"/>
          <w:sz w:val="21"/>
          <w:szCs w:val="21"/>
          <w:lang w:val="sl-SI"/>
        </w:rPr>
        <w:t>vročanju?</w:t>
      </w:r>
    </w:p>
    <w:p w:rsidR="00060402" w:rsidRPr="009711DC" w:rsidRDefault="00060402" w:rsidP="009711DC">
      <w:pPr>
        <w:spacing w:before="11" w:line="200" w:lineRule="exact"/>
        <w:ind w:right="228"/>
        <w:jc w:val="both"/>
        <w:rPr>
          <w:lang w:val="sl-SI"/>
        </w:rPr>
      </w:pPr>
    </w:p>
    <w:p w:rsidR="00060402" w:rsidRPr="006A52B4" w:rsidRDefault="006A52B4" w:rsidP="009711DC">
      <w:pPr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6A52B4">
        <w:rPr>
          <w:rFonts w:ascii="Arial" w:eastAsia="Arial" w:hAnsi="Arial" w:cs="Arial"/>
          <w:sz w:val="18"/>
          <w:szCs w:val="18"/>
          <w:lang w:val="sl-SI"/>
        </w:rPr>
        <w:t>Ustavno sodišče je torej z ustavno odločbo številka U-I-200/15-21 in Up-936/15-20 z d</w:t>
      </w:r>
      <w:r w:rsidRPr="006A52B4">
        <w:rPr>
          <w:rFonts w:ascii="Arial" w:eastAsia="Arial" w:hAnsi="Arial" w:cs="Arial"/>
          <w:sz w:val="18"/>
          <w:szCs w:val="18"/>
          <w:lang w:val="sl-SI"/>
        </w:rPr>
        <w:t>ne 16.3.2017 odločilo, razveljavilo četrti odstavek 88. člena ZDR-1 in določilo, da se do drugačne ureditve za vročanje pogodbe o zaposlitvi delavcu po pošti uporabljajo pravila pravdnega postopka o osebnem vročanju. Ob tem se je postavilo vprašanje, kakšn</w:t>
      </w:r>
      <w:r w:rsidRPr="006A52B4">
        <w:rPr>
          <w:rFonts w:ascii="Arial" w:eastAsia="Arial" w:hAnsi="Arial" w:cs="Arial"/>
          <w:sz w:val="18"/>
          <w:szCs w:val="18"/>
          <w:lang w:val="sl-SI"/>
        </w:rPr>
        <w:t>a pravila veljajo za vročanje odpovedi pogodbe o zaposlitvi po pošti delodajalcu. Ob odsotnosti četrtega odstavka 88. člena ZDR-1 in glede na dejstvo, da je v veljavi ostal drugi odstavek 88. člena, ki med načini vročanja odpovedi pogodbe o zaposlitvi nava</w:t>
      </w:r>
      <w:r w:rsidRPr="006A52B4">
        <w:rPr>
          <w:rFonts w:ascii="Arial" w:eastAsia="Arial" w:hAnsi="Arial" w:cs="Arial"/>
          <w:sz w:val="18"/>
          <w:szCs w:val="18"/>
          <w:lang w:val="sl-SI"/>
        </w:rPr>
        <w:t>ja vročitev s priporočeno pošiljko s povratnico, Ustavno sodišče pa v odločbi ne omenja vročanja odpovedi pogodbe o zaposlitvi delodajalcu, bi namreč lahko prišlo do nejasnosti glede uporabe pravil za vročanje odpovedi po pošti delodajalcu.</w:t>
      </w:r>
    </w:p>
    <w:p w:rsidR="00060402" w:rsidRPr="009711DC" w:rsidRDefault="00060402" w:rsidP="009711DC">
      <w:pPr>
        <w:spacing w:before="1" w:line="200" w:lineRule="exact"/>
        <w:ind w:right="228"/>
        <w:jc w:val="both"/>
        <w:rPr>
          <w:lang w:val="sl-SI"/>
        </w:rPr>
      </w:pPr>
    </w:p>
    <w:p w:rsidR="00060402" w:rsidRPr="009711DC" w:rsidRDefault="006A52B4" w:rsidP="009711DC">
      <w:pPr>
        <w:spacing w:line="243" w:lineRule="auto"/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  <w:sectPr w:rsidR="00060402" w:rsidRPr="009711DC">
          <w:pgSz w:w="11920" w:h="16840"/>
          <w:pgMar w:top="1400" w:right="1320" w:bottom="280" w:left="1300" w:header="708" w:footer="708" w:gutter="0"/>
          <w:cols w:space="708"/>
        </w:sectPr>
      </w:pP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>M</w:t>
      </w:r>
      <w:r w:rsidRPr="009711DC">
        <w:rPr>
          <w:rFonts w:ascii="Arial" w:eastAsia="Arial" w:hAnsi="Arial" w:cs="Arial"/>
          <w:b/>
          <w:color w:val="616060"/>
          <w:sz w:val="18"/>
          <w:szCs w:val="18"/>
          <w:lang w:val="sl-SI"/>
        </w:rPr>
        <w:t xml:space="preserve">enimo, da je treba tudi v primeru vročanja odpovedi pogodbe o zaposlitvi po pošti delodajalcu uporabiti pravila pravdnega postopka o osebnem </w:t>
      </w:r>
      <w:r w:rsidRPr="006A52B4">
        <w:rPr>
          <w:rFonts w:ascii="Arial" w:eastAsia="Arial" w:hAnsi="Arial" w:cs="Arial"/>
          <w:b/>
          <w:sz w:val="18"/>
          <w:szCs w:val="18"/>
          <w:lang w:val="sl-SI"/>
        </w:rPr>
        <w:t xml:space="preserve">vročanju </w:t>
      </w:r>
      <w:r w:rsidRPr="006A52B4">
        <w:rPr>
          <w:rFonts w:ascii="Arial" w:eastAsia="Arial" w:hAnsi="Arial" w:cs="Arial"/>
          <w:sz w:val="18"/>
          <w:szCs w:val="18"/>
          <w:lang w:val="sl-SI"/>
        </w:rPr>
        <w:t>in ne morda pravila o vročanju s priporočeno pošiljko s povratnico po predpisih o poštnih storitvah. Smise</w:t>
      </w:r>
      <w:r w:rsidRPr="006A52B4">
        <w:rPr>
          <w:rFonts w:ascii="Arial" w:eastAsia="Arial" w:hAnsi="Arial" w:cs="Arial"/>
          <w:sz w:val="18"/>
          <w:szCs w:val="18"/>
          <w:lang w:val="sl-SI"/>
        </w:rPr>
        <w:t>lno se vroča na naslovu sedeža delodajalca.</w:t>
      </w:r>
    </w:p>
    <w:p w:rsidR="00060402" w:rsidRPr="006A52B4" w:rsidRDefault="006A52B4" w:rsidP="009711DC">
      <w:pPr>
        <w:spacing w:before="76"/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6A52B4">
        <w:rPr>
          <w:rFonts w:ascii="Arial" w:eastAsia="Arial" w:hAnsi="Arial" w:cs="Arial"/>
          <w:sz w:val="18"/>
          <w:szCs w:val="18"/>
          <w:lang w:val="sl-SI"/>
        </w:rPr>
        <w:lastRenderedPageBreak/>
        <w:t>Ustavno sodišče se v izpostavljeni odločbi res ne dotika vročanja odpovedi pogodbe o zaposlitvi po pošti delodajalcu, to pa zato, ker je pobudnica z ustavno pritožbo, ki jo je vložila hkrati s pobudo, izpodbijala</w:t>
      </w:r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 sodne odločitve, ki temeljijo na zakonski ureditvi vročitve odpovedi pogodbe o zaposlitvi delavcu. Zato je, kot v odločbi navaja tudi samo, opravilo presojo izpodbijane ureditve v tem obsegu. To pa ne pomeni, da v veljavi ostajajo drugačna pravila za vroč</w:t>
      </w:r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anje odpovedi pogodbe o zaposlitvi po pošti delodajalcu. Drugi odstavek 14. člena Ustave Republike </w:t>
      </w:r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Slovenije (Uradni list RS, št. </w:t>
      </w:r>
      <w:hyperlink r:id="rId23">
        <w:r w:rsidRPr="006A52B4">
          <w:rPr>
            <w:rFonts w:ascii="Arial" w:eastAsia="Arial" w:hAnsi="Arial" w:cs="Arial"/>
            <w:sz w:val="18"/>
            <w:szCs w:val="18"/>
            <w:lang w:val="sl-SI"/>
          </w:rPr>
          <w:t>33/91-I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, </w:t>
        </w:r>
      </w:hyperlink>
      <w:hyperlink r:id="rId24">
        <w:r w:rsidRPr="006A52B4">
          <w:rPr>
            <w:rFonts w:ascii="Arial" w:eastAsia="Arial" w:hAnsi="Arial" w:cs="Arial"/>
            <w:sz w:val="18"/>
            <w:szCs w:val="18"/>
            <w:lang w:val="sl-SI"/>
          </w:rPr>
          <w:t>42/97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UZS68, </w:t>
      </w:r>
      <w:hyperlink r:id="rId25">
        <w:r w:rsidRPr="006A52B4">
          <w:rPr>
            <w:rFonts w:ascii="Arial" w:eastAsia="Arial" w:hAnsi="Arial" w:cs="Arial"/>
            <w:sz w:val="18"/>
            <w:szCs w:val="18"/>
            <w:lang w:val="sl-SI"/>
          </w:rPr>
          <w:t>66/00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UZ80, </w:t>
      </w:r>
      <w:hyperlink r:id="rId26">
        <w:r w:rsidRPr="006A52B4">
          <w:rPr>
            <w:rFonts w:ascii="Arial" w:eastAsia="Arial" w:hAnsi="Arial" w:cs="Arial"/>
            <w:sz w:val="18"/>
            <w:szCs w:val="18"/>
            <w:lang w:val="sl-SI"/>
          </w:rPr>
          <w:t>24/0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>3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r w:rsidRPr="006A52B4">
        <w:rPr>
          <w:rFonts w:ascii="Arial" w:eastAsia="Arial" w:hAnsi="Arial" w:cs="Arial"/>
          <w:sz w:val="18"/>
          <w:szCs w:val="18"/>
          <w:lang w:val="sl-SI"/>
        </w:rPr>
        <w:t>UZ3a, 47,</w:t>
      </w:r>
      <w:r w:rsidR="009711DC" w:rsidRPr="006A52B4">
        <w:rPr>
          <w:rFonts w:ascii="Arial" w:eastAsia="Arial" w:hAnsi="Arial" w:cs="Arial"/>
          <w:sz w:val="18"/>
          <w:szCs w:val="18"/>
          <w:lang w:val="sl-SI"/>
        </w:rPr>
        <w:t xml:space="preserve"> </w:t>
      </w:r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68, </w:t>
      </w:r>
      <w:hyperlink r:id="rId27">
        <w:r w:rsidRPr="006A52B4">
          <w:rPr>
            <w:rFonts w:ascii="Arial" w:eastAsia="Arial" w:hAnsi="Arial" w:cs="Arial"/>
            <w:sz w:val="18"/>
            <w:szCs w:val="18"/>
            <w:lang w:val="sl-SI"/>
          </w:rPr>
          <w:t>69/04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UZ14, </w:t>
      </w:r>
      <w:hyperlink r:id="rId28">
        <w:r w:rsidRPr="006A52B4">
          <w:rPr>
            <w:rFonts w:ascii="Arial" w:eastAsia="Arial" w:hAnsi="Arial" w:cs="Arial"/>
            <w:sz w:val="18"/>
            <w:szCs w:val="18"/>
            <w:lang w:val="sl-SI"/>
          </w:rPr>
          <w:t>69/04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UZ43, </w:t>
      </w:r>
      <w:hyperlink r:id="rId29">
        <w:r w:rsidRPr="006A52B4">
          <w:rPr>
            <w:rFonts w:ascii="Arial" w:eastAsia="Arial" w:hAnsi="Arial" w:cs="Arial"/>
            <w:sz w:val="18"/>
            <w:szCs w:val="18"/>
            <w:lang w:val="sl-SI"/>
          </w:rPr>
          <w:t>69/04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UZ50, </w:t>
      </w:r>
      <w:hyperlink r:id="rId30">
        <w:r w:rsidRPr="006A52B4">
          <w:rPr>
            <w:rFonts w:ascii="Arial" w:eastAsia="Arial" w:hAnsi="Arial" w:cs="Arial"/>
            <w:sz w:val="18"/>
            <w:szCs w:val="18"/>
            <w:lang w:val="sl-SI"/>
          </w:rPr>
          <w:t>68/06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UZ121,140,143, </w:t>
      </w:r>
      <w:hyperlink r:id="rId31">
        <w:r w:rsidRPr="006A52B4">
          <w:rPr>
            <w:rFonts w:ascii="Arial" w:eastAsia="Arial" w:hAnsi="Arial" w:cs="Arial"/>
            <w:sz w:val="18"/>
            <w:szCs w:val="18"/>
            <w:lang w:val="sl-SI"/>
          </w:rPr>
          <w:t>47/13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UZ148, </w:t>
      </w:r>
      <w:hyperlink r:id="rId32">
        <w:r w:rsidRPr="006A52B4">
          <w:rPr>
            <w:rFonts w:ascii="Arial" w:eastAsia="Arial" w:hAnsi="Arial" w:cs="Arial"/>
            <w:sz w:val="18"/>
            <w:szCs w:val="18"/>
            <w:lang w:val="sl-SI"/>
          </w:rPr>
          <w:t>47/13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– </w:t>
        </w:r>
      </w:hyperlink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UZ90,97,99 in </w:t>
      </w:r>
      <w:hyperlink r:id="rId33">
        <w:r w:rsidRPr="006A52B4">
          <w:rPr>
            <w:rFonts w:ascii="Arial" w:eastAsia="Arial" w:hAnsi="Arial" w:cs="Arial"/>
            <w:sz w:val="18"/>
            <w:szCs w:val="18"/>
            <w:lang w:val="sl-SI"/>
          </w:rPr>
          <w:t>75/16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 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>– UZ70a) namreč določa, da so vsi pred zakonom enaki. V skl</w:t>
        </w:r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adu z ustaljeno </w:t>
        </w:r>
        <w:proofErr w:type="spellStart"/>
        <w:r w:rsidRPr="006A52B4">
          <w:rPr>
            <w:rFonts w:ascii="Arial" w:eastAsia="Arial" w:hAnsi="Arial" w:cs="Arial"/>
            <w:sz w:val="18"/>
            <w:szCs w:val="18"/>
            <w:lang w:val="sl-SI"/>
          </w:rPr>
          <w:t>ustavnosodno</w:t>
        </w:r>
        <w:proofErr w:type="spellEnd"/>
        <w:r w:rsidRPr="006A52B4">
          <w:rPr>
            <w:rFonts w:ascii="Arial" w:eastAsia="Arial" w:hAnsi="Arial" w:cs="Arial"/>
            <w:sz w:val="18"/>
            <w:szCs w:val="18"/>
            <w:lang w:val="sl-SI"/>
          </w:rPr>
          <w:t xml:space="preserve"> presojo</w:t>
        </w:r>
      </w:hyperlink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 načelo enakosti pred zakonom zahteva, da je</w:t>
      </w:r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 </w:t>
      </w:r>
      <w:r w:rsidRPr="006A52B4">
        <w:rPr>
          <w:rFonts w:ascii="Arial" w:eastAsia="Arial" w:hAnsi="Arial" w:cs="Arial"/>
          <w:sz w:val="18"/>
          <w:szCs w:val="18"/>
          <w:lang w:val="sl-SI"/>
        </w:rPr>
        <w:t>treba bistveno enaka dejanska stanja obravnavati enako. Drugo</w:t>
      </w:r>
      <w:r w:rsidR="009711DC" w:rsidRPr="006A52B4">
        <w:rPr>
          <w:rFonts w:ascii="Arial" w:eastAsia="Arial" w:hAnsi="Arial" w:cs="Arial"/>
          <w:sz w:val="18"/>
          <w:szCs w:val="18"/>
          <w:lang w:val="sl-SI"/>
        </w:rPr>
        <w:t xml:space="preserve"> </w:t>
      </w:r>
      <w:r w:rsidRPr="006A52B4">
        <w:rPr>
          <w:rFonts w:ascii="Arial" w:eastAsia="Arial" w:hAnsi="Arial" w:cs="Arial"/>
          <w:sz w:val="18"/>
          <w:szCs w:val="18"/>
          <w:lang w:val="sl-SI"/>
        </w:rPr>
        <w:t>alinejo drugega odstavka 88. člena ZDR-1 je zato treba razumeti v smislu priporočene pošiljke s povratnico po pra</w:t>
      </w:r>
      <w:r w:rsidRPr="006A52B4">
        <w:rPr>
          <w:rFonts w:ascii="Arial" w:eastAsia="Arial" w:hAnsi="Arial" w:cs="Arial"/>
          <w:sz w:val="18"/>
          <w:szCs w:val="18"/>
          <w:lang w:val="sl-SI"/>
        </w:rPr>
        <w:t>vilih pravdnega postopka o osebnem vročanju (ki predvidevajo poseben način priporočenega vročanja s posebno povratnico oziroma vročilnico ali obvestilom o opravljeni vročitvi). Navedeno stališče lahko dodatno argumentiramo z obrazložitvijo Vrhovnega sodišč</w:t>
      </w:r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a v zadevi VIII </w:t>
      </w:r>
      <w:proofErr w:type="spellStart"/>
      <w:r w:rsidRPr="006A52B4">
        <w:rPr>
          <w:rFonts w:ascii="Arial" w:eastAsia="Arial" w:hAnsi="Arial" w:cs="Arial"/>
          <w:sz w:val="18"/>
          <w:szCs w:val="18"/>
          <w:lang w:val="sl-SI"/>
        </w:rPr>
        <w:t>Ips</w:t>
      </w:r>
      <w:proofErr w:type="spellEnd"/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 151/2016 z dne 20.12.2016, v kateri je sicer</w:t>
      </w:r>
    </w:p>
    <w:p w:rsidR="00060402" w:rsidRPr="006A52B4" w:rsidRDefault="006A52B4" w:rsidP="009711DC">
      <w:pPr>
        <w:spacing w:before="3" w:line="200" w:lineRule="exact"/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6A52B4">
        <w:rPr>
          <w:rFonts w:ascii="Arial" w:eastAsia="Arial" w:hAnsi="Arial" w:cs="Arial"/>
          <w:sz w:val="18"/>
          <w:szCs w:val="18"/>
          <w:lang w:val="sl-SI"/>
        </w:rPr>
        <w:t>presojalo pravilnost osebne vročitve odpovedi pogodbe o zaposlitvi po pooblaščenem vročevalcu. Sodišče je v obrazložitvi zapisalo, da so določbe o osebnem vročanju, ki ga ureja 142. člen ZPP,</w:t>
      </w:r>
      <w:r w:rsidRPr="006A52B4">
        <w:rPr>
          <w:rFonts w:ascii="Arial" w:eastAsia="Arial" w:hAnsi="Arial" w:cs="Arial"/>
          <w:sz w:val="18"/>
          <w:szCs w:val="18"/>
          <w:lang w:val="sl-SI"/>
        </w:rPr>
        <w:t xml:space="preserve"> strožje od določb o vročanju</w:t>
      </w:r>
    </w:p>
    <w:p w:rsidR="00060402" w:rsidRPr="006A52B4" w:rsidRDefault="006A52B4" w:rsidP="009711DC">
      <w:pPr>
        <w:spacing w:line="200" w:lineRule="exact"/>
        <w:ind w:right="228"/>
        <w:jc w:val="both"/>
        <w:rPr>
          <w:rFonts w:ascii="Arial" w:eastAsia="Arial" w:hAnsi="Arial" w:cs="Arial"/>
          <w:sz w:val="18"/>
          <w:szCs w:val="18"/>
          <w:lang w:val="sl-SI"/>
        </w:rPr>
      </w:pPr>
      <w:r w:rsidRPr="006A52B4">
        <w:rPr>
          <w:rFonts w:ascii="Arial" w:eastAsia="Arial" w:hAnsi="Arial" w:cs="Arial"/>
          <w:sz w:val="18"/>
          <w:szCs w:val="18"/>
          <w:lang w:val="sl-SI"/>
        </w:rPr>
        <w:t>s priporočeno pošiljko, sicer pa vsebujejo tudi vse zahteve vročanja s priporočeno pošiljko (in odločilo, da je bilo z vročanjem preko pooblaščenega vročevalca zadoščeno vsem zahtevam vročanja pisanja s priporočeno pošiljko,</w:t>
      </w:r>
      <w:r w:rsidR="009711DC" w:rsidRPr="006A52B4">
        <w:rPr>
          <w:rFonts w:ascii="Arial" w:eastAsia="Arial" w:hAnsi="Arial" w:cs="Arial"/>
          <w:sz w:val="18"/>
          <w:szCs w:val="18"/>
          <w:lang w:val="sl-SI"/>
        </w:rPr>
        <w:t xml:space="preserve"> </w:t>
      </w:r>
      <w:r w:rsidRPr="006A52B4">
        <w:rPr>
          <w:rFonts w:ascii="Arial" w:eastAsia="Arial" w:hAnsi="Arial" w:cs="Arial"/>
          <w:sz w:val="18"/>
          <w:szCs w:val="18"/>
          <w:lang w:val="sl-SI"/>
        </w:rPr>
        <w:t>z</w:t>
      </w:r>
      <w:r w:rsidRPr="006A52B4">
        <w:rPr>
          <w:rFonts w:ascii="Arial" w:eastAsia="Arial" w:hAnsi="Arial" w:cs="Arial"/>
          <w:sz w:val="18"/>
          <w:szCs w:val="18"/>
          <w:lang w:val="sl-SI"/>
        </w:rPr>
        <w:t>ato je bila odpoved vročena pravilno).</w:t>
      </w:r>
    </w:p>
    <w:sectPr w:rsidR="00060402" w:rsidRPr="006A52B4">
      <w:pgSz w:w="11920" w:h="16840"/>
      <w:pgMar w:top="132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23BFF"/>
    <w:multiLevelType w:val="multilevel"/>
    <w:tmpl w:val="B78C07F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02"/>
    <w:rsid w:val="00060402"/>
    <w:rsid w:val="001B56F3"/>
    <w:rsid w:val="006A52B4"/>
    <w:rsid w:val="009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B2EA"/>
  <w15:docId w15:val="{0551ED79-7B77-4F49-8F7C-1678FB00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0-01-0481" TargetMode="External"/><Relationship Id="rId18" Type="http://schemas.openxmlformats.org/officeDocument/2006/relationships/hyperlink" Target="http://www.uradni-list.si/1/objava.jsp?sop=2013-01-3341" TargetMode="External"/><Relationship Id="rId26" Type="http://schemas.openxmlformats.org/officeDocument/2006/relationships/hyperlink" Target="http://www.uradni-list.si/1/objava.jsp?sop=2003-01-08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7-01-027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uradni-list.si/1/objava.jsp?sop=2017-01-0741" TargetMode="External"/><Relationship Id="rId12" Type="http://schemas.openxmlformats.org/officeDocument/2006/relationships/hyperlink" Target="http://www.uradni-list.si/1/objava.jsp?sop=2009-01-2795" TargetMode="External"/><Relationship Id="rId17" Type="http://schemas.openxmlformats.org/officeDocument/2006/relationships/hyperlink" Target="http://www.uradni-list.si/1/objava.jsp?sop=2013-01-1563" TargetMode="External"/><Relationship Id="rId25" Type="http://schemas.openxmlformats.org/officeDocument/2006/relationships/hyperlink" Target="http://www.uradni-list.si/1/objava.jsp?sop=2000-01-3052" TargetMode="External"/><Relationship Id="rId33" Type="http://schemas.openxmlformats.org/officeDocument/2006/relationships/hyperlink" Target="http://www.uradni-list.si/1/objava.jsp?sop=2016-01-320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2-01-2856" TargetMode="External"/><Relationship Id="rId20" Type="http://schemas.openxmlformats.org/officeDocument/2006/relationships/hyperlink" Target="http://www.uradni-list.si/1/objava.jsp?sop=2015-01-1976" TargetMode="External"/><Relationship Id="rId29" Type="http://schemas.openxmlformats.org/officeDocument/2006/relationships/hyperlink" Target="http://www.uradni-list.si/1/objava.jsp?sop=2004-01-30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6-01-2296" TargetMode="External"/><Relationship Id="rId11" Type="http://schemas.openxmlformats.org/officeDocument/2006/relationships/hyperlink" Target="http://www.uradni-list.si/1/objava.jsp?sop=2008-01-4781" TargetMode="External"/><Relationship Id="rId24" Type="http://schemas.openxmlformats.org/officeDocument/2006/relationships/hyperlink" Target="http://www.uradni-list.si/1/objava.jsp?sop=1997-01-2341" TargetMode="External"/><Relationship Id="rId32" Type="http://schemas.openxmlformats.org/officeDocument/2006/relationships/hyperlink" Target="http://www.uradni-list.si/1/objava.jsp?sop=2013-01-1779" TargetMode="External"/><Relationship Id="rId5" Type="http://schemas.openxmlformats.org/officeDocument/2006/relationships/hyperlink" Target="http://www.uradni-list.si/1/objava.jsp?sop=2016-01-1428" TargetMode="External"/><Relationship Id="rId15" Type="http://schemas.openxmlformats.org/officeDocument/2006/relationships/hyperlink" Target="http://www.uradni-list.si/1/objava.jsp?sop=2010-01-5589" TargetMode="External"/><Relationship Id="rId23" Type="http://schemas.openxmlformats.org/officeDocument/2006/relationships/hyperlink" Target="http://www.uradni-list.si/1/objava.jsp?sop=1991-01-1409" TargetMode="External"/><Relationship Id="rId28" Type="http://schemas.openxmlformats.org/officeDocument/2006/relationships/hyperlink" Target="http://www.uradni-list.si/1/objava.jsp?sop=2004-01-3090" TargetMode="External"/><Relationship Id="rId10" Type="http://schemas.openxmlformats.org/officeDocument/2006/relationships/hyperlink" Target="http://www.uradni-list.si/1/objava.jsp?sop=2008-01-1983" TargetMode="External"/><Relationship Id="rId19" Type="http://schemas.openxmlformats.org/officeDocument/2006/relationships/hyperlink" Target="http://www.uradni-list.si/1/objava.jsp?sop=2014-01-0253" TargetMode="External"/><Relationship Id="rId31" Type="http://schemas.openxmlformats.org/officeDocument/2006/relationships/hyperlink" Target="http://www.uradni-list.si/1/objava.jsp?sop=2013-01-1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1979" TargetMode="External"/><Relationship Id="rId14" Type="http://schemas.openxmlformats.org/officeDocument/2006/relationships/hyperlink" Target="http://www.uradni-list.si/1/objava.jsp?sop=2010-01-2675" TargetMode="External"/><Relationship Id="rId22" Type="http://schemas.openxmlformats.org/officeDocument/2006/relationships/hyperlink" Target="http://www.uradni-list.si/1/objava.jsp?sop=2017-01-0463" TargetMode="External"/><Relationship Id="rId27" Type="http://schemas.openxmlformats.org/officeDocument/2006/relationships/hyperlink" Target="http://www.uradni-list.si/1/objava.jsp?sop=2004-01-3088" TargetMode="External"/><Relationship Id="rId30" Type="http://schemas.openxmlformats.org/officeDocument/2006/relationships/hyperlink" Target="http://www.uradni-list.si/1/objava.jsp?sop=2006-01-295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uradni-list.si/1/objava.jsp?sop=2007-01-3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Poljanec</dc:creator>
  <cp:lastModifiedBy>MPoljanec</cp:lastModifiedBy>
  <cp:revision>4</cp:revision>
  <dcterms:created xsi:type="dcterms:W3CDTF">2020-09-17T10:23:00Z</dcterms:created>
  <dcterms:modified xsi:type="dcterms:W3CDTF">2020-09-17T10:39:00Z</dcterms:modified>
</cp:coreProperties>
</file>