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964" w14:textId="696961A4"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</w:t>
      </w:r>
      <w:r w:rsidR="008E4E8F">
        <w:rPr>
          <w:rFonts w:cstheme="minorHAnsi"/>
          <w:b/>
          <w:bCs/>
          <w:sz w:val="20"/>
          <w:szCs w:val="20"/>
        </w:rPr>
        <w:t>2</w:t>
      </w:r>
      <w:r w:rsidR="00E1423B">
        <w:rPr>
          <w:rFonts w:cstheme="minorHAnsi"/>
          <w:b/>
          <w:bCs/>
          <w:sz w:val="20"/>
          <w:szCs w:val="20"/>
        </w:rPr>
        <w:t>4</w:t>
      </w:r>
      <w:r w:rsidRPr="007A7501">
        <w:rPr>
          <w:rFonts w:cstheme="minorHAnsi"/>
          <w:b/>
          <w:bCs/>
          <w:sz w:val="20"/>
          <w:szCs w:val="20"/>
        </w:rPr>
        <w:t xml:space="preserve"> </w:t>
      </w:r>
      <w:r w:rsidRPr="008E4E8F">
        <w:rPr>
          <w:rFonts w:cstheme="minorHAnsi"/>
          <w:sz w:val="20"/>
          <w:szCs w:val="20"/>
        </w:rPr>
        <w:t xml:space="preserve">(255. člen Zakona o pokojninskem in invalidskem zavarovanju </w:t>
      </w:r>
      <w:r w:rsidR="00BE2466" w:rsidRPr="00BE2466">
        <w:rPr>
          <w:rFonts w:cstheme="minorHAnsi"/>
          <w:sz w:val="20"/>
          <w:szCs w:val="20"/>
        </w:rPr>
        <w:t>(</w:t>
      </w:r>
      <w:r w:rsidR="0083333D" w:rsidRPr="0083333D">
        <w:rPr>
          <w:rFonts w:cstheme="minorHAnsi"/>
          <w:sz w:val="20"/>
          <w:szCs w:val="20"/>
        </w:rPr>
        <w:t xml:space="preserve">Uradni list RS, št. 48/22 – uradno prečiščeno besedilo, 40/23 – </w:t>
      </w:r>
      <w:proofErr w:type="spellStart"/>
      <w:r w:rsidR="0083333D" w:rsidRPr="0083333D">
        <w:rPr>
          <w:rFonts w:cstheme="minorHAnsi"/>
          <w:sz w:val="20"/>
          <w:szCs w:val="20"/>
        </w:rPr>
        <w:t>ZČmIS</w:t>
      </w:r>
      <w:proofErr w:type="spellEnd"/>
      <w:r w:rsidR="0083333D" w:rsidRPr="0083333D">
        <w:rPr>
          <w:rFonts w:cstheme="minorHAnsi"/>
          <w:sz w:val="20"/>
          <w:szCs w:val="20"/>
        </w:rPr>
        <w:t xml:space="preserve">-1, 78/23 – ZORR, 84/23 – </w:t>
      </w:r>
      <w:proofErr w:type="spellStart"/>
      <w:r w:rsidR="0083333D" w:rsidRPr="0083333D">
        <w:rPr>
          <w:rFonts w:cstheme="minorHAnsi"/>
          <w:sz w:val="20"/>
          <w:szCs w:val="20"/>
        </w:rPr>
        <w:t>ZDOsk</w:t>
      </w:r>
      <w:proofErr w:type="spellEnd"/>
      <w:r w:rsidR="0083333D" w:rsidRPr="0083333D">
        <w:rPr>
          <w:rFonts w:cstheme="minorHAnsi"/>
          <w:sz w:val="20"/>
          <w:szCs w:val="20"/>
        </w:rPr>
        <w:t xml:space="preserve">-1, 125/23 – </w:t>
      </w:r>
      <w:proofErr w:type="gramStart"/>
      <w:r w:rsidR="0083333D" w:rsidRPr="0083333D">
        <w:rPr>
          <w:rFonts w:cstheme="minorHAnsi"/>
          <w:sz w:val="20"/>
          <w:szCs w:val="20"/>
        </w:rPr>
        <w:t>odl</w:t>
      </w:r>
      <w:proofErr w:type="gramEnd"/>
      <w:r w:rsidR="0083333D" w:rsidRPr="0083333D">
        <w:rPr>
          <w:rFonts w:cstheme="minorHAnsi"/>
          <w:sz w:val="20"/>
          <w:szCs w:val="20"/>
        </w:rPr>
        <w:t>. US in 133/23</w:t>
      </w:r>
      <w:r w:rsidR="00B34A81" w:rsidRPr="00B34A81">
        <w:rPr>
          <w:rFonts w:cstheme="minorHAnsi"/>
          <w:sz w:val="20"/>
          <w:szCs w:val="20"/>
        </w:rPr>
        <w:t>)</w:t>
      </w:r>
      <w:r w:rsidR="00B34A81">
        <w:rPr>
          <w:rFonts w:cstheme="minorHAnsi"/>
          <w:sz w:val="20"/>
          <w:szCs w:val="20"/>
        </w:rPr>
        <w:t>)</w:t>
      </w:r>
    </w:p>
    <w:bookmarkEnd w:id="0"/>
    <w:p w14:paraId="18EDFD0C" w14:textId="77777777"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14:paraId="7D118647" w14:textId="77777777" w:rsidR="00361B6C" w:rsidRDefault="00B62618" w:rsidP="00563D96">
      <w:hyperlink r:id="rId7" w:history="1">
        <w:r w:rsidR="009D5986" w:rsidRPr="002A591A">
          <w:rPr>
            <w:rStyle w:val="Hiperpovezava"/>
            <w:rFonts w:cstheme="minorHAnsi"/>
            <w:b/>
            <w:color w:val="auto"/>
            <w:sz w:val="20"/>
            <w:szCs w:val="20"/>
          </w:rPr>
          <w:t>Banka Intesa Sanpa</w:t>
        </w:r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olo d. d.</w:t>
        </w:r>
      </w:hyperlink>
    </w:p>
    <w:tbl>
      <w:tblPr>
        <w:tblStyle w:val="Tabelamrea"/>
        <w:tblW w:w="11118" w:type="dxa"/>
        <w:tblInd w:w="-917" w:type="dxa"/>
        <w:tblLook w:val="04A0" w:firstRow="1" w:lastRow="0" w:firstColumn="1" w:lastColumn="0" w:noHBand="0" w:noVBand="1"/>
      </w:tblPr>
      <w:tblGrid>
        <w:gridCol w:w="1215"/>
        <w:gridCol w:w="1284"/>
        <w:gridCol w:w="1361"/>
        <w:gridCol w:w="1476"/>
        <w:gridCol w:w="1476"/>
        <w:gridCol w:w="1476"/>
        <w:gridCol w:w="1352"/>
        <w:gridCol w:w="1478"/>
      </w:tblGrid>
      <w:tr w:rsidR="0099327E" w:rsidRPr="007A7501" w14:paraId="0489C9B7" w14:textId="77777777" w:rsidTr="004C03F4">
        <w:tc>
          <w:tcPr>
            <w:tcW w:w="2499" w:type="dxa"/>
            <w:gridSpan w:val="2"/>
          </w:tcPr>
          <w:p w14:paraId="24595897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61" w:type="dxa"/>
          </w:tcPr>
          <w:p w14:paraId="12A86A02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76" w:type="dxa"/>
          </w:tcPr>
          <w:p w14:paraId="61F7775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76" w:type="dxa"/>
          </w:tcPr>
          <w:p w14:paraId="6DAA095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14:paraId="2F34318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52" w:type="dxa"/>
          </w:tcPr>
          <w:p w14:paraId="005DF93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478" w:type="dxa"/>
          </w:tcPr>
          <w:p w14:paraId="302E8AA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99327E" w:rsidRPr="007A7501" w14:paraId="28AAE7BC" w14:textId="77777777" w:rsidTr="0099327E">
        <w:trPr>
          <w:trHeight w:val="300"/>
        </w:trPr>
        <w:tc>
          <w:tcPr>
            <w:tcW w:w="1215" w:type="dxa"/>
            <w:vMerge w:val="restart"/>
          </w:tcPr>
          <w:p w14:paraId="350C3751" w14:textId="77777777" w:rsidR="0099327E" w:rsidRPr="007A7501" w:rsidRDefault="0099327E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B2DCFE" w14:textId="77777777" w:rsidR="0099327E" w:rsidRPr="007A7501" w:rsidRDefault="0099327E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D4C973" w14:textId="77777777" w:rsidR="0099327E" w:rsidRPr="007A7501" w:rsidRDefault="0099327E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14:paraId="76411E0F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</w:tcPr>
          <w:p w14:paraId="3B2B2B1F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14:paraId="02221FE7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E9A03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14:paraId="00D74EAC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EF1BDFA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7B120113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038B9" w14:textId="5214101A" w:rsidR="0099327E" w:rsidRPr="007A7501" w:rsidRDefault="002A591A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15,14</w:t>
            </w:r>
            <w:proofErr w:type="gramStart"/>
            <w:r w:rsidR="0099327E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76" w:type="dxa"/>
            <w:vMerge w:val="restart"/>
          </w:tcPr>
          <w:p w14:paraId="754D171A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7C3110" w14:textId="51CAB86B" w:rsidR="0099327E" w:rsidRPr="007A7501" w:rsidRDefault="002A591A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3.141</w:t>
            </w:r>
          </w:p>
        </w:tc>
        <w:tc>
          <w:tcPr>
            <w:tcW w:w="1476" w:type="dxa"/>
            <w:vMerge w:val="restart"/>
          </w:tcPr>
          <w:p w14:paraId="1C730CF4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4B3D4" w14:textId="0097AB6D" w:rsidR="0099327E" w:rsidRPr="007A7501" w:rsidRDefault="002A591A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692</w:t>
            </w:r>
          </w:p>
        </w:tc>
        <w:tc>
          <w:tcPr>
            <w:tcW w:w="1352" w:type="dxa"/>
          </w:tcPr>
          <w:p w14:paraId="6F0673CB" w14:textId="077AC445" w:rsidR="0099327E" w:rsidRPr="007A7501" w:rsidRDefault="002A591A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78,75</w:t>
            </w:r>
            <w:r w:rsidR="0099327E">
              <w:rPr>
                <w:rFonts w:cstheme="minorHAnsi"/>
                <w:sz w:val="20"/>
                <w:szCs w:val="20"/>
              </w:rPr>
              <w:t xml:space="preserve"> (kolektivno)</w:t>
            </w:r>
          </w:p>
        </w:tc>
        <w:tc>
          <w:tcPr>
            <w:tcW w:w="1478" w:type="dxa"/>
            <w:vMerge w:val="restart"/>
          </w:tcPr>
          <w:p w14:paraId="659538A4" w14:textId="77777777" w:rsidR="0099327E" w:rsidRPr="00F62BED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99327E" w:rsidRPr="007A7501" w14:paraId="6E217CB2" w14:textId="77777777" w:rsidTr="0099327E">
        <w:trPr>
          <w:trHeight w:val="506"/>
        </w:trPr>
        <w:tc>
          <w:tcPr>
            <w:tcW w:w="1215" w:type="dxa"/>
            <w:vMerge/>
          </w:tcPr>
          <w:p w14:paraId="0D48BD0F" w14:textId="77777777" w:rsidR="0099327E" w:rsidRPr="007A7501" w:rsidRDefault="0099327E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14:paraId="3A89A4D8" w14:textId="77777777" w:rsidR="0099327E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4D85B561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1D8C2BF2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257EB75C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094D131A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CE27547" w14:textId="6541FECF" w:rsidR="0099327E" w:rsidRPr="007A7501" w:rsidRDefault="002A591A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207,32</w:t>
            </w:r>
            <w:r w:rsidR="0099327E">
              <w:rPr>
                <w:rFonts w:cstheme="minorHAnsi"/>
                <w:sz w:val="20"/>
                <w:szCs w:val="20"/>
              </w:rPr>
              <w:t xml:space="preserve"> </w:t>
            </w:r>
            <w:r w:rsidR="0099327E" w:rsidRPr="0099327E">
              <w:rPr>
                <w:rFonts w:cstheme="minorHAnsi"/>
                <w:sz w:val="20"/>
                <w:szCs w:val="20"/>
              </w:rPr>
              <w:t>(</w:t>
            </w:r>
            <w:r w:rsidR="0099327E">
              <w:rPr>
                <w:rFonts w:cstheme="minorHAnsi"/>
                <w:sz w:val="20"/>
                <w:szCs w:val="20"/>
              </w:rPr>
              <w:t>individual</w:t>
            </w:r>
            <w:r w:rsidR="0099327E" w:rsidRPr="0099327E">
              <w:rPr>
                <w:rFonts w:cstheme="minorHAnsi"/>
                <w:sz w:val="20"/>
                <w:szCs w:val="20"/>
              </w:rPr>
              <w:t>no)</w:t>
            </w: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14:paraId="46BA24C5" w14:textId="77777777" w:rsidR="0099327E" w:rsidRPr="004C03F4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327E" w:rsidRPr="007A7501" w14:paraId="752E6686" w14:textId="77777777" w:rsidTr="004C03F4">
        <w:trPr>
          <w:trHeight w:val="244"/>
        </w:trPr>
        <w:tc>
          <w:tcPr>
            <w:tcW w:w="1215" w:type="dxa"/>
            <w:vMerge/>
          </w:tcPr>
          <w:p w14:paraId="3F88F050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 w:val="restart"/>
          </w:tcPr>
          <w:p w14:paraId="0377FED0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61" w:type="dxa"/>
            <w:vMerge/>
          </w:tcPr>
          <w:p w14:paraId="2D772B8F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FCED70D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1D0036" w14:textId="573A5E70" w:rsidR="0099327E" w:rsidRPr="007A7501" w:rsidRDefault="002A591A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11,01</w:t>
            </w:r>
            <w:proofErr w:type="gramStart"/>
            <w:r w:rsidR="0099327E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76" w:type="dxa"/>
            <w:vMerge w:val="restart"/>
          </w:tcPr>
          <w:p w14:paraId="6C9E066F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9C2F8" w14:textId="41C49CB2" w:rsidR="0099327E" w:rsidRPr="007A7501" w:rsidRDefault="002A591A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4.871</w:t>
            </w:r>
          </w:p>
        </w:tc>
        <w:tc>
          <w:tcPr>
            <w:tcW w:w="1476" w:type="dxa"/>
            <w:vMerge w:val="restart"/>
          </w:tcPr>
          <w:p w14:paraId="45695446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2D366" w14:textId="29CC9772" w:rsidR="0099327E" w:rsidRPr="007A7501" w:rsidRDefault="002A591A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837</w:t>
            </w:r>
          </w:p>
        </w:tc>
        <w:tc>
          <w:tcPr>
            <w:tcW w:w="1352" w:type="dxa"/>
            <w:vMerge w:val="restart"/>
          </w:tcPr>
          <w:p w14:paraId="5704E551" w14:textId="5F3B5168" w:rsidR="0099327E" w:rsidRPr="007A7501" w:rsidRDefault="002A591A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77,96</w:t>
            </w:r>
            <w:r w:rsidR="0099327E">
              <w:rPr>
                <w:rFonts w:cstheme="minorHAnsi"/>
                <w:sz w:val="20"/>
                <w:szCs w:val="20"/>
              </w:rPr>
              <w:t xml:space="preserve"> </w:t>
            </w:r>
            <w:r w:rsidR="0099327E" w:rsidRPr="0099327E">
              <w:rPr>
                <w:rFonts w:cstheme="minorHAnsi"/>
                <w:sz w:val="20"/>
                <w:szCs w:val="20"/>
              </w:rPr>
              <w:t>(kolektivno)</w:t>
            </w:r>
          </w:p>
        </w:tc>
        <w:tc>
          <w:tcPr>
            <w:tcW w:w="1478" w:type="dxa"/>
            <w:vMerge w:val="restart"/>
          </w:tcPr>
          <w:p w14:paraId="71DE389A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99327E" w:rsidRPr="007A7501" w14:paraId="3FD32099" w14:textId="77777777" w:rsidTr="0099327E">
        <w:trPr>
          <w:trHeight w:val="244"/>
        </w:trPr>
        <w:tc>
          <w:tcPr>
            <w:tcW w:w="1215" w:type="dxa"/>
            <w:vMerge/>
          </w:tcPr>
          <w:p w14:paraId="1020292E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CD87EFC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14:paraId="588C6901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534F1" w14:textId="77777777" w:rsidR="0099327E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14:paraId="65ECB267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76" w:type="dxa"/>
            <w:vMerge/>
          </w:tcPr>
          <w:p w14:paraId="448503BE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DED6032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69045A4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7CC787F" w14:textId="77777777" w:rsidR="0099327E" w:rsidRPr="007A7501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A378AC2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327E" w:rsidRPr="007A7501" w14:paraId="70F191B2" w14:textId="77777777" w:rsidTr="0099327E">
        <w:trPr>
          <w:trHeight w:val="524"/>
        </w:trPr>
        <w:tc>
          <w:tcPr>
            <w:tcW w:w="1215" w:type="dxa"/>
            <w:vMerge/>
          </w:tcPr>
          <w:p w14:paraId="77095BC9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D131E7D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21856D9D" w14:textId="77777777" w:rsidR="0099327E" w:rsidRPr="007A7501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6CAEF76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2514A07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3919EF3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751CA1C" w14:textId="7EFAEF8C" w:rsidR="0099327E" w:rsidRDefault="002A591A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186,43</w:t>
            </w:r>
          </w:p>
          <w:p w14:paraId="048B90CC" w14:textId="4477287F" w:rsidR="0099327E" w:rsidRPr="0070635E" w:rsidRDefault="0099327E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27E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individual</w:t>
            </w:r>
            <w:r w:rsidRPr="0099327E">
              <w:rPr>
                <w:rFonts w:cstheme="minorHAnsi"/>
                <w:sz w:val="20"/>
                <w:szCs w:val="20"/>
              </w:rPr>
              <w:t>no)</w:t>
            </w:r>
          </w:p>
        </w:tc>
        <w:tc>
          <w:tcPr>
            <w:tcW w:w="1478" w:type="dxa"/>
            <w:vMerge/>
          </w:tcPr>
          <w:p w14:paraId="793E9546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327E" w:rsidRPr="007A7501" w14:paraId="659EAB18" w14:textId="77777777" w:rsidTr="0099327E">
        <w:trPr>
          <w:trHeight w:val="450"/>
        </w:trPr>
        <w:tc>
          <w:tcPr>
            <w:tcW w:w="1215" w:type="dxa"/>
            <w:vMerge/>
          </w:tcPr>
          <w:p w14:paraId="21966B9F" w14:textId="77777777" w:rsidR="0099327E" w:rsidRPr="007A7501" w:rsidRDefault="0099327E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</w:tcPr>
          <w:p w14:paraId="22AB64AB" w14:textId="77777777" w:rsidR="0099327E" w:rsidRPr="007A7501" w:rsidRDefault="0099327E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61" w:type="dxa"/>
            <w:vMerge/>
          </w:tcPr>
          <w:p w14:paraId="2441A68D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059F2C11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6A4E89" w14:textId="6169BA0D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</w:t>
            </w:r>
            <w:r w:rsidR="002A591A">
              <w:rPr>
                <w:rFonts w:cstheme="minorHAnsi"/>
                <w:sz w:val="20"/>
                <w:szCs w:val="20"/>
              </w:rPr>
              <w:t>86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76" w:type="dxa"/>
            <w:vMerge w:val="restart"/>
          </w:tcPr>
          <w:p w14:paraId="7753A6BF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30EA71" w14:textId="7015F631" w:rsidR="0099327E" w:rsidRPr="007A7501" w:rsidRDefault="002A591A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53.592</w:t>
            </w:r>
          </w:p>
        </w:tc>
        <w:tc>
          <w:tcPr>
            <w:tcW w:w="1476" w:type="dxa"/>
            <w:vMerge w:val="restart"/>
          </w:tcPr>
          <w:p w14:paraId="729ED108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C613E5" w14:textId="746CC082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="002A591A">
              <w:rPr>
                <w:rFonts w:cstheme="minorHAnsi"/>
                <w:sz w:val="20"/>
                <w:szCs w:val="20"/>
              </w:rPr>
              <w:t>335</w:t>
            </w:r>
          </w:p>
        </w:tc>
        <w:tc>
          <w:tcPr>
            <w:tcW w:w="1352" w:type="dxa"/>
          </w:tcPr>
          <w:p w14:paraId="36F618ED" w14:textId="2FFD22C5" w:rsidR="0099327E" w:rsidRPr="007A7501" w:rsidRDefault="002A591A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92,85</w:t>
            </w:r>
            <w:r w:rsidR="0099327E">
              <w:rPr>
                <w:rFonts w:cstheme="minorHAnsi"/>
                <w:sz w:val="20"/>
                <w:szCs w:val="20"/>
              </w:rPr>
              <w:t xml:space="preserve"> </w:t>
            </w:r>
            <w:r w:rsidR="0099327E" w:rsidRPr="0099327E">
              <w:rPr>
                <w:rFonts w:cstheme="minorHAnsi"/>
                <w:sz w:val="20"/>
                <w:szCs w:val="20"/>
              </w:rPr>
              <w:t>(kolektivno)</w:t>
            </w:r>
          </w:p>
        </w:tc>
        <w:tc>
          <w:tcPr>
            <w:tcW w:w="1478" w:type="dxa"/>
            <w:vMerge w:val="restart"/>
          </w:tcPr>
          <w:p w14:paraId="1A2702AF" w14:textId="77777777" w:rsidR="0099327E" w:rsidRPr="00F62BED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99327E" w:rsidRPr="007A7501" w14:paraId="62A804AE" w14:textId="77777777" w:rsidTr="0070635E">
        <w:trPr>
          <w:trHeight w:val="447"/>
        </w:trPr>
        <w:tc>
          <w:tcPr>
            <w:tcW w:w="1215" w:type="dxa"/>
            <w:vMerge/>
          </w:tcPr>
          <w:p w14:paraId="494BF0E7" w14:textId="77777777" w:rsidR="0099327E" w:rsidRPr="007A7501" w:rsidRDefault="0099327E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14:paraId="0165A0B8" w14:textId="77777777" w:rsidR="0099327E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32D35B4E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71629C78" w14:textId="77777777" w:rsidR="0099327E" w:rsidRPr="007A7501" w:rsidRDefault="0099327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6F19AAD4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46BB7995" w14:textId="77777777" w:rsidR="0099327E" w:rsidRPr="007A7501" w:rsidRDefault="0099327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13418A1" w14:textId="455A0C13" w:rsidR="0099327E" w:rsidRPr="007A7501" w:rsidRDefault="002A591A" w:rsidP="00993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86,63</w:t>
            </w:r>
            <w:r w:rsidR="0099327E">
              <w:rPr>
                <w:rFonts w:cstheme="minorHAnsi"/>
                <w:sz w:val="20"/>
                <w:szCs w:val="20"/>
              </w:rPr>
              <w:t xml:space="preserve"> </w:t>
            </w:r>
            <w:r w:rsidR="0099327E" w:rsidRPr="0099327E">
              <w:rPr>
                <w:rFonts w:cstheme="minorHAnsi"/>
                <w:sz w:val="20"/>
                <w:szCs w:val="20"/>
              </w:rPr>
              <w:t>(</w:t>
            </w:r>
            <w:r w:rsidR="0099327E">
              <w:rPr>
                <w:rFonts w:cstheme="minorHAnsi"/>
                <w:sz w:val="20"/>
                <w:szCs w:val="20"/>
              </w:rPr>
              <w:t>individual</w:t>
            </w:r>
            <w:r w:rsidR="0099327E" w:rsidRPr="0099327E">
              <w:rPr>
                <w:rFonts w:cstheme="minorHAnsi"/>
                <w:sz w:val="20"/>
                <w:szCs w:val="20"/>
              </w:rPr>
              <w:t>no)</w:t>
            </w:r>
          </w:p>
        </w:tc>
        <w:tc>
          <w:tcPr>
            <w:tcW w:w="1478" w:type="dxa"/>
            <w:vMerge/>
          </w:tcPr>
          <w:p w14:paraId="66A1A79C" w14:textId="77777777" w:rsidR="0099327E" w:rsidRPr="004C03F4" w:rsidRDefault="0099327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16A86A" w14:textId="77777777" w:rsidR="00F62BED" w:rsidRDefault="00F62BED" w:rsidP="00563D96"/>
    <w:p w14:paraId="6747A52D" w14:textId="77777777" w:rsidR="00875C30" w:rsidRDefault="00875C30" w:rsidP="00563D96"/>
    <w:p w14:paraId="429891CE" w14:textId="77777777"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proofErr w:type="gramStart"/>
        <w:r w:rsidRPr="009135D7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</w:t>
        </w:r>
        <w:proofErr w:type="gramEnd"/>
        <w:r w:rsidRPr="009135D7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14:paraId="7724C66F" w14:textId="77777777" w:rsidTr="000C29E2">
        <w:tc>
          <w:tcPr>
            <w:tcW w:w="2346" w:type="dxa"/>
            <w:gridSpan w:val="2"/>
          </w:tcPr>
          <w:p w14:paraId="721E593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115244F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1C2D70D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164F5E5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7DE244A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6C71BFB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62D3EC8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14:paraId="23EEBEDF" w14:textId="77777777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8DD8BA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6438545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5C8EB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14:paraId="24DBFCD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67F8F5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14:paraId="06AA97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598E913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6549C9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14:paraId="41CC925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015EF4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489B6C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51840" w14:textId="5A0474B1" w:rsidR="00696324" w:rsidRPr="007A7501" w:rsidRDefault="009135D7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23,48</w:t>
            </w:r>
            <w:proofErr w:type="gramStart"/>
            <w:r w:rsidR="007B5723">
              <w:rPr>
                <w:rFonts w:cstheme="minorHAnsi"/>
                <w:sz w:val="20"/>
                <w:szCs w:val="20"/>
              </w:rPr>
              <w:t xml:space="preserve">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9F03F0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AF6323" w14:textId="365F7795" w:rsidR="00696324" w:rsidRPr="007A7501" w:rsidRDefault="009135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23.085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7AFCF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47AC55" w14:textId="5C68B20F" w:rsidR="00696324" w:rsidRPr="007A7501" w:rsidRDefault="005748F8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  <w:r w:rsidR="009135D7">
              <w:rPr>
                <w:rFonts w:cstheme="minorHAnsi"/>
                <w:sz w:val="20"/>
                <w:szCs w:val="20"/>
              </w:rPr>
              <w:t>890</w:t>
            </w:r>
          </w:p>
        </w:tc>
        <w:tc>
          <w:tcPr>
            <w:tcW w:w="1376" w:type="dxa"/>
            <w:vMerge w:val="restart"/>
          </w:tcPr>
          <w:p w14:paraId="28AB047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7C716" w14:textId="3CADEC71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9135D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9135D7">
              <w:rPr>
                <w:rFonts w:cstheme="minorHAnsi"/>
                <w:sz w:val="20"/>
                <w:szCs w:val="20"/>
              </w:rPr>
              <w:t>32</w:t>
            </w:r>
          </w:p>
          <w:p w14:paraId="47FD801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6328D2AB" w14:textId="77777777" w:rsidR="00696324" w:rsidRPr="007A7501" w:rsidRDefault="00696324" w:rsidP="00457D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026C6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5C12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696324" w:rsidRPr="007A7501" w14:paraId="4BF61AD0" w14:textId="77777777" w:rsidTr="00457D3F">
        <w:trPr>
          <w:trHeight w:val="244"/>
        </w:trPr>
        <w:tc>
          <w:tcPr>
            <w:tcW w:w="1235" w:type="dxa"/>
            <w:vMerge/>
          </w:tcPr>
          <w:p w14:paraId="191D271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0E723C8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14:paraId="4F89F63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AB6912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EAD5AA" w14:textId="4DDEB489" w:rsidR="00696324" w:rsidRPr="007A7501" w:rsidRDefault="009135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13,68</w:t>
            </w:r>
            <w:proofErr w:type="gramStart"/>
            <w:r w:rsidR="00B43AAF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vMerge w:val="restart"/>
          </w:tcPr>
          <w:p w14:paraId="7413AE9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E2D9A" w14:textId="2310ADE6" w:rsidR="00696324" w:rsidRPr="007A7501" w:rsidRDefault="009135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12.561</w:t>
            </w:r>
          </w:p>
        </w:tc>
        <w:tc>
          <w:tcPr>
            <w:tcW w:w="1503" w:type="dxa"/>
            <w:vMerge w:val="restart"/>
          </w:tcPr>
          <w:p w14:paraId="4AC836E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EEFA1B" w14:textId="002A1672" w:rsidR="00696324" w:rsidRPr="007A7501" w:rsidRDefault="005748F8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9135D7">
              <w:rPr>
                <w:rFonts w:cstheme="minorHAnsi"/>
                <w:sz w:val="20"/>
                <w:szCs w:val="20"/>
              </w:rPr>
              <w:t>237</w:t>
            </w:r>
          </w:p>
        </w:tc>
        <w:tc>
          <w:tcPr>
            <w:tcW w:w="1376" w:type="dxa"/>
            <w:vMerge/>
          </w:tcPr>
          <w:p w14:paraId="53FDD4D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14:paraId="4BDC3A9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17D7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696324" w:rsidRPr="007A7501" w14:paraId="1343CB86" w14:textId="77777777" w:rsidTr="000C29E2">
        <w:trPr>
          <w:trHeight w:val="244"/>
        </w:trPr>
        <w:tc>
          <w:tcPr>
            <w:tcW w:w="1235" w:type="dxa"/>
            <w:vMerge/>
          </w:tcPr>
          <w:p w14:paraId="3B6F7155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3D5BA69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0011D69B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2A830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14:paraId="2EDB15E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E40594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B6BD4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7887532E" w14:textId="77777777"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F137A" w14:textId="622F53F7" w:rsidR="00457D3F" w:rsidRDefault="009135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99,98</w:t>
            </w:r>
          </w:p>
          <w:p w14:paraId="5DEB349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310" w:type="dxa"/>
            <w:vMerge/>
          </w:tcPr>
          <w:p w14:paraId="234E70A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14:paraId="2738DE19" w14:textId="77777777" w:rsidTr="000C29E2">
        <w:trPr>
          <w:trHeight w:val="647"/>
        </w:trPr>
        <w:tc>
          <w:tcPr>
            <w:tcW w:w="1235" w:type="dxa"/>
            <w:vMerge/>
          </w:tcPr>
          <w:p w14:paraId="2AE390E6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73A8A63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14:paraId="1BDBF91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EED9D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26FC32" w14:textId="72FF90EB" w:rsidR="00696324" w:rsidRPr="007A7501" w:rsidRDefault="009135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3,11</w:t>
            </w:r>
            <w:proofErr w:type="gramStart"/>
            <w:r w:rsidR="005A751F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</w:tcPr>
          <w:p w14:paraId="60A5D8C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799F6F" w14:textId="57A4F3A6" w:rsidR="00696324" w:rsidRPr="007A7501" w:rsidRDefault="005748F8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</w:t>
            </w:r>
            <w:r w:rsidR="009135D7">
              <w:rPr>
                <w:rFonts w:cstheme="minorHAnsi"/>
                <w:sz w:val="20"/>
                <w:szCs w:val="20"/>
              </w:rPr>
              <w:t>371</w:t>
            </w:r>
          </w:p>
        </w:tc>
        <w:tc>
          <w:tcPr>
            <w:tcW w:w="1503" w:type="dxa"/>
          </w:tcPr>
          <w:p w14:paraId="35E6430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A77934" w14:textId="19DF398D" w:rsidR="00696324" w:rsidRPr="007A7501" w:rsidRDefault="009135D7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3.908</w:t>
            </w:r>
          </w:p>
        </w:tc>
        <w:tc>
          <w:tcPr>
            <w:tcW w:w="1376" w:type="dxa"/>
            <w:vMerge/>
          </w:tcPr>
          <w:p w14:paraId="7CE1A92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82391F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3852E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4BAD3B40" w14:textId="77777777"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14:paraId="4FC6DBBE" w14:textId="77777777" w:rsidR="00457D3F" w:rsidRDefault="00457D3F" w:rsidP="00563D96"/>
    <w:p w14:paraId="1AE8EB88" w14:textId="77777777" w:rsidR="00457D3F" w:rsidRDefault="00457D3F" w:rsidP="00563D96"/>
    <w:p w14:paraId="74A07C45" w14:textId="77777777" w:rsidR="00457D3F" w:rsidRDefault="00457D3F" w:rsidP="00563D96"/>
    <w:p w14:paraId="4BCC684A" w14:textId="77777777" w:rsidR="00457D3F" w:rsidRDefault="00457D3F" w:rsidP="00563D96"/>
    <w:p w14:paraId="7BC9B738" w14:textId="77777777" w:rsidR="00875C30" w:rsidRDefault="00875C30" w:rsidP="00563D96"/>
    <w:p w14:paraId="0486E578" w14:textId="77777777" w:rsidR="00EC7831" w:rsidRPr="007A7501" w:rsidRDefault="00B62618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9135D7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14:paraId="5C19A697" w14:textId="77777777" w:rsidTr="009A25E0">
        <w:tc>
          <w:tcPr>
            <w:tcW w:w="2346" w:type="dxa"/>
            <w:gridSpan w:val="2"/>
          </w:tcPr>
          <w:p w14:paraId="461DE57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03F8DAE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7CF28D22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001D3A8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14:paraId="7C5C0DF5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72906EE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29FCA383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14:paraId="481ED1AB" w14:textId="77777777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F18CC11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5598084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A427B6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14:paraId="6594503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5D5A1A0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6FA63C9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6F08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F7B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33510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14:paraId="45B7C8C4" w14:textId="77777777" w:rsidR="00756427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369DD787" w14:textId="77777777" w:rsidR="00106DD9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035D566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86F11" w14:textId="03B51981" w:rsidR="00756427" w:rsidRPr="007A7501" w:rsidRDefault="009135D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18,24</w:t>
            </w:r>
            <w:proofErr w:type="gramStart"/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4882F1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829EB4" w14:textId="243771A6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71.213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90F3F1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824EAC" w14:textId="4D99643A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11.388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7AD4386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041139" w14:textId="682368A6" w:rsidR="00756427" w:rsidRPr="001705CA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3342A5C" w14:textId="77777777" w:rsidR="00BC67F5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C09B9F" w14:textId="088F205C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6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56427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56427" w:rsidRPr="007A7501" w14:paraId="3A93C71D" w14:textId="77777777" w:rsidTr="00106DD9">
        <w:trPr>
          <w:trHeight w:val="451"/>
        </w:trPr>
        <w:tc>
          <w:tcPr>
            <w:tcW w:w="1235" w:type="dxa"/>
            <w:vMerge/>
          </w:tcPr>
          <w:p w14:paraId="615E5BB8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7BF1906F" w14:textId="77777777" w:rsidR="00106DD9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14:paraId="7D3EF66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3807010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580622" w14:textId="0A925B1F" w:rsidR="00BC67F5" w:rsidRPr="00BC67F5" w:rsidRDefault="009135D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12,81</w:t>
            </w:r>
            <w:proofErr w:type="gramStart"/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vMerge w:val="restart"/>
          </w:tcPr>
          <w:p w14:paraId="48F0049E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DF911" w14:textId="6CBE4E94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45.593</w:t>
            </w:r>
          </w:p>
        </w:tc>
        <w:tc>
          <w:tcPr>
            <w:tcW w:w="1503" w:type="dxa"/>
            <w:vMerge w:val="restart"/>
          </w:tcPr>
          <w:p w14:paraId="5678C895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B3D9F0" w14:textId="2A9130D2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3.839</w:t>
            </w:r>
          </w:p>
        </w:tc>
        <w:tc>
          <w:tcPr>
            <w:tcW w:w="1376" w:type="dxa"/>
            <w:vMerge w:val="restart"/>
          </w:tcPr>
          <w:p w14:paraId="78BCB5E8" w14:textId="77777777" w:rsidR="00106DD9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11A423" w14:textId="66E67751" w:rsidR="00756427" w:rsidRPr="001705CA" w:rsidRDefault="0039793C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310" w:type="dxa"/>
            <w:vMerge w:val="restart"/>
          </w:tcPr>
          <w:p w14:paraId="744C9F9A" w14:textId="2305EE72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</w:t>
            </w:r>
            <w:r w:rsidR="0039793C">
              <w:rPr>
                <w:rFonts w:cstheme="minorHAnsi"/>
                <w:sz w:val="20"/>
                <w:szCs w:val="20"/>
              </w:rPr>
              <w:t>1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56427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56427" w:rsidRPr="007A7501" w14:paraId="3D2C7FDC" w14:textId="77777777" w:rsidTr="00106DD9">
        <w:trPr>
          <w:trHeight w:val="244"/>
        </w:trPr>
        <w:tc>
          <w:tcPr>
            <w:tcW w:w="1235" w:type="dxa"/>
            <w:vMerge/>
          </w:tcPr>
          <w:p w14:paraId="524A7A3A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0E3FE2F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43F37DD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2F85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14:paraId="0D32F4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14:paraId="76DD8CE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C72A00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71216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431B3A7E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14:paraId="069FD7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14:paraId="54D5FC6D" w14:textId="77777777" w:rsidTr="00106DD9">
        <w:trPr>
          <w:trHeight w:val="839"/>
        </w:trPr>
        <w:tc>
          <w:tcPr>
            <w:tcW w:w="1235" w:type="dxa"/>
            <w:vMerge/>
          </w:tcPr>
          <w:p w14:paraId="6F31FB0D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B7923A5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14:paraId="21596FF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286C4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DF58B" w14:textId="36D93323" w:rsidR="00756427" w:rsidRPr="007A7501" w:rsidRDefault="009135D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4,52</w:t>
            </w:r>
            <w:proofErr w:type="gramStart"/>
            <w:r w:rsidR="002F6627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503" w:type="dxa"/>
          </w:tcPr>
          <w:p w14:paraId="1451C01F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442AF3" w14:textId="581D41A1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318.422</w:t>
            </w:r>
          </w:p>
        </w:tc>
        <w:tc>
          <w:tcPr>
            <w:tcW w:w="1503" w:type="dxa"/>
          </w:tcPr>
          <w:p w14:paraId="15305CE9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6905B2" w14:textId="38DBF772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25.485</w:t>
            </w:r>
          </w:p>
        </w:tc>
        <w:tc>
          <w:tcPr>
            <w:tcW w:w="1376" w:type="dxa"/>
          </w:tcPr>
          <w:p w14:paraId="070C8091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ACFABE" w14:textId="4C0971C2" w:rsidR="00756427" w:rsidRPr="001705CA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310" w:type="dxa"/>
          </w:tcPr>
          <w:p w14:paraId="46BCD220" w14:textId="504FF761" w:rsidR="00756427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37</w:t>
            </w:r>
            <w:r w:rsidR="004F512E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="00756427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2F63E2" w:rsidRPr="007A7501" w14:paraId="7EF2B5F2" w14:textId="77777777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3041C388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F6FB64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171401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14:paraId="43673AB0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A4340FC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14:paraId="3120F597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7A66DD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C91149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A91807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0B9DC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14:paraId="70B0E84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CCF2D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A8D21B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80C7" w14:textId="4AF316A7" w:rsidR="002F63E2" w:rsidRPr="007A7501" w:rsidRDefault="009135D7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19,17</w:t>
            </w:r>
            <w:proofErr w:type="gramStart"/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106DD9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771D8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B6A4F7" w14:textId="37CC946B" w:rsidR="002F63E2" w:rsidRPr="007A7501" w:rsidRDefault="0039793C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122.049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DE37099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C21EE" w14:textId="79BFC5E6" w:rsidR="002F63E2" w:rsidRPr="007A7501" w:rsidRDefault="0039793C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74.067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4CE70D2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DEB62" w14:textId="2F50F53A" w:rsidR="002F63E2" w:rsidRPr="007A7501" w:rsidRDefault="0039793C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8D8C463" w14:textId="0E3FB6A7" w:rsidR="002F63E2" w:rsidRPr="007A7501" w:rsidRDefault="0039793C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7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2F63E2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2F63E2" w:rsidRPr="007A7501" w14:paraId="123DDC6A" w14:textId="77777777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403AF6A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1155AA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1B44A24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1221D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D061" w14:textId="1D9408CA" w:rsidR="002F63E2" w:rsidRPr="007A7501" w:rsidRDefault="009135D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13,07</w:t>
            </w:r>
            <w:proofErr w:type="gramStart"/>
            <w:r w:rsidR="00106DD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C4EF793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7C902E" w14:textId="1BFF0890" w:rsidR="002F63E2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31.787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B3FD0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FE6728" w14:textId="63A971A7" w:rsidR="002F63E2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12.405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AC8482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855CE7" w14:textId="5624D28A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39793C">
              <w:rPr>
                <w:rFonts w:cstheme="minorHAnsi"/>
                <w:sz w:val="20"/>
                <w:szCs w:val="20"/>
              </w:rPr>
              <w:t>9</w:t>
            </w:r>
          </w:p>
          <w:p w14:paraId="474A0E9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9141385" w14:textId="17EE90C7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</w:t>
            </w:r>
            <w:r w:rsidR="0039793C">
              <w:rPr>
                <w:rFonts w:cstheme="minorHAnsi"/>
                <w:sz w:val="20"/>
                <w:szCs w:val="20"/>
              </w:rPr>
              <w:t>4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2F63E2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2F63E2" w:rsidRPr="007A7501" w14:paraId="1B221A79" w14:textId="77777777" w:rsidTr="00106DD9">
        <w:trPr>
          <w:trHeight w:val="709"/>
        </w:trPr>
        <w:tc>
          <w:tcPr>
            <w:tcW w:w="1235" w:type="dxa"/>
            <w:vMerge/>
          </w:tcPr>
          <w:p w14:paraId="6A3D952A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790511C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14:paraId="56848BB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F1D96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2F2FE6" w14:textId="09702A3A" w:rsidR="002F63E2" w:rsidRPr="007A7501" w:rsidRDefault="009135D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4,77</w:t>
            </w:r>
            <w:proofErr w:type="gramStart"/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03" w:type="dxa"/>
          </w:tcPr>
          <w:p w14:paraId="1F4D435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DA165" w14:textId="6654143A" w:rsidR="002F63E2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1.071.888</w:t>
            </w:r>
          </w:p>
        </w:tc>
        <w:tc>
          <w:tcPr>
            <w:tcW w:w="1503" w:type="dxa"/>
          </w:tcPr>
          <w:p w14:paraId="75C58764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E7F027" w14:textId="19501C78" w:rsidR="002F63E2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176.233</w:t>
            </w:r>
          </w:p>
        </w:tc>
        <w:tc>
          <w:tcPr>
            <w:tcW w:w="1376" w:type="dxa"/>
          </w:tcPr>
          <w:p w14:paraId="1DF4E681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BB0A3" w14:textId="4B060C5C" w:rsidR="002F63E2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310" w:type="dxa"/>
          </w:tcPr>
          <w:p w14:paraId="621001CE" w14:textId="4C7AABF8" w:rsidR="002F63E2" w:rsidRPr="007A7501" w:rsidRDefault="0039793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38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2F63E2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065E573F" w14:textId="77777777" w:rsidR="00563D96" w:rsidRPr="007A7501" w:rsidRDefault="00563D96" w:rsidP="00563D96">
      <w:pPr>
        <w:rPr>
          <w:rFonts w:cstheme="minorHAnsi"/>
          <w:sz w:val="20"/>
          <w:szCs w:val="20"/>
        </w:rPr>
      </w:pPr>
    </w:p>
    <w:p w14:paraId="6C45C3B5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14:paraId="2EBFA630" w14:textId="77777777" w:rsidTr="00457D3F">
        <w:tc>
          <w:tcPr>
            <w:tcW w:w="1448" w:type="dxa"/>
          </w:tcPr>
          <w:p w14:paraId="4B71DCF5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6A36738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45FBCC2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67D4C006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67D792AC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5422D14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C3C093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14:paraId="0359EA13" w14:textId="77777777" w:rsidTr="00457D3F">
        <w:tc>
          <w:tcPr>
            <w:tcW w:w="1448" w:type="dxa"/>
          </w:tcPr>
          <w:p w14:paraId="095750AA" w14:textId="77777777"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5BE3956" w14:textId="77777777"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KS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MR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II</w:t>
            </w:r>
          </w:p>
          <w:p w14:paraId="1DAA7F3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14:paraId="30DE6AD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1895370" w14:textId="77777777" w:rsidR="002F6627" w:rsidRDefault="002F6627" w:rsidP="00D01CA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E142B4" w14:textId="254B36FD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  <w:r w:rsidR="002F6627">
              <w:rPr>
                <w:rFonts w:cstheme="minorHAnsi"/>
                <w:sz w:val="20"/>
                <w:szCs w:val="20"/>
              </w:rPr>
              <w:t>3</w:t>
            </w:r>
          </w:p>
          <w:p w14:paraId="400DBED3" w14:textId="2DC89B7B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14:paraId="6A5E69CF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0E1D24" w14:textId="406A661B" w:rsidR="003D6FCC" w:rsidRPr="007A7501" w:rsidRDefault="009135D7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2,8</w:t>
            </w:r>
            <w:proofErr w:type="gramStart"/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  <w:p w14:paraId="0F80B9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86BAC1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B613B9" w14:textId="7212959A" w:rsidR="003D6FCC" w:rsidRPr="007A7501" w:rsidRDefault="0039793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326.788</w:t>
            </w:r>
          </w:p>
        </w:tc>
        <w:tc>
          <w:tcPr>
            <w:tcW w:w="1536" w:type="dxa"/>
          </w:tcPr>
          <w:p w14:paraId="251F757A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A97EC" w14:textId="047DEA63" w:rsidR="003D6FCC" w:rsidRPr="007A7501" w:rsidRDefault="0039793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93C">
              <w:rPr>
                <w:rFonts w:cstheme="minorHAnsi"/>
                <w:sz w:val="20"/>
                <w:szCs w:val="20"/>
              </w:rPr>
              <w:t>36.088</w:t>
            </w:r>
          </w:p>
        </w:tc>
        <w:tc>
          <w:tcPr>
            <w:tcW w:w="1536" w:type="dxa"/>
          </w:tcPr>
          <w:p w14:paraId="3CD300F7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D8E178" w14:textId="77777777" w:rsidR="003D6FCC" w:rsidRPr="007A7501" w:rsidRDefault="003D6FCC" w:rsidP="004F51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C4E74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EAD0D3" w14:textId="6C8E4855" w:rsidR="003D6FCC" w:rsidRPr="007A7501" w:rsidRDefault="0039793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60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3D6FCC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2B758FF4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p w14:paraId="58204E3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6A64A3BC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31EA5FC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07683DA4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5117DD7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B1582F6" w14:textId="77777777"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4DF9C0" w14:textId="77777777"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14:paraId="3173012F" w14:textId="77777777"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proofErr w:type="gramStart"/>
        <w:r w:rsidR="001E7023"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Triglav</w:t>
        </w:r>
        <w:proofErr w:type="gramEnd"/>
        <w:r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14:paraId="6C4CA1C0" w14:textId="77777777" w:rsidTr="00FD0C97">
        <w:tc>
          <w:tcPr>
            <w:tcW w:w="2373" w:type="dxa"/>
            <w:gridSpan w:val="2"/>
          </w:tcPr>
          <w:p w14:paraId="24013806" w14:textId="77777777"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5DCF10C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6BC276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1E36FA6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98" w:type="dxa"/>
          </w:tcPr>
          <w:p w14:paraId="3E3138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013F52F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755F83B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14:paraId="320F4B89" w14:textId="77777777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52E636D0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D1B156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8D2009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12D368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452A53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14:paraId="6175A16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8BE7C08" w14:textId="77777777"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7AB96B71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850679" w:rsidRPr="007A7501">
              <w:rPr>
                <w:rFonts w:cstheme="minorHAnsi"/>
                <w:sz w:val="20"/>
                <w:szCs w:val="20"/>
              </w:rPr>
              <w:t>PN SK</w:t>
            </w:r>
            <w:proofErr w:type="gramEnd"/>
            <w:r w:rsidR="00850679" w:rsidRPr="007A7501">
              <w:rPr>
                <w:rFonts w:cstheme="minorHAnsi"/>
                <w:sz w:val="20"/>
                <w:szCs w:val="20"/>
              </w:rPr>
              <w:t xml:space="preserve"> 01</w:t>
            </w:r>
          </w:p>
          <w:p w14:paraId="7780ADE9" w14:textId="2246E848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4AB3E393" w14:textId="77777777" w:rsidR="00E1423B" w:rsidRDefault="00E1423B" w:rsidP="00850679">
            <w:pPr>
              <w:rPr>
                <w:rFonts w:cstheme="minorHAnsi"/>
                <w:sz w:val="20"/>
                <w:szCs w:val="20"/>
              </w:rPr>
            </w:pPr>
          </w:p>
          <w:p w14:paraId="1E9CC2E0" w14:textId="1549C915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>PN SK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03</w:t>
            </w:r>
          </w:p>
          <w:p w14:paraId="7EECCF55" w14:textId="77777777" w:rsidR="00850679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7411117" w14:textId="77777777" w:rsidR="00E1423B" w:rsidRDefault="00E1423B" w:rsidP="00E1423B">
            <w:pPr>
              <w:rPr>
                <w:rFonts w:cstheme="minorHAnsi"/>
                <w:sz w:val="20"/>
                <w:szCs w:val="20"/>
              </w:rPr>
            </w:pPr>
          </w:p>
          <w:p w14:paraId="0DF03985" w14:textId="722E5A09" w:rsidR="00E1423B" w:rsidRPr="007A7501" w:rsidRDefault="00E1423B" w:rsidP="00E1423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TPD 04</w:t>
            </w:r>
          </w:p>
          <w:p w14:paraId="53DB61E1" w14:textId="77777777" w:rsidR="00E1423B" w:rsidRPr="007A7501" w:rsidRDefault="00E1423B" w:rsidP="00E1423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385AC97B" w14:textId="77777777" w:rsidR="00E1423B" w:rsidRPr="007A7501" w:rsidRDefault="00E1423B" w:rsidP="00850679">
            <w:pPr>
              <w:rPr>
                <w:rFonts w:cstheme="minorHAnsi"/>
                <w:sz w:val="20"/>
                <w:szCs w:val="20"/>
              </w:rPr>
            </w:pPr>
          </w:p>
          <w:p w14:paraId="5DDAE66A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1C6582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2FF236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BBDA2" w14:textId="0B08A682" w:rsidR="00CA00D2" w:rsidRPr="007A7501" w:rsidRDefault="00E1423B" w:rsidP="001E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25,42</w:t>
            </w:r>
            <w:proofErr w:type="gramStart"/>
            <w:r w:rsidR="001E7023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B56DCA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5B9C4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863C2F" w14:textId="7C2A0E63" w:rsidR="00CA00D2" w:rsidRPr="007A7501" w:rsidRDefault="00E1423B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68.292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7BFB75C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A079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30C933" w14:textId="634BFD9C" w:rsidR="00CA00D2" w:rsidRPr="007A7501" w:rsidRDefault="0099327E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1423B">
              <w:rPr>
                <w:rFonts w:cstheme="minorHAnsi"/>
                <w:sz w:val="20"/>
                <w:szCs w:val="20"/>
              </w:rPr>
              <w:t>7.386</w:t>
            </w:r>
          </w:p>
        </w:tc>
        <w:tc>
          <w:tcPr>
            <w:tcW w:w="1372" w:type="dxa"/>
          </w:tcPr>
          <w:p w14:paraId="43A3719C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4A48F8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DE4BC6" w14:textId="5D2DE1A1" w:rsidR="00CA00D2" w:rsidRPr="001705CA" w:rsidRDefault="00E1423B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116,05</w:t>
            </w:r>
          </w:p>
          <w:p w14:paraId="270DEA89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BEB4A22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7D550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CA00D2" w:rsidRPr="007A7501" w14:paraId="24067C86" w14:textId="77777777" w:rsidTr="00FD0C97">
        <w:trPr>
          <w:trHeight w:val="720"/>
        </w:trPr>
        <w:tc>
          <w:tcPr>
            <w:tcW w:w="1231" w:type="dxa"/>
            <w:vMerge/>
          </w:tcPr>
          <w:p w14:paraId="0FD188C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4793B77" w14:textId="77777777"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14:paraId="69EB4A2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02879E3F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CE8A9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78312" w14:textId="65A54F66" w:rsidR="00CA00D2" w:rsidRPr="007A7501" w:rsidRDefault="00E1423B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18,69</w:t>
            </w:r>
            <w:proofErr w:type="gramStart"/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98" w:type="dxa"/>
            <w:vMerge w:val="restart"/>
          </w:tcPr>
          <w:p w14:paraId="6A5C2D9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4D005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12322A" w14:textId="7E4DB6FA" w:rsidR="00CA00D2" w:rsidRPr="007A7501" w:rsidRDefault="00E1423B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58.571</w:t>
            </w:r>
          </w:p>
        </w:tc>
        <w:tc>
          <w:tcPr>
            <w:tcW w:w="1498" w:type="dxa"/>
            <w:vMerge w:val="restart"/>
          </w:tcPr>
          <w:p w14:paraId="5B1B502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DE81F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BE6FA" w14:textId="2BA1EFED" w:rsidR="00CA00D2" w:rsidRPr="007A7501" w:rsidRDefault="00E1423B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7.302</w:t>
            </w:r>
          </w:p>
        </w:tc>
        <w:tc>
          <w:tcPr>
            <w:tcW w:w="1372" w:type="dxa"/>
            <w:vMerge w:val="restart"/>
          </w:tcPr>
          <w:p w14:paraId="7F48B1EC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EB84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5033EA" w14:textId="6F9B5AB1" w:rsidR="00CA00D2" w:rsidRPr="001705CA" w:rsidRDefault="00E1423B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137,58</w:t>
            </w:r>
          </w:p>
        </w:tc>
        <w:tc>
          <w:tcPr>
            <w:tcW w:w="1306" w:type="dxa"/>
            <w:vMerge w:val="restart"/>
          </w:tcPr>
          <w:p w14:paraId="00E473B9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84045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CA00D2" w:rsidRPr="007A7501" w14:paraId="59E9996B" w14:textId="77777777" w:rsidTr="00E1423B">
        <w:trPr>
          <w:trHeight w:val="244"/>
        </w:trPr>
        <w:tc>
          <w:tcPr>
            <w:tcW w:w="1231" w:type="dxa"/>
            <w:vMerge/>
          </w:tcPr>
          <w:p w14:paraId="27E3DD6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6BB0644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3D18F2A5" w14:textId="16398915" w:rsidR="00CA00D2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322701" w:rsidRPr="007A7501">
              <w:rPr>
                <w:rFonts w:cstheme="minorHAnsi"/>
                <w:sz w:val="20"/>
                <w:szCs w:val="20"/>
              </w:rPr>
              <w:t>PN SK</w:t>
            </w:r>
            <w:proofErr w:type="gramEnd"/>
            <w:r w:rsidR="00322701" w:rsidRPr="007A7501">
              <w:rPr>
                <w:rFonts w:cstheme="minorHAnsi"/>
                <w:sz w:val="20"/>
                <w:szCs w:val="20"/>
              </w:rPr>
              <w:t xml:space="preserve">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700F2FD2" w14:textId="77777777" w:rsidR="00E1423B" w:rsidRDefault="00E1423B" w:rsidP="00322701">
            <w:pPr>
              <w:rPr>
                <w:rFonts w:cstheme="minorHAnsi"/>
                <w:sz w:val="20"/>
                <w:szCs w:val="20"/>
              </w:rPr>
            </w:pPr>
          </w:p>
          <w:p w14:paraId="6E022952" w14:textId="384CA97F" w:rsidR="00E1423B" w:rsidRPr="007A7501" w:rsidRDefault="00E1423B" w:rsidP="00322701">
            <w:pPr>
              <w:rPr>
                <w:rFonts w:cstheme="minorHAnsi"/>
                <w:sz w:val="20"/>
                <w:szCs w:val="20"/>
              </w:rPr>
            </w:pPr>
            <w:r w:rsidRPr="00890859">
              <w:rPr>
                <w:rFonts w:cstheme="minorHAnsi"/>
                <w:sz w:val="20"/>
                <w:szCs w:val="20"/>
              </w:rPr>
              <w:t>PN TPD 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9085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63F815BD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3F66E3A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3952E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72DD602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1477FB1F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14:paraId="4F10EE17" w14:textId="77777777" w:rsidTr="00FD0C97">
        <w:trPr>
          <w:trHeight w:val="1029"/>
        </w:trPr>
        <w:tc>
          <w:tcPr>
            <w:tcW w:w="1231" w:type="dxa"/>
            <w:vMerge/>
          </w:tcPr>
          <w:p w14:paraId="71AF90CF" w14:textId="77777777"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53477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14:paraId="50E97A38" w14:textId="77777777"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14:paraId="2802960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64262AA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FB840" w14:textId="77777777"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14:paraId="2ADC3456" w14:textId="29D0BA70" w:rsidR="00CA00D2" w:rsidRPr="007A7501" w:rsidRDefault="0099327E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</w:t>
            </w:r>
            <w:r w:rsidR="00E1423B">
              <w:rPr>
                <w:rFonts w:cstheme="minorHAnsi"/>
                <w:sz w:val="20"/>
                <w:szCs w:val="20"/>
              </w:rPr>
              <w:t>51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A00D2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98" w:type="dxa"/>
          </w:tcPr>
          <w:p w14:paraId="5CD08CD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85738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F6D8E3" w14:textId="7807306F" w:rsidR="00CA00D2" w:rsidRPr="007A7501" w:rsidRDefault="0099327E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1423B">
              <w:rPr>
                <w:rFonts w:cstheme="minorHAnsi"/>
                <w:sz w:val="20"/>
                <w:szCs w:val="20"/>
              </w:rPr>
              <w:t>34.967</w:t>
            </w:r>
          </w:p>
        </w:tc>
        <w:tc>
          <w:tcPr>
            <w:tcW w:w="1498" w:type="dxa"/>
          </w:tcPr>
          <w:p w14:paraId="69EB324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F41E3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7F0B4" w14:textId="6F7A2035" w:rsidR="00CA00D2" w:rsidRPr="007A7501" w:rsidRDefault="0099327E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</w:t>
            </w:r>
            <w:r w:rsidR="00E1423B">
              <w:rPr>
                <w:rFonts w:cstheme="minorHAnsi"/>
                <w:sz w:val="20"/>
                <w:szCs w:val="20"/>
              </w:rPr>
              <w:t>486</w:t>
            </w:r>
          </w:p>
        </w:tc>
        <w:tc>
          <w:tcPr>
            <w:tcW w:w="1372" w:type="dxa"/>
          </w:tcPr>
          <w:p w14:paraId="5B1A299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BA7DF8" w14:textId="77777777" w:rsidR="00850679" w:rsidRPr="001705CA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2E7F4D17" w14:textId="4AD2C7F6" w:rsidR="00CA00D2" w:rsidRPr="001705CA" w:rsidRDefault="00E1423B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103,79</w:t>
            </w:r>
          </w:p>
        </w:tc>
        <w:tc>
          <w:tcPr>
            <w:tcW w:w="1306" w:type="dxa"/>
          </w:tcPr>
          <w:p w14:paraId="64BD3575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B8BBFE" w14:textId="1BF5FAAE" w:rsidR="00CA00D2" w:rsidRPr="007A7501" w:rsidRDefault="00E1423B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49,56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3D6FCC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4F0221D3" w14:textId="11D26DF3" w:rsidR="00924F02" w:rsidRDefault="00E1423B" w:rsidP="00563D96">
      <w:pPr>
        <w:rPr>
          <w:rFonts w:cstheme="minorHAnsi"/>
          <w:sz w:val="20"/>
          <w:szCs w:val="20"/>
        </w:rPr>
      </w:pPr>
      <w:r w:rsidRPr="00E1423B">
        <w:rPr>
          <w:rFonts w:cstheme="minorHAnsi"/>
          <w:sz w:val="20"/>
          <w:szCs w:val="20"/>
        </w:rPr>
        <w:t xml:space="preserve">Triglav, pokojninska družba, </w:t>
      </w:r>
      <w:proofErr w:type="gramStart"/>
      <w:r w:rsidRPr="00E1423B">
        <w:rPr>
          <w:rFonts w:cstheme="minorHAnsi"/>
          <w:sz w:val="20"/>
          <w:szCs w:val="20"/>
        </w:rPr>
        <w:t>d.</w:t>
      </w:r>
      <w:proofErr w:type="gramEnd"/>
      <w:r w:rsidRPr="00E1423B">
        <w:rPr>
          <w:rFonts w:cstheme="minorHAnsi"/>
          <w:sz w:val="20"/>
          <w:szCs w:val="20"/>
        </w:rPr>
        <w:t xml:space="preserve">d. na dan 31. 12. 2024 upravlja eno skupino kritnih skladov. Na dan </w:t>
      </w:r>
      <w:proofErr w:type="gramStart"/>
      <w:r w:rsidRPr="00E1423B">
        <w:rPr>
          <w:rFonts w:cstheme="minorHAnsi"/>
          <w:sz w:val="20"/>
          <w:szCs w:val="20"/>
        </w:rPr>
        <w:t>31. 12. 2023</w:t>
      </w:r>
      <w:proofErr w:type="gramEnd"/>
      <w:r w:rsidRPr="00E1423B">
        <w:rPr>
          <w:rFonts w:cstheme="minorHAnsi"/>
          <w:sz w:val="20"/>
          <w:szCs w:val="20"/>
        </w:rPr>
        <w:t xml:space="preserve"> je upravljala dve skupini kritnih skladov, poleg skupine Skupni pokojninski sklad še skupino Triglav pokojnine+. Skupina Triglav pokojnine+ je bila z dnem </w:t>
      </w:r>
      <w:proofErr w:type="gramStart"/>
      <w:r w:rsidRPr="00E1423B">
        <w:rPr>
          <w:rFonts w:cstheme="minorHAnsi"/>
          <w:sz w:val="20"/>
          <w:szCs w:val="20"/>
        </w:rPr>
        <w:t>1. 2. 2024</w:t>
      </w:r>
      <w:proofErr w:type="gramEnd"/>
      <w:r w:rsidRPr="00E1423B">
        <w:rPr>
          <w:rFonts w:cstheme="minorHAnsi"/>
          <w:sz w:val="20"/>
          <w:szCs w:val="20"/>
        </w:rPr>
        <w:t xml:space="preserve"> pripojena k skupini Skupni pokojninski sklad.</w:t>
      </w:r>
    </w:p>
    <w:p w14:paraId="7EAFCD4F" w14:textId="77777777" w:rsidR="006F22FA" w:rsidRDefault="006F22FA" w:rsidP="00563D96">
      <w:pPr>
        <w:rPr>
          <w:rFonts w:cstheme="minorHAnsi"/>
          <w:sz w:val="20"/>
          <w:szCs w:val="20"/>
        </w:rPr>
      </w:pPr>
    </w:p>
    <w:p w14:paraId="05003F08" w14:textId="6DF2810C"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Sava pokojninska družba, </w:t>
        </w:r>
        <w:proofErr w:type="gramStart"/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d.</w:t>
        </w:r>
        <w:proofErr w:type="gramEnd"/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83"/>
        <w:gridCol w:w="1352"/>
        <w:gridCol w:w="1418"/>
        <w:gridCol w:w="1417"/>
        <w:gridCol w:w="1418"/>
        <w:gridCol w:w="1276"/>
        <w:gridCol w:w="1247"/>
      </w:tblGrid>
      <w:tr w:rsidR="007C475D" w:rsidRPr="007A7501" w14:paraId="156A7B5C" w14:textId="77777777" w:rsidTr="00AA27A7">
        <w:trPr>
          <w:trHeight w:val="1214"/>
        </w:trPr>
        <w:tc>
          <w:tcPr>
            <w:tcW w:w="2901" w:type="dxa"/>
            <w:gridSpan w:val="2"/>
          </w:tcPr>
          <w:p w14:paraId="757ED9F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52" w:type="dxa"/>
          </w:tcPr>
          <w:p w14:paraId="1E7BC9B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8" w:type="dxa"/>
          </w:tcPr>
          <w:p w14:paraId="0DF56EB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7" w:type="dxa"/>
          </w:tcPr>
          <w:p w14:paraId="1BA5D73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43D7C2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276" w:type="dxa"/>
          </w:tcPr>
          <w:p w14:paraId="05D06F4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47" w:type="dxa"/>
          </w:tcPr>
          <w:p w14:paraId="28490C5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14:paraId="5F53E315" w14:textId="77777777" w:rsidTr="00E1423B">
        <w:trPr>
          <w:trHeight w:val="966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310B3C88" w14:textId="77777777"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71E0B85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ACA62F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70541B" w14:textId="77777777"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14:paraId="6857738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DF845E7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9EA7C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52" w:type="dxa"/>
            <w:vMerge w:val="restart"/>
          </w:tcPr>
          <w:p w14:paraId="399756AF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7DE545CC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39539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07709E20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14:paraId="066EF31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9716FE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3FDFF9D8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809B0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C820E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40594" w14:textId="0F9B0CBE" w:rsidR="007C475D" w:rsidRPr="007A7501" w:rsidRDefault="00F27A94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18,42</w:t>
            </w:r>
            <w:proofErr w:type="gramStart"/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76E4B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22F1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45EFBC" w14:textId="1E38C1CC" w:rsidR="007C475D" w:rsidRPr="007A7501" w:rsidRDefault="00F27A9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34.952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0AB95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761C3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57EB8" w14:textId="46214657" w:rsidR="007C475D" w:rsidRPr="007A7501" w:rsidRDefault="00F27A9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9.800</w:t>
            </w:r>
          </w:p>
        </w:tc>
        <w:tc>
          <w:tcPr>
            <w:tcW w:w="1276" w:type="dxa"/>
          </w:tcPr>
          <w:p w14:paraId="447AFB5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07F4D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47DE13" w14:textId="79F17823" w:rsidR="007C475D" w:rsidRPr="007A7501" w:rsidRDefault="00F27A9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80,32</w:t>
            </w:r>
          </w:p>
          <w:p w14:paraId="611F6B2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D5F62F6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642108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C475D" w:rsidRPr="007A7501" w14:paraId="4A5FD220" w14:textId="77777777" w:rsidTr="00E1423B">
        <w:trPr>
          <w:trHeight w:val="987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03B78C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495C741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09FBB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52" w:type="dxa"/>
            <w:vMerge/>
          </w:tcPr>
          <w:p w14:paraId="670A023A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04631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5ADC3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BE5EC1" w14:textId="7B528552" w:rsidR="007C475D" w:rsidRPr="007A7501" w:rsidRDefault="00F27A94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12,39</w:t>
            </w:r>
            <w:proofErr w:type="gramStart"/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45DDD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5D59A1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443003" w14:textId="3CF024C4" w:rsidR="007C475D" w:rsidRPr="007A7501" w:rsidRDefault="00F27A9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F2913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BAF38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1D738F" w14:textId="21022B08" w:rsidR="007C475D" w:rsidRPr="007A7501" w:rsidRDefault="00F27A9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E715E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4040C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19716" w14:textId="21488477" w:rsidR="007C475D" w:rsidRPr="007A7501" w:rsidRDefault="00F27A94" w:rsidP="006F1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90,12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B0E18C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DA93AB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7C475D" w:rsidRPr="007A7501" w14:paraId="2016D48B" w14:textId="77777777" w:rsidTr="00E1423B">
        <w:trPr>
          <w:trHeight w:val="1127"/>
        </w:trPr>
        <w:tc>
          <w:tcPr>
            <w:tcW w:w="1418" w:type="dxa"/>
            <w:vMerge/>
          </w:tcPr>
          <w:p w14:paraId="590CE8A5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5F45E5AB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8C843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775E78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52" w:type="dxa"/>
            <w:vMerge/>
          </w:tcPr>
          <w:p w14:paraId="7F702145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19CCE2" w14:textId="4883130A" w:rsidR="007C475D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677E44BE" w14:textId="77777777" w:rsidR="00924F02" w:rsidRPr="007A7501" w:rsidRDefault="00924F02" w:rsidP="007C475D">
            <w:pPr>
              <w:rPr>
                <w:rFonts w:cstheme="minorHAnsi"/>
                <w:sz w:val="20"/>
                <w:szCs w:val="20"/>
              </w:rPr>
            </w:pPr>
          </w:p>
          <w:p w14:paraId="41D5F309" w14:textId="2F808E0C" w:rsidR="00307A24" w:rsidRPr="007A7501" w:rsidRDefault="00AA27A7" w:rsidP="00924F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</w:t>
            </w:r>
            <w:r w:rsidR="00F27A94">
              <w:rPr>
                <w:rFonts w:cstheme="minorHAnsi"/>
                <w:sz w:val="20"/>
                <w:szCs w:val="20"/>
              </w:rPr>
              <w:t>4</w:t>
            </w:r>
            <w:proofErr w:type="gramStart"/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</w:tcPr>
          <w:p w14:paraId="47D9808D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258AB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47AB76" w14:textId="57A8B274" w:rsidR="00836AB8" w:rsidRPr="007A7501" w:rsidRDefault="00F27A94" w:rsidP="00836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143.143</w:t>
            </w:r>
          </w:p>
        </w:tc>
        <w:tc>
          <w:tcPr>
            <w:tcW w:w="1418" w:type="dxa"/>
          </w:tcPr>
          <w:p w14:paraId="35896FA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D7D2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07803B" w14:textId="0A3D44C1" w:rsidR="007C475D" w:rsidRPr="007A7501" w:rsidRDefault="00F27A94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23.528</w:t>
            </w:r>
          </w:p>
        </w:tc>
        <w:tc>
          <w:tcPr>
            <w:tcW w:w="1276" w:type="dxa"/>
          </w:tcPr>
          <w:p w14:paraId="01CF5ED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75CD8D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415B483B" w14:textId="7FA85D37" w:rsidR="007C475D" w:rsidRPr="007A7501" w:rsidRDefault="00F27A94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82,24</w:t>
            </w:r>
          </w:p>
        </w:tc>
        <w:tc>
          <w:tcPr>
            <w:tcW w:w="1247" w:type="dxa"/>
          </w:tcPr>
          <w:p w14:paraId="65EEDE2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C9FB0" w14:textId="49B6674D" w:rsidR="007C475D" w:rsidRPr="007A7501" w:rsidRDefault="009954D0" w:rsidP="007C475D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3</w:t>
            </w:r>
            <w:r w:rsidR="00F27A94">
              <w:rPr>
                <w:rFonts w:cstheme="minorHAnsi"/>
                <w:sz w:val="20"/>
                <w:szCs w:val="20"/>
              </w:rPr>
              <w:t>4,8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C5BAF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11B3A47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15AF3726" w14:textId="77777777" w:rsidR="00F27A94" w:rsidRDefault="00F27A94" w:rsidP="00563D96">
      <w:pPr>
        <w:rPr>
          <w:rFonts w:cstheme="minorHAnsi"/>
          <w:sz w:val="20"/>
          <w:szCs w:val="20"/>
        </w:rPr>
      </w:pPr>
    </w:p>
    <w:p w14:paraId="19D71A77" w14:textId="77777777" w:rsidR="00F27A94" w:rsidRDefault="00F27A94" w:rsidP="00563D96">
      <w:pPr>
        <w:rPr>
          <w:rFonts w:cstheme="minorHAnsi"/>
          <w:sz w:val="20"/>
          <w:szCs w:val="20"/>
        </w:rPr>
      </w:pPr>
    </w:p>
    <w:p w14:paraId="7D173151" w14:textId="77777777" w:rsidR="00F27A94" w:rsidRDefault="00F27A94" w:rsidP="00563D96">
      <w:pPr>
        <w:rPr>
          <w:rFonts w:cstheme="minorHAnsi"/>
          <w:sz w:val="20"/>
          <w:szCs w:val="20"/>
        </w:rPr>
      </w:pPr>
    </w:p>
    <w:p w14:paraId="61189C24" w14:textId="77777777" w:rsidR="00F37265" w:rsidRPr="007A7501" w:rsidRDefault="00B62618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31FAE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52"/>
        <w:gridCol w:w="1418"/>
        <w:gridCol w:w="1417"/>
        <w:gridCol w:w="1418"/>
        <w:gridCol w:w="1276"/>
        <w:gridCol w:w="1247"/>
      </w:tblGrid>
      <w:tr w:rsidR="00D93529" w:rsidRPr="007A7501" w14:paraId="351FC8E8" w14:textId="77777777" w:rsidTr="00D05764">
        <w:trPr>
          <w:trHeight w:val="1214"/>
        </w:trPr>
        <w:tc>
          <w:tcPr>
            <w:tcW w:w="2962" w:type="dxa"/>
            <w:gridSpan w:val="2"/>
          </w:tcPr>
          <w:p w14:paraId="082AFE8D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52" w:type="dxa"/>
          </w:tcPr>
          <w:p w14:paraId="7474292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8" w:type="dxa"/>
          </w:tcPr>
          <w:p w14:paraId="275BDDB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7" w:type="dxa"/>
          </w:tcPr>
          <w:p w14:paraId="0A567F65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361F01A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276" w:type="dxa"/>
          </w:tcPr>
          <w:p w14:paraId="4F44E7F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47" w:type="dxa"/>
          </w:tcPr>
          <w:p w14:paraId="2182E1D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14:paraId="4CF355F9" w14:textId="77777777" w:rsidTr="00D05764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1F6B3C28" w14:textId="77777777"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FEF9622" w14:textId="77777777"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življenjskega cikla Pokojninske družbe A, </w:t>
            </w:r>
            <w:proofErr w:type="gramStart"/>
            <w:r w:rsidRPr="007A7501">
              <w:rPr>
                <w:rFonts w:cstheme="minorHAnsi"/>
                <w:bCs/>
                <w:sz w:val="20"/>
                <w:szCs w:val="20"/>
              </w:rPr>
              <w:t>d.</w:t>
            </w:r>
            <w:proofErr w:type="gramEnd"/>
            <w:r w:rsidRPr="007A7501">
              <w:rPr>
                <w:rFonts w:cstheme="minorHAnsi"/>
                <w:bCs/>
                <w:sz w:val="20"/>
                <w:szCs w:val="20"/>
              </w:rPr>
              <w:t>d.</w:t>
            </w:r>
          </w:p>
          <w:p w14:paraId="555F7AC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AF5273D" w14:textId="77777777"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52" w:type="dxa"/>
            <w:vMerge w:val="restart"/>
          </w:tcPr>
          <w:p w14:paraId="39EF22EE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14:paraId="261BE126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14:paraId="16993CBC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0FBBA82E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2D2FA2D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14:paraId="1785BE96" w14:textId="77777777"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ED3CBD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3FD3A3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6D7CD" w14:textId="6B0CAA1A" w:rsidR="00C96310" w:rsidRPr="007A7501" w:rsidRDefault="00F27A94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16,13</w:t>
            </w:r>
            <w:proofErr w:type="gramStart"/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1B2A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202E7E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A443DE" w14:textId="6243D127" w:rsidR="00C96310" w:rsidRPr="007A7501" w:rsidRDefault="00F27A94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78.511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C84AA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A23EF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147D0" w14:textId="254536DB" w:rsidR="00C96310" w:rsidRPr="007A7501" w:rsidRDefault="00F27A94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20.041</w:t>
            </w:r>
          </w:p>
        </w:tc>
        <w:tc>
          <w:tcPr>
            <w:tcW w:w="1276" w:type="dxa"/>
          </w:tcPr>
          <w:p w14:paraId="4DFCD50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86091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6DDF7" w14:textId="3B325DB5" w:rsidR="00C96310" w:rsidRPr="007A7501" w:rsidRDefault="00F27A94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66,54</w:t>
            </w:r>
          </w:p>
          <w:p w14:paraId="444E324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6EAEC9D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840651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B339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DB339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D93529" w:rsidRPr="007A7501" w14:paraId="20B54782" w14:textId="77777777" w:rsidTr="00D0576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2E3617B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C395ED0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6FF7316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2ED5D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CDA2F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F0E6AC" w14:textId="12BACF3B" w:rsidR="00C96310" w:rsidRPr="007A7501" w:rsidRDefault="00F27A94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8,13</w:t>
            </w:r>
            <w:proofErr w:type="gramStart"/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CE164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39415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8C6C23" w14:textId="73E90F3F" w:rsidR="00C96310" w:rsidRPr="007A7501" w:rsidRDefault="00F27A94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42.306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D6A2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7D7804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71E6E1" w14:textId="4232FA43" w:rsidR="00C96310" w:rsidRPr="007A7501" w:rsidRDefault="00F27A94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7.772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30CC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DC2E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C986" w14:textId="7F33D9BE" w:rsidR="00C96310" w:rsidRPr="007A7501" w:rsidRDefault="00F27A94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74,55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981D698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1278E9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B339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DB3391">
              <w:rPr>
                <w:rFonts w:cstheme="minorHAnsi"/>
                <w:sz w:val="20"/>
                <w:szCs w:val="20"/>
              </w:rPr>
              <w:t xml:space="preserve"> tržno vrednotenje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3529" w:rsidRPr="007A7501" w14:paraId="52ADD934" w14:textId="77777777" w:rsidTr="00D05764">
        <w:trPr>
          <w:trHeight w:val="1024"/>
        </w:trPr>
        <w:tc>
          <w:tcPr>
            <w:tcW w:w="1288" w:type="dxa"/>
            <w:vMerge/>
          </w:tcPr>
          <w:p w14:paraId="6584F6EE" w14:textId="77777777"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01E4D9" w14:textId="77777777"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52" w:type="dxa"/>
          </w:tcPr>
          <w:p w14:paraId="18B5314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7A2F249C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7D9C75FF" w14:textId="77777777"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418" w:type="dxa"/>
          </w:tcPr>
          <w:p w14:paraId="7667A54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3BA4EE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6832EABE" w14:textId="772AC3EA" w:rsidR="00B016A3" w:rsidRPr="007A7501" w:rsidRDefault="00F27A94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5,97</w:t>
            </w:r>
            <w:proofErr w:type="gramStart"/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7" w:type="dxa"/>
          </w:tcPr>
          <w:p w14:paraId="0464624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B0846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92E0A" w14:textId="03DFF597" w:rsidR="00B016A3" w:rsidRPr="007A7501" w:rsidRDefault="00F27A94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352.244</w:t>
            </w:r>
          </w:p>
        </w:tc>
        <w:tc>
          <w:tcPr>
            <w:tcW w:w="1418" w:type="dxa"/>
          </w:tcPr>
          <w:p w14:paraId="5307E97B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950832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8514F" w14:textId="2D2577D2" w:rsidR="00B016A3" w:rsidRPr="007A7501" w:rsidRDefault="00F27A94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35.248</w:t>
            </w:r>
          </w:p>
        </w:tc>
        <w:tc>
          <w:tcPr>
            <w:tcW w:w="1276" w:type="dxa"/>
          </w:tcPr>
          <w:p w14:paraId="26043A50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3DD739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5E76561C" w14:textId="4A34B13E" w:rsidR="00B016A3" w:rsidRPr="007A7501" w:rsidRDefault="00F27A94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78,98</w:t>
            </w:r>
          </w:p>
        </w:tc>
        <w:tc>
          <w:tcPr>
            <w:tcW w:w="1247" w:type="dxa"/>
          </w:tcPr>
          <w:p w14:paraId="7CD2570C" w14:textId="77777777"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625043" w14:textId="7C6125CC" w:rsidR="00B016A3" w:rsidRPr="007A7501" w:rsidRDefault="00F27A94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49</w:t>
            </w:r>
            <w:r w:rsidR="004600CF" w:rsidRPr="00DB339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4600CF" w:rsidRPr="00DB3391">
              <w:rPr>
                <w:rFonts w:cstheme="minorHAnsi"/>
                <w:sz w:val="20"/>
                <w:szCs w:val="20"/>
              </w:rPr>
              <w:t xml:space="preserve"> tržno vrednotenje </w:t>
            </w:r>
          </w:p>
        </w:tc>
      </w:tr>
    </w:tbl>
    <w:p w14:paraId="727288F0" w14:textId="77777777"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14:paraId="1F0DE7ED" w14:textId="77777777" w:rsidTr="00D261B5">
        <w:trPr>
          <w:trHeight w:val="1146"/>
        </w:trPr>
        <w:tc>
          <w:tcPr>
            <w:tcW w:w="1509" w:type="dxa"/>
          </w:tcPr>
          <w:p w14:paraId="2EFC525B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20F02794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382B2D4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6B751F2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01" w:type="dxa"/>
          </w:tcPr>
          <w:p w14:paraId="07395957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14:paraId="3E25126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3F00C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14:paraId="798A05F4" w14:textId="77777777" w:rsidTr="00D261B5">
        <w:trPr>
          <w:trHeight w:val="1759"/>
        </w:trPr>
        <w:tc>
          <w:tcPr>
            <w:tcW w:w="1509" w:type="dxa"/>
          </w:tcPr>
          <w:p w14:paraId="73873ED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81E25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D42A25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61BCC8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14:paraId="659441B6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14:paraId="03A9C308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22ABAA34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14:paraId="2EAD4B62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14:paraId="4931B4C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>,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5,10,</w:t>
            </w:r>
          </w:p>
          <w:p w14:paraId="12F24A9C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14:paraId="7424FB3D" w14:textId="6F1D919A" w:rsidR="00D261B5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  <w:r w:rsidR="00F27A94">
              <w:rPr>
                <w:rFonts w:cstheme="minorHAnsi"/>
                <w:sz w:val="20"/>
                <w:szCs w:val="20"/>
              </w:rPr>
              <w:t>;</w:t>
            </w:r>
          </w:p>
          <w:p w14:paraId="5D5504F6" w14:textId="116B3200" w:rsidR="00F27A94" w:rsidRPr="007A7501" w:rsidRDefault="00F27A94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49C758A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14:paraId="7FA1FF6C" w14:textId="77777777"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14:paraId="04D0C7E0" w14:textId="348A60FA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 w:rsidR="00F27A94">
              <w:rPr>
                <w:rFonts w:cstheme="minorHAnsi"/>
                <w:sz w:val="20"/>
                <w:szCs w:val="20"/>
              </w:rPr>
              <w:t>29</w:t>
            </w:r>
            <w:proofErr w:type="gramStart"/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po ZPIZ-1</w:t>
            </w:r>
          </w:p>
          <w:p w14:paraId="589096BE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3E3F8" w14:textId="3458EBD4" w:rsidR="00D261B5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61B5" w:rsidRPr="007A7501">
              <w:rPr>
                <w:rFonts w:cstheme="minorHAnsi"/>
                <w:sz w:val="20"/>
                <w:szCs w:val="20"/>
              </w:rPr>
              <w:t>,</w:t>
            </w:r>
            <w:r w:rsidR="00F27A94">
              <w:rPr>
                <w:rFonts w:cstheme="minorHAnsi"/>
                <w:sz w:val="20"/>
                <w:szCs w:val="20"/>
              </w:rPr>
              <w:t>95</w:t>
            </w:r>
            <w:proofErr w:type="gramStart"/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="00D261B5" w:rsidRPr="007A7501">
              <w:rPr>
                <w:rFonts w:cstheme="minorHAnsi"/>
                <w:sz w:val="20"/>
                <w:szCs w:val="20"/>
              </w:rPr>
              <w:t>%</w:t>
            </w:r>
            <w:proofErr w:type="gramEnd"/>
            <w:r w:rsidR="00D261B5" w:rsidRPr="007A7501">
              <w:rPr>
                <w:rFonts w:cstheme="minorHAnsi"/>
                <w:sz w:val="20"/>
                <w:szCs w:val="20"/>
              </w:rPr>
              <w:t xml:space="preserve"> po ZPIZ-2</w:t>
            </w:r>
          </w:p>
        </w:tc>
        <w:tc>
          <w:tcPr>
            <w:tcW w:w="1600" w:type="dxa"/>
          </w:tcPr>
          <w:p w14:paraId="507D7EF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D2D82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47DB9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1454B" w14:textId="5B32AA89" w:rsidR="00D261B5" w:rsidRPr="007A7501" w:rsidRDefault="00F27A94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34.426</w:t>
            </w:r>
          </w:p>
        </w:tc>
        <w:tc>
          <w:tcPr>
            <w:tcW w:w="1601" w:type="dxa"/>
          </w:tcPr>
          <w:p w14:paraId="768C229D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18CF1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E1234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9D352C" w14:textId="5DB86D40" w:rsidR="00D261B5" w:rsidRPr="007A7501" w:rsidRDefault="00731FAE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  <w:r w:rsidR="00F27A94">
              <w:rPr>
                <w:rFonts w:cstheme="minorHAnsi"/>
                <w:sz w:val="20"/>
                <w:szCs w:val="20"/>
              </w:rPr>
              <w:t>902</w:t>
            </w:r>
          </w:p>
        </w:tc>
        <w:tc>
          <w:tcPr>
            <w:tcW w:w="1730" w:type="dxa"/>
          </w:tcPr>
          <w:p w14:paraId="750DC27B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14:paraId="2BEADF4C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852EC3" w14:textId="77777777"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FEBF8" w14:textId="77777777"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EC701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625BD" w14:textId="77777777"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14:paraId="26327A49" w14:textId="3BBF6391" w:rsidR="00D261B5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4600CF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4600CF">
              <w:rPr>
                <w:rFonts w:cstheme="minorHAnsi"/>
                <w:sz w:val="20"/>
                <w:szCs w:val="20"/>
              </w:rPr>
              <w:t xml:space="preserve"> vrednotenje</w:t>
            </w:r>
            <w:r w:rsidR="00731FAE">
              <w:rPr>
                <w:rFonts w:cstheme="minorHAnsi"/>
                <w:sz w:val="20"/>
                <w:szCs w:val="20"/>
              </w:rPr>
              <w:t xml:space="preserve"> po dospetju</w:t>
            </w:r>
          </w:p>
        </w:tc>
      </w:tr>
    </w:tbl>
    <w:p w14:paraId="13962558" w14:textId="77777777" w:rsidR="00F27A94" w:rsidRDefault="00F27A94" w:rsidP="00563D96"/>
    <w:p w14:paraId="1EFB7BA4" w14:textId="77777777" w:rsidR="00F27A94" w:rsidRDefault="00F27A94" w:rsidP="00563D96"/>
    <w:p w14:paraId="46A4EEE0" w14:textId="77777777" w:rsidR="00F27A94" w:rsidRDefault="00F27A94" w:rsidP="00563D96"/>
    <w:p w14:paraId="2CE062F4" w14:textId="77777777" w:rsidR="00F27A94" w:rsidRDefault="00F27A94" w:rsidP="00563D96"/>
    <w:p w14:paraId="53F118E2" w14:textId="77777777" w:rsidR="00F27A94" w:rsidRDefault="00F27A94" w:rsidP="00563D96"/>
    <w:p w14:paraId="37E472E8" w14:textId="77777777" w:rsidR="00F27A94" w:rsidRDefault="00F27A94" w:rsidP="00563D96"/>
    <w:p w14:paraId="24764927" w14:textId="77777777" w:rsidR="00F27A94" w:rsidRDefault="00F27A94" w:rsidP="00563D96"/>
    <w:p w14:paraId="2002DC30" w14:textId="77777777" w:rsidR="00F27A94" w:rsidRDefault="00F27A94" w:rsidP="00563D96"/>
    <w:p w14:paraId="4D029818" w14:textId="77777777" w:rsidR="00F27A94" w:rsidRDefault="00F27A94" w:rsidP="00563D96"/>
    <w:p w14:paraId="2C290C06" w14:textId="77777777" w:rsidR="00F27A94" w:rsidRDefault="00F27A94" w:rsidP="00563D96"/>
    <w:p w14:paraId="2504047F" w14:textId="7791B711" w:rsidR="005F012A" w:rsidRPr="007A7501" w:rsidRDefault="00B62618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BE330D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</w:t>
        </w:r>
        <w:r w:rsidR="00190142" w:rsidRPr="00BE330D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 družb</w:t>
        </w:r>
        <w:r w:rsidR="005F012A" w:rsidRPr="00BE330D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300"/>
        <w:gridCol w:w="1389"/>
      </w:tblGrid>
      <w:tr w:rsidR="001F7442" w:rsidRPr="007A7501" w14:paraId="4A7F36E2" w14:textId="77777777" w:rsidTr="003E56E2">
        <w:trPr>
          <w:trHeight w:val="1214"/>
        </w:trPr>
        <w:tc>
          <w:tcPr>
            <w:tcW w:w="2962" w:type="dxa"/>
            <w:gridSpan w:val="2"/>
          </w:tcPr>
          <w:p w14:paraId="262D53E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33F7AD1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3FB90B3A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8F073CE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7B978777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00" w:type="dxa"/>
          </w:tcPr>
          <w:p w14:paraId="7F34D41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89" w:type="dxa"/>
          </w:tcPr>
          <w:p w14:paraId="28B8897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EB5324" w:rsidRPr="007A7501" w14:paraId="2876E8EC" w14:textId="77777777" w:rsidTr="003E56E2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0D6957F8" w14:textId="77777777" w:rsidR="00EB5324" w:rsidRPr="007A7501" w:rsidRDefault="00EB5324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06CBC" w14:textId="77777777" w:rsidR="00EB5324" w:rsidRPr="007A7501" w:rsidRDefault="00EB5324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PRVA+</w:t>
            </w:r>
          </w:p>
          <w:p w14:paraId="17381F26" w14:textId="77777777" w:rsidR="00EB5324" w:rsidRPr="007A7501" w:rsidRDefault="00EB5324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14:paraId="5F0FA6C8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67E266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14:paraId="60948F9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14:paraId="3E55810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143B5F8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8CF6C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(individualni)</w:t>
            </w:r>
          </w:p>
          <w:p w14:paraId="602A447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6817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PN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PRVA</w:t>
            </w:r>
          </w:p>
          <w:p w14:paraId="7553128B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FB56A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9388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3ACC1E" w14:textId="1249F3AE" w:rsidR="00EB5324" w:rsidRPr="007A7501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18,39</w:t>
            </w:r>
            <w:proofErr w:type="gramStart"/>
            <w:r w:rsidR="00EB5324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3B56767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14C9F5A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38A1DBA" w14:textId="7B20D139" w:rsidR="00EB5324" w:rsidRPr="007B3A8D" w:rsidRDefault="00A504F5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120.003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36733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AE851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F4EA1" w14:textId="165DDC63" w:rsidR="00EB5324" w:rsidRPr="007B3A8D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34.189</w:t>
            </w:r>
          </w:p>
        </w:tc>
        <w:tc>
          <w:tcPr>
            <w:tcW w:w="1300" w:type="dxa"/>
            <w:vMerge w:val="restart"/>
          </w:tcPr>
          <w:p w14:paraId="35286336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2D798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D5FEF0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929C1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05526" w14:textId="77777777" w:rsidR="00EB5324" w:rsidRDefault="00EB5324" w:rsidP="00EB5324">
            <w:pPr>
              <w:rPr>
                <w:rFonts w:cstheme="minorHAnsi"/>
                <w:sz w:val="20"/>
                <w:szCs w:val="20"/>
              </w:rPr>
            </w:pPr>
          </w:p>
          <w:p w14:paraId="475020C2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96DD92" w14:textId="77777777" w:rsidR="00EB5324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136057" w14:textId="2A03237F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57,</w:t>
            </w:r>
            <w:r w:rsidR="00A504F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389" w:type="dxa"/>
          </w:tcPr>
          <w:p w14:paraId="5963B043" w14:textId="77777777" w:rsidR="00EB5324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8475F" w14:textId="2250EF7A" w:rsidR="00EB5324" w:rsidRPr="007A7501" w:rsidRDefault="00A504F5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75,58</w:t>
            </w:r>
            <w:r w:rsidR="00EB5324"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EB5324"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EB5324" w:rsidRPr="007A7501" w14:paraId="4D5BD7BC" w14:textId="77777777" w:rsidTr="00BF1DA1">
        <w:trPr>
          <w:trHeight w:val="809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4D25E4D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578B57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42D796FD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3C8372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F9E6A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129A0B" w14:textId="21990461" w:rsidR="00EB5324" w:rsidRPr="007A7501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12,90</w:t>
            </w:r>
            <w:proofErr w:type="gramStart"/>
            <w:r w:rsidR="00EB5324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CAC57C3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AAF9D6C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E36F9F2" w14:textId="71351B69" w:rsidR="00EB5324" w:rsidRPr="007B3A8D" w:rsidRDefault="00A504F5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115.996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1F9E37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059400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0B8CC1" w14:textId="7C807C25" w:rsidR="00EB5324" w:rsidRPr="007B3A8D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20.621</w:t>
            </w:r>
          </w:p>
        </w:tc>
        <w:tc>
          <w:tcPr>
            <w:tcW w:w="1300" w:type="dxa"/>
            <w:vMerge/>
          </w:tcPr>
          <w:p w14:paraId="58F4DAA4" w14:textId="7B340E9D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4E328D7" w14:textId="77777777" w:rsidR="00EB5324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74BBF7" w14:textId="3FCB16EE" w:rsidR="00EB5324" w:rsidRPr="007A7501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8</w:t>
            </w:r>
            <w:r w:rsidR="00A504F5">
              <w:rPr>
                <w:rFonts w:cstheme="minorHAnsi"/>
                <w:sz w:val="20"/>
                <w:szCs w:val="20"/>
              </w:rPr>
              <w:t>1,89</w:t>
            </w:r>
            <w:r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EB5324" w:rsidRPr="007A7501" w14:paraId="6EB2D5F1" w14:textId="77777777" w:rsidTr="003E56E2">
        <w:trPr>
          <w:trHeight w:val="986"/>
        </w:trPr>
        <w:tc>
          <w:tcPr>
            <w:tcW w:w="1288" w:type="dxa"/>
            <w:vMerge/>
          </w:tcPr>
          <w:p w14:paraId="57701B71" w14:textId="77777777" w:rsidR="00EB5324" w:rsidRPr="007A7501" w:rsidRDefault="00EB5324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2D99738" w14:textId="77777777" w:rsidR="00EB5324" w:rsidRPr="007A7501" w:rsidRDefault="00EB5324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14:paraId="708AF8A9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1E7269E1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54984F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3D1B0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00F41" w14:textId="1A60166C" w:rsidR="00EB5324" w:rsidRPr="007A7501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6,31</w:t>
            </w:r>
            <w:proofErr w:type="gramStart"/>
            <w:r w:rsidR="00EB5324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</w:tcPr>
          <w:p w14:paraId="7C05DA92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F0875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1415E4" w14:textId="3C6E99BE" w:rsidR="00EB5324" w:rsidRPr="007B3A8D" w:rsidRDefault="00A504F5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196.446</w:t>
            </w:r>
          </w:p>
        </w:tc>
        <w:tc>
          <w:tcPr>
            <w:tcW w:w="1394" w:type="dxa"/>
          </w:tcPr>
          <w:p w14:paraId="4C98BE2B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458A8" w14:textId="77777777" w:rsidR="00EB5324" w:rsidRPr="007B3A8D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89E11F" w14:textId="1A478098" w:rsidR="00EB5324" w:rsidRPr="007B3A8D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47.337</w:t>
            </w:r>
          </w:p>
        </w:tc>
        <w:tc>
          <w:tcPr>
            <w:tcW w:w="1300" w:type="dxa"/>
            <w:vMerge/>
          </w:tcPr>
          <w:p w14:paraId="39C18828" w14:textId="0D627B85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FC6621A" w14:textId="77777777" w:rsidR="00EB5324" w:rsidRDefault="00EB5324" w:rsidP="00EB53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3BE0" w14:textId="2D9CF954" w:rsidR="00EB5324" w:rsidRPr="007A7501" w:rsidRDefault="00A504F5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29,27</w:t>
            </w:r>
            <w:r w:rsidR="00EB5324"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EB5324"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EB5324" w:rsidRPr="007A7501" w14:paraId="17BE2F1F" w14:textId="77777777" w:rsidTr="003E56E2">
        <w:trPr>
          <w:trHeight w:val="661"/>
        </w:trPr>
        <w:tc>
          <w:tcPr>
            <w:tcW w:w="1288" w:type="dxa"/>
          </w:tcPr>
          <w:p w14:paraId="5DC66906" w14:textId="77777777" w:rsidR="00EB5324" w:rsidRPr="007A7501" w:rsidRDefault="00EB5324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FB7E95E" w14:textId="77777777" w:rsidR="00EB5324" w:rsidRPr="007A7501" w:rsidRDefault="00EB5324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14:paraId="6D807AFC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PN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PRVA</w:t>
            </w:r>
          </w:p>
          <w:p w14:paraId="74FB0C75" w14:textId="77777777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14:paraId="5E19C888" w14:textId="1993831A" w:rsidR="00EB5324" w:rsidRPr="007A7501" w:rsidRDefault="00EB5324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</w:t>
            </w:r>
            <w:r w:rsidR="00A504F5">
              <w:rPr>
                <w:rFonts w:cstheme="minorHAnsi"/>
                <w:sz w:val="20"/>
                <w:szCs w:val="20"/>
              </w:rPr>
              <w:t>81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</w:tcPr>
          <w:p w14:paraId="1E2EF621" w14:textId="16678F29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  <w:r w:rsidR="00A504F5">
              <w:rPr>
                <w:rFonts w:cstheme="minorHAnsi"/>
                <w:sz w:val="20"/>
                <w:szCs w:val="20"/>
              </w:rPr>
              <w:t>749</w:t>
            </w:r>
          </w:p>
        </w:tc>
        <w:tc>
          <w:tcPr>
            <w:tcW w:w="1394" w:type="dxa"/>
          </w:tcPr>
          <w:p w14:paraId="0AA518F9" w14:textId="68DBA69C" w:rsidR="00EB5324" w:rsidRPr="007B3A8D" w:rsidRDefault="00A504F5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9.997</w:t>
            </w:r>
          </w:p>
        </w:tc>
        <w:tc>
          <w:tcPr>
            <w:tcW w:w="1300" w:type="dxa"/>
            <w:vMerge/>
          </w:tcPr>
          <w:p w14:paraId="7ABBB8C8" w14:textId="1591F141" w:rsidR="00EB5324" w:rsidRPr="007B3A8D" w:rsidRDefault="00EB5324" w:rsidP="004318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EACD6EE" w14:textId="54C18DFA" w:rsidR="00EB5324" w:rsidRPr="007A7501" w:rsidRDefault="00A504F5" w:rsidP="00EB532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24,34</w:t>
            </w:r>
            <w:r w:rsidR="00EB5324" w:rsidRPr="009954D0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EB5324" w:rsidRPr="009954D0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762276C0" w14:textId="77777777" w:rsidR="00B9458F" w:rsidRDefault="00B9458F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192"/>
        <w:gridCol w:w="1831"/>
      </w:tblGrid>
      <w:tr w:rsidR="0043186C" w:rsidRPr="007A7501" w14:paraId="14B9B2BA" w14:textId="77777777" w:rsidTr="0043186C">
        <w:trPr>
          <w:trHeight w:val="1146"/>
        </w:trPr>
        <w:tc>
          <w:tcPr>
            <w:tcW w:w="1509" w:type="dxa"/>
          </w:tcPr>
          <w:p w14:paraId="23329053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65D77B4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16A0EBF9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3689642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01" w:type="dxa"/>
          </w:tcPr>
          <w:p w14:paraId="4FD33A6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192" w:type="dxa"/>
          </w:tcPr>
          <w:p w14:paraId="75754BC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E8E584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766520EB" w14:textId="77777777" w:rsidTr="0043186C">
        <w:trPr>
          <w:trHeight w:val="1759"/>
        </w:trPr>
        <w:tc>
          <w:tcPr>
            <w:tcW w:w="1509" w:type="dxa"/>
          </w:tcPr>
          <w:p w14:paraId="330A3EC5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16E40F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37DAC8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D10181" w14:textId="77777777" w:rsidR="0043186C" w:rsidRPr="00BE330D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E330D">
              <w:rPr>
                <w:rFonts w:cstheme="minorHAnsi"/>
                <w:bCs/>
                <w:sz w:val="20"/>
                <w:szCs w:val="20"/>
              </w:rPr>
              <w:t>SKLAD</w:t>
            </w:r>
          </w:p>
          <w:p w14:paraId="4A3352FB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E330D">
              <w:rPr>
                <w:rFonts w:cstheme="minorHAnsi"/>
                <w:bCs/>
                <w:sz w:val="20"/>
                <w:szCs w:val="20"/>
              </w:rPr>
              <w:t>RENT</w:t>
            </w:r>
          </w:p>
          <w:p w14:paraId="2E034BF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4F8618F9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8E4EB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2EAC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24D0B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PRVA RENTA</w:t>
            </w:r>
          </w:p>
        </w:tc>
        <w:tc>
          <w:tcPr>
            <w:tcW w:w="1600" w:type="dxa"/>
          </w:tcPr>
          <w:p w14:paraId="4F67FE2E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638F14BC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1B4AF7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790F7" w14:textId="1BE84472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600" w:type="dxa"/>
          </w:tcPr>
          <w:p w14:paraId="28212628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18F8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ABA3A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127CF" w14:textId="38967E8A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601" w:type="dxa"/>
          </w:tcPr>
          <w:p w14:paraId="4C51259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1CC3B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8D087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B886A" w14:textId="008145A9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192" w:type="dxa"/>
          </w:tcPr>
          <w:p w14:paraId="46FD1EA7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778DC5D4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EB5C1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37AA01" w14:textId="7A5A097B" w:rsidR="0043186C" w:rsidRPr="00D261B5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831" w:type="dxa"/>
          </w:tcPr>
          <w:p w14:paraId="0681BA30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E1702F" w14:textId="77777777" w:rsidR="00BE330D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5A4D89" w14:textId="77777777" w:rsidR="00BE330D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742967" w14:textId="749990F0" w:rsidR="0043186C" w:rsidRPr="007A7501" w:rsidRDefault="00BE330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</w:tr>
    </w:tbl>
    <w:p w14:paraId="20ACC2AC" w14:textId="77777777" w:rsidR="0043186C" w:rsidRPr="007A7501" w:rsidRDefault="0043186C" w:rsidP="00563D96">
      <w:pPr>
        <w:rPr>
          <w:rFonts w:cstheme="minorHAnsi"/>
          <w:sz w:val="20"/>
          <w:szCs w:val="20"/>
        </w:rPr>
      </w:pPr>
    </w:p>
    <w:p w14:paraId="1EB4F829" w14:textId="77777777" w:rsidR="00875C30" w:rsidRDefault="00875C30" w:rsidP="00563D96"/>
    <w:p w14:paraId="501258CC" w14:textId="77777777" w:rsidR="00AE6CB1" w:rsidRDefault="00AE6CB1" w:rsidP="00563D96"/>
    <w:p w14:paraId="00F28804" w14:textId="77777777" w:rsidR="00AE6CB1" w:rsidRDefault="00AE6CB1" w:rsidP="00563D96"/>
    <w:p w14:paraId="2F04CA69" w14:textId="77777777" w:rsidR="00AE6CB1" w:rsidRDefault="00AE6CB1" w:rsidP="00563D96"/>
    <w:p w14:paraId="583C0265" w14:textId="77777777" w:rsidR="00AE6CB1" w:rsidRDefault="00AE6CB1" w:rsidP="00563D96"/>
    <w:p w14:paraId="322264DA" w14:textId="77777777" w:rsidR="00AE6CB1" w:rsidRDefault="00AE6CB1" w:rsidP="00563D96"/>
    <w:p w14:paraId="14DA319B" w14:textId="77777777" w:rsidR="00AE6CB1" w:rsidRDefault="00AE6CB1" w:rsidP="00563D96"/>
    <w:p w14:paraId="5247F2A7" w14:textId="77777777" w:rsidR="00AE6CB1" w:rsidRDefault="00AE6CB1" w:rsidP="00563D96"/>
    <w:p w14:paraId="6120C2AB" w14:textId="77777777" w:rsidR="00AE6CB1" w:rsidRDefault="00AE6CB1" w:rsidP="00563D96"/>
    <w:p w14:paraId="3612DED3" w14:textId="14EA3A8B" w:rsidR="009F790C" w:rsidRPr="007A7501" w:rsidRDefault="00B62618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B62618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14:paraId="77F27682" w14:textId="77777777" w:rsidTr="00267A03">
        <w:trPr>
          <w:trHeight w:val="1214"/>
        </w:trPr>
        <w:tc>
          <w:tcPr>
            <w:tcW w:w="2726" w:type="dxa"/>
            <w:gridSpan w:val="2"/>
          </w:tcPr>
          <w:p w14:paraId="0CFB1AD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14:paraId="1840BFC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14:paraId="070A3F2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14:paraId="2F25EA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5C93AC7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284CE9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99C9AF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14:paraId="67172A84" w14:textId="77777777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2BB94593" w14:textId="77777777"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DAEE50D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961CF5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E1B8F2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proofErr w:type="gramStart"/>
            <w:r w:rsidRPr="007A7501">
              <w:rPr>
                <w:rFonts w:cstheme="minorHAnsi"/>
                <w:bCs/>
                <w:sz w:val="20"/>
                <w:szCs w:val="20"/>
              </w:rPr>
              <w:t>TRIGLAV</w:t>
            </w:r>
            <w:proofErr w:type="gramEnd"/>
            <w:r w:rsidRPr="007A7501">
              <w:rPr>
                <w:rFonts w:cstheme="minorHAnsi"/>
                <w:bCs/>
                <w:sz w:val="20"/>
                <w:szCs w:val="20"/>
              </w:rPr>
              <w:t xml:space="preserve"> PDPZ</w:t>
            </w:r>
          </w:p>
          <w:p w14:paraId="448102D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457C82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14:paraId="56A66146" w14:textId="716F73CA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</w:t>
            </w:r>
            <w:r w:rsidR="00D459A1">
              <w:rPr>
                <w:rFonts w:cstheme="minorHAnsi"/>
                <w:sz w:val="20"/>
                <w:szCs w:val="20"/>
              </w:rPr>
              <w:t>/21-3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47EEA3D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10D1D7" w14:textId="5F6493DF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054EF15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70B3E1" w14:textId="70B503C8" w:rsidR="00D459A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</w:t>
            </w:r>
            <w:r w:rsidR="00D459A1">
              <w:rPr>
                <w:rFonts w:cstheme="minorHAnsi"/>
                <w:sz w:val="20"/>
                <w:szCs w:val="20"/>
              </w:rPr>
              <w:t>/21-3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8C3320" w14:textId="44B1B68C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D921AC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A416C" w14:textId="44D7FF25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0F4CB3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802213" w14:textId="2D63FB9E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2AA7F1C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2D542" w14:textId="6FB8B9AE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</w:t>
            </w:r>
            <w:r w:rsidR="00D459A1">
              <w:rPr>
                <w:rFonts w:cstheme="minorHAnsi"/>
                <w:sz w:val="20"/>
                <w:szCs w:val="20"/>
              </w:rPr>
              <w:t>/21-</w:t>
            </w:r>
            <w:proofErr w:type="gramStart"/>
            <w:r w:rsidR="00D459A1">
              <w:rPr>
                <w:rFonts w:cstheme="minorHAnsi"/>
                <w:sz w:val="20"/>
                <w:szCs w:val="20"/>
              </w:rPr>
              <w:t>3</w:t>
            </w:r>
            <w:r w:rsidR="00D459A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EBEB6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B3225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84AFB" w14:textId="59FCD67C" w:rsidR="00267A03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28,40</w:t>
            </w:r>
            <w:proofErr w:type="gramStart"/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A1329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E6F3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9CAEAC" w14:textId="201E992F" w:rsidR="00267A03" w:rsidRPr="007A7501" w:rsidRDefault="002A591A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51.707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9E5F0B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FD26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46946E" w14:textId="2CDB0821" w:rsidR="00267A03" w:rsidRPr="007A7501" w:rsidRDefault="002A591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10.622</w:t>
            </w:r>
          </w:p>
        </w:tc>
        <w:tc>
          <w:tcPr>
            <w:tcW w:w="1413" w:type="dxa"/>
          </w:tcPr>
          <w:p w14:paraId="08B8F47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881F8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F2A49" w14:textId="4640B361" w:rsidR="00267A03" w:rsidRPr="007A7501" w:rsidRDefault="002A591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73,83</w:t>
            </w:r>
          </w:p>
          <w:p w14:paraId="1375DFA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10E44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33C6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005059" w14:textId="24B6094F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7A03" w:rsidRPr="007A7501" w14:paraId="669D33C4" w14:textId="77777777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EC6EF0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0CCE105" w14:textId="77777777"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14:paraId="3EE151D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0E44F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925C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AB1FE8" w14:textId="776C3E1F" w:rsidR="00267A03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20,61</w:t>
            </w:r>
            <w:proofErr w:type="gramStart"/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3CE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3BD48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54F4C5" w14:textId="3E99E70F" w:rsidR="00267A03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42.180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43EE6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E910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DE4648" w14:textId="1E520394" w:rsidR="00267A03" w:rsidRPr="007A7501" w:rsidRDefault="00FC46C4" w:rsidP="00DB04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A591A">
              <w:rPr>
                <w:rFonts w:cstheme="minorHAnsi"/>
                <w:sz w:val="20"/>
                <w:szCs w:val="20"/>
              </w:rPr>
              <w:t>.593</w:t>
            </w:r>
          </w:p>
        </w:tc>
        <w:tc>
          <w:tcPr>
            <w:tcW w:w="1413" w:type="dxa"/>
          </w:tcPr>
          <w:p w14:paraId="4B3B0D80" w14:textId="77777777"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14:paraId="3381BD12" w14:textId="77777777"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14:paraId="133F1FA7" w14:textId="7D25782F" w:rsidR="00267A03" w:rsidRPr="007A7501" w:rsidRDefault="002A591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AE016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91EBD" w14:textId="7481701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7A03" w:rsidRPr="007A7501" w14:paraId="1F036ACE" w14:textId="77777777" w:rsidTr="00267A03">
        <w:trPr>
          <w:trHeight w:val="1024"/>
        </w:trPr>
        <w:tc>
          <w:tcPr>
            <w:tcW w:w="1288" w:type="dxa"/>
            <w:vMerge/>
          </w:tcPr>
          <w:p w14:paraId="37D7D0C1" w14:textId="77777777"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703AD3" w14:textId="77777777"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14:paraId="058DB22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7710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B81FF7" w14:textId="77777777"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14:paraId="64AF1B53" w14:textId="583F93ED" w:rsidR="00267A03" w:rsidRPr="007A7501" w:rsidRDefault="007E0228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</w:t>
            </w:r>
            <w:r w:rsidR="002A591A">
              <w:rPr>
                <w:rFonts w:cstheme="minorHAnsi"/>
                <w:sz w:val="20"/>
                <w:szCs w:val="20"/>
              </w:rPr>
              <w:t>75</w:t>
            </w:r>
            <w:proofErr w:type="gramStart"/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418" w:type="dxa"/>
          </w:tcPr>
          <w:p w14:paraId="2CB81BC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0DF52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830042" w14:textId="5A0BBEC5" w:rsidR="00267A03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195.877</w:t>
            </w:r>
          </w:p>
        </w:tc>
        <w:tc>
          <w:tcPr>
            <w:tcW w:w="1422" w:type="dxa"/>
          </w:tcPr>
          <w:p w14:paraId="04ADC01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AE08B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914BB0" w14:textId="64A7388A" w:rsidR="00267A03" w:rsidRPr="007A7501" w:rsidRDefault="002A591A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22.334</w:t>
            </w:r>
          </w:p>
        </w:tc>
        <w:tc>
          <w:tcPr>
            <w:tcW w:w="1413" w:type="dxa"/>
          </w:tcPr>
          <w:p w14:paraId="4C119EC4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049A65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402AF" w14:textId="448FB999" w:rsidR="00267A03" w:rsidRPr="007A7501" w:rsidRDefault="002A591A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80,08</w:t>
            </w:r>
          </w:p>
        </w:tc>
        <w:tc>
          <w:tcPr>
            <w:tcW w:w="1276" w:type="dxa"/>
          </w:tcPr>
          <w:p w14:paraId="6107E64A" w14:textId="77777777"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14:paraId="071A823F" w14:textId="1310545F"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2511FD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14:paraId="662FF6BE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14:paraId="351AFD00" w14:textId="77777777" w:rsidTr="003C3DCF">
        <w:tc>
          <w:tcPr>
            <w:tcW w:w="1504" w:type="dxa"/>
          </w:tcPr>
          <w:p w14:paraId="5919BD13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14:paraId="4B776AE0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14:paraId="3F4BFF92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14:paraId="619868F7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3" w:type="dxa"/>
          </w:tcPr>
          <w:p w14:paraId="2EFFBF45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14:paraId="2459975B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10370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14:paraId="533B62C8" w14:textId="77777777" w:rsidTr="00465F12">
        <w:trPr>
          <w:trHeight w:val="855"/>
        </w:trPr>
        <w:tc>
          <w:tcPr>
            <w:tcW w:w="1504" w:type="dxa"/>
          </w:tcPr>
          <w:p w14:paraId="6768C875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DF1A14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14:paraId="3EF8487C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14:paraId="12BEF9E7" w14:textId="6A7E5392" w:rsidR="00551D19" w:rsidRPr="007A7501" w:rsidRDefault="00D459A1" w:rsidP="00551D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D459A1">
              <w:rPr>
                <w:rFonts w:cstheme="minorHAnsi"/>
                <w:sz w:val="20"/>
                <w:szCs w:val="20"/>
              </w:rPr>
              <w:t>PN-ZT-R/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D459A1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4385D408" w14:textId="77777777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F2C4FB" w14:textId="77777777" w:rsidR="002A591A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53B9AA" w14:textId="365EEE8F" w:rsidR="00551D19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</w:t>
            </w:r>
            <w:r w:rsidR="002A591A">
              <w:rPr>
                <w:rFonts w:cstheme="minorHAnsi"/>
                <w:sz w:val="20"/>
                <w:szCs w:val="20"/>
              </w:rPr>
              <w:t>1</w:t>
            </w:r>
            <w:r w:rsidRPr="007A7501">
              <w:rPr>
                <w:rFonts w:cstheme="minorHAnsi"/>
                <w:sz w:val="20"/>
                <w:szCs w:val="20"/>
              </w:rPr>
              <w:t>/</w:t>
            </w:r>
            <w:r w:rsidR="00190142">
              <w:rPr>
                <w:rFonts w:cstheme="minorHAnsi"/>
                <w:sz w:val="20"/>
                <w:szCs w:val="20"/>
              </w:rPr>
              <w:t>21-3</w:t>
            </w:r>
          </w:p>
          <w:p w14:paraId="07BE9B78" w14:textId="77777777" w:rsidR="002A591A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40AD5" w14:textId="11D732A5" w:rsidR="002A591A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A7501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32" w:type="dxa"/>
          </w:tcPr>
          <w:p w14:paraId="01C02B48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9087A" w14:textId="094CF886" w:rsidR="00551D19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2,58</w:t>
            </w:r>
            <w:proofErr w:type="gramStart"/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32" w:type="dxa"/>
          </w:tcPr>
          <w:p w14:paraId="40D715B0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7D1A3" w14:textId="40455BCD" w:rsidR="00551D19" w:rsidRPr="007A7501" w:rsidRDefault="00D459A1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A591A">
              <w:rPr>
                <w:rFonts w:cstheme="minorHAnsi"/>
                <w:sz w:val="20"/>
                <w:szCs w:val="20"/>
              </w:rPr>
              <w:t>3.808</w:t>
            </w:r>
          </w:p>
        </w:tc>
        <w:tc>
          <w:tcPr>
            <w:tcW w:w="1533" w:type="dxa"/>
          </w:tcPr>
          <w:p w14:paraId="27E225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EC776" w14:textId="61785688"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D459A1">
              <w:rPr>
                <w:rFonts w:cstheme="minorHAnsi"/>
                <w:sz w:val="20"/>
                <w:szCs w:val="20"/>
              </w:rPr>
              <w:t>793</w:t>
            </w:r>
          </w:p>
        </w:tc>
        <w:tc>
          <w:tcPr>
            <w:tcW w:w="1522" w:type="dxa"/>
          </w:tcPr>
          <w:p w14:paraId="7CC6C0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DD5925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B1C0BA" w14:textId="768FE55A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1D19" w:rsidRPr="007A7501" w14:paraId="23CCA084" w14:textId="77777777" w:rsidTr="003C3DCF">
        <w:tc>
          <w:tcPr>
            <w:tcW w:w="1504" w:type="dxa"/>
          </w:tcPr>
          <w:p w14:paraId="284969E0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14:paraId="236F7A56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B5056B" w14:textId="65240F60" w:rsidR="00551D19" w:rsidRPr="007A7501" w:rsidRDefault="002A591A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2,73</w:t>
            </w:r>
            <w:proofErr w:type="gramStart"/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532" w:type="dxa"/>
          </w:tcPr>
          <w:p w14:paraId="699D9AFB" w14:textId="409F009F" w:rsidR="00551D19" w:rsidRPr="007A7501" w:rsidRDefault="002A591A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57.735</w:t>
            </w:r>
          </w:p>
        </w:tc>
        <w:tc>
          <w:tcPr>
            <w:tcW w:w="1533" w:type="dxa"/>
          </w:tcPr>
          <w:p w14:paraId="5E4F8977" w14:textId="4D81A6D4" w:rsidR="00551D19" w:rsidRPr="007A7501" w:rsidRDefault="002A591A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7.415</w:t>
            </w:r>
          </w:p>
        </w:tc>
        <w:tc>
          <w:tcPr>
            <w:tcW w:w="1522" w:type="dxa"/>
          </w:tcPr>
          <w:p w14:paraId="2C5984DB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4A8B3F" w14:textId="095E9CBE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EEEF5B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7F165319" w14:textId="77777777" w:rsidR="007E0228" w:rsidRDefault="007E0228" w:rsidP="00875C30">
      <w:pPr>
        <w:rPr>
          <w:rFonts w:cstheme="minorHAnsi"/>
          <w:sz w:val="20"/>
          <w:szCs w:val="20"/>
        </w:rPr>
      </w:pPr>
    </w:p>
    <w:p w14:paraId="1F92AF6D" w14:textId="77777777" w:rsidR="007E0228" w:rsidRDefault="007E0228" w:rsidP="00875C30">
      <w:pPr>
        <w:rPr>
          <w:rFonts w:cstheme="minorHAnsi"/>
          <w:sz w:val="20"/>
          <w:szCs w:val="20"/>
        </w:rPr>
      </w:pPr>
    </w:p>
    <w:p w14:paraId="5F83E57C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5AEC495C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33B3EBC6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07DB90BF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50DFC0A5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7D86A083" w14:textId="77777777" w:rsidR="00AE6CB1" w:rsidRDefault="00AE6CB1" w:rsidP="00875C30">
      <w:pPr>
        <w:rPr>
          <w:rFonts w:cstheme="minorHAnsi"/>
          <w:sz w:val="20"/>
          <w:szCs w:val="20"/>
        </w:rPr>
      </w:pPr>
    </w:p>
    <w:p w14:paraId="50542FE9" w14:textId="77777777" w:rsidR="00875C30" w:rsidRPr="007A7501" w:rsidRDefault="00875C30" w:rsidP="00875C30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5" w:history="1">
        <w:proofErr w:type="gramStart"/>
        <w:r w:rsidRPr="00C73603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</w:t>
        </w:r>
        <w:proofErr w:type="gramEnd"/>
        <w:r w:rsidRPr="00C73603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14:paraId="402C7AE4" w14:textId="77777777" w:rsidTr="00BB73AB">
        <w:trPr>
          <w:trHeight w:val="1214"/>
        </w:trPr>
        <w:tc>
          <w:tcPr>
            <w:tcW w:w="2962" w:type="dxa"/>
            <w:gridSpan w:val="2"/>
          </w:tcPr>
          <w:p w14:paraId="48BEE8B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5EF2A3F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1D896C17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C045FA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4" w:type="dxa"/>
          </w:tcPr>
          <w:p w14:paraId="0ED69DCE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5A709F4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D9B76E2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14:paraId="579228CB" w14:textId="77777777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14:paraId="05735EEA" w14:textId="77777777"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60CE191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36581C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EFB3E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5967E6" w14:textId="77777777"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14:paraId="0BF3851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845DFCF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14:paraId="4BA7C5DD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14:paraId="7E5E9BE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0E90E1D7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734A9A1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14:paraId="6A5C6BFD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6A7B554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1AE4515A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4411AAA9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74CCDB60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14:paraId="7208E4B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5A3C1208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CA1FC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72F1BA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4F77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563BF" w14:textId="63309C87" w:rsidR="00BB73AB" w:rsidRPr="007A7501" w:rsidRDefault="009135D7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22,75</w:t>
            </w:r>
            <w:proofErr w:type="gramStart"/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2606AF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4FBC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6C8812" w14:textId="4E1E41B0" w:rsidR="00BB73AB" w:rsidRPr="007A7501" w:rsidRDefault="009135D7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19.269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AACE58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EED88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523AE" w14:textId="74749E09"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520E3">
              <w:rPr>
                <w:rFonts w:cstheme="minorHAnsi"/>
                <w:sz w:val="20"/>
                <w:szCs w:val="20"/>
              </w:rPr>
              <w:t>.</w:t>
            </w:r>
            <w:r w:rsidR="00C73603">
              <w:rPr>
                <w:rFonts w:cstheme="minorHAnsi"/>
                <w:sz w:val="20"/>
                <w:szCs w:val="20"/>
              </w:rPr>
              <w:t>8</w:t>
            </w:r>
            <w:r w:rsidR="009135D7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13" w:type="dxa"/>
            <w:vMerge w:val="restart"/>
          </w:tcPr>
          <w:p w14:paraId="1566C15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445D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C7AF54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E172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EA69AA" w14:textId="77777777"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14:paraId="6FE47154" w14:textId="35F4DB60" w:rsidR="00BB73AB" w:rsidRPr="007A7501" w:rsidRDefault="00C736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56,</w:t>
            </w:r>
            <w:r w:rsidR="009135D7">
              <w:rPr>
                <w:rFonts w:cstheme="minorHAnsi"/>
                <w:sz w:val="20"/>
                <w:szCs w:val="20"/>
              </w:rPr>
              <w:t>55</w:t>
            </w:r>
          </w:p>
          <w:p w14:paraId="29DC83CD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B912B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0E9AC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521B6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FAECE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60279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14:paraId="2DDB0653" w14:textId="4F59D9F0" w:rsidR="00BB73AB" w:rsidRPr="007A7501" w:rsidRDefault="009135D7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E626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24231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BB73AB" w:rsidRPr="007A7501" w14:paraId="662D906C" w14:textId="77777777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D33C92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6B92CCB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14:paraId="68F84E19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8D8F392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604DD6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E056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1B2C9" w14:textId="26B1E038" w:rsidR="00BB73AB" w:rsidRPr="007A7501" w:rsidRDefault="009135D7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11,30</w:t>
            </w:r>
            <w:proofErr w:type="gramStart"/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0047A3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D2A9B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4A6DE" w14:textId="1FD84D21" w:rsidR="00BB73AB" w:rsidRPr="007A7501" w:rsidRDefault="009135D7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13.113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427BF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BCE5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46A363" w14:textId="34CBFD6B"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C73603">
              <w:rPr>
                <w:rFonts w:cstheme="minorHAnsi"/>
                <w:sz w:val="20"/>
                <w:szCs w:val="20"/>
              </w:rPr>
              <w:t>4</w:t>
            </w:r>
            <w:r w:rsidR="009135D7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13" w:type="dxa"/>
            <w:vMerge/>
          </w:tcPr>
          <w:p w14:paraId="06F6DC0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3512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C4A5C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BB73AB" w:rsidRPr="007A7501" w14:paraId="26D5868E" w14:textId="77777777" w:rsidTr="00BB73AB">
        <w:trPr>
          <w:trHeight w:val="1024"/>
        </w:trPr>
        <w:tc>
          <w:tcPr>
            <w:tcW w:w="1451" w:type="dxa"/>
            <w:vMerge/>
          </w:tcPr>
          <w:p w14:paraId="7D0A79BD" w14:textId="77777777"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5ED4731" w14:textId="77777777"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14:paraId="4AD0DC45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9F291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F94CDF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C06F335" w14:textId="799E6D7A" w:rsidR="00BB73AB" w:rsidRPr="007A7501" w:rsidRDefault="009135D7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2,37</w:t>
            </w:r>
            <w:proofErr w:type="gramStart"/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</w:p>
        </w:tc>
        <w:tc>
          <w:tcPr>
            <w:tcW w:w="1395" w:type="dxa"/>
          </w:tcPr>
          <w:p w14:paraId="61AD1D2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45615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39169" w14:textId="69F68C1F" w:rsidR="00BB73AB" w:rsidRPr="007A7501" w:rsidRDefault="009135D7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4.878</w:t>
            </w:r>
          </w:p>
        </w:tc>
        <w:tc>
          <w:tcPr>
            <w:tcW w:w="1394" w:type="dxa"/>
          </w:tcPr>
          <w:p w14:paraId="54DE1DF8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308F1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EDABF" w14:textId="11957CDE" w:rsidR="00BB73AB" w:rsidRPr="007A7501" w:rsidRDefault="009135D7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858</w:t>
            </w:r>
          </w:p>
        </w:tc>
        <w:tc>
          <w:tcPr>
            <w:tcW w:w="1413" w:type="dxa"/>
            <w:vMerge/>
          </w:tcPr>
          <w:p w14:paraId="4B4AA65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CCA27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3EC84" w14:textId="77777777"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A7501">
              <w:rPr>
                <w:rFonts w:cstheme="minorHAnsi"/>
                <w:sz w:val="20"/>
                <w:szCs w:val="20"/>
              </w:rPr>
              <w:t>100 %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6897C023" w14:textId="77777777"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14:paraId="35B2616C" w14:textId="77777777" w:rsidTr="008424E6">
        <w:tc>
          <w:tcPr>
            <w:tcW w:w="1535" w:type="dxa"/>
          </w:tcPr>
          <w:p w14:paraId="20B2F4A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0C6080C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6D38875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2CADE26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</w:t>
            </w:r>
            <w:proofErr w:type="gramStart"/>
            <w:r w:rsidRPr="007A7501">
              <w:rPr>
                <w:rFonts w:cstheme="minorHAnsi"/>
                <w:sz w:val="20"/>
                <w:szCs w:val="20"/>
              </w:rPr>
              <w:t xml:space="preserve"> EUR</w:t>
            </w:r>
            <w:proofErr w:type="gramEnd"/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14:paraId="25D3B81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46499A40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10AF71EE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14:paraId="595AFDE2" w14:textId="77777777" w:rsidTr="008424E6">
        <w:trPr>
          <w:trHeight w:val="1074"/>
        </w:trPr>
        <w:tc>
          <w:tcPr>
            <w:tcW w:w="1535" w:type="dxa"/>
          </w:tcPr>
          <w:p w14:paraId="17503B49" w14:textId="77777777"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FF2B3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14:paraId="0729088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4C3954D9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78E3F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14:paraId="0ECD8FF6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88A0F" w14:textId="5D677BFC" w:rsidR="008424E6" w:rsidRPr="007A7501" w:rsidRDefault="009135D7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2,45</w:t>
            </w:r>
            <w:proofErr w:type="gramStart"/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755C6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66DE79" w14:textId="2526A90C" w:rsidR="008424E6" w:rsidRPr="007A7501" w:rsidRDefault="00C73603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  <w:r w:rsidR="009135D7">
              <w:rPr>
                <w:rFonts w:cstheme="minorHAnsi"/>
                <w:sz w:val="20"/>
                <w:szCs w:val="20"/>
              </w:rPr>
              <w:t>512</w:t>
            </w:r>
          </w:p>
        </w:tc>
        <w:tc>
          <w:tcPr>
            <w:tcW w:w="1536" w:type="dxa"/>
          </w:tcPr>
          <w:p w14:paraId="55716F98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D2F76D" w14:textId="1BE2B4CD" w:rsidR="008424E6" w:rsidRPr="007A7501" w:rsidRDefault="001705CA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9135D7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1536" w:type="dxa"/>
          </w:tcPr>
          <w:p w14:paraId="676B0F4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36DCCF" w14:textId="77777777"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14:paraId="00C1B0E4" w14:textId="77777777"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BDD71" w14:textId="3586CB34" w:rsidR="008424E6" w:rsidRPr="007A7501" w:rsidRDefault="00C73603" w:rsidP="001705C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100</w:t>
            </w:r>
            <w:r w:rsidR="007A7501" w:rsidRPr="007A7501">
              <w:rPr>
                <w:rFonts w:cstheme="minorHAnsi"/>
                <w:sz w:val="20"/>
                <w:szCs w:val="20"/>
              </w:rPr>
              <w:t xml:space="preserve"> %</w:t>
            </w:r>
            <w:proofErr w:type="gramEnd"/>
            <w:r w:rsidR="007A7501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</w:tbl>
    <w:p w14:paraId="12CAB789" w14:textId="77777777" w:rsidR="00C9589F" w:rsidRPr="00D93529" w:rsidRDefault="00C9589F">
      <w:pPr>
        <w:rPr>
          <w:rFonts w:cstheme="minorHAnsi"/>
          <w:sz w:val="20"/>
          <w:szCs w:val="20"/>
        </w:rPr>
      </w:pPr>
    </w:p>
    <w:p w14:paraId="05EFB846" w14:textId="77777777" w:rsidR="009E6B4D" w:rsidRDefault="009E6B4D">
      <w:pPr>
        <w:rPr>
          <w:rFonts w:cstheme="minorHAnsi"/>
          <w:sz w:val="20"/>
          <w:szCs w:val="20"/>
        </w:rPr>
      </w:pPr>
    </w:p>
    <w:p w14:paraId="587CFD11" w14:textId="77777777" w:rsidR="009E6B4D" w:rsidRDefault="009E6B4D">
      <w:pPr>
        <w:rPr>
          <w:rFonts w:cstheme="minorHAnsi"/>
          <w:sz w:val="20"/>
          <w:szCs w:val="20"/>
        </w:rPr>
      </w:pPr>
    </w:p>
    <w:p w14:paraId="4E055263" w14:textId="77777777" w:rsidR="009E6B4D" w:rsidRDefault="009E6B4D">
      <w:pPr>
        <w:rPr>
          <w:rFonts w:cstheme="minorHAnsi"/>
          <w:sz w:val="20"/>
          <w:szCs w:val="20"/>
        </w:rPr>
      </w:pPr>
    </w:p>
    <w:p w14:paraId="3D36784E" w14:textId="77777777" w:rsidR="009E6B4D" w:rsidRDefault="009E6B4D">
      <w:pPr>
        <w:rPr>
          <w:rFonts w:cstheme="minorHAnsi"/>
          <w:sz w:val="20"/>
          <w:szCs w:val="20"/>
        </w:rPr>
      </w:pPr>
    </w:p>
    <w:p w14:paraId="6DB22818" w14:textId="443C20A2" w:rsidR="003559FA" w:rsidRPr="00D93529" w:rsidRDefault="00C9589F" w:rsidP="00875C30">
      <w:pPr>
        <w:jc w:val="both"/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OPOZORILO: Objavljeni so podatki, ki so jih, na podlagi zaprosila Ministrstva za delo, družino, socialne zadeve in enake možnosti, posredovali izvajalci dodatnega pokojninskega zavarovanja na podlagi 255. člen</w:t>
      </w:r>
      <w:r w:rsidR="00445AA3">
        <w:rPr>
          <w:rFonts w:cstheme="minorHAnsi"/>
          <w:sz w:val="20"/>
          <w:szCs w:val="20"/>
        </w:rPr>
        <w:t>a</w:t>
      </w:r>
      <w:r w:rsidRPr="00D93529">
        <w:rPr>
          <w:rFonts w:cstheme="minorHAnsi"/>
          <w:sz w:val="20"/>
          <w:szCs w:val="20"/>
        </w:rPr>
        <w:t xml:space="preserve">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</w:t>
      </w:r>
      <w:r w:rsidR="00445AA3" w:rsidRPr="00445AA3">
        <w:rPr>
          <w:rFonts w:cstheme="minorHAnsi"/>
          <w:sz w:val="20"/>
          <w:szCs w:val="20"/>
        </w:rPr>
        <w:t>(</w:t>
      </w:r>
      <w:r w:rsidR="00EB5324" w:rsidRPr="00EB5324">
        <w:rPr>
          <w:rFonts w:cstheme="minorHAnsi"/>
          <w:sz w:val="20"/>
          <w:szCs w:val="20"/>
        </w:rPr>
        <w:t xml:space="preserve">Uradni list RS, št. 48/22 – uradno prečiščeno besedilo, 40/23 – </w:t>
      </w:r>
      <w:proofErr w:type="spellStart"/>
      <w:r w:rsidR="00EB5324" w:rsidRPr="00EB5324">
        <w:rPr>
          <w:rFonts w:cstheme="minorHAnsi"/>
          <w:sz w:val="20"/>
          <w:szCs w:val="20"/>
        </w:rPr>
        <w:t>ZČmIS</w:t>
      </w:r>
      <w:proofErr w:type="spellEnd"/>
      <w:r w:rsidR="00EB5324" w:rsidRPr="00EB5324">
        <w:rPr>
          <w:rFonts w:cstheme="minorHAnsi"/>
          <w:sz w:val="20"/>
          <w:szCs w:val="20"/>
        </w:rPr>
        <w:t xml:space="preserve">-1, 78/23 – ZORR, 84/23 – </w:t>
      </w:r>
      <w:proofErr w:type="spellStart"/>
      <w:r w:rsidR="00EB5324" w:rsidRPr="00EB5324">
        <w:rPr>
          <w:rFonts w:cstheme="minorHAnsi"/>
          <w:sz w:val="20"/>
          <w:szCs w:val="20"/>
        </w:rPr>
        <w:t>ZDOsk</w:t>
      </w:r>
      <w:proofErr w:type="spellEnd"/>
      <w:r w:rsidR="00EB5324" w:rsidRPr="00EB5324">
        <w:rPr>
          <w:rFonts w:cstheme="minorHAnsi"/>
          <w:sz w:val="20"/>
          <w:szCs w:val="20"/>
        </w:rPr>
        <w:t xml:space="preserve">-1, 125/23 – </w:t>
      </w:r>
      <w:proofErr w:type="gramStart"/>
      <w:r w:rsidR="00EB5324" w:rsidRPr="00EB5324">
        <w:rPr>
          <w:rFonts w:cstheme="minorHAnsi"/>
          <w:sz w:val="20"/>
          <w:szCs w:val="20"/>
        </w:rPr>
        <w:t>odl</w:t>
      </w:r>
      <w:proofErr w:type="gramEnd"/>
      <w:r w:rsidR="00EB5324" w:rsidRPr="00EB5324">
        <w:rPr>
          <w:rFonts w:cstheme="minorHAnsi"/>
          <w:sz w:val="20"/>
          <w:szCs w:val="20"/>
        </w:rPr>
        <w:t>. US in 133/23</w:t>
      </w:r>
      <w:r w:rsidR="00445AA3" w:rsidRPr="00445AA3">
        <w:rPr>
          <w:rFonts w:cstheme="minorHAnsi"/>
          <w:sz w:val="20"/>
          <w:szCs w:val="20"/>
        </w:rPr>
        <w:t>)</w:t>
      </w:r>
      <w:r w:rsidR="00883AF9" w:rsidRPr="00D93529">
        <w:rPr>
          <w:rFonts w:cstheme="minorHAnsi"/>
          <w:sz w:val="20"/>
          <w:szCs w:val="20"/>
        </w:rPr>
        <w:t>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9A8D" w14:textId="77777777" w:rsidR="007B3A8D" w:rsidRDefault="007B3A8D" w:rsidP="00077156">
      <w:pPr>
        <w:spacing w:after="0" w:line="240" w:lineRule="auto"/>
      </w:pPr>
      <w:r>
        <w:separator/>
      </w:r>
    </w:p>
  </w:endnote>
  <w:endnote w:type="continuationSeparator" w:id="0">
    <w:p w14:paraId="7E1BE7D1" w14:textId="77777777" w:rsidR="007B3A8D" w:rsidRDefault="007B3A8D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FFCD" w14:textId="77777777" w:rsidR="007B3A8D" w:rsidRDefault="007B3A8D" w:rsidP="00077156">
      <w:pPr>
        <w:spacing w:after="0" w:line="240" w:lineRule="auto"/>
      </w:pPr>
      <w:r>
        <w:separator/>
      </w:r>
    </w:p>
  </w:footnote>
  <w:footnote w:type="continuationSeparator" w:id="0">
    <w:p w14:paraId="7101AE5E" w14:textId="77777777" w:rsidR="007B3A8D" w:rsidRDefault="007B3A8D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6"/>
    <w:rsid w:val="00007A75"/>
    <w:rsid w:val="00014442"/>
    <w:rsid w:val="0002526B"/>
    <w:rsid w:val="00043A5C"/>
    <w:rsid w:val="00047626"/>
    <w:rsid w:val="0006554A"/>
    <w:rsid w:val="00077156"/>
    <w:rsid w:val="00077730"/>
    <w:rsid w:val="00084A35"/>
    <w:rsid w:val="00092F8B"/>
    <w:rsid w:val="000A430D"/>
    <w:rsid w:val="000C29E2"/>
    <w:rsid w:val="000D2993"/>
    <w:rsid w:val="00106DD9"/>
    <w:rsid w:val="00115222"/>
    <w:rsid w:val="00117E03"/>
    <w:rsid w:val="0012621D"/>
    <w:rsid w:val="001705CA"/>
    <w:rsid w:val="00190142"/>
    <w:rsid w:val="001A5312"/>
    <w:rsid w:val="001A7813"/>
    <w:rsid w:val="001E7023"/>
    <w:rsid w:val="001F7442"/>
    <w:rsid w:val="0020485B"/>
    <w:rsid w:val="002061A5"/>
    <w:rsid w:val="00210AD5"/>
    <w:rsid w:val="00261D78"/>
    <w:rsid w:val="00267A03"/>
    <w:rsid w:val="00272A07"/>
    <w:rsid w:val="00283244"/>
    <w:rsid w:val="002A5680"/>
    <w:rsid w:val="002A591A"/>
    <w:rsid w:val="002B17E9"/>
    <w:rsid w:val="002B2A34"/>
    <w:rsid w:val="002D267D"/>
    <w:rsid w:val="002F63E2"/>
    <w:rsid w:val="002F6627"/>
    <w:rsid w:val="003007CE"/>
    <w:rsid w:val="00307A24"/>
    <w:rsid w:val="00322701"/>
    <w:rsid w:val="003244BA"/>
    <w:rsid w:val="0034304B"/>
    <w:rsid w:val="00347790"/>
    <w:rsid w:val="003559FA"/>
    <w:rsid w:val="00361B6C"/>
    <w:rsid w:val="00362179"/>
    <w:rsid w:val="003738D9"/>
    <w:rsid w:val="00373BE4"/>
    <w:rsid w:val="00391E81"/>
    <w:rsid w:val="00396B9D"/>
    <w:rsid w:val="0039793C"/>
    <w:rsid w:val="003C3DCF"/>
    <w:rsid w:val="003D6FCC"/>
    <w:rsid w:val="003E56E2"/>
    <w:rsid w:val="0040238E"/>
    <w:rsid w:val="00407F07"/>
    <w:rsid w:val="00421CA7"/>
    <w:rsid w:val="0043186C"/>
    <w:rsid w:val="00433712"/>
    <w:rsid w:val="00445AA3"/>
    <w:rsid w:val="0045325B"/>
    <w:rsid w:val="00454F80"/>
    <w:rsid w:val="00457D3F"/>
    <w:rsid w:val="004600CF"/>
    <w:rsid w:val="00465595"/>
    <w:rsid w:val="00465F12"/>
    <w:rsid w:val="00470708"/>
    <w:rsid w:val="00470733"/>
    <w:rsid w:val="00471621"/>
    <w:rsid w:val="0047399E"/>
    <w:rsid w:val="004906FA"/>
    <w:rsid w:val="004A75FF"/>
    <w:rsid w:val="004C03F4"/>
    <w:rsid w:val="004C1A29"/>
    <w:rsid w:val="004E21B0"/>
    <w:rsid w:val="004F512E"/>
    <w:rsid w:val="004F6EE2"/>
    <w:rsid w:val="0050282A"/>
    <w:rsid w:val="005333D4"/>
    <w:rsid w:val="005411FF"/>
    <w:rsid w:val="00551D19"/>
    <w:rsid w:val="00563D96"/>
    <w:rsid w:val="00573A43"/>
    <w:rsid w:val="005742BD"/>
    <w:rsid w:val="005748F8"/>
    <w:rsid w:val="0058417C"/>
    <w:rsid w:val="005A751F"/>
    <w:rsid w:val="005D2268"/>
    <w:rsid w:val="005E58D5"/>
    <w:rsid w:val="005E7DF3"/>
    <w:rsid w:val="005F012A"/>
    <w:rsid w:val="00613631"/>
    <w:rsid w:val="00631719"/>
    <w:rsid w:val="00631BA3"/>
    <w:rsid w:val="00674098"/>
    <w:rsid w:val="006836D4"/>
    <w:rsid w:val="00696324"/>
    <w:rsid w:val="006C7142"/>
    <w:rsid w:val="006D6A0D"/>
    <w:rsid w:val="006D7031"/>
    <w:rsid w:val="006E65E3"/>
    <w:rsid w:val="006F1230"/>
    <w:rsid w:val="006F22FA"/>
    <w:rsid w:val="006F26BC"/>
    <w:rsid w:val="0070155C"/>
    <w:rsid w:val="0070635E"/>
    <w:rsid w:val="00707FFA"/>
    <w:rsid w:val="00731FAE"/>
    <w:rsid w:val="0073381F"/>
    <w:rsid w:val="007519B1"/>
    <w:rsid w:val="00756427"/>
    <w:rsid w:val="00765AD0"/>
    <w:rsid w:val="007A7501"/>
    <w:rsid w:val="007B3A8D"/>
    <w:rsid w:val="007B5723"/>
    <w:rsid w:val="007C475D"/>
    <w:rsid w:val="007C5BAF"/>
    <w:rsid w:val="007C680D"/>
    <w:rsid w:val="007E0228"/>
    <w:rsid w:val="007F0B6F"/>
    <w:rsid w:val="007F3247"/>
    <w:rsid w:val="0083333D"/>
    <w:rsid w:val="00836AB8"/>
    <w:rsid w:val="00841278"/>
    <w:rsid w:val="008424E6"/>
    <w:rsid w:val="00845879"/>
    <w:rsid w:val="00850679"/>
    <w:rsid w:val="00860706"/>
    <w:rsid w:val="00875C30"/>
    <w:rsid w:val="00883AF9"/>
    <w:rsid w:val="00890859"/>
    <w:rsid w:val="008B119F"/>
    <w:rsid w:val="008E4E8F"/>
    <w:rsid w:val="008E54FF"/>
    <w:rsid w:val="008F2311"/>
    <w:rsid w:val="008F5177"/>
    <w:rsid w:val="009135D7"/>
    <w:rsid w:val="00920363"/>
    <w:rsid w:val="00924F02"/>
    <w:rsid w:val="00934F24"/>
    <w:rsid w:val="0095717B"/>
    <w:rsid w:val="0099327E"/>
    <w:rsid w:val="009954D0"/>
    <w:rsid w:val="009A25E0"/>
    <w:rsid w:val="009D5986"/>
    <w:rsid w:val="009E220C"/>
    <w:rsid w:val="009E6B4D"/>
    <w:rsid w:val="009F790C"/>
    <w:rsid w:val="00A07D91"/>
    <w:rsid w:val="00A121F5"/>
    <w:rsid w:val="00A20751"/>
    <w:rsid w:val="00A504F5"/>
    <w:rsid w:val="00A72D1A"/>
    <w:rsid w:val="00A8374B"/>
    <w:rsid w:val="00A87325"/>
    <w:rsid w:val="00A97269"/>
    <w:rsid w:val="00AA27A7"/>
    <w:rsid w:val="00AB5478"/>
    <w:rsid w:val="00AC1E20"/>
    <w:rsid w:val="00AE6CB1"/>
    <w:rsid w:val="00AF054E"/>
    <w:rsid w:val="00B016A3"/>
    <w:rsid w:val="00B127E6"/>
    <w:rsid w:val="00B20641"/>
    <w:rsid w:val="00B34A81"/>
    <w:rsid w:val="00B42583"/>
    <w:rsid w:val="00B43AAF"/>
    <w:rsid w:val="00B62618"/>
    <w:rsid w:val="00B82986"/>
    <w:rsid w:val="00B86EF3"/>
    <w:rsid w:val="00B91B20"/>
    <w:rsid w:val="00B94444"/>
    <w:rsid w:val="00B9458F"/>
    <w:rsid w:val="00BA717A"/>
    <w:rsid w:val="00BB19C4"/>
    <w:rsid w:val="00BB5F89"/>
    <w:rsid w:val="00BB73AB"/>
    <w:rsid w:val="00BC67F5"/>
    <w:rsid w:val="00BE2466"/>
    <w:rsid w:val="00BE330D"/>
    <w:rsid w:val="00BE67DA"/>
    <w:rsid w:val="00C04DCC"/>
    <w:rsid w:val="00C11764"/>
    <w:rsid w:val="00C13CB8"/>
    <w:rsid w:val="00C32DFB"/>
    <w:rsid w:val="00C401FC"/>
    <w:rsid w:val="00C409AD"/>
    <w:rsid w:val="00C412F4"/>
    <w:rsid w:val="00C54AB0"/>
    <w:rsid w:val="00C54C05"/>
    <w:rsid w:val="00C73603"/>
    <w:rsid w:val="00C90BDF"/>
    <w:rsid w:val="00C9589F"/>
    <w:rsid w:val="00C96310"/>
    <w:rsid w:val="00CA00D2"/>
    <w:rsid w:val="00CA0C6A"/>
    <w:rsid w:val="00CA56AF"/>
    <w:rsid w:val="00CC0BED"/>
    <w:rsid w:val="00CC273F"/>
    <w:rsid w:val="00D01CAC"/>
    <w:rsid w:val="00D05764"/>
    <w:rsid w:val="00D15F1B"/>
    <w:rsid w:val="00D20D4F"/>
    <w:rsid w:val="00D261B5"/>
    <w:rsid w:val="00D354AD"/>
    <w:rsid w:val="00D459A1"/>
    <w:rsid w:val="00D70F87"/>
    <w:rsid w:val="00D9347F"/>
    <w:rsid w:val="00D93529"/>
    <w:rsid w:val="00DB0454"/>
    <w:rsid w:val="00DB7CD9"/>
    <w:rsid w:val="00DC636E"/>
    <w:rsid w:val="00DC7636"/>
    <w:rsid w:val="00DD552F"/>
    <w:rsid w:val="00E06582"/>
    <w:rsid w:val="00E1423B"/>
    <w:rsid w:val="00E268A9"/>
    <w:rsid w:val="00E2796F"/>
    <w:rsid w:val="00E31E63"/>
    <w:rsid w:val="00E520E3"/>
    <w:rsid w:val="00E77188"/>
    <w:rsid w:val="00E93045"/>
    <w:rsid w:val="00EB5324"/>
    <w:rsid w:val="00EC7831"/>
    <w:rsid w:val="00ED7BC9"/>
    <w:rsid w:val="00EE7990"/>
    <w:rsid w:val="00F27A94"/>
    <w:rsid w:val="00F37265"/>
    <w:rsid w:val="00F62187"/>
    <w:rsid w:val="00F62BED"/>
    <w:rsid w:val="00F903D4"/>
    <w:rsid w:val="00F930D7"/>
    <w:rsid w:val="00F95AA7"/>
    <w:rsid w:val="00FA4288"/>
    <w:rsid w:val="00FA6C89"/>
    <w:rsid w:val="00FB5A93"/>
    <w:rsid w:val="00FB68EA"/>
    <w:rsid w:val="00FC46C4"/>
    <w:rsid w:val="00FC4B57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F8C"/>
  <w15:docId w15:val="{1B5E0AB8-E850-4E1E-A4E5-100F248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5C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si/zavarovanje/pokojnina" TargetMode="External"/><Relationship Id="rId13" Type="http://schemas.openxmlformats.org/officeDocument/2006/relationships/hyperlink" Target="https://www.prva.si/pokojninska-druz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-skladi/krovni-pokojninski-sklad-moj-steber.html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li.si/zavarovanje/pokojnina" TargetMode="External"/><Relationship Id="rId10" Type="http://schemas.openxmlformats.org/officeDocument/2006/relationships/hyperlink" Target="https://www.triglavpokojnin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dra.si" TargetMode="External"/><Relationship Id="rId14" Type="http://schemas.openxmlformats.org/officeDocument/2006/relationships/hyperlink" Target="https://www.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61A-5117-4881-B027-CBB8D6E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Matej Grajfoner</cp:lastModifiedBy>
  <cp:revision>5</cp:revision>
  <dcterms:created xsi:type="dcterms:W3CDTF">2025-04-14T10:20:00Z</dcterms:created>
  <dcterms:modified xsi:type="dcterms:W3CDTF">2025-04-25T05:26:00Z</dcterms:modified>
</cp:coreProperties>
</file>