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321B6A" w:rsidP="00D15173">
      <w:pPr>
        <w:pStyle w:val="Heading1"/>
        <w:numPr>
          <w:ilvl w:val="0"/>
          <w:numId w:val="0"/>
        </w:numPr>
        <w:spacing w:before="0" w:after="0"/>
        <w:jc w:val="center"/>
      </w:pPr>
      <w:bookmarkStart w:id="0" w:name="_Toc256000000"/>
      <w:r>
        <w:rPr>
          <w:noProof/>
        </w:rPr>
        <w:t>OBRAČUNI</w:t>
      </w:r>
      <w:bookmarkEnd w:id="0"/>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6"/>
        <w:gridCol w:w="502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Borders>
              <w:top w:val="single" w:sz="4" w:space="0" w:color="auto"/>
              <w:left w:val="single" w:sz="4" w:space="0" w:color="auto"/>
              <w:bottom w:val="single" w:sz="4" w:space="0" w:color="auto"/>
              <w:right w:val="single" w:sz="4" w:space="0" w:color="auto"/>
            </w:tcBorders>
            <w:hideMark/>
          </w:tcPr>
          <w:p w:rsidR="00321B6A" w:rsidRPr="00A7239D" w:rsidP="00D15173">
            <w:pPr>
              <w:spacing w:before="0" w:after="0"/>
              <w:jc w:val="left"/>
            </w:pPr>
            <w:bookmarkStart w:id="1" w:name="_Toc349308753"/>
            <w:r>
              <w:rPr>
                <w:noProof/>
              </w:rPr>
              <w:t>CCI</w:t>
            </w:r>
          </w:p>
        </w:tc>
        <w:tc>
          <w:tcPr>
            <w:tcBorders>
              <w:top w:val="single" w:sz="4" w:space="0" w:color="auto"/>
              <w:left w:val="single" w:sz="4" w:space="0" w:color="auto"/>
              <w:bottom w:val="single" w:sz="4" w:space="0" w:color="auto"/>
              <w:right w:val="single" w:sz="4" w:space="0" w:color="auto"/>
            </w:tcBorders>
            <w:hideMark/>
          </w:tcPr>
          <w:p w:rsidR="00321B6A" w:rsidP="00D15173">
            <w:pPr>
              <w:spacing w:before="0" w:after="0"/>
              <w:jc w:val="left"/>
              <w:rPr>
                <w:color w:val="000000"/>
              </w:rPr>
            </w:pPr>
            <w:r>
              <w:rPr>
                <w:noProof/>
                <w:color w:val="000000"/>
              </w:rPr>
              <w:t>2014SI65AMNP001</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Naziv</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Slovenija National Programme AMIF</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Različica</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2022.0</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Prvo leto</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2014</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Upravičen od</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1.1.2014</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Številka sklepa o programu</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C(2019)3965</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Datum sklepa o programu</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4.6.2019</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Številka sklepa o potrditvi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C(2023)3644</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Datum sklepa o potrditvi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30.5.2023</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Številka končnega sklepa o potrditvi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Datum končnega sklepa o potrditvi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Številka sklepa o skladnosti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Datum sklepa o skladnosti</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Datum predložitve projekta in obračunov</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6.2.2023</w:t>
            </w:r>
          </w:p>
        </w:tc>
      </w:tr>
      <w:tr w:rsidTr="00321B6A">
        <w:tblPrEx>
          <w:tblW w:w="5000" w:type="pct"/>
          <w:tblLook w:val="04A0"/>
        </w:tblPrEx>
        <w:trPr>
          <w:trHeight w:val="138"/>
        </w:trPr>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pPr>
            <w:r>
              <w:rPr>
                <w:noProof/>
              </w:rPr>
              <w:t>Proračunsko leto</w:t>
            </w:r>
          </w:p>
        </w:tc>
        <w:tc>
          <w:tcPr>
            <w:tcBorders>
              <w:top w:val="single" w:sz="4" w:space="0" w:color="auto"/>
              <w:left w:val="single" w:sz="4" w:space="0" w:color="auto"/>
              <w:bottom w:val="single" w:sz="4" w:space="0" w:color="auto"/>
              <w:right w:val="single" w:sz="4" w:space="0" w:color="auto"/>
            </w:tcBorders>
          </w:tcPr>
          <w:p w:rsidR="00321B6A" w:rsidP="00D15173">
            <w:pPr>
              <w:spacing w:before="0" w:after="0"/>
              <w:jc w:val="left"/>
              <w:rPr>
                <w:color w:val="000000"/>
              </w:rPr>
            </w:pPr>
            <w:r>
              <w:rPr>
                <w:noProof/>
                <w:color w:val="000000"/>
              </w:rPr>
              <w:t>2022</w:t>
            </w:r>
          </w:p>
        </w:tc>
      </w:tr>
      <w:bookmarkEnd w:id="1"/>
    </w:tbl>
    <w:p w:rsidR="00321B6A" w:rsidP="00D15173">
      <w:pPr>
        <w:spacing w:before="0" w:after="0"/>
      </w:pPr>
    </w:p>
    <w:p w:rsidR="00F672DB" w:rsidP="00D15173">
      <w:pPr>
        <w:spacing w:before="0" w:after="0"/>
        <w:rPr>
          <w:noProof/>
        </w:rPr>
      </w:pPr>
      <w:r w:rsidR="001E0F7C">
        <w:br w:type="page"/>
      </w:r>
      <w:r w:rsidR="009F18D9">
        <w:fldChar w:fldCharType="begin"/>
      </w:r>
      <w:r w:rsidR="009F18D9">
        <w:instrText xml:space="preserve"> TOC \o "1-3" \h \z \u </w:instrText>
      </w:r>
      <w:r w:rsidR="009F18D9">
        <w:fldChar w:fldCharType="separate"/>
      </w:r>
    </w:p>
    <w:p>
      <w:pPr>
        <w:pStyle w:val="TOC1"/>
        <w:rPr>
          <w:rFonts w:asciiTheme="minorHAnsi" w:hAnsiTheme="minorHAnsi"/>
          <w:noProof/>
          <w:sz w:val="22"/>
        </w:rPr>
      </w:pPr>
      <w:hyperlink w:anchor="_Toc256000000" w:history="1">
        <w:r>
          <w:rPr>
            <w:rStyle w:val="Hyperlink"/>
            <w:noProof/>
          </w:rPr>
          <w:t>OBRAČUNI</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2" w:history="1">
        <w:r>
          <w:rPr>
            <w:rStyle w:val="Hyperlink"/>
            <w:noProof/>
          </w:rPr>
          <w:t>I. PROJEKTI IN RAČUNOVODSKI PODATKI</w:t>
        </w:r>
        <w:r>
          <w:tab/>
        </w:r>
        <w:r>
          <w:fldChar w:fldCharType="begin"/>
        </w:r>
        <w:r>
          <w:instrText xml:space="preserve"> PAGEREF _Toc256000002 \h </w:instrText>
        </w:r>
        <w:r>
          <w:fldChar w:fldCharType="separate"/>
        </w:r>
        <w:r>
          <w:t>3</w:t>
        </w:r>
        <w:r>
          <w:fldChar w:fldCharType="end"/>
        </w:r>
      </w:hyperlink>
    </w:p>
    <w:p>
      <w:pPr>
        <w:pStyle w:val="TOC2"/>
        <w:rPr>
          <w:rFonts w:asciiTheme="minorHAnsi" w:hAnsiTheme="minorHAnsi"/>
          <w:noProof/>
          <w:sz w:val="22"/>
        </w:rPr>
      </w:pPr>
      <w:hyperlink w:anchor="_Toc256000003" w:history="1">
        <w:r w:rsidRPr="00DD2D69">
          <w:rPr>
            <w:rStyle w:val="Hyperlink"/>
            <w:noProof/>
          </w:rPr>
          <w:t>A. Projekti</w:t>
        </w:r>
        <w:r>
          <w:tab/>
        </w:r>
        <w:r>
          <w:fldChar w:fldCharType="begin"/>
        </w:r>
        <w:r>
          <w:instrText xml:space="preserve"> PAGEREF _Toc256000003 \h </w:instrText>
        </w:r>
        <w:r>
          <w:fldChar w:fldCharType="separate"/>
        </w:r>
        <w:r>
          <w:t>3</w:t>
        </w:r>
        <w:r>
          <w:fldChar w:fldCharType="end"/>
        </w:r>
      </w:hyperlink>
    </w:p>
    <w:p>
      <w:pPr>
        <w:pStyle w:val="TOC3"/>
        <w:rPr>
          <w:rFonts w:asciiTheme="minorHAnsi" w:hAnsiTheme="minorHAnsi"/>
          <w:noProof/>
          <w:sz w:val="22"/>
        </w:rPr>
      </w:pPr>
      <w:hyperlink w:anchor="_Toc256000004" w:history="1">
        <w:r w:rsidRPr="00DD2D69">
          <w:rPr>
            <w:rStyle w:val="Hyperlink"/>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pPr>
        <w:pStyle w:val="TOC2"/>
        <w:rPr>
          <w:rFonts w:asciiTheme="minorHAnsi" w:hAnsiTheme="minorHAnsi"/>
          <w:noProof/>
          <w:sz w:val="22"/>
        </w:rPr>
      </w:pPr>
      <w:hyperlink w:anchor="_Toc256000005" w:history="1">
        <w:r w:rsidRPr="00DD2D69">
          <w:rPr>
            <w:rStyle w:val="Hyperlink"/>
            <w:noProof/>
          </w:rPr>
          <w:t>A2. Projekti, povezani s posebnimi primeri</w:t>
        </w:r>
        <w:r>
          <w:tab/>
        </w:r>
        <w:r>
          <w:fldChar w:fldCharType="begin"/>
        </w:r>
        <w:r>
          <w:instrText xml:space="preserve"> PAGEREF _Toc256000005 \h </w:instrText>
        </w:r>
        <w:r>
          <w:fldChar w:fldCharType="separate"/>
        </w:r>
        <w:r>
          <w:t>17</w:t>
        </w:r>
        <w:r>
          <w:fldChar w:fldCharType="end"/>
        </w:r>
      </w:hyperlink>
    </w:p>
    <w:p>
      <w:pPr>
        <w:pStyle w:val="TOC3"/>
        <w:rPr>
          <w:rFonts w:asciiTheme="minorHAnsi" w:hAnsiTheme="minorHAnsi"/>
          <w:noProof/>
          <w:sz w:val="22"/>
        </w:rPr>
      </w:pPr>
      <w:hyperlink w:anchor="_Toc256000006" w:history="1">
        <w:r w:rsidRPr="00DD2D69">
          <w:rPr>
            <w:rStyle w:val="Hyperlink"/>
            <w:noProof/>
          </w:rPr>
          <w:t>Obljubljena sredstva (prednostne naloge Unije na področju preseljevanja)</w:t>
        </w:r>
        <w:r>
          <w:tab/>
        </w:r>
        <w:r>
          <w:fldChar w:fldCharType="begin"/>
        </w:r>
        <w:r>
          <w:instrText xml:space="preserve"> PAGEREF _Toc256000006 \h </w:instrText>
        </w:r>
        <w:r>
          <w:fldChar w:fldCharType="separate"/>
        </w:r>
        <w:r>
          <w:t>17</w:t>
        </w:r>
        <w:r>
          <w:fldChar w:fldCharType="end"/>
        </w:r>
      </w:hyperlink>
    </w:p>
    <w:p>
      <w:pPr>
        <w:pStyle w:val="TOC3"/>
        <w:rPr>
          <w:rFonts w:asciiTheme="minorHAnsi" w:hAnsiTheme="minorHAnsi"/>
          <w:noProof/>
          <w:sz w:val="22"/>
        </w:rPr>
      </w:pPr>
      <w:hyperlink w:anchor="_Toc256000007" w:history="1">
        <w:r w:rsidRPr="008C784A">
          <w:rPr>
            <w:rStyle w:val="Hyperlink"/>
            <w:noProof/>
          </w:rPr>
          <w:t>Obljubljena sredstva (preselitev – drugi)</w:t>
        </w:r>
        <w:r>
          <w:tab/>
        </w:r>
        <w:r>
          <w:fldChar w:fldCharType="begin"/>
        </w:r>
        <w:r>
          <w:instrText xml:space="preserve"> PAGEREF _Toc256000007 \h </w:instrText>
        </w:r>
        <w:r>
          <w:fldChar w:fldCharType="separate"/>
        </w:r>
        <w:r>
          <w:t>18</w:t>
        </w:r>
        <w:r>
          <w:fldChar w:fldCharType="end"/>
        </w:r>
      </w:hyperlink>
    </w:p>
    <w:p>
      <w:pPr>
        <w:pStyle w:val="TOC3"/>
        <w:rPr>
          <w:rFonts w:asciiTheme="minorHAnsi" w:hAnsiTheme="minorHAnsi"/>
          <w:noProof/>
          <w:sz w:val="22"/>
        </w:rPr>
      </w:pPr>
      <w:hyperlink w:anchor="_Toc256000008" w:history="1">
        <w:r w:rsidRPr="000F11D9">
          <w:rPr>
            <w:rStyle w:val="Hyperlink"/>
            <w:noProof/>
          </w:rPr>
          <w:t>Druga obljubljena sredstva (predaje in premestitve)</w:t>
        </w:r>
        <w:r>
          <w:tab/>
        </w:r>
        <w:r>
          <w:fldChar w:fldCharType="begin"/>
        </w:r>
        <w:r>
          <w:instrText xml:space="preserve"> PAGEREF _Toc256000008 \h </w:instrText>
        </w:r>
        <w:r>
          <w:fldChar w:fldCharType="separate"/>
        </w:r>
        <w:r>
          <w:t>19</w:t>
        </w:r>
        <w:r>
          <w:fldChar w:fldCharType="end"/>
        </w:r>
      </w:hyperlink>
    </w:p>
    <w:p>
      <w:pPr>
        <w:pStyle w:val="TOC2"/>
        <w:rPr>
          <w:rFonts w:asciiTheme="minorHAnsi" w:hAnsiTheme="minorHAnsi"/>
          <w:noProof/>
          <w:sz w:val="22"/>
        </w:rPr>
      </w:pPr>
      <w:hyperlink w:anchor="_Toc256000009" w:history="1">
        <w:r>
          <w:rPr>
            <w:rStyle w:val="Hyperlink"/>
            <w:noProof/>
          </w:rPr>
          <w:t>Zaveza (Sprejem iz Turčije – 2016/1754)</w:t>
        </w:r>
        <w:r>
          <w:tab/>
        </w:r>
        <w:r>
          <w:fldChar w:fldCharType="begin"/>
        </w:r>
        <w:r>
          <w:instrText xml:space="preserve"> PAGEREF _Toc256000009 \h </w:instrText>
        </w:r>
        <w:r>
          <w:fldChar w:fldCharType="separate"/>
        </w:r>
        <w:r>
          <w:t>20</w:t>
        </w:r>
        <w:r>
          <w:fldChar w:fldCharType="end"/>
        </w:r>
      </w:hyperlink>
    </w:p>
    <w:p>
      <w:pPr>
        <w:pStyle w:val="TOC2"/>
        <w:rPr>
          <w:rFonts w:asciiTheme="minorHAnsi" w:hAnsiTheme="minorHAnsi"/>
          <w:noProof/>
          <w:sz w:val="22"/>
        </w:rPr>
      </w:pPr>
      <w:hyperlink w:anchor="_Toc256000010" w:history="1">
        <w:r>
          <w:rPr>
            <w:rStyle w:val="Hyperlink"/>
            <w:noProof/>
          </w:rPr>
          <w:t>B. Računovodski podatki</w:t>
        </w:r>
        <w:r>
          <w:tab/>
        </w:r>
        <w:r>
          <w:fldChar w:fldCharType="begin"/>
        </w:r>
        <w:r>
          <w:instrText xml:space="preserve"> PAGEREF _Toc256000010 \h </w:instrText>
        </w:r>
        <w:r>
          <w:fldChar w:fldCharType="separate"/>
        </w:r>
        <w:r>
          <w:t>21</w:t>
        </w:r>
        <w:r>
          <w:fldChar w:fldCharType="end"/>
        </w:r>
      </w:hyperlink>
    </w:p>
    <w:p>
      <w:pPr>
        <w:pStyle w:val="TOC2"/>
        <w:rPr>
          <w:rFonts w:asciiTheme="minorHAnsi" w:hAnsiTheme="minorHAnsi"/>
          <w:noProof/>
          <w:sz w:val="22"/>
        </w:rPr>
      </w:pPr>
      <w:hyperlink w:anchor="_Toc256000011" w:history="1">
        <w:r>
          <w:rPr>
            <w:rStyle w:val="Hyperlink"/>
            <w:noProof/>
          </w:rPr>
          <w:t>C. Kontrole na kraju samem</w:t>
        </w:r>
        <w:r>
          <w:tab/>
        </w:r>
        <w:r>
          <w:fldChar w:fldCharType="begin"/>
        </w:r>
        <w:r>
          <w:instrText xml:space="preserve"> PAGEREF _Toc256000011 \h </w:instrText>
        </w:r>
        <w:r>
          <w:fldChar w:fldCharType="separate"/>
        </w:r>
        <w:r>
          <w:t>41</w:t>
        </w:r>
        <w:r>
          <w:fldChar w:fldCharType="end"/>
        </w:r>
      </w:hyperlink>
    </w:p>
    <w:p>
      <w:pPr>
        <w:pStyle w:val="TOC2"/>
        <w:rPr>
          <w:rFonts w:asciiTheme="minorHAnsi" w:hAnsiTheme="minorHAnsi"/>
          <w:noProof/>
          <w:sz w:val="22"/>
        </w:rPr>
      </w:pPr>
      <w:hyperlink w:anchor="_Toc256000012" w:history="1">
        <w:r>
          <w:rPr>
            <w:rStyle w:val="Hyperlink"/>
            <w:noProof/>
          </w:rPr>
          <w:t>Finančne kontrole tehnične pomoči na kraju samem</w:t>
        </w:r>
        <w:r>
          <w:tab/>
        </w:r>
        <w:r>
          <w:fldChar w:fldCharType="begin"/>
        </w:r>
        <w:r>
          <w:instrText xml:space="preserve"> PAGEREF _Toc256000012 \h </w:instrText>
        </w:r>
        <w:r>
          <w:fldChar w:fldCharType="separate"/>
        </w:r>
        <w:r>
          <w:t>48</w:t>
        </w:r>
        <w:r>
          <w:fldChar w:fldCharType="end"/>
        </w:r>
      </w:hyperlink>
    </w:p>
    <w:p>
      <w:pPr>
        <w:pStyle w:val="TOC2"/>
        <w:rPr>
          <w:rFonts w:asciiTheme="minorHAnsi" w:hAnsiTheme="minorHAnsi"/>
          <w:noProof/>
          <w:sz w:val="22"/>
        </w:rPr>
      </w:pPr>
      <w:hyperlink w:anchor="_Toc256000013" w:history="1">
        <w:r w:rsidRPr="00F810AB">
          <w:rPr>
            <w:rStyle w:val="Hyperlink"/>
            <w:noProof/>
          </w:rPr>
          <w:t>D. Povzetek podatkov</w:t>
        </w:r>
        <w:r>
          <w:tab/>
        </w:r>
        <w:r>
          <w:fldChar w:fldCharType="begin"/>
        </w:r>
        <w:r>
          <w:instrText xml:space="preserve"> PAGEREF _Toc256000013 \h </w:instrText>
        </w:r>
        <w:r>
          <w:fldChar w:fldCharType="separate"/>
        </w:r>
        <w:r>
          <w:t>49</w:t>
        </w:r>
        <w:r>
          <w:fldChar w:fldCharType="end"/>
        </w:r>
      </w:hyperlink>
    </w:p>
    <w:p>
      <w:pPr>
        <w:pStyle w:val="TOC3"/>
        <w:rPr>
          <w:rFonts w:asciiTheme="minorHAnsi" w:hAnsiTheme="minorHAnsi"/>
          <w:noProof/>
          <w:sz w:val="22"/>
        </w:rPr>
      </w:pPr>
      <w:hyperlink w:anchor="_Toc256000014" w:history="1">
        <w:r w:rsidRPr="00DD2D69">
          <w:rPr>
            <w:rStyle w:val="Hyperlink"/>
            <w:noProof/>
          </w:rPr>
          <w:t>Opis finančnega popravka države članice</w:t>
        </w:r>
        <w:r>
          <w:tab/>
        </w:r>
        <w:r>
          <w:fldChar w:fldCharType="begin"/>
        </w:r>
        <w:r>
          <w:instrText xml:space="preserve"> PAGEREF _Toc256000014 \h </w:instrText>
        </w:r>
        <w:r>
          <w:fldChar w:fldCharType="separate"/>
        </w:r>
        <w:r>
          <w:t>51</w:t>
        </w:r>
        <w:r>
          <w:fldChar w:fldCharType="end"/>
        </w:r>
      </w:hyperlink>
    </w:p>
    <w:p>
      <w:pPr>
        <w:pStyle w:val="TOC1"/>
        <w:rPr>
          <w:rFonts w:asciiTheme="minorHAnsi" w:hAnsiTheme="minorHAnsi"/>
          <w:noProof/>
          <w:sz w:val="22"/>
        </w:rPr>
      </w:pPr>
      <w:hyperlink w:anchor="_Toc256000015" w:history="1">
        <w:r w:rsidRPr="00D24861">
          <w:rPr>
            <w:rStyle w:val="Hyperlink"/>
            <w:noProof/>
          </w:rPr>
          <w:t>II. IZJAVA O UPRAVLJANJU</w:t>
        </w:r>
        <w:r>
          <w:tab/>
        </w:r>
        <w:r>
          <w:fldChar w:fldCharType="begin"/>
        </w:r>
        <w:r>
          <w:instrText xml:space="preserve"> PAGEREF _Toc256000015 \h </w:instrText>
        </w:r>
        <w:r>
          <w:fldChar w:fldCharType="separate"/>
        </w:r>
        <w:r>
          <w:t>52</w:t>
        </w:r>
        <w:r>
          <w:fldChar w:fldCharType="end"/>
        </w:r>
      </w:hyperlink>
    </w:p>
    <w:p>
      <w:pPr>
        <w:pStyle w:val="TOC1"/>
        <w:rPr>
          <w:rFonts w:asciiTheme="minorHAnsi" w:hAnsiTheme="minorHAnsi"/>
          <w:noProof/>
          <w:sz w:val="22"/>
        </w:rPr>
      </w:pPr>
      <w:hyperlink w:anchor="_Toc256000016" w:history="1">
        <w:r w:rsidRPr="00595E05">
          <w:rPr>
            <w:rStyle w:val="Hyperlink"/>
            <w:noProof/>
          </w:rPr>
          <w:t>III. LETNI POVZETEK KONČNIH REVIZIJSKIH POROČIL IN OPRAVLJENIH KONTROL</w:t>
        </w:r>
        <w:r>
          <w:tab/>
        </w:r>
        <w:r>
          <w:fldChar w:fldCharType="begin"/>
        </w:r>
        <w:r>
          <w:instrText xml:space="preserve"> PAGEREF _Toc256000016 \h </w:instrText>
        </w:r>
        <w:r>
          <w:fldChar w:fldCharType="separate"/>
        </w:r>
        <w:r>
          <w:t>53</w:t>
        </w:r>
        <w:r>
          <w:fldChar w:fldCharType="end"/>
        </w:r>
      </w:hyperlink>
    </w:p>
    <w:p>
      <w:pPr>
        <w:pStyle w:val="TOC2"/>
        <w:rPr>
          <w:rFonts w:asciiTheme="minorHAnsi" w:hAnsiTheme="minorHAnsi"/>
          <w:noProof/>
          <w:sz w:val="22"/>
        </w:rPr>
      </w:pPr>
      <w:hyperlink w:anchor="_Toc256000017" w:history="1">
        <w:r w:rsidRPr="00595E05">
          <w:rPr>
            <w:rStyle w:val="Hyperlink"/>
            <w:noProof/>
          </w:rPr>
          <w:t>A. Povzetki končnih revizijskih poročil</w:t>
        </w:r>
        <w:r>
          <w:tab/>
        </w:r>
        <w:r>
          <w:fldChar w:fldCharType="begin"/>
        </w:r>
        <w:r>
          <w:instrText xml:space="preserve"> PAGEREF _Toc256000017 \h </w:instrText>
        </w:r>
        <w:r>
          <w:fldChar w:fldCharType="separate"/>
        </w:r>
        <w:r>
          <w:t>53</w:t>
        </w:r>
        <w:r>
          <w:fldChar w:fldCharType="end"/>
        </w:r>
      </w:hyperlink>
    </w:p>
    <w:p>
      <w:pPr>
        <w:pStyle w:val="TOC2"/>
        <w:rPr>
          <w:rFonts w:asciiTheme="minorHAnsi" w:hAnsiTheme="minorHAnsi"/>
          <w:noProof/>
          <w:sz w:val="22"/>
        </w:rPr>
      </w:pPr>
      <w:hyperlink w:anchor="_Toc256000018" w:history="1">
        <w:r w:rsidRPr="00B2061B">
          <w:rPr>
            <w:rStyle w:val="Hyperlink"/>
            <w:noProof/>
          </w:rPr>
          <w:t>B. Povzetek administrativnih kontrol, izvedenih v proračunskem letu 2022</w:t>
        </w:r>
        <w:r>
          <w:tab/>
        </w:r>
        <w:r>
          <w:fldChar w:fldCharType="begin"/>
        </w:r>
        <w:r>
          <w:instrText xml:space="preserve"> PAGEREF _Toc256000018 \h </w:instrText>
        </w:r>
        <w:r>
          <w:fldChar w:fldCharType="separate"/>
        </w:r>
        <w:r>
          <w:t>58</w:t>
        </w:r>
        <w:r>
          <w:fldChar w:fldCharType="end"/>
        </w:r>
      </w:hyperlink>
    </w:p>
    <w:p>
      <w:pPr>
        <w:pStyle w:val="TOC2"/>
        <w:rPr>
          <w:rFonts w:asciiTheme="minorHAnsi" w:hAnsiTheme="minorHAnsi"/>
          <w:noProof/>
          <w:sz w:val="22"/>
        </w:rPr>
      </w:pPr>
      <w:hyperlink w:anchor="_Toc256000019" w:history="1">
        <w:r w:rsidRPr="00B2061B">
          <w:rPr>
            <w:rStyle w:val="Hyperlink"/>
            <w:noProof/>
          </w:rPr>
          <w:t>C. Povzetek kontrol na kraju samem, izvedenih v proračunskem letu 2022</w:t>
        </w:r>
        <w:r>
          <w:tab/>
        </w:r>
        <w:r>
          <w:fldChar w:fldCharType="begin"/>
        </w:r>
        <w:r>
          <w:instrText xml:space="preserve"> PAGEREF _Toc256000019 \h </w:instrText>
        </w:r>
        <w:r>
          <w:fldChar w:fldCharType="separate"/>
        </w:r>
        <w:r>
          <w:t>59</w:t>
        </w:r>
        <w:r>
          <w:fldChar w:fldCharType="end"/>
        </w:r>
      </w:hyperlink>
    </w:p>
    <w:p>
      <w:pPr>
        <w:pStyle w:val="TOC1"/>
        <w:rPr>
          <w:rFonts w:asciiTheme="minorHAnsi" w:hAnsiTheme="minorHAnsi"/>
          <w:noProof/>
          <w:sz w:val="22"/>
        </w:rPr>
      </w:pPr>
      <w:hyperlink w:anchor="_Toc256000020" w:history="1">
        <w:r w:rsidRPr="00D03024">
          <w:rPr>
            <w:rStyle w:val="Hyperlink"/>
            <w:noProof/>
          </w:rPr>
          <w:t>IV. MNENJA REVIZIJSKEGA ORGANA</w:t>
        </w:r>
        <w:r>
          <w:tab/>
        </w:r>
        <w:r>
          <w:fldChar w:fldCharType="begin"/>
        </w:r>
        <w:r>
          <w:instrText xml:space="preserve"> PAGEREF _Toc256000020 \h </w:instrText>
        </w:r>
        <w:r>
          <w:fldChar w:fldCharType="separate"/>
        </w:r>
        <w:r>
          <w:t>63</w:t>
        </w:r>
        <w:r>
          <w:fldChar w:fldCharType="end"/>
        </w:r>
      </w:hyperlink>
    </w:p>
    <w:p>
      <w:pPr>
        <w:pStyle w:val="TOC3"/>
        <w:rPr>
          <w:rFonts w:asciiTheme="minorHAnsi" w:hAnsiTheme="minorHAnsi"/>
          <w:noProof/>
          <w:sz w:val="22"/>
        </w:rPr>
      </w:pPr>
      <w:hyperlink w:anchor="_Toc256000021" w:history="1">
        <w:r w:rsidRPr="00DD2D69">
          <w:rPr>
            <w:rStyle w:val="Hyperlink"/>
            <w:noProof/>
          </w:rPr>
          <w:t>A. Revizijsko mnenje o letnih obračunih</w:t>
        </w:r>
        <w:r>
          <w:tab/>
        </w:r>
        <w:r>
          <w:fldChar w:fldCharType="begin"/>
        </w:r>
        <w:r>
          <w:instrText xml:space="preserve"> PAGEREF _Toc256000021 \h </w:instrText>
        </w:r>
        <w:r>
          <w:fldChar w:fldCharType="separate"/>
        </w:r>
        <w:r>
          <w:t>64</w:t>
        </w:r>
        <w:r>
          <w:fldChar w:fldCharType="end"/>
        </w:r>
      </w:hyperlink>
    </w:p>
    <w:p>
      <w:pPr>
        <w:pStyle w:val="TOC3"/>
        <w:rPr>
          <w:rFonts w:asciiTheme="minorHAnsi" w:hAnsiTheme="minorHAnsi"/>
          <w:noProof/>
          <w:sz w:val="22"/>
        </w:rPr>
      </w:pPr>
      <w:hyperlink w:anchor="_Toc256000022" w:history="1">
        <w:r w:rsidRPr="00DD2D69">
          <w:rPr>
            <w:rStyle w:val="Hyperlink"/>
            <w:noProof/>
          </w:rPr>
          <w:t>B. Mnenje o delovanju sistemov upravljanja in nadzora</w:t>
        </w:r>
        <w:r>
          <w:tab/>
        </w:r>
        <w:r>
          <w:fldChar w:fldCharType="begin"/>
        </w:r>
        <w:r>
          <w:instrText xml:space="preserve"> PAGEREF _Toc256000022 \h </w:instrText>
        </w:r>
        <w:r>
          <w:fldChar w:fldCharType="separate"/>
        </w:r>
        <w:r>
          <w:t>65</w:t>
        </w:r>
        <w:r>
          <w:fldChar w:fldCharType="end"/>
        </w:r>
      </w:hyperlink>
    </w:p>
    <w:p>
      <w:pPr>
        <w:pStyle w:val="TOC3"/>
        <w:rPr>
          <w:rFonts w:asciiTheme="minorHAnsi" w:hAnsiTheme="minorHAnsi"/>
          <w:noProof/>
          <w:sz w:val="22"/>
        </w:rPr>
      </w:pPr>
      <w:hyperlink w:anchor="_Toc256000023" w:history="1">
        <w:r w:rsidRPr="00D30A71">
          <w:rPr>
            <w:rStyle w:val="Hyperlink"/>
            <w:noProof/>
          </w:rPr>
          <w:t>C. Potrditev izjave o upravljanju, ki jo pripravi odgovorni organ</w:t>
        </w:r>
        <w:r>
          <w:tab/>
        </w:r>
        <w:r>
          <w:fldChar w:fldCharType="begin"/>
        </w:r>
        <w:r>
          <w:instrText xml:space="preserve"> PAGEREF _Toc256000023 \h </w:instrText>
        </w:r>
        <w:r>
          <w:fldChar w:fldCharType="separate"/>
        </w:r>
        <w:r>
          <w:t>66</w:t>
        </w:r>
        <w:r>
          <w:fldChar w:fldCharType="end"/>
        </w:r>
      </w:hyperlink>
    </w:p>
    <w:p>
      <w:pPr>
        <w:pStyle w:val="TOC1"/>
        <w:rPr>
          <w:rFonts w:asciiTheme="minorHAnsi" w:hAnsiTheme="minorHAnsi"/>
          <w:noProof/>
          <w:sz w:val="22"/>
        </w:rPr>
      </w:pPr>
      <w:hyperlink w:anchor="_Toc256000024" w:history="1">
        <w:r>
          <w:rPr>
            <w:rStyle w:val="Hyperlink"/>
            <w:noProof/>
          </w:rPr>
          <w:t>Dokumenti</w:t>
        </w:r>
        <w:r>
          <w:tab/>
        </w:r>
        <w:r>
          <w:fldChar w:fldCharType="begin"/>
        </w:r>
        <w:r>
          <w:instrText xml:space="preserve"> PAGEREF _Toc256000024 \h </w:instrText>
        </w:r>
        <w:r>
          <w:fldChar w:fldCharType="separate"/>
        </w:r>
        <w:r>
          <w:t>67</w:t>
        </w:r>
        <w:r>
          <w:fldChar w:fldCharType="end"/>
        </w:r>
      </w:hyperlink>
    </w:p>
    <w:p>
      <w:pPr>
        <w:pStyle w:val="TOC1"/>
        <w:rPr>
          <w:rFonts w:asciiTheme="minorHAnsi" w:hAnsiTheme="minorHAnsi"/>
          <w:noProof/>
          <w:sz w:val="22"/>
        </w:rPr>
      </w:pPr>
      <w:hyperlink w:anchor="_Toc256000025" w:history="1">
        <w:r w:rsidR="00F05543">
          <w:rPr>
            <w:rStyle w:val="Hyperlink"/>
            <w:noProof/>
          </w:rPr>
          <w:t>Zadnji rezultati validacije</w:t>
        </w:r>
        <w:r>
          <w:tab/>
        </w:r>
        <w:r>
          <w:fldChar w:fldCharType="begin"/>
        </w:r>
        <w:r>
          <w:instrText xml:space="preserve"> PAGEREF _Toc256000025 \h </w:instrText>
        </w:r>
        <w:r>
          <w:fldChar w:fldCharType="separate"/>
        </w:r>
        <w:r>
          <w:t>68</w:t>
        </w:r>
        <w:r>
          <w:fldChar w:fldCharType="end"/>
        </w:r>
      </w:hyperlink>
    </w:p>
    <w:p w:rsidR="001E0F7C" w:rsidP="00D15173">
      <w:pPr>
        <w:spacing w:before="0" w:after="0"/>
      </w:pPr>
      <w:r w:rsidR="009F18D9">
        <w:fldChar w:fldCharType="end"/>
      </w:r>
    </w:p>
    <w:p w:rsidR="00321B6A" w:rsidRPr="00A57660" w:rsidP="00D15173">
      <w:pPr>
        <w:pStyle w:val="Heading2"/>
        <w:numPr>
          <w:ilvl w:val="0"/>
          <w:numId w:val="0"/>
        </w:numPr>
        <w:spacing w:before="0" w:after="0"/>
        <w:jc w:val="center"/>
        <w:rPr>
          <w:sz w:val="8"/>
          <w:szCs w:val="8"/>
        </w:rPr>
      </w:pPr>
      <w:r>
        <w:br w:type="page"/>
      </w:r>
    </w:p>
    <w:p w:rsidR="00321B6A" w:rsidP="00D15173">
      <w:pPr>
        <w:pStyle w:val="Heading1"/>
        <w:numPr>
          <w:ilvl w:val="0"/>
          <w:numId w:val="0"/>
        </w:numPr>
        <w:spacing w:before="0" w:after="0"/>
      </w:pPr>
      <w:bookmarkStart w:id="2" w:name="_Toc256000002"/>
      <w:r>
        <w:rPr>
          <w:noProof/>
        </w:rPr>
        <w:t>I. PROJEKTI IN RAČUNOVODSKI PODATKI</w:t>
      </w:r>
      <w:bookmarkEnd w:id="2"/>
    </w:p>
    <w:p w:rsidR="00321B6A" w:rsidRPr="0060563A" w:rsidP="00D15173">
      <w:pPr>
        <w:pStyle w:val="Text1"/>
        <w:spacing w:before="0" w:after="0"/>
        <w:ind w:left="0"/>
      </w:pPr>
    </w:p>
    <w:p w:rsidR="00321B6A" w:rsidRPr="00DD2D69" w:rsidP="00D15173">
      <w:pPr>
        <w:pStyle w:val="Heading2"/>
        <w:numPr>
          <w:ilvl w:val="0"/>
          <w:numId w:val="0"/>
        </w:numPr>
        <w:spacing w:before="0" w:after="0"/>
        <w:ind w:left="850" w:hanging="850"/>
      </w:pPr>
      <w:bookmarkStart w:id="3" w:name="_Toc256000003"/>
      <w:r w:rsidRPr="00DD2D69">
        <w:rPr>
          <w:noProof/>
        </w:rPr>
        <w:t>A. Projekti</w:t>
      </w:r>
      <w:bookmarkEnd w:id="3"/>
    </w:p>
    <w:p w:rsidR="00321B6A" w:rsidP="00D15173">
      <w:pPr>
        <w:spacing w:before="0" w:after="0"/>
        <w:jc w:val="left"/>
        <w:rPr>
          <w:b/>
          <w:sz w:val="22"/>
        </w:rPr>
      </w:pPr>
    </w:p>
    <w:p w:rsidR="00321B6A" w:rsidRPr="00DD2D69" w:rsidP="00D15173">
      <w:pPr>
        <w:pStyle w:val="Heading3"/>
        <w:numPr>
          <w:ilvl w:val="0"/>
          <w:numId w:val="0"/>
        </w:numPr>
        <w:spacing w:before="0" w:after="0"/>
      </w:pPr>
      <w:bookmarkStart w:id="4" w:name="_Toc256000004"/>
      <w:r w:rsidRPr="00DD2D69">
        <w:rPr>
          <w:noProof/>
        </w:rPr>
        <w:t>A1. Projekti, povezani z nacionalnim ciljem ali posebnim ukrepom</w:t>
      </w:r>
      <w:bookmarkEnd w:id="4"/>
    </w:p>
    <w:p w:rsidR="00321B6A" w:rsidP="00D15173">
      <w:pPr>
        <w:spacing w:before="0" w:after="0"/>
        <w:jc w:val="left"/>
        <w:rPr>
          <w:b/>
          <w:sz w:val="22"/>
        </w:rPr>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5"/>
        <w:gridCol w:w="1907"/>
        <w:gridCol w:w="3117"/>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Tujcem so bili v času nastanitve v Centru za tujce zagotovljeni ustrezni standardi glede bivalnih pogojev, prehrane, varnosti, psihosocialne in zdravstvene oskrbe. Nastanitvena kapaciteta centra je bila 180 ležišč, objekt je razdeljen na štiri oddelke, in sicer dva moška oddelka, en oddelek za mladoletnike in en oddelek za ranljive kategorije. Tujcem so bile v centru zagotovljene tudi prostočasne aktivnosti, rekreacija in šolanje za mladoletnike oziroma šoloobvezne otroke, ki so se izvajale v lokalni osnovni šoli. V okviru tega projekta so se krili stroški oskrbe tujcev, ki so zajemali prehrano, ogrevanje, komunalne storitve, čiščenje, vzdrževanje objekta in inventarja in ostale stroške, ki se tičejo vsakodnevnega bivanja in oskrbe tujcev v centru.</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426.310,31</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410-105/2015/48</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Boljši (upravni) postopki za sprejem</w:t>
            </w:r>
          </w:p>
          <w:p w:rsidR="00DB5A94" w:rsidP="00D15173">
            <w:pPr>
              <w:pStyle w:val="Text1"/>
              <w:spacing w:before="0" w:after="0"/>
              <w:ind w:left="0"/>
              <w:jc w:val="left"/>
              <w:rPr>
                <w:sz w:val="18"/>
                <w:szCs w:val="18"/>
              </w:rPr>
            </w:pPr>
            <w:r>
              <w:rPr>
                <w:noProof/>
                <w:sz w:val="18"/>
                <w:szCs w:val="18"/>
              </w:rPr>
              <w:t>Ranljive osebe/mladoletniki brez spremstva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sledil Direktivi o vračanju 2008/115/ES in Zakonu o tujcih, ki določata, da se s tujcem v postopku vračanja ustno kot tudi pisno komunicira v jeziku, ki ga le-ta razume. V ta namen je Policija uporabljala izbrane tolmače in prevajalce v skladu s postopki javnega naročanja. V projekt so bili vključeni stroški prevajanja v vseh postopkih povezanih z vračanjem državljanov tretjih držav, kot so npr. jezikovne analize, psihološke, sociološke in zdravniške priprave tujcev na vrnitev. Ocenjujemo, da je bil projet vsebinsko pravilno zastavljen, s finanče perspektive pa je prišlo do hitrješega črpanja predvidenih sredstev zaradi obsežnejših postopkov v času migrantskega vala. Projekt je bil načrtovan s trajanjem do 31. 12. 2017, vendar so se sredstva porabila do 31. 3. 2016. V času trajanja projekta je bilo opravljenih 241 storitev na področju prevajanja in tolmačenja.</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31</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18.750,00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410-105/2015/54</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Boljši (upravni) postopki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1113"/>
        <w:gridCol w:w="1113"/>
        <w:gridCol w:w="3011"/>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SI/2017/PR/0001</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A.SO1.1.1-01-Informiranje in pravno svetovanje tujcem na področju mednarodne zaščite</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Program projekta je bil sestavljen iz naslednjih aktivnosti in vsebin, ki so se izvajale skozi celotno obdobje izvajanja projekta: Pravno informiranje; Pravno svetovanje in zagotavljanje pravne pomoči PMZ v konkretnih primerih; Poročanje o poteku izvajanja projekta in evalvacija projekta. Informiranje prosilcev za mednarodno zaščito (PMZ) se je izvajalo pred vsako podajo prošnje za mednarodno zaščito oziroma kadar je PMZ izrazil željo po dodatnem informiranju tudi po podaji prošnje ali tekom postopka priznanja mednarodne zaščite. Informiranje je potekalo individualno ali v skupini, kadar so na isti dan imelo podajo vloge več oseb, ki so govorile isti materni jezik. Informiranje se je izvajalo v prostorih Azilnega doma, Centra za tujce v Postojni in na drugih lokacijah, kjer so bili nastanjeni PMZ oz. kot je določil pristojni organ ministrstva.</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34</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167.458,95</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430-1779/2014</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210"/>
        <w:gridCol w:w="1210"/>
        <w:gridCol w:w="279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SI/2017/PR/0006</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A.SO1.1.1-08-Materialna oskrba prosilcev za azil (žepnine, vzdrževalna dela ...)</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Prosilci nastanjeni v azilnem domu so dobivali mesečno žepnino ter plačilo za dela, ki so jih kot prosilci lahko izvajali v Azilnem domu. Prosilci, ki so bili nastanjeni v azilnem domu in niso imeli lastnih sredstev za preživljanje, so bili upravičeni do žepnine. Ta se je izplačevala po enomesečnem bivanju v azilnem domu, in sicer enkrat mesečno za pretekli mesec. Prosilci so bili do žepnine upravičeni do pravnomočno končanega postopka za priznanje mednarodne zaščite. Žepnina je bila namenjena dnevnim izdatkom kot so avtobusne karte, osebne potrebe prosilca (cigarete, kozmetika..). Prav tako so prosilci za mednarodno zaščito na podlagi napotnic opravljali vzdrževalna dela, ki so jih določili zaposleni v Azilnem domu (čiščenje, sortiranje perila, urejanje okolice ...).</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141.651,28</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410-105/2015/266</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210"/>
        <w:gridCol w:w="1210"/>
        <w:gridCol w:w="279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SI/2017/PR/0007</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A.SO1.1.2-01-Usposabljanje JU, zakonitih zastopnikov in drugih v azilni problematiki</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z izvedenim usposabljanjem v 2015 zboljšalo delo 21 oseb na področju vprašanj, povezanih z azilom, ki so se pri svojem delu srečevali s tovrstnimi strankami.</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11.538,21</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410-105/2015/279</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gridCol w:w="1217"/>
        <w:gridCol w:w="1217"/>
        <w:gridCol w:w="328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SI/2017/PR/0010</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A.SO1.1.8-01-Obeležitev svetovnega dneva beguncev</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Med nami in z nami je širom Slovenije ozaveščal o aktualni migracijski krizi v Evropi in Sloveniji in odprl vprašanje begunstva s perspektive za in proti. Soočil se je z miti in stereotipi nasploh med slovensko javnostjo, in preko predlaganih aktivnosti projekta širil strpnost, pomen vključevanja v družbo in strpnosti do beguncev in prosilcev za mednarodno zaščito. Hkrati je projekt opolnomočil begunce in prosilce, saj so bili aktivni sodelavci projekta in so lahko pokazali svoje zadržke in pohvale, svoje talente in željo do spoštovanja. Izdelana so bila številna informativna gradiva in izvedeni informativni dogodki (8 plakatov, 18 informativnih sporočil za javnost, 26 okroglih miz, 5 javni dogodkov, oblikovana spletna stran projekta ...).</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59.941,93</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430-1272/2015</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6"/>
        <w:gridCol w:w="2468"/>
        <w:gridCol w:w="2773"/>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A.SO2.2.1-01B-Tečaji slovenskega jezika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jezika in spoznavanja slovenske družbe je Ministrstvo za notranje zadeve zagotavljalo osnovno znanje jezika in poznavanje družbe gostiteljice, kar je nujno potrebno za uspešno vključevanje državljanov tretjih držav v slovensko družbo. </w:t>
            </w:r>
          </w:p>
          <w:p w:rsidR="00323F0D" w:rsidRPr="00FC1565" w:rsidP="00D15173">
            <w:pPr>
              <w:spacing w:before="0" w:after="0"/>
              <w:jc w:val="left"/>
              <w:rPr>
                <w:color w:val="000000"/>
                <w:kern w:val="24"/>
                <w:sz w:val="18"/>
                <w:szCs w:val="18"/>
              </w:rPr>
            </w:pPr>
            <w:r w:rsidRPr="00FC1565">
              <w:rPr>
                <w:noProof/>
                <w:color w:val="000000"/>
                <w:kern w:val="24"/>
                <w:sz w:val="18"/>
                <w:szCs w:val="18"/>
              </w:rPr>
              <w:t>Program učenja jezika in spoznavanja slovenske družbe (Začetna integracija priseljencev), ki so ga izvajale izbrane jezikovne šole, je potekal v skupinah od 10 do 15 udeležencev. Udeleženci so bili razvrščeni v skupine glede na predznanje, ki so ga pokazali na razvrstitvenih testih. Vsebino in trajanje programov, vsebino razvrstitvenega testa, vsebino preizkusa znanja ter potrdila o doseženem uspehu preizkusa znanja je s pravilnikom predpisal minister, pristojen za šolstvo. V treh letih poročanja 2018-2020 se je tečaja ZIP udeležilo skupaj 3.278 državljanov tretjih držav</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1.396.747,24</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FE0638" w:rsidP="00D15173">
            <w:pPr>
              <w:pStyle w:val="Text1"/>
              <w:spacing w:before="0" w:after="0"/>
              <w:ind w:left="0"/>
              <w:jc w:val="left"/>
              <w:rPr>
                <w:sz w:val="18"/>
                <w:szCs w:val="18"/>
              </w:rPr>
            </w:pPr>
            <w:r w:rsidR="001614F1">
              <w:rPr>
                <w:noProof/>
                <w:sz w:val="18"/>
                <w:szCs w:val="18"/>
              </w:rPr>
              <w:t>Jezikovno usposabljanje za državljane tretjih držav</w:t>
            </w:r>
          </w:p>
          <w:p w:rsidR="00867B9C" w:rsidP="00D15173">
            <w:pPr>
              <w:pStyle w:val="Text1"/>
              <w:spacing w:before="0" w:after="0"/>
              <w:ind w:left="0"/>
              <w:jc w:val="left"/>
              <w:rPr>
                <w:sz w:val="18"/>
                <w:szCs w:val="18"/>
              </w:rPr>
            </w:pPr>
            <w:r w:rsidR="00670537">
              <w:rPr>
                <w:noProof/>
                <w:sz w:val="18"/>
                <w:szCs w:val="18"/>
              </w:rPr>
              <w:t>Državljanska vzgoja in drugo usposabljanje za državljane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2042"/>
        <w:gridCol w:w="3029"/>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A.SO2.2.3-07A-Pomoč osebam z mednarodno zaščito</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osebam z mednarodno zaščito zagotavljal denarno nadomestilo za zasebno nastanitev, torej izven kapacitet urada, ter jim ob pomoči svetovalca za integracijo, zaposlenega iz naslova projekta, olajšal vključevanje v slovensko družbo na različnih področjih. Svetovalec jim je pripravil osebni integracijski načrt ter jim nudil podporo pri njegovem uresničevanju. Poleg tega so se iz projekta financirali stroški za izobraževanje, kot so na primer nakup šolskih potrebščin, zvezkov in knjig, prevozov do inštitucij, ter plačilo stroškov, povezanih z dodatnim poklicnim in drugim usposabljanjem. UOIM je v okviru projekta zagotavljal tudi prevode šolskih spričeval, potrebne za priznanje formalne izobrazbe ter informiranje v različnih življenjskih situacijah v jeziku, ki so ga prosilci razumeli. V projektu je pomoč prejelo 567 oseb iz ciljnih skupin.</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1.722.451,59</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410-4/2018/48</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867B9C" w:rsidP="00D15173">
            <w:pPr>
              <w:pStyle w:val="Text1"/>
              <w:spacing w:before="0" w:after="0"/>
              <w:ind w:left="0"/>
              <w:jc w:val="left"/>
              <w:rPr>
                <w:sz w:val="18"/>
                <w:szCs w:val="18"/>
              </w:rPr>
            </w:pPr>
            <w:r w:rsidR="001614F1">
              <w:rPr>
                <w:noProof/>
                <w:sz w:val="18"/>
                <w:szCs w:val="18"/>
              </w:rPr>
              <w:t>Osnovne potrebe državljanov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6"/>
        <w:gridCol w:w="2656"/>
        <w:gridCol w:w="2546"/>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A.SO3.1.2-01A-Spremljanje prisilnega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izvajalo spremljanje odstranitev državljanov tretjih držav, ki jih je izvajal Center za tujce v okviru Policije. Spremljanje se je izvajalo v vseh treh fazah odstranitve, in sicer: v fazi priprave, vračanja in predaje osebe varnostnim organom države izvora. Predmet projekta so bile vse aktivnosti, postopki in ukrepi Policije s tistimi tujci, ki so odklonili prostovoljno vrnitev v času nastanitve v Centru za tujce. S tem projektom je bil povsem implementiran 6. odst. 8. čl. Direktive o vračanju, ki govori o spremljanju prisilnega vračanja. Projekt je zajemal monitoring vseh prisilnih vrnitev s strani neodvisnega organa z namenom nepristranskega nadzora glede zakonitosti, strokovnosti in humanosti postopkov s tujci, ki so podvrženi prisilni odstranitvi iz države. Izvajalci spremljanja prisilnega vračanja so se udeležili tudi usposabljanj v RS in tujini.</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34.297,05</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430-1431/2014</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Postopki odstranitve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210"/>
        <w:gridCol w:w="1210"/>
        <w:gridCol w:w="279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SI/2020/PR/0001</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A.SO1.1.1-02B-Brezplačna pravna pomoč pred Upravnim sodiščem RS in Vrhovnim sodiščem RS</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omogočil pravno pomoč prosilcem za mednarodno zaščito na prvi in drugi stopnji. Pravna pomoč pomeni eno izmed postopkovnih jamstev, ki jih ima prosilec za mednarodno zaščito v postopku. Vsebina je bila prijavljena na podlagi dosedanjih pozitivnih izkušenj in števila sodelujočih prosilcev za mednarodno zaščito. Projekt so izvajali svetovalci za begunce, ki jih je imenovalo ministrstvo pristojno za pravosodje, in sicer na podlagi predhodnega usposabljanja in preverjanja znanja s področja mednarodne zaščite. Predvideni rezultati so bili doseženi, saj je bilo v času projekta 10.244 prosilcem za mednarodno zaščito omogočena brezplačna pravna pomoč. Oo tega v 2018 556 prošenj, 2019 670 in 2020 550 prošenj za mednarosno zaščito mladoletnikov brez spremstva.</w:t>
            </w:r>
          </w:p>
          <w:p w:rsidR="00323F0D" w:rsidRPr="00FC1565" w:rsidP="00D15173">
            <w:pPr>
              <w:spacing w:before="0" w:after="0"/>
              <w:jc w:val="left"/>
              <w:rPr>
                <w:color w:val="000000"/>
                <w:kern w:val="24"/>
                <w:sz w:val="18"/>
                <w:szCs w:val="18"/>
              </w:rPr>
            </w:pP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152.584,69</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410-4/2018/102</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210"/>
        <w:gridCol w:w="1210"/>
        <w:gridCol w:w="279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SI/2020/PR/0002</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A.SO1.1.1-04B-Predaje po dublinski uredbi</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namenjen učinkovitemu izvajanju Uredbe (EU) št. 604/2013 o vzpostavitvi meril in mehanizmov za določitev države članice, odgovorne za obravnavanje prošnje za mednarodno zaščito, ki jo je v eni od držav članic vložil državljan tretje države ali oseba brez državljanstva. Temeljno načelo Dublinske uredbe je, da je država članica, ki je imela največjo vlogo pri vstopu prosilca v ali njegovem bivanju v njej, odgovorna tudi za obravnavanje njegove prošnje. V okviru projekta so se tako financirali stroški dublinskih predaj, in sicer nakup letalskih kart in stroški spremljanja uradne osebe državljanov tretjih držav v državo EU, ki je bila odgovorna za obravnavano prošnjo.</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51.791,27</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410-4/2018/25</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Zmogljivost za preselitev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1399"/>
        <w:gridCol w:w="1399"/>
        <w:gridCol w:w="3075"/>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SI/2020/PR/0003</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A.SO1.1.1-12A-Pomoč pri nastanitvi in oskrbi prosilcev ob sprejemu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deloval kot celostna podpora pri nastanitvi in oskrbi prosilcev za mednarodno zaščito, ki so bili nastanjeni v Azilnem domu, kar je vključevalo pomoč pri uveljavljanju njihovih pravic, operativno pomoč in socialno integracijo ter zagotavljanje kvalitetnega preživljanja prostega časa. Projekt je bil razdeljen na dva vsebinska sklopa: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Namen vsebinskega sklopa 1 je bilo nuditi psihosocialno podporo prosilcem in prosilce ob njihovi nastanitvi v azilnem domu ustrezno informirati  o pravilih in načinu bivanja (nastanitev, spoštovanje hišnega reda, oblačila, prehrana, higiena idr.), da se jim je olajšalo skupno bivanje in preprečile morebitne težave. </w:t>
            </w:r>
          </w:p>
          <w:p w:rsidR="00323F0D" w:rsidRPr="00FC1565" w:rsidP="00D15173">
            <w:pPr>
              <w:spacing w:before="0" w:after="0"/>
              <w:jc w:val="left"/>
              <w:rPr>
                <w:color w:val="000000"/>
                <w:kern w:val="24"/>
                <w:sz w:val="18"/>
                <w:szCs w:val="18"/>
              </w:rPr>
            </w:pPr>
            <w:r w:rsidRPr="00FC1565">
              <w:rPr>
                <w:noProof/>
                <w:color w:val="000000"/>
                <w:kern w:val="24"/>
                <w:sz w:val="18"/>
                <w:szCs w:val="18"/>
              </w:rPr>
              <w:t>Namen vsebinskega sklopa 2 je bil nastanjenim prosilcem zagotoviti dodatne aktivnosti v obliki 7 delavnic, katerih cilj je bilo kvalitetnejše preživljanje prostega časa.</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180.879,13</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Človekoljubno dobrodelno društvo UP</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UP</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430-676/2017</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021"/>
        <w:gridCol w:w="1021"/>
        <w:gridCol w:w="3029"/>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SI/2020/PR/0004</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A.SO1.1.1-13A-Zdravstveni pregledi in materialna oskrba prosilcev</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skladu z Uredbo o načinih in pogojih za zagotavljanje pravic prosilcem za mednarodno zaščito, je vsakega tujca, ki izrazi namero podati prošnjo za mednarodno zaščito v Republiki Sloveniji pred sprejemom v Azilni dom treba preventivno sanitarno in zdravstveno pregledati. Preglede je izvajalo usposobljeno zdravstveno osebje, med njimi tudi zdravnik, ki je bil zaposlen pri končnemu upravičencu iz naslova projekta. V določenih primerih je moral biti pri pregledu navzoč tudi prevajalec. Prosilci, ki so bili po sprejemu prošnje nastanjeni v Azilnem domu, so bili upravičeni do mesečne žepnine ter plačila za opravljena vzdrževalna dela v Azilnem domu. Pri nastanitvi in psihosocialni oskrbi so jim pomagali socialni delavci, nekateri izmed njih zaposleni iz naslova projekta.</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493.415,61</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410-4/2018/54</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021"/>
        <w:gridCol w:w="1021"/>
        <w:gridCol w:w="3029"/>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SI/2020/PR/0005</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A.SO1.1.6-03A-Podpora prosilcem</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pomočjo projekta je bila prosilcem za mednarodno zaščito zagotovljena psihiatrična podpora s psihoterapijo. Za obravnavo primerov, ki niso bili nujni, je podporo nudil psihoterapevt, ki je bil zaposlen iz naslova projekta, in je hkrati sodeloval s socialnimi delavci v azilnem domu. Za ustrezno izvedbo psihiatrične oziroma psihoterapevtske obravnave so, kadar je bilo potrebno, osebam bili na voljo tolmači. S pomočjo projekta je bilo strokovno osebje azilnega doma - zlasti socialni delavci, ki so bili v dnevnem stiku s prosilci za mednarodno zaščito - deležno izobraževanj, kako ustrezno ravnati in pomagati ranljivim osebam in osebam z mednarodno zaščito ter hitreje prepoznati morebitne okoliščine, ki terjajo nujno psihiatrično obravnavo prosilcev za mednarodno zaščito.</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136.643,95</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410-4/2018/51</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1210"/>
        <w:gridCol w:w="1210"/>
        <w:gridCol w:w="279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SI/2020/PR/0006</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A.SO1.1.6-04A-Podpora v postopku priznanja MZ (izvedeniška mnenja)</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vključeval plačilo izvedeniških mnenj ter nagrad za zakonite zastopnike mladoletnih prosilcev brez spremstva. V začetku leta 2019 sta bila na pregled za ugotavljanje starosti poslana dva mladoletna prosilca.</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100.933,75</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410-4/2018/75</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021"/>
        <w:gridCol w:w="1021"/>
        <w:gridCol w:w="3029"/>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SI/2020/PR/0007</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A.SO1.1.7-02A-Finančna pomoč za nastanitev prosilcev na zasebnem naslovu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RS za oskrbo in nastanitev migrantov je skladno z 78. in 83.  členom Zakona o mednarodni zaščiti prosilcem, ki so izpolnjevali pogoje za nastanitev na zasebnem naslovu in niso imeli lastnih sredstev za preživljanje, izplačeval finančno pomoč za nastanitev na zasebnem naslovu. Pogoje za upravičenost opredeljuje Uredba o načinih in pogojih za zagotavljanje pravic prosilcem za mednarodno zaščito v 11. in 12. členu. FInančna pomoč je bila izplačana 75 osebam iz ciljnih skupin.</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157.054,86</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410-4/2018/52</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8"/>
        <w:gridCol w:w="2420"/>
        <w:gridCol w:w="2790"/>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SI/2020/PR/0009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cilj1 - Zakonito priseljevanje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A.SO2.1.1-01B-Zagotavljanje info o življenju in delu v RS za državljane tretjih držav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Programi informiranja državljanov tretjih držav so bistvenega pomena pri zagotavljanju uspešnih pogojev za boljše in učinkovitejše vključevanje državljanov tretjih držav v slovensko družbo. Uredba o integraciji tujcev določa, da ministrstvo informacije v  elektronski obliki posreduje državnim organom, ki odločajo v postopkih pridobivanja dovoljenja za prebivanje, drugim državnim organom in nevladnim organizacijam ter organizira njihovo dostopnost tujcem. Z vzpostavitvijo učinkovitega sistema informiranja smo zagotovili čim boljše pogoje za vključevanje državljanov tretjih držav v slovensko družbo. Vzdrževanje in ažuriranje spletne strani je potekalo redno, večina obiskovalcev strani je iskala podatke o dovoljenju za začasno prebivanje, njegovi izdaji in namenih ter pridobitvi slovenskega državljanstva. V času trajanja projekta je bila spletna stran obiskana 360.731-krat.</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19.248,25</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410-4/2018/76</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867B9C" w:rsidP="00D15173">
            <w:pPr>
              <w:pStyle w:val="Text1"/>
              <w:spacing w:before="0" w:after="0"/>
              <w:ind w:left="0"/>
              <w:jc w:val="left"/>
              <w:rPr>
                <w:sz w:val="18"/>
                <w:szCs w:val="18"/>
              </w:rPr>
            </w:pPr>
            <w:r w:rsidR="001614F1">
              <w:rPr>
                <w:noProof/>
                <w:sz w:val="18"/>
                <w:szCs w:val="18"/>
              </w:rPr>
              <w:t>Informiranje in usmerjanje državljanov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5"/>
        <w:gridCol w:w="1907"/>
        <w:gridCol w:w="3117"/>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A.SO3.2.3-01A-Vračanje tujcev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so se izvajale vrnitve državljanov tretjih držav, katerim so bile izdane odločbe o vrnitvi in so bili nastanjeni v Centru za tujce (CT). Možnost prostovoljnega vračanja se je spodbujala vzporedno, in sicer preko projekta, ki ga je izvajala izbrana nevladna organizacija, ali samostojne vrnitve, tj. brez spremstva in uporabe prisilnih ukrepov. Interes CT je, da tujec prostovoljno zapusti območje države. Projekt je podpiral vse ukrepe in postopke policije potrebne za izvedbo vrnitev, kot so stroški za prevoz in spremstvo, sekundarni transport po izdelanem kriteriju, stroški zdravstvene, jezikovne in druge pomoči, stroški prtljage in prevoz drugih stvari v zvezi z vrnjeno osebo, stroški sodelovanja z DKP-ji držav sprejemnic, stroške dokumentov, itd. Izvedlo se je 250 vrnitev brez spremstva in 11 s spremstvom. Ponovna pomoč za vključevanje se je nudila 95 povratnikom.</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76.597,25</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410-105/2015/85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Postopki odstranitve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388"/>
        <w:gridCol w:w="1388"/>
        <w:gridCol w:w="3632"/>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SI/2020/PR/0016</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A.SO1.1.1-11A - Prevajanje in tolmačenje</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omogočal prosilcem za mednarodno zaščito (MZ) spremljanje in sodelovanje v postopku (sprejem prošnje, osebni razgovor, prevod odločbe, vabila, socialno delo ...) v jeziku, ki so ga razumeli t.j. s pomočjo tolmača. Spremljanje postopka v jeziku, ki ga razume, je ena izmed osnovnih pravic prosilcev za MZ. Od razumevanja osnovnih pravic in dolžnosti ter opravljanje intervjujev je odvisna končna odločitev o statusu. Prosilci so potrebovali pomoč tolmača tudi v razgovorih s socialnimi delavci, kar je omogočalo kvalitetnejše bivanje, saj so lahko v svojem jeziku spregovorili o svojih težavah. S pomočjo tolmača so se uspešno reševale tudi težave, ki so nastale kot posledica nerazumevanja jezika. Projekt je vključeval tudi izvedbo strokovnih analiz za ugotavljanje jezikovnega izvora prosilcev, in sicer ob sumu uradne osebe, da prosilec ni prihajal iz države iz katere je trdi, da je.</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555.667,26</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410-4/2018/74</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9"/>
        <w:gridCol w:w="1277"/>
        <w:gridCol w:w="1277"/>
        <w:gridCol w:w="2245"/>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SI/2020/PR/0018</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A.SO1.1.1-14B - Opismenjevanje in učna pomoč za prosilce</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projektom se je prosilcem za mednarodno zaščito in njihovim otrokom vključenim v redno izobraževanje nastanjenim v azilnem domu Ljubljana in njenih izpostavah zagotavljalo:</w:t>
            </w:r>
          </w:p>
          <w:p w:rsidR="00323F0D" w:rsidRPr="00FC1565" w:rsidP="00D15173">
            <w:pPr>
              <w:spacing w:before="0" w:after="0"/>
              <w:jc w:val="left"/>
              <w:rPr>
                <w:color w:val="000000"/>
                <w:kern w:val="24"/>
                <w:sz w:val="18"/>
                <w:szCs w:val="18"/>
              </w:rPr>
            </w:pPr>
            <w:r w:rsidRPr="00FC1565">
              <w:rPr>
                <w:noProof/>
                <w:color w:val="000000"/>
                <w:kern w:val="24"/>
                <w:sz w:val="18"/>
                <w:szCs w:val="18"/>
              </w:rPr>
              <w:t>- opismenjevanje oseb, ki so bile nepismene, slabo opismenjene ali nepismene v latinici,</w:t>
            </w:r>
          </w:p>
          <w:p w:rsidR="00323F0D" w:rsidRPr="00FC1565" w:rsidP="00D15173">
            <w:pPr>
              <w:spacing w:before="0" w:after="0"/>
              <w:jc w:val="left"/>
              <w:rPr>
                <w:color w:val="000000"/>
                <w:kern w:val="24"/>
                <w:sz w:val="18"/>
                <w:szCs w:val="18"/>
              </w:rPr>
            </w:pPr>
            <w:r w:rsidRPr="00FC1565">
              <w:rPr>
                <w:noProof/>
                <w:color w:val="000000"/>
                <w:kern w:val="24"/>
                <w:sz w:val="18"/>
                <w:szCs w:val="18"/>
              </w:rPr>
              <w:t>- osnovno konverzacijo z namenom doseganja funkcionalnega razumevanja slovenskega jezika,</w:t>
            </w:r>
          </w:p>
          <w:p w:rsidR="00323F0D" w:rsidRPr="00FC1565" w:rsidP="00D15173">
            <w:pPr>
              <w:spacing w:before="0" w:after="0"/>
              <w:jc w:val="left"/>
              <w:rPr>
                <w:color w:val="000000"/>
                <w:kern w:val="24"/>
                <w:sz w:val="18"/>
                <w:szCs w:val="18"/>
              </w:rPr>
            </w:pPr>
            <w:r w:rsidRPr="00FC1565">
              <w:rPr>
                <w:noProof/>
                <w:color w:val="000000"/>
                <w:kern w:val="24"/>
                <w:sz w:val="18"/>
                <w:szCs w:val="18"/>
              </w:rPr>
              <w:t>- nudenje učne pomoči osebam vključenim v redno šolanje, zlasti tistim, ki so bili vključeni v osnovnošolsko izobraževanje. Storitev se je izvajala vse delovne dni v tednu, 2 pedagoški uri na dan, predvidoma na način, da je bila 1 pedagoška ura na dan namenjena učni pomoči, 1 ura na dan pa ostalim osebam, ki so bile vključene v sistem izobraževanja in drugim zainteresiranim posameznikom, ki so se želeli opismeniti ali nadgraditi svoje znanje slovenskega jezika. V projektu je sodelovalo 72 oseb iz ciljnih skupin.</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52.463,45</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Javni zavod Cene Štupar - Center za izobraževanje Ljubljana in Zavod znanje Postojna</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JZ Cene Štupar + ZZP</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430-49/2020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gridCol w:w="1217"/>
        <w:gridCol w:w="1217"/>
        <w:gridCol w:w="328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SI/2020/PR/0019</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A.SO1.1.6-01A - Preprečevanje trgovine z ljudmi, spolnega nasilja ali nasilja po spolu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sklopu razgovorov je moral izvajalec (ob pomoči tolmača, če je bilo to potrebno) potencialni žrtvi razložiti namen projekta, oblike in prepoznavanje trgovine z ljudmi, nevarnosti in možne posledice za žrtve ter jo seznanil o možnih oblikah pomoči in zaščite v Republiki Sloveniji. V času trajanja pogodbe se je izvedlo 194 informiranj, prepoznalo 5 žrtev in se v vseh primerih, ko smo prepoznali žrtev TZL oziroma spolnega nasilja in nasilja po spolu, izvedlo predvidene ukrepe za zaščito žrtev. V času 24 ur po opravljenem informativnem razgovoru je oseba, ki je izvedla informativni razgovor, pripravila poročilo. Poročilo se je naročniku posredovalo v roku 24 ur. Splošni cilj projekta je bilo olajšati identifikacijo ranljivih skupin, ki so potrebovale posebno obravnavo.</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22</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14.984,52</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430-157/2015</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Posebne potrebe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gridCol w:w="1217"/>
        <w:gridCol w:w="1217"/>
        <w:gridCol w:w="328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SI/2020/PR/0020</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A.SO1.1.6-01B - Preprečevanje trgovine z ljudmi, spolnega nasilja ali nasilja po spolu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projektu se je izvajalo 6 različnih sklopov aktivnosti. Najpomembnejši so bili individualni razgovori, s katerimi se je informiralo prosilce o trgovini z ljudmi, jih poučilo o najprimernejših oblikah preventivnega delovanja in možnostih pomoči v Sloveniji. Med razgovori, ki so potekali v za uporabnika razumljivem jeziku (po potrebi ob pomoči tolmača), se je poskusilo oceniti, ali bil uporabnik morda žrtev TZL ali kakšne druge oblike nasilja. Po razgovoru so vsi dobili njihovim demografskim značilnostim prilagojeno zloženko z osnovnimi informacijami o TZL in navodili za iskanje pomoči. Opravljenih je bilo 675 razgovorov, od tega je bilo 36 identifikacij žrtev TZL in nasilja. Vse ostale aktivnosti so bile zasnovane tako, da so prispevale k čim uspešnejši realizaciji namena individualnih razgovorov.</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48.723,72</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430-2071/2016</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Posebne potrebe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9"/>
        <w:gridCol w:w="1597"/>
        <w:gridCol w:w="1597"/>
        <w:gridCol w:w="2814"/>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SI/2020/PR/0021</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A.SO1.1.8-02A - Obeležitev svetovnega dneva beguncev</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projektom so bili informirani in ozaveščani prebivalci Slovenije (strokovna in širša javnost) o položaju prosilcev za mednarodno zaščito in oseb z mednarodno zaščito, vzrokih migracij in pomenu dobrih praksah ter ovirah integracije, medkulturnega dialoga. Omogočil je vzajemno učenje in soustvarjanje medkulturnih javnih dogodkov ter preseganje nestrpnosti, izključevanja in sovražnosti. Projekt je omogočil aktivno vključitev prosilcev za mednarodno zaščito in oseb z mednarodno zaščito, saj so bili aktivni sodelavci in udeleženci vseh dogodkov.</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44.989,99</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 in Inštitut za afriške študije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 in IAŠ</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430-12/2019</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1"/>
        <w:gridCol w:w="2780"/>
        <w:gridCol w:w="3636"/>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cilj1 - Zakonito priseljevanje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A.SO2.1.1-01C - Zagotavljanje info o življenju in delu v RS za državljane tretjih držav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Programi informiranja državljanov tretjih držav so bistvenega pomena pri zagotavljanju uspešnih pogojev za boljše in učinkovitejše vključevanje v slovensko družbo. Uredba o integraciji tujcev določa, da ministrstvo informacije v elektronski obliki posreduje državnim organom, ki odločajo v postopkih pridobivanja dovoljenja za prebivanje, drugim državnim organom in nevladnim organizacijam ter organizira njihovo dostopnost tujcem. Z vzpostavitvijo učinkovitega sistema informiranja želimo zagotoviti čim boljše pogoje za vključevanje državljanov tretjih držav v slovensko družbo. Spletni strani www.infotujci.si ter www.infoforeigners.si vsebujeta pomembne podatke o vstopu in bivanju na področju RS, šolskem sistemu, zdravstvenem in socialnem varstvu, programih jezika ter organizacijah in društvih, ki izvajajo naše programe integracije in vrsto drugih koristnih informacij.</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3.750,00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410-5/2021/7</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FE0638" w:rsidP="00D15173">
            <w:pPr>
              <w:pStyle w:val="Text1"/>
              <w:spacing w:before="0" w:after="0"/>
              <w:ind w:left="0"/>
              <w:jc w:val="left"/>
              <w:rPr>
                <w:sz w:val="18"/>
                <w:szCs w:val="18"/>
              </w:rPr>
            </w:pPr>
            <w:r w:rsidR="001614F1">
              <w:rPr>
                <w:noProof/>
                <w:sz w:val="18"/>
                <w:szCs w:val="18"/>
              </w:rPr>
              <w:t>Kampanje in informacije</w:t>
            </w:r>
          </w:p>
          <w:p w:rsidR="00E4636F" w:rsidP="00D15173">
            <w:pPr>
              <w:pStyle w:val="Text1"/>
              <w:spacing w:before="0" w:after="0"/>
              <w:ind w:left="0"/>
              <w:jc w:val="left"/>
              <w:rPr>
                <w:sz w:val="18"/>
                <w:szCs w:val="18"/>
              </w:rPr>
            </w:pPr>
            <w:r w:rsidR="00670537">
              <w:rPr>
                <w:noProof/>
                <w:sz w:val="18"/>
                <w:szCs w:val="18"/>
              </w:rPr>
              <w:t>Informiranje in usmerjanje državljanov tretjih držav</w:t>
            </w:r>
          </w:p>
          <w:p w:rsidR="00867B9C" w:rsidP="00D15173">
            <w:pPr>
              <w:pStyle w:val="Text1"/>
              <w:spacing w:before="0" w:after="0"/>
              <w:ind w:left="0"/>
              <w:jc w:val="left"/>
              <w:rPr>
                <w:sz w:val="18"/>
                <w:szCs w:val="18"/>
              </w:rPr>
            </w:pPr>
            <w:r w:rsidR="00E4636F">
              <w:rPr>
                <w:noProof/>
                <w:sz w:val="18"/>
                <w:szCs w:val="18"/>
              </w:rPr>
              <w:t>Stiki državljanov tretjih držav z družbo gostiteljico</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2042"/>
        <w:gridCol w:w="3029"/>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A.SO2.2.1-03A - Tečaji in izpiti iz slovenskega jezika za OMZ</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programom učenja slovenskega jezika, ki je vključeval tudi spoznavanje slovenske družbe, je UOIM za osebe z mednarodno zaščito zagotavljal osnovno znanje jezika in poznavanje družbe gostiteljice, kar je bilo nujno za njihovo uspešno vključevanje v slovensko družbo. Udeleženci so bili razvrščeni v skupine glede na predznanje, ki so ga pokazali na razvrstitvenem testu. Vsebino in trajanje programov, vsebino razvrstitvenega testa, vsebino preizkusa znanja ter potrdila o doseženem uspehu preizkusa znanja s pravilnikom predpiše minister, pristojen za šolstvo. Osebe z mednarodno zaščito so bile za redno udeležbo na tečaju upravičene do mesečne vozovnice za mestni promet. Po zaključku opravljenega tečaja so bili udeleženci upravičeni do enkratnega opravljanja izpita, ki služi kot pogoj za pridobitev slovenskega državljanstva.</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297.943,03</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410-4/2018/44</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FE0638" w:rsidP="00D15173">
            <w:pPr>
              <w:pStyle w:val="Text1"/>
              <w:spacing w:before="0" w:after="0"/>
              <w:ind w:left="0"/>
              <w:jc w:val="left"/>
              <w:rPr>
                <w:sz w:val="18"/>
                <w:szCs w:val="18"/>
              </w:rPr>
            </w:pPr>
            <w:r w:rsidR="001614F1">
              <w:rPr>
                <w:noProof/>
                <w:sz w:val="18"/>
                <w:szCs w:val="18"/>
              </w:rPr>
              <w:t>Jezikovno usposabljanje za državljane tretjih držav</w:t>
            </w:r>
          </w:p>
          <w:p w:rsidR="00867B9C" w:rsidP="00D15173">
            <w:pPr>
              <w:pStyle w:val="Text1"/>
              <w:spacing w:before="0" w:after="0"/>
              <w:ind w:left="0"/>
              <w:jc w:val="left"/>
              <w:rPr>
                <w:sz w:val="18"/>
                <w:szCs w:val="18"/>
              </w:rPr>
            </w:pPr>
            <w:r w:rsidR="00670537">
              <w:rPr>
                <w:noProof/>
                <w:sz w:val="18"/>
                <w:szCs w:val="18"/>
              </w:rPr>
              <w:t>Državljanska vzgoja in drugo usposabljanje za državljane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2"/>
        <w:gridCol w:w="2548"/>
        <w:gridCol w:w="2598"/>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A.SO2.2.3-06B - Pomoč pri integraciji oseb z mednarodno zaščito</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Cilj projekta je zagotavljanje celostne pomoči osebam s priznanim statusom mednarodne zaščite. V okviru projekta se izvajajo različne med seboj povezane in dopolnjujoče se aktivnosti, ki so usmerjene v potrebe vključenih oseb z mednarodno zaščito. Sklopi dela: 1. Orientacijski program in pomoč pri urejanju življenjskih situacij (najdena ustrezna zasebna namestitev, urejeni dokumenti, prijava bivališča in prijava na ZRSZ, izbrani osebni in drugi zdravniki  ter uveljavljene pravice do denarne socialne pomoči in drugih socialnih transferjev čim večjega števila OMZ, vpis v vzgojno - izobraževalne ustanove) ter integracijske aktivnosti / skupinske aktivnosti, srečanja, delavnice, kulturne, športno-rekreativne, prostočasne in ustvarjalne aktivnosti. 2. integracijske aktivnosti in učna pomoč.</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269.916,83</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za razvoj in povezovanje družbenih ved in kultur Odnos</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430-23/2019</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FE0638" w:rsidP="00D15173">
            <w:pPr>
              <w:pStyle w:val="Text1"/>
              <w:spacing w:before="0" w:after="0"/>
              <w:ind w:left="0"/>
              <w:jc w:val="left"/>
              <w:rPr>
                <w:sz w:val="18"/>
                <w:szCs w:val="18"/>
              </w:rPr>
            </w:pPr>
            <w:r w:rsidR="001614F1">
              <w:rPr>
                <w:noProof/>
                <w:sz w:val="18"/>
                <w:szCs w:val="18"/>
              </w:rPr>
              <w:t>Osnovne potrebe državljanov tretjih držav</w:t>
            </w:r>
          </w:p>
          <w:p w:rsidR="00867B9C" w:rsidP="00D15173">
            <w:pPr>
              <w:pStyle w:val="Text1"/>
              <w:spacing w:before="0" w:after="0"/>
              <w:ind w:left="0"/>
              <w:jc w:val="left"/>
              <w:rPr>
                <w:sz w:val="18"/>
                <w:szCs w:val="18"/>
              </w:rPr>
            </w:pPr>
            <w:r w:rsidR="00670537">
              <w:rPr>
                <w:noProof/>
                <w:sz w:val="18"/>
                <w:szCs w:val="18"/>
              </w:rPr>
              <w:t>Stiki državljanov tretjih držav z družbo gostiteljico</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2042"/>
        <w:gridCol w:w="3029"/>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SI/2020/PR/0029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cilj3 - Zmogljivost</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A.SO2.3.3-03A-Zagotavljanje nastanitev OMZ v integracijskih hišah in drugih nast. kapac.</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projektom so se zagotavljale nastanitvene kapacitete za osebe z mednarodno zaščito skladno z Zakonom o mednarodni zaščiti. S projektom so bili financirani stroški najema in vzdrževanja integracijskih hiš, nakup ustrezne opreme, tekoči obratovalni stroški (elektrika, komunala, ogrevanje...). Šlo je za stroške obratovanja treh integracijskih hiš (Ljubljana, Maribor in Velenje) ter najema in obratovalne stroške 14 stanovanj, ki jih je za te potrebe namenila Vlada RS (11 stanovanj MJU, 3 stanovanja MNZ) ter štirih stanovanj Javnega stanovanjskega sklada MO Koper. V integracijskih hišah v Mariboru, Ljubljani in Velenju so se iz projekta krili tudi stroški dostopa do internetnega omrežja, v Ljubljani pa tudi kabelske televizije.</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98.952,36</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410-4/2018/53</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867B9C" w:rsidP="00D15173">
            <w:pPr>
              <w:pStyle w:val="Text1"/>
              <w:spacing w:before="0" w:after="0"/>
              <w:ind w:left="0"/>
              <w:jc w:val="left"/>
              <w:rPr>
                <w:sz w:val="18"/>
                <w:szCs w:val="18"/>
              </w:rPr>
            </w:pPr>
            <w:r w:rsidR="001614F1">
              <w:rPr>
                <w:noProof/>
                <w:sz w:val="18"/>
                <w:szCs w:val="18"/>
              </w:rPr>
              <w:t>Osnovne potrebe državljanov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2448"/>
        <w:gridCol w:w="2919"/>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SI/2020/PR/0031</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A.SO3.1.3-03B - Mednarodni prostor za zavrnjene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Postaja letališke policije Brnik je zadolžena za izvajanje mejne kontrole na zunanjih schengenskih mejah, kamor spada letališče Jožeta Pučnika, Ljubljana. Za potrebe izvedbe zavrnitve potnikov - državljanov tretjih držav, ki ne izpolnjujejo pogojev za vstop v schengensko območje, je potrebno le-te namestiti v posebni prostor - Mednarodni prostor za zavrnjene tujce, kjer se potnikom nudi nadzor, prenočišče in prehrana. V času trajanja projekta je bil zavrnjenih 663 tujcev.</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93.809,59</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410-4/2018/159</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5"/>
        <w:gridCol w:w="2332"/>
        <w:gridCol w:w="2962"/>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A.SO3.1.4-01B - Psihosocialna in zdravstvena oskrba tujcev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usmerjen v zagotavljanje medicinske, socialne in psihološke obravnave pridržanih oseb. Pet (5) socialnih delavcev v sklopu osebja Centra za tujce je s podporo Sklada zagotavljalo ustrezno pripravo oseb za vrnitev v domovino. Organizirane so bile dnevne dejavnosti za vse priprte državljane tretjih držav, s posebno osredotočenostjo na potrebe ranljivih oseb. V zvezi s tem so se izvajale tudi nekatere dodatne prostočasne dejavnosti. V Centru za tujce je bila za tujce zagotovljena tudi medicinska oskrba s strani pogodbenih zdravnikov in psihiatrov ter nujno zdravljenje z zdravili.</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91.417,33</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CT</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410-36/2017/92</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p w:rsidR="00DB5A94" w:rsidP="00D15173">
            <w:pPr>
              <w:pStyle w:val="Text1"/>
              <w:spacing w:before="0" w:after="0"/>
              <w:ind w:left="0"/>
              <w:jc w:val="left"/>
              <w:rPr>
                <w:sz w:val="18"/>
                <w:szCs w:val="18"/>
              </w:rPr>
            </w:pPr>
            <w:r>
              <w:rPr>
                <w:noProof/>
                <w:sz w:val="18"/>
                <w:szCs w:val="18"/>
              </w:rPr>
              <w:t>Ranljive osebe/mladoletniki brez spremstva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7"/>
        <w:gridCol w:w="2285"/>
        <w:gridCol w:w="2995"/>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A.SO3.2.1-01A - Prostovoljno vračanje tujcev in reintegracijski prog. v državi vrnitve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sta sestavljali dve komponenti: organizacija prostovoljnega vračanja in programi reintegracije v državo izvora. Organizacija prostovoljnega vračanja je zajemala: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pridobivanje potovalnih dokumentov;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nakup letalskih vozovnic;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potovanje in spremstvo ob odhodu;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sekundarni/lokalni transport;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sprejem na letališču;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organizacijo spremstva in zdravstvene asistence;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izdajo žepnin za upravičence. </w:t>
            </w:r>
          </w:p>
          <w:p w:rsidR="00323F0D" w:rsidRPr="00FC1565" w:rsidP="00D15173">
            <w:pPr>
              <w:spacing w:before="0" w:after="0"/>
              <w:jc w:val="left"/>
              <w:rPr>
                <w:color w:val="000000"/>
                <w:kern w:val="24"/>
                <w:sz w:val="18"/>
                <w:szCs w:val="18"/>
              </w:rPr>
            </w:pPr>
          </w:p>
          <w:p w:rsidR="00323F0D" w:rsidRPr="00FC1565" w:rsidP="00D15173">
            <w:pPr>
              <w:spacing w:before="0" w:after="0"/>
              <w:jc w:val="left"/>
              <w:rPr>
                <w:color w:val="000000"/>
                <w:kern w:val="24"/>
                <w:sz w:val="18"/>
                <w:szCs w:val="18"/>
              </w:rPr>
            </w:pPr>
            <w:r w:rsidRPr="00FC1565">
              <w:rPr>
                <w:noProof/>
                <w:color w:val="000000"/>
                <w:kern w:val="24"/>
                <w:sz w:val="18"/>
                <w:szCs w:val="18"/>
              </w:rPr>
              <w:t>Druga komponenta je bila reintegracijska podpora. V okviru predlaganega programa se je ponudilo izbranim upravičencem manjšo finančno podporo za izgradnjo poslovnega projekta, izobraževanje, zdravniške storitve in druge storitve v dogovoru z naročnikom.</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14</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74.995,71</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Mednarodna organizacija za migracije IOM-MOM</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IOM-MOM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Mednarodne javne organizacije</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430-340-2015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Pomoč pri prostovoljnem vračanju</w:t>
            </w:r>
          </w:p>
          <w:p w:rsidR="00DB5A94" w:rsidP="00D15173">
            <w:pPr>
              <w:pStyle w:val="Text1"/>
              <w:spacing w:before="0" w:after="0"/>
              <w:ind w:left="0"/>
              <w:jc w:val="left"/>
              <w:rPr>
                <w:sz w:val="18"/>
                <w:szCs w:val="18"/>
              </w:rPr>
            </w:pPr>
            <w:r>
              <w:rPr>
                <w:noProof/>
                <w:sz w:val="18"/>
                <w:szCs w:val="18"/>
              </w:rPr>
              <w:t>Pomoč za ponovno vključevanje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7"/>
        <w:gridCol w:w="2285"/>
        <w:gridCol w:w="2995"/>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A.SO3.2.1-01C - Prostovoljno vračanje tujcev in reintegracijski prog. v državi vrnitve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so sestavljale 3 komponente: priprava promocijskih (info.) sredstev; organizacija prostovoljnega vračanja ter programi reintegracije v državi izvora.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Znotraj 1. komponente so bili pripravljeni večjezični info. letaki in plakati ter izvedena individualna/skupinska informiranja potencialnih upravičencev.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Organizacija prostovoljenga vračanja v matično državo je zajemala: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asistenco pred odhodom, vključno s pridobivanjem potovalnih dokumentov, rezervacijo in nakup letalskih vozovnic,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celovito organizacijo potovanja,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spremstvo ob odhodu,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nudenje tranzitne asistence,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ureditev sekundarnega/lokalnega transporta,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sprejem na letališču v državi vrnitve,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organizacijo zdravniškega in/ali operativnega spremstva,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 izdajo žepnin. </w:t>
            </w:r>
          </w:p>
          <w:p w:rsidR="00323F0D" w:rsidRPr="00FC1565" w:rsidP="00D15173">
            <w:pPr>
              <w:spacing w:before="0" w:after="0"/>
              <w:jc w:val="left"/>
              <w:rPr>
                <w:color w:val="000000"/>
                <w:kern w:val="24"/>
                <w:sz w:val="18"/>
                <w:szCs w:val="18"/>
              </w:rPr>
            </w:pPr>
            <w:r w:rsidRPr="00FC1565">
              <w:rPr>
                <w:noProof/>
                <w:color w:val="000000"/>
                <w:kern w:val="24"/>
                <w:sz w:val="18"/>
                <w:szCs w:val="18"/>
              </w:rPr>
              <w:t>Tretja komponenta je bila izvajanje reintegracijske podpore za namen lažjega in trajnostnega ponovnega vključevanja v lokalno okolje.</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112.470,37</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Mednarodna organizacija za migracije IOM-MOM</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IOM-MOM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Mednarodne javne organizacije</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430-806/2018</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Pomoč pri prostovoljnem vračanju</w:t>
            </w:r>
          </w:p>
          <w:p w:rsidR="00DB5A94" w:rsidP="00D15173">
            <w:pPr>
              <w:pStyle w:val="Text1"/>
              <w:spacing w:before="0" w:after="0"/>
              <w:ind w:left="0"/>
              <w:jc w:val="left"/>
              <w:rPr>
                <w:sz w:val="18"/>
                <w:szCs w:val="18"/>
              </w:rPr>
            </w:pPr>
            <w:r>
              <w:rPr>
                <w:noProof/>
                <w:sz w:val="18"/>
                <w:szCs w:val="18"/>
              </w:rPr>
              <w:t>Pomoč za ponovno vključevanje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5"/>
        <w:gridCol w:w="2332"/>
        <w:gridCol w:w="2962"/>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SI/2020/PR/0036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A.SO3.2.3-01B - Vračanje tujcev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Izvedene so bile vrnitve državljanov tretjih držav, katerim so bile izdane odločbe o vrnitvi in so bili nastanjeni v Centru za tujce (CT). Možnost prostovoljnega vračanja se je spodbujala vzporedno, in sicer preko projekta, ki ga je izvajala izbrana nevladna organizacija ali mednarodna organizacija, ali so se izvedle samostojne vrnitve, tj. brez spremstva in uporabe prisilnih ukrepov. Projekt je podpiral vse ukrepe in postopke policije potrebne za izvedbo vrnitev, kot so bili npr. stroški za prevoz in spremstvo, gotovinska sredstva za sekundarni transport po kriteriju, stroški zdravstvene, jezikovne in druge pomoči pri vračanju, stroški prtljage in prevoz drugih stvari v zvezi z vrnjeno osebo, stroški sodelovanja z DKP-ji držav sprejemnic, stroški dokumentov. Na podlagi bilateralnih sporazumov se je vrnilo 2.687 tujcev, 236 tujcev se je vrnilo brez spremstva, 53 s spremstvom.</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42</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130.033,59</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CT</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Postopki odstranitve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388"/>
        <w:gridCol w:w="1388"/>
        <w:gridCol w:w="3632"/>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SI/2020/PR/0037</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A.SO1.1.1-02C-Brezplačna pravna pomoč pred Upravnim sodiščem RS in Vrhovnim sodiščem RS</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omogočil pravno pomoč prosilcem za mednarodno zaščito na prvi in drugi stopnji. Pravna pomoč pomeni eno izmed postopkovnih jamstev, ki jih ima prosilec za mednarodno zaščito v postopku. Vsebina je bila prijavljena na podlagi dosedanjih pozitivnih izkušenj in števila sodelujočih prosilcev za mednarodno zaščito. Projekt so izvajali svetovalci za begunce, ki jih je imenovalo ministrstvo pristojno za pravosodje, in sicer na podlagi predhodnega usposabljanja in preverjanja znanja s področja mednarodne zaščite. Predvideni rezultati so bili doseženi, saj je bilo v času projekta 5.301 prosilcem za mednarodno zaščito omogočena brezplačna pravna pomoč. Tudi delež mladoletnikov brez spremstva se je povečal od leta 2018 naprej, ko jih je bilo 556, na 782 mladoletnikov brez spremstva v letu 2021.</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71.250,00</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410-5/2021/8</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388"/>
        <w:gridCol w:w="1388"/>
        <w:gridCol w:w="3632"/>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SI/2020/PR/0038</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A.SO1.1.1-04D-Predaje po dublinski uredbi</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namenjen učinkovitemu izvajanju Uredbe (EU) št. 604/2013 o vzpostavitvi meril in mehanizmov za določitev države članice, odgovorne za obravnavanje prošnje za mednarodno zaščito, ki jo v eni od držav članic vloži državljan tretje države ali oseba brez državljanstva. Temeljno načelo Dublinske uredbe je, da je država članica, ki je imela največjo vlogo pri vstopu prosilca v ali njegovem bivanju v njej, odgovorna tudi za obravnavanje njegove prošnje. V okviru projekta se financirajo stroški dublinskih predaj, in sicer nakup letalskih kart in stroški spremljanja uradne osebe državljanov tretjih držav v državo EU, ki je odgovorna za obravnavano prošnjo.</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18.750,00</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410-5/2021/49</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Zmogljivost za preselitev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388"/>
        <w:gridCol w:w="1388"/>
        <w:gridCol w:w="3632"/>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SI/2020/PR/0039</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A.SO1.1.1-06A-Zdravstveni pregledi prosilcev ob sprejemu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skladu s Pravilnikom o postopku s tujcem, ki izrazi namen podati prošnjo za mednarodno zaščito v Republiki Sloveniji ter postopku sprejema prošnje za mednarodno zaščito (Uradni list RS, št. 64/11 in 29/13) je potrebno vsem prosilcem za mednarodno zaščito pred sprejemom omogočiti preventiven zdravstveno higienski pregled, katerega obseg je določen z omenjenim pravilnikom. S pomočjo projekta se je financirala zakonsko določena izvedba preventivnih zdravstvenih in sanitarno dezinfekcijskih pregledov tujcev, ki so v obdobju trajanja projekta izrazili namero zaprositi za mednarodno zaščito v Republiki Sloveniji. Te preglede so izvajali zdravniki pred nastanitvijo v azilni dom oz. pred sprejemom prošnje za mednarodno zaščito, kar tudi določa Zakon o mednarodni zaščiti. Pregeldanih je bilo 2773 prosilcev.</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40.667,93</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410-105/2015/267</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5"/>
        <w:gridCol w:w="1217"/>
        <w:gridCol w:w="1217"/>
        <w:gridCol w:w="2689"/>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SI/2020/PR/0040</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A.SO1.1.1-12B-Pomoč pri nastanitvi in oskrbi prosilcev ob sprejemu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namenjen prosilcem za mednarodno zaščito, katerim se je preko izvedbe informativnih razgovorov in delavnic olajšalo integracijo ter preko različnih vsebinskih sklopov predstavilo delovanje slovenskega sistema, da le-ti niso nevede zašli v težave.</w:t>
            </w:r>
          </w:p>
          <w:p w:rsidR="00323F0D" w:rsidRPr="00FC1565" w:rsidP="00D15173">
            <w:pPr>
              <w:spacing w:before="0" w:after="0"/>
              <w:jc w:val="left"/>
              <w:rPr>
                <w:color w:val="000000"/>
                <w:kern w:val="24"/>
                <w:sz w:val="18"/>
                <w:szCs w:val="18"/>
              </w:rPr>
            </w:pPr>
            <w:r w:rsidRPr="00FC1565">
              <w:rPr>
                <w:noProof/>
                <w:color w:val="000000"/>
                <w:kern w:val="24"/>
                <w:sz w:val="18"/>
                <w:szCs w:val="18"/>
              </w:rPr>
              <w:t>Projekt se je sprotno odzival na situacijo, opravljene so bile po 3 delavnice na teden v AD Vič. Z novimi prosilci je bil v roku 5 dni po prihodu (podaji vloge) opravljen informativni razgovor in povabljeni so bili k sodelovanju v delavnicah. Enkrat tedensko so bili na vsaki lokaciji odpravljeni obiski institucij ali organizirani samo ogledi (ker zaradi epidemije ni bilo možno vstopiti v institucije), da so spoznali vse za njih najpomembnejše državne institucije in organizacije, ki jim lahko ponudijo pomoč. Aktivnosti projekta namenjene neposredno prosilcem so potekale ob prisotnosti tolmača/ev.</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8</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37.105,50</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filantropija, Združenje za promocijo prostovoljstva</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Filantropija</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C1542-21-000046</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1388"/>
        <w:gridCol w:w="1388"/>
        <w:gridCol w:w="3632"/>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SI/2020/PR/0041</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A.SO1.1.2-01B-Usposabljanje JU, zakonitih zastopnikov in drugih v azilni problematiki</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z izvajanjem usposabljanj in/ali sodelovanjem na usposabljanjih izboljšalo delo zakonitih zastopnikov za mladoletnike brez spremstva, svetovalcev za begunce, javnih uslužbencev (na področju odločanja, psihosocialnega dela, COI, upravnih enot...), policistov, prevajalcev. Gre za vse deležnike, ki se pri svojem delu srečujejo s tovrstnimi strankami. V času trajanja projekta je bilo usposobljenih 10 oseb, ki so bili člani izpitnih komisij in so usposobljeni na področju azila ter izvedena 4 preverjanja znanj svetovalcev za begunce.</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436,56</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410-4/2018/39</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7"/>
        <w:gridCol w:w="1021"/>
        <w:gridCol w:w="1021"/>
        <w:gridCol w:w="3029"/>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SI/2020/PR/0042</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A.SO1.1.4-03A-Investicijsko vzdrževanje azilnega doma, nakup opreme in izboljšanje pogojev</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je  bilo načrtovano nadaljevanje nujno potrebne sanacije prostorov azilnega doma s pripravo spremljajoče projektne dokumentacije zaradi ugotovljenega pojava vlage. Projekt je predvideval tudi druga redna investicijsko vzdrževalna dela in nakup potrebne opreme kot je zamenjava pokvarjene in nakup nove zapornice ob vhodu/izhodu iz AD, posodobitev in montaža videonadzornega sistema, dodatnih notranjih vrat in vzmetnic. Poleg tega se je v sklopu aktivnosti, povezanih z izboljšanjem pogojev za izvajanje omejitve gibanja, izvedla postavitev notranjih dvoriščnih vrat. V azilnem domu in izpostavah se je uveljavljal tudi strošek ureditve dodatnih dostopnih točk za brezžični internet in naročnina za dostop do tega omrežja.</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42.282,44</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410-4/2018/56</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2777"/>
        <w:gridCol w:w="3632"/>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A.SO2.2.1-01C-Tečaji slovenskega jezika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jezika in spoznavanja slovenske družbe je Ministrstvo za notranje zadeve zagotavljalo osnovno znanje jezika in poznavanje družbe gostiteljice, kar je nujno potrebno za uspešno vključevanje državljanov tretjih držav v slovensko družbo. </w:t>
            </w:r>
          </w:p>
          <w:p w:rsidR="00323F0D" w:rsidRPr="00FC1565" w:rsidP="00D15173">
            <w:pPr>
              <w:spacing w:before="0" w:after="0"/>
              <w:jc w:val="left"/>
              <w:rPr>
                <w:color w:val="000000"/>
                <w:kern w:val="24"/>
                <w:sz w:val="18"/>
                <w:szCs w:val="18"/>
              </w:rPr>
            </w:pPr>
            <w:r w:rsidRPr="00FC1565">
              <w:rPr>
                <w:noProof/>
                <w:color w:val="000000"/>
                <w:kern w:val="24"/>
                <w:sz w:val="18"/>
                <w:szCs w:val="18"/>
              </w:rPr>
              <w:t>Program učenja jezika in spoznavanja slovenske družbe (Začetna integracija priseljencev), ki so ga izvajale izbrane jezikovne šole, je potekal v skupinah od 10 do 15 udeležencev. Udeleženci so bili razvrščeni v skupine glede na predznanje, ki so ga pokazali na razvrstitvenem testu. Vsebino in trajanje programov, vsebino razvrstitvenega testa, vsebino preizkusa znanja ter potrdila o doseženem uspehu preizkusa znanja s pravilnikom predpiše minister, pristojen za šolstvo.</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1.396.747,24</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430-179/2015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867B9C" w:rsidP="00D15173">
            <w:pPr>
              <w:pStyle w:val="Text1"/>
              <w:spacing w:before="0" w:after="0"/>
              <w:ind w:left="0"/>
              <w:jc w:val="left"/>
              <w:rPr>
                <w:sz w:val="18"/>
                <w:szCs w:val="18"/>
              </w:rPr>
            </w:pPr>
            <w:r w:rsidR="001614F1">
              <w:rPr>
                <w:noProof/>
                <w:sz w:val="18"/>
                <w:szCs w:val="18"/>
              </w:rPr>
              <w:t>Jezikovno usposabljanje za državljane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0"/>
        <w:gridCol w:w="2777"/>
        <w:gridCol w:w="3632"/>
      </w:tblGrid>
      <w:tr w:rsidTr="00867B9C">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A.SO2.2.1-02C-Izpiti iz slovenskega jezika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Opravljanje preizkusa znanja iz slovenskega jezika na osnovni ravni pomeni zaključek procesa učenja slovenskega jezika na osnovni ravni, ki je potrebna za sprejem v državljanstvo RS. Upravičenci izberejo izvajalca in termin, v katerem bodo opravljali preizkus znanja, ministrstvo pa nato izda naročilnico za opravljanje preizkusa znanja in spremlja uspešnost opravljanja. Udeleženci so upravičeni do enkratnega opravljanja izpita iz slovenskega jezika. Potrdilo o opravljenem izpitu služi kot pogoj za pridobitev slovenskega državljanstva, kar predstavlja zaključek integracijskega procesa tujcev, ki prebivajo v Republiki Sloveniji. V prvi polovicu leta 2021 je bilo v projekt vključenihg 297 oseb iz ciljnih skupin.</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67.500,00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migracije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DM</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321B6A">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Je to projekt regionalnega povezovanja?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321B6A">
        <w:tblPrEx>
          <w:tblW w:w="5000" w:type="pct"/>
          <w:tblLook w:val="04A0"/>
        </w:tblPrEx>
        <w:tc>
          <w:tcPr>
            <w:shd w:val="clear" w:color="auto" w:fill="auto"/>
          </w:tcPr>
          <w:p w:rsidR="00867B9C" w:rsidP="00D15173">
            <w:pPr>
              <w:spacing w:before="0" w:after="0"/>
              <w:jc w:val="left"/>
              <w:rPr>
                <w:b/>
                <w:sz w:val="18"/>
                <w:szCs w:val="18"/>
              </w:rPr>
            </w:pPr>
            <w:r>
              <w:rPr>
                <w:b/>
                <w:noProof/>
                <w:sz w:val="18"/>
                <w:szCs w:val="18"/>
              </w:rPr>
              <w:t>Ključne besede</w:t>
            </w:r>
          </w:p>
        </w:tc>
        <w:tc>
          <w:tcPr>
            <w:gridSpan w:val="2"/>
            <w:shd w:val="clear" w:color="auto" w:fill="auto"/>
          </w:tcPr>
          <w:p w:rsidR="00867B9C" w:rsidP="00D15173">
            <w:pPr>
              <w:pStyle w:val="Text1"/>
              <w:spacing w:before="0" w:after="0"/>
              <w:ind w:left="0"/>
              <w:jc w:val="left"/>
              <w:rPr>
                <w:sz w:val="18"/>
                <w:szCs w:val="18"/>
              </w:rPr>
            </w:pPr>
            <w:r w:rsidR="001614F1">
              <w:rPr>
                <w:noProof/>
                <w:sz w:val="18"/>
                <w:szCs w:val="18"/>
              </w:rPr>
              <w:t>Jezikovno usposabljanje za državljane tretjih držav</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6"/>
        <w:gridCol w:w="2656"/>
        <w:gridCol w:w="2546"/>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SI/2020/PR/0045</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A.SO3.1.2-01C-Spremljanje prisilnega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izvajalo spremljanje odstranitev državljanov tretjih držav, ki jih je izvajal Center za tujce v okviru Policije. Spremljanje se je izvajalo v vseh treh fazah odstranitve, in sicer: v fazi priprave, vračanja in predaje osebe varnostnim organom države izvora. Izvedene so  bile vse aktivnosti, postopki in ukrepi Policije s tujci, ki so odklonili prostovoljno vrnitev v času nastanitve v Centru za tujce. S tem projektom je bil povsem implementiran 6. odst. 8. čl. Direktive o vračanju, ki govori o spremljanju prisilnega vračanja. Projekt je zajemal monitoring vseh prisilnih vrnitev s strani neodvisnega organa z namenom nepristranskega nadzora glede zakonitosti, strokovnosti in humanosti postopkov s tujci, ki so bili podvrženi prisilni odstranitvi iz države. Izvajalci spremljanja prisilnega vračanja so se udeležili usposabljanj v RS in v tujini. Vrnjenih je bilo 7 oseb.</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19</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17.728,84</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430-1/2020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Da</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Postopki odstranitve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SI/2020/PR/0046</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A.SO3.1.3-01D-Tekoči stroški v Centru za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Tujcem so bili v času nastanitve v CT zagotovljeni ustrezni standardi glede bivalnih pogojev, prehrane, varnosti, psihosocialne, zdravstvene oskrbe. Nastanitvena kapaciteta centra je 180 ležišč, objekt je razdeljen na 4 oddelke (2 moška, 1 za mladoletnike, 1 za ranljive kategorije). Tujcem so bile v centru zagotovljene tudi prostočasne aktivnosti, rekreacija in šolanje za mladoletnike oz. šoloobvezne otroke, ki so se izvajali v lokalni OŠ. Krili so se stroški oskrbe tujcev, ki so zajemali prehrano, ogrevanje, komunalne storitve, čiščenje, telekomunikacijske storitve z vzpostavitvijo ustrezne opreme, vzdrževanje objekta in inventarja in stroške, kot so vzpostavitev, nadgradnja in vzdrževanje varnostnih sistemov ter inf. sistema za izboljšanje upravnih postopkov (optika).</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598.875,00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410-2/2019/242</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SI/2020/PR/0047</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A.SO3.1.3-01E-Tekoči stroški v Centru za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Tujcem so v času nastanitve v CT zagotovljeni ustrezni standardi glede bivalnih pogojev, prehrane, varnosti, psihosocialne, zdravstvene oskrbe, čiščenja. Trenutna nastanitvena kapaciteta centra je 180 ležišč (dodatnih 90 ležišč v bivalnih zabojnikih) , objekt je razdeljen na 4 oddelke (2 moška, 1 za mladoletnike, 1 za ranljive kategorije). Tujcem so v centru zagotovljene tudi prostočasne aktivnosti, rekreacija in šolanje za mladoletnike oz. šoloobvezne otroke, ki se izvajajo v lokalni OŠ. Krili se bodo stroški oskrbe tujcev, ki zajemajo prehrano, ogrevanje, komunalne storitve, čiščenje, telekomunikacijske storitve z vzpostavitvijo ustrezne opreme, vzdrževanje objekta in inventarja in stroške, kot so vzpostavitev, nadgradnja in vzdrževanje varnost. sistemov ter inf. sistema za izboljšanje upravnih postopkov (optika).</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291.000,00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410-5/2021/51</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2448"/>
        <w:gridCol w:w="2919"/>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SI/2020/PR/0048</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A.SO3.1.3-03C - Mednarodni prostor za zavrnjene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Postaja letališke policije Brnik je zadolžena za izvajanje mejne kontrole na zunanjih schengenskih mejah, kamor spada letališče Jožeta Pučnika, Ljubljana. Za potrebe izvedbe zavrnitve potnikov - državljanov tretjih držav, ki ne izpolnjujejo pogojev za vstop v schengensko območje, je potrebno le-te namestiti v posebni prostor - Mednarodni prostor za zavrnjene tujce, kjer se potnikom nudi nadzor, prenočišče in prehrana. V času trajanja projekta je bilo zavrnjenih 147 tujcev.</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12</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40.125,00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Policija-Policijska uprava Kranj</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410-5/2020/244</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0"/>
        <w:gridCol w:w="2448"/>
        <w:gridCol w:w="2919"/>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SI/2020/PR/0049</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A.SO3.1.3-03D - Mednarodni prostor za zavrnjene tujce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Postaja letališke policije Brnik je zadolžena za izvajanje mejne kontrole na zunanjih schengenskih mejah, kamor spada letališče Jožeta Pučnika, Ljubljana. Za potrebe izvedbe zavrnitve potnikov - državljanov tretjih držav, ki ne izpolnjujejo pogojev za vstop v schengensko območje, je potrebno le-te namestiti v posebni prostor - Mednarodni prostor za zavrnjene tujce, kjer se potnikom nudi nadzor, prenočišče in prehrana. Od 1. 1. 2022 do 31. 3. 2022 smo na PLP Brnik izvedli 17 zavrnitev državljanov tretjih držav, kateri niso izpolnjevali pogojev za vstop v schengensko območje.</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45.750,00</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Policija-Policijska uprava Kranj</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Policija-PU KR</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410-5/2021/67</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SI/2020/PR/0050</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A.SO3.1.4-01C - Psihosocialna in zdravstvena oskrba tujcev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usmerjen v zagotavljanje medicinske, socialne in psihološke obravnave pridržanih oseb. Pet (5) socialnih delavcev v sklopu osebja Centra za tujce je s podporo Sklada zagotavljalo ustrezno pripravo oseb za vrnitev v domovino. Organizirane so bile dnevne dejavnosti za vse priprte državljane tretjih držav, s posebno osredotočenostjo na potrebe ranljivih oseb. V zvezi s tem so se izvajale tudi nekatere dodatne prostočasne dejavnosti. V Centru za tujce je bila za tujce zagotovljena tudi medicinska oskrba s strani pogodbenih zdravnikov in psihiatrov ter nujno zdravljenje z zdravili. V letu 2019 je bilo obravnavanih 876 oseb, ki so bile pridržane v Centru za tujce. Socialni delavki centra sta se udeležili kreativne delavnice za izdelovanje božičnih izdelkov (Allegro - šola ročnih spretnosti), zdravstveni delavki pa dneve urgentne medicine (Slovenski združenje urgentne medicine).</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38.556,31</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410-2/2019/130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Izboljšanje nastanitve/pogojev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SI/2020/PR/0051</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A.SO3.1.6-01B-Razširitev mreže prevajalcev in tolmačev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sledil Direktivi o vračanju 2008/115/ES in Zakonu o tujcih, ki določata, da se s tujcem v postopku vračanja ustno kot tudi pisno komunicira v jeziku, ki ga le-ta razume. V ta namen je Policija uporabljala izbrane tolmače in prevajalce v skladu s postopki javnega naročanja. V projekt so bili vključeni stroški prevajanja v vseh postopkih povezanih z vračanjem državljanov tretjih držav, kot so npr. jezikovne analize, psihološke, sociološke in zdravniške priprave tujcev na vrnitev. V času trajanja projekta je bilo opravljenih 556 storitev na področju prevajanja in tolmačenja in naročeni dve govorno-prevajalski napravi, ki sta zasnovani z namenom dvosmerne komunikacije v izbranih jezikih.</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38.556,31</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410-36/2017/25</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Boljši (upravni) postopki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SI/2020/PR/0052</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A.SO3.1.6-01C-Razširitev mreže prevajalcev in tolmačev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sledil Direktivi o vračanju 2008/115/ES in Zakonu o tujcih, ki določata, da se s tujcem v postopku vračanja ustno kot tudi pisno komunicira v jeziku, ki ga le-ta razume. V ta namen je Policija uporabljala izbrane tolmače in prevajalce v skladu s postopki javnega naročanja. V projekt so bili vključeni stroški prevajanja v vseh postopkih povezanih z vračanjem državljanov tretjih držav, kot so npr. jezikovne analize, psihološke, sociološke in zdravniške priprave tujcev na vrnitev. V času trajanja projekta je bilo opravljenih 556 storitev na področju prevajanja in tolmačenja in naročeni dve govorno-prevajalski napravi, ki sta zasnovani z namenom dvosmerne komunikacije v izbranih jezikih.</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25.905,75</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410-2/2019/131</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Boljši (upravni) postopki za sprejem</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SI/2020/PR/0053</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A.SO3.2.3-01C - Vračanje tujcev</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Izvedene so bile vrnitve državljanov tretjih držav, katerim so bile izdane odločbe o vrnitvi in so bili nastanjeni v Centru za tujce (CT). Možnost prostovoljnega vračanja se je spodbujala vzporedno, in sicer preko projekta, ki ga je izvajala izbrana nevladna organizacija ali mednarodna organizacija, ali so se izvedle samostojne vrnitve, tj. brez spremstva in uporabe prisilnih ukrepov. Projekt je podpiral vse ukrepe in postopke policije potrebne za izvedbo vrnitev, kot so bili npr. stroški za prevoz in spremstvo, gotovinska sredstva za sekundarni transport po kriteriju, stroški zdravstvene, jezikovne in druge pomoči pri vračanju, stroški prtljage in prevoz drugih stvari v zvezi z vrnjeno osebo, stroški sodelovanja z DKP-ji držav sprejemnic, stroški dokumentov. Na podlagi bilateralnih sporazumov se je vrnilo 413 tujcev, 15 tujcev se je vrnilo brez spremstva, 2 s spremstvom.</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5</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12.599,25</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410-5/2021/21</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Postopki odstranitve</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2417"/>
        <w:gridCol w:w="2931"/>
      </w:tblGrid>
      <w:tr w:rsidTr="00DB5A94">
        <w:tblPrEx>
          <w:tblW w:w="5000" w:type="pct"/>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shd w:val="clear" w:color="auto" w:fill="auto"/>
          </w:tcPr>
          <w:p w:rsidR="00323F0D" w:rsidRPr="00FC1565"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SI/2020/PR/0054</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cilj3 - Sodelovanje</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A.SO3.3.1-01A - Sodelovanje s partnerji na področju vračanja</w:t>
            </w:r>
          </w:p>
        </w:tc>
      </w:tr>
      <w:tr w:rsidTr="006D4B12">
        <w:tblPrEx>
          <w:tblW w:w="5000" w:type="pct"/>
          <w:tblBorders>
            <w:top w:val="single" w:sz="4" w:space="0" w:color="auto"/>
          </w:tblBorders>
          <w:tblLook w:val="04A0"/>
        </w:tblPrEx>
        <w:tc>
          <w:tcPr>
            <w:gridSpan w:val="3"/>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obsegal vse oblike sodelovanja na področju vračanja, in sicer: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1) Sodelovanje z agencijo Frontex pri izvajanju skupnih operacij vračanja in sodelovanje pri drugih aktivnostih agencije s področja vračanja (npr. identifikacija tujcev in izmenjava najboljših praks, usposabljanja, itd). </w:t>
            </w:r>
          </w:p>
          <w:p w:rsidR="00323F0D" w:rsidRPr="00FC1565" w:rsidP="00D15173">
            <w:pPr>
              <w:spacing w:before="0" w:after="0"/>
              <w:jc w:val="left"/>
              <w:rPr>
                <w:color w:val="000000"/>
                <w:kern w:val="24"/>
                <w:sz w:val="18"/>
                <w:szCs w:val="18"/>
              </w:rPr>
            </w:pPr>
            <w:r w:rsidRPr="00FC1565">
              <w:rPr>
                <w:noProof/>
                <w:color w:val="000000"/>
                <w:kern w:val="24"/>
                <w:sz w:val="18"/>
                <w:szCs w:val="18"/>
              </w:rPr>
              <w:t xml:space="preserve">2) Sodelovanje z državami članicami EU pri izmenjavi dobrih praks na vseh področjih, povezanih z ukrepi vračanj: ukrepi so zajemali identifikacijo državljanov tretjih držav, pridobitev ETC, izmenjavo najboljših praks, organizacijo skupnih operacij vračanja in druge dejavnosti povezane z vračanjem državljanov tretjih držav, kot so pridržanje, izdajanje odločb, usposabljanja, itd. </w:t>
            </w:r>
          </w:p>
          <w:p w:rsidR="00323F0D" w:rsidRPr="00FC1565" w:rsidP="00D15173">
            <w:pPr>
              <w:spacing w:before="0" w:after="0"/>
              <w:jc w:val="left"/>
              <w:rPr>
                <w:color w:val="000000"/>
                <w:kern w:val="24"/>
                <w:sz w:val="18"/>
                <w:szCs w:val="18"/>
              </w:rPr>
            </w:pPr>
            <w:r w:rsidRPr="00FC1565">
              <w:rPr>
                <w:noProof/>
                <w:color w:val="000000"/>
                <w:kern w:val="24"/>
                <w:sz w:val="18"/>
                <w:szCs w:val="18"/>
              </w:rPr>
              <w:t>Usposabljanja na Frontexu se je udeležilo 10 policistov. Poleg tega so predstavniki Centra za tujce obiskali center za pridržanje tujcev v Luxemburgu in Avstriji v fazi priprave projektne dokumentacije za obnovo oddelka.</w:t>
            </w:r>
          </w:p>
        </w:tc>
      </w:tr>
      <w:tr w:rsidTr="00323F0D">
        <w:tblPrEx>
          <w:tblW w:w="5000" w:type="pct"/>
          <w:tblBorders>
            <w:top w:val="single" w:sz="4" w:space="0" w:color="auto"/>
          </w:tblBorders>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gridSpan w:val="2"/>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9.672,67</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Center za tujce</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Tr="006D4B12">
        <w:tblPrEx>
          <w:tblW w:w="5000" w:type="pct"/>
          <w:tblBorders>
            <w:top w:val="single" w:sz="4" w:space="0" w:color="auto"/>
          </w:tblBorders>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410-36/2017/96</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Tr="00323F0D">
        <w:tblPrEx>
          <w:tblW w:w="5000" w:type="pct"/>
          <w:tblBorders>
            <w:top w:val="single" w:sz="4" w:space="0" w:color="auto"/>
          </w:tblBorders>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shd w:val="clear" w:color="auto" w:fill="auto"/>
          </w:tcPr>
          <w:p w:rsidR="00321B6A" w:rsidRPr="00320337" w:rsidP="00D15173">
            <w:pPr>
              <w:spacing w:before="0" w:after="0"/>
              <w:jc w:val="left"/>
              <w:rPr>
                <w:b/>
                <w:sz w:val="18"/>
                <w:szCs w:val="18"/>
              </w:rPr>
            </w:pPr>
            <w:r>
              <w:rPr>
                <w:b/>
                <w:noProof/>
                <w:sz w:val="18"/>
                <w:szCs w:val="18"/>
              </w:rPr>
              <w:t>Ali ta projekt krepi učinkovitost sistema za vračanje migrantov brez urejenega statusa?</w:t>
            </w:r>
          </w:p>
        </w:tc>
        <w:tc>
          <w:tcPr>
            <w:gridSpan w:val="2"/>
            <w:shd w:val="clear" w:color="auto" w:fill="auto"/>
          </w:tcPr>
          <w:p w:rsidR="00321B6A" w:rsidRPr="00320337" w:rsidP="00D15173">
            <w:pPr>
              <w:pStyle w:val="Text1"/>
              <w:spacing w:before="0" w:after="0"/>
              <w:ind w:left="0"/>
              <w:jc w:val="left"/>
              <w:rPr>
                <w:sz w:val="18"/>
                <w:szCs w:val="18"/>
              </w:rPr>
            </w:pPr>
            <w:r>
              <w:rPr>
                <w:noProof/>
                <w:sz w:val="18"/>
                <w:szCs w:val="18"/>
              </w:rPr>
              <w:t>Ne</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P="00D15173">
            <w:pPr>
              <w:spacing w:before="0" w:after="0"/>
              <w:jc w:val="left"/>
              <w:rPr>
                <w:b/>
                <w:sz w:val="18"/>
                <w:szCs w:val="18"/>
              </w:rPr>
            </w:pPr>
            <w:r>
              <w:rPr>
                <w:b/>
                <w:noProof/>
                <w:sz w:val="18"/>
                <w:szCs w:val="18"/>
              </w:rPr>
              <w:t>Ključne besede</w:t>
            </w:r>
          </w:p>
        </w:tc>
        <w:tc>
          <w:tcPr>
            <w:gridSpan w:val="2"/>
            <w:tcBorders>
              <w:top w:val="single" w:sz="4" w:space="0" w:color="auto"/>
              <w:left w:val="single" w:sz="4" w:space="0" w:color="auto"/>
              <w:bottom w:val="single" w:sz="4" w:space="0" w:color="auto"/>
              <w:right w:val="single" w:sz="4" w:space="0" w:color="auto"/>
            </w:tcBorders>
            <w:shd w:val="clear" w:color="auto" w:fill="auto"/>
          </w:tcPr>
          <w:p w:rsidR="00DB5A94" w:rsidP="00D15173">
            <w:pPr>
              <w:pStyle w:val="Text1"/>
              <w:spacing w:before="0" w:after="0"/>
              <w:ind w:left="0"/>
              <w:jc w:val="left"/>
              <w:rPr>
                <w:sz w:val="18"/>
                <w:szCs w:val="18"/>
              </w:rPr>
            </w:pPr>
            <w:r>
              <w:rPr>
                <w:noProof/>
                <w:sz w:val="18"/>
                <w:szCs w:val="18"/>
              </w:rPr>
              <w:t>Drugi ukrepi namesto pridržanja</w:t>
            </w:r>
          </w:p>
        </w:tc>
      </w:tr>
    </w:tbl>
    <w:p w:rsidR="004E1270" w:rsidP="00D15173">
      <w:pPr>
        <w:spacing w:before="0" w:after="0"/>
      </w:pPr>
    </w:p>
    <w:p w:rsidR="00323F0D" w:rsidRPr="00EA3F17" w:rsidP="00D15173">
      <w:pPr>
        <w:spacing w:before="0" w:after="0"/>
        <w:rPr>
          <w:sz w:val="2"/>
          <w:szCs w:val="2"/>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gridCol w:w="1217"/>
        <w:gridCol w:w="1217"/>
        <w:gridCol w:w="3280"/>
      </w:tblGrid>
      <w:tr w:rsidTr="00DB5A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gridSpan w:val="2"/>
            <w:shd w:val="clear" w:color="auto" w:fill="auto"/>
          </w:tcPr>
          <w:p w:rsidR="00323F0D" w:rsidRPr="00FC1565"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SI/2020/PR/0055</w:t>
            </w:r>
          </w:p>
        </w:tc>
        <w:tc>
          <w:tcPr>
            <w:gridSpan w:val="2"/>
            <w:shd w:val="clear" w:color="auto" w:fill="auto"/>
          </w:tcPr>
          <w:p w:rsidR="00323F0D" w:rsidRPr="00FC1565"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Tr="006D4B12">
        <w:tblPrEx>
          <w:tblW w:w="5000" w:type="pct"/>
          <w:tblLook w:val="04A0"/>
        </w:tblPrEx>
        <w:tc>
          <w:tcPr>
            <w:gridSpan w:val="4"/>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A.SO1.1.6-05A - Preprečevanje trgovine z ljudmi, spolnega nasilja ali nasilja po spolu</w:t>
            </w:r>
          </w:p>
        </w:tc>
      </w:tr>
      <w:tr w:rsidTr="006D4B12">
        <w:tblPrEx>
          <w:tblW w:w="5000" w:type="pct"/>
          <w:tblLook w:val="04A0"/>
        </w:tblPrEx>
        <w:tc>
          <w:tcPr>
            <w:gridSpan w:val="4"/>
            <w:shd w:val="clear" w:color="auto" w:fill="auto"/>
          </w:tcPr>
          <w:p w:rsidR="00323F0D" w:rsidRPr="00FC1565"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projektu je bilo načrtovanih več različnih sklopov aktivnosti. Najpomembnejši so bili individualni razgovori, s katerimi bi se prosilce informiralo o trgovini z ljudmi, jih poučilo o najprimernejših oblikah preventivnega delovanja in možnostih pomoči v Sloveniji. Projekt se je predčasno zaključil, saj ga izvajalec ni izvajal pravilno in na način, ki je bil predviden v pogodbi.</w:t>
            </w:r>
          </w:p>
        </w:tc>
      </w:tr>
      <w:tr w:rsidTr="00DB5A94">
        <w:tblPrEx>
          <w:tblW w:w="5000" w:type="pct"/>
          <w:tblLook w:val="04A0"/>
        </w:tblPrEx>
        <w:tc>
          <w:tcPr>
            <w:shd w:val="clear" w:color="auto" w:fill="auto"/>
          </w:tcPr>
          <w:p w:rsidR="00323F0D" w:rsidRPr="009E0487"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14</w:t>
            </w:r>
          </w:p>
        </w:tc>
        <w:tc>
          <w:tcPr>
            <w:gridSpan w:val="3"/>
            <w:shd w:val="clear" w:color="auto" w:fill="auto"/>
          </w:tcPr>
          <w:p w:rsidR="00323F0D" w:rsidRPr="00C97F69"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26.052,99</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gridSpan w:val="2"/>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Tr="006D4B12">
        <w:tblPrEx>
          <w:tblW w:w="5000" w:type="pct"/>
          <w:tblLook w:val="04A0"/>
        </w:tblPrEx>
        <w:tc>
          <w:tcPr>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430-20/2020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Tr="00DB5A94">
        <w:tblPrEx>
          <w:tblW w:w="5000" w:type="pct"/>
          <w:tblLook w:val="04A0"/>
        </w:tblPrEx>
        <w:tc>
          <w:tcPr>
            <w:shd w:val="clear" w:color="auto" w:fill="auto"/>
          </w:tcPr>
          <w:p w:rsidR="00323F0D" w:rsidRPr="00FC1565"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gridSpan w:val="3"/>
            <w:shd w:val="clear" w:color="auto" w:fill="auto"/>
          </w:tcPr>
          <w:p w:rsidR="00323F0D" w:rsidRPr="00FC1565"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Tr="00DB5A94">
        <w:tblPrEx>
          <w:tblW w:w="5000" w:type="pct"/>
          <w:tblLook w:val="04A0"/>
        </w:tblPrEx>
        <w:tc>
          <w:tcPr>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spacing w:before="0" w:after="0"/>
              <w:jc w:val="left"/>
              <w:rPr>
                <w:b/>
                <w:color w:val="000000"/>
                <w:kern w:val="24"/>
                <w:sz w:val="18"/>
                <w:szCs w:val="18"/>
              </w:rPr>
            </w:pPr>
            <w:r w:rsidRPr="00DB5A94">
              <w:rPr>
                <w:b/>
                <w:noProof/>
                <w:color w:val="000000"/>
                <w:kern w:val="24"/>
                <w:sz w:val="18"/>
                <w:szCs w:val="18"/>
              </w:rPr>
              <w:t>Ključne besede</w:t>
            </w:r>
          </w:p>
        </w:tc>
        <w:tc>
          <w:tcPr>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P="00D15173">
            <w:pPr>
              <w:pStyle w:val="Text1"/>
              <w:spacing w:before="0" w:after="0"/>
              <w:ind w:left="0"/>
              <w:jc w:val="left"/>
              <w:rPr>
                <w:b/>
                <w:color w:val="000000"/>
                <w:kern w:val="24"/>
                <w:sz w:val="18"/>
                <w:szCs w:val="18"/>
              </w:rPr>
            </w:pPr>
            <w:r w:rsidRPr="00DB5A94">
              <w:rPr>
                <w:b/>
                <w:noProof/>
                <w:color w:val="000000"/>
                <w:kern w:val="24"/>
                <w:sz w:val="18"/>
                <w:szCs w:val="18"/>
              </w:rPr>
              <w:t>Posebne potrebe</w:t>
            </w:r>
          </w:p>
        </w:tc>
      </w:tr>
    </w:tbl>
    <w:p w:rsidR="004E1270" w:rsidP="00D15173">
      <w:pPr>
        <w:spacing w:before="0" w:after="0"/>
      </w:pPr>
    </w:p>
    <w:p w:rsidR="00321B6A" w:rsidP="00D15173">
      <w:pPr>
        <w:pStyle w:val="Heading3"/>
        <w:numPr>
          <w:ilvl w:val="0"/>
          <w:numId w:val="0"/>
        </w:numPr>
        <w:spacing w:before="0" w:after="0"/>
        <w:sectPr w:rsidSect="00A40CC3">
          <w:headerReference w:type="default" r:id="rId5"/>
          <w:footerReference w:type="default" r:id="rId6"/>
          <w:pgSz w:w="11906" w:h="16838"/>
          <w:pgMar w:top="284" w:right="1134" w:bottom="284" w:left="284" w:header="567" w:footer="0" w:gutter="0"/>
          <w:cols w:space="708"/>
          <w:docGrid w:linePitch="360"/>
        </w:sectPr>
      </w:pPr>
    </w:p>
    <w:p w:rsidR="00321B6A" w:rsidRPr="00DD2D69" w:rsidP="00D15173">
      <w:pPr>
        <w:pStyle w:val="Heading2"/>
        <w:numPr>
          <w:ilvl w:val="0"/>
          <w:numId w:val="0"/>
        </w:numPr>
        <w:spacing w:before="0" w:after="0"/>
      </w:pPr>
      <w:bookmarkStart w:id="6" w:name="_Toc256000005"/>
      <w:r w:rsidRPr="00DD2D69">
        <w:rPr>
          <w:noProof/>
        </w:rPr>
        <w:t>A2. Projekti, povezani s posebnimi primeri</w:t>
      </w:r>
      <w:bookmarkEnd w:id="6"/>
    </w:p>
    <w:p w:rsidR="00321B6A" w:rsidP="00D15173">
      <w:pPr>
        <w:pStyle w:val="Text1"/>
        <w:spacing w:before="0" w:after="0"/>
        <w:ind w:left="0"/>
      </w:pPr>
    </w:p>
    <w:p w:rsidR="00321B6A" w:rsidRPr="00DD2D69" w:rsidP="00D15173">
      <w:pPr>
        <w:pStyle w:val="Heading3"/>
        <w:numPr>
          <w:ilvl w:val="0"/>
          <w:numId w:val="0"/>
        </w:numPr>
        <w:spacing w:before="0" w:after="0"/>
        <w:ind w:left="850" w:hanging="850"/>
      </w:pPr>
      <w:bookmarkStart w:id="7" w:name="_Toc256000006"/>
      <w:r w:rsidRPr="00DD2D69">
        <w:rPr>
          <w:noProof/>
        </w:rPr>
        <w:t>Obljubljena sredstva (prednostne naloge Unije na področju preseljevanja)</w:t>
      </w:r>
      <w:bookmarkEnd w:id="7"/>
    </w:p>
    <w:p w:rsidR="00321B6A" w:rsidP="00D15173">
      <w:pPr>
        <w:pStyle w:val="Text1"/>
        <w:spacing w:before="0" w:after="0"/>
        <w:ind w:left="0"/>
      </w:pPr>
    </w:p>
    <w:p w:rsidR="00321B6A" w:rsidRPr="008C784A" w:rsidP="00D15173">
      <w:pPr>
        <w:pStyle w:val="Heading3"/>
        <w:numPr>
          <w:ilvl w:val="0"/>
          <w:numId w:val="0"/>
        </w:numPr>
        <w:spacing w:before="0" w:after="0"/>
        <w:ind w:left="850" w:hanging="850"/>
      </w:pPr>
      <w:r>
        <w:br w:type="page"/>
      </w:r>
      <w:bookmarkStart w:id="8" w:name="_Toc256000007"/>
      <w:r w:rsidRPr="008C784A">
        <w:rPr>
          <w:noProof/>
        </w:rPr>
        <w:t>Obljubljena sredstva (preselitev – drugi)</w:t>
      </w:r>
      <w:bookmarkEnd w:id="8"/>
    </w:p>
    <w:p w:rsidR="00321B6A" w:rsidP="00D15173">
      <w:pPr>
        <w:pStyle w:val="Text1"/>
        <w:spacing w:before="0" w:after="0"/>
        <w:ind w:left="0"/>
      </w:pPr>
    </w:p>
    <w:p w:rsidR="00321B6A" w:rsidRPr="000F11D9" w:rsidP="00D15173">
      <w:pPr>
        <w:pStyle w:val="Heading3"/>
        <w:numPr>
          <w:ilvl w:val="0"/>
          <w:numId w:val="0"/>
        </w:numPr>
        <w:spacing w:before="0" w:after="0"/>
      </w:pPr>
      <w:r>
        <w:br w:type="page"/>
      </w:r>
      <w:bookmarkStart w:id="9" w:name="_Toc256000008"/>
      <w:r w:rsidRPr="000F11D9">
        <w:rPr>
          <w:noProof/>
        </w:rPr>
        <w:t>Druga obljubljena sredstva (predaje in premestitve)</w:t>
      </w:r>
      <w:bookmarkEnd w:id="9"/>
    </w:p>
    <w:p w:rsidR="00321B6A" w:rsidP="00D15173">
      <w:pPr>
        <w:pStyle w:val="Text1"/>
        <w:spacing w:before="0" w:after="0"/>
        <w:ind w:left="0"/>
      </w:pPr>
    </w:p>
    <w:p w:rsidR="00321B6A" w:rsidP="00D15173">
      <w:pPr>
        <w:pStyle w:val="Heading2"/>
        <w:numPr>
          <w:ilvl w:val="0"/>
          <w:numId w:val="0"/>
        </w:numPr>
        <w:spacing w:before="0" w:after="0"/>
      </w:pPr>
      <w:r>
        <w:br w:type="page"/>
      </w:r>
      <w:bookmarkStart w:id="10" w:name="_Toc256000009"/>
      <w:r>
        <w:rPr>
          <w:noProof/>
        </w:rPr>
        <w:t>Zaveza (Sprejem iz Turčije – 2016/1754)</w:t>
      </w:r>
      <w:bookmarkEnd w:id="10"/>
    </w:p>
    <w:p w:rsidR="00321B6A" w:rsidP="00D15173">
      <w:pPr>
        <w:pStyle w:val="Text1"/>
        <w:spacing w:before="0" w:after="0"/>
        <w:ind w:left="0"/>
      </w:pPr>
    </w:p>
    <w:p w:rsidR="00321B6A" w:rsidP="00D15173">
      <w:pPr>
        <w:pStyle w:val="Text1"/>
        <w:spacing w:before="0" w:after="0"/>
        <w:ind w:left="0"/>
        <w:sectPr w:rsidSect="009008D5">
          <w:headerReference w:type="default" r:id="rId7"/>
          <w:footerReference w:type="default" r:id="rId8"/>
          <w:pgSz w:w="16838" w:h="11906" w:orient="landscape" w:code="9"/>
          <w:pgMar w:top="0" w:right="567" w:bottom="0" w:left="851" w:header="0" w:footer="284" w:gutter="0"/>
          <w:cols w:space="720"/>
          <w:docGrid w:linePitch="326"/>
        </w:sectPr>
      </w:pPr>
    </w:p>
    <w:p w:rsidR="00321B6A" w:rsidP="00D15173">
      <w:pPr>
        <w:pStyle w:val="Heading2"/>
        <w:numPr>
          <w:ilvl w:val="0"/>
          <w:numId w:val="0"/>
        </w:numPr>
        <w:spacing w:before="0" w:after="0"/>
        <w:jc w:val="left"/>
      </w:pPr>
      <w:bookmarkStart w:id="11" w:name="_Toc256000010"/>
      <w:r>
        <w:rPr>
          <w:noProof/>
        </w:rPr>
        <w:t>B. Računovodski podatki</w:t>
      </w:r>
      <w:bookmarkEnd w:id="11"/>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404.502,64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12.038,79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12.038,79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28.806,22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A.SO1.1.1-01-Informiranje in pravno svetovanje tujcem na področju mednarodne zaščite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155.759,26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A.SO1.1.1-08-Materialna oskrba prosilcev za azil (žepnine, vzdrževalna dela ...)</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115.840,04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A.SO1.1.2-01-Usposabljanje JU, zakonitih zastopnikov in drugih v azilni problematiki</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4.019,43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A.SO1.1.8-01-Obeležitev svetovnega dneva beguncev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10.962,01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20.720,84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31.682,85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41.522,99</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A.SO2.2.1-01B-Tečaji slovenskega jezika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64.905,34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64.905,34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5"/>
        <w:gridCol w:w="224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1.396.500,83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SI/2019/PR/0006</w:t>
            </w:r>
            <w:r>
              <w:rPr>
                <w:sz w:val="22"/>
              </w:rPr>
              <w:t xml:space="preserve"> - </w:t>
            </w:r>
            <w:r>
              <w:rPr>
                <w:noProof/>
                <w:sz w:val="22"/>
              </w:rPr>
              <w:t>A.SO2.2.3-07A-Pomoč osebam z mednarodno zaščito</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CorrRAFY2022</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-2.111,59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145.921,31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NPS-6.2</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201.108,30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NPS-7.1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277.700,50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NPS-8.1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297.584,51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920.203,03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5"/>
        <w:gridCol w:w="224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1.685.731,62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A.SO3.1.2-01A-Spremljanje prisilnega vračanja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1.779,83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A.SO1.1.1-02B-Brezplačna pravna pomoč pred Upravnim sodiščem RS in Vrhovnim sodiščem RS</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28.645,71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21.989,10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54.677,73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105.312,54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152.569,38</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A.SO1.1.1-04B-Predaje po dublinski uredbi</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35.920,91</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SI/2020/PR/0003</w:t>
            </w:r>
            <w:r>
              <w:rPr>
                <w:sz w:val="22"/>
              </w:rPr>
              <w:t xml:space="preserve"> - </w:t>
            </w:r>
            <w:r>
              <w:rPr>
                <w:noProof/>
                <w:sz w:val="22"/>
              </w:rPr>
              <w:t>A.SO1.1.1-12A-Pomoč pri nastanitvi in oskrbi prosilcev ob sprejemu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100.600,15</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A.SO1.1.1-13A-Zdravstveni pregledi in materialna oskrba prosilcev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114.026,03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A.SO1.1.6-03A-Podpora prosilcem</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CorrRAFY2022</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-4.426,49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29.262,78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24.836,29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53.591,16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A.SO1.1.6-04A-Podpora v postopku priznanja MZ (izvedeniška mnenja)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11.185,32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8.851,68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9.618,81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13.345,53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43.001,34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49.795,51</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SI/2020/PR/0007</w:t>
            </w:r>
            <w:r>
              <w:rPr>
                <w:sz w:val="22"/>
              </w:rPr>
              <w:t xml:space="preserve"> - </w:t>
            </w:r>
            <w:r>
              <w:rPr>
                <w:noProof/>
                <w:sz w:val="22"/>
              </w:rPr>
              <w:t>A.SO1.1.7-02A-Finančna pomoč za nastanitev prosilcev na zasebnem naslovu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28.106,57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28.106,57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142.771,67</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A.SO2.1.1-01B-Zagotavljanje info o življenju in delu v RS za državljane tretjih držav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572,70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367,11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513,96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1.453,77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18.042,94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A.SO3.2.3-01A-Vračanje tujcev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29.200,03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29.200,03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69.242,16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SI/2020/PR/0016</w:t>
            </w:r>
            <w:r>
              <w:rPr>
                <w:sz w:val="22"/>
              </w:rPr>
              <w:t xml:space="preserve"> - </w:t>
            </w:r>
            <w:r>
              <w:rPr>
                <w:noProof/>
                <w:sz w:val="22"/>
              </w:rPr>
              <w:t>A.SO1.1.1-11A - Prevajanje in tolmačenje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424.049,20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SI/2020/PR/0018</w:t>
            </w:r>
            <w:r>
              <w:rPr>
                <w:sz w:val="22"/>
              </w:rPr>
              <w:t xml:space="preserve"> - </w:t>
            </w:r>
            <w:r>
              <w:rPr>
                <w:noProof/>
                <w:sz w:val="22"/>
              </w:rPr>
              <w:t>A.SO1.1.1-14B - Opismenjevanje in učna pomoč za prosilce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7.829,08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5.692,95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5.262,72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6.189,26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NPS-6.0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4.463,93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29.437,94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30.698,73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SI/2020/PR/0019</w:t>
            </w:r>
            <w:r>
              <w:rPr>
                <w:sz w:val="22"/>
              </w:rPr>
              <w:t xml:space="preserve"> - </w:t>
            </w:r>
            <w:r>
              <w:rPr>
                <w:noProof/>
                <w:sz w:val="22"/>
              </w:rPr>
              <w:t>A.SO1.1.6-01A - Preprečevanje trgovine z ljudmi, spolnega nasilja ali nasilja po spolu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14.512,98</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SI/2020/PR/0020</w:t>
            </w:r>
            <w:r>
              <w:rPr>
                <w:sz w:val="22"/>
              </w:rPr>
              <w:t xml:space="preserve"> - </w:t>
            </w:r>
            <w:r>
              <w:rPr>
                <w:noProof/>
                <w:sz w:val="22"/>
              </w:rPr>
              <w:t>A.SO1.1.6-01B - Preprečevanje trgovine z ljudmi, spolnega nasilja ali nasilja po spolu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37.191,91</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SI/2020/PR/0021</w:t>
            </w:r>
            <w:r>
              <w:rPr>
                <w:sz w:val="22"/>
              </w:rPr>
              <w:t xml:space="preserve"> - </w:t>
            </w:r>
            <w:r>
              <w:rPr>
                <w:noProof/>
                <w:sz w:val="22"/>
              </w:rPr>
              <w:t>A.SO1.1.8-02A - Obeležitev svetovnega dneva beguncev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24.314,20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SI/2020/PR/0022</w:t>
            </w:r>
            <w:r>
              <w:rPr>
                <w:sz w:val="22"/>
              </w:rPr>
              <w:t xml:space="preserve"> - </w:t>
            </w:r>
            <w:r>
              <w:rPr>
                <w:noProof/>
                <w:sz w:val="22"/>
              </w:rPr>
              <w:t>A.SO2.1.1-01C - Zagotavljanje info o življenju in delu v RS za državljane tretjih držav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146,84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146,84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6"/>
        <w:gridCol w:w="150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220,26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SI/2020/PR/0023</w:t>
            </w:r>
            <w:r>
              <w:rPr>
                <w:sz w:val="22"/>
              </w:rPr>
              <w:t xml:space="preserve"> - </w:t>
            </w:r>
            <w:r>
              <w:rPr>
                <w:noProof/>
                <w:sz w:val="22"/>
              </w:rPr>
              <w:t>A.SO2.2.1-03A - Tečaji in izpiti iz slovenskega jezika za OMZ</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NPS-2.2</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72.223,10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98.585,36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170.808,46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192.204,00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SI/2020/PR/0025</w:t>
            </w:r>
            <w:r>
              <w:rPr>
                <w:sz w:val="22"/>
              </w:rPr>
              <w:t xml:space="preserve"> - </w:t>
            </w:r>
            <w:r>
              <w:rPr>
                <w:noProof/>
                <w:sz w:val="22"/>
              </w:rPr>
              <w:t>A.SO2.2.3-06B - Pomoč pri integraciji oseb z mednarodno zaščito</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86.467,29</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SI/2020/PR/0029</w:t>
            </w:r>
            <w:r>
              <w:rPr>
                <w:sz w:val="22"/>
              </w:rPr>
              <w:t xml:space="preserve"> - </w:t>
            </w:r>
            <w:r>
              <w:rPr>
                <w:noProof/>
                <w:sz w:val="22"/>
              </w:rPr>
              <w:t>A.SO2.3.3-03A-Zagotavljanje nastanitev OMZ v integracijskih hišah in drugih nast. kapac.</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26.219,84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SI/2020/PR/0031</w:t>
            </w:r>
            <w:r>
              <w:rPr>
                <w:sz w:val="22"/>
              </w:rPr>
              <w:t xml:space="preserve"> - </w:t>
            </w:r>
            <w:r>
              <w:rPr>
                <w:noProof/>
                <w:sz w:val="22"/>
              </w:rPr>
              <w:t>A.SO3.1.3-03B - Mednarodni prostor za zavrnjene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13.146,74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13.146,74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93.665,94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SI/2020/PR/0032</w:t>
            </w:r>
            <w:r>
              <w:rPr>
                <w:sz w:val="22"/>
              </w:rPr>
              <w:t xml:space="preserve"> - </w:t>
            </w:r>
            <w:r>
              <w:rPr>
                <w:noProof/>
                <w:sz w:val="22"/>
              </w:rPr>
              <w:t>A.SO3.1.4-01B - Psihosocialna in zdravstvena oskrba tujcev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45.815,04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SI/2020/PR/0033</w:t>
            </w:r>
            <w:r>
              <w:rPr>
                <w:sz w:val="22"/>
              </w:rPr>
              <w:t xml:space="preserve"> - </w:t>
            </w:r>
            <w:r>
              <w:rPr>
                <w:noProof/>
                <w:sz w:val="22"/>
              </w:rPr>
              <w:t>A.SO3.2.1-01A - Prostovoljno vračanje tujcev in reintegracijski prog. v državi vrnitve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6"/>
        <w:gridCol w:w="150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568,99</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SI/2020/PR/0035</w:t>
            </w:r>
            <w:r>
              <w:rPr>
                <w:sz w:val="22"/>
              </w:rPr>
              <w:t xml:space="preserve"> - </w:t>
            </w:r>
            <w:r>
              <w:rPr>
                <w:noProof/>
                <w:sz w:val="22"/>
              </w:rPr>
              <w:t>A.SO3.2.1-01C - Prostovoljno vračanje tujcev in reintegracijski prog. v državi vrnitve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24.726,29</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SI/2020/PR/0036</w:t>
            </w:r>
            <w:r>
              <w:rPr>
                <w:sz w:val="22"/>
              </w:rPr>
              <w:t xml:space="preserve"> - </w:t>
            </w:r>
            <w:r>
              <w:rPr>
                <w:noProof/>
                <w:sz w:val="22"/>
              </w:rPr>
              <w:t>A.SO3.2.3-01B - Vračanje tujcev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12.658,31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NPS-6.0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9.248,12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21.906,43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127.258,02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SI/2020/PR/0037</w:t>
            </w:r>
            <w:r>
              <w:rPr>
                <w:sz w:val="22"/>
              </w:rPr>
              <w:t xml:space="preserve"> - </w:t>
            </w:r>
            <w:r>
              <w:rPr>
                <w:noProof/>
                <w:sz w:val="22"/>
              </w:rPr>
              <w:t>A.SO1.1.1-02C-Brezplačna pravna pomoč pred Upravnim sodiščem RS in Vrhovnim sodiščem RS</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42.236,84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12.231,08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54.467,92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54.467,92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SI/2020/PR/0038</w:t>
            </w:r>
            <w:r>
              <w:rPr>
                <w:sz w:val="22"/>
              </w:rPr>
              <w:t xml:space="preserve"> - </w:t>
            </w:r>
            <w:r>
              <w:rPr>
                <w:noProof/>
                <w:sz w:val="22"/>
              </w:rPr>
              <w:t>A.SO1.1.1-04D-Predaje po dublinski uredbi</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8.444,55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8.444,55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8.444,55</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SI/2020/PR/0039</w:t>
            </w:r>
            <w:r>
              <w:rPr>
                <w:sz w:val="22"/>
              </w:rPr>
              <w:t xml:space="preserve"> - </w:t>
            </w:r>
            <w:r>
              <w:rPr>
                <w:noProof/>
                <w:sz w:val="22"/>
              </w:rPr>
              <w:t>A.SO1.1.1-06A-Zdravstveni pregledi prosilcev ob sprejemu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3.524,67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5.008,91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7.065,95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5.193,89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15.463,40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NPS-6.1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4.094,95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40.351,77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40.351,77</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SI/2020/PR/0040</w:t>
            </w:r>
            <w:r>
              <w:rPr>
                <w:sz w:val="22"/>
              </w:rPr>
              <w:t xml:space="preserve"> - </w:t>
            </w:r>
            <w:r>
              <w:rPr>
                <w:noProof/>
                <w:sz w:val="22"/>
              </w:rPr>
              <w:t>A.SO1.1.1-12B-Pomoč pri nastanitvi in oskrbi prosilcev ob sprejemu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3.053,28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3.053,28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3.053,28</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SI/2020/PR/0041</w:t>
            </w:r>
            <w:r>
              <w:rPr>
                <w:sz w:val="22"/>
              </w:rPr>
              <w:t xml:space="preserve"> - </w:t>
            </w:r>
            <w:r>
              <w:rPr>
                <w:noProof/>
                <w:sz w:val="22"/>
              </w:rPr>
              <w:t>A.SO1.1.2-01B-Usposabljanje JU, zakonitih zastopnikov in drugih v azilni problematiki</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436,53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436,53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6"/>
        <w:gridCol w:w="150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436,53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SI/2020/PR/0042</w:t>
            </w:r>
            <w:r>
              <w:rPr>
                <w:sz w:val="22"/>
              </w:rPr>
              <w:t xml:space="preserve"> - </w:t>
            </w:r>
            <w:r>
              <w:rPr>
                <w:noProof/>
                <w:sz w:val="22"/>
              </w:rPr>
              <w:t>A.SO1.1.4-03A-Investicijsko vzdrževanje azilnega doma, nakup opreme in izboljšanje pogojev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7.932,83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7.932,83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7.932,83</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SI/2020/PR/0043</w:t>
            </w:r>
            <w:r>
              <w:rPr>
                <w:sz w:val="22"/>
              </w:rPr>
              <w:t xml:space="preserve"> - </w:t>
            </w:r>
            <w:r>
              <w:rPr>
                <w:noProof/>
                <w:sz w:val="22"/>
              </w:rPr>
              <w:t>A.SO2.2.1-01C-Tečaji slovenskega jezika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67.006,15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159.516,49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226.522,64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226.522,64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SI/2020/PR/0044</w:t>
            </w:r>
            <w:r>
              <w:rPr>
                <w:sz w:val="22"/>
              </w:rPr>
              <w:t xml:space="preserve"> - </w:t>
            </w:r>
            <w:r>
              <w:rPr>
                <w:noProof/>
                <w:sz w:val="22"/>
              </w:rPr>
              <w:t>A.SO2.2.1-02C-Izpiti iz slovenskega jezika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14.905,97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15.522,78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30.428,75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30.428,75</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SI/2020/PR/0045</w:t>
            </w:r>
            <w:r>
              <w:rPr>
                <w:sz w:val="22"/>
              </w:rPr>
              <w:t xml:space="preserve"> - </w:t>
            </w:r>
            <w:r>
              <w:rPr>
                <w:noProof/>
                <w:sz w:val="22"/>
              </w:rPr>
              <w:t>A.SO3.1.2-01C-Spremljanje prisilnega vračanja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CorrRAFY2022</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-12,77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401,22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364,02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317,50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264,06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NPS-5.0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396,76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NPS-6.0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402,52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NPS-7.0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469,79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2.603,10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2.603,10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SI/2020/PR/0046</w:t>
            </w:r>
            <w:r>
              <w:rPr>
                <w:sz w:val="22"/>
              </w:rPr>
              <w:t xml:space="preserve"> - </w:t>
            </w:r>
            <w:r>
              <w:rPr>
                <w:noProof/>
                <w:sz w:val="22"/>
              </w:rPr>
              <w:t>A.SO3.1.3-01D-Tekoči stroški v Centru za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56.933,58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85.671,89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121.761,85</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114.161,10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378.528,42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5"/>
        <w:gridCol w:w="203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378.528,42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SI/2020/PR/0047</w:t>
            </w:r>
            <w:r>
              <w:rPr>
                <w:sz w:val="22"/>
              </w:rPr>
              <w:t xml:space="preserve"> - </w:t>
            </w:r>
            <w:r>
              <w:rPr>
                <w:noProof/>
                <w:sz w:val="22"/>
              </w:rPr>
              <w:t>A.SO3.1.3-01E-Tekoči stroški v Centru za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96.796,76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96.796,76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96.796,76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SI/2020/PR/0048</w:t>
            </w:r>
            <w:r>
              <w:rPr>
                <w:sz w:val="22"/>
              </w:rPr>
              <w:t xml:space="preserve"> - </w:t>
            </w:r>
            <w:r>
              <w:rPr>
                <w:noProof/>
                <w:sz w:val="22"/>
              </w:rPr>
              <w:t>A.SO3.1.3-03C - Mednarodni prostor za zavrnjene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16.944,01</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21.643,06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38.587,07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38.587,07</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SI/2020/PR/0049</w:t>
            </w:r>
            <w:r>
              <w:rPr>
                <w:sz w:val="22"/>
              </w:rPr>
              <w:t xml:space="preserve"> - </w:t>
            </w:r>
            <w:r>
              <w:rPr>
                <w:noProof/>
                <w:sz w:val="22"/>
              </w:rPr>
              <w:t>A.SO3.1.3-03D - Mednarodni prostor za zavrnjene tujce</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6.808,42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6.808,42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6.808,42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SI/2020/PR/0050</w:t>
            </w:r>
            <w:r>
              <w:rPr>
                <w:sz w:val="22"/>
              </w:rPr>
              <w:t xml:space="preserve"> - </w:t>
            </w:r>
            <w:r>
              <w:rPr>
                <w:noProof/>
                <w:sz w:val="22"/>
              </w:rPr>
              <w:t>A.SO3.1.4-01C - Psihosocialna in zdravstvena oskrba tujcev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12.306,20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12.306,20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12.306,20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SI/2020/PR/0051</w:t>
            </w:r>
            <w:r>
              <w:rPr>
                <w:sz w:val="22"/>
              </w:rPr>
              <w:t xml:space="preserve"> - </w:t>
            </w:r>
            <w:r>
              <w:rPr>
                <w:noProof/>
                <w:sz w:val="22"/>
              </w:rPr>
              <w:t>A.SO3.1.6-01B-Razširitev mreže prevajalcev in tolmačev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9.214,67</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4.483,49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13.698,16</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13.698,16</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SI/2020/PR/0052</w:t>
            </w:r>
            <w:r>
              <w:rPr>
                <w:sz w:val="22"/>
              </w:rPr>
              <w:t xml:space="preserve"> - </w:t>
            </w:r>
            <w:r>
              <w:rPr>
                <w:noProof/>
                <w:sz w:val="22"/>
              </w:rPr>
              <w:t>A.SO3.1.6-01C-Razširitev mreže prevajalcev in tolmačev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5.344,93</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NPS-2.1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3.531,62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NPS-3.1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7.042,38</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NPS-4.1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5.618,89</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21.537,82</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0"/>
        <w:gridCol w:w="188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21.537,82</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SI/2020/PR/0053</w:t>
            </w:r>
            <w:r>
              <w:rPr>
                <w:sz w:val="22"/>
              </w:rPr>
              <w:t xml:space="preserve"> - </w:t>
            </w:r>
            <w:r>
              <w:rPr>
                <w:noProof/>
                <w:sz w:val="22"/>
              </w:rPr>
              <w:t>A.SO3.2.3-01C - Vračanje tujcev</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5.308,60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5.308,60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5.308,60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SI/2020/PR/0054</w:t>
            </w:r>
            <w:r>
              <w:rPr>
                <w:sz w:val="22"/>
              </w:rPr>
              <w:t xml:space="preserve"> - </w:t>
            </w:r>
            <w:r>
              <w:rPr>
                <w:noProof/>
                <w:sz w:val="22"/>
              </w:rPr>
              <w:t>A.SO3.3.1-01A - Sodelovanje s partnerji na področju vračanja</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NPS-1.1</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1.993,14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r>
              <w:rPr>
                <w:rFonts w:ascii="Wingdings" w:hAnsi="Wingdings" w:cs="Wingdings"/>
                <w:sz w:val="26"/>
                <w:szCs w:val="26"/>
                <w:lang w:eastAsia="en-GB"/>
              </w:rPr>
              <w:sym w:font="Wingdings" w:char="F0FC"/>
            </w:r>
          </w:p>
        </w:tc>
        <w:tc>
          <w:tcPr>
            <w:shd w:val="clear" w:color="auto" w:fill="auto"/>
          </w:tcPr>
          <w:p w:rsidR="00321B6A" w:rsidRPr="00615775" w:rsidP="00D15173">
            <w:pPr>
              <w:pStyle w:val="Text1"/>
              <w:spacing w:before="0" w:after="0"/>
              <w:ind w:left="0"/>
              <w:jc w:val="center"/>
            </w:pP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1.993,14</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30"/>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1.993,14</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32C5C"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SI/2020/PR/0055</w:t>
            </w:r>
            <w:r>
              <w:rPr>
                <w:sz w:val="22"/>
              </w:rPr>
              <w:t xml:space="preserve"> - </w:t>
            </w:r>
            <w:r>
              <w:rPr>
                <w:noProof/>
                <w:sz w:val="22"/>
              </w:rPr>
              <w:t>A.SO1.1.6-05A - Preprečevanje trgovine z ljudmi, spolnega nasilja ali nasilja po spolu</w:t>
            </w:r>
          </w:p>
        </w:tc>
      </w:tr>
    </w:tbl>
    <w:p w:rsidR="00321B6A" w:rsidP="00D15173">
      <w:pPr>
        <w:pStyle w:val="Text1"/>
        <w:spacing w:before="0" w:after="0"/>
        <w:ind w:left="0"/>
        <w:rPr>
          <w:b/>
        </w:rPr>
      </w:pPr>
    </w:p>
    <w:p w:rsidR="00321B6A" w:rsidP="00D15173">
      <w:pPr>
        <w:pStyle w:val="Text1"/>
        <w:spacing w:before="0" w:after="0"/>
        <w:ind w:left="0"/>
        <w:rPr>
          <w:b/>
        </w:rPr>
      </w:pPr>
      <w:r w:rsidRPr="003908A1">
        <w:rPr>
          <w:b/>
          <w:noProof/>
        </w:rPr>
        <w:t>Plačila</w:t>
      </w:r>
    </w:p>
    <w:p w:rsidR="00321B6A" w:rsidRPr="003908A1" w:rsidP="00D15173">
      <w:pPr>
        <w:pStyle w:val="Text1"/>
        <w:spacing w:before="0" w:after="0"/>
        <w:ind w:left="0"/>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7"/>
        <w:gridCol w:w="3433"/>
        <w:gridCol w:w="1932"/>
        <w:gridCol w:w="1547"/>
        <w:gridCol w:w="173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shd w:val="clear" w:color="auto" w:fill="auto"/>
          </w:tcPr>
          <w:p w:rsidR="00321B6A" w:rsidRPr="00973D7F" w:rsidP="00D15173">
            <w:pPr>
              <w:pStyle w:val="Text1"/>
              <w:spacing w:before="0" w:after="0"/>
              <w:ind w:left="0"/>
              <w:jc w:val="left"/>
              <w:rPr>
                <w:b/>
                <w:sz w:val="22"/>
              </w:rPr>
            </w:pPr>
            <w:r w:rsidRPr="00973D7F">
              <w:rPr>
                <w:b/>
                <w:noProof/>
              </w:rPr>
              <w:t>Računovodski sklic DČ</w:t>
            </w:r>
          </w:p>
        </w:tc>
        <w:tc>
          <w:tcPr>
            <w:shd w:val="clear" w:color="auto" w:fill="auto"/>
          </w:tcPr>
          <w:p w:rsidR="00321B6A" w:rsidRPr="00973D7F"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Pr="003F6A76" w:rsidR="00D06AB3">
              <w:rPr>
                <w:b/>
                <w:noProof/>
              </w:rPr>
              <w:t>2022</w:t>
            </w:r>
          </w:p>
        </w:tc>
        <w:tc>
          <w:tcPr/>
          <w:p w:rsidR="00321B6A" w:rsidRPr="00973D7F" w:rsidP="00D15173">
            <w:pPr>
              <w:pStyle w:val="Text1"/>
              <w:spacing w:before="0" w:after="0"/>
              <w:ind w:left="0"/>
              <w:jc w:val="left"/>
              <w:rPr>
                <w:b/>
                <w:sz w:val="22"/>
              </w:rPr>
            </w:pPr>
            <w:r>
              <w:rPr>
                <w:b/>
                <w:noProof/>
                <w:sz w:val="22"/>
              </w:rPr>
              <w:t>Že zavrnila Komisija v letu</w:t>
            </w:r>
          </w:p>
        </w:tc>
        <w:tc>
          <w:tcPr/>
          <w:p w:rsidR="00321B6A" w:rsidRPr="00973D7F" w:rsidP="00D15173">
            <w:pPr>
              <w:pStyle w:val="Text1"/>
              <w:spacing w:before="0" w:after="0"/>
              <w:ind w:left="0"/>
              <w:jc w:val="left"/>
              <w:rPr>
                <w:b/>
                <w:sz w:val="22"/>
              </w:rPr>
            </w:pPr>
            <w:r>
              <w:rPr>
                <w:b/>
                <w:noProof/>
                <w:sz w:val="22"/>
              </w:rPr>
              <w:t>Je to vmesno plačilo?</w:t>
            </w:r>
          </w:p>
        </w:tc>
        <w:tc>
          <w:tcPr>
            <w:shd w:val="clear" w:color="auto" w:fill="auto"/>
          </w:tcPr>
          <w:p w:rsidR="00321B6A" w:rsidRPr="00973D7F" w:rsidP="00D15173">
            <w:pPr>
              <w:pStyle w:val="Text1"/>
              <w:spacing w:before="0" w:after="0"/>
              <w:ind w:left="0"/>
              <w:jc w:val="left"/>
              <w:rPr>
                <w:b/>
                <w:sz w:val="22"/>
              </w:rPr>
            </w:pPr>
            <w:r w:rsidRPr="00973D7F">
              <w:rPr>
                <w:b/>
                <w:noProof/>
                <w:sz w:val="22"/>
              </w:rPr>
              <w:t>Ali je to končno plačilo?</w:t>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Pr>
                <w:noProof/>
              </w:rPr>
              <w:t>NPS-1.0</w:t>
            </w:r>
          </w:p>
        </w:tc>
        <w:tc>
          <w:tcPr>
            <w:shd w:val="clear" w:color="auto" w:fill="auto"/>
          </w:tcPr>
          <w:p w:rsidR="00321B6A" w:rsidRPr="0026401E" w:rsidP="00D15173">
            <w:pPr>
              <w:pStyle w:val="Text1"/>
              <w:spacing w:before="0" w:after="0"/>
              <w:ind w:left="0"/>
              <w:jc w:val="right"/>
              <w:rPr>
                <w:color w:val="000000"/>
                <w:sz w:val="22"/>
              </w:rPr>
            </w:pPr>
            <w:r w:rsidRPr="0026401E">
              <w:rPr>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r>
              <w:rPr>
                <w:rFonts w:ascii="Wingdings" w:hAnsi="Wingdings" w:cs="Wingdings"/>
                <w:sz w:val="26"/>
                <w:szCs w:val="26"/>
                <w:lang w:eastAsia="en-GB"/>
              </w:rPr>
              <w:sym w:font="Wingdings" w:char="F0FC"/>
            </w:r>
          </w:p>
        </w:tc>
      </w:tr>
      <w:tr w:rsidTr="00187F2F">
        <w:tblPrEx>
          <w:tblW w:w="5000" w:type="pct"/>
          <w:tblLook w:val="04A0"/>
        </w:tblPrEx>
        <w:trPr>
          <w:trHeight w:val="283"/>
        </w:trPr>
        <w:tc>
          <w:tcPr>
            <w:shd w:val="clear" w:color="auto" w:fill="auto"/>
          </w:tcPr>
          <w:p w:rsidR="00321B6A" w:rsidRPr="008D3E2D" w:rsidP="00D15173">
            <w:pPr>
              <w:pStyle w:val="Text1"/>
              <w:spacing w:before="0" w:after="0"/>
              <w:ind w:left="0"/>
              <w:jc w:val="left"/>
              <w:rPr>
                <w:sz w:val="22"/>
              </w:rPr>
            </w:pPr>
            <w:r w:rsidRPr="009E4BC4">
              <w:rPr>
                <w:sz w:val="22"/>
              </w:rPr>
              <w:t xml:space="preserve"> </w:t>
            </w:r>
            <w:r w:rsidRPr="00973D7F">
              <w:rPr>
                <w:b/>
                <w:noProof/>
              </w:rPr>
              <w:t>Skupaj</w:t>
            </w:r>
          </w:p>
        </w:tc>
        <w:tc>
          <w:tcPr>
            <w:shd w:val="clear" w:color="auto" w:fill="auto"/>
          </w:tcPr>
          <w:p w:rsidR="00321B6A" w:rsidRPr="0026401E" w:rsidP="00D15173">
            <w:pPr>
              <w:pStyle w:val="Text1"/>
              <w:spacing w:before="0" w:after="0"/>
              <w:ind w:left="0"/>
              <w:jc w:val="right"/>
              <w:rPr>
                <w:color w:val="000000"/>
                <w:sz w:val="22"/>
              </w:rPr>
            </w:pPr>
            <w:r w:rsidRPr="00973D7F">
              <w:rPr>
                <w:b/>
                <w:noProof/>
                <w:color w:val="000000"/>
                <w:sz w:val="22"/>
              </w:rPr>
              <w:t>0,00</w:t>
            </w:r>
          </w:p>
        </w:tc>
        <w:tc>
          <w:tcPr/>
          <w:p w:rsidR="00321B6A" w:rsidP="00D15173">
            <w:pPr>
              <w:pStyle w:val="Text1"/>
              <w:spacing w:before="0" w:after="0"/>
              <w:ind w:left="0"/>
              <w:jc w:val="center"/>
              <w:rPr>
                <w:sz w:val="22"/>
              </w:rPr>
            </w:pPr>
          </w:p>
        </w:tc>
        <w:tc>
          <w:tcPr/>
          <w:p w:rsidR="00321B6A" w:rsidP="00D15173">
            <w:pPr>
              <w:pStyle w:val="Text1"/>
              <w:spacing w:before="0" w:after="0"/>
              <w:ind w:left="0"/>
              <w:jc w:val="center"/>
              <w:rPr>
                <w:sz w:val="22"/>
              </w:rPr>
            </w:pPr>
          </w:p>
        </w:tc>
        <w:tc>
          <w:tcPr>
            <w:shd w:val="clear" w:color="auto" w:fill="auto"/>
          </w:tcPr>
          <w:p w:rsidR="00321B6A" w:rsidRPr="00615775" w:rsidP="00D15173">
            <w:pPr>
              <w:pStyle w:val="Text1"/>
              <w:spacing w:before="0" w:after="0"/>
              <w:ind w:left="0"/>
              <w:jc w:val="center"/>
            </w:pPr>
          </w:p>
        </w:tc>
      </w:tr>
    </w:tbl>
    <w:p w:rsidR="00321B6A" w:rsidP="00D15173">
      <w:pPr>
        <w:pStyle w:val="Text1"/>
        <w:spacing w:before="0" w:after="0"/>
        <w:ind w:left="0"/>
        <w:rPr>
          <w:b/>
        </w:rPr>
      </w:pPr>
    </w:p>
    <w:p w:rsidR="00321B6A" w:rsidRPr="00935C67" w:rsidP="00D15173">
      <w:pPr>
        <w:pStyle w:val="Text1"/>
        <w:spacing w:before="0" w:after="0"/>
        <w:ind w:left="0"/>
      </w:pPr>
      <w:r w:rsidRPr="00935C67">
        <w:rPr>
          <w:noProof/>
        </w:rPr>
        <w:t>Opomba: Vmesno plačilo = povračilo izdatkov, ki nastanejo upravičencu tekočega projekta</w:t>
      </w:r>
    </w:p>
    <w:p w:rsidR="00321B6A" w:rsidP="00D15173">
      <w:pPr>
        <w:pStyle w:val="Text1"/>
        <w:spacing w:before="0" w:after="0"/>
        <w:ind w:left="0"/>
        <w:rPr>
          <w:b/>
        </w:rPr>
      </w:pPr>
    </w:p>
    <w:p w:rsidR="00321B6A" w:rsidP="00D15173">
      <w:pPr>
        <w:pStyle w:val="Text1"/>
        <w:spacing w:before="0" w:after="0"/>
        <w:ind w:left="0"/>
        <w:rPr>
          <w:b/>
        </w:rPr>
      </w:pPr>
      <w:r w:rsidRPr="006C5AE9">
        <w:rPr>
          <w:b/>
          <w:noProof/>
        </w:rPr>
        <w:t>Drugi računovodski podatki</w:t>
      </w:r>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1"/>
        <w:gridCol w:w="1167"/>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Kumulativni prispevek Unije, plačan od začetka projekta</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r>
              <w:t xml:space="preserve"> </w:t>
            </w:r>
            <w:r>
              <w:rPr>
                <w:noProof/>
              </w:rPr>
              <w:t>0,00</w:t>
            </w: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Načrtovana izterjava prispevka Unije?</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center"/>
            </w:pPr>
          </w:p>
        </w:tc>
      </w:tr>
      <w:tr w:rsidTr="00321B6A">
        <w:tblPrEx>
          <w:tblW w:w="5000" w:type="pct"/>
          <w:tblLook w:val="04A0"/>
        </w:tblPrEx>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left"/>
            </w:pPr>
            <w:r>
              <w:rPr>
                <w:noProof/>
              </w:rPr>
              <w:t>Znesek prispevka Unije, ki ga je treba izterjati</w:t>
            </w:r>
          </w:p>
        </w:tc>
        <w:tc>
          <w:tcPr>
            <w:tcBorders>
              <w:top w:val="single" w:sz="4" w:space="0" w:color="auto"/>
              <w:left w:val="single" w:sz="4" w:space="0" w:color="auto"/>
              <w:bottom w:val="single" w:sz="4" w:space="0" w:color="auto"/>
              <w:right w:val="single" w:sz="4" w:space="0" w:color="auto"/>
            </w:tcBorders>
            <w:hideMark/>
          </w:tcPr>
          <w:p w:rsidR="00321B6A" w:rsidP="00D15173">
            <w:pPr>
              <w:pStyle w:val="Text1"/>
              <w:spacing w:before="0" w:after="0"/>
              <w:ind w:left="0"/>
              <w:jc w:val="right"/>
            </w:pPr>
          </w:p>
        </w:tc>
      </w:tr>
    </w:tbl>
    <w:p w:rsidR="00321B6A" w:rsidRPr="006C5AE9" w:rsidP="00D15173">
      <w:pPr>
        <w:pStyle w:val="Text1"/>
        <w:spacing w:before="0" w:after="0"/>
        <w:ind w:left="0"/>
      </w:pPr>
    </w:p>
    <w:p w:rsidR="00321B6A" w:rsidP="00D15173">
      <w:pPr>
        <w:spacing w:before="0" w:after="0"/>
      </w:pPr>
    </w:p>
    <w:p w:rsidR="00321B6A" w:rsidRPr="00031636" w:rsidP="00D15173">
      <w:pPr>
        <w:spacing w:before="0" w:after="0"/>
        <w:rPr>
          <w:b/>
        </w:rPr>
      </w:pPr>
      <w:r>
        <w:rPr>
          <w:b/>
        </w:rPr>
        <w:br w:type="page"/>
      </w:r>
      <w:r w:rsidRPr="00031636">
        <w:rPr>
          <w:b/>
          <w:noProof/>
        </w:rPr>
        <w:t>Tehnična pomoč</w:t>
      </w:r>
    </w:p>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2"/>
        <w:gridCol w:w="7706"/>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321B6A" w:rsidRPr="00132C5C" w:rsidP="00D15173">
            <w:pPr>
              <w:spacing w:before="0" w:after="0"/>
              <w:jc w:val="left"/>
              <w:rPr>
                <w:b/>
              </w:rPr>
            </w:pPr>
            <w:r w:rsidRPr="00132C5C">
              <w:rPr>
                <w:b/>
                <w:noProof/>
                <w:sz w:val="22"/>
              </w:rPr>
              <w:t>Računovodski sklic DČ</w:t>
            </w:r>
          </w:p>
        </w:tc>
        <w:tc>
          <w:tcPr>
            <w:shd w:val="clear" w:color="auto" w:fill="auto"/>
          </w:tcPr>
          <w:p w:rsidR="00321B6A" w:rsidRPr="00132C5C" w:rsidP="00D15173">
            <w:pPr>
              <w:spacing w:before="0" w:after="0"/>
              <w:jc w:val="center"/>
              <w:rPr>
                <w:b/>
              </w:rPr>
            </w:pPr>
            <w:r w:rsidRPr="00132C5C">
              <w:rPr>
                <w:b/>
                <w:noProof/>
                <w:color w:val="000000"/>
                <w:kern w:val="24"/>
                <w:sz w:val="22"/>
              </w:rPr>
              <w:t>Prispevek Unije, plačan za tehnično pomoč v proračunskem letu 2022</w:t>
            </w:r>
          </w:p>
        </w:tc>
      </w:tr>
      <w:tr w:rsidTr="00321B6A">
        <w:tblPrEx>
          <w:tblW w:w="5000" w:type="pct"/>
          <w:tblLook w:val="04A0"/>
        </w:tblPrEx>
        <w:tc>
          <w:tcPr>
            <w:shd w:val="clear" w:color="auto" w:fill="auto"/>
          </w:tcPr>
          <w:p w:rsidR="00321B6A" w:rsidP="00D15173">
            <w:pPr>
              <w:spacing w:before="0" w:after="0"/>
              <w:jc w:val="left"/>
            </w:pPr>
            <w:r>
              <w:rPr>
                <w:noProof/>
              </w:rPr>
              <w:t>A.TA01B-NPS-3.0</w:t>
            </w:r>
          </w:p>
        </w:tc>
        <w:tc>
          <w:tcPr>
            <w:shd w:val="clear" w:color="auto" w:fill="auto"/>
          </w:tcPr>
          <w:p w:rsidR="00321B6A" w:rsidP="00D15173">
            <w:pPr>
              <w:spacing w:before="0" w:after="0"/>
              <w:jc w:val="right"/>
            </w:pPr>
            <w:r>
              <w:rPr>
                <w:noProof/>
              </w:rPr>
              <w:t>39.833,57</w:t>
            </w:r>
          </w:p>
        </w:tc>
      </w:tr>
      <w:tr w:rsidTr="00321B6A">
        <w:tblPrEx>
          <w:tblW w:w="5000" w:type="pct"/>
          <w:tblLook w:val="04A0"/>
        </w:tblPrEx>
        <w:tc>
          <w:tcPr>
            <w:shd w:val="clear" w:color="auto" w:fill="auto"/>
          </w:tcPr>
          <w:p w:rsidR="00321B6A" w:rsidP="00D15173">
            <w:pPr>
              <w:spacing w:before="0" w:after="0"/>
              <w:jc w:val="left"/>
            </w:pPr>
            <w:r>
              <w:rPr>
                <w:noProof/>
              </w:rPr>
              <w:t>A.TA01B-NPS-5.0</w:t>
            </w:r>
          </w:p>
        </w:tc>
        <w:tc>
          <w:tcPr>
            <w:shd w:val="clear" w:color="auto" w:fill="auto"/>
          </w:tcPr>
          <w:p w:rsidR="00321B6A" w:rsidP="00D15173">
            <w:pPr>
              <w:spacing w:before="0" w:after="0"/>
              <w:jc w:val="right"/>
            </w:pPr>
            <w:r>
              <w:rPr>
                <w:noProof/>
              </w:rPr>
              <w:t>579,76</w:t>
            </w:r>
          </w:p>
        </w:tc>
      </w:tr>
      <w:tr w:rsidTr="00321B6A">
        <w:tblPrEx>
          <w:tblW w:w="5000" w:type="pct"/>
          <w:tblLook w:val="04A0"/>
        </w:tblPrEx>
        <w:tc>
          <w:tcPr>
            <w:shd w:val="clear" w:color="auto" w:fill="auto"/>
          </w:tcPr>
          <w:p w:rsidR="00321B6A" w:rsidP="00D15173">
            <w:pPr>
              <w:spacing w:before="0" w:after="0"/>
              <w:jc w:val="left"/>
            </w:pPr>
            <w:r>
              <w:rPr>
                <w:noProof/>
              </w:rPr>
              <w:t>A.TA01C-NPS-1.0</w:t>
            </w:r>
          </w:p>
        </w:tc>
        <w:tc>
          <w:tcPr>
            <w:shd w:val="clear" w:color="auto" w:fill="auto"/>
          </w:tcPr>
          <w:p w:rsidR="00321B6A" w:rsidP="00D15173">
            <w:pPr>
              <w:spacing w:before="0" w:after="0"/>
              <w:jc w:val="right"/>
            </w:pPr>
            <w:r>
              <w:rPr>
                <w:noProof/>
              </w:rPr>
              <w:t>87.367,58</w:t>
            </w:r>
          </w:p>
        </w:tc>
      </w:tr>
      <w:tr w:rsidTr="00321B6A">
        <w:tblPrEx>
          <w:tblW w:w="5000" w:type="pct"/>
          <w:tblLook w:val="04A0"/>
        </w:tblPrEx>
        <w:tc>
          <w:tcPr>
            <w:shd w:val="clear" w:color="auto" w:fill="auto"/>
          </w:tcPr>
          <w:p w:rsidR="00321B6A" w:rsidP="00D15173">
            <w:pPr>
              <w:spacing w:before="0" w:after="0"/>
              <w:jc w:val="left"/>
            </w:pPr>
            <w:r>
              <w:rPr>
                <w:noProof/>
              </w:rPr>
              <w:t>A.TA02B-NPS-3.0</w:t>
            </w:r>
          </w:p>
        </w:tc>
        <w:tc>
          <w:tcPr>
            <w:shd w:val="clear" w:color="auto" w:fill="auto"/>
          </w:tcPr>
          <w:p w:rsidR="00321B6A" w:rsidP="00D15173">
            <w:pPr>
              <w:spacing w:before="0" w:after="0"/>
              <w:jc w:val="right"/>
            </w:pPr>
            <w:r>
              <w:rPr>
                <w:noProof/>
              </w:rPr>
              <w:t>9.781,93</w:t>
            </w:r>
          </w:p>
        </w:tc>
      </w:tr>
      <w:tr w:rsidTr="00321B6A">
        <w:tblPrEx>
          <w:tblW w:w="5000" w:type="pct"/>
          <w:tblLook w:val="04A0"/>
        </w:tblPrEx>
        <w:tc>
          <w:tcPr>
            <w:shd w:val="clear" w:color="auto" w:fill="auto"/>
          </w:tcPr>
          <w:p w:rsidR="00321B6A" w:rsidP="00D15173">
            <w:pPr>
              <w:spacing w:before="0" w:after="0"/>
              <w:jc w:val="left"/>
            </w:pPr>
            <w:r>
              <w:rPr>
                <w:noProof/>
              </w:rPr>
              <w:t>A.TA02B-NPS-4.0</w:t>
            </w:r>
          </w:p>
        </w:tc>
        <w:tc>
          <w:tcPr>
            <w:shd w:val="clear" w:color="auto" w:fill="auto"/>
          </w:tcPr>
          <w:p w:rsidR="00321B6A" w:rsidP="00D15173">
            <w:pPr>
              <w:spacing w:before="0" w:after="0"/>
              <w:jc w:val="right"/>
            </w:pPr>
            <w:r>
              <w:rPr>
                <w:noProof/>
              </w:rPr>
              <w:t>6.246,29</w:t>
            </w:r>
          </w:p>
        </w:tc>
      </w:tr>
      <w:tr w:rsidTr="00321B6A">
        <w:tblPrEx>
          <w:tblW w:w="5000" w:type="pct"/>
          <w:tblLook w:val="04A0"/>
        </w:tblPrEx>
        <w:tc>
          <w:tcPr>
            <w:shd w:val="clear" w:color="auto" w:fill="auto"/>
          </w:tcPr>
          <w:p w:rsidR="00321B6A" w:rsidP="00D15173">
            <w:pPr>
              <w:spacing w:before="0" w:after="0"/>
              <w:jc w:val="left"/>
            </w:pPr>
            <w:r>
              <w:rPr>
                <w:noProof/>
              </w:rPr>
              <w:t>A.TA02B-NPS-5.0</w:t>
            </w:r>
          </w:p>
        </w:tc>
        <w:tc>
          <w:tcPr>
            <w:shd w:val="clear" w:color="auto" w:fill="auto"/>
          </w:tcPr>
          <w:p w:rsidR="00321B6A" w:rsidP="00D15173">
            <w:pPr>
              <w:spacing w:before="0" w:after="0"/>
              <w:jc w:val="right"/>
            </w:pPr>
            <w:r>
              <w:rPr>
                <w:noProof/>
              </w:rPr>
              <w:t>2.469,65</w:t>
            </w:r>
          </w:p>
        </w:tc>
      </w:tr>
      <w:tr w:rsidTr="00321B6A">
        <w:tblPrEx>
          <w:tblW w:w="5000" w:type="pct"/>
          <w:tblLook w:val="04A0"/>
        </w:tblPrEx>
        <w:tc>
          <w:tcPr>
            <w:shd w:val="clear" w:color="auto" w:fill="auto"/>
          </w:tcPr>
          <w:p w:rsidR="00321B6A" w:rsidP="00D15173">
            <w:pPr>
              <w:spacing w:before="0" w:after="0"/>
              <w:jc w:val="left"/>
            </w:pPr>
            <w:r>
              <w:rPr>
                <w:noProof/>
              </w:rPr>
              <w:t>A.TA02C-NPS-1.0</w:t>
            </w:r>
          </w:p>
        </w:tc>
        <w:tc>
          <w:tcPr>
            <w:shd w:val="clear" w:color="auto" w:fill="auto"/>
          </w:tcPr>
          <w:p w:rsidR="00321B6A" w:rsidP="00D15173">
            <w:pPr>
              <w:spacing w:before="0" w:after="0"/>
              <w:jc w:val="right"/>
            </w:pPr>
            <w:r>
              <w:rPr>
                <w:noProof/>
              </w:rPr>
              <w:t>6.551,75</w:t>
            </w:r>
          </w:p>
        </w:tc>
      </w:tr>
      <w:tr w:rsidTr="00321B6A">
        <w:tblPrEx>
          <w:tblW w:w="5000" w:type="pct"/>
          <w:tblLook w:val="04A0"/>
        </w:tblPrEx>
        <w:tc>
          <w:tcPr>
            <w:shd w:val="clear" w:color="auto" w:fill="auto"/>
          </w:tcPr>
          <w:p w:rsidR="00321B6A" w:rsidP="00D15173">
            <w:pPr>
              <w:spacing w:before="0" w:after="0"/>
              <w:jc w:val="left"/>
            </w:pPr>
            <w:r>
              <w:rPr>
                <w:noProof/>
              </w:rPr>
              <w:t>A.TA02D-NPS-1.0</w:t>
            </w:r>
          </w:p>
        </w:tc>
        <w:tc>
          <w:tcPr>
            <w:shd w:val="clear" w:color="auto" w:fill="auto"/>
          </w:tcPr>
          <w:p w:rsidR="00321B6A" w:rsidP="00D15173">
            <w:pPr>
              <w:spacing w:before="0" w:after="0"/>
              <w:jc w:val="right"/>
            </w:pPr>
            <w:r>
              <w:rPr>
                <w:noProof/>
              </w:rPr>
              <w:t>6.291,87</w:t>
            </w:r>
          </w:p>
        </w:tc>
      </w:tr>
      <w:tr w:rsidTr="00321B6A">
        <w:tblPrEx>
          <w:tblW w:w="5000" w:type="pct"/>
          <w:tblLook w:val="04A0"/>
        </w:tblPrEx>
        <w:tc>
          <w:tcPr>
            <w:shd w:val="clear" w:color="auto" w:fill="auto"/>
          </w:tcPr>
          <w:p w:rsidR="00321B6A" w:rsidP="00D15173">
            <w:pPr>
              <w:spacing w:before="0" w:after="0"/>
              <w:jc w:val="left"/>
            </w:pPr>
            <w:r>
              <w:rPr>
                <w:noProof/>
              </w:rPr>
              <w:t>CorrRA2B3.0FY22</w:t>
            </w:r>
          </w:p>
        </w:tc>
        <w:tc>
          <w:tcPr>
            <w:shd w:val="clear" w:color="auto" w:fill="auto"/>
          </w:tcPr>
          <w:p w:rsidR="00321B6A" w:rsidP="00D15173">
            <w:pPr>
              <w:spacing w:before="0" w:after="0"/>
              <w:jc w:val="right"/>
            </w:pPr>
            <w:r>
              <w:rPr>
                <w:noProof/>
              </w:rPr>
              <w:t>-54,17</w:t>
            </w:r>
          </w:p>
        </w:tc>
      </w:tr>
      <w:tr w:rsidTr="00321B6A">
        <w:tblPrEx>
          <w:tblW w:w="5000" w:type="pct"/>
          <w:tblLook w:val="04A0"/>
        </w:tblPrEx>
        <w:tc>
          <w:tcPr>
            <w:shd w:val="clear" w:color="auto" w:fill="auto"/>
          </w:tcPr>
          <w:p w:rsidR="00321B6A" w:rsidP="00D15173">
            <w:pPr>
              <w:spacing w:before="0" w:after="0"/>
              <w:jc w:val="left"/>
            </w:pPr>
            <w:r>
              <w:rPr>
                <w:noProof/>
              </w:rPr>
              <w:t>CorrRA2B4.0FY22</w:t>
            </w:r>
          </w:p>
        </w:tc>
        <w:tc>
          <w:tcPr>
            <w:shd w:val="clear" w:color="auto" w:fill="auto"/>
          </w:tcPr>
          <w:p w:rsidR="00321B6A" w:rsidP="00D15173">
            <w:pPr>
              <w:spacing w:before="0" w:after="0"/>
              <w:jc w:val="right"/>
            </w:pPr>
            <w:r>
              <w:rPr>
                <w:noProof/>
              </w:rPr>
              <w:t>-349,60</w:t>
            </w:r>
          </w:p>
        </w:tc>
      </w:tr>
      <w:tr w:rsidTr="00321B6A">
        <w:tblPrEx>
          <w:tblW w:w="5000" w:type="pct"/>
          <w:tblLook w:val="04A0"/>
        </w:tblPrEx>
        <w:tc>
          <w:tcPr>
            <w:shd w:val="clear" w:color="auto" w:fill="auto"/>
          </w:tcPr>
          <w:p w:rsidR="00321B6A" w:rsidP="00D15173">
            <w:pPr>
              <w:spacing w:before="0" w:after="0"/>
              <w:jc w:val="left"/>
            </w:pPr>
            <w:r>
              <w:rPr>
                <w:b/>
                <w:noProof/>
              </w:rPr>
              <w:t>Skupaj</w:t>
            </w:r>
          </w:p>
        </w:tc>
        <w:tc>
          <w:tcPr>
            <w:shd w:val="clear" w:color="auto" w:fill="auto"/>
          </w:tcPr>
          <w:p w:rsidR="00321B6A" w:rsidP="00D15173">
            <w:pPr>
              <w:spacing w:before="0" w:after="0"/>
              <w:jc w:val="right"/>
            </w:pPr>
            <w:r w:rsidRPr="00AD1FE4">
              <w:rPr>
                <w:b/>
                <w:noProof/>
              </w:rPr>
              <w:t>158.718,63</w:t>
            </w:r>
          </w:p>
        </w:tc>
      </w:tr>
    </w:tbl>
    <w:p w:rsidR="00321B6A" w:rsidP="00D15173">
      <w:pPr>
        <w:spacing w:before="0" w:after="0"/>
      </w:pPr>
    </w:p>
    <w:p w:rsidR="00321B6A" w:rsidP="00D15173">
      <w:pPr>
        <w:pStyle w:val="Heading2"/>
        <w:numPr>
          <w:ilvl w:val="0"/>
          <w:numId w:val="0"/>
        </w:numPr>
        <w:spacing w:before="0" w:after="0"/>
        <w:jc w:val="left"/>
      </w:pPr>
      <w:r>
        <w:br w:type="page"/>
      </w:r>
      <w:bookmarkStart w:id="12" w:name="_Toc256000011"/>
      <w:r>
        <w:rPr>
          <w:noProof/>
        </w:rPr>
        <w:t>C. Kontrole na kraju samem</w:t>
      </w:r>
      <w:bookmarkEnd w:id="12"/>
    </w:p>
    <w:p w:rsidR="00321B6A" w:rsidRPr="004A3491"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930"/>
        <w:gridCol w:w="1744"/>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SI/2019/PR/0005</w:t>
            </w:r>
          </w:p>
        </w:tc>
        <w:tc>
          <w:tcPr>
            <w:shd w:val="clear" w:color="auto" w:fill="auto"/>
          </w:tcPr>
          <w:p w:rsidR="00321B6A" w:rsidRPr="001C4D80" w:rsidP="00D15173">
            <w:pPr>
              <w:spacing w:before="0" w:after="0"/>
              <w:jc w:val="left"/>
              <w:rPr>
                <w:sz w:val="20"/>
                <w:szCs w:val="20"/>
              </w:rPr>
            </w:pPr>
            <w:r w:rsidRPr="001C4D80">
              <w:rPr>
                <w:noProof/>
                <w:sz w:val="20"/>
                <w:szCs w:val="20"/>
              </w:rPr>
              <w:t>Finančna</w:t>
            </w:r>
          </w:p>
        </w:tc>
        <w:tc>
          <w:tcPr>
            <w:shd w:val="clear" w:color="auto" w:fill="auto"/>
          </w:tcPr>
          <w:p w:rsidR="00321B6A" w:rsidRPr="001C4D80" w:rsidP="00D15173">
            <w:pPr>
              <w:spacing w:before="0" w:after="0"/>
              <w:jc w:val="center"/>
              <w:rPr>
                <w:sz w:val="20"/>
                <w:szCs w:val="20"/>
              </w:rPr>
            </w:pPr>
            <w:r w:rsidRPr="001C4D80">
              <w:rPr>
                <w:noProof/>
                <w:sz w:val="20"/>
                <w:szCs w:val="20"/>
              </w:rPr>
              <w:t>15.6.2022</w:t>
            </w:r>
          </w:p>
        </w:tc>
        <w:tc>
          <w:tcPr>
            <w:shd w:val="clear" w:color="auto" w:fill="auto"/>
          </w:tcPr>
          <w:p w:rsidR="00321B6A" w:rsidRPr="001C4D80" w:rsidP="00D15173">
            <w:pPr>
              <w:spacing w:before="0" w:after="0"/>
              <w:jc w:val="center"/>
              <w:rPr>
                <w:sz w:val="20"/>
                <w:szCs w:val="20"/>
              </w:rPr>
            </w:pPr>
            <w:r w:rsidRPr="001C4D80">
              <w:rPr>
                <w:noProof/>
                <w:sz w:val="20"/>
                <w:szCs w:val="20"/>
              </w:rPr>
              <w:t>1.7.2022</w:t>
            </w:r>
          </w:p>
        </w:tc>
        <w:tc>
          <w:tcPr>
            <w:shd w:val="clear" w:color="auto" w:fill="auto"/>
          </w:tcPr>
          <w:p w:rsidR="00321B6A" w:rsidRPr="001C4D80" w:rsidP="00D15173">
            <w:pPr>
              <w:spacing w:before="0" w:after="0"/>
              <w:jc w:val="center"/>
              <w:rPr>
                <w:sz w:val="20"/>
                <w:szCs w:val="20"/>
              </w:rPr>
            </w:pPr>
            <w:r w:rsidRPr="001C4D80">
              <w:rPr>
                <w:noProof/>
                <w:sz w:val="20"/>
                <w:szCs w:val="20"/>
              </w:rPr>
              <w:t>15.7.2022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617.244,72</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r>
              <w:rPr>
                <w:noProof/>
                <w:sz w:val="20"/>
                <w:szCs w:val="20"/>
              </w:rPr>
              <w:t>0,00%</w:t>
            </w: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(A.SO2.2.1-01B - Tečaj slovenskega jezika):</w:t>
            </w:r>
          </w:p>
          <w:p w:rsidR="00321B6A" w:rsidRPr="001C4D80" w:rsidP="00D15173">
            <w:pPr>
              <w:spacing w:before="0" w:after="0"/>
              <w:jc w:val="left"/>
              <w:rPr>
                <w:sz w:val="20"/>
                <w:szCs w:val="20"/>
              </w:rPr>
            </w:pPr>
            <w:r w:rsidRPr="001C4D80">
              <w:rPr>
                <w:noProof/>
                <w:sz w:val="20"/>
                <w:szCs w:val="20"/>
              </w:rPr>
              <w:t xml:space="preserve">- OO je izvedel kontrolo celotne originalne dokumentacije projekta pri dveh zunanjih izvajalcih, tj VERIS d.o.o. in Cene Štupar – CILJ. Na podlagi izvedene kontrole OO ugotavlja, da so za upravičenost izdatka predložena vsa pogodbeno zahtevana dokazila, da so osnova za obračun nastalih stroškov dejansko opravljene ure programa za posamezno skupino udeležencev, zato so stroški, ki se uveljavljajo v okviru ZzP, ki so bili predmet kontrole, upravičeni do sofinanciranja iz sklada AMIF, da so evidence mesečnih kontrolnih list prisotnosti in mesečnih podpisnih list prisotnosti, iz katerih je razvidna udeležba v programu na podlagi vsakokratnega podpisa, v okviru posameznih izdatkov skladne, da je višina obračunanih storitev na posameznem izdanem računu s strani izvajalca skladna z mesečno kontrolno listo prisotnosti posamezne skupine udeležencev programa kot tudi mesečno podpisno listo prisotnosti posameznih udeležencev programa, in da so, skladno z 12. členom pogodbe št. C1711-17-460103, pri dokazilih računov VERIS d.o.o,, predložene pisne izjave podizvajalcev o prejetem plačilu (v obliki zaznamka oz. potrditve plačila na računu samem).   </w:t>
            </w:r>
          </w:p>
          <w:p w:rsidR="00321B6A" w:rsidRPr="001C4D80" w:rsidP="00D15173">
            <w:pPr>
              <w:spacing w:before="0" w:after="0"/>
              <w:jc w:val="left"/>
              <w:rPr>
                <w:sz w:val="20"/>
                <w:szCs w:val="20"/>
              </w:rPr>
            </w:pPr>
            <w:r w:rsidRPr="001C4D80">
              <w:rPr>
                <w:noProof/>
                <w:sz w:val="20"/>
                <w:szCs w:val="20"/>
              </w:rPr>
              <w:t xml:space="preserve">- OO ugotavlja, da je pregledana dokumentacija skladna z dokumentacijo, ki jo je KU oddal v MIGRO ob pripravi ZzP. </w:t>
            </w:r>
          </w:p>
          <w:p w:rsidR="00321B6A" w:rsidRPr="001C4D80" w:rsidP="00D15173">
            <w:pPr>
              <w:spacing w:before="0" w:after="0"/>
              <w:jc w:val="left"/>
              <w:rPr>
                <w:sz w:val="20"/>
                <w:szCs w:val="20"/>
              </w:rPr>
            </w:pPr>
            <w:r w:rsidRPr="001C4D80">
              <w:rPr>
                <w:noProof/>
                <w:sz w:val="20"/>
                <w:szCs w:val="20"/>
              </w:rPr>
              <w:t>- Vsi izdatki so vodeni v enotnem računovodskem sistemu Ministrstva za finance – MFERAC na ločeni računovodski kodi (analitika projekta). –</w:t>
            </w:r>
          </w:p>
          <w:p w:rsidR="00321B6A" w:rsidRPr="001C4D80" w:rsidP="00D15173">
            <w:pPr>
              <w:spacing w:before="0" w:after="0"/>
              <w:jc w:val="left"/>
              <w:rPr>
                <w:sz w:val="20"/>
                <w:szCs w:val="20"/>
              </w:rPr>
            </w:pPr>
            <w:r w:rsidRPr="001C4D80">
              <w:rPr>
                <w:noProof/>
                <w:sz w:val="20"/>
                <w:szCs w:val="20"/>
              </w:rPr>
              <w:t xml:space="preserve">- OO je izvedel pregled treh javnih naročil, ki jih je KU izvedel skladno z ZJN-2 in ZJN-3. Gre za odprte postopke po ZJN-2 (430-179/2014) in ZJN-3 (430-1388/2016 in 430-1900/2017). Nepravilnosti niso bile ugotovljene. </w:t>
            </w:r>
          </w:p>
          <w:p w:rsidR="00321B6A" w:rsidRPr="001C4D80" w:rsidP="00D15173">
            <w:pPr>
              <w:spacing w:before="0" w:after="0"/>
              <w:jc w:val="left"/>
              <w:rPr>
                <w:sz w:val="20"/>
                <w:szCs w:val="20"/>
              </w:rPr>
            </w:pPr>
            <w:r w:rsidRPr="001C4D80">
              <w:rPr>
                <w:noProof/>
                <w:sz w:val="20"/>
                <w:szCs w:val="20"/>
              </w:rPr>
              <w:t xml:space="preserve">- Dokumentacija v okviru javnih naročil in dokumentacija projekta je ustrezno označena z EU emblemom. </w:t>
            </w:r>
          </w:p>
          <w:p w:rsidR="00321B6A" w:rsidRPr="001C4D80" w:rsidP="00D15173">
            <w:pPr>
              <w:spacing w:before="0" w:after="0"/>
              <w:jc w:val="left"/>
              <w:rPr>
                <w:sz w:val="20"/>
                <w:szCs w:val="20"/>
              </w:rPr>
            </w:pPr>
            <w:r w:rsidRPr="001C4D80">
              <w:rPr>
                <w:noProof/>
                <w:sz w:val="20"/>
                <w:szCs w:val="20"/>
              </w:rPr>
              <w:t xml:space="preserve">- Vsebinska in finančna skladnost sklenjenih pogodb z izdanimi računi je ustrezna. </w:t>
            </w:r>
          </w:p>
          <w:p w:rsidR="00321B6A" w:rsidRPr="001C4D80" w:rsidP="00D15173">
            <w:pPr>
              <w:spacing w:before="0" w:after="0"/>
              <w:jc w:val="left"/>
              <w:rPr>
                <w:sz w:val="20"/>
                <w:szCs w:val="20"/>
              </w:rPr>
            </w:pPr>
            <w:r w:rsidRPr="001C4D80">
              <w:rPr>
                <w:noProof/>
                <w:sz w:val="20"/>
                <w:szCs w:val="20"/>
              </w:rPr>
              <w:t>- V ZzP so uveljavljeni pavšalni stroški skladno z Nacionalnimi pravili upravičenih stroškov in izdatkov AMIF ter ISF, 1.0 (in nadaljnje verzije) ter Priročnikom za izvajanje AMIF ter ISF, 1.0 (in nadaljnje verzije).</w:t>
            </w:r>
          </w:p>
          <w:p w:rsidR="00321B6A" w:rsidRPr="001C4D80" w:rsidP="00D15173">
            <w:pPr>
              <w:spacing w:before="0" w:after="0"/>
              <w:jc w:val="left"/>
              <w:rPr>
                <w:sz w:val="20"/>
                <w:szCs w:val="20"/>
              </w:rPr>
            </w:pPr>
            <w:r w:rsidRPr="001C4D80">
              <w:rPr>
                <w:noProof/>
                <w:sz w:val="20"/>
                <w:szCs w:val="20"/>
              </w:rPr>
              <w:t xml:space="preserve">- OO ugotavlja,  da je zaradi popravka v okviru ZzP 11.0 (iz naslova poročanja vrednosti kazalnikov ob zaključku projekta), rubrika »Kazalniki« končnega ZzP ostala neizpolnjena. V okviru izvedene KKS-F je OO ustrezno korigiral zaključne vrednosti kazalnikov pri zaključnem ZzP, na podlagi podatkov KU. </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SI/2019/PR/0006</w:t>
            </w:r>
          </w:p>
        </w:tc>
        <w:tc>
          <w:tcPr>
            <w:shd w:val="clear" w:color="auto" w:fill="auto"/>
          </w:tcPr>
          <w:p w:rsidR="00321B6A" w:rsidRPr="001C4D80" w:rsidP="00D15173">
            <w:pPr>
              <w:spacing w:before="0" w:after="0"/>
              <w:jc w:val="left"/>
              <w:rPr>
                <w:sz w:val="20"/>
                <w:szCs w:val="20"/>
              </w:rPr>
            </w:pPr>
            <w:r w:rsidRPr="001C4D80">
              <w:rPr>
                <w:noProof/>
                <w:sz w:val="20"/>
                <w:szCs w:val="20"/>
              </w:rPr>
              <w:t>Finančna</w:t>
            </w:r>
          </w:p>
        </w:tc>
        <w:tc>
          <w:tcPr>
            <w:shd w:val="clear" w:color="auto" w:fill="auto"/>
          </w:tcPr>
          <w:p w:rsidR="00321B6A" w:rsidRPr="001C4D80" w:rsidP="00D15173">
            <w:pPr>
              <w:spacing w:before="0" w:after="0"/>
              <w:jc w:val="center"/>
              <w:rPr>
                <w:sz w:val="20"/>
                <w:szCs w:val="20"/>
              </w:rPr>
            </w:pPr>
            <w:r w:rsidRPr="001C4D80">
              <w:rPr>
                <w:noProof/>
                <w:sz w:val="20"/>
                <w:szCs w:val="20"/>
              </w:rPr>
              <w:t>10.6.2020</w:t>
            </w:r>
          </w:p>
        </w:tc>
        <w:tc>
          <w:tcPr>
            <w:shd w:val="clear" w:color="auto" w:fill="auto"/>
          </w:tcPr>
          <w:p w:rsidR="00321B6A" w:rsidRPr="001C4D80" w:rsidP="00D15173">
            <w:pPr>
              <w:spacing w:before="0" w:after="0"/>
              <w:jc w:val="center"/>
              <w:rPr>
                <w:sz w:val="20"/>
                <w:szCs w:val="20"/>
              </w:rPr>
            </w:pPr>
            <w:r w:rsidRPr="001C4D80">
              <w:rPr>
                <w:noProof/>
                <w:sz w:val="20"/>
                <w:szCs w:val="20"/>
              </w:rPr>
              <w:t>10.6.2020</w:t>
            </w:r>
          </w:p>
        </w:tc>
        <w:tc>
          <w:tcPr>
            <w:shd w:val="clear" w:color="auto" w:fill="auto"/>
          </w:tcPr>
          <w:p w:rsidR="00321B6A" w:rsidRPr="001C4D80" w:rsidP="00D15173">
            <w:pPr>
              <w:spacing w:before="0" w:after="0"/>
              <w:jc w:val="center"/>
              <w:rPr>
                <w:sz w:val="20"/>
                <w:szCs w:val="20"/>
              </w:rPr>
            </w:pPr>
            <w:r w:rsidRPr="001C4D80">
              <w:rPr>
                <w:noProof/>
                <w:sz w:val="20"/>
                <w:szCs w:val="20"/>
              </w:rPr>
              <w:t>15.7.2020</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640.229,99</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r>
              <w:rPr>
                <w:noProof/>
                <w:sz w:val="20"/>
                <w:szCs w:val="20"/>
              </w:rPr>
              <w:t>0,00%</w:t>
            </w: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(A.SO2.2.3-07A - Pomoč osebam z mednarodno zaščito):</w:t>
            </w:r>
          </w:p>
          <w:p w:rsidR="00321B6A" w:rsidRPr="001C4D80" w:rsidP="00D15173">
            <w:pPr>
              <w:spacing w:before="0" w:after="0"/>
              <w:jc w:val="left"/>
              <w:rPr>
                <w:sz w:val="20"/>
                <w:szCs w:val="20"/>
              </w:rPr>
            </w:pPr>
            <w:r w:rsidRPr="001C4D80">
              <w:rPr>
                <w:noProof/>
                <w:sz w:val="20"/>
                <w:szCs w:val="20"/>
              </w:rPr>
              <w:t xml:space="preserve">- V okviru kontrole na kraju samem je OO izpostavil nekatere pomanjkljivosti in napake, ki so bile ugotovljene v fazi kontrole oddanih zahtevkov za povračilo, in so bile v večini primerov ponavljajoče se narave. </w:t>
            </w:r>
          </w:p>
          <w:p w:rsidR="00321B6A" w:rsidRPr="001C4D80" w:rsidP="00D15173">
            <w:pPr>
              <w:spacing w:before="0" w:after="0"/>
              <w:jc w:val="left"/>
              <w:rPr>
                <w:sz w:val="20"/>
                <w:szCs w:val="20"/>
              </w:rPr>
            </w:pPr>
            <w:r w:rsidRPr="001C4D80">
              <w:rPr>
                <w:noProof/>
                <w:sz w:val="20"/>
                <w:szCs w:val="20"/>
              </w:rPr>
              <w:t xml:space="preserve">- Posamezen ZzP vsebuje številčno preveč izdatkov, za katere je potrebno prilagati številna dokazila. </w:t>
            </w:r>
          </w:p>
          <w:p w:rsidR="00321B6A" w:rsidRPr="001C4D80" w:rsidP="00D15173">
            <w:pPr>
              <w:spacing w:before="0" w:after="0"/>
              <w:jc w:val="left"/>
              <w:rPr>
                <w:sz w:val="20"/>
                <w:szCs w:val="20"/>
              </w:rPr>
            </w:pPr>
          </w:p>
          <w:p w:rsidR="00321B6A" w:rsidRPr="001C4D80" w:rsidP="00D15173">
            <w:pPr>
              <w:spacing w:before="0" w:after="0"/>
              <w:jc w:val="left"/>
              <w:rPr>
                <w:sz w:val="20"/>
                <w:szCs w:val="20"/>
              </w:rPr>
            </w:pPr>
            <w:r w:rsidRPr="001C4D80">
              <w:rPr>
                <w:noProof/>
                <w:sz w:val="20"/>
                <w:szCs w:val="20"/>
              </w:rPr>
              <w:t xml:space="preserve">PRIPOROČILA:    </w:t>
            </w:r>
          </w:p>
          <w:p w:rsidR="00321B6A" w:rsidRPr="001C4D80" w:rsidP="00D15173">
            <w:pPr>
              <w:spacing w:before="0" w:after="0"/>
              <w:jc w:val="left"/>
              <w:rPr>
                <w:sz w:val="20"/>
                <w:szCs w:val="20"/>
              </w:rPr>
            </w:pPr>
            <w:r w:rsidRPr="001C4D80">
              <w:rPr>
                <w:noProof/>
                <w:sz w:val="20"/>
                <w:szCs w:val="20"/>
              </w:rPr>
              <w:t>- KU naj vsakemu nadaljnjemu ZzP-ju priloži preglednico/seznam izdatkov, iz katere bo jasno razvidna povezava med posameznimi izdatki ter dokazili oz. naj v MIGRO vnese ustrezne obrazložitve v opombe posameznega izdatka. Pri tem pozivamo KU, da 100 % kontrolo ZzP-ja naredi druga oseba kot je ZzP dejansko pripravljala.</w:t>
            </w:r>
          </w:p>
          <w:p w:rsidR="00321B6A" w:rsidRPr="001C4D80" w:rsidP="00D15173">
            <w:pPr>
              <w:spacing w:before="0" w:after="0"/>
              <w:jc w:val="left"/>
              <w:rPr>
                <w:sz w:val="20"/>
                <w:szCs w:val="20"/>
              </w:rPr>
            </w:pPr>
            <w:r w:rsidRPr="001C4D80">
              <w:rPr>
                <w:noProof/>
                <w:sz w:val="20"/>
                <w:szCs w:val="20"/>
              </w:rPr>
              <w:t>- Dokumentacijo, ki velja kot dokazilo posameznega izdatka, naj KU v celoti priloži v MIGRO. Priporočilo se nanaša na vsa dokazila, s katerimi se posamezen izdatek lahko upraviči (npr. pri avtorskih delih prevajalcev so to ustrezna pravna podlaga, odreditev dela, poročilo o delu in morebitni izdelek v primeru pisnega prevajanja, REK obrazec, dokazilo o nakazilu …).</w:t>
            </w:r>
          </w:p>
          <w:p w:rsidR="00321B6A" w:rsidRPr="001C4D80" w:rsidP="00D15173">
            <w:pPr>
              <w:spacing w:before="0" w:after="0"/>
              <w:jc w:val="left"/>
              <w:rPr>
                <w:sz w:val="20"/>
                <w:szCs w:val="20"/>
              </w:rPr>
            </w:pPr>
            <w:r w:rsidRPr="001C4D80">
              <w:rPr>
                <w:noProof/>
                <w:sz w:val="20"/>
                <w:szCs w:val="20"/>
              </w:rPr>
              <w:t xml:space="preserve">- Odločbe za pridobitev denarnega nadomestila za zasebno nastanitev v času trajanja integracijskega obdobja naj imajo številčene strani in pri skeniranju naj bo KU pozoren, da bodo v MIGRO naloženi dokumenti v celoti.  </w:t>
            </w:r>
          </w:p>
          <w:p w:rsidR="00321B6A" w:rsidRPr="001C4D80" w:rsidP="00D15173">
            <w:pPr>
              <w:spacing w:before="0" w:after="0"/>
              <w:jc w:val="left"/>
              <w:rPr>
                <w:sz w:val="20"/>
                <w:szCs w:val="20"/>
              </w:rPr>
            </w:pPr>
            <w:r w:rsidRPr="001C4D80">
              <w:rPr>
                <w:noProof/>
                <w:sz w:val="20"/>
                <w:szCs w:val="20"/>
              </w:rPr>
              <w:t xml:space="preserve">- Poleg odločb za pridobitev denarnega nadomestila za zasebno nastanitev naj bodo med dokazila v ZzP naložene tudi najemne pogodbe OMZ z ustreznimi aneksi, vročilnice in pooblastila za nakazilo na drug TRR.  </w:t>
            </w:r>
          </w:p>
          <w:p w:rsidR="00321B6A" w:rsidRPr="001C4D80" w:rsidP="00D15173">
            <w:pPr>
              <w:spacing w:before="0" w:after="0"/>
              <w:jc w:val="left"/>
              <w:rPr>
                <w:sz w:val="20"/>
                <w:szCs w:val="20"/>
              </w:rPr>
            </w:pPr>
            <w:r w:rsidRPr="001C4D80">
              <w:rPr>
                <w:noProof/>
                <w:sz w:val="20"/>
                <w:szCs w:val="20"/>
              </w:rPr>
              <w:t xml:space="preserve">- Pri prilaganju dokazil o plačilih je potrebno paziti, da so iz zneskov razvidni EU in SLO deli nakazil oz. celotni upravičen znesek po posameznih datumih. </w:t>
            </w:r>
          </w:p>
          <w:p w:rsidR="00321B6A" w:rsidRPr="001C4D80" w:rsidP="00D15173">
            <w:pPr>
              <w:spacing w:before="0" w:after="0"/>
              <w:jc w:val="left"/>
              <w:rPr>
                <w:sz w:val="20"/>
                <w:szCs w:val="20"/>
              </w:rPr>
            </w:pPr>
            <w:r w:rsidRPr="001C4D80">
              <w:rPr>
                <w:noProof/>
                <w:sz w:val="20"/>
                <w:szCs w:val="20"/>
              </w:rPr>
              <w:t>- Dokazila za izdatke prevajalcev morajo vsebovati REK obrazce, seznam naročil in opravljenih prevajanj/prevodov ter v primeru pisnih prevodov tudi sam izdelek. Izdatki za prevajalce naj bodo ločeni po urah in stroških na posamezen projekt, da bo jasno razvidno, na katerem projektu je bilo delo opravljeno.</w:t>
            </w:r>
          </w:p>
          <w:p w:rsidR="00321B6A" w:rsidRPr="001C4D80" w:rsidP="00D15173">
            <w:pPr>
              <w:spacing w:before="0" w:after="0"/>
              <w:jc w:val="left"/>
              <w:rPr>
                <w:sz w:val="20"/>
                <w:szCs w:val="20"/>
              </w:rPr>
            </w:pPr>
            <w:r w:rsidRPr="001C4D80">
              <w:rPr>
                <w:noProof/>
                <w:sz w:val="20"/>
                <w:szCs w:val="20"/>
              </w:rPr>
              <w:t>- Pri dokazilih za izdatke, ki se nanašajo na več izdatkov (predvsem pri potrdilih o plačilu, ki vsebujejo več izplačil na isti dan), se dokazila lahko priloži ob prvem izdatku. V opombe tega izdatka ter v opombe vseh ostalih, na katera se dokazilo nanaša, se vpiše, pri katerem izdatku se dokazilo nahaja. Na ta način se izognemo podvajanju dokazil v MIGRI.</w:t>
            </w:r>
          </w:p>
          <w:p w:rsidR="00321B6A" w:rsidRPr="001C4D80" w:rsidP="00D15173">
            <w:pPr>
              <w:spacing w:before="0" w:after="0"/>
              <w:jc w:val="left"/>
              <w:rPr>
                <w:sz w:val="20"/>
                <w:szCs w:val="20"/>
              </w:rPr>
            </w:pPr>
            <w:r w:rsidRPr="001C4D80">
              <w:rPr>
                <w:noProof/>
                <w:sz w:val="20"/>
                <w:szCs w:val="20"/>
              </w:rPr>
              <w:t>- Na obvestila šolam, ki jih UOIM pošlje v povezavi z uveljavljanjem stroškov povezanih z izobraževanjem, naj doda logotip in navedbo sklada.</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SI/2020/PR/0005</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24.11.2022</w:t>
            </w:r>
          </w:p>
        </w:tc>
        <w:tc>
          <w:tcPr>
            <w:shd w:val="clear" w:color="auto" w:fill="auto"/>
          </w:tcPr>
          <w:p w:rsidR="00321B6A" w:rsidRPr="001C4D80" w:rsidP="00D15173">
            <w:pPr>
              <w:spacing w:before="0" w:after="0"/>
              <w:jc w:val="center"/>
              <w:rPr>
                <w:sz w:val="20"/>
                <w:szCs w:val="20"/>
              </w:rPr>
            </w:pPr>
            <w:r w:rsidRPr="001C4D80">
              <w:rPr>
                <w:noProof/>
                <w:sz w:val="20"/>
                <w:szCs w:val="20"/>
              </w:rPr>
              <w:t>24.11.2022</w:t>
            </w:r>
          </w:p>
        </w:tc>
        <w:tc>
          <w:tcPr>
            <w:shd w:val="clear" w:color="auto" w:fill="auto"/>
          </w:tcPr>
          <w:p w:rsidR="00321B6A" w:rsidRPr="001C4D80" w:rsidP="00D15173">
            <w:pPr>
              <w:spacing w:before="0" w:after="0"/>
              <w:jc w:val="center"/>
              <w:rPr>
                <w:sz w:val="20"/>
                <w:szCs w:val="20"/>
              </w:rPr>
            </w:pPr>
            <w:r w:rsidRPr="001C4D80">
              <w:rPr>
                <w:noProof/>
                <w:sz w:val="20"/>
                <w:szCs w:val="20"/>
              </w:rPr>
              <w:t>30.11.2022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(A.SO1.1.6-03A - Podpora prosilcem):</w:t>
            </w:r>
          </w:p>
          <w:p w:rsidR="00321B6A" w:rsidRPr="001C4D80" w:rsidP="00D15173">
            <w:pPr>
              <w:spacing w:before="0" w:after="0"/>
              <w:jc w:val="left"/>
              <w:rPr>
                <w:sz w:val="20"/>
                <w:szCs w:val="20"/>
              </w:rPr>
            </w:pPr>
            <w:r w:rsidRPr="001C4D80">
              <w:rPr>
                <w:noProof/>
                <w:sz w:val="20"/>
                <w:szCs w:val="20"/>
              </w:rPr>
              <w:t>- Projekt je trajal od 1. 1. 2018 do 31. 12. 2020. Izvajal se je skladno s pravili EU, nacionalnimi pravili, OP in spremembami. Od 6 poslanih ZzP je OO do sedaj pregledal in potrdil 4.</w:t>
            </w:r>
          </w:p>
          <w:p w:rsidR="00321B6A" w:rsidRPr="001C4D80" w:rsidP="00D15173">
            <w:pPr>
              <w:spacing w:before="0" w:after="0"/>
              <w:jc w:val="left"/>
              <w:rPr>
                <w:sz w:val="20"/>
                <w:szCs w:val="20"/>
              </w:rPr>
            </w:pPr>
            <w:r w:rsidRPr="001C4D80">
              <w:rPr>
                <w:noProof/>
                <w:sz w:val="20"/>
                <w:szCs w:val="20"/>
              </w:rPr>
              <w:t>- KU je preko izvajalca omogočil ranljivim prosilcem za mednarodno zaščito in tistim s posebnimi potrebami psihiatrično pomoč in ustrezno tolmačenje. Izbrani izvajalec psihiatrične stroke je hkrati izvajal periodično usposabljanje socialnih delavcev, ki so bili v dnevnem stiku s prosilci, da so lahko hitreje prepoznali morebitne okoliščine, ki so terjale nujno psihiatrično obravnavo.</w:t>
            </w:r>
          </w:p>
          <w:p w:rsidR="00321B6A" w:rsidRPr="001C4D80" w:rsidP="00D15173">
            <w:pPr>
              <w:spacing w:before="0" w:after="0"/>
              <w:jc w:val="left"/>
              <w:rPr>
                <w:sz w:val="20"/>
                <w:szCs w:val="20"/>
              </w:rPr>
            </w:pPr>
            <w:r w:rsidRPr="001C4D80">
              <w:rPr>
                <w:noProof/>
                <w:sz w:val="20"/>
                <w:szCs w:val="20"/>
              </w:rPr>
              <w:t>- KU je v okviru izvajanja projekta izvedel 2 JN za izbor izvajalca nudenja psihiatrične pomoči. Izbrani izvajalec je v okviru pogodbe izvajal storitve v 3 sklopih: redno psihiatrično ambulantno obravnavo 1 dan v tednu, izvajanje urgentnih obravnav ob izjemnih situacijah ter usposabljanja socialnih delavcev. Izveden je bil tudi javni poziv za tolmače, ki so sodelovali pri psihiatričnih obravnavah. Za posamezen jezik je bil izbran glavni in nadomestni tolmač.</w:t>
            </w:r>
          </w:p>
          <w:p w:rsidR="00321B6A" w:rsidRPr="001C4D80" w:rsidP="00D15173">
            <w:pPr>
              <w:spacing w:before="0" w:after="0"/>
              <w:jc w:val="left"/>
              <w:rPr>
                <w:sz w:val="20"/>
                <w:szCs w:val="20"/>
              </w:rPr>
            </w:pPr>
            <w:r w:rsidRPr="001C4D80">
              <w:rPr>
                <w:noProof/>
                <w:sz w:val="20"/>
                <w:szCs w:val="20"/>
              </w:rPr>
              <w:t>- OO ugotavlja, da je izvajanje projekta sledilo osnovnemu namenu. Projekt se je izvajal skladno s terminskim načrtom. Aktivnosti A-001 (nudenje psihiatrične pomoči, ki zajema redno ambulantno obravnavo kot tudi urgentna posredovanja) in A-002 (omogočanje ustrezne komunikacije preko tolmača) sta se izvajali v večjem obsegu od predvidenega, saj so bili v obdobju izvajanja projekta migracijski tokovi skozi Slovenijo povečani. Aktivnost A-003 (usposabljanja socialnih delavcev) se je izvajala po prvotnem načrtu.</w:t>
            </w:r>
          </w:p>
          <w:p w:rsidR="00321B6A" w:rsidRPr="001C4D80" w:rsidP="00D15173">
            <w:pPr>
              <w:spacing w:before="0" w:after="0"/>
              <w:jc w:val="left"/>
              <w:rPr>
                <w:sz w:val="20"/>
                <w:szCs w:val="20"/>
              </w:rPr>
            </w:pPr>
            <w:r w:rsidRPr="001C4D80">
              <w:rPr>
                <w:noProof/>
                <w:sz w:val="20"/>
                <w:szCs w:val="20"/>
              </w:rPr>
              <w:t xml:space="preserve">- O doseženih vrednostih K1 in K2 je KU poročal v zaključnem ZzP, ki še ni pregledan in potrjen s strani OO. K7 je bil v ZzP 5.0 poročan z decimalnim številom, kar je posledica uporabe napačne metodologije zbiranja podatkov. Gre za število usposobljenih oseb na področju azila, kjer bi morala biti vsaka oseba šteta zgolj enkrat, ne glede na število usposabljanj. KU je med poročanjem uporabil metodologijo povprečja udeležencev vseh usposabljanj, kar ni ustrezno. </w:t>
            </w:r>
          </w:p>
          <w:p w:rsidR="00321B6A" w:rsidRPr="001C4D80" w:rsidP="00D15173">
            <w:pPr>
              <w:spacing w:before="0" w:after="0"/>
              <w:jc w:val="left"/>
              <w:rPr>
                <w:sz w:val="20"/>
                <w:szCs w:val="20"/>
              </w:rPr>
            </w:pPr>
            <w:r w:rsidRPr="001C4D80">
              <w:rPr>
                <w:noProof/>
                <w:sz w:val="20"/>
                <w:szCs w:val="20"/>
              </w:rPr>
              <w:t>- KU se je držal usmeritev glede obveščanja in objavljanja z uporabo logotipa ter navedbe sklada na projektni dokumentaciji, spletni strani ter prosojnicah z usposabljanj.</w:t>
            </w:r>
          </w:p>
          <w:p w:rsidR="00321B6A" w:rsidRPr="001C4D80" w:rsidP="00D15173">
            <w:pPr>
              <w:spacing w:before="0" w:after="0"/>
              <w:jc w:val="left"/>
              <w:rPr>
                <w:sz w:val="20"/>
                <w:szCs w:val="20"/>
              </w:rPr>
            </w:pPr>
            <w:r w:rsidRPr="001C4D80">
              <w:rPr>
                <w:noProof/>
                <w:sz w:val="20"/>
                <w:szCs w:val="20"/>
              </w:rPr>
              <w:t>- KU opredeljuje projekt kot uspešen.</w:t>
            </w:r>
          </w:p>
          <w:p w:rsidR="00321B6A" w:rsidRPr="001C4D80" w:rsidP="00D15173">
            <w:pPr>
              <w:spacing w:before="0" w:after="0"/>
              <w:jc w:val="left"/>
              <w:rPr>
                <w:sz w:val="20"/>
                <w:szCs w:val="20"/>
              </w:rPr>
            </w:pPr>
            <w:r w:rsidRPr="001C4D80">
              <w:rPr>
                <w:noProof/>
                <w:sz w:val="20"/>
                <w:szCs w:val="20"/>
              </w:rPr>
              <w:t>PRIPOROČILA:</w:t>
            </w:r>
          </w:p>
          <w:p w:rsidR="00321B6A" w:rsidRPr="001C4D80" w:rsidP="00D15173">
            <w:pPr>
              <w:spacing w:before="0" w:after="0"/>
              <w:jc w:val="left"/>
              <w:rPr>
                <w:sz w:val="20"/>
                <w:szCs w:val="20"/>
              </w:rPr>
            </w:pPr>
            <w:r w:rsidRPr="001C4D80">
              <w:rPr>
                <w:noProof/>
                <w:sz w:val="20"/>
                <w:szCs w:val="20"/>
              </w:rPr>
              <w:t>- KU naj v roku 1 tedna sporoči pravilne vrednosti vseh kazalnikov po posameznem zahtevku za povračilo in posreduje ustrezno metodologijo, ki bo podlaga za nove vrednosti kazalnikov.</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SI/2020/PR/0006</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27.7.2022</w:t>
            </w:r>
          </w:p>
        </w:tc>
        <w:tc>
          <w:tcPr>
            <w:shd w:val="clear" w:color="auto" w:fill="auto"/>
          </w:tcPr>
          <w:p w:rsidR="00321B6A" w:rsidRPr="001C4D80" w:rsidP="00D15173">
            <w:pPr>
              <w:spacing w:before="0" w:after="0"/>
              <w:jc w:val="center"/>
              <w:rPr>
                <w:sz w:val="20"/>
                <w:szCs w:val="20"/>
              </w:rPr>
            </w:pPr>
            <w:r w:rsidRPr="001C4D80">
              <w:rPr>
                <w:noProof/>
                <w:sz w:val="20"/>
                <w:szCs w:val="20"/>
              </w:rPr>
              <w:t>27.7.2022</w:t>
            </w:r>
          </w:p>
        </w:tc>
        <w:tc>
          <w:tcPr>
            <w:shd w:val="clear" w:color="auto" w:fill="auto"/>
          </w:tcPr>
          <w:p w:rsidR="00321B6A" w:rsidRPr="001C4D80" w:rsidP="00D15173">
            <w:pPr>
              <w:spacing w:before="0" w:after="0"/>
              <w:jc w:val="center"/>
              <w:rPr>
                <w:sz w:val="20"/>
                <w:szCs w:val="20"/>
              </w:rPr>
            </w:pPr>
            <w:r w:rsidRPr="001C4D80">
              <w:rPr>
                <w:noProof/>
                <w:sz w:val="20"/>
                <w:szCs w:val="20"/>
              </w:rPr>
              <w:t>1.8.2022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(A.SO1.1.6-04A - Podpora v postopku priznanja MZ (izvedeniška mnenja)):</w:t>
            </w:r>
          </w:p>
          <w:p w:rsidR="00321B6A" w:rsidRPr="001C4D80" w:rsidP="00D15173">
            <w:pPr>
              <w:spacing w:before="0" w:after="0"/>
              <w:jc w:val="left"/>
              <w:rPr>
                <w:sz w:val="20"/>
                <w:szCs w:val="20"/>
              </w:rPr>
            </w:pPr>
            <w:r w:rsidRPr="001C4D80">
              <w:rPr>
                <w:noProof/>
                <w:sz w:val="20"/>
                <w:szCs w:val="20"/>
              </w:rPr>
              <w:t>- Projekt je cikličen. Aktivnosti po prijavi A so se izvajale od 1. 1. 18 do 31. 12. 20. Aktivnosti po prijavi B so potekale od 1. 1. 21 do 31. 12. 21, aktivnosti po prijavi C se izvajajo od 1. 1. 22 do 30. 6. 23. KU zagotavlja podporo v postopkih priznanja mednarodne zaščite, kot so izvedenska mnenja v primerih ugotavljanja starosti mladoletnih prosilcev brez spremstva ter nagrade zakonitim zastopnikom za opravljeno delo.</w:t>
            </w:r>
          </w:p>
          <w:p w:rsidR="00321B6A" w:rsidRPr="001C4D80" w:rsidP="00D15173">
            <w:pPr>
              <w:spacing w:before="0" w:after="0"/>
              <w:jc w:val="left"/>
              <w:rPr>
                <w:sz w:val="20"/>
                <w:szCs w:val="20"/>
              </w:rPr>
            </w:pPr>
            <w:r w:rsidRPr="001C4D80">
              <w:rPr>
                <w:noProof/>
                <w:sz w:val="20"/>
                <w:szCs w:val="20"/>
              </w:rPr>
              <w:t>- Vsak mladoletnik brez spremstva, ki zaprosi za mednarodno zaščito v Sloveniji, s strani Centra za socialno delo Vič dobi dodeljenega zakonitega zastopnika. Zakonit zastopnik nato zastopa mladoletnika brez spremstva v vseh zadevah do dneva odločitve glede mednarodne zaščite oz. do polnoletnosti prosilca. Zakoniti zastopniki so izbrani na podlagi javnega razpisa in imajo opravljeno posebno izobraževanje za potrebe zastopanja dodeljenih mladoletnikov brez spremstva. Za opravljeno delo prejmejo nagrade, ki se izplačajo na podlagi izdanih odločb za vsako zastopanje.</w:t>
            </w:r>
          </w:p>
          <w:p w:rsidR="00321B6A" w:rsidRPr="001C4D80" w:rsidP="00D15173">
            <w:pPr>
              <w:spacing w:before="0" w:after="0"/>
              <w:jc w:val="left"/>
              <w:rPr>
                <w:sz w:val="20"/>
                <w:szCs w:val="20"/>
              </w:rPr>
            </w:pPr>
            <w:r w:rsidRPr="001C4D80">
              <w:rPr>
                <w:noProof/>
                <w:sz w:val="20"/>
                <w:szCs w:val="20"/>
              </w:rPr>
              <w:t>- V sklopu projekta se izvajajo tudi zdravstveni pregledi izvedencev Inštituta za sodno medicino, s katerimi se dokazuje starost prosilcev. Kadar se pojavi dvom glede starosti prosilca, socialni delavci v Azilnem domu pridobijo soglasje prosilca ter njegovega zakonitega zastopnika za izvedbo izvedenskega zdravstvenega pregleda. Izvedenci sodne medicine opravijo rentgenski in ortopan posnetek ter pripravijo izvid ocene starosti. V primeru, da prosilec zavrne pregled, v skladu z Zakonom o tujcih izgubi pravice mladoletne osebe in se ga obravnava kot polnoletno osebo.</w:t>
            </w:r>
          </w:p>
          <w:p w:rsidR="00321B6A" w:rsidRPr="001C4D80" w:rsidP="00D15173">
            <w:pPr>
              <w:spacing w:before="0" w:after="0"/>
              <w:jc w:val="left"/>
              <w:rPr>
                <w:sz w:val="20"/>
                <w:szCs w:val="20"/>
              </w:rPr>
            </w:pPr>
            <w:r w:rsidRPr="001C4D80">
              <w:rPr>
                <w:noProof/>
                <w:sz w:val="20"/>
                <w:szCs w:val="20"/>
              </w:rPr>
              <w:t>- Nevladne organizacije so podale pritožbo, da so prosilci izpostavljeni nepotrebnemu rentgenskemu sevanju med izvedenskim pregledom. KU je zato zaprosil Upravo RS za varstvo pred sevanji za mnenje, ki je potrdila, da je sevanje zaradi potreb izvedbe uradnih postopkov upravičeno. KU do prejema mnenja, ni izvajal izvedenskih pregledov.</w:t>
            </w:r>
          </w:p>
          <w:p w:rsidR="00321B6A" w:rsidRPr="001C4D80" w:rsidP="00D15173">
            <w:pPr>
              <w:spacing w:before="0" w:after="0"/>
              <w:jc w:val="left"/>
              <w:rPr>
                <w:sz w:val="20"/>
                <w:szCs w:val="20"/>
              </w:rPr>
            </w:pPr>
            <w:r w:rsidRPr="001C4D80">
              <w:rPr>
                <w:noProof/>
                <w:sz w:val="20"/>
                <w:szCs w:val="20"/>
              </w:rPr>
              <w:t>- Oba cilja sta dosežena. Projekt je nujen za nemoteno izvajanje postopkov povezanih s pridobitvijo mednarodne zaščite za mladoletne prosilce.</w:t>
            </w:r>
          </w:p>
          <w:p w:rsidR="00321B6A" w:rsidRPr="001C4D80" w:rsidP="00D15173">
            <w:pPr>
              <w:spacing w:before="0" w:after="0"/>
              <w:jc w:val="left"/>
              <w:rPr>
                <w:sz w:val="20"/>
                <w:szCs w:val="20"/>
              </w:rPr>
            </w:pPr>
            <w:r w:rsidRPr="001C4D80">
              <w:rPr>
                <w:noProof/>
                <w:sz w:val="20"/>
                <w:szCs w:val="20"/>
              </w:rPr>
              <w:t xml:space="preserve">- Kazalnika se redno spremljata in sta bila presežena, zaradi večjega števila obravnavanih mladoletnikov brez spremstva. </w:t>
            </w:r>
          </w:p>
          <w:p w:rsidR="00321B6A" w:rsidRPr="001C4D80" w:rsidP="00D15173">
            <w:pPr>
              <w:spacing w:before="0" w:after="0"/>
              <w:jc w:val="left"/>
              <w:rPr>
                <w:sz w:val="20"/>
                <w:szCs w:val="20"/>
              </w:rPr>
            </w:pPr>
            <w:r w:rsidRPr="001C4D80">
              <w:rPr>
                <w:noProof/>
                <w:sz w:val="20"/>
                <w:szCs w:val="20"/>
              </w:rPr>
              <w:t>- KU se drži usmeritev glede obveščanja preko uporabe logotipa EU ter navedbe sklada na projektni dokumentaciji. Vsako leto tudi objavi poročilo o izvedbi projekta v letnem Poročilu o delu Direktorata za migracije.</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SI/2020/PR/0007</w:t>
            </w:r>
          </w:p>
        </w:tc>
        <w:tc>
          <w:tcPr>
            <w:shd w:val="clear" w:color="auto" w:fill="auto"/>
          </w:tcPr>
          <w:p w:rsidR="00321B6A" w:rsidRPr="001C4D80" w:rsidP="00D15173">
            <w:pPr>
              <w:spacing w:before="0" w:after="0"/>
              <w:jc w:val="left"/>
              <w:rPr>
                <w:sz w:val="20"/>
                <w:szCs w:val="20"/>
              </w:rPr>
            </w:pPr>
            <w:r w:rsidRPr="001C4D80">
              <w:rPr>
                <w:noProof/>
                <w:sz w:val="20"/>
                <w:szCs w:val="20"/>
              </w:rPr>
              <w:t>Finančna</w:t>
            </w:r>
          </w:p>
        </w:tc>
        <w:tc>
          <w:tcPr>
            <w:shd w:val="clear" w:color="auto" w:fill="auto"/>
          </w:tcPr>
          <w:p w:rsidR="00321B6A" w:rsidRPr="001C4D80" w:rsidP="00D15173">
            <w:pPr>
              <w:spacing w:before="0" w:after="0"/>
              <w:jc w:val="center"/>
              <w:rPr>
                <w:sz w:val="20"/>
                <w:szCs w:val="20"/>
              </w:rPr>
            </w:pPr>
            <w:r w:rsidRPr="001C4D80">
              <w:rPr>
                <w:noProof/>
                <w:sz w:val="20"/>
                <w:szCs w:val="20"/>
              </w:rPr>
              <w:t>23.6.2022</w:t>
            </w:r>
          </w:p>
        </w:tc>
        <w:tc>
          <w:tcPr>
            <w:shd w:val="clear" w:color="auto" w:fill="auto"/>
          </w:tcPr>
          <w:p w:rsidR="00321B6A" w:rsidRPr="001C4D80" w:rsidP="00D15173">
            <w:pPr>
              <w:spacing w:before="0" w:after="0"/>
              <w:jc w:val="center"/>
              <w:rPr>
                <w:sz w:val="20"/>
                <w:szCs w:val="20"/>
              </w:rPr>
            </w:pPr>
            <w:r w:rsidRPr="001C4D80">
              <w:rPr>
                <w:noProof/>
                <w:sz w:val="20"/>
                <w:szCs w:val="20"/>
              </w:rPr>
              <w:t>23.6.2022</w:t>
            </w:r>
          </w:p>
        </w:tc>
        <w:tc>
          <w:tcPr>
            <w:shd w:val="clear" w:color="auto" w:fill="auto"/>
          </w:tcPr>
          <w:p w:rsidR="00321B6A" w:rsidRPr="001C4D80" w:rsidP="00D15173">
            <w:pPr>
              <w:spacing w:before="0" w:after="0"/>
              <w:jc w:val="center"/>
              <w:rPr>
                <w:sz w:val="20"/>
                <w:szCs w:val="20"/>
              </w:rPr>
            </w:pPr>
            <w:r w:rsidRPr="001C4D80">
              <w:rPr>
                <w:noProof/>
                <w:sz w:val="20"/>
                <w:szCs w:val="20"/>
              </w:rPr>
              <w:t>12.7.2022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75.954,26</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r>
              <w:rPr>
                <w:noProof/>
                <w:sz w:val="20"/>
                <w:szCs w:val="20"/>
              </w:rPr>
              <w:t>0,00%</w:t>
            </w: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(A.SO1.1.7-02A -Finančna pomoč za nastanitev prosilcev): </w:t>
            </w:r>
          </w:p>
          <w:p w:rsidR="00321B6A" w:rsidRPr="001C4D80" w:rsidP="00D15173">
            <w:pPr>
              <w:spacing w:before="0" w:after="0"/>
              <w:jc w:val="left"/>
              <w:rPr>
                <w:sz w:val="20"/>
                <w:szCs w:val="20"/>
              </w:rPr>
            </w:pPr>
            <w:r w:rsidRPr="001C4D80">
              <w:rPr>
                <w:noProof/>
                <w:sz w:val="20"/>
                <w:szCs w:val="20"/>
              </w:rPr>
              <w:t xml:space="preserve">- Aktivnosti projekta so se izvajale skladno s pravili EU, nacionalnimi pravili in Odločitvijo o podpori št. 410-4/2018/52, z dne 26. 3. 2018, s spremembami.            </w:t>
            </w:r>
          </w:p>
          <w:p w:rsidR="00321B6A" w:rsidRPr="001C4D80" w:rsidP="00D15173">
            <w:pPr>
              <w:spacing w:before="0" w:after="0"/>
              <w:jc w:val="left"/>
              <w:rPr>
                <w:sz w:val="20"/>
                <w:szCs w:val="20"/>
              </w:rPr>
            </w:pPr>
            <w:r w:rsidRPr="001C4D80">
              <w:rPr>
                <w:noProof/>
                <w:sz w:val="20"/>
                <w:szCs w:val="20"/>
              </w:rPr>
              <w:t>- Vsi izdatki so vodeni v enotnem računovodskem sistemu Ministrstva za finance – MFERAC na ločeni računovodski kodi (analitika projekta). Računovodske listine za stroške so vodene skladno z zahtevami in priporočili. Razvidna je celotna poraba sredstev.</w:t>
            </w:r>
          </w:p>
          <w:p w:rsidR="00321B6A" w:rsidRPr="001C4D80" w:rsidP="00D15173">
            <w:pPr>
              <w:spacing w:before="0" w:after="0"/>
              <w:jc w:val="left"/>
              <w:rPr>
                <w:sz w:val="20"/>
                <w:szCs w:val="20"/>
              </w:rPr>
            </w:pPr>
            <w:r w:rsidRPr="001C4D80">
              <w:rPr>
                <w:noProof/>
                <w:sz w:val="20"/>
                <w:szCs w:val="20"/>
              </w:rPr>
              <w:t>- Vsebinska skladnost pregledanih izdatkov je ustrezna glede na predloženo dokumentacijo.</w:t>
            </w:r>
          </w:p>
          <w:p w:rsidR="00321B6A" w:rsidRPr="001C4D80" w:rsidP="00D15173">
            <w:pPr>
              <w:spacing w:before="0" w:after="0"/>
              <w:jc w:val="left"/>
              <w:rPr>
                <w:sz w:val="20"/>
                <w:szCs w:val="20"/>
              </w:rPr>
            </w:pPr>
            <w:r w:rsidRPr="001C4D80">
              <w:rPr>
                <w:noProof/>
                <w:sz w:val="20"/>
                <w:szCs w:val="20"/>
              </w:rPr>
              <w:t xml:space="preserve">- Ker KU v pregledanih zahtevkih 3.0 in 4.1 ni predložil vročilnic, da so bile odločbe upravičencem dejansko vročene, je OO slednje preveril na kraju samem. Na (5%) vzorcu naključno izbranih izdatkov je pregledal vročilnice izdanih odločb glede izplačila finančne pomoči za razseljene prosilce za mednarodno zaščito. Vsi zahtevani izvirniki vročilnic so bili predloženi.                                                                                                                                                            </w:t>
            </w:r>
          </w:p>
          <w:p w:rsidR="00321B6A" w:rsidRPr="001C4D80" w:rsidP="00D15173">
            <w:pPr>
              <w:spacing w:before="0" w:after="0"/>
              <w:jc w:val="left"/>
              <w:rPr>
                <w:sz w:val="20"/>
                <w:szCs w:val="20"/>
              </w:rPr>
            </w:pPr>
            <w:r w:rsidRPr="001C4D80">
              <w:rPr>
                <w:noProof/>
                <w:sz w:val="20"/>
                <w:szCs w:val="20"/>
              </w:rPr>
              <w:t xml:space="preserve">- Dokumentacija (pravna podlaga) projekta je ustrezno označena z EU emblemom z navedbo, da projekt sofinancira Evropska unija iz Sklada za azil, migracije in vključevanje. Povzetek projekta je objavljen na spletni strani gov.si: https://www.gov.si/zbirke/projekti-in-programi/projekti-amif. V prvi polovici leta 2019 je bil objavljen tudi na spletni strani UOIM, ki je zdaj arhivirana: http://www.uoim.gov.si/si/naloge/projekti_amif/.           </w:t>
            </w:r>
          </w:p>
          <w:p w:rsidR="00321B6A" w:rsidRPr="001C4D80" w:rsidP="00D15173">
            <w:pPr>
              <w:spacing w:before="0" w:after="0"/>
              <w:jc w:val="left"/>
              <w:rPr>
                <w:sz w:val="20"/>
                <w:szCs w:val="20"/>
              </w:rPr>
            </w:pPr>
            <w:r w:rsidRPr="001C4D80">
              <w:rPr>
                <w:noProof/>
                <w:sz w:val="20"/>
                <w:szCs w:val="20"/>
              </w:rPr>
              <w:t>- V obeh zahtevkih za povračilo so bili uveljavljeni pavšalni stroški (7%) skladno z Nacionalnimi pravili upravičenih stroškov in izdatkov Sklada za azil, migracije in vključevanje ter Sklada za notranjo varnost za obdobje 2014-2020 1.0 (in nadaljnje različice) ter Priročnikom za izvajanje Sklada za azil, migracije in vključevanje ter Sklada za notranjo varnost 1.0 (in nadaljnje različice).</w:t>
            </w:r>
          </w:p>
          <w:p w:rsidR="00321B6A" w:rsidRPr="001C4D80" w:rsidP="00D15173">
            <w:pPr>
              <w:spacing w:before="0" w:after="0"/>
              <w:jc w:val="left"/>
              <w:rPr>
                <w:sz w:val="20"/>
                <w:szCs w:val="20"/>
              </w:rPr>
            </w:pPr>
          </w:p>
          <w:p w:rsidR="00321B6A" w:rsidRPr="001C4D80" w:rsidP="00D15173">
            <w:pPr>
              <w:spacing w:before="0" w:after="0"/>
              <w:jc w:val="left"/>
              <w:rPr>
                <w:sz w:val="20"/>
                <w:szCs w:val="20"/>
              </w:rPr>
            </w:pPr>
            <w:r w:rsidRPr="001C4D80">
              <w:rPr>
                <w:noProof/>
                <w:sz w:val="20"/>
                <w:szCs w:val="20"/>
              </w:rPr>
              <w:t>PRIPOROČILA: /</w:t>
            </w:r>
          </w:p>
          <w:p w:rsidR="00321B6A" w:rsidRPr="001C4D80" w:rsidP="00D15173">
            <w:pPr>
              <w:spacing w:before="0" w:after="0"/>
              <w:jc w:val="left"/>
              <w:rPr>
                <w:sz w:val="20"/>
                <w:szCs w:val="20"/>
              </w:rPr>
            </w:pP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SI/2020/PR/0038</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16.6.2022</w:t>
            </w:r>
          </w:p>
        </w:tc>
        <w:tc>
          <w:tcPr>
            <w:shd w:val="clear" w:color="auto" w:fill="auto"/>
          </w:tcPr>
          <w:p w:rsidR="00321B6A" w:rsidRPr="001C4D80" w:rsidP="00D15173">
            <w:pPr>
              <w:spacing w:before="0" w:after="0"/>
              <w:jc w:val="center"/>
              <w:rPr>
                <w:sz w:val="20"/>
                <w:szCs w:val="20"/>
              </w:rPr>
            </w:pPr>
            <w:r w:rsidRPr="001C4D80">
              <w:rPr>
                <w:noProof/>
                <w:sz w:val="20"/>
                <w:szCs w:val="20"/>
              </w:rPr>
              <w:t>16.6.2022</w:t>
            </w:r>
          </w:p>
        </w:tc>
        <w:tc>
          <w:tcPr>
            <w:shd w:val="clear" w:color="auto" w:fill="auto"/>
          </w:tcPr>
          <w:p w:rsidR="00321B6A" w:rsidRPr="001C4D80" w:rsidP="00D15173">
            <w:pPr>
              <w:spacing w:before="0" w:after="0"/>
              <w:jc w:val="center"/>
              <w:rPr>
                <w:sz w:val="20"/>
                <w:szCs w:val="20"/>
              </w:rPr>
            </w:pPr>
            <w:r w:rsidRPr="001C4D80">
              <w:rPr>
                <w:noProof/>
                <w:sz w:val="20"/>
                <w:szCs w:val="20"/>
              </w:rPr>
              <w:t>29.6.2022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(A.SO1.1.1-04D - Predaje po dublinski uredbi):</w:t>
            </w:r>
          </w:p>
          <w:p w:rsidR="00321B6A" w:rsidRPr="001C4D80" w:rsidP="00D15173">
            <w:pPr>
              <w:spacing w:before="0" w:after="0"/>
              <w:jc w:val="left"/>
              <w:rPr>
                <w:sz w:val="20"/>
                <w:szCs w:val="20"/>
              </w:rPr>
            </w:pPr>
            <w:r w:rsidRPr="001C4D80">
              <w:rPr>
                <w:noProof/>
                <w:sz w:val="20"/>
                <w:szCs w:val="20"/>
              </w:rPr>
              <w:t xml:space="preserve">- Projekt A.SO1.1.1-04D se izvaja v letu 2022 in je nadaljevanje projekta A.SO1.1.1-04C (iz leta 2021), A.SO1.1.1-04B (iz let 2018, 2019 in 2020) ter projekta A.SO1.1.1-04A (iz let 2015, 2016 in 2017). </w:t>
            </w:r>
          </w:p>
          <w:p w:rsidR="00321B6A" w:rsidRPr="001C4D80" w:rsidP="00D15173">
            <w:pPr>
              <w:spacing w:before="0" w:after="0"/>
              <w:jc w:val="left"/>
              <w:rPr>
                <w:sz w:val="20"/>
                <w:szCs w:val="20"/>
              </w:rPr>
            </w:pPr>
            <w:r w:rsidRPr="001C4D80">
              <w:rPr>
                <w:noProof/>
                <w:sz w:val="20"/>
                <w:szCs w:val="20"/>
              </w:rPr>
              <w:t>- Namenjen je učinkovitemu izvajanju Uredbe (EU) št. 604/2013 o vzpostavitvi meril in mehanizmov za določitev države članice, odgovorne za obravnavanje prošnje za mednarodno zaščito, ki jo vloži državljan tretje države ali oseba brez državljanstva. Temeljno načelo Dublinske uredbe je, da je država članica, ki je imela največjo vlogo pri vstopu prosilca v ali njegovem bivanju v njej, odgovorna tudi za obravnavanje njegove prošnje. V okviru projekta se financirajo stroški predaj, in sicer organiziranje prevoza in stroški spremljanja uradne osebe za državljane tretjih držav, ki jih je potrebno vrniti v državo članico, ki je odgovorna za obravnavo prošnje.</w:t>
            </w:r>
          </w:p>
          <w:p w:rsidR="00321B6A" w:rsidRPr="001C4D80" w:rsidP="00D15173">
            <w:pPr>
              <w:spacing w:before="0" w:after="0"/>
              <w:jc w:val="left"/>
              <w:rPr>
                <w:sz w:val="20"/>
                <w:szCs w:val="20"/>
              </w:rPr>
            </w:pPr>
            <w:r w:rsidRPr="001C4D80">
              <w:rPr>
                <w:noProof/>
                <w:sz w:val="20"/>
                <w:szCs w:val="20"/>
              </w:rPr>
              <w:t xml:space="preserve">- KU je omogočil vpogled v elektronski komunikacijski omrežji »DubliNet« in »Euro Dac«, v kateri so vključene vse države članice EU. Prvi predstavlja glavno orodje za dogovarjanje, koordiniranje in nadziranje vseh aktivnosti, povezanih z dublinskimi predajami (npr.: osebni podatki, referenčna št. posameznega prosilca, podatki o transferju, ipd.), medtem, ko je slednji namenjen hrambi in obdelavi človeških prstnih odtisov, ki se vodijo centralizirano. Celotna komunikacija teče elektronsko kriptirano. Na ta način je kraj in čas predaje osebe v drugo državo članico EU vnaprej dogovorjen s pristojnimi organi te države. </w:t>
            </w:r>
          </w:p>
          <w:p w:rsidR="00321B6A" w:rsidRPr="001C4D80" w:rsidP="00D15173">
            <w:pPr>
              <w:spacing w:before="0" w:after="0"/>
              <w:jc w:val="left"/>
              <w:rPr>
                <w:sz w:val="20"/>
                <w:szCs w:val="20"/>
              </w:rPr>
            </w:pPr>
            <w:r w:rsidRPr="001C4D80">
              <w:rPr>
                <w:noProof/>
                <w:sz w:val="20"/>
                <w:szCs w:val="20"/>
              </w:rPr>
              <w:t xml:space="preserve">- Predaje (track changes) s sosednjimi državami potekajo na osnovi dogovora, da se izvedejo na določenih mejnih kopenskih prehodih. Gre za neformalne dogovore, saj po letu 2015, ko je nastopila nova uredba, novi bilateralni sporazumi niso bili sklenjeni. </w:t>
            </w:r>
          </w:p>
          <w:p w:rsidR="00321B6A" w:rsidRPr="001C4D80" w:rsidP="00D15173">
            <w:pPr>
              <w:spacing w:before="0" w:after="0"/>
              <w:jc w:val="left"/>
              <w:rPr>
                <w:sz w:val="20"/>
                <w:szCs w:val="20"/>
              </w:rPr>
            </w:pPr>
            <w:r w:rsidRPr="001C4D80">
              <w:rPr>
                <w:noProof/>
                <w:sz w:val="20"/>
                <w:szCs w:val="20"/>
              </w:rPr>
              <w:t>- Spremljanje učinkov projekta kaže kazalnik (K17) »Število izvedenih predaj po Uredbi 2013/604//EU«. Zabeležena vrednost prvega zahtevka, z dne 19. 5. 2022 je 12, kar je v skladu s predvidenim.</w:t>
            </w:r>
          </w:p>
          <w:p w:rsidR="00321B6A" w:rsidRPr="001C4D80" w:rsidP="00D15173">
            <w:pPr>
              <w:spacing w:before="0" w:after="0"/>
              <w:jc w:val="left"/>
              <w:rPr>
                <w:sz w:val="20"/>
                <w:szCs w:val="20"/>
              </w:rPr>
            </w:pPr>
            <w:r w:rsidRPr="001C4D80">
              <w:rPr>
                <w:noProof/>
                <w:sz w:val="20"/>
                <w:szCs w:val="20"/>
              </w:rPr>
              <w:t xml:space="preserve">- KU se drži usmeritev, da se zadosti zahtevam Evropske komisije glede obveščanja in izboljšanja prepoznavnosti vloge EU preko uporabe logotipa EU ter navedbe sklada na projektni dokumentaciji. Zaradi narave projekta ni predvideno splošno obveščanje javnosti. </w:t>
            </w:r>
          </w:p>
          <w:p w:rsidR="00321B6A" w:rsidRPr="001C4D80" w:rsidP="00D15173">
            <w:pPr>
              <w:spacing w:before="0" w:after="0"/>
              <w:jc w:val="left"/>
              <w:rPr>
                <w:sz w:val="20"/>
                <w:szCs w:val="20"/>
              </w:rPr>
            </w:pPr>
            <w:r w:rsidRPr="001C4D80">
              <w:rPr>
                <w:noProof/>
                <w:sz w:val="20"/>
                <w:szCs w:val="20"/>
              </w:rPr>
              <w:t>- Projekt se odvija brez večjih težav. Organizacija prevozov in spremljanj uradnih oseb poteka brez posebnosti. Izpolnitev zastavljenih ciljev bi lahko ogrozila le morebitna ponovitev epidemije C-19.</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SI/2020/PR/0040</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18.11.2021</w:t>
            </w:r>
          </w:p>
        </w:tc>
        <w:tc>
          <w:tcPr>
            <w:shd w:val="clear" w:color="auto" w:fill="auto"/>
          </w:tcPr>
          <w:p w:rsidR="00321B6A" w:rsidRPr="001C4D80" w:rsidP="00D15173">
            <w:pPr>
              <w:spacing w:before="0" w:after="0"/>
              <w:jc w:val="center"/>
              <w:rPr>
                <w:sz w:val="20"/>
                <w:szCs w:val="20"/>
              </w:rPr>
            </w:pPr>
            <w:r w:rsidRPr="001C4D80">
              <w:rPr>
                <w:noProof/>
                <w:sz w:val="20"/>
                <w:szCs w:val="20"/>
              </w:rPr>
              <w:t>18.11.2021</w:t>
            </w:r>
          </w:p>
        </w:tc>
        <w:tc>
          <w:tcPr>
            <w:shd w:val="clear" w:color="auto" w:fill="auto"/>
          </w:tcPr>
          <w:p w:rsidR="00321B6A" w:rsidRPr="001C4D80" w:rsidP="00D15173">
            <w:pPr>
              <w:spacing w:before="0" w:after="0"/>
              <w:jc w:val="center"/>
              <w:rPr>
                <w:sz w:val="20"/>
                <w:szCs w:val="20"/>
              </w:rPr>
            </w:pPr>
            <w:r w:rsidRPr="001C4D80">
              <w:rPr>
                <w:noProof/>
                <w:sz w:val="20"/>
                <w:szCs w:val="20"/>
              </w:rPr>
              <w:t>16.12.2021</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(A.SO1.1.1-12B-Pomoč pri nastanitvi in oskrbi prosilcev ob sprejemu):</w:t>
            </w:r>
          </w:p>
          <w:p w:rsidR="00321B6A" w:rsidRPr="001C4D80" w:rsidP="00D15173">
            <w:pPr>
              <w:spacing w:before="0" w:after="0"/>
              <w:jc w:val="left"/>
              <w:rPr>
                <w:sz w:val="20"/>
                <w:szCs w:val="20"/>
              </w:rPr>
            </w:pPr>
            <w:r w:rsidRPr="001C4D80">
              <w:rPr>
                <w:noProof/>
                <w:sz w:val="20"/>
                <w:szCs w:val="20"/>
              </w:rPr>
              <w:t>Projekt traja od 1. 5. do 31. 12. 2021. Izveden je bil JR, št. 430-76/2020. Pogodba št. 1542-21-000046 med UOIM in Slovensko filantropijo je bila podpisana 1.9.2021, z aktivnostmi so začeli 8. 9. 2021. KU je prejel 30 % predplačilo (14.842,20 EUR).</w:t>
            </w:r>
          </w:p>
          <w:p w:rsidR="00321B6A" w:rsidRPr="001C4D80" w:rsidP="00D15173">
            <w:pPr>
              <w:spacing w:before="0" w:after="0"/>
              <w:jc w:val="left"/>
              <w:rPr>
                <w:sz w:val="20"/>
                <w:szCs w:val="20"/>
              </w:rPr>
            </w:pPr>
            <w:r w:rsidRPr="001C4D80">
              <w:rPr>
                <w:noProof/>
                <w:sz w:val="20"/>
                <w:szCs w:val="20"/>
              </w:rPr>
              <w:t>- KU dosledno izvaja obveznosti glede projektnega poročanja in priprave obdobnih evalvacij.</w:t>
            </w:r>
          </w:p>
          <w:p w:rsidR="00321B6A" w:rsidRPr="001C4D80" w:rsidP="00D15173">
            <w:pPr>
              <w:spacing w:before="0" w:after="0"/>
              <w:jc w:val="left"/>
              <w:rPr>
                <w:sz w:val="20"/>
                <w:szCs w:val="20"/>
              </w:rPr>
            </w:pPr>
            <w:r w:rsidRPr="001C4D80">
              <w:rPr>
                <w:noProof/>
                <w:sz w:val="20"/>
                <w:szCs w:val="20"/>
              </w:rPr>
              <w:t xml:space="preserve">- Načrtovana sta dva dela programa. 1. del (A-001) obsega razgovore, 2. del (A-002) delavnice v nastanitvenih kapacitetah. </w:t>
            </w:r>
          </w:p>
          <w:p w:rsidR="00321B6A" w:rsidRPr="001C4D80" w:rsidP="00D15173">
            <w:pPr>
              <w:spacing w:before="0" w:after="0"/>
              <w:jc w:val="left"/>
              <w:rPr>
                <w:sz w:val="20"/>
                <w:szCs w:val="20"/>
              </w:rPr>
            </w:pPr>
            <w:r w:rsidRPr="001C4D80">
              <w:rPr>
                <w:noProof/>
                <w:sz w:val="20"/>
                <w:szCs w:val="20"/>
              </w:rPr>
              <w:t xml:space="preserve">- V okviru projekta je načrtovana aktivnosti A-003 »priprava informativnega letaka«. KU je pojasnil, da z izdelavo letakov še niso pričeli. So pa izdelali 6 plakatov, ki so bili prevedeni v farsi in arabski jezik. Skupno je bilo izdelanih 18 plakatov. KU ne bo uveljavljal stroškov za tisk plakatov, uveljavljali naj bi le stroške prevoda. Priprava informativnih videov (A-004) je v fazi načrtovanja. </w:t>
            </w:r>
          </w:p>
          <w:p w:rsidR="00321B6A" w:rsidRPr="001C4D80" w:rsidP="00D15173">
            <w:pPr>
              <w:spacing w:before="0" w:after="0"/>
              <w:jc w:val="left"/>
              <w:rPr>
                <w:sz w:val="20"/>
                <w:szCs w:val="20"/>
              </w:rPr>
            </w:pPr>
            <w:r w:rsidRPr="001C4D80">
              <w:rPr>
                <w:noProof/>
                <w:sz w:val="20"/>
                <w:szCs w:val="20"/>
              </w:rPr>
              <w:t>- Projekt se zaključi 31. 12. 2021, načrtovani zaključek A-003 in A-004 (30. 5. 2021) pa je bil z na novo sklenjenim aneksom (20. 12. 2021) prestavljen na isti datum.</w:t>
            </w:r>
          </w:p>
          <w:p w:rsidR="00321B6A" w:rsidRPr="001C4D80" w:rsidP="00D15173">
            <w:pPr>
              <w:spacing w:before="0" w:after="0"/>
              <w:jc w:val="left"/>
              <w:rPr>
                <w:sz w:val="20"/>
                <w:szCs w:val="20"/>
              </w:rPr>
            </w:pPr>
            <w:r w:rsidRPr="001C4D80">
              <w:rPr>
                <w:noProof/>
                <w:sz w:val="20"/>
                <w:szCs w:val="20"/>
              </w:rPr>
              <w:t>- Aktivnost A-006 se nanaša na »koordinacijo projekta, tolmačev, poročanje«. KU, do izvedbe operativne KKS, še ni oddal ZzP.</w:t>
            </w:r>
          </w:p>
          <w:p w:rsidR="00321B6A" w:rsidRPr="001C4D80" w:rsidP="00D15173">
            <w:pPr>
              <w:spacing w:before="0" w:after="0"/>
              <w:jc w:val="left"/>
              <w:rPr>
                <w:sz w:val="20"/>
                <w:szCs w:val="20"/>
              </w:rPr>
            </w:pPr>
            <w:r w:rsidRPr="001C4D80">
              <w:rPr>
                <w:noProof/>
                <w:sz w:val="20"/>
                <w:szCs w:val="20"/>
              </w:rPr>
              <w:t xml:space="preserve">- Skrbnik pogodbe je Primož Jamšek. V okviru Priloge IV/8 razpisne dokumentacije je bila za glavno nosilko - VP in izvajalko aktivnosti imenovana Hana Alhadi, ki jo je zamenjal Jan Bauman. KU je pojasnil, da je za zamenjavo vodje projekta pridobil pisno soglasje skrbnice pogodbe s strani UOIM, 6. 9. 2021. </w:t>
            </w:r>
          </w:p>
          <w:p w:rsidR="00321B6A" w:rsidRPr="001C4D80" w:rsidP="00D15173">
            <w:pPr>
              <w:spacing w:before="0" w:after="0"/>
              <w:jc w:val="left"/>
              <w:rPr>
                <w:sz w:val="20"/>
                <w:szCs w:val="20"/>
              </w:rPr>
            </w:pPr>
            <w:r w:rsidRPr="001C4D80">
              <w:rPr>
                <w:noProof/>
                <w:sz w:val="20"/>
                <w:szCs w:val="20"/>
              </w:rPr>
              <w:t>- KU je določil 2 kazalnika, K405 »Število ponujenih dvournih delavnic na teden« in K406 »Število letakov«. KU ocenjuje, da načrtovane vrednosti kazalnikov ne bodo dosežene.</w:t>
            </w:r>
          </w:p>
          <w:p w:rsidR="00321B6A" w:rsidRPr="001C4D80" w:rsidP="00D15173">
            <w:pPr>
              <w:spacing w:before="0" w:after="0"/>
              <w:jc w:val="left"/>
              <w:rPr>
                <w:sz w:val="20"/>
                <w:szCs w:val="20"/>
              </w:rPr>
            </w:pPr>
            <w:r w:rsidRPr="001C4D80">
              <w:rPr>
                <w:noProof/>
                <w:sz w:val="20"/>
                <w:szCs w:val="20"/>
              </w:rPr>
              <w:t>- Dokumentacija je ustrezno opremljena z emblemom EU in navedbo sklada.</w:t>
            </w:r>
          </w:p>
          <w:p w:rsidR="00321B6A" w:rsidRPr="001C4D80" w:rsidP="00D15173">
            <w:pPr>
              <w:spacing w:before="0" w:after="0"/>
              <w:jc w:val="left"/>
              <w:rPr>
                <w:sz w:val="20"/>
                <w:szCs w:val="20"/>
              </w:rPr>
            </w:pPr>
            <w:r w:rsidRPr="001C4D80">
              <w:rPr>
                <w:noProof/>
                <w:sz w:val="20"/>
                <w:szCs w:val="20"/>
              </w:rPr>
              <w:t>PRIPOROČILA:</w:t>
            </w:r>
          </w:p>
          <w:p w:rsidR="00321B6A" w:rsidRPr="001C4D80" w:rsidP="00D15173">
            <w:pPr>
              <w:spacing w:before="0" w:after="0"/>
              <w:jc w:val="left"/>
              <w:rPr>
                <w:sz w:val="20"/>
                <w:szCs w:val="20"/>
              </w:rPr>
            </w:pPr>
            <w:r w:rsidRPr="001C4D80">
              <w:rPr>
                <w:noProof/>
                <w:sz w:val="20"/>
                <w:szCs w:val="20"/>
              </w:rPr>
              <w:t xml:space="preserve">- Da se zadosti zahtevam EK, naj KU izobesi info. plakate na lokacijah, kjer se izvaja projekt ter dokazila od datuma končnega poročila posreduje OO. OO opozarja, da se aktivnost A-003 nanaša le na pripravo letakov, zato stroški povezani z izdelavo plakatov in vsebinski prevodi niso upravičeni do sofinanciranja iz AMIF. </w:t>
            </w:r>
          </w:p>
          <w:p w:rsidR="00321B6A" w:rsidRPr="001C4D80" w:rsidP="00D15173">
            <w:pPr>
              <w:spacing w:before="0" w:after="0"/>
              <w:jc w:val="left"/>
              <w:rPr>
                <w:sz w:val="20"/>
                <w:szCs w:val="20"/>
              </w:rPr>
            </w:pPr>
            <w:r w:rsidRPr="001C4D80">
              <w:rPr>
                <w:noProof/>
                <w:sz w:val="20"/>
                <w:szCs w:val="20"/>
              </w:rPr>
              <w:t>- OO priporoča, da se pri oddaji zaključnega zahtevka oceni dosežene vrednosti kazalnikov v povezavi s ciljnimi vrednostmi in v primeru nedoseganja vrednosti poda ustrezno obrazložitev.</w:t>
            </w:r>
          </w:p>
          <w:p w:rsidR="00321B6A" w:rsidRPr="001C4D80" w:rsidP="00D15173">
            <w:pPr>
              <w:spacing w:before="0" w:after="0"/>
              <w:jc w:val="left"/>
              <w:rPr>
                <w:sz w:val="20"/>
                <w:szCs w:val="20"/>
              </w:rPr>
            </w:pPr>
            <w:r w:rsidRPr="001C4D80">
              <w:rPr>
                <w:noProof/>
                <w:sz w:val="20"/>
                <w:szCs w:val="20"/>
              </w:rPr>
              <w:t>- UOIM naj bo pri potrditvi ZzI pozoren, da so zastavljeni cilji v okviru načrtovanih aktivnosti doseženi.</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SI/2020/PR/0045</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23.11.2021</w:t>
            </w:r>
          </w:p>
        </w:tc>
        <w:tc>
          <w:tcPr>
            <w:shd w:val="clear" w:color="auto" w:fill="auto"/>
          </w:tcPr>
          <w:p w:rsidR="00321B6A" w:rsidRPr="001C4D80" w:rsidP="00D15173">
            <w:pPr>
              <w:spacing w:before="0" w:after="0"/>
              <w:jc w:val="center"/>
              <w:rPr>
                <w:sz w:val="20"/>
                <w:szCs w:val="20"/>
              </w:rPr>
            </w:pPr>
            <w:r w:rsidRPr="001C4D80">
              <w:rPr>
                <w:noProof/>
                <w:sz w:val="20"/>
                <w:szCs w:val="20"/>
              </w:rPr>
              <w:t>23.11.2021</w:t>
            </w:r>
          </w:p>
        </w:tc>
        <w:tc>
          <w:tcPr>
            <w:shd w:val="clear" w:color="auto" w:fill="auto"/>
          </w:tcPr>
          <w:p w:rsidR="00321B6A" w:rsidRPr="001C4D80" w:rsidP="00D15173">
            <w:pPr>
              <w:spacing w:before="0" w:after="0"/>
              <w:jc w:val="center"/>
              <w:rPr>
                <w:sz w:val="20"/>
                <w:szCs w:val="20"/>
              </w:rPr>
            </w:pPr>
            <w:r w:rsidRPr="001C4D80">
              <w:rPr>
                <w:noProof/>
                <w:sz w:val="20"/>
                <w:szCs w:val="20"/>
              </w:rPr>
              <w:t>15.12.2021</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(A.SO3.1.2-01C-Spremljanje prisilnega vračanja): </w:t>
            </w:r>
          </w:p>
          <w:p w:rsidR="00321B6A" w:rsidRPr="001C4D80" w:rsidP="00D15173">
            <w:pPr>
              <w:spacing w:before="0" w:after="0"/>
              <w:jc w:val="left"/>
              <w:rPr>
                <w:sz w:val="20"/>
                <w:szCs w:val="20"/>
              </w:rPr>
            </w:pPr>
            <w:r w:rsidRPr="001C4D80">
              <w:rPr>
                <w:noProof/>
                <w:sz w:val="20"/>
                <w:szCs w:val="20"/>
              </w:rPr>
              <w:t>- Projekt se izvaja od 4. 6. 2020 in bo predvidoma zaključen 31. 12. 2021.</w:t>
            </w:r>
          </w:p>
          <w:p w:rsidR="00321B6A" w:rsidRPr="001C4D80" w:rsidP="00D15173">
            <w:pPr>
              <w:spacing w:before="0" w:after="0"/>
              <w:jc w:val="left"/>
              <w:rPr>
                <w:sz w:val="20"/>
                <w:szCs w:val="20"/>
              </w:rPr>
            </w:pPr>
            <w:r w:rsidRPr="001C4D80">
              <w:rPr>
                <w:noProof/>
                <w:sz w:val="20"/>
                <w:szCs w:val="20"/>
              </w:rPr>
              <w:t>- Skladno s pogodbo, se izvajalec odzove na vsako obvestilo Policije oz. Centra za tujce (CT) o primeru, ko je pri odstranitvi tujca iz države predvidena uporaba prisilnih sredstev. Tudi vse nadaljnje postopke usklajuje s CT. Na dan predvidenega transporta tujca iz države z njim opravi razgovor, brez prisotnosti drugih oseb. Na podlagi lastne ocene kritičnosti primera in v sodelovanju z CT se odloči, ali bo spremstvo izvedeno v celoti ali le delno (npr. do državne meje).</w:t>
            </w:r>
          </w:p>
          <w:p w:rsidR="00321B6A" w:rsidRPr="001C4D80" w:rsidP="00D15173">
            <w:pPr>
              <w:spacing w:before="0" w:after="0"/>
              <w:jc w:val="left"/>
              <w:rPr>
                <w:sz w:val="20"/>
                <w:szCs w:val="20"/>
              </w:rPr>
            </w:pPr>
            <w:r w:rsidRPr="001C4D80">
              <w:rPr>
                <w:noProof/>
                <w:sz w:val="20"/>
                <w:szCs w:val="20"/>
              </w:rPr>
              <w:t>- Za vseh sedem primerov spremljanj (šest jih je bilo izvedenih v okviru projekta, eno pa je izvedel Varuh človekovih pravic v okviru svojih aktivnosti Državnega preventivnega mehanizma), KU navaja, da so potekali brez težav, tako z vidika vedenja deportiranih oseb kot varovanja človekovih pravic in dostojanstva pri izvajanju policijskih postopkov odstranitve iz države. Izvajalec je bil pri tem še posebej pozoren na zdravstveno stanje in splošno počutje spremljanih oseb. Morebitnih naknadnih pritožb na izvajanje postopkov s strani deportiranih oseb ni bilo.</w:t>
            </w:r>
          </w:p>
          <w:p w:rsidR="00321B6A" w:rsidRPr="001C4D80" w:rsidP="00D15173">
            <w:pPr>
              <w:spacing w:before="0" w:after="0"/>
              <w:jc w:val="left"/>
              <w:rPr>
                <w:sz w:val="20"/>
                <w:szCs w:val="20"/>
              </w:rPr>
            </w:pPr>
            <w:r w:rsidRPr="001C4D80">
              <w:rPr>
                <w:noProof/>
                <w:sz w:val="20"/>
                <w:szCs w:val="20"/>
              </w:rPr>
              <w:t>- Vodenje in koordiniranje projekta (A-001) kot tudi priprava (A-002) ter spremljanje odstranitve tujcev iz RS (A-003), se izvajajo skladno s projektno prijavo. KU se je v decembru 2020 udeležil usposabljanja (A-004), ki je bilo organizirano s strani dunajske izpostave Frontexa. Izobraževanje je bilo, zaradi omejitev povezanih z C-19, izvedeno na daljavo. Naslednje izobraževanje je predvideno konec novembra 2021.</w:t>
            </w:r>
          </w:p>
          <w:p w:rsidR="00321B6A" w:rsidRPr="001C4D80" w:rsidP="00D15173">
            <w:pPr>
              <w:spacing w:before="0" w:after="0"/>
              <w:jc w:val="left"/>
              <w:rPr>
                <w:sz w:val="20"/>
                <w:szCs w:val="20"/>
              </w:rPr>
            </w:pPr>
            <w:r w:rsidRPr="001C4D80">
              <w:rPr>
                <w:noProof/>
                <w:sz w:val="20"/>
                <w:szCs w:val="20"/>
              </w:rPr>
              <w:t>- Izvajalec ocenjuje, da sodelovanje s CT (s skrbnikom pogodbe, policisti in inšpektorji) poteka tekoče, večinoma na daljavo, preko elektronskih medijev. Iz tega razloga se jim posebno sklicevanje sestankov, čeprav predvidenih v aktivnostih projekta, ne zdi potrebno. Aktivnost A-005 zato ni bila izvedena.</w:t>
            </w:r>
          </w:p>
          <w:p w:rsidR="00321B6A" w:rsidRPr="001C4D80" w:rsidP="00D15173">
            <w:pPr>
              <w:spacing w:before="0" w:after="0"/>
              <w:jc w:val="left"/>
              <w:rPr>
                <w:sz w:val="20"/>
                <w:szCs w:val="20"/>
              </w:rPr>
            </w:pPr>
            <w:r w:rsidRPr="001C4D80">
              <w:rPr>
                <w:noProof/>
                <w:sz w:val="20"/>
                <w:szCs w:val="20"/>
              </w:rPr>
              <w:t>- O vrednostih kazalnikov bo KU poročal z vsakim zahtevkom za povračilo. KU ocenjuje, da bodo dosežene vrednosti nižje od predvidenih, ker so bila le-ta določena na podlagi statistike obdobja 2015-2019, ko je skozi Slovenijo tekel glavni begunski val.</w:t>
            </w:r>
          </w:p>
          <w:p w:rsidR="00321B6A" w:rsidRPr="001C4D80" w:rsidP="00D15173">
            <w:pPr>
              <w:spacing w:before="0" w:after="0"/>
              <w:jc w:val="left"/>
              <w:rPr>
                <w:sz w:val="20"/>
                <w:szCs w:val="20"/>
              </w:rPr>
            </w:pPr>
            <w:r w:rsidRPr="001C4D80">
              <w:rPr>
                <w:noProof/>
                <w:sz w:val="20"/>
                <w:szCs w:val="20"/>
              </w:rPr>
              <w:t>-  KU za vsak izveden primer spremljanja odstranitve tujcev iz RS izstavi ZzI. Na podlagi tega je bilo do dneva izvedbe KKS oddanih 5 ZzP v skupni vrednosti 2.382,15 EUR, a še niso pregledani s strani OO. Predplačil ni bilo.</w:t>
            </w:r>
          </w:p>
          <w:p w:rsidR="00321B6A" w:rsidRPr="001C4D80" w:rsidP="00D15173">
            <w:pPr>
              <w:spacing w:before="0" w:after="0"/>
              <w:jc w:val="left"/>
              <w:rPr>
                <w:sz w:val="20"/>
                <w:szCs w:val="20"/>
              </w:rPr>
            </w:pPr>
            <w:r w:rsidRPr="001C4D80">
              <w:rPr>
                <w:noProof/>
                <w:sz w:val="20"/>
                <w:szCs w:val="20"/>
              </w:rPr>
              <w:t>- KU je izrazil željo po podaljšanju projekta, saj večina sredtev ni bila porabljena.</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SI/2020/PR/0047</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21.6.2022</w:t>
            </w:r>
          </w:p>
        </w:tc>
        <w:tc>
          <w:tcPr>
            <w:shd w:val="clear" w:color="auto" w:fill="auto"/>
          </w:tcPr>
          <w:p w:rsidR="00321B6A" w:rsidRPr="001C4D80" w:rsidP="00D15173">
            <w:pPr>
              <w:spacing w:before="0" w:after="0"/>
              <w:jc w:val="center"/>
              <w:rPr>
                <w:sz w:val="20"/>
                <w:szCs w:val="20"/>
              </w:rPr>
            </w:pPr>
            <w:r w:rsidRPr="001C4D80">
              <w:rPr>
                <w:noProof/>
                <w:sz w:val="20"/>
                <w:szCs w:val="20"/>
              </w:rPr>
              <w:t>21.6.2022</w:t>
            </w:r>
          </w:p>
        </w:tc>
        <w:tc>
          <w:tcPr>
            <w:shd w:val="clear" w:color="auto" w:fill="auto"/>
          </w:tcPr>
          <w:p w:rsidR="00321B6A" w:rsidRPr="001C4D80" w:rsidP="00D15173">
            <w:pPr>
              <w:spacing w:before="0" w:after="0"/>
              <w:jc w:val="center"/>
              <w:rPr>
                <w:sz w:val="20"/>
                <w:szCs w:val="20"/>
              </w:rPr>
            </w:pPr>
            <w:r w:rsidRPr="001C4D80">
              <w:rPr>
                <w:noProof/>
                <w:sz w:val="20"/>
                <w:szCs w:val="20"/>
              </w:rPr>
              <w:t>24.6.2022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(A.SO3.1.3-01E - Tekoči stroški):</w:t>
            </w:r>
          </w:p>
          <w:p w:rsidR="00321B6A" w:rsidRPr="001C4D80" w:rsidP="00D15173">
            <w:pPr>
              <w:spacing w:before="0" w:after="0"/>
              <w:jc w:val="left"/>
              <w:rPr>
                <w:sz w:val="20"/>
                <w:szCs w:val="20"/>
              </w:rPr>
            </w:pPr>
            <w:r w:rsidRPr="001C4D80">
              <w:rPr>
                <w:noProof/>
                <w:sz w:val="20"/>
                <w:szCs w:val="20"/>
              </w:rPr>
              <w:t xml:space="preserve">- Projekt E traja od 1. 1. 22. Izvaja se skladno s pravili EU, nac. pravili in OP. </w:t>
            </w:r>
          </w:p>
          <w:p w:rsidR="00321B6A" w:rsidRPr="001C4D80" w:rsidP="00D15173">
            <w:pPr>
              <w:spacing w:before="0" w:after="0"/>
              <w:jc w:val="left"/>
              <w:rPr>
                <w:sz w:val="20"/>
                <w:szCs w:val="20"/>
              </w:rPr>
            </w:pPr>
            <w:r w:rsidRPr="001C4D80">
              <w:rPr>
                <w:noProof/>
                <w:sz w:val="20"/>
                <w:szCs w:val="20"/>
              </w:rPr>
              <w:t xml:space="preserve">- KU uveljavlja ZzP A.SO3.1.3-01E-ZzP-1.0, 129.062,45EUR. Kontrola ZzP in poziv k dopolnitvi s strani OO(14. 6. 22). </w:t>
            </w:r>
          </w:p>
          <w:p w:rsidR="00321B6A" w:rsidRPr="001C4D80" w:rsidP="00D15173">
            <w:pPr>
              <w:spacing w:before="0" w:after="0"/>
              <w:jc w:val="left"/>
              <w:rPr>
                <w:sz w:val="20"/>
                <w:szCs w:val="20"/>
              </w:rPr>
            </w:pPr>
            <w:r w:rsidRPr="001C4D80">
              <w:rPr>
                <w:noProof/>
                <w:sz w:val="20"/>
                <w:szCs w:val="20"/>
              </w:rPr>
              <w:t>- Skladno z Uredbo (EU) 2022/585 Evropskega parlamenta in Sveta (6. 4. 22) in dodatno prejetih sredstev, je 23. 5. 22 strani KU z el. pošto OO prejel predlog o spremembi višine proračuna na 280.000 EUR ter podaljšanje do 30. 6. 23. OO je pripravil spremembe 25. 5. 22.</w:t>
            </w:r>
          </w:p>
          <w:p w:rsidR="00321B6A" w:rsidRPr="001C4D80" w:rsidP="00D15173">
            <w:pPr>
              <w:spacing w:before="0" w:after="0"/>
              <w:jc w:val="left"/>
              <w:rPr>
                <w:sz w:val="20"/>
                <w:szCs w:val="20"/>
              </w:rPr>
            </w:pPr>
            <w:r w:rsidRPr="001C4D80">
              <w:rPr>
                <w:noProof/>
                <w:sz w:val="20"/>
                <w:szCs w:val="20"/>
              </w:rPr>
              <w:t xml:space="preserve">- Namen je zagotoviti predpisane standarde in izboljšati kakovost storitev pri začasni oskrbi tujcem. Cilj se uspešno dosega. Tujcem je, skladno z zakonom za obdobje največ do enega leta v prostorih zagotovljena ustrezna namestitev, z zagotavljanjem določenih pravic in varnostnih standardov. Izvajanje aktivnosti je redno pod nadzorom inštitucij, kot npr. CPT, ombudsman. </w:t>
            </w:r>
          </w:p>
          <w:p w:rsidR="00321B6A" w:rsidRPr="001C4D80" w:rsidP="00D15173">
            <w:pPr>
              <w:spacing w:before="0" w:after="0"/>
              <w:jc w:val="left"/>
              <w:rPr>
                <w:sz w:val="20"/>
                <w:szCs w:val="20"/>
              </w:rPr>
            </w:pPr>
            <w:r w:rsidRPr="001C4D80">
              <w:rPr>
                <w:noProof/>
                <w:sz w:val="20"/>
                <w:szCs w:val="20"/>
              </w:rPr>
              <w:t>- Aktivnosti se izvajajo skladno z načrtom. Vodja je opozoril na težave v okviru pridobivanja izvajalcev oz. dobav. Glede na ZJN-3 (drobljenje javnih naročil) in usmeritve, se manjša naročila združuje v okviru večjih postopkov JN, ki jih izvaja SJN, kar vpliva na obdobje od zaznave potreb od same realizacije izvedbe storitve oz. dobave.</w:t>
            </w:r>
          </w:p>
          <w:p w:rsidR="00321B6A" w:rsidRPr="001C4D80" w:rsidP="00D15173">
            <w:pPr>
              <w:spacing w:before="0" w:after="0"/>
              <w:jc w:val="left"/>
              <w:rPr>
                <w:sz w:val="20"/>
                <w:szCs w:val="20"/>
              </w:rPr>
            </w:pPr>
            <w:r w:rsidRPr="001C4D80">
              <w:rPr>
                <w:noProof/>
                <w:sz w:val="20"/>
                <w:szCs w:val="20"/>
              </w:rPr>
              <w:t>- Metodologija K108 je opredeljena na podlagi predhodnih projektov in predvidenih posameznih področij aktivnosti (poročanje ob zaključku).</w:t>
            </w:r>
          </w:p>
          <w:p w:rsidR="00321B6A" w:rsidRPr="001C4D80" w:rsidP="00D15173">
            <w:pPr>
              <w:spacing w:before="0" w:after="0"/>
              <w:jc w:val="left"/>
              <w:rPr>
                <w:sz w:val="20"/>
                <w:szCs w:val="20"/>
              </w:rPr>
            </w:pPr>
            <w:r w:rsidRPr="001C4D80">
              <w:rPr>
                <w:noProof/>
                <w:sz w:val="20"/>
                <w:szCs w:val="20"/>
              </w:rPr>
              <w:t>- Aktivnosti omogočajo, da se tujcem pred vračanjem v državo izvora, zagotovi potrebna oskrba, kot npr. prehrana, nočitev, izvajanje osebne higiene in higiene prostorov, čiščenje, ogrevanje, zdravstvena oskrba, itd.</w:t>
            </w:r>
          </w:p>
          <w:p w:rsidR="00321B6A" w:rsidRPr="001C4D80" w:rsidP="00D15173">
            <w:pPr>
              <w:spacing w:before="0" w:after="0"/>
              <w:jc w:val="left"/>
              <w:rPr>
                <w:sz w:val="20"/>
                <w:szCs w:val="20"/>
              </w:rPr>
            </w:pPr>
            <w:r w:rsidRPr="001C4D80">
              <w:rPr>
                <w:noProof/>
                <w:sz w:val="20"/>
                <w:szCs w:val="20"/>
              </w:rPr>
              <w:t xml:space="preserve">- Oskrba s prehrano zgotavlja pogodbeni partner, prav tako tudi čiščenje prostorov. Prehrano tujcev se naroča trikrat dnevno, skladno s številom tujcev in se dnevno spreminja. Sprejemi novih tujcev potekajo v kateremkoli delu dneva (24 ur). Za nepredvidene nastanitve, ki se opravijo v nočnem času, KU zagotavlja suhi obrok, ki je vedno na zalogi. </w:t>
            </w:r>
          </w:p>
          <w:p w:rsidR="00321B6A" w:rsidRPr="001C4D80" w:rsidP="00D15173">
            <w:pPr>
              <w:spacing w:before="0" w:after="0"/>
              <w:jc w:val="left"/>
              <w:rPr>
                <w:sz w:val="20"/>
                <w:szCs w:val="20"/>
              </w:rPr>
            </w:pPr>
            <w:r w:rsidRPr="001C4D80">
              <w:rPr>
                <w:noProof/>
                <w:sz w:val="20"/>
                <w:szCs w:val="20"/>
              </w:rPr>
              <w:t>- Pri kontroli upravičenosti stroškov prehrane je bilo zaznati posebne kategorije obrokov kot npr. dietna prehrana za želodec. KU je pojasnil, da upravičenost diete določi zdravnik ob pregledu posameznika.</w:t>
            </w:r>
          </w:p>
          <w:p w:rsidR="00321B6A" w:rsidRPr="001C4D80" w:rsidP="00D15173">
            <w:pPr>
              <w:spacing w:before="0" w:after="0"/>
              <w:jc w:val="left"/>
              <w:rPr>
                <w:sz w:val="20"/>
                <w:szCs w:val="20"/>
              </w:rPr>
            </w:pPr>
            <w:r w:rsidRPr="001C4D80">
              <w:rPr>
                <w:noProof/>
                <w:sz w:val="20"/>
                <w:szCs w:val="20"/>
              </w:rPr>
              <w:t>- KU je na objektu CT namestil oznako (tablo) o sofinanciranju iz EU, skladno z zahtevami obveščanja in objavljanja, prav tako so elementi obveščanja »EU emblem« v celotni stavbi (oprema, pisarniško pohištvo, IKT oprema, itd.). Oprema sicer ni predmet projekta, vendar je le-ta potrebna za izvajanje aktivnosti.</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SI/2020/PR/0049</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7.6.2022</w:t>
            </w:r>
          </w:p>
        </w:tc>
        <w:tc>
          <w:tcPr>
            <w:shd w:val="clear" w:color="auto" w:fill="auto"/>
          </w:tcPr>
          <w:p w:rsidR="00321B6A" w:rsidRPr="001C4D80" w:rsidP="00D15173">
            <w:pPr>
              <w:spacing w:before="0" w:after="0"/>
              <w:jc w:val="center"/>
              <w:rPr>
                <w:sz w:val="20"/>
                <w:szCs w:val="20"/>
              </w:rPr>
            </w:pPr>
            <w:r w:rsidRPr="001C4D80">
              <w:rPr>
                <w:noProof/>
                <w:sz w:val="20"/>
                <w:szCs w:val="20"/>
              </w:rPr>
              <w:t>7.6.2022</w:t>
            </w:r>
          </w:p>
        </w:tc>
        <w:tc>
          <w:tcPr>
            <w:shd w:val="clear" w:color="auto" w:fill="auto"/>
          </w:tcPr>
          <w:p w:rsidR="00321B6A" w:rsidRPr="001C4D80" w:rsidP="00D15173">
            <w:pPr>
              <w:spacing w:before="0" w:after="0"/>
              <w:jc w:val="center"/>
              <w:rPr>
                <w:sz w:val="20"/>
                <w:szCs w:val="20"/>
              </w:rPr>
            </w:pPr>
            <w:r w:rsidRPr="001C4D80">
              <w:rPr>
                <w:noProof/>
                <w:sz w:val="20"/>
                <w:szCs w:val="20"/>
              </w:rPr>
              <w:t>10.6.2022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(A.SO3.1.3-03D -  Mednarodni prostor za zavrnjene tujce):</w:t>
            </w:r>
          </w:p>
          <w:p w:rsidR="00321B6A" w:rsidRPr="001C4D80" w:rsidP="00D15173">
            <w:pPr>
              <w:spacing w:before="0" w:after="0"/>
              <w:jc w:val="left"/>
              <w:rPr>
                <w:sz w:val="20"/>
                <w:szCs w:val="20"/>
              </w:rPr>
            </w:pPr>
            <w:r w:rsidRPr="001C4D80">
              <w:rPr>
                <w:noProof/>
                <w:sz w:val="20"/>
                <w:szCs w:val="20"/>
              </w:rPr>
              <w:t>- Projekt D je v teku od 1. 1. 22 in je nadaljevanje C, ki je zaključen. Izvaja se skladno s pravili EU, nacion. pravili in OP. Zaključek je predviden 31. 12. 22.</w:t>
            </w:r>
          </w:p>
          <w:p w:rsidR="00321B6A" w:rsidRPr="001C4D80" w:rsidP="00D15173">
            <w:pPr>
              <w:spacing w:before="0" w:after="0"/>
              <w:jc w:val="left"/>
              <w:rPr>
                <w:sz w:val="20"/>
                <w:szCs w:val="20"/>
              </w:rPr>
            </w:pPr>
            <w:r w:rsidRPr="001C4D80">
              <w:rPr>
                <w:noProof/>
                <w:sz w:val="20"/>
                <w:szCs w:val="20"/>
              </w:rPr>
              <w:t>- 31. 5. 22 je OO s strani KU prejel predlog št. 410-3/2022/33 o spremembi proračuna na 61.000 EUR ter podaljšanje do 30. 6. 23. OO je pripravil S1OPA.SO3.1.3-03D-OP-1.0.</w:t>
            </w:r>
          </w:p>
          <w:p w:rsidR="00321B6A" w:rsidRPr="001C4D80" w:rsidP="00D15173">
            <w:pPr>
              <w:spacing w:before="0" w:after="0"/>
              <w:jc w:val="left"/>
              <w:rPr>
                <w:sz w:val="20"/>
                <w:szCs w:val="20"/>
              </w:rPr>
            </w:pPr>
            <w:r w:rsidRPr="001C4D80">
              <w:rPr>
                <w:noProof/>
                <w:sz w:val="20"/>
                <w:szCs w:val="20"/>
              </w:rPr>
              <w:t>- Aktivnosti se izvajajo skladno z načrtom, večjih težav ni. PLP Brnik izvaja mejne kontrole na zunanjih schen. mejah, kamor spada letališče. Državljane tretjih držav (v nad. tujcev), ki nimajo pogojev za vstop v schen. območje, katerih vrnitev ni možna z letalom prispetja, se namesti v poseben prostor, v  MPZT. Nuden je nadzor, prenočišče in hrana. Skladno z zakonom so v RS lahko največ do 48 ur. Nato vrnitev v državo prihoda.</w:t>
            </w:r>
          </w:p>
          <w:p w:rsidR="00321B6A" w:rsidRPr="001C4D80" w:rsidP="00D15173">
            <w:pPr>
              <w:spacing w:before="0" w:after="0"/>
              <w:jc w:val="left"/>
              <w:rPr>
                <w:sz w:val="20"/>
                <w:szCs w:val="20"/>
              </w:rPr>
            </w:pPr>
            <w:r w:rsidRPr="001C4D80">
              <w:rPr>
                <w:noProof/>
                <w:sz w:val="20"/>
                <w:szCs w:val="20"/>
              </w:rPr>
              <w:t>- Razlog za pridržanje so neurejeni dokumenti (veljavnost potnega lista, vizuma, ipd.), katerih posamezni letalski prevoznik pri kontroli ni zaznal, torej pogoji za vstop niso izpolnjeni. Vzrok v zadnjih letih je vezan tudi na COVID-19.</w:t>
            </w:r>
          </w:p>
          <w:p w:rsidR="00321B6A" w:rsidRPr="001C4D80" w:rsidP="00D15173">
            <w:pPr>
              <w:spacing w:before="0" w:after="0"/>
              <w:jc w:val="left"/>
              <w:rPr>
                <w:sz w:val="20"/>
                <w:szCs w:val="20"/>
              </w:rPr>
            </w:pPr>
            <w:r w:rsidRPr="001C4D80">
              <w:rPr>
                <w:noProof/>
                <w:sz w:val="20"/>
                <w:szCs w:val="20"/>
              </w:rPr>
              <w:t>- Metodologija poročanja po kazalnikih izhaja iz preteklih projektov ter na podlagi trenutne situacije na območju EU. Čuti se vpliv vojne v Ukrajini, posledično je manj potnikov s strani Rusije. Na št. oseb, ki ne izpolnjujejo pogojev za vstop v RS oz. schen. območje, vplivajo novi nizkocenovni letalski prevozniki z slabšo kontrolo potnikov.</w:t>
            </w:r>
          </w:p>
          <w:p w:rsidR="00321B6A" w:rsidRPr="001C4D80" w:rsidP="00D15173">
            <w:pPr>
              <w:spacing w:before="0" w:after="0"/>
              <w:jc w:val="left"/>
              <w:rPr>
                <w:sz w:val="20"/>
                <w:szCs w:val="20"/>
              </w:rPr>
            </w:pPr>
            <w:r w:rsidRPr="001C4D80">
              <w:rPr>
                <w:noProof/>
                <w:sz w:val="20"/>
                <w:szCs w:val="20"/>
              </w:rPr>
              <w:t xml:space="preserve">- Cilj se uspešno dosega. Tujcem je z najetimi prostori zagotovljena ustrezna namestitev. Prezasedenosti prostorov ni, oskrba s hrano preko pogodbenega partnerja, tudi čiščenje prostorov. </w:t>
            </w:r>
          </w:p>
          <w:p w:rsidR="00321B6A" w:rsidRPr="001C4D80" w:rsidP="00D15173">
            <w:pPr>
              <w:spacing w:before="0" w:after="0"/>
              <w:jc w:val="left"/>
              <w:rPr>
                <w:sz w:val="20"/>
                <w:szCs w:val="20"/>
              </w:rPr>
            </w:pPr>
            <w:r w:rsidRPr="001C4D80">
              <w:rPr>
                <w:noProof/>
                <w:sz w:val="20"/>
                <w:szCs w:val="20"/>
              </w:rPr>
              <w:t>- Namen zagotoviti kakovost storitev pri začasni oskrbi zavrnjenim osebam in z izpolnjevanjem ciljev je dosežen.</w:t>
            </w:r>
          </w:p>
          <w:p w:rsidR="00321B6A" w:rsidRPr="001C4D80" w:rsidP="00D15173">
            <w:pPr>
              <w:spacing w:before="0" w:after="0"/>
              <w:jc w:val="left"/>
              <w:rPr>
                <w:sz w:val="20"/>
                <w:szCs w:val="20"/>
              </w:rPr>
            </w:pPr>
            <w:r w:rsidRPr="001C4D80">
              <w:rPr>
                <w:noProof/>
                <w:sz w:val="20"/>
                <w:szCs w:val="20"/>
              </w:rPr>
              <w:t>- Prehrano za tujce naroča Policija, skladno s poimenskim seznamom. Nato mesečno pripravi poročilo. Če se račun za opravljeno storitev ujema s seznamom Policije (odpremnicami), SOP oddelek PU Kranj ga preveri, naredi odredbo, pošlje v kontrolo na Oddelek za finančno kontrolo EU sredstev, nato k odredbodajalcu v izplačilo.</w:t>
            </w:r>
          </w:p>
          <w:p w:rsidR="00321B6A" w:rsidRPr="001C4D80" w:rsidP="00D15173">
            <w:pPr>
              <w:spacing w:before="0" w:after="0"/>
              <w:jc w:val="left"/>
              <w:rPr>
                <w:sz w:val="20"/>
                <w:szCs w:val="20"/>
              </w:rPr>
            </w:pPr>
            <w:r w:rsidRPr="001C4D80">
              <w:rPr>
                <w:noProof/>
                <w:sz w:val="20"/>
                <w:szCs w:val="20"/>
              </w:rPr>
              <w:t>- Skupni del bivalnih prostorov je pod video nadzorom, ostali prostori so izvzeti. Stroški Policije v zvezi s tem se pokrivajo s proračunom oz. EU sredstvi. Video nadzorna oprema je bila nabavljena pred začetkom projekta, vzdrževanje in povezava z najeto kabelsko kanalizacijo pa je v času kontrole brezhibno delujoča.</w:t>
            </w:r>
          </w:p>
          <w:p w:rsidR="00321B6A" w:rsidRPr="001C4D80" w:rsidP="00D15173">
            <w:pPr>
              <w:spacing w:before="0" w:after="0"/>
              <w:jc w:val="left"/>
              <w:rPr>
                <w:sz w:val="20"/>
                <w:szCs w:val="20"/>
              </w:rPr>
            </w:pPr>
            <w:r w:rsidRPr="001C4D80">
              <w:rPr>
                <w:noProof/>
                <w:sz w:val="20"/>
                <w:szCs w:val="20"/>
              </w:rPr>
              <w:t>- KU je na objektu za zadržanje namestil oznako o sofin. iz EU skladov, skladno z zahtevami obveščanja in objavljanja.</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SI/2020/PR/0051</w:t>
            </w:r>
          </w:p>
        </w:tc>
        <w:tc>
          <w:tcPr>
            <w:shd w:val="clear" w:color="auto" w:fill="auto"/>
          </w:tcPr>
          <w:p w:rsidR="00321B6A" w:rsidRPr="001C4D80" w:rsidP="00D15173">
            <w:pPr>
              <w:spacing w:before="0" w:after="0"/>
              <w:jc w:val="left"/>
              <w:rPr>
                <w:sz w:val="20"/>
                <w:szCs w:val="20"/>
              </w:rPr>
            </w:pPr>
            <w:r w:rsidRPr="001C4D80">
              <w:rPr>
                <w:noProof/>
                <w:sz w:val="20"/>
                <w:szCs w:val="20"/>
              </w:rPr>
              <w:t>Finančna</w:t>
            </w:r>
          </w:p>
        </w:tc>
        <w:tc>
          <w:tcPr>
            <w:shd w:val="clear" w:color="auto" w:fill="auto"/>
          </w:tcPr>
          <w:p w:rsidR="00321B6A" w:rsidRPr="001C4D80" w:rsidP="00D15173">
            <w:pPr>
              <w:spacing w:before="0" w:after="0"/>
              <w:jc w:val="center"/>
              <w:rPr>
                <w:sz w:val="20"/>
                <w:szCs w:val="20"/>
              </w:rPr>
            </w:pPr>
            <w:r w:rsidRPr="001C4D80">
              <w:rPr>
                <w:noProof/>
                <w:sz w:val="20"/>
                <w:szCs w:val="20"/>
              </w:rPr>
              <w:t>15.6.2022</w:t>
            </w:r>
          </w:p>
        </w:tc>
        <w:tc>
          <w:tcPr>
            <w:shd w:val="clear" w:color="auto" w:fill="auto"/>
          </w:tcPr>
          <w:p w:rsidR="00321B6A" w:rsidRPr="001C4D80" w:rsidP="00D15173">
            <w:pPr>
              <w:spacing w:before="0" w:after="0"/>
              <w:jc w:val="center"/>
              <w:rPr>
                <w:sz w:val="20"/>
                <w:szCs w:val="20"/>
              </w:rPr>
            </w:pPr>
            <w:r w:rsidRPr="001C4D80">
              <w:rPr>
                <w:noProof/>
                <w:sz w:val="20"/>
                <w:szCs w:val="20"/>
              </w:rPr>
              <w:t>15.6.2022</w:t>
            </w:r>
          </w:p>
        </w:tc>
        <w:tc>
          <w:tcPr>
            <w:shd w:val="clear" w:color="auto" w:fill="auto"/>
          </w:tcPr>
          <w:p w:rsidR="00321B6A" w:rsidRPr="001C4D80" w:rsidP="00D15173">
            <w:pPr>
              <w:spacing w:before="0" w:after="0"/>
              <w:jc w:val="center"/>
              <w:rPr>
                <w:sz w:val="20"/>
                <w:szCs w:val="20"/>
              </w:rPr>
            </w:pPr>
            <w:r w:rsidRPr="001C4D80">
              <w:rPr>
                <w:noProof/>
                <w:sz w:val="20"/>
                <w:szCs w:val="20"/>
              </w:rPr>
              <w:t>11.7.2022</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13.698,16</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r>
              <w:rPr>
                <w:noProof/>
                <w:sz w:val="20"/>
                <w:szCs w:val="20"/>
              </w:rPr>
              <w:t>0,00%</w:t>
            </w: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(A.SO3.1.6-01B - Razširitev mreže prevajalcev in tolmačev):</w:t>
            </w:r>
          </w:p>
          <w:p w:rsidR="00321B6A" w:rsidRPr="001C4D80" w:rsidP="00D15173">
            <w:pPr>
              <w:spacing w:before="0" w:after="0"/>
              <w:jc w:val="left"/>
              <w:rPr>
                <w:sz w:val="20"/>
                <w:szCs w:val="20"/>
              </w:rPr>
            </w:pPr>
            <w:r w:rsidRPr="001C4D80">
              <w:rPr>
                <w:noProof/>
                <w:sz w:val="20"/>
                <w:szCs w:val="20"/>
              </w:rPr>
              <w:t xml:space="preserve">- Za izvajanje storitev prevajanja in tolmačenja v CT Postojna ima KU praviloma sklenjene avtorske pogodbe z več izvajalci. Podlaga temu je predlog KU za pripravo avtorske-podjemne pogodbe pristojnim službam MNZ (Služba za izvajanje JN, Pravna ter Kadrovska služba), ki podajo soglasje k predlogom. </w:t>
            </w:r>
          </w:p>
          <w:p w:rsidR="00321B6A" w:rsidRPr="001C4D80" w:rsidP="00D15173">
            <w:pPr>
              <w:spacing w:before="0" w:after="0"/>
              <w:jc w:val="left"/>
              <w:rPr>
                <w:sz w:val="20"/>
                <w:szCs w:val="20"/>
              </w:rPr>
            </w:pPr>
            <w:r w:rsidRPr="001C4D80">
              <w:rPr>
                <w:noProof/>
                <w:sz w:val="20"/>
                <w:szCs w:val="20"/>
              </w:rPr>
              <w:t xml:space="preserve">- Pred izvedbo KKS je bil KU naprošen za predložitev vseh pisnih prevodov, ki so bili izvedeni v zahtevkih 2.0 in 3.0. Od zahtevanih 23 dokazil (za 23 izdatkov) jih je OO prejel 11. Na tej podlagi je OO v okviru upravnega nadzora ugotovil neupravičenost izdatkov (ZzP 2.0: 003, 007, 015, 038; ZzP 3.0: 003, 007, 009, 025, 033, 038, 043, 048) v vrednosti 485,21 € (EU del: 363,90 €). </w:t>
            </w:r>
          </w:p>
          <w:p w:rsidR="00321B6A" w:rsidRPr="001C4D80" w:rsidP="00D15173">
            <w:pPr>
              <w:spacing w:before="0" w:after="0"/>
              <w:jc w:val="left"/>
              <w:rPr>
                <w:sz w:val="20"/>
                <w:szCs w:val="20"/>
              </w:rPr>
            </w:pPr>
            <w:r w:rsidRPr="001C4D80">
              <w:rPr>
                <w:noProof/>
                <w:sz w:val="20"/>
                <w:szCs w:val="20"/>
              </w:rPr>
              <w:t xml:space="preserve">- Vsebinska skladnost pregledanih izdatkov je v splošnem ustrezna. Nasprotno je v nekaterih primerih (2 izdatka v ZzP 2.0 in 9 izdatkov v ZzP 3.0) KU spregledal določilo »Nacionalnih pravil«, ki določajo, da se stroški, ki so manjši od 20 EUR ne upoštevajo kot neposredni upravičeni, ampak jih lahko KU uveljavlja v okviru posrednih upravičenih stroškov. Posledično je OO omenjene izdatke v okviru upravnega nadzora ZzP 2.0 in ZzP 3.0 spoznal za neupravičene. </w:t>
            </w:r>
          </w:p>
          <w:p w:rsidR="00321B6A" w:rsidRPr="001C4D80" w:rsidP="00D15173">
            <w:pPr>
              <w:spacing w:before="0" w:after="0"/>
              <w:jc w:val="left"/>
              <w:rPr>
                <w:sz w:val="20"/>
                <w:szCs w:val="20"/>
              </w:rPr>
            </w:pPr>
            <w:r w:rsidRPr="001C4D80">
              <w:rPr>
                <w:noProof/>
                <w:sz w:val="20"/>
                <w:szCs w:val="20"/>
              </w:rPr>
              <w:t xml:space="preserve">- Dokumentacija v okviru javnega naročila je ustrezno označena z EU emblemom in navedbo Sklada AMIF. </w:t>
            </w:r>
          </w:p>
          <w:p w:rsidR="00321B6A" w:rsidRPr="001C4D80" w:rsidP="00D15173">
            <w:pPr>
              <w:spacing w:before="0" w:after="0"/>
              <w:jc w:val="left"/>
              <w:rPr>
                <w:sz w:val="20"/>
                <w:szCs w:val="20"/>
              </w:rPr>
            </w:pPr>
            <w:r w:rsidRPr="001C4D80">
              <w:rPr>
                <w:noProof/>
                <w:sz w:val="20"/>
                <w:szCs w:val="20"/>
              </w:rPr>
              <w:t>- V ZzP so uveljavljeni pavšalni stroški (7 %) skladno z Nacionalnimi pravili 1.0 (in nadaljnje različice) ter Priročnikom 1.0 (in nadaljnje različice) skladov AMIF in ISF.</w:t>
            </w:r>
          </w:p>
          <w:p w:rsidR="00321B6A" w:rsidRPr="001C4D80" w:rsidP="00D15173">
            <w:pPr>
              <w:spacing w:before="0" w:after="0"/>
              <w:jc w:val="left"/>
              <w:rPr>
                <w:sz w:val="20"/>
                <w:szCs w:val="20"/>
              </w:rPr>
            </w:pPr>
            <w:r w:rsidRPr="001C4D80">
              <w:rPr>
                <w:noProof/>
                <w:sz w:val="20"/>
                <w:szCs w:val="20"/>
              </w:rPr>
              <w:t xml:space="preserve">PRIPOROČILA: </w:t>
            </w:r>
          </w:p>
          <w:p w:rsidR="00321B6A" w:rsidRPr="001C4D80" w:rsidP="00D15173">
            <w:pPr>
              <w:spacing w:before="0" w:after="0"/>
              <w:jc w:val="left"/>
              <w:rPr>
                <w:sz w:val="20"/>
                <w:szCs w:val="20"/>
              </w:rPr>
            </w:pPr>
            <w:r w:rsidRPr="001C4D80">
              <w:rPr>
                <w:noProof/>
                <w:sz w:val="20"/>
                <w:szCs w:val="20"/>
              </w:rPr>
              <w:t>KU naj pri vsakem nadaljnjem zahtevku za povračilo:</w:t>
            </w:r>
          </w:p>
          <w:p w:rsidR="00321B6A" w:rsidRPr="001C4D80" w:rsidP="00D15173">
            <w:pPr>
              <w:spacing w:before="0" w:after="0"/>
              <w:jc w:val="left"/>
              <w:rPr>
                <w:sz w:val="20"/>
                <w:szCs w:val="20"/>
              </w:rPr>
            </w:pPr>
            <w:r w:rsidRPr="001C4D80">
              <w:rPr>
                <w:noProof/>
                <w:sz w:val="20"/>
                <w:szCs w:val="20"/>
              </w:rPr>
              <w:t xml:space="preserve">- zagotovi OO vpogled v dokumentacijo, iz katere bo jasno razviden popis in obseg opravljenih pisnih prevodov, vključno s samim izdelkom (prevodom), skladno s sprejetimi pravili in veljavno zakonodajo.                                  </w:t>
            </w:r>
          </w:p>
          <w:p w:rsidR="00321B6A" w:rsidRPr="001C4D80" w:rsidP="00D15173">
            <w:pPr>
              <w:spacing w:before="0" w:after="0"/>
              <w:jc w:val="left"/>
              <w:rPr>
                <w:sz w:val="20"/>
                <w:szCs w:val="20"/>
              </w:rPr>
            </w:pPr>
            <w:r w:rsidRPr="001C4D80">
              <w:rPr>
                <w:noProof/>
                <w:sz w:val="20"/>
                <w:szCs w:val="20"/>
              </w:rPr>
              <w:t>- upošteva določilo 8.5 (j) »Nacionalnih pravil o upravičenih stroških in izdatkih skladov AMIF in ISF«, v katerem je določeno, da stroški in izdatki, ki so manjši od 20,00 EUR niso upravičeni do povračila.</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478"/>
        <w:gridCol w:w="1837"/>
        <w:gridCol w:w="1837"/>
        <w:gridCol w:w="206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vMerge w:val="restart"/>
            <w:shd w:val="clear" w:color="auto" w:fill="auto"/>
          </w:tcPr>
          <w:p w:rsidR="00321B6A" w:rsidRPr="00D80803" w:rsidP="00D15173">
            <w:pPr>
              <w:spacing w:before="0" w:after="0"/>
              <w:jc w:val="left"/>
              <w:rPr>
                <w:b/>
                <w:sz w:val="20"/>
                <w:szCs w:val="20"/>
              </w:rPr>
            </w:pPr>
            <w:r w:rsidRPr="00D80803">
              <w:rPr>
                <w:b/>
                <w:noProof/>
                <w:sz w:val="20"/>
                <w:szCs w:val="20"/>
              </w:rPr>
              <w:t>Referenčna oznaka projekta</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Vrsta kontrole na kraju samem</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Datum kontrole na kraju samem</w:t>
            </w:r>
          </w:p>
        </w:tc>
        <w:tc>
          <w:tcPr>
            <w:vMerge w:val="restart"/>
            <w:shd w:val="clear" w:color="auto" w:fill="auto"/>
          </w:tcPr>
          <w:p w:rsidR="00321B6A" w:rsidRPr="00D80803" w:rsidP="00D15173">
            <w:pPr>
              <w:spacing w:before="0" w:after="0"/>
              <w:jc w:val="left"/>
              <w:rPr>
                <w:b/>
                <w:sz w:val="20"/>
                <w:szCs w:val="20"/>
              </w:rPr>
            </w:pPr>
            <w:r w:rsidRPr="00D80803">
              <w:rPr>
                <w:b/>
                <w:noProof/>
                <w:sz w:val="20"/>
                <w:szCs w:val="20"/>
              </w:rPr>
              <w:t>Datum končnega poročila</w:t>
            </w:r>
          </w:p>
        </w:tc>
      </w:tr>
      <w:tr w:rsidTr="00321B6A">
        <w:tblPrEx>
          <w:tblW w:w="5000" w:type="pct"/>
          <w:tblLook w:val="04A0"/>
        </w:tblPrEx>
        <w:tc>
          <w:tcPr>
            <w:vMerge/>
            <w:shd w:val="clear" w:color="auto" w:fill="auto"/>
          </w:tcPr>
          <w:p w:rsidR="00321B6A" w:rsidRPr="001C4D80" w:rsidP="00D15173">
            <w:pPr>
              <w:spacing w:before="0" w:after="0"/>
              <w:jc w:val="left"/>
              <w:rPr>
                <w:sz w:val="20"/>
                <w:szCs w:val="20"/>
              </w:rPr>
            </w:pPr>
          </w:p>
        </w:tc>
        <w:tc>
          <w:tcPr>
            <w:vMerge/>
            <w:shd w:val="clear" w:color="auto" w:fill="auto"/>
          </w:tcPr>
          <w:p w:rsidR="00321B6A" w:rsidRPr="001C4D80" w:rsidP="00D15173">
            <w:pPr>
              <w:spacing w:before="0" w:after="0"/>
              <w:jc w:val="left"/>
              <w:rPr>
                <w:sz w:val="20"/>
                <w:szCs w:val="20"/>
              </w:rPr>
            </w:pPr>
          </w:p>
        </w:tc>
        <w:tc>
          <w:tcPr>
            <w:shd w:val="clear" w:color="auto" w:fill="auto"/>
          </w:tcPr>
          <w:p w:rsidR="00321B6A" w:rsidRPr="00D80803" w:rsidP="00D15173">
            <w:pPr>
              <w:spacing w:before="0" w:after="0"/>
              <w:jc w:val="center"/>
              <w:rPr>
                <w:b/>
                <w:sz w:val="20"/>
                <w:szCs w:val="20"/>
              </w:rPr>
            </w:pPr>
            <w:r w:rsidRPr="00D80803">
              <w:rPr>
                <w:b/>
                <w:noProof/>
                <w:sz w:val="20"/>
                <w:szCs w:val="20"/>
              </w:rPr>
              <w:t>od</w:t>
            </w:r>
          </w:p>
        </w:tc>
        <w:tc>
          <w:tcPr>
            <w:shd w:val="clear" w:color="auto" w:fill="auto"/>
          </w:tcPr>
          <w:p w:rsidR="00321B6A" w:rsidRPr="00D80803" w:rsidP="00D15173">
            <w:pPr>
              <w:spacing w:before="0" w:after="0"/>
              <w:jc w:val="center"/>
              <w:rPr>
                <w:b/>
                <w:sz w:val="20"/>
                <w:szCs w:val="20"/>
              </w:rPr>
            </w:pPr>
            <w:r w:rsidRPr="00D80803">
              <w:rPr>
                <w:b/>
                <w:noProof/>
                <w:sz w:val="20"/>
                <w:szCs w:val="20"/>
              </w:rPr>
              <w:t>do</w:t>
            </w:r>
          </w:p>
        </w:tc>
        <w:tc>
          <w:tcPr>
            <w:vMerge/>
            <w:shd w:val="clear" w:color="auto" w:fill="auto"/>
          </w:tcPr>
          <w:p w:rsidR="00321B6A" w:rsidRPr="001C4D80" w:rsidP="00D15173">
            <w:pPr>
              <w:spacing w:before="0" w:after="0"/>
              <w:jc w:val="left"/>
              <w:rPr>
                <w:sz w:val="20"/>
                <w:szCs w:val="20"/>
              </w:rPr>
            </w:pPr>
          </w:p>
        </w:tc>
      </w:tr>
      <w:tr w:rsidTr="00321B6A">
        <w:tblPrEx>
          <w:tblW w:w="5000" w:type="pct"/>
          <w:tblLook w:val="04A0"/>
        </w:tblPrEx>
        <w:tc>
          <w:tcPr>
            <w:shd w:val="clear" w:color="auto" w:fill="auto"/>
          </w:tcPr>
          <w:p w:rsidR="00321B6A" w:rsidRPr="001C4D80" w:rsidP="00D15173">
            <w:pPr>
              <w:spacing w:before="0" w:after="0"/>
              <w:jc w:val="left"/>
              <w:rPr>
                <w:sz w:val="20"/>
                <w:szCs w:val="20"/>
              </w:rPr>
            </w:pPr>
            <w:r w:rsidRPr="001C4D80">
              <w:rPr>
                <w:noProof/>
                <w:sz w:val="20"/>
                <w:szCs w:val="20"/>
              </w:rPr>
              <w:t>SI/2020/PR/0055</w:t>
            </w:r>
          </w:p>
        </w:tc>
        <w:tc>
          <w:tcPr>
            <w:shd w:val="clear" w:color="auto" w:fill="auto"/>
          </w:tcPr>
          <w:p w:rsidR="00321B6A" w:rsidRPr="001C4D80" w:rsidP="00D15173">
            <w:pPr>
              <w:spacing w:before="0" w:after="0"/>
              <w:jc w:val="left"/>
              <w:rPr>
                <w:sz w:val="20"/>
                <w:szCs w:val="20"/>
              </w:rPr>
            </w:pPr>
            <w:r w:rsidRPr="001C4D80">
              <w:rPr>
                <w:noProof/>
                <w:sz w:val="20"/>
                <w:szCs w:val="20"/>
              </w:rPr>
              <w:t>Operativna</w:t>
            </w:r>
          </w:p>
        </w:tc>
        <w:tc>
          <w:tcPr>
            <w:shd w:val="clear" w:color="auto" w:fill="auto"/>
          </w:tcPr>
          <w:p w:rsidR="00321B6A" w:rsidRPr="001C4D80" w:rsidP="00D15173">
            <w:pPr>
              <w:spacing w:before="0" w:after="0"/>
              <w:jc w:val="center"/>
              <w:rPr>
                <w:sz w:val="20"/>
                <w:szCs w:val="20"/>
              </w:rPr>
            </w:pPr>
            <w:r w:rsidRPr="001C4D80">
              <w:rPr>
                <w:noProof/>
                <w:sz w:val="20"/>
                <w:szCs w:val="20"/>
              </w:rPr>
              <w:t>18.11.2021</w:t>
            </w:r>
          </w:p>
        </w:tc>
        <w:tc>
          <w:tcPr>
            <w:shd w:val="clear" w:color="auto" w:fill="auto"/>
          </w:tcPr>
          <w:p w:rsidR="00321B6A" w:rsidRPr="001C4D80" w:rsidP="00D15173">
            <w:pPr>
              <w:spacing w:before="0" w:after="0"/>
              <w:jc w:val="center"/>
              <w:rPr>
                <w:sz w:val="20"/>
                <w:szCs w:val="20"/>
              </w:rPr>
            </w:pPr>
            <w:r w:rsidRPr="001C4D80">
              <w:rPr>
                <w:noProof/>
                <w:sz w:val="20"/>
                <w:szCs w:val="20"/>
              </w:rPr>
              <w:t>22.11.2021</w:t>
            </w:r>
          </w:p>
        </w:tc>
        <w:tc>
          <w:tcPr>
            <w:shd w:val="clear" w:color="auto" w:fill="auto"/>
          </w:tcPr>
          <w:p w:rsidR="00321B6A" w:rsidRPr="001C4D80" w:rsidP="00D15173">
            <w:pPr>
              <w:spacing w:before="0" w:after="0"/>
              <w:jc w:val="center"/>
              <w:rPr>
                <w:sz w:val="20"/>
                <w:szCs w:val="20"/>
              </w:rPr>
            </w:pPr>
            <w:r w:rsidRPr="001C4D80">
              <w:rPr>
                <w:noProof/>
                <w:sz w:val="20"/>
                <w:szCs w:val="20"/>
              </w:rPr>
              <w:t>2.12.2021</w:t>
            </w:r>
          </w:p>
        </w:tc>
      </w:tr>
      <w:tr w:rsidTr="00321B6A">
        <w:tblPrEx>
          <w:tblW w:w="5000" w:type="pct"/>
          <w:tblLook w:val="04A0"/>
        </w:tblPrEx>
        <w:tc>
          <w:tcPr>
            <w:gridSpan w:val="2"/>
            <w:shd w:val="clear" w:color="auto" w:fill="auto"/>
          </w:tcPr>
          <w:p w:rsidR="00321B6A" w:rsidRPr="00D80803" w:rsidP="00D15173">
            <w:pPr>
              <w:spacing w:before="0" w:after="0"/>
              <w:jc w:val="center"/>
              <w:rPr>
                <w:b/>
                <w:sz w:val="20"/>
                <w:szCs w:val="20"/>
              </w:rPr>
            </w:pPr>
            <w:r w:rsidRPr="00D80803">
              <w:rPr>
                <w:b/>
                <w:noProof/>
                <w:sz w:val="20"/>
                <w:szCs w:val="20"/>
              </w:rPr>
              <w:t>Skupni kontroliran prispevek Unije</w:t>
            </w:r>
          </w:p>
        </w:tc>
        <w:tc>
          <w:tcPr>
            <w:gridSpan w:val="2"/>
            <w:shd w:val="clear" w:color="auto" w:fill="auto"/>
          </w:tcPr>
          <w:p w:rsidR="00321B6A" w:rsidRPr="00D80803" w:rsidP="00D15173">
            <w:pPr>
              <w:spacing w:before="0" w:after="0"/>
              <w:jc w:val="center"/>
              <w:rPr>
                <w:b/>
                <w:sz w:val="20"/>
                <w:szCs w:val="20"/>
              </w:rPr>
            </w:pPr>
            <w:r w:rsidRPr="00D80803">
              <w:rPr>
                <w:b/>
                <w:noProof/>
                <w:sz w:val="20"/>
                <w:szCs w:val="20"/>
              </w:rPr>
              <w:t>Znesek napake, ugotovljene pri prispevku Unije</w:t>
            </w:r>
          </w:p>
        </w:tc>
        <w:tc>
          <w:tcPr>
            <w:shd w:val="clear" w:color="auto" w:fill="auto"/>
          </w:tcPr>
          <w:p w:rsidR="00321B6A" w:rsidRPr="00D80803" w:rsidP="00D15173">
            <w:pPr>
              <w:spacing w:before="0" w:after="0"/>
              <w:jc w:val="center"/>
              <w:rPr>
                <w:b/>
                <w:sz w:val="20"/>
                <w:szCs w:val="20"/>
              </w:rPr>
            </w:pPr>
            <w:r w:rsidRPr="00D80803">
              <w:rPr>
                <w:b/>
                <w:noProof/>
                <w:sz w:val="20"/>
                <w:szCs w:val="20"/>
              </w:rPr>
              <w:t>% ugotovljene napake</w:t>
            </w:r>
          </w:p>
        </w:tc>
      </w:tr>
      <w:tr w:rsidTr="00321B6A">
        <w:tblPrEx>
          <w:tblW w:w="5000" w:type="pct"/>
          <w:tblLook w:val="04A0"/>
        </w:tblPrEx>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gridSpan w:val="2"/>
            <w:shd w:val="clear" w:color="auto" w:fill="auto"/>
          </w:tcPr>
          <w:p w:rsidR="00321B6A" w:rsidRPr="001C4D80" w:rsidP="00D15173">
            <w:pPr>
              <w:spacing w:before="0" w:after="0"/>
              <w:jc w:val="right"/>
              <w:rPr>
                <w:sz w:val="20"/>
                <w:szCs w:val="20"/>
              </w:rPr>
            </w:pPr>
            <w:r w:rsidRPr="001C4D80">
              <w:rPr>
                <w:noProof/>
                <w:sz w:val="20"/>
                <w:szCs w:val="20"/>
              </w:rPr>
              <w:t>0,00</w:t>
            </w:r>
          </w:p>
        </w:tc>
        <w:tc>
          <w:tcPr>
            <w:shd w:val="clear" w:color="auto" w:fill="auto"/>
          </w:tcPr>
          <w:p w:rsidR="00321B6A" w:rsidRPr="001C4D80" w:rsidP="00D15173">
            <w:pPr>
              <w:spacing w:before="0" w:after="0"/>
              <w:jc w:val="right"/>
              <w:rPr>
                <w:sz w:val="20"/>
                <w:szCs w:val="20"/>
              </w:rPr>
            </w:pPr>
          </w:p>
        </w:tc>
      </w:tr>
      <w:tr w:rsidTr="00321B6A">
        <w:tblPrEx>
          <w:tblW w:w="5000" w:type="pct"/>
          <w:tblLook w:val="04A0"/>
        </w:tblPrEx>
        <w:tc>
          <w:tcPr>
            <w:gridSpan w:val="4"/>
            <w:shd w:val="clear" w:color="auto" w:fill="auto"/>
          </w:tcPr>
          <w:p w:rsidR="00321B6A" w:rsidRPr="00D80803" w:rsidP="00D15173">
            <w:pPr>
              <w:spacing w:before="0" w:after="0"/>
              <w:jc w:val="left"/>
              <w:rPr>
                <w:b/>
                <w:sz w:val="20"/>
                <w:szCs w:val="20"/>
              </w:rPr>
            </w:pPr>
            <w:r w:rsidRPr="00D80803">
              <w:rPr>
                <w:b/>
                <w:noProof/>
                <w:sz w:val="20"/>
                <w:szCs w:val="20"/>
              </w:rPr>
              <w:t>Primer sporočen v sistem za upravljanje nepravilnosti?</w:t>
            </w:r>
          </w:p>
        </w:tc>
        <w:tc>
          <w:tcPr>
            <w:shd w:val="clear" w:color="auto" w:fill="auto"/>
          </w:tcPr>
          <w:p w:rsidR="00321B6A" w:rsidRPr="00E47D4B" w:rsidP="00D15173">
            <w:pPr>
              <w:autoSpaceDE w:val="0"/>
              <w:autoSpaceDN w:val="0"/>
              <w:adjustRightInd w:val="0"/>
              <w:spacing w:before="0" w:after="0"/>
              <w:jc w:val="center"/>
              <w:rPr>
                <w:sz w:val="17"/>
                <w:szCs w:val="17"/>
                <w:lang w:eastAsia="en-GB"/>
              </w:rPr>
            </w:pPr>
          </w:p>
        </w:tc>
      </w:tr>
      <w:tr w:rsidTr="00321B6A">
        <w:tblPrEx>
          <w:tblW w:w="5000" w:type="pct"/>
          <w:tblLook w:val="04A0"/>
        </w:tblPrEx>
        <w:tc>
          <w:tcPr>
            <w:gridSpan w:val="5"/>
            <w:shd w:val="clear" w:color="auto" w:fill="auto"/>
          </w:tcPr>
          <w:p w:rsidR="00321B6A" w:rsidRPr="001C4D80"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UGOTOVITVE (A.SO1.1.6-05A - Preprečevanje trgovine z ljudmi, spolnega nasilja ali nasilja po spolu):</w:t>
            </w:r>
          </w:p>
          <w:p w:rsidR="00321B6A" w:rsidRPr="001C4D80" w:rsidP="00D15173">
            <w:pPr>
              <w:spacing w:before="0" w:after="0"/>
              <w:jc w:val="left"/>
              <w:rPr>
                <w:sz w:val="20"/>
                <w:szCs w:val="20"/>
              </w:rPr>
            </w:pPr>
            <w:r w:rsidRPr="001C4D80">
              <w:rPr>
                <w:noProof/>
                <w:sz w:val="20"/>
                <w:szCs w:val="20"/>
              </w:rPr>
              <w:t>- Projekt traja od 1. 10. 2020 do 31. 12. 2021. Za izvedbo je bil izveden javni razpis, št. 430-20/2020. Pogodba št. 1542-20-000055 med UOIM in IAŠ je bila podpisana 1. 10. 2021. Aneks št. 1 glede spremembe skrbnika pogodbe s strani naročnika je bil sklenjen 20. 5. 2021. KU je prejel 30 % predplačilo v višini 10.421,20 €.</w:t>
            </w:r>
          </w:p>
          <w:p w:rsidR="00321B6A" w:rsidRPr="001C4D80" w:rsidP="00D15173">
            <w:pPr>
              <w:spacing w:before="0" w:after="0"/>
              <w:jc w:val="left"/>
              <w:rPr>
                <w:sz w:val="20"/>
                <w:szCs w:val="20"/>
              </w:rPr>
            </w:pPr>
            <w:r w:rsidRPr="001C4D80">
              <w:rPr>
                <w:noProof/>
                <w:sz w:val="20"/>
                <w:szCs w:val="20"/>
              </w:rPr>
              <w:t xml:space="preserve">- Projekt se izvaja v Azilnem domu v Ljubljani ter v izpostavah azilnega doma, tj. Dijaški dom v Postojni. </w:t>
            </w:r>
          </w:p>
          <w:p w:rsidR="00321B6A" w:rsidRPr="001C4D80" w:rsidP="00D15173">
            <w:pPr>
              <w:spacing w:before="0" w:after="0"/>
              <w:jc w:val="left"/>
              <w:rPr>
                <w:sz w:val="20"/>
                <w:szCs w:val="20"/>
              </w:rPr>
            </w:pPr>
            <w:r w:rsidRPr="001C4D80">
              <w:rPr>
                <w:noProof/>
                <w:sz w:val="20"/>
                <w:szCs w:val="20"/>
              </w:rPr>
              <w:t>- Vodja projekta je na kratko predstavil izvajanje aktivnosti. Pojasnil je, da se je pri tem soočil z nekaterimi težavami in pri tem med drugim navedel preprečevanje dostopa do mladoletnih oseb s strani zakonitih zastopnikov, oteženo delo tolmačev zaradi zahtev PCT. UOIM je na predstavljeno vsebino izrazil svoje nestrinjanje, saj je v teku izvajanja projekta zaznal večje število kršitev pogodbenih obveznosti.</w:t>
            </w:r>
          </w:p>
          <w:p w:rsidR="00321B6A" w:rsidRPr="001C4D80" w:rsidP="00D15173">
            <w:pPr>
              <w:spacing w:before="0" w:after="0"/>
              <w:jc w:val="left"/>
              <w:rPr>
                <w:sz w:val="20"/>
                <w:szCs w:val="20"/>
              </w:rPr>
            </w:pPr>
            <w:r w:rsidRPr="001C4D80">
              <w:rPr>
                <w:noProof/>
                <w:sz w:val="20"/>
                <w:szCs w:val="20"/>
              </w:rPr>
              <w:t xml:space="preserve">- Načrtovanih je bilo 5 aktivnosti. Na KKS se je izkazalo, da je IAŠ izvajal A-001 in A-002 v omejenem obsegu. Vezano na A-003 je bilo v okviru KKS z IAŠ dogovorjeno, da posreduje primer info gradiva, posredovana zloženka (v ang. in slo. jeziku) je priloga osnutka poročila. A-004 in A-005 se nista izvajali. OO ugotavlja, da je obdobje izvajanja A-005, od 1. 7. 2017 do 20. 6. 2020, kar je neskladno s pogodbo, zato stroški niso upravičeni do sofinanciranja v okviru projekta. </w:t>
            </w:r>
          </w:p>
          <w:p w:rsidR="00321B6A" w:rsidRPr="001C4D80" w:rsidP="00D15173">
            <w:pPr>
              <w:spacing w:before="0" w:after="0"/>
              <w:jc w:val="left"/>
              <w:rPr>
                <w:sz w:val="20"/>
                <w:szCs w:val="20"/>
              </w:rPr>
            </w:pPr>
            <w:r w:rsidRPr="001C4D80">
              <w:rPr>
                <w:noProof/>
                <w:sz w:val="20"/>
                <w:szCs w:val="20"/>
              </w:rPr>
              <w:t>- Po navedbah UOIM so bile v teku izvajanja projekta zaznane resne kršitve pogodbenih obveznosti kot so neodzivnost IAŠ, neizvedeni individualni razgovori kot tudi ne obravnavanje mladoletnikov brez spremstva takoj po oddani prošnji za mednarodno zaščito, neoddana poročila po opravljenih razgovorih v roku 24 ur ter kršenje zaveze, da je oseba, ki izvaja info razgovor istega spola kot oseba, s katero se je opravil razgovor.</w:t>
            </w:r>
          </w:p>
          <w:p w:rsidR="00321B6A" w:rsidRPr="001C4D80" w:rsidP="00D15173">
            <w:pPr>
              <w:spacing w:before="0" w:after="0"/>
              <w:jc w:val="left"/>
              <w:rPr>
                <w:sz w:val="20"/>
                <w:szCs w:val="20"/>
              </w:rPr>
            </w:pPr>
            <w:r w:rsidRPr="001C4D80">
              <w:rPr>
                <w:noProof/>
                <w:sz w:val="20"/>
                <w:szCs w:val="20"/>
              </w:rPr>
              <w:t xml:space="preserve">- V okviru projekta sta bila določena kazalnika K35 in K36. Vodja projekta je poročal, da je bilo izvedenih 295 informiranj. Po oceni IAŠ sta načrtovani vrednosti kazalnikov določeni nerealno. Z navedenim se UOIM ni strinjal ter obrazložil, da bi bila vrednost kazalnikov, ob doslednem izvajanju pogodbenih aktivnosti, lahko celo presežena. </w:t>
            </w:r>
          </w:p>
          <w:p w:rsidR="00321B6A" w:rsidRPr="001C4D80" w:rsidP="00D15173">
            <w:pPr>
              <w:spacing w:before="0" w:after="0"/>
              <w:jc w:val="left"/>
              <w:rPr>
                <w:sz w:val="20"/>
                <w:szCs w:val="20"/>
              </w:rPr>
            </w:pPr>
            <w:r w:rsidRPr="001C4D80">
              <w:rPr>
                <w:noProof/>
                <w:sz w:val="20"/>
                <w:szCs w:val="20"/>
              </w:rPr>
              <w:t xml:space="preserve">- Glede na navedeno v zgornjih alinejah OO ocenjuje, da namen, cilji projekta ter načrtovani vrednosti kazalnikov ne bodo doseženi. </w:t>
            </w:r>
          </w:p>
          <w:p w:rsidR="00321B6A" w:rsidRPr="001C4D80" w:rsidP="00D15173">
            <w:pPr>
              <w:spacing w:before="0" w:after="0"/>
              <w:jc w:val="left"/>
              <w:rPr>
                <w:sz w:val="20"/>
                <w:szCs w:val="20"/>
              </w:rPr>
            </w:pPr>
            <w:r w:rsidRPr="001C4D80">
              <w:rPr>
                <w:noProof/>
                <w:sz w:val="20"/>
                <w:szCs w:val="20"/>
              </w:rPr>
              <w:t>- V času KKS je UOIM skladno z 19. čl. pogodbe sprožil odstop od pogodbe št. C1542-20-000055 ter skladno z 18. čl. napovedal izrek pogodbene kazni.</w:t>
            </w:r>
          </w:p>
          <w:p w:rsidR="00321B6A" w:rsidRPr="001C4D80" w:rsidP="00D15173">
            <w:pPr>
              <w:spacing w:before="0" w:after="0"/>
              <w:jc w:val="left"/>
              <w:rPr>
                <w:sz w:val="20"/>
                <w:szCs w:val="20"/>
              </w:rPr>
            </w:pPr>
            <w:r w:rsidRPr="001C4D80">
              <w:rPr>
                <w:noProof/>
                <w:sz w:val="20"/>
                <w:szCs w:val="20"/>
              </w:rPr>
              <w:t>PRIPOROČILA: /</w:t>
            </w:r>
          </w:p>
        </w:tc>
      </w:tr>
    </w:tbl>
    <w:p w:rsidR="00321B6A" w:rsidP="00D15173">
      <w:pPr>
        <w:spacing w:before="0" w:after="0"/>
      </w:pPr>
    </w:p>
    <w:p w:rsidR="00321B6A" w:rsidP="00D15173">
      <w:pPr>
        <w:pStyle w:val="Heading2"/>
        <w:numPr>
          <w:ilvl w:val="0"/>
          <w:numId w:val="0"/>
        </w:numPr>
        <w:spacing w:before="0" w:after="0"/>
        <w:jc w:val="left"/>
      </w:pPr>
      <w:r>
        <w:br w:type="page"/>
      </w:r>
      <w:bookmarkStart w:id="13" w:name="_Toc256000012"/>
      <w:r>
        <w:rPr>
          <w:noProof/>
        </w:rPr>
        <w:t>Finančne kontrole tehnične pomoči na kraju samem</w:t>
      </w:r>
      <w:bookmarkEnd w:id="13"/>
    </w:p>
    <w:p w:rsidR="00321B6A" w:rsidP="00D15173">
      <w:pPr>
        <w:spacing w:before="0" w:after="0"/>
        <w:jc w:val="left"/>
        <w:rPr>
          <w:sz w:val="22"/>
        </w:rPr>
      </w:pPr>
    </w:p>
    <w:p w:rsidR="00321B6A" w:rsidP="00D15173">
      <w:pPr>
        <w:spacing w:before="0" w:after="0"/>
      </w:pPr>
    </w:p>
    <w:p w:rsidR="00321B6A" w:rsidP="00D15173">
      <w:pPr>
        <w:pStyle w:val="Heading2"/>
        <w:numPr>
          <w:ilvl w:val="0"/>
          <w:numId w:val="0"/>
        </w:numPr>
        <w:spacing w:before="0" w:after="0"/>
        <w:jc w:val="left"/>
        <w:rPr>
          <w:b w:val="0"/>
        </w:rPr>
      </w:pPr>
      <w:r>
        <w:br w:type="page"/>
      </w:r>
      <w:bookmarkStart w:id="14" w:name="_Toc256000013"/>
      <w:r w:rsidRPr="00F810AB">
        <w:rPr>
          <w:noProof/>
        </w:rPr>
        <w:t>D. Povzetek podatkov</w:t>
      </w:r>
      <w:bookmarkEnd w:id="14"/>
    </w:p>
    <w:p w:rsidR="00321B6A" w:rsidP="00D15173">
      <w:pPr>
        <w:pStyle w:val="Text1"/>
        <w:spacing w:before="0" w:after="0"/>
        <w:ind w:left="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6"/>
        <w:gridCol w:w="3246"/>
        <w:gridCol w:w="1136"/>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B93506" w:rsidP="00D15173">
            <w:pPr>
              <w:pStyle w:val="Text1"/>
              <w:spacing w:before="0" w:after="0"/>
              <w:ind w:left="0"/>
              <w:jc w:val="left"/>
              <w:rPr>
                <w:b/>
              </w:rPr>
            </w:pPr>
            <w:r w:rsidRPr="00B93506">
              <w:rPr>
                <w:b/>
                <w:noProof/>
              </w:rPr>
              <w:t>Nacionalni cilj / specifični ukrep</w:t>
            </w:r>
          </w:p>
        </w:tc>
        <w:tc>
          <w:tcPr>
            <w:shd w:val="clear" w:color="auto" w:fill="auto"/>
          </w:tcPr>
          <w:p w:rsidR="00321B6A" w:rsidRPr="00B93506" w:rsidP="00D15173">
            <w:pPr>
              <w:pStyle w:val="Text1"/>
              <w:spacing w:before="0" w:after="0"/>
              <w:ind w:left="0"/>
              <w:jc w:val="left"/>
              <w:rPr>
                <w:b/>
              </w:rPr>
            </w:pPr>
            <w:r w:rsidRPr="00B93506">
              <w:rPr>
                <w:b/>
                <w:noProof/>
              </w:rPr>
              <w:t>Skupni prispevek Unije, plačan v letu 2022</w:t>
            </w:r>
          </w:p>
        </w:tc>
        <w:tc>
          <w:tcPr>
            <w:shd w:val="clear" w:color="auto" w:fill="auto"/>
          </w:tcPr>
          <w:p w:rsidR="00321B6A" w:rsidRPr="00B93506" w:rsidP="00D15173">
            <w:pPr>
              <w:pStyle w:val="Text1"/>
              <w:spacing w:before="0" w:after="0"/>
              <w:ind w:left="0"/>
              <w:jc w:val="center"/>
              <w:rPr>
                <w:b/>
              </w:rPr>
            </w:pPr>
            <w:r w:rsidRPr="00B93506">
              <w:rPr>
                <w:b/>
              </w:rPr>
              <w:t>%</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cilj1.Nacionalni cilj1 Sprejem/azil</w:t>
            </w:r>
          </w:p>
        </w:tc>
        <w:tc>
          <w:tcPr>
            <w:shd w:val="clear" w:color="auto" w:fill="auto"/>
          </w:tcPr>
          <w:p w:rsidR="00321B6A" w:rsidP="00D15173">
            <w:pPr>
              <w:pStyle w:val="Text1"/>
              <w:spacing w:before="0" w:after="0"/>
              <w:ind w:left="0"/>
              <w:jc w:val="right"/>
            </w:pPr>
            <w:r>
              <w:rPr>
                <w:noProof/>
              </w:rPr>
              <w:t>377.064,41</w:t>
            </w:r>
          </w:p>
        </w:tc>
        <w:tc>
          <w:tcPr>
            <w:shd w:val="clear" w:color="auto" w:fill="auto"/>
          </w:tcPr>
          <w:p w:rsidR="00321B6A" w:rsidP="00D15173">
            <w:pPr>
              <w:pStyle w:val="Text1"/>
              <w:spacing w:before="0" w:after="0"/>
              <w:ind w:left="0"/>
              <w:jc w:val="right"/>
            </w:pPr>
            <w:r>
              <w:rPr>
                <w:noProof/>
              </w:rPr>
              <w:t>100,00%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NACIONALNI CILJI / POSEBNI CILJI1</w:t>
            </w:r>
          </w:p>
        </w:tc>
        <w:tc>
          <w:tcPr>
            <w:shd w:val="clear" w:color="auto" w:fill="auto"/>
          </w:tcPr>
          <w:p w:rsidR="00321B6A" w:rsidP="00D15173">
            <w:pPr>
              <w:pStyle w:val="Text1"/>
              <w:spacing w:before="0" w:after="0"/>
              <w:ind w:left="0"/>
              <w:jc w:val="right"/>
            </w:pPr>
            <w:r w:rsidRPr="0059312A">
              <w:rPr>
                <w:b/>
                <w:noProof/>
              </w:rPr>
              <w:t>377.064,41</w:t>
            </w:r>
          </w:p>
        </w:tc>
        <w:tc>
          <w:tcPr>
            <w:shd w:val="clear" w:color="auto" w:fill="auto"/>
          </w:tcPr>
          <w:p w:rsidR="00321B6A" w:rsidP="00D15173">
            <w:pPr>
              <w:pStyle w:val="Text1"/>
              <w:spacing w:before="0" w:after="0"/>
              <w:ind w:left="0"/>
              <w:jc w:val="right"/>
            </w:pPr>
            <w:r>
              <w:rPr>
                <w:b/>
                <w:noProof/>
              </w:rPr>
              <w:t>100,00%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Posebni cilj1</w:t>
            </w:r>
          </w:p>
        </w:tc>
        <w:tc>
          <w:tcPr>
            <w:shd w:val="clear" w:color="auto" w:fill="auto"/>
          </w:tcPr>
          <w:p w:rsidR="00321B6A" w:rsidP="00D15173">
            <w:pPr>
              <w:pStyle w:val="Text1"/>
              <w:spacing w:before="0" w:after="0"/>
              <w:ind w:left="0"/>
              <w:jc w:val="right"/>
            </w:pPr>
            <w:r w:rsidRPr="0059312A">
              <w:rPr>
                <w:b/>
                <w:noProof/>
              </w:rPr>
              <w:t>377.064,41</w:t>
            </w:r>
          </w:p>
        </w:tc>
        <w:tc>
          <w:tcPr>
            <w:shd w:val="clear" w:color="auto" w:fill="auto"/>
          </w:tcPr>
          <w:p w:rsidR="00321B6A" w:rsidP="00D15173">
            <w:pPr>
              <w:pStyle w:val="Text1"/>
              <w:spacing w:before="0" w:after="0"/>
              <w:ind w:left="0"/>
              <w:jc w:val="right"/>
            </w:pPr>
            <w:r>
              <w:rPr>
                <w:b/>
                <w:noProof/>
              </w:rPr>
              <w:t>14,48%</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cilj2.Nacionalni cilj1 Zakonito priseljevanje</w:t>
            </w:r>
          </w:p>
        </w:tc>
        <w:tc>
          <w:tcPr>
            <w:shd w:val="clear" w:color="auto" w:fill="auto"/>
          </w:tcPr>
          <w:p w:rsidR="00321B6A" w:rsidP="00D15173">
            <w:pPr>
              <w:pStyle w:val="Text1"/>
              <w:spacing w:before="0" w:after="0"/>
              <w:ind w:left="0"/>
              <w:jc w:val="right"/>
            </w:pPr>
            <w:r>
              <w:rPr>
                <w:noProof/>
              </w:rPr>
              <w:t>1.600,61</w:t>
            </w:r>
          </w:p>
        </w:tc>
        <w:tc>
          <w:tcPr>
            <w:shd w:val="clear" w:color="auto" w:fill="auto"/>
          </w:tcPr>
          <w:p w:rsidR="00321B6A" w:rsidP="00D15173">
            <w:pPr>
              <w:pStyle w:val="Text1"/>
              <w:spacing w:before="0" w:after="0"/>
              <w:ind w:left="0"/>
              <w:jc w:val="right"/>
            </w:pPr>
            <w:r>
              <w:rPr>
                <w:noProof/>
              </w:rPr>
              <w:t>0,11%</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cilj2.Nacionalni cilj2 Vključevanje</w:t>
            </w:r>
          </w:p>
        </w:tc>
        <w:tc>
          <w:tcPr>
            <w:shd w:val="clear" w:color="auto" w:fill="auto"/>
          </w:tcPr>
          <w:p w:rsidR="00321B6A" w:rsidP="00D15173">
            <w:pPr>
              <w:pStyle w:val="Text1"/>
              <w:spacing w:before="0" w:after="0"/>
              <w:ind w:left="0"/>
              <w:jc w:val="right"/>
            </w:pPr>
            <w:r>
              <w:rPr>
                <w:noProof/>
              </w:rPr>
              <w:t>1.412.868,22</w:t>
            </w:r>
          </w:p>
        </w:tc>
        <w:tc>
          <w:tcPr>
            <w:shd w:val="clear" w:color="auto" w:fill="auto"/>
          </w:tcPr>
          <w:p w:rsidR="00321B6A" w:rsidP="00D15173">
            <w:pPr>
              <w:pStyle w:val="Text1"/>
              <w:spacing w:before="0" w:after="0"/>
              <w:ind w:left="0"/>
              <w:jc w:val="right"/>
            </w:pPr>
            <w:r>
              <w:rPr>
                <w:noProof/>
              </w:rPr>
              <w:t>99,89%</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cilj2.Nacionalni cilj3 Zmogljivost</w:t>
            </w:r>
          </w:p>
        </w:tc>
        <w:tc>
          <w:tcPr>
            <w:shd w:val="clear" w:color="auto" w:fill="auto"/>
          </w:tcPr>
          <w:p w:rsidR="00321B6A" w:rsidP="00D15173">
            <w:pPr>
              <w:pStyle w:val="Text1"/>
              <w:spacing w:before="0" w:after="0"/>
              <w:ind w:left="0"/>
              <w:jc w:val="right"/>
            </w:pPr>
            <w:r>
              <w:rPr>
                <w:noProof/>
              </w:rPr>
              <w:t>0,00</w:t>
            </w:r>
          </w:p>
        </w:tc>
        <w:tc>
          <w:tcPr>
            <w:shd w:val="clear" w:color="auto" w:fill="auto"/>
          </w:tcPr>
          <w:p w:rsidR="00321B6A" w:rsidP="00D15173">
            <w:pPr>
              <w:pStyle w:val="Text1"/>
              <w:spacing w:before="0" w:after="0"/>
              <w:ind w:left="0"/>
              <w:jc w:val="right"/>
            </w:pPr>
            <w:r>
              <w:rPr>
                <w:noProof/>
              </w:rPr>
              <w:t>0,00%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NACIONALNI CILJI / POSEBNI CILJI2</w:t>
            </w:r>
          </w:p>
        </w:tc>
        <w:tc>
          <w:tcPr>
            <w:shd w:val="clear" w:color="auto" w:fill="auto"/>
          </w:tcPr>
          <w:p w:rsidR="00321B6A" w:rsidP="00D15173">
            <w:pPr>
              <w:pStyle w:val="Text1"/>
              <w:spacing w:before="0" w:after="0"/>
              <w:ind w:left="0"/>
              <w:jc w:val="right"/>
            </w:pPr>
            <w:r w:rsidRPr="0059312A">
              <w:rPr>
                <w:b/>
                <w:noProof/>
              </w:rPr>
              <w:t>1.414.468,83</w:t>
            </w:r>
          </w:p>
        </w:tc>
        <w:tc>
          <w:tcPr>
            <w:shd w:val="clear" w:color="auto" w:fill="auto"/>
          </w:tcPr>
          <w:p w:rsidR="00321B6A" w:rsidP="00D15173">
            <w:pPr>
              <w:pStyle w:val="Text1"/>
              <w:spacing w:before="0" w:after="0"/>
              <w:ind w:left="0"/>
              <w:jc w:val="right"/>
            </w:pPr>
            <w:r>
              <w:rPr>
                <w:b/>
                <w:noProof/>
              </w:rPr>
              <w:t>100,00%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Posebni cilj2</w:t>
            </w:r>
          </w:p>
        </w:tc>
        <w:tc>
          <w:tcPr>
            <w:shd w:val="clear" w:color="auto" w:fill="auto"/>
          </w:tcPr>
          <w:p w:rsidR="00321B6A" w:rsidP="00D15173">
            <w:pPr>
              <w:pStyle w:val="Text1"/>
              <w:spacing w:before="0" w:after="0"/>
              <w:ind w:left="0"/>
              <w:jc w:val="right"/>
            </w:pPr>
            <w:r w:rsidRPr="0059312A">
              <w:rPr>
                <w:b/>
                <w:noProof/>
              </w:rPr>
              <w:t>1.414.468,83</w:t>
            </w:r>
          </w:p>
        </w:tc>
        <w:tc>
          <w:tcPr>
            <w:shd w:val="clear" w:color="auto" w:fill="auto"/>
          </w:tcPr>
          <w:p w:rsidR="00321B6A" w:rsidP="00D15173">
            <w:pPr>
              <w:pStyle w:val="Text1"/>
              <w:spacing w:before="0" w:after="0"/>
              <w:ind w:left="0"/>
              <w:jc w:val="right"/>
            </w:pPr>
            <w:r>
              <w:rPr>
                <w:b/>
                <w:noProof/>
              </w:rPr>
              <w:t>54,30%</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cilj3.Nacionalni cilj1 Spremljevalni ukrepi</w:t>
            </w:r>
          </w:p>
        </w:tc>
        <w:tc>
          <w:tcPr>
            <w:shd w:val="clear" w:color="auto" w:fill="auto"/>
          </w:tcPr>
          <w:p w:rsidR="00321B6A" w:rsidP="00D15173">
            <w:pPr>
              <w:pStyle w:val="Text1"/>
              <w:spacing w:before="0" w:after="0"/>
              <w:ind w:left="0"/>
              <w:jc w:val="right"/>
            </w:pPr>
            <w:r>
              <w:rPr>
                <w:noProof/>
              </w:rPr>
              <w:t>596.051,48</w:t>
            </w:r>
          </w:p>
        </w:tc>
        <w:tc>
          <w:tcPr>
            <w:shd w:val="clear" w:color="auto" w:fill="auto"/>
          </w:tcPr>
          <w:p w:rsidR="00321B6A" w:rsidP="00D15173">
            <w:pPr>
              <w:pStyle w:val="Text1"/>
              <w:spacing w:before="0" w:after="0"/>
              <w:ind w:left="0"/>
              <w:jc w:val="right"/>
            </w:pPr>
            <w:r>
              <w:rPr>
                <w:noProof/>
              </w:rPr>
              <w:t>91,08%</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cilj3.Nacionalni cilj2 Ukrepi vračanja</w:t>
            </w:r>
          </w:p>
        </w:tc>
        <w:tc>
          <w:tcPr>
            <w:shd w:val="clear" w:color="auto" w:fill="auto"/>
          </w:tcPr>
          <w:p w:rsidR="00321B6A" w:rsidP="00D15173">
            <w:pPr>
              <w:pStyle w:val="Text1"/>
              <w:spacing w:before="0" w:after="0"/>
              <w:ind w:left="0"/>
              <w:jc w:val="right"/>
            </w:pPr>
            <w:r>
              <w:rPr>
                <w:noProof/>
              </w:rPr>
              <w:t>56.415,06</w:t>
            </w:r>
          </w:p>
        </w:tc>
        <w:tc>
          <w:tcPr>
            <w:shd w:val="clear" w:color="auto" w:fill="auto"/>
          </w:tcPr>
          <w:p w:rsidR="00321B6A" w:rsidP="00D15173">
            <w:pPr>
              <w:pStyle w:val="Text1"/>
              <w:spacing w:before="0" w:after="0"/>
              <w:ind w:left="0"/>
              <w:jc w:val="right"/>
            </w:pPr>
            <w:r>
              <w:rPr>
                <w:noProof/>
              </w:rPr>
              <w:t>8,62%</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Posebni cilj3.Nacionalni cilj3 Sodelovanje</w:t>
            </w:r>
          </w:p>
        </w:tc>
        <w:tc>
          <w:tcPr>
            <w:shd w:val="clear" w:color="auto" w:fill="auto"/>
          </w:tcPr>
          <w:p w:rsidR="00321B6A" w:rsidP="00D15173">
            <w:pPr>
              <w:pStyle w:val="Text1"/>
              <w:spacing w:before="0" w:after="0"/>
              <w:ind w:left="0"/>
              <w:jc w:val="right"/>
            </w:pPr>
            <w:r>
              <w:rPr>
                <w:noProof/>
              </w:rPr>
              <w:t>1.993,14</w:t>
            </w:r>
          </w:p>
        </w:tc>
        <w:tc>
          <w:tcPr>
            <w:shd w:val="clear" w:color="auto" w:fill="auto"/>
          </w:tcPr>
          <w:p w:rsidR="00321B6A" w:rsidP="00D15173">
            <w:pPr>
              <w:pStyle w:val="Text1"/>
              <w:spacing w:before="0" w:after="0"/>
              <w:ind w:left="0"/>
              <w:jc w:val="right"/>
            </w:pPr>
            <w:r>
              <w:rPr>
                <w:noProof/>
              </w:rPr>
              <w:t>0,30%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NACIONALNI CILJI / POSEBNI CILJI3</w:t>
            </w:r>
          </w:p>
        </w:tc>
        <w:tc>
          <w:tcPr>
            <w:shd w:val="clear" w:color="auto" w:fill="auto"/>
          </w:tcPr>
          <w:p w:rsidR="00321B6A" w:rsidP="00D15173">
            <w:pPr>
              <w:pStyle w:val="Text1"/>
              <w:spacing w:before="0" w:after="0"/>
              <w:ind w:left="0"/>
              <w:jc w:val="right"/>
            </w:pPr>
            <w:r w:rsidRPr="0059312A">
              <w:rPr>
                <w:b/>
                <w:noProof/>
              </w:rPr>
              <w:t>654.459,68</w:t>
            </w:r>
          </w:p>
        </w:tc>
        <w:tc>
          <w:tcPr>
            <w:shd w:val="clear" w:color="auto" w:fill="auto"/>
          </w:tcPr>
          <w:p w:rsidR="00321B6A" w:rsidP="00D15173">
            <w:pPr>
              <w:pStyle w:val="Text1"/>
              <w:spacing w:before="0" w:after="0"/>
              <w:ind w:left="0"/>
              <w:jc w:val="right"/>
            </w:pPr>
            <w:r>
              <w:rPr>
                <w:b/>
                <w:noProof/>
              </w:rPr>
              <w:t>100,00%</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Posebni cilj3</w:t>
            </w:r>
          </w:p>
        </w:tc>
        <w:tc>
          <w:tcPr>
            <w:shd w:val="clear" w:color="auto" w:fill="auto"/>
          </w:tcPr>
          <w:p w:rsidR="00321B6A" w:rsidP="00D15173">
            <w:pPr>
              <w:pStyle w:val="Text1"/>
              <w:spacing w:before="0" w:after="0"/>
              <w:ind w:left="0"/>
              <w:jc w:val="right"/>
            </w:pPr>
            <w:r w:rsidRPr="0059312A">
              <w:rPr>
                <w:b/>
                <w:noProof/>
              </w:rPr>
              <w:t>654.459,68</w:t>
            </w:r>
          </w:p>
        </w:tc>
        <w:tc>
          <w:tcPr>
            <w:shd w:val="clear" w:color="auto" w:fill="auto"/>
          </w:tcPr>
          <w:p w:rsidR="00321B6A" w:rsidP="00D15173">
            <w:pPr>
              <w:pStyle w:val="Text1"/>
              <w:spacing w:before="0" w:after="0"/>
              <w:ind w:left="0"/>
              <w:jc w:val="right"/>
            </w:pPr>
            <w:r>
              <w:rPr>
                <w:b/>
                <w:noProof/>
              </w:rPr>
              <w:t>25,13%</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SKUPAJ posebni primeri</w:t>
            </w:r>
          </w:p>
        </w:tc>
        <w:tc>
          <w:tcPr>
            <w:shd w:val="clear" w:color="auto" w:fill="auto"/>
          </w:tcPr>
          <w:p w:rsidR="00321B6A" w:rsidP="00D15173">
            <w:pPr>
              <w:pStyle w:val="Text1"/>
              <w:spacing w:before="0" w:after="0"/>
              <w:ind w:left="0"/>
              <w:jc w:val="right"/>
            </w:pPr>
            <w:r w:rsidRPr="0059312A">
              <w:rPr>
                <w:b/>
                <w:noProof/>
              </w:rPr>
              <w:t>0,00</w:t>
            </w:r>
          </w:p>
        </w:tc>
        <w:tc>
          <w:tcPr>
            <w:shd w:val="clear" w:color="auto" w:fill="auto"/>
          </w:tcPr>
          <w:p w:rsidR="00321B6A" w:rsidP="00D15173">
            <w:pPr>
              <w:pStyle w:val="Text1"/>
              <w:spacing w:before="0" w:after="0"/>
              <w:ind w:left="0"/>
              <w:jc w:val="right"/>
            </w:pPr>
            <w:r>
              <w:rPr>
                <w:b/>
                <w:noProof/>
              </w:rPr>
              <w:t>0,00%</w:t>
            </w:r>
          </w:p>
        </w:tc>
      </w:tr>
      <w:tr w:rsidTr="00321B6A">
        <w:tblPrEx>
          <w:tblW w:w="5000" w:type="pct"/>
          <w:tblLook w:val="04A0"/>
        </w:tblPrEx>
        <w:tc>
          <w:tcPr>
            <w:shd w:val="clear" w:color="auto" w:fill="auto"/>
          </w:tcPr>
          <w:p w:rsidR="00321B6A" w:rsidP="00D15173">
            <w:pPr>
              <w:pStyle w:val="Text1"/>
              <w:spacing w:before="0" w:after="0"/>
              <w:ind w:left="0"/>
              <w:jc w:val="left"/>
            </w:pPr>
            <w:r>
              <w:rPr>
                <w:noProof/>
              </w:rPr>
              <w:t>Tehnična pomoč</w:t>
            </w:r>
          </w:p>
        </w:tc>
        <w:tc>
          <w:tcPr>
            <w:shd w:val="clear" w:color="auto" w:fill="auto"/>
          </w:tcPr>
          <w:p w:rsidR="00321B6A" w:rsidP="00D15173">
            <w:pPr>
              <w:pStyle w:val="Text1"/>
              <w:spacing w:before="0" w:after="0"/>
              <w:ind w:left="0"/>
              <w:jc w:val="right"/>
            </w:pPr>
            <w:r>
              <w:rPr>
                <w:noProof/>
              </w:rPr>
              <w:t>158.718,63</w:t>
            </w:r>
          </w:p>
        </w:tc>
        <w:tc>
          <w:tcPr>
            <w:shd w:val="clear" w:color="auto" w:fill="auto"/>
          </w:tcPr>
          <w:p w:rsidR="00321B6A" w:rsidP="00D15173">
            <w:pPr>
              <w:pStyle w:val="Text1"/>
              <w:spacing w:before="0" w:after="0"/>
              <w:ind w:left="0"/>
              <w:jc w:val="right"/>
            </w:pPr>
            <w:r>
              <w:rPr>
                <w:noProof/>
              </w:rPr>
              <w:t>6,09%</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b/>
                <w:noProof/>
              </w:rPr>
              <w:t>TOTAL</w:t>
            </w:r>
          </w:p>
        </w:tc>
        <w:tc>
          <w:tcPr>
            <w:shd w:val="clear" w:color="auto" w:fill="auto"/>
          </w:tcPr>
          <w:p w:rsidR="00321B6A" w:rsidP="00D15173">
            <w:pPr>
              <w:pStyle w:val="Text1"/>
              <w:spacing w:before="0" w:after="0"/>
              <w:ind w:left="0"/>
              <w:jc w:val="right"/>
            </w:pPr>
            <w:r w:rsidRPr="0059312A">
              <w:rPr>
                <w:b/>
                <w:noProof/>
              </w:rPr>
              <w:t>2.604.711,55</w:t>
            </w:r>
          </w:p>
        </w:tc>
        <w:tc>
          <w:tcPr>
            <w:shd w:val="clear" w:color="auto" w:fill="auto"/>
          </w:tcPr>
          <w:p w:rsidR="00321B6A" w:rsidP="00D15173">
            <w:pPr>
              <w:pStyle w:val="Text1"/>
              <w:spacing w:before="0" w:after="0"/>
              <w:ind w:left="0"/>
              <w:jc w:val="right"/>
            </w:pP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noProof/>
                <w:color w:val="FF0000"/>
              </w:rPr>
              <w:t>NC PC1 skupaj / Osnovna dodelitev iz Sklada za azil, migracije in vključevanje (AMIF)</w:t>
            </w:r>
          </w:p>
        </w:tc>
        <w:tc>
          <w:tcPr>
            <w:shd w:val="clear" w:color="auto" w:fill="auto"/>
          </w:tcPr>
          <w:p w:rsidR="00321B6A" w:rsidP="00D15173">
            <w:pPr>
              <w:pStyle w:val="Text1"/>
              <w:spacing w:before="0" w:after="0"/>
              <w:ind w:left="0"/>
              <w:jc w:val="right"/>
            </w:pPr>
          </w:p>
        </w:tc>
        <w:tc>
          <w:tcPr>
            <w:shd w:val="clear" w:color="auto" w:fill="auto"/>
          </w:tcPr>
          <w:p w:rsidR="00321B6A" w:rsidP="00D15173">
            <w:pPr>
              <w:pStyle w:val="Text1"/>
              <w:spacing w:before="0" w:after="0"/>
              <w:ind w:left="0"/>
              <w:jc w:val="right"/>
            </w:pPr>
            <w:r>
              <w:rPr>
                <w:noProof/>
                <w:color w:val="FF0000"/>
              </w:rPr>
              <w:t>2,04%</w:t>
            </w:r>
          </w:p>
        </w:tc>
      </w:tr>
      <w:tr w:rsidTr="00321B6A">
        <w:tblPrEx>
          <w:tblW w:w="5000" w:type="pct"/>
          <w:tblLook w:val="04A0"/>
        </w:tblPrEx>
        <w:tc>
          <w:tcPr>
            <w:shd w:val="clear" w:color="auto" w:fill="auto"/>
          </w:tcPr>
          <w:p w:rsidR="00321B6A" w:rsidP="00D15173">
            <w:pPr>
              <w:pStyle w:val="Text1"/>
              <w:spacing w:before="0" w:after="0"/>
              <w:ind w:left="0"/>
              <w:jc w:val="left"/>
            </w:pPr>
            <w:r w:rsidRPr="0059312A">
              <w:rPr>
                <w:noProof/>
                <w:color w:val="FF0000"/>
              </w:rPr>
              <w:t>NC PC2 skupaj / Osnovna dodelitev iz Sklada za azil, migracije in vključevanje (AMIF)</w:t>
            </w:r>
          </w:p>
        </w:tc>
        <w:tc>
          <w:tcPr>
            <w:shd w:val="clear" w:color="auto" w:fill="auto"/>
          </w:tcPr>
          <w:p w:rsidR="00321B6A" w:rsidP="00D15173">
            <w:pPr>
              <w:pStyle w:val="Text1"/>
              <w:spacing w:before="0" w:after="0"/>
              <w:ind w:left="0"/>
              <w:jc w:val="right"/>
            </w:pPr>
          </w:p>
        </w:tc>
        <w:tc>
          <w:tcPr>
            <w:shd w:val="clear" w:color="auto" w:fill="auto"/>
          </w:tcPr>
          <w:p w:rsidR="00321B6A" w:rsidP="00D15173">
            <w:pPr>
              <w:pStyle w:val="Text1"/>
              <w:spacing w:before="0" w:after="0"/>
              <w:ind w:left="0"/>
              <w:jc w:val="right"/>
            </w:pPr>
            <w:r>
              <w:rPr>
                <w:noProof/>
                <w:color w:val="FF0000"/>
              </w:rPr>
              <w:t>7,64%</w:t>
            </w:r>
          </w:p>
        </w:tc>
      </w:tr>
    </w:tbl>
    <w:p w:rsidR="00321B6A" w:rsidP="00D15173">
      <w:pPr>
        <w:pStyle w:val="Text1"/>
        <w:spacing w:before="0" w:after="0"/>
        <w:ind w:left="0"/>
      </w:pPr>
    </w:p>
    <w:p w:rsidR="00321B6A" w:rsidP="00D15173">
      <w:pPr>
        <w:pStyle w:val="Text1"/>
        <w:spacing w:before="0" w:after="0"/>
        <w:ind w:left="0"/>
        <w:jc w:val="left"/>
        <w:rPr>
          <w:b/>
        </w:rPr>
      </w:pPr>
      <w:r>
        <w:rPr>
          <w:b/>
        </w:rPr>
        <w:br w:type="page"/>
      </w:r>
      <w:r w:rsidRPr="00C6045D">
        <w:rPr>
          <w:b/>
          <w:noProof/>
        </w:rPr>
        <w:t>Izjava o obračunu izvršenih plačil (samo iz prispevka Unije) v proračunskem letu 2022 za nacionalni program</w:t>
      </w:r>
    </w:p>
    <w:p w:rsidR="00321B6A" w:rsidP="00D15173">
      <w:pPr>
        <w:pStyle w:val="Text1"/>
        <w:spacing w:before="0" w:after="0"/>
        <w:ind w:left="0"/>
        <w:jc w:val="left"/>
        <w:rPr>
          <w:b/>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0"/>
        <w:gridCol w:w="3164"/>
        <w:gridCol w:w="970"/>
        <w:gridCol w:w="2554"/>
        <w:gridCol w:w="1180"/>
      </w:tblGrid>
      <w:tr w:rsidTr="0063518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p w:rsidR="00321B6A" w:rsidP="00D15173">
            <w:pPr>
              <w:pStyle w:val="Text1"/>
              <w:spacing w:before="0" w:after="0"/>
              <w:ind w:left="0"/>
              <w:jc w:val="left"/>
              <w:rPr>
                <w:b/>
                <w:sz w:val="20"/>
                <w:szCs w:val="20"/>
              </w:rPr>
            </w:pPr>
            <w:r w:rsidRPr="00657283">
              <w:rPr>
                <w:b/>
                <w:noProof/>
                <w:sz w:val="20"/>
                <w:szCs w:val="20"/>
              </w:rPr>
              <w:t>Referenčna oznaka projekta</w:t>
            </w:r>
          </w:p>
        </w:tc>
        <w:tc>
          <w:tcPr>
            <w:shd w:val="clear" w:color="auto" w:fill="auto"/>
          </w:tcPr>
          <w:p w:rsidR="00321B6A" w:rsidRPr="00657283" w:rsidP="00D15173">
            <w:pPr>
              <w:pStyle w:val="Text1"/>
              <w:spacing w:before="0" w:after="0"/>
              <w:ind w:left="0"/>
              <w:jc w:val="left"/>
              <w:rPr>
                <w:b/>
                <w:sz w:val="20"/>
                <w:szCs w:val="20"/>
              </w:rPr>
            </w:pPr>
            <w:r>
              <w:rPr>
                <w:b/>
                <w:noProof/>
                <w:sz w:val="20"/>
                <w:szCs w:val="20"/>
              </w:rPr>
              <w:t>Skupni prispevek Unije, plačan v proračunskem letu 2022</w:t>
            </w:r>
          </w:p>
        </w:tc>
        <w:tc>
          <w:tcPr>
            <w:shd w:val="clear" w:color="auto" w:fill="auto"/>
          </w:tcPr>
          <w:p w:rsidR="00321B6A" w:rsidRPr="00657283" w:rsidP="00D15173">
            <w:pPr>
              <w:pStyle w:val="Text1"/>
              <w:spacing w:before="0" w:after="0"/>
              <w:ind w:left="0"/>
              <w:jc w:val="center"/>
              <w:rPr>
                <w:b/>
                <w:sz w:val="20"/>
                <w:szCs w:val="20"/>
              </w:rPr>
            </w:pPr>
            <w:r>
              <w:rPr>
                <w:b/>
                <w:noProof/>
                <w:sz w:val="20"/>
                <w:szCs w:val="20"/>
              </w:rPr>
              <w:t>Končno plačilo</w:t>
            </w:r>
          </w:p>
        </w:tc>
        <w:tc>
          <w:tcPr>
            <w:shd w:val="clear" w:color="auto" w:fill="auto"/>
          </w:tcPr>
          <w:p w:rsidR="00321B6A" w:rsidRPr="00657283" w:rsidP="00D15173">
            <w:pPr>
              <w:pStyle w:val="Text1"/>
              <w:spacing w:before="0" w:after="0"/>
              <w:ind w:left="0"/>
              <w:jc w:val="left"/>
              <w:rPr>
                <w:b/>
                <w:sz w:val="20"/>
                <w:szCs w:val="20"/>
              </w:rPr>
            </w:pPr>
            <w:r>
              <w:rPr>
                <w:b/>
                <w:noProof/>
                <w:sz w:val="20"/>
                <w:szCs w:val="20"/>
              </w:rPr>
              <w:t>Prejšnja leta, v katerih ta projekt ni bil sprejet</w:t>
            </w:r>
          </w:p>
        </w:tc>
        <w:tc>
          <w:tcPr/>
          <w:p w:rsidR="00321B6A" w:rsidP="00D15173">
            <w:pPr>
              <w:pStyle w:val="Text1"/>
              <w:spacing w:before="0" w:after="0"/>
              <w:ind w:left="0"/>
              <w:jc w:val="center"/>
              <w:rPr>
                <w:b/>
                <w:sz w:val="20"/>
                <w:szCs w:val="20"/>
              </w:rPr>
            </w:pPr>
            <w:r>
              <w:rPr>
                <w:b/>
                <w:noProof/>
                <w:sz w:val="20"/>
                <w:szCs w:val="20"/>
              </w:rPr>
              <w:t>Upravičeni</w:t>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SI/2015/PR/0003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SI/2015/PR/0004</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12.038,79</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SI/2017/PR/0001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SI/2017/PR/0006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SI/2017/PR/0007</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SI/2017/PR/0010</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31.682,85</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SI/2019/PR/0005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64.905,34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SI/2019/PR/0006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920.203,03</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SI/2019/PR/0009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105.312,54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SI/2020/PR/0002</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SI/2020/PR/0004</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24.836,29</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43.001,34</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SI/2020/PR/0007</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28.106,57</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SI/2020/PR/0009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1.453,77</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SI/2020/PR/0015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29.200,03</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SI/2020/PR/0016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SI/2020/PR/0018</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29.437,94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SI/2020/PR/0019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SI/2020/PR/0020</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SI/2020/PR/0022</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146,84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170.808,46</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SI/2020/PR/0029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13.146,74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SI/2020/PR/0032</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21.906,43</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SI/2020/PR/0037</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54.467,92</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SI/2020/PR/0038</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8.444,55</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SI/2020/PR/0039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40.351,77</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SI/2020/PR/0040</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3.053,28</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436,53</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SI/2020/PR/0042</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7.932,83</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226.522,64</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SI/2020/PR/0044</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30.428,75</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2.603,10</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SI/2020/PR/0046</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378.528,42</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SI/2020/PR/0047</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96.796,76</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SI/2020/PR/0048</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38.587,07</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SI/2020/PR/0049</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6.808,42</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SI/2020/PR/0050</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12.306,20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13.698,16</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SI/2020/PR/0052</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21.537,82</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SI/2020/PR/0053</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5.308,60</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SI/2020/PR/0054</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1.993,14</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noProof/>
                <w:sz w:val="20"/>
                <w:szCs w:val="20"/>
              </w:rPr>
              <w:t>SI/2020/PR/0055</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b/>
                <w:noProof/>
                <w:sz w:val="20"/>
                <w:szCs w:val="20"/>
              </w:rPr>
              <w:t>Skupno za projekte</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2.445.992,92</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67307B">
              <w:rPr>
                <w:noProof/>
                <w:sz w:val="20"/>
                <w:szCs w:val="20"/>
              </w:rPr>
              <w:t>Skupno za tehnično pomoč</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158.718,63</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b/>
                <w:noProof/>
                <w:sz w:val="20"/>
                <w:szCs w:val="20"/>
              </w:rPr>
              <w:t>Skupno za nacionalni program</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2.604.711,55</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67307B">
              <w:rPr>
                <w:noProof/>
                <w:sz w:val="20"/>
                <w:szCs w:val="20"/>
              </w:rPr>
              <w:t>Finančni popravek države članice (+/-)</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b/>
                <w:noProof/>
                <w:sz w:val="20"/>
                <w:szCs w:val="20"/>
              </w:rPr>
              <w:t>Plačilo, zahtevano s strani DČ (1)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2.604.711,55</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b/>
                <w:noProof/>
                <w:sz w:val="20"/>
                <w:szCs w:val="20"/>
              </w:rPr>
              <w:t>Popravek Komisije:</w:t>
            </w:r>
          </w:p>
        </w:tc>
        <w:tc>
          <w:tcPr>
            <w:shd w:val="clear" w:color="auto" w:fill="auto"/>
          </w:tcPr>
          <w:p w:rsidR="00321B6A" w:rsidRPr="0071387E" w:rsidP="00D15173">
            <w:pPr>
              <w:pStyle w:val="Text1"/>
              <w:spacing w:before="0" w:after="0"/>
              <w:ind w:left="0"/>
              <w:jc w:val="right"/>
              <w:rPr>
                <w:sz w:val="20"/>
                <w:szCs w:val="20"/>
              </w:rPr>
            </w:pP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F9769E">
              <w:rPr>
                <w:i/>
                <w:noProof/>
                <w:sz w:val="20"/>
                <w:szCs w:val="20"/>
              </w:rPr>
              <w:t>Finančni popravek Komisije (+/–)</w:t>
            </w:r>
          </w:p>
        </w:tc>
        <w:tc>
          <w:tcPr>
            <w:shd w:val="clear" w:color="auto" w:fill="auto"/>
          </w:tcPr>
          <w:p w:rsidR="00321B6A" w:rsidRPr="0071387E" w:rsidP="00D15173">
            <w:pPr>
              <w:pStyle w:val="Text1"/>
              <w:spacing w:before="0" w:after="0"/>
              <w:ind w:left="0"/>
              <w:jc w:val="right"/>
              <w:rPr>
                <w:sz w:val="20"/>
                <w:szCs w:val="20"/>
              </w:rPr>
            </w:pP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F9769E">
              <w:rPr>
                <w:i/>
                <w:noProof/>
                <w:sz w:val="20"/>
                <w:szCs w:val="20"/>
              </w:rPr>
              <w:t>Znesek zavrnjen (ni neto) (+/–)</w:t>
            </w:r>
          </w:p>
        </w:tc>
        <w:tc>
          <w:tcPr>
            <w:shd w:val="clear" w:color="auto" w:fill="auto"/>
          </w:tcPr>
          <w:p w:rsidR="00321B6A" w:rsidRPr="0071387E" w:rsidP="00D15173">
            <w:pPr>
              <w:pStyle w:val="Text1"/>
              <w:spacing w:before="0" w:after="0"/>
              <w:ind w:left="0"/>
              <w:jc w:val="right"/>
              <w:rPr>
                <w:sz w:val="20"/>
                <w:szCs w:val="20"/>
              </w:rPr>
            </w:pP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F9769E">
              <w:rPr>
                <w:i/>
                <w:noProof/>
                <w:sz w:val="20"/>
                <w:szCs w:val="20"/>
              </w:rPr>
              <w:t>Znesek se preučuje (+/–)</w:t>
            </w:r>
          </w:p>
        </w:tc>
        <w:tc>
          <w:tcPr>
            <w:shd w:val="clear" w:color="auto" w:fill="auto"/>
          </w:tcPr>
          <w:p w:rsidR="00321B6A" w:rsidRPr="0071387E" w:rsidP="00D15173">
            <w:pPr>
              <w:pStyle w:val="Text1"/>
              <w:spacing w:before="0" w:after="0"/>
              <w:ind w:left="0"/>
              <w:jc w:val="right"/>
              <w:rPr>
                <w:sz w:val="20"/>
                <w:szCs w:val="20"/>
              </w:rPr>
            </w:pP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67307B">
              <w:rPr>
                <w:noProof/>
                <w:sz w:val="20"/>
                <w:szCs w:val="20"/>
              </w:rPr>
              <w:t>Neupravičeni projekti</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0,00</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r w:rsidTr="00635189">
        <w:tblPrEx>
          <w:tblW w:w="5000" w:type="pct"/>
          <w:tblLook w:val="04A0"/>
        </w:tblPrEx>
        <w:tc>
          <w:tcPr/>
          <w:p w:rsidR="00F9769E" w:rsidP="00D15173">
            <w:pPr>
              <w:pStyle w:val="Text1"/>
              <w:spacing w:before="0" w:after="0"/>
              <w:ind w:left="0"/>
              <w:jc w:val="left"/>
              <w:rPr>
                <w:sz w:val="20"/>
                <w:szCs w:val="20"/>
              </w:rPr>
            </w:pPr>
            <w:r w:rsidRPr="0071387E" w:rsidR="00321B6A">
              <w:rPr>
                <w:b/>
                <w:noProof/>
                <w:sz w:val="20"/>
                <w:szCs w:val="20"/>
              </w:rPr>
              <w:t>Plačilo, sprejeto s strani Evropske komisije (1)</w:t>
            </w:r>
          </w:p>
        </w:tc>
        <w:tc>
          <w:tcPr>
            <w:shd w:val="clear" w:color="auto" w:fill="auto"/>
          </w:tcPr>
          <w:p w:rsidR="00321B6A" w:rsidRPr="0071387E" w:rsidP="00D15173">
            <w:pPr>
              <w:pStyle w:val="Text1"/>
              <w:spacing w:before="0" w:after="0"/>
              <w:ind w:left="0"/>
              <w:jc w:val="right"/>
              <w:rPr>
                <w:sz w:val="20"/>
                <w:szCs w:val="20"/>
              </w:rPr>
            </w:pPr>
            <w:r w:rsidRPr="0071387E">
              <w:rPr>
                <w:noProof/>
                <w:sz w:val="20"/>
                <w:szCs w:val="20"/>
              </w:rPr>
              <w:t>2.604.711,55</w:t>
            </w:r>
          </w:p>
        </w:tc>
        <w:tc>
          <w:tcPr>
            <w:shd w:val="clear" w:color="auto" w:fill="auto"/>
          </w:tcPr>
          <w:p w:rsidR="00321B6A" w:rsidRPr="0071387E" w:rsidP="00D15173">
            <w:pPr>
              <w:autoSpaceDE w:val="0"/>
              <w:autoSpaceDN w:val="0"/>
              <w:adjustRightInd w:val="0"/>
              <w:spacing w:before="0" w:after="0"/>
              <w:jc w:val="center"/>
              <w:rPr>
                <w:sz w:val="20"/>
                <w:szCs w:val="20"/>
              </w:rPr>
            </w:pPr>
          </w:p>
        </w:tc>
        <w:tc>
          <w:tcPr>
            <w:shd w:val="clear" w:color="auto" w:fill="auto"/>
          </w:tcPr>
          <w:p w:rsidR="00321B6A" w:rsidRPr="0071387E" w:rsidP="00D15173">
            <w:pPr>
              <w:pStyle w:val="Text1"/>
              <w:spacing w:before="0" w:after="0"/>
              <w:ind w:left="0"/>
              <w:jc w:val="left"/>
              <w:rPr>
                <w:sz w:val="20"/>
                <w:szCs w:val="20"/>
              </w:rPr>
            </w:pPr>
          </w:p>
        </w:tc>
        <w:tc>
          <w:tcPr/>
          <w:p w:rsidR="00321B6A" w:rsidRPr="0071387E" w:rsidP="00D15173">
            <w:pPr>
              <w:pStyle w:val="Text1"/>
              <w:spacing w:before="0" w:after="0"/>
              <w:ind w:left="0"/>
              <w:jc w:val="center"/>
              <w:rPr>
                <w:sz w:val="20"/>
                <w:szCs w:val="20"/>
              </w:rPr>
            </w:pPr>
          </w:p>
        </w:tc>
      </w:tr>
    </w:tbl>
    <w:p w:rsidR="00321B6A" w:rsidP="00D15173">
      <w:pPr>
        <w:pStyle w:val="Text1"/>
        <w:spacing w:before="0" w:after="0"/>
        <w:ind w:left="0"/>
        <w:jc w:val="left"/>
      </w:pPr>
      <w:r>
        <w:rPr>
          <w:noProof/>
        </w:rPr>
        <w:t>(1) Pri zahtevanem plačilu ni upoštevano letno predplačilo, ki ga je Komisija že plačala</w:t>
      </w:r>
    </w:p>
    <w:p w:rsidR="00321B6A" w:rsidP="00D15173">
      <w:pPr>
        <w:spacing w:before="0" w:after="0"/>
      </w:pPr>
    </w:p>
    <w:p w:rsidR="00321B6A" w:rsidRPr="00DD2D69" w:rsidP="00D15173">
      <w:pPr>
        <w:pStyle w:val="Heading3"/>
        <w:numPr>
          <w:ilvl w:val="0"/>
          <w:numId w:val="0"/>
        </w:numPr>
        <w:spacing w:before="0" w:after="0"/>
        <w:jc w:val="left"/>
        <w:rPr>
          <w:i w:val="0"/>
        </w:rPr>
      </w:pPr>
      <w:bookmarkStart w:id="15" w:name="_Toc256000014"/>
      <w:r w:rsidRPr="00DD2D69">
        <w:rPr>
          <w:i w:val="0"/>
          <w:noProof/>
        </w:rPr>
        <w:t>Opis finančnega popravka države članice</w:t>
      </w:r>
      <w:bookmarkEnd w:id="15"/>
    </w:p>
    <w:p w:rsidR="00321B6A" w:rsidP="00D15173">
      <w:pPr>
        <w:pStyle w:val="Text1"/>
        <w:spacing w:before="0" w:after="0"/>
        <w:ind w:left="0"/>
        <w:jc w:val="left"/>
      </w:pPr>
      <w:r w:rsidRPr="002E087B">
        <w:rPr>
          <w:b/>
          <w:noProof/>
        </w:rPr>
        <w:t>Opis finančnega popravka Komisije</w:t>
      </w:r>
    </w:p>
    <w:p w:rsidR="00321B6A" w:rsidRPr="0021405E" w:rsidP="00D15173">
      <w:pPr>
        <w:pStyle w:val="Text1"/>
        <w:spacing w:before="0" w:after="0"/>
        <w:ind w:left="0"/>
        <w:jc w:val="left"/>
      </w:pPr>
    </w:p>
    <w:p w:rsidR="00321B6A" w:rsidRPr="00D24861" w:rsidP="00D15173">
      <w:pPr>
        <w:pStyle w:val="Heading1"/>
        <w:numPr>
          <w:ilvl w:val="0"/>
          <w:numId w:val="0"/>
        </w:numPr>
        <w:spacing w:before="0" w:after="0"/>
      </w:pPr>
      <w:r>
        <w:br w:type="page"/>
      </w:r>
      <w:bookmarkStart w:id="16" w:name="_Toc256000015"/>
      <w:r w:rsidRPr="00D24861">
        <w:rPr>
          <w:noProof/>
        </w:rPr>
        <w:t>II. IZJAVA O UPRAVLJANJU</w:t>
      </w:r>
      <w:bookmarkEnd w:id="16"/>
    </w:p>
    <w:p w:rsidR="00321B6A" w:rsidP="00D15173">
      <w:pPr>
        <w:spacing w:before="0" w:after="0"/>
        <w:jc w:val="left"/>
      </w:pPr>
    </w:p>
    <w:p w:rsidR="00321B6A" w:rsidP="00D15173">
      <w:pPr>
        <w:spacing w:before="0" w:after="0"/>
        <w:jc w:val="left"/>
      </w:pPr>
      <w:r>
        <w:rPr>
          <w:noProof/>
        </w:rPr>
        <w:t>Na podlagi lastne presoje in vseh informacij, ki so mi na voljo, vključno z rezultati vseh kontrol (upravnih, finančnih in operativnih kontrol na kraju samem), ki jih je izvedel odgovorni organ ali so bile izvedene v njegovem imenu, v zvezi z odhodki Unije v proračunskem letu 2022 in ob upoštevanju svojih obveznosti v skladu z Uredbo (EU) št. 514/2014 izjavljam, da:</w:t>
      </w:r>
    </w:p>
    <w:p w:rsidR="00321B6A" w:rsidP="00D15173">
      <w:pPr>
        <w:numPr>
          <w:ilvl w:val="0"/>
          <w:numId w:val="19"/>
        </w:numPr>
        <w:spacing w:before="0" w:after="0"/>
        <w:jc w:val="left"/>
      </w:pPr>
      <w:r>
        <w:rPr>
          <w:noProof/>
        </w:rPr>
        <w:t>so informacije v obračunu pravilno prikazane, popolne in točne,</w:t>
      </w:r>
    </w:p>
    <w:p w:rsidR="00321B6A" w:rsidP="00D15173">
      <w:pPr>
        <w:numPr>
          <w:ilvl w:val="0"/>
          <w:numId w:val="19"/>
        </w:numPr>
        <w:spacing w:before="0" w:after="0"/>
        <w:jc w:val="left"/>
      </w:pPr>
      <w:r>
        <w:rPr>
          <w:noProof/>
        </w:rPr>
        <w:t>so bili odhodki Unije porabljeni za predvideni namen v skladu z nacionalnim programom in v skladu z načelom dobrega finančnega poslovodenja,</w:t>
      </w:r>
    </w:p>
    <w:p w:rsidR="00321B6A" w:rsidP="00D15173">
      <w:pPr>
        <w:numPr>
          <w:ilvl w:val="0"/>
          <w:numId w:val="19"/>
        </w:numPr>
        <w:spacing w:before="0" w:after="0"/>
        <w:jc w:val="left"/>
      </w:pPr>
      <w:r>
        <w:rPr>
          <w:noProof/>
        </w:rPr>
        <w:t>je sistem upravljanja in nadzora, vzpostavljen za nacionalni program, v zadevnem proračunskem letu učinkovito deloval in zagotovil potrebna jamstva v zvezi z zakonitostjo in pravilnostjo osnovnih transakcij v skladu z zakonodajo, ki se uporablja.</w:t>
      </w:r>
    </w:p>
    <w:p w:rsidR="00321B6A" w:rsidP="00D15173">
      <w:pPr>
        <w:spacing w:before="0" w:after="0"/>
        <w:jc w:val="left"/>
      </w:pPr>
      <w:r>
        <w:rPr>
          <w:noProof/>
        </w:rPr>
        <w:t>Potrjujem, da je bila vsaka nepravilnost, ugotovljena v končnih revizijskih ali kontrolnih poročilih v zvezi s proračunskim letom, ustrezno obravnavana in da so bili po teh poročilih po potrebi izvršeni ustrezni nadaljnji ukrepi.</w:t>
      </w:r>
    </w:p>
    <w:p w:rsidR="00321B6A" w:rsidRPr="00C147DB" w:rsidP="00D15173">
      <w:pPr>
        <w:spacing w:before="0" w:after="0"/>
        <w:rPr>
          <w:b/>
        </w:rPr>
      </w:pPr>
    </w:p>
    <w:p w:rsidR="00321B6A" w:rsidP="00D15173">
      <w:pPr>
        <w:pStyle w:val="Text1"/>
        <w:spacing w:before="0" w:after="0"/>
        <w:ind w:left="0"/>
        <w:jc w:val="left"/>
      </w:pPr>
      <w:r>
        <w:rPr>
          <w:noProof/>
        </w:rPr>
        <w:t>Poleg tega potrjujem, da nisem seznanjen z nobenimi nerazkritimi zadevami, ki bi lahko škodile finančnim interesom Unije.</w:t>
      </w:r>
    </w:p>
    <w:p w:rsidR="00321B6A" w:rsidP="00D15173">
      <w:pPr>
        <w:pStyle w:val="Text1"/>
        <w:spacing w:before="0" w:after="0"/>
        <w:ind w:left="0"/>
        <w:jc w:val="left"/>
      </w:pPr>
    </w:p>
    <w:p w:rsidR="00321B6A" w:rsidP="00D15173">
      <w:pPr>
        <w:pStyle w:val="Text1"/>
        <w:spacing w:before="0" w:after="0"/>
        <w:ind w:left="0"/>
        <w:jc w:val="left"/>
      </w:pPr>
      <w:r w:rsidRPr="00B00F5B">
        <w:rPr>
          <w:b/>
          <w:noProof/>
        </w:rPr>
        <w:t>Ime uradnika</w:t>
      </w:r>
      <w:r w:rsidRPr="00B00F5B">
        <w:rPr>
          <w:b/>
        </w:rPr>
        <w:t>:</w:t>
      </w:r>
      <w:r>
        <w:t xml:space="preserve"> </w:t>
      </w:r>
      <w:r>
        <w:rPr>
          <w:noProof/>
        </w:rPr>
        <w:t>Tina Heferle</w:t>
      </w:r>
    </w:p>
    <w:p w:rsidR="00321B6A" w:rsidP="00D15173">
      <w:pPr>
        <w:pStyle w:val="Text1"/>
        <w:spacing w:before="0" w:after="0"/>
        <w:ind w:left="0"/>
        <w:jc w:val="left"/>
      </w:pPr>
    </w:p>
    <w:p w:rsidR="00321B6A" w:rsidP="00D15173">
      <w:pPr>
        <w:pStyle w:val="Text1"/>
        <w:spacing w:before="0" w:after="0"/>
        <w:ind w:left="0"/>
        <w:jc w:val="left"/>
      </w:pPr>
      <w:r w:rsidRPr="00B00F5B">
        <w:rPr>
          <w:b/>
          <w:noProof/>
        </w:rPr>
        <w:t>Naziv, organizacija</w:t>
      </w:r>
      <w:r w:rsidRPr="00B00F5B">
        <w:rPr>
          <w:b/>
        </w:rPr>
        <w:t>:</w:t>
      </w:r>
      <w:r>
        <w:t xml:space="preserve"> </w:t>
      </w:r>
      <w:r>
        <w:rPr>
          <w:noProof/>
        </w:rPr>
        <w:t>Ministrstvo za notranje zadeve</w:t>
      </w:r>
    </w:p>
    <w:p w:rsidR="00321B6A" w:rsidP="00D15173">
      <w:pPr>
        <w:pStyle w:val="Text1"/>
        <w:spacing w:before="0" w:after="0"/>
        <w:ind w:left="0"/>
        <w:jc w:val="left"/>
      </w:pPr>
    </w:p>
    <w:p w:rsidR="00321B6A" w:rsidP="00D15173">
      <w:pPr>
        <w:pStyle w:val="Text1"/>
        <w:spacing w:before="0" w:after="0"/>
        <w:ind w:left="0"/>
        <w:jc w:val="left"/>
      </w:pPr>
      <w:r w:rsidRPr="002D597A">
        <w:rPr>
          <w:b/>
          <w:noProof/>
        </w:rPr>
        <w:t>Datum predložitve</w:t>
      </w:r>
      <w:r w:rsidRPr="002D597A">
        <w:rPr>
          <w:b/>
        </w:rPr>
        <w:t>:</w:t>
      </w:r>
      <w:r>
        <w:t xml:space="preserve"> </w:t>
      </w:r>
      <w:r>
        <w:rPr>
          <w:noProof/>
        </w:rPr>
        <w:t>6.2.2023</w:t>
      </w:r>
    </w:p>
    <w:p w:rsidR="00321B6A" w:rsidP="00D15173">
      <w:pPr>
        <w:pStyle w:val="Heading1"/>
        <w:numPr>
          <w:ilvl w:val="0"/>
          <w:numId w:val="0"/>
        </w:numPr>
        <w:spacing w:before="0" w:after="0"/>
        <w:jc w:val="left"/>
      </w:pPr>
      <w:r>
        <w:br w:type="page"/>
      </w:r>
      <w:bookmarkStart w:id="17" w:name="_Toc256000016"/>
      <w:r w:rsidRPr="00595E05">
        <w:rPr>
          <w:noProof/>
        </w:rPr>
        <w:t>III. LETNI POVZETEK KONČNIH REVIZIJSKIH POROČIL IN OPRAVLJENIH KONTROL</w:t>
      </w:r>
      <w:bookmarkEnd w:id="17"/>
    </w:p>
    <w:p w:rsidR="00321B6A" w:rsidRPr="00595E05" w:rsidP="00D15173">
      <w:pPr>
        <w:pStyle w:val="Text1"/>
        <w:spacing w:before="0" w:after="0"/>
      </w:pPr>
    </w:p>
    <w:p w:rsidR="00321B6A" w:rsidRPr="00595E05" w:rsidP="00D15173">
      <w:pPr>
        <w:pStyle w:val="Heading2"/>
        <w:numPr>
          <w:ilvl w:val="0"/>
          <w:numId w:val="0"/>
        </w:numPr>
        <w:spacing w:before="0" w:after="0"/>
        <w:ind w:left="850" w:hanging="850"/>
      </w:pPr>
      <w:bookmarkStart w:id="18" w:name="_Toc256000017"/>
      <w:r w:rsidRPr="00595E05">
        <w:rPr>
          <w:noProof/>
        </w:rPr>
        <w:t>A. Povzetki končnih revizijskih poročil</w:t>
      </w:r>
      <w:bookmarkEnd w:id="18"/>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449"/>
        <w:gridCol w:w="3958"/>
        <w:gridCol w:w="2940"/>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2021</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0615-68/2015/102</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Sistemska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Revizija sistema pri odgovornem organu (OO)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 xml:space="preserve">RO je v reviziji v 2021 podal 11 ugotovitev in priporočil. Poleg tega je opravil pregled izpolnjevanja 15 odprtih priporočil iz predhodnih revizij od katerih je 11 izpolnjenih, 1 je le delno izpolnjeno, 3 priporočila pa so neizpolnjena. </w:t>
            </w:r>
          </w:p>
          <w:p w:rsidR="00321B6A" w:rsidP="00D15173">
            <w:pPr>
              <w:spacing w:before="0" w:after="0"/>
              <w:jc w:val="left"/>
            </w:pPr>
            <w:r>
              <w:rPr>
                <w:noProof/>
              </w:rPr>
              <w:t>Ugotovitve in priporočila so podrobneje opisane v točki 4.2 Letnega poročila o nadzoru (2021). Odprta priporočila bodo predmet pregleda pri naslednjih revizijah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RO ocenjuje, da sistem upravljanja in nadzora pri OO deluje, vendar so potrebne določene izboljšave. Kategorija ocene je 2. Podrobneje opisano v točkah 4.2 in 10.1 Letnega poročila o nadzoru (2021).</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Neupravičeni izdatki niso bili ugotovljeni in 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OO se z ugotovitvami in priporočili strinja in je oz. bo priporočila izvedel. Podrobneje v točki 4.2 Letnega poročila o nadzoru (2021).</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576"/>
        <w:gridCol w:w="3743"/>
        <w:gridCol w:w="2779"/>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2022</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0615-68/2015/112</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Sistemska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Naknadna revizija sistema pri odgovornem organu (OO)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 xml:space="preserve">RO je opravil pregled izpolnjevanja 17 odprtih priporočil iz predhodnih revizij, od katerih je 12 izpolnjenih, 1 je delno izpolnjeno, 4 priporočila so neizpolnjena. </w:t>
            </w:r>
          </w:p>
          <w:p w:rsidR="00321B6A" w:rsidP="00D15173">
            <w:pPr>
              <w:spacing w:before="0" w:after="0"/>
              <w:jc w:val="left"/>
            </w:pPr>
            <w:r>
              <w:rPr>
                <w:noProof/>
              </w:rPr>
              <w:t>Ugotovitve in priporočila so podrobneje opisane v točki 4.4 Letnega poročila o nadzoru. Odprta priporočila bodo predmet pregleda pri naslednjih revizijah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RO ocenjuje, da sistem upravljanja in nadzora pri OO deluje, vendar so potrebne določene izboljšave. Kategorija ocene je 2. Podrobneje opisano v točkah 4.4 in 10.1 Letnega poročila o nadzoru.</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Neupravičeni izdatki niso bili ugotovljeni in 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1440"/>
        <w:gridCol w:w="3805"/>
        <w:gridCol w:w="2826"/>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2021</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0623-6/2017/14</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Sistemska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Revizija sistema upravljanja pri pooblaščenem organu (DAC)</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 xml:space="preserve">RO je v reviziji v 2021 podal 3 ugotovitve in priporočila. Poleg tega je opravil pregled izpolnjevanja 2 odprtih priporočil iz predhodnih revizij od katerih sta obe izpolnjeni. </w:t>
            </w:r>
          </w:p>
          <w:p w:rsidR="00321B6A" w:rsidP="00D15173">
            <w:pPr>
              <w:spacing w:before="0" w:after="0"/>
              <w:jc w:val="left"/>
            </w:pPr>
            <w:r>
              <w:rPr>
                <w:noProof/>
              </w:rPr>
              <w:t xml:space="preserve">Ugotovitve in priporočila so podrobneje opisane v točki 4.2 Letnega poročila o nadzoru (2021). </w:t>
            </w:r>
          </w:p>
          <w:p w:rsidR="00321B6A" w:rsidP="00D15173">
            <w:pPr>
              <w:spacing w:before="0" w:after="0"/>
              <w:jc w:val="left"/>
            </w:pPr>
            <w:r>
              <w:rPr>
                <w:noProof/>
              </w:rPr>
              <w:t>Odprta priporočila bodo predmet pregleda pri naslednjih revizijah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RO ocenjuje, da sistem upravljanja in nadzora pri DAC deluje, vendar so potrebne določene izboljšave. Kategorija ocene je 2. Podrobneje opisano v točkah 4.2 in 10.1 Letnega poročila o nadzoru (2021).</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Neupravičeni izdatki niso bili ugotovljeni in 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DAC se z ugotovitvami in priporočili strinja in je oz. bo priporočila izvedel. Podrobneje v točki 4.2 Letnega poročila o nadzoru (2021).</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1455"/>
        <w:gridCol w:w="3783"/>
        <w:gridCol w:w="2809"/>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2022</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0623-6/2018/16</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Sistemska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Revizija sistema upravljanja pri pooblaščenem organu (DAF)</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 xml:space="preserve">RO je v reviziji podal 3 ugotovitve in 1 priporočilo. Poleg tega je RO opravil pregled izpolnjevanja 2 odprtih priporočil iz predhodnih revizij, od katerih sta obe izpolnjeni. </w:t>
            </w:r>
          </w:p>
          <w:p w:rsidR="00321B6A" w:rsidP="00D15173">
            <w:pPr>
              <w:spacing w:before="0" w:after="0"/>
              <w:jc w:val="left"/>
            </w:pPr>
            <w:r>
              <w:rPr>
                <w:noProof/>
              </w:rPr>
              <w:t>Ugotovitve in priporočila so podrobneje opisane v točki 4.2 in 4.4 Letnega poročila o nadzoru.</w:t>
            </w:r>
          </w:p>
          <w:p w:rsidR="00321B6A" w:rsidP="00D15173">
            <w:pPr>
              <w:spacing w:before="0" w:after="0"/>
              <w:jc w:val="left"/>
            </w:pP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RO ocenjuje, da sistem upravljanja in nadzora pri DAF deluje, vendar so potrebne določene izboljšave. Kategorija ocene je 2. Podrobneje opisano v točkah 4.2, 4.4 in 10.1 Letnega poročila o nadzoru.</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Neupravičeni izdatki niso bili ugotovljeni in 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1234"/>
        <w:gridCol w:w="4261"/>
        <w:gridCol w:w="2919"/>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2021</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0632-27/2021/4</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Finančna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»Izboljšanje pogojev bivanja v Centru za tujce in nadgradnja administrativnih postopkov«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V reviziji v 2021 so bili pregledani izdatki v vrednosti 902.419,16 EUR, prispevek EU 676.814,31 EUR, kar predstavlja 100 % potrjenih izdatkov projekta, neupravičeni izdatki niso bili ugotovljeni. Podrobneje v točki 5.3 Letnega poročila o nadzoru (2021).</w:t>
            </w:r>
          </w:p>
          <w:p w:rsidR="00321B6A" w:rsidP="00D15173">
            <w:pPr>
              <w:spacing w:before="0" w:after="0"/>
              <w:jc w:val="left"/>
            </w:pP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Izdana je bila 1 ugotovitev in priporočilo sistemske narave, ki je bila predmet pregleda pri naknadni reviziji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Ni bilo finančnih popravkov.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3</w:t>
            </w:r>
            <w:r>
              <w:t xml:space="preserve"> - </w:t>
            </w:r>
            <w:r>
              <w:rPr>
                <w:noProof/>
              </w:rPr>
              <w:t>V celoti izvedeno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1209"/>
        <w:gridCol w:w="4477"/>
        <w:gridCol w:w="3067"/>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2021</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0632-29/2021/6</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Finančna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»Medkulturni dialog in obveščanje o možnostih sodelovanja v programih integracije«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V reviziji v 2021 so bili pregledani upravičeni izdatki v skupni vrednosti 25.132,13 EUR, prispevek EU 18.848,80 EUR, kar predstavlja 46,37 % potrjenih izdatkov projekta, ki so vključeni v računovodske izkaze leta 2021. Pri tem niso bili ugotovljeni neupravičeni izdatki. Podrobneje v točki 5.3 Letnega poročila o nadzoru (2021).</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Izdana je bila 1 ugotovitev in priporočilo sistemske narave, ki bo predmet pregleda pri naknadni reviziji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Ni bilo finančnih popravkov.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 xml:space="preserve">Ni bilo ugotovljenih slabosti v delovanju sistema, zaradi katerih bi RO predlagal finančne popravke. </w:t>
            </w:r>
          </w:p>
          <w:p w:rsidR="00321B6A" w:rsidP="00D15173">
            <w:pPr>
              <w:spacing w:before="0" w:after="0"/>
              <w:jc w:val="left"/>
            </w:pP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0"/>
        <w:gridCol w:w="1346"/>
        <w:gridCol w:w="4084"/>
        <w:gridCol w:w="279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2022</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0632-31/2022/6</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Finančna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rPr>
                <w:noProof/>
              </w:rPr>
              <w:t>»Tečaji slovenskega jezika«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Pregledani izdatki v vrednosti 302.030,38 EUR, prispevek EU 226.522,64 EUR, kar predstavlja 100 % potrjenih izdatkov projekta, neupravičeni izdatki niso bili ugotovljeni. Podrobneje v točki 5.3 Letnega poročila o nadzoru.</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Izdana je bila 1 ugotovitev in priporočilo sistemske narave, ki bo predmet pregleda pri naslednjih revizijah sistema.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Ni bilo finančnih popravkov.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2</w:t>
            </w:r>
            <w:r>
              <w:t xml:space="preserve"> - </w:t>
            </w:r>
            <w:r>
              <w:rPr>
                <w:noProof/>
              </w:rPr>
              <w:t>Poteka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1356"/>
        <w:gridCol w:w="4068"/>
        <w:gridCol w:w="2787"/>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2022</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0632-33/2022/5</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Finančna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fldChar w:fldCharType="begin"/>
            </w:r>
            <w:r>
              <w:instrText xml:space="preserve">QUOTE </w:instrText>
            </w:r>
            <w:r>
              <w:instrText>34</w:instrText>
            </w:r>
            <w:r>
              <w:fldChar w:fldCharType="separate"/>
            </w:r>
            <w:r>
              <w:t>"</w:t>
            </w:r>
            <w:r>
              <w:fldChar w:fldCharType="end"/>
            </w:r>
            <w:r>
              <w:t>A</w:t>
            </w:r>
            <w:r>
              <w:t>M</w:t>
            </w:r>
            <w:r>
              <w:t>I</w:t>
            </w:r>
            <w:r>
              <w:t>F</w:t>
            </w:r>
            <w:r>
              <w:t xml:space="preserve"> </w:t>
            </w:r>
            <w:r>
              <w:t>-</w:t>
            </w:r>
            <w:r>
              <w:t xml:space="preserve"> </w:t>
            </w:r>
            <w:r>
              <w:t>T</w:t>
            </w:r>
            <w:r>
              <w:t>e</w:t>
            </w:r>
            <w:r>
              <w:t>h</w:t>
            </w:r>
            <w:r>
              <w:t>n</w:t>
            </w:r>
            <w:r>
              <w:t>i</w:t>
            </w:r>
            <w:r>
              <w:t>č</w:t>
            </w:r>
            <w:r>
              <w:t>n</w:t>
            </w:r>
            <w:r>
              <w:t>a</w:t>
            </w:r>
            <w:r>
              <w:t xml:space="preserve"> </w:t>
            </w:r>
            <w:r>
              <w:t>p</w:t>
            </w:r>
            <w:r>
              <w:t>o</w:t>
            </w:r>
            <w:r>
              <w:t>m</w:t>
            </w:r>
            <w:r>
              <w:t>o</w:t>
            </w:r>
            <w:r>
              <w:t>č</w:t>
            </w:r>
            <w:r>
              <w:t xml:space="preserve"> </w:t>
            </w:r>
            <w:r>
              <w:t>z</w:t>
            </w:r>
            <w:r>
              <w:t>a</w:t>
            </w:r>
            <w:r>
              <w:t xml:space="preserve"> </w:t>
            </w:r>
            <w:r>
              <w:t>p</w:t>
            </w:r>
            <w:r>
              <w:t>o</w:t>
            </w:r>
            <w:r>
              <w:t>o</w:t>
            </w:r>
            <w:r>
              <w:t>b</w:t>
            </w:r>
            <w:r>
              <w:t>l</w:t>
            </w:r>
            <w:r>
              <w:t>a</w:t>
            </w:r>
            <w:r>
              <w:t>š</w:t>
            </w:r>
            <w:r>
              <w:t>č</w:t>
            </w:r>
            <w:r>
              <w:t>e</w:t>
            </w:r>
            <w:r>
              <w:t>n</w:t>
            </w:r>
            <w:r>
              <w:t>i</w:t>
            </w:r>
            <w:r>
              <w:t xml:space="preserve"> </w:t>
            </w:r>
            <w:r>
              <w:t>o</w:t>
            </w:r>
            <w:r>
              <w:t>r</w:t>
            </w:r>
            <w:r>
              <w:t>g</w:t>
            </w:r>
            <w:r>
              <w:t>a</w:t>
            </w:r>
            <w:r>
              <w:t>n</w:t>
            </w:r>
            <w:r>
              <w:t xml:space="preserve"> </w:t>
            </w:r>
            <w:r>
              <w:t>(</w:t>
            </w:r>
            <w:r>
              <w:t>P</w:t>
            </w:r>
            <w:r>
              <w:t>O</w:t>
            </w:r>
            <w:r>
              <w:t xml:space="preserve"> </w:t>
            </w:r>
            <w:r>
              <w:t>D</w:t>
            </w:r>
            <w:r>
              <w:t>A</w:t>
            </w:r>
            <w:r>
              <w:t>C</w:t>
            </w:r>
            <w:r>
              <w:t>)</w:t>
            </w:r>
            <w:r>
              <w:fldChar w:fldCharType="begin"/>
            </w:r>
            <w:r>
              <w:instrText xml:space="preserve">QUOTE </w:instrText>
            </w:r>
            <w:r>
              <w:instrText>34</w:instrText>
            </w:r>
            <w:r>
              <w:fldChar w:fldCharType="separate"/>
            </w:r>
            <w:r>
              <w:t>"</w:t>
            </w:r>
            <w:r>
              <w:fldChar w:fldCharType="end"/>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Pregledani izdatki v vrednosti 87.367,58 EUR, prispevek EU 87.367,58 EUR, kar predstavlja 100 % potrjenih izdatkov projekta, neupravičeni izdatki niso bili ugotovljeni. Podrobneje v točki 5.3 Letnega poročila o nadzoru.</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Izdana je bila 1 ugotovitev sistemske narave, priporočilo ni bilo dano, ker je že izpolnjeno in ima status: Zaprto.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Ni bilo finančnih popravkov.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3</w:t>
            </w:r>
            <w:r>
              <w:t xml:space="preserve"> - </w:t>
            </w:r>
            <w:r>
              <w:rPr>
                <w:noProof/>
              </w:rPr>
              <w:t>V celoti izvedeno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8"/>
        <w:gridCol w:w="1351"/>
        <w:gridCol w:w="4076"/>
        <w:gridCol w:w="279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C93A31" w:rsidP="00D15173">
            <w:pPr>
              <w:spacing w:before="0" w:after="0"/>
              <w:jc w:val="left"/>
              <w:rPr>
                <w:b/>
              </w:rPr>
            </w:pPr>
            <w:r w:rsidRPr="00C93A31">
              <w:rPr>
                <w:b/>
                <w:noProof/>
              </w:rPr>
              <w:t>Revizijski organ</w:t>
            </w:r>
          </w:p>
        </w:tc>
        <w:tc>
          <w:tcPr>
            <w:shd w:val="clear" w:color="auto" w:fill="auto"/>
          </w:tcPr>
          <w:p w:rsidR="00321B6A" w:rsidP="00D15173">
            <w:pPr>
              <w:spacing w:before="0" w:after="0"/>
            </w:pPr>
            <w:r>
              <w:rPr>
                <w:noProof/>
              </w:rPr>
              <w:t>Revizijski organ</w:t>
            </w:r>
          </w:p>
        </w:tc>
        <w:tc>
          <w:tcPr>
            <w:shd w:val="clear" w:color="auto" w:fill="auto"/>
          </w:tcPr>
          <w:p w:rsidR="00321B6A" w:rsidRPr="00C93A31" w:rsidP="00D15173">
            <w:pPr>
              <w:spacing w:before="0" w:after="0"/>
              <w:jc w:val="left"/>
              <w:rPr>
                <w:b/>
              </w:rPr>
            </w:pPr>
            <w:r w:rsidRPr="00C93A31">
              <w:rPr>
                <w:b/>
                <w:noProof/>
              </w:rPr>
              <w:t>Leto revizije</w:t>
            </w:r>
          </w:p>
        </w:tc>
        <w:tc>
          <w:tcPr>
            <w:shd w:val="clear" w:color="auto" w:fill="auto"/>
          </w:tcPr>
          <w:p w:rsidR="00321B6A" w:rsidP="00D15173">
            <w:pPr>
              <w:spacing w:before="0" w:after="0"/>
            </w:pPr>
            <w:r>
              <w:rPr>
                <w:noProof/>
              </w:rPr>
              <w:t>2022</w:t>
            </w:r>
          </w:p>
        </w:tc>
      </w:tr>
      <w:tr w:rsidTr="00321B6A">
        <w:tblPrEx>
          <w:tblW w:w="5000" w:type="pct"/>
          <w:tblLook w:val="04A0"/>
        </w:tblPrEx>
        <w:tc>
          <w:tcPr>
            <w:shd w:val="clear" w:color="auto" w:fill="auto"/>
          </w:tcPr>
          <w:p w:rsidR="00321B6A" w:rsidRPr="00C93A31" w:rsidP="00D15173">
            <w:pPr>
              <w:spacing w:before="0" w:after="0"/>
              <w:jc w:val="left"/>
              <w:rPr>
                <w:b/>
              </w:rPr>
            </w:pPr>
            <w:r w:rsidRPr="00C93A31">
              <w:rPr>
                <w:b/>
                <w:noProof/>
              </w:rPr>
              <w:t>Referenčna oznaka revizije</w:t>
            </w:r>
          </w:p>
        </w:tc>
        <w:tc>
          <w:tcPr>
            <w:shd w:val="clear" w:color="auto" w:fill="auto"/>
          </w:tcPr>
          <w:p w:rsidR="00321B6A" w:rsidP="00D15173">
            <w:pPr>
              <w:spacing w:before="0" w:after="0"/>
            </w:pPr>
            <w:r>
              <w:rPr>
                <w:noProof/>
              </w:rPr>
              <w:t>0632-35/2022/4</w:t>
            </w:r>
          </w:p>
        </w:tc>
        <w:tc>
          <w:tcPr>
            <w:shd w:val="clear" w:color="auto" w:fill="auto"/>
          </w:tcPr>
          <w:p w:rsidR="00321B6A" w:rsidRPr="00C93A31" w:rsidP="00D15173">
            <w:pPr>
              <w:spacing w:before="0" w:after="0"/>
              <w:jc w:val="left"/>
              <w:rPr>
                <w:b/>
              </w:rPr>
            </w:pPr>
            <w:r w:rsidRPr="00C93A31">
              <w:rPr>
                <w:b/>
                <w:noProof/>
              </w:rPr>
              <w:t>Vrsta revizije</w:t>
            </w:r>
          </w:p>
        </w:tc>
        <w:tc>
          <w:tcPr>
            <w:shd w:val="clear" w:color="auto" w:fill="auto"/>
          </w:tcPr>
          <w:p w:rsidR="00321B6A" w:rsidP="00D15173">
            <w:pPr>
              <w:spacing w:before="0" w:after="0"/>
            </w:pPr>
            <w:r>
              <w:rPr>
                <w:noProof/>
              </w:rPr>
              <w:t>Finančna</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Obseg revizije</w:t>
            </w:r>
          </w:p>
        </w:tc>
        <w:tc>
          <w:tcPr>
            <w:gridSpan w:val="2"/>
            <w:shd w:val="clear" w:color="auto" w:fill="auto"/>
          </w:tcPr>
          <w:p w:rsidR="00321B6A" w:rsidP="00D15173">
            <w:pPr>
              <w:spacing w:before="0" w:after="0"/>
              <w:jc w:val="left"/>
            </w:pPr>
            <w:r>
              <w:fldChar w:fldCharType="begin"/>
            </w:r>
            <w:r>
              <w:instrText xml:space="preserve">QUOTE </w:instrText>
            </w:r>
            <w:r>
              <w:instrText>34</w:instrText>
            </w:r>
            <w:r>
              <w:fldChar w:fldCharType="separate"/>
            </w:r>
            <w:r>
              <w:t>"</w:t>
            </w:r>
            <w:r>
              <w:fldChar w:fldCharType="end"/>
            </w:r>
            <w:r>
              <w:t>T</w:t>
            </w:r>
            <w:r>
              <w:t>e</w:t>
            </w:r>
            <w:r>
              <w:t>k</w:t>
            </w:r>
            <w:r>
              <w:t>o</w:t>
            </w:r>
            <w:r>
              <w:t>č</w:t>
            </w:r>
            <w:r>
              <w:t>i</w:t>
            </w:r>
            <w:r>
              <w:t xml:space="preserve"> </w:t>
            </w:r>
            <w:r>
              <w:t>s</w:t>
            </w:r>
            <w:r>
              <w:t>t</w:t>
            </w:r>
            <w:r>
              <w:t>r</w:t>
            </w:r>
            <w:r>
              <w:t>o</w:t>
            </w:r>
            <w:r>
              <w:t>š</w:t>
            </w:r>
            <w:r>
              <w:t>k</w:t>
            </w:r>
            <w:r>
              <w:t>i</w:t>
            </w:r>
            <w:r>
              <w:t xml:space="preserve"> </w:t>
            </w:r>
            <w:r>
              <w:t>v</w:t>
            </w:r>
            <w:r>
              <w:t xml:space="preserve"> </w:t>
            </w:r>
            <w:r>
              <w:t>C</w:t>
            </w:r>
            <w:r>
              <w:t>e</w:t>
            </w:r>
            <w:r>
              <w:t>n</w:t>
            </w:r>
            <w:r>
              <w:t>t</w:t>
            </w:r>
            <w:r>
              <w:t>r</w:t>
            </w:r>
            <w:r>
              <w:t>u</w:t>
            </w:r>
            <w:r>
              <w:t xml:space="preserve"> </w:t>
            </w:r>
            <w:r>
              <w:t>z</w:t>
            </w:r>
            <w:r>
              <w:t>a</w:t>
            </w:r>
            <w:r>
              <w:t xml:space="preserve"> </w:t>
            </w:r>
            <w:r>
              <w:t>t</w:t>
            </w:r>
            <w:r>
              <w:t>u</w:t>
            </w:r>
            <w:r>
              <w:t>j</w:t>
            </w:r>
            <w:r>
              <w:t>c</w:t>
            </w:r>
            <w:r>
              <w:t>e</w:t>
            </w:r>
            <w:r>
              <w:fldChar w:fldCharType="begin"/>
            </w:r>
            <w:r>
              <w:instrText xml:space="preserve">QUOTE </w:instrText>
            </w:r>
            <w:r>
              <w:instrText>34</w:instrText>
            </w:r>
            <w:r>
              <w:fldChar w:fldCharType="separate"/>
            </w:r>
            <w:r>
              <w:t>"</w:t>
            </w:r>
            <w:r>
              <w:fldChar w:fldCharType="end"/>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povzetek zelo pomembnih in ključnih ugotovitev, skupaj s priporočili odgovornemu organu</w:t>
            </w:r>
          </w:p>
        </w:tc>
        <w:tc>
          <w:tcPr>
            <w:gridSpan w:val="2"/>
            <w:shd w:val="clear" w:color="auto" w:fill="auto"/>
          </w:tcPr>
          <w:p w:rsidR="00321B6A" w:rsidP="00D15173">
            <w:pPr>
              <w:spacing w:before="0" w:after="0"/>
              <w:jc w:val="left"/>
            </w:pPr>
            <w:r>
              <w:rPr>
                <w:noProof/>
              </w:rPr>
              <w:t>Pregledani izdatki v vrednosti 129.062,45 EUR, prispevek EU 96.796,76 EUR, kar predstavlja 100 % potrjenih izdatkov projekta, neupravičeni izdatki niso bili ugotovljeni. Podrobneje v točki 5.3 Letnega poročila o nadzoru.</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Splošni revizijski zaključek, vključno z opredelitvijo problemov sistemske narave</w:t>
            </w:r>
          </w:p>
        </w:tc>
        <w:tc>
          <w:tcPr>
            <w:gridSpan w:val="2"/>
            <w:shd w:val="clear" w:color="auto" w:fill="auto"/>
          </w:tcPr>
          <w:p w:rsidR="00321B6A" w:rsidP="00D15173">
            <w:pPr>
              <w:spacing w:before="0" w:after="0"/>
              <w:jc w:val="left"/>
            </w:pPr>
            <w:r>
              <w:rPr>
                <w:noProof/>
              </w:rPr>
              <w:t>Nepravilnosti niso bile ugotovljene.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Ocenjen finančni in operativni učinek ugotovljenih slabosti</w:t>
            </w:r>
          </w:p>
        </w:tc>
        <w:tc>
          <w:tcPr>
            <w:gridSpan w:val="2"/>
            <w:shd w:val="clear" w:color="auto" w:fill="auto"/>
          </w:tcPr>
          <w:p w:rsidR="00321B6A" w:rsidP="00D15173">
            <w:pPr>
              <w:spacing w:before="0" w:after="0"/>
              <w:jc w:val="left"/>
            </w:pPr>
            <w:r>
              <w:rPr>
                <w:noProof/>
              </w:rPr>
              <w:t>Ni bilo finančnih popravkov.</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Popravni ukrepi za delovanje sistema (akcijski načrt)</w:t>
            </w:r>
          </w:p>
        </w:tc>
        <w:tc>
          <w:tcPr>
            <w:gridSpan w:val="2"/>
            <w:shd w:val="clear" w:color="auto" w:fill="auto"/>
          </w:tcPr>
          <w:p w:rsidR="00321B6A" w:rsidP="00D15173">
            <w:pPr>
              <w:spacing w:before="0" w:after="0"/>
              <w:jc w:val="left"/>
            </w:pPr>
            <w:r>
              <w:rPr>
                <w:noProof/>
              </w:rPr>
              <w:t>Ni bilo ugotovljenih slabosti v delovanju sistema, zaradi katerih bi RO predlagal finančne popravke.</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Stanje izvajanja popravnih ukrepov (vključno z nerešenimi vprašanji po že predloženih revizijskih poročilih)</w:t>
            </w:r>
          </w:p>
        </w:tc>
        <w:tc>
          <w:tcPr>
            <w:gridSpan w:val="2"/>
            <w:shd w:val="clear" w:color="auto" w:fill="auto"/>
          </w:tcPr>
          <w:p w:rsidR="00321B6A" w:rsidP="00D15173">
            <w:pPr>
              <w:spacing w:before="0" w:after="0"/>
              <w:jc w:val="left"/>
            </w:pPr>
            <w:r>
              <w:rPr>
                <w:noProof/>
              </w:rPr>
              <w:t>3</w:t>
            </w:r>
            <w:r>
              <w:t xml:space="preserve"> - </w:t>
            </w:r>
            <w:r>
              <w:rPr>
                <w:noProof/>
              </w:rPr>
              <w:t>V celoti izvedeno</w:t>
            </w:r>
          </w:p>
        </w:tc>
      </w:tr>
      <w:tr w:rsidTr="00321B6A">
        <w:tblPrEx>
          <w:tblW w:w="5000" w:type="pct"/>
          <w:tblLook w:val="04A0"/>
        </w:tblPrEx>
        <w:tc>
          <w:tcPr>
            <w:gridSpan w:val="2"/>
            <w:shd w:val="clear" w:color="auto" w:fill="auto"/>
          </w:tcPr>
          <w:p w:rsidR="00321B6A" w:rsidP="00D15173">
            <w:pPr>
              <w:spacing w:before="0" w:after="0"/>
              <w:jc w:val="left"/>
            </w:pPr>
            <w:r w:rsidRPr="00C93A31">
              <w:rPr>
                <w:b/>
                <w:noProof/>
              </w:rPr>
              <w:t>Če je relevantno, znesek izvršenega ali načrtovanega finančnega popravka</w:t>
            </w:r>
          </w:p>
        </w:tc>
        <w:tc>
          <w:tcPr>
            <w:gridSpan w:val="2"/>
            <w:shd w:val="clear" w:color="auto" w:fill="auto"/>
          </w:tcPr>
          <w:p w:rsidR="00321B6A" w:rsidP="00D15173">
            <w:pPr>
              <w:spacing w:before="0" w:after="0"/>
              <w:jc w:val="left"/>
            </w:pPr>
            <w:r>
              <w:rPr>
                <w:noProof/>
              </w:rPr>
              <w:t>0,00</w:t>
            </w:r>
          </w:p>
        </w:tc>
      </w:tr>
    </w:tbl>
    <w:p w:rsidR="00321B6A" w:rsidP="00D15173">
      <w:pPr>
        <w:spacing w:before="0" w:after="0"/>
      </w:pPr>
    </w:p>
    <w:p w:rsidR="00321B6A" w:rsidP="00D15173">
      <w:pPr>
        <w:spacing w:before="0" w:after="0"/>
      </w:pPr>
    </w:p>
    <w:p w:rsidR="00321B6A" w:rsidRPr="00B2061B" w:rsidP="00D15173">
      <w:pPr>
        <w:pStyle w:val="Heading2"/>
        <w:numPr>
          <w:ilvl w:val="0"/>
          <w:numId w:val="0"/>
        </w:numPr>
        <w:spacing w:before="0" w:after="0"/>
        <w:ind w:left="850" w:hanging="850"/>
        <w:jc w:val="left"/>
      </w:pPr>
      <w:r>
        <w:rPr>
          <w:u w:val="single"/>
        </w:rPr>
        <w:br w:type="page"/>
      </w:r>
      <w:bookmarkStart w:id="19" w:name="_Toc256000018"/>
      <w:r w:rsidRPr="00B2061B">
        <w:rPr>
          <w:noProof/>
        </w:rPr>
        <w:t>B. Povzetek administrativnih kontrol, izvedenih v proračunskem letu 2022</w:t>
      </w:r>
      <w:bookmarkEnd w:id="19"/>
    </w:p>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jc w:val="left"/>
            </w:pPr>
            <w:r>
              <w:rPr>
                <w:noProof/>
              </w:rPr>
              <w:t>Upravni nadzor zahtevkov za povračilo (v nadaljevanju: ZzP), ki jih posredujejo končni upravičenci (v nadaljevanju: KU) preko elektronskega sistema – MIGRA II, izvaja Odgovorni organ (v nadaljevanju: OO). V finančnem letu 2022 je OO pregledal 77 ZzP, v okviru 41 projektov (brez TA). Preverjali smo popolnost, pravilnost in upravičenost izdatkov. Izvajala se je 100 % administrativna in finančna kontrola (neposredne dodelitve) za preverjanje:</w:t>
            </w:r>
          </w:p>
          <w:p w:rsidR="00321B6A" w:rsidP="00D15173">
            <w:pPr>
              <w:spacing w:before="0" w:after="0"/>
              <w:jc w:val="left"/>
            </w:pPr>
            <w:r>
              <w:rPr>
                <w:noProof/>
              </w:rPr>
              <w:t xml:space="preserve">- formalne pravilnost ZzP in aritmetične točnosti finančnih izjav, </w:t>
            </w:r>
          </w:p>
          <w:p w:rsidR="00321B6A" w:rsidP="00D15173">
            <w:pPr>
              <w:spacing w:before="0" w:after="0"/>
              <w:jc w:val="left"/>
            </w:pPr>
            <w:r>
              <w:rPr>
                <w:noProof/>
              </w:rPr>
              <w:t xml:space="preserve">- ali projekt dosega zastavljene cilje, je viden napredek pri doseganju ciljev, </w:t>
            </w:r>
          </w:p>
          <w:p w:rsidR="00321B6A" w:rsidP="00D15173">
            <w:pPr>
              <w:spacing w:before="0" w:after="0"/>
              <w:jc w:val="left"/>
            </w:pPr>
            <w:r>
              <w:rPr>
                <w:noProof/>
              </w:rPr>
              <w:t xml:space="preserve">- analitični pregled za oceno relevantnosti izdatkov v finančnih izjavah in njihove skladnosti z zahtevami, določenimi v pogodbi o financiranju projekta, odločitvi o podpori oz. sklepu o financiranju TA, pravili upravičenosti ter z drugimi veljavnimi pravili EU in nac. pravili. </w:t>
            </w:r>
          </w:p>
          <w:p w:rsidR="00321B6A" w:rsidP="00D15173">
            <w:pPr>
              <w:spacing w:before="0" w:after="0"/>
              <w:jc w:val="left"/>
            </w:pPr>
          </w:p>
          <w:p w:rsidR="00321B6A" w:rsidP="00D15173">
            <w:pPr>
              <w:spacing w:before="0" w:after="0"/>
              <w:jc w:val="left"/>
            </w:pPr>
            <w:r>
              <w:rPr>
                <w:noProof/>
              </w:rPr>
              <w:t>Po pregledu so ugotovitve zapisane v kontrolni list zahtevka in kontrolni list postopka javnega naročila. Pri ZzP (javni razpis) je delegirani organ za izvedbo javnih razpisov (v nadaljevanju:  DAC) izvedel 100 % kontrolo upravičenosti izdatkov, OO pa pregled na podlagi vzorca.</w:t>
            </w:r>
          </w:p>
          <w:p w:rsidR="00321B6A" w:rsidP="00D15173">
            <w:pPr>
              <w:spacing w:before="0" w:after="0"/>
              <w:jc w:val="left"/>
            </w:pPr>
          </w:p>
          <w:p w:rsidR="00321B6A" w:rsidP="00D15173">
            <w:pPr>
              <w:spacing w:before="0" w:after="0"/>
              <w:jc w:val="left"/>
            </w:pPr>
            <w:r>
              <w:rPr>
                <w:noProof/>
              </w:rPr>
              <w:t>V primeru, da so bile ugotovljene nepravilnosti ali pomanjkljivosti so bile ugotovitve posredovane KU / DAC. Prejet dopolnjen ZzP je bil ponovno pregledan. Če so bile dopolnitve ustrezne je bil v MIGRA II generiran NPS, v znesku skupnih upravičenih izdatkov. Skladno s tem je delegirani organ za izvedbo izplačil (v nadaljevanju: DAF) izvršil povračilo ustreznega deleža prispevka EU iz namenskega podračuna sklada v državni proračun, transakcijo pa zavedel tudi v seznam transakcij med EU in nacionalnim proračunom v MIGRA II.</w:t>
            </w:r>
          </w:p>
          <w:p w:rsidR="00321B6A" w:rsidP="00D15173">
            <w:pPr>
              <w:spacing w:before="0" w:after="0"/>
              <w:jc w:val="left"/>
            </w:pPr>
          </w:p>
          <w:p w:rsidR="00321B6A" w:rsidP="00D15173">
            <w:pPr>
              <w:spacing w:before="0" w:after="0"/>
              <w:jc w:val="left"/>
            </w:pPr>
            <w:r>
              <w:rPr>
                <w:noProof/>
              </w:rPr>
              <w:t>Morebitne nepravilnosti se beležijo v registru nepravilnosti v MIGRA II kot nepravilnosti, odkrite pred povračilom iz sredstev EU. OO obvesti KU/DAC glede ugotovljenih nepravilnosti in zmanjšanega zneska za povračilo tako, da v MIGRA II generira obvestilo o zmanjšanju upravičenih izdatkov zahtevka za povračilo. KU/DAC na podlagi prejetih podatkov izvedeta finančne popravke. Ugotovljene napake so slučajne in sistemske spremembe niso potrebe.</w:t>
            </w:r>
          </w:p>
          <w:p w:rsidR="00321B6A" w:rsidP="00D15173">
            <w:pPr>
              <w:spacing w:before="0" w:after="0"/>
              <w:jc w:val="left"/>
            </w:pPr>
          </w:p>
          <w:p w:rsidR="00321B6A" w:rsidP="00D15173">
            <w:pPr>
              <w:spacing w:before="0" w:after="0"/>
              <w:jc w:val="left"/>
            </w:pPr>
            <w:r>
              <w:rPr>
                <w:noProof/>
              </w:rPr>
              <w:t>OO je izvedel naknadni pregled na SI/2019/PR/0006, SI/2020/PR/0005 in SI/2020/PR/0045 pred oddajo osnutkov računovodskih izkazov in na Tehnični pomoči za pooblaščeni organ (PO DAF)«, št. A.TA1.1.1-02B, po oddaji osnutkov računovodskih izkazov in ugotovil nepravilnosti, zaradi katerih so bili pripravljeni zahtevki za vračilo sredstev, kar je tudi razvidno v rubriki I.B.</w:t>
            </w:r>
          </w:p>
        </w:tc>
      </w:tr>
    </w:tbl>
    <w:p w:rsidR="00321B6A" w:rsidP="00D15173">
      <w:pPr>
        <w:spacing w:before="0" w:after="0"/>
      </w:pPr>
    </w:p>
    <w:p w:rsidR="00321B6A" w:rsidRPr="00B2061B" w:rsidP="00D15173">
      <w:pPr>
        <w:pStyle w:val="Heading2"/>
        <w:numPr>
          <w:ilvl w:val="0"/>
          <w:numId w:val="0"/>
        </w:numPr>
        <w:spacing w:before="0" w:after="0"/>
        <w:ind w:left="850" w:hanging="850"/>
      </w:pPr>
      <w:r>
        <w:br w:type="page"/>
      </w:r>
      <w:bookmarkStart w:id="20" w:name="_Toc256000019"/>
      <w:r w:rsidRPr="00B2061B">
        <w:rPr>
          <w:noProof/>
        </w:rPr>
        <w:t>C. Povzetek kontrol na kraju samem, izvedenih v proračunskem letu 2022</w:t>
      </w:r>
      <w:bookmarkEnd w:id="20"/>
    </w:p>
    <w:p w:rsidR="00321B6A" w:rsidP="00D15173">
      <w:pPr>
        <w:spacing w:before="0" w:after="0"/>
      </w:pPr>
    </w:p>
    <w:p w:rsidR="00321B6A" w:rsidP="00D15173">
      <w:pPr>
        <w:numPr>
          <w:ilvl w:val="0"/>
          <w:numId w:val="20"/>
        </w:numPr>
        <w:spacing w:before="0" w:after="0"/>
      </w:pPr>
      <w:r>
        <w:rPr>
          <w:noProof/>
        </w:rPr>
        <w:t>povzetek sprejete kontrolne strategije</w:t>
      </w:r>
    </w:p>
    <w:p w:rsidR="00321B6A" w:rsidP="00D15173">
      <w:pPr>
        <w:numPr>
          <w:ilvl w:val="0"/>
          <w:numId w:val="20"/>
        </w:numPr>
        <w:spacing w:before="0" w:after="0"/>
      </w:pPr>
      <w:r>
        <w:rPr>
          <w:noProof/>
        </w:rPr>
        <w:t>opis glavnih rezultatov in vrste odkritih napak</w:t>
      </w:r>
    </w:p>
    <w:p w:rsidR="00321B6A"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P="00D15173">
      <w:pPr>
        <w:spacing w:before="0" w:after="0"/>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pPr>
            <w:r>
              <w:rPr>
                <w:noProof/>
              </w:rPr>
              <w:t>Na osnovi potrjenega akcijskega načrta, prijave projektov in poznavanja vsebine projektov sofinanciranih iz AMIF je OO pripravil kontrolno strategijo in analizo tveganja za izbor nabora projektov za vzorec kontrol na kraju samem (KKS), kjer gre za opredelitev enot, spoznavanje in vrednotenje dejavnikov, ki vplivajo na načrtovanje pregledov na kraju samem, kontrole popolnosti in sprejemljivosti dejavnikov ter razvrščanje projektov glede na skupen izračun tveganj.</w:t>
            </w:r>
          </w:p>
          <w:p w:rsidR="00321B6A" w:rsidP="00D15173">
            <w:pPr>
              <w:spacing w:before="0" w:after="0"/>
            </w:pPr>
          </w:p>
          <w:p w:rsidR="00321B6A" w:rsidP="00D15173">
            <w:pPr>
              <w:spacing w:before="0" w:after="0"/>
            </w:pPr>
            <w:r>
              <w:rPr>
                <w:noProof/>
              </w:rPr>
              <w:t xml:space="preserve">Pri spoznavanju in vrednotenju dejavnikov tveganja za posameznih projekt smo upoštevali višino odobrenih sredstev za projekt oz. vrednost posredovanih zahtevkov za povračilo v okviru projekta, tip upravičenca sredstev, zanesljivost sistema notranjih kontrol in čas, ki je potekel od zadnjih kontrol. Izračun tveganja za projekt znotraj akcijskega načrta smo izvedli tako, da smo sešteli vse točke po posameznih dejavnikih tveganja projekta, ki smo jih nato delili s številom uporabljenih dejavnikov tveganja. Na podlagi tega smo razvrsti projekte od tistega z najvišjim povprečjem tveganja na uporabljen dejavnik do tistega z najnižjim rezultatom tveganja na uporabljen dejavnik. </w:t>
            </w:r>
          </w:p>
          <w:p w:rsidR="00321B6A" w:rsidP="00D15173">
            <w:pPr>
              <w:spacing w:before="0" w:after="0"/>
            </w:pPr>
          </w:p>
          <w:p w:rsidR="00321B6A" w:rsidP="00D15173">
            <w:pPr>
              <w:spacing w:before="0" w:after="0"/>
            </w:pPr>
            <w:r>
              <w:rPr>
                <w:noProof/>
              </w:rPr>
              <w:t xml:space="preserve">KKS smo izvedli na podlagi načrta kontrol, ki je pripravljen za KKS-F na osnovi analize tveganja. Za KKS-O pa na podlagi analize tveganja in naključnega izbora -70 % projektov se določi na podlagi analize tveganja, 30 % pa je izbranih naključno. V primeru, da je izbran projekt predmet revizije oz. druge vrste nadzora izberemo naslednji projekt glede na seštevek točk. </w:t>
            </w:r>
          </w:p>
          <w:p w:rsidR="00321B6A" w:rsidP="00D15173">
            <w:pPr>
              <w:spacing w:before="0" w:after="0"/>
            </w:pPr>
          </w:p>
          <w:p w:rsidR="00321B6A" w:rsidP="00D15173">
            <w:pPr>
              <w:spacing w:before="0" w:after="0"/>
            </w:pPr>
            <w:r>
              <w:rPr>
                <w:noProof/>
              </w:rPr>
              <w:t>Pri KKS se preverja ali se projekti izvajajo v skladu z odločitvijo o podpori, napredek projekta, zanesljivost kazalnikov in morebitne težave pri izvajanju. Preverja se ali je upravičenec razumel pravila upravičenosti, ima vzpostavljeno ustrezno metodologijo, s katero zagotavlja ustrezno ciljno skupino ali beleži kazalnike v pravem času, če končni upravičenec izvaja določbe vezane na informiranje in obveščanje ter dejansko uporabo blaga, ki je bila nabavljeno glede na izkazane izdatke.</w:t>
            </w:r>
          </w:p>
          <w:p w:rsidR="00321B6A" w:rsidP="00D15173">
            <w:pPr>
              <w:spacing w:before="0" w:after="0"/>
            </w:pPr>
          </w:p>
          <w:p w:rsidR="00321B6A" w:rsidP="00D15173">
            <w:pPr>
              <w:spacing w:before="0" w:after="0"/>
            </w:pPr>
            <w:r>
              <w:rPr>
                <w:noProof/>
              </w:rPr>
              <w:t>Posamezne ugotovitve, priporočila in korekcijski ukrepi KKS so opisani v rubriki C za izvedenih 7 operativnih in 4 finančne KKS, vnos 1 KKS-O za TA ni mogoč v SFC. OO je naknadno izvedel dodatno KKS-O, saj se je za projekt SI/2020/PR/0055 naknadno izkazalo, da gre za kršitve pogodbe, vsi ZZP so zavrnjeni, v SFC  je poročano z vrednostjo 0 EUR. KKS-F za projekt SI/2019/PR/0006 je izvedena 15.7.2020, a se poroča sedaj, ko je projekt poročan kot zaključen.</w:t>
            </w:r>
          </w:p>
        </w:tc>
      </w:tr>
    </w:tbl>
    <w:p w:rsidR="00321B6A" w:rsidP="00D15173">
      <w:pPr>
        <w:spacing w:before="0" w:after="0"/>
      </w:pPr>
    </w:p>
    <w:p w:rsidR="00321B6A" w:rsidRPr="00DD12BA" w:rsidP="00D15173">
      <w:pPr>
        <w:spacing w:before="0" w:after="0"/>
        <w:rPr>
          <w:b/>
        </w:rPr>
      </w:pPr>
      <w:r>
        <w:rPr>
          <w:b/>
        </w:rPr>
        <w:br w:type="page"/>
      </w:r>
      <w:r w:rsidRPr="00DD12BA">
        <w:rPr>
          <w:b/>
          <w:noProof/>
        </w:rPr>
        <w:t>Seznam finančnih kontrol na kraju samem, izvedenih v proračunskem letu 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5"/>
        <w:gridCol w:w="2206"/>
        <w:gridCol w:w="2990"/>
        <w:gridCol w:w="1292"/>
        <w:gridCol w:w="2354"/>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1C334C" w:rsidP="00D15173">
            <w:pPr>
              <w:spacing w:before="0" w:after="0"/>
              <w:jc w:val="left"/>
              <w:rPr>
                <w:sz w:val="20"/>
                <w:szCs w:val="20"/>
              </w:rPr>
            </w:pPr>
            <w:r w:rsidRPr="001C334C">
              <w:rPr>
                <w:noProof/>
                <w:sz w:val="20"/>
                <w:szCs w:val="20"/>
              </w:rPr>
              <w:t>Referenčna oznaka projekta</w:t>
            </w:r>
          </w:p>
        </w:tc>
        <w:tc>
          <w:tcPr>
            <w:shd w:val="clear" w:color="auto" w:fill="auto"/>
          </w:tcPr>
          <w:p w:rsidR="00321B6A" w:rsidRPr="001C334C" w:rsidP="00D15173">
            <w:pPr>
              <w:spacing w:before="0" w:after="0"/>
              <w:jc w:val="left"/>
              <w:rPr>
                <w:sz w:val="20"/>
                <w:szCs w:val="20"/>
              </w:rPr>
            </w:pPr>
            <w:r w:rsidRPr="001C334C">
              <w:rPr>
                <w:noProof/>
                <w:sz w:val="20"/>
                <w:szCs w:val="20"/>
              </w:rPr>
              <w:t>Skupni kontroliran prispevek Unije (v EUR)</w:t>
            </w:r>
          </w:p>
        </w:tc>
        <w:tc>
          <w:tcPr>
            <w:shd w:val="clear" w:color="auto" w:fill="auto"/>
          </w:tcPr>
          <w:p w:rsidR="00321B6A" w:rsidRPr="001C334C" w:rsidP="00D15173">
            <w:pPr>
              <w:spacing w:before="0" w:after="0"/>
              <w:jc w:val="left"/>
              <w:rPr>
                <w:sz w:val="20"/>
                <w:szCs w:val="20"/>
              </w:rPr>
            </w:pPr>
            <w:r w:rsidRPr="001C334C">
              <w:rPr>
                <w:noProof/>
                <w:sz w:val="20"/>
                <w:szCs w:val="20"/>
              </w:rPr>
              <w:t>Skupni prispevek Unije, na katerega je vplivala napaka (v %)</w:t>
            </w:r>
          </w:p>
        </w:tc>
        <w:tc>
          <w:tcPr>
            <w:shd w:val="clear" w:color="auto" w:fill="auto"/>
          </w:tcPr>
          <w:p w:rsidR="00321B6A" w:rsidRPr="001C334C" w:rsidP="00D15173">
            <w:pPr>
              <w:spacing w:before="0" w:after="0"/>
              <w:jc w:val="left"/>
              <w:rPr>
                <w:sz w:val="20"/>
                <w:szCs w:val="20"/>
              </w:rPr>
            </w:pPr>
            <w:r w:rsidRPr="001C334C">
              <w:rPr>
                <w:noProof/>
                <w:sz w:val="20"/>
                <w:szCs w:val="20"/>
              </w:rPr>
              <w:t>Izterjani prispevek Unije</w:t>
            </w:r>
          </w:p>
        </w:tc>
        <w:tc>
          <w:tcPr>
            <w:shd w:val="clear" w:color="auto" w:fill="auto"/>
          </w:tcPr>
          <w:p w:rsidR="00321B6A" w:rsidRPr="001C334C" w:rsidP="00D15173">
            <w:pPr>
              <w:spacing w:before="0" w:after="0"/>
              <w:jc w:val="left"/>
              <w:rPr>
                <w:sz w:val="20"/>
                <w:szCs w:val="20"/>
              </w:rPr>
            </w:pPr>
            <w:r w:rsidRPr="001C334C">
              <w:rPr>
                <w:noProof/>
                <w:sz w:val="20"/>
                <w:szCs w:val="20"/>
              </w:rPr>
              <w:t>Prispevek Unije, ki ga je treba izterjati (v EUR)</w:t>
            </w:r>
          </w:p>
        </w:tc>
      </w:tr>
      <w:tr w:rsidTr="00321B6A">
        <w:tblPrEx>
          <w:tblW w:w="5000" w:type="pct"/>
          <w:tblLook w:val="04A0"/>
        </w:tblPrEx>
        <w:tc>
          <w:tcPr>
            <w:shd w:val="clear" w:color="auto" w:fill="auto"/>
          </w:tcPr>
          <w:p w:rsidR="00321B6A" w:rsidRPr="001C334C" w:rsidP="00D15173">
            <w:pPr>
              <w:spacing w:before="0" w:after="0"/>
              <w:rPr>
                <w:sz w:val="20"/>
                <w:szCs w:val="20"/>
              </w:rPr>
            </w:pPr>
            <w:r>
              <w:rPr>
                <w:noProof/>
                <w:sz w:val="20"/>
                <w:szCs w:val="20"/>
              </w:rPr>
              <w:t>SI/2019/PR/0005</w:t>
            </w:r>
          </w:p>
        </w:tc>
        <w:tc>
          <w:tcPr>
            <w:shd w:val="clear" w:color="auto" w:fill="auto"/>
          </w:tcPr>
          <w:p w:rsidR="00321B6A" w:rsidRPr="001C334C" w:rsidP="00D15173">
            <w:pPr>
              <w:spacing w:before="0" w:after="0"/>
              <w:jc w:val="right"/>
              <w:rPr>
                <w:sz w:val="20"/>
                <w:szCs w:val="20"/>
              </w:rPr>
            </w:pPr>
            <w:r w:rsidRPr="001C334C">
              <w:rPr>
                <w:noProof/>
                <w:sz w:val="20"/>
                <w:szCs w:val="20"/>
              </w:rPr>
              <w:t>617.244,72</w:t>
            </w:r>
          </w:p>
        </w:tc>
        <w:tc>
          <w:tcPr>
            <w:shd w:val="clear" w:color="auto" w:fill="auto"/>
          </w:tcPr>
          <w:p w:rsidR="00321B6A" w:rsidRPr="001C334C" w:rsidP="00D15173">
            <w:pPr>
              <w:spacing w:before="0" w:after="0"/>
              <w:jc w:val="right"/>
              <w:rPr>
                <w:sz w:val="20"/>
                <w:szCs w:val="20"/>
              </w:rPr>
            </w:pPr>
            <w:r w:rsidRPr="001C334C">
              <w:rPr>
                <w:noProof/>
                <w:sz w:val="20"/>
                <w:szCs w:val="20"/>
              </w:rPr>
              <w:t>0,00%</w:t>
            </w:r>
          </w:p>
        </w:tc>
        <w:tc>
          <w:tcPr>
            <w:shd w:val="clear" w:color="auto" w:fill="auto"/>
          </w:tcPr>
          <w:p w:rsidR="00321B6A" w:rsidRPr="001C334C" w:rsidP="00D15173">
            <w:pPr>
              <w:spacing w:before="0" w:after="0"/>
              <w:jc w:val="right"/>
              <w:rPr>
                <w:sz w:val="20"/>
                <w:szCs w:val="20"/>
              </w:rPr>
            </w:pPr>
          </w:p>
        </w:tc>
        <w:tc>
          <w:tcPr>
            <w:shd w:val="clear" w:color="auto" w:fill="auto"/>
          </w:tcPr>
          <w:p w:rsidR="00321B6A" w:rsidRPr="001C334C" w:rsidP="00D15173">
            <w:pPr>
              <w:spacing w:before="0" w:after="0"/>
              <w:jc w:val="right"/>
              <w:rPr>
                <w:sz w:val="20"/>
                <w:szCs w:val="20"/>
              </w:rPr>
            </w:pPr>
          </w:p>
        </w:tc>
      </w:tr>
      <w:tr w:rsidTr="00321B6A">
        <w:tblPrEx>
          <w:tblW w:w="5000" w:type="pct"/>
          <w:tblLook w:val="04A0"/>
        </w:tblPrEx>
        <w:tc>
          <w:tcPr>
            <w:shd w:val="clear" w:color="auto" w:fill="auto"/>
          </w:tcPr>
          <w:p w:rsidR="00321B6A" w:rsidRPr="001C334C" w:rsidP="00D15173">
            <w:pPr>
              <w:spacing w:before="0" w:after="0"/>
              <w:rPr>
                <w:sz w:val="20"/>
                <w:szCs w:val="20"/>
              </w:rPr>
            </w:pPr>
            <w:r>
              <w:rPr>
                <w:noProof/>
                <w:sz w:val="20"/>
                <w:szCs w:val="20"/>
              </w:rPr>
              <w:t>SI/2019/PR/0006</w:t>
            </w:r>
          </w:p>
        </w:tc>
        <w:tc>
          <w:tcPr>
            <w:shd w:val="clear" w:color="auto" w:fill="auto"/>
          </w:tcPr>
          <w:p w:rsidR="00321B6A" w:rsidRPr="001C334C" w:rsidP="00D15173">
            <w:pPr>
              <w:spacing w:before="0" w:after="0"/>
              <w:jc w:val="right"/>
              <w:rPr>
                <w:sz w:val="20"/>
                <w:szCs w:val="20"/>
              </w:rPr>
            </w:pPr>
            <w:r w:rsidRPr="001C334C">
              <w:rPr>
                <w:noProof/>
                <w:sz w:val="20"/>
                <w:szCs w:val="20"/>
              </w:rPr>
              <w:t>640.229,99</w:t>
            </w:r>
          </w:p>
        </w:tc>
        <w:tc>
          <w:tcPr>
            <w:shd w:val="clear" w:color="auto" w:fill="auto"/>
          </w:tcPr>
          <w:p w:rsidR="00321B6A" w:rsidRPr="001C334C" w:rsidP="00D15173">
            <w:pPr>
              <w:spacing w:before="0" w:after="0"/>
              <w:jc w:val="right"/>
              <w:rPr>
                <w:sz w:val="20"/>
                <w:szCs w:val="20"/>
              </w:rPr>
            </w:pPr>
            <w:r w:rsidRPr="001C334C">
              <w:rPr>
                <w:noProof/>
                <w:sz w:val="20"/>
                <w:szCs w:val="20"/>
              </w:rPr>
              <w:t>0,00%</w:t>
            </w:r>
          </w:p>
        </w:tc>
        <w:tc>
          <w:tcPr>
            <w:shd w:val="clear" w:color="auto" w:fill="auto"/>
          </w:tcPr>
          <w:p w:rsidR="00321B6A" w:rsidRPr="001C334C" w:rsidP="00D15173">
            <w:pPr>
              <w:spacing w:before="0" w:after="0"/>
              <w:jc w:val="right"/>
              <w:rPr>
                <w:sz w:val="20"/>
                <w:szCs w:val="20"/>
              </w:rPr>
            </w:pPr>
          </w:p>
        </w:tc>
        <w:tc>
          <w:tcPr>
            <w:shd w:val="clear" w:color="auto" w:fill="auto"/>
          </w:tcPr>
          <w:p w:rsidR="00321B6A" w:rsidRPr="001C334C" w:rsidP="00D15173">
            <w:pPr>
              <w:spacing w:before="0" w:after="0"/>
              <w:jc w:val="right"/>
              <w:rPr>
                <w:sz w:val="20"/>
                <w:szCs w:val="20"/>
              </w:rPr>
            </w:pPr>
          </w:p>
        </w:tc>
      </w:tr>
      <w:tr w:rsidTr="00321B6A">
        <w:tblPrEx>
          <w:tblW w:w="5000" w:type="pct"/>
          <w:tblLook w:val="04A0"/>
        </w:tblPrEx>
        <w:tc>
          <w:tcPr>
            <w:shd w:val="clear" w:color="auto" w:fill="auto"/>
          </w:tcPr>
          <w:p w:rsidR="00321B6A" w:rsidRPr="001C334C" w:rsidP="00D15173">
            <w:pPr>
              <w:spacing w:before="0" w:after="0"/>
              <w:rPr>
                <w:sz w:val="20"/>
                <w:szCs w:val="20"/>
              </w:rPr>
            </w:pPr>
            <w:r>
              <w:rPr>
                <w:noProof/>
                <w:sz w:val="20"/>
                <w:szCs w:val="20"/>
              </w:rPr>
              <w:t>SI/2020/PR/0007</w:t>
            </w:r>
          </w:p>
        </w:tc>
        <w:tc>
          <w:tcPr>
            <w:shd w:val="clear" w:color="auto" w:fill="auto"/>
          </w:tcPr>
          <w:p w:rsidR="00321B6A" w:rsidRPr="001C334C" w:rsidP="00D15173">
            <w:pPr>
              <w:spacing w:before="0" w:after="0"/>
              <w:jc w:val="right"/>
              <w:rPr>
                <w:sz w:val="20"/>
                <w:szCs w:val="20"/>
              </w:rPr>
            </w:pPr>
            <w:r w:rsidRPr="001C334C">
              <w:rPr>
                <w:noProof/>
                <w:sz w:val="20"/>
                <w:szCs w:val="20"/>
              </w:rPr>
              <w:t>75.954,26</w:t>
            </w:r>
          </w:p>
        </w:tc>
        <w:tc>
          <w:tcPr>
            <w:shd w:val="clear" w:color="auto" w:fill="auto"/>
          </w:tcPr>
          <w:p w:rsidR="00321B6A" w:rsidRPr="001C334C" w:rsidP="00D15173">
            <w:pPr>
              <w:spacing w:before="0" w:after="0"/>
              <w:jc w:val="right"/>
              <w:rPr>
                <w:sz w:val="20"/>
                <w:szCs w:val="20"/>
              </w:rPr>
            </w:pPr>
            <w:r w:rsidRPr="001C334C">
              <w:rPr>
                <w:noProof/>
                <w:sz w:val="20"/>
                <w:szCs w:val="20"/>
              </w:rPr>
              <w:t>0,00%</w:t>
            </w:r>
          </w:p>
        </w:tc>
        <w:tc>
          <w:tcPr>
            <w:shd w:val="clear" w:color="auto" w:fill="auto"/>
          </w:tcPr>
          <w:p w:rsidR="00321B6A" w:rsidRPr="001C334C" w:rsidP="00D15173">
            <w:pPr>
              <w:spacing w:before="0" w:after="0"/>
              <w:jc w:val="right"/>
              <w:rPr>
                <w:sz w:val="20"/>
                <w:szCs w:val="20"/>
              </w:rPr>
            </w:pPr>
          </w:p>
        </w:tc>
        <w:tc>
          <w:tcPr>
            <w:shd w:val="clear" w:color="auto" w:fill="auto"/>
          </w:tcPr>
          <w:p w:rsidR="00321B6A" w:rsidRPr="001C334C" w:rsidP="00D15173">
            <w:pPr>
              <w:spacing w:before="0" w:after="0"/>
              <w:jc w:val="right"/>
              <w:rPr>
                <w:sz w:val="20"/>
                <w:szCs w:val="20"/>
              </w:rPr>
            </w:pPr>
          </w:p>
        </w:tc>
      </w:tr>
      <w:tr w:rsidTr="00321B6A">
        <w:tblPrEx>
          <w:tblW w:w="5000" w:type="pct"/>
          <w:tblLook w:val="04A0"/>
        </w:tblPrEx>
        <w:tc>
          <w:tcPr>
            <w:shd w:val="clear" w:color="auto" w:fill="auto"/>
          </w:tcPr>
          <w:p w:rsidR="00321B6A" w:rsidRPr="001C334C" w:rsidP="00D15173">
            <w:pPr>
              <w:spacing w:before="0" w:after="0"/>
              <w:rPr>
                <w:sz w:val="20"/>
                <w:szCs w:val="20"/>
              </w:rPr>
            </w:pPr>
            <w:r>
              <w:rPr>
                <w:noProof/>
                <w:sz w:val="20"/>
                <w:szCs w:val="20"/>
              </w:rPr>
              <w:t>SI/2020/PR/0051</w:t>
            </w:r>
          </w:p>
        </w:tc>
        <w:tc>
          <w:tcPr>
            <w:shd w:val="clear" w:color="auto" w:fill="auto"/>
          </w:tcPr>
          <w:p w:rsidR="00321B6A" w:rsidRPr="001C334C" w:rsidP="00D15173">
            <w:pPr>
              <w:spacing w:before="0" w:after="0"/>
              <w:jc w:val="right"/>
              <w:rPr>
                <w:sz w:val="20"/>
                <w:szCs w:val="20"/>
              </w:rPr>
            </w:pPr>
            <w:r w:rsidRPr="001C334C">
              <w:rPr>
                <w:noProof/>
                <w:sz w:val="20"/>
                <w:szCs w:val="20"/>
              </w:rPr>
              <w:t>13.698,16</w:t>
            </w:r>
          </w:p>
        </w:tc>
        <w:tc>
          <w:tcPr>
            <w:shd w:val="clear" w:color="auto" w:fill="auto"/>
          </w:tcPr>
          <w:p w:rsidR="00321B6A" w:rsidRPr="001C334C" w:rsidP="00D15173">
            <w:pPr>
              <w:spacing w:before="0" w:after="0"/>
              <w:jc w:val="right"/>
              <w:rPr>
                <w:sz w:val="20"/>
                <w:szCs w:val="20"/>
              </w:rPr>
            </w:pPr>
            <w:r w:rsidRPr="001C334C">
              <w:rPr>
                <w:noProof/>
                <w:sz w:val="20"/>
                <w:szCs w:val="20"/>
              </w:rPr>
              <w:t>0,00%</w:t>
            </w:r>
          </w:p>
        </w:tc>
        <w:tc>
          <w:tcPr>
            <w:shd w:val="clear" w:color="auto" w:fill="auto"/>
          </w:tcPr>
          <w:p w:rsidR="00321B6A" w:rsidRPr="001C334C" w:rsidP="00D15173">
            <w:pPr>
              <w:spacing w:before="0" w:after="0"/>
              <w:jc w:val="right"/>
              <w:rPr>
                <w:sz w:val="20"/>
                <w:szCs w:val="20"/>
              </w:rPr>
            </w:pPr>
          </w:p>
        </w:tc>
        <w:tc>
          <w:tcPr>
            <w:shd w:val="clear" w:color="auto" w:fill="auto"/>
          </w:tcPr>
          <w:p w:rsidR="00321B6A" w:rsidRPr="001C334C" w:rsidP="00D15173">
            <w:pPr>
              <w:spacing w:before="0" w:after="0"/>
              <w:jc w:val="right"/>
              <w:rPr>
                <w:sz w:val="20"/>
                <w:szCs w:val="20"/>
              </w:rPr>
            </w:pPr>
          </w:p>
        </w:tc>
      </w:tr>
      <w:tr w:rsidTr="00321B6A">
        <w:tblPrEx>
          <w:tblW w:w="5000" w:type="pct"/>
          <w:tblLook w:val="04A0"/>
        </w:tblPrEx>
        <w:tc>
          <w:tcPr>
            <w:shd w:val="clear" w:color="auto" w:fill="auto"/>
          </w:tcPr>
          <w:p w:rsidR="00321B6A" w:rsidRPr="001C334C" w:rsidP="00D15173">
            <w:pPr>
              <w:spacing w:before="0" w:after="0"/>
              <w:rPr>
                <w:sz w:val="20"/>
                <w:szCs w:val="20"/>
              </w:rPr>
            </w:pPr>
            <w:r w:rsidRPr="00550E18">
              <w:rPr>
                <w:b/>
                <w:noProof/>
                <w:sz w:val="20"/>
                <w:szCs w:val="20"/>
              </w:rPr>
              <w:t>Skupaj</w:t>
            </w:r>
          </w:p>
        </w:tc>
        <w:tc>
          <w:tcPr>
            <w:shd w:val="clear" w:color="auto" w:fill="auto"/>
          </w:tcPr>
          <w:p w:rsidR="00321B6A" w:rsidRPr="001C334C" w:rsidP="00D15173">
            <w:pPr>
              <w:spacing w:before="0" w:after="0"/>
              <w:jc w:val="right"/>
              <w:rPr>
                <w:sz w:val="20"/>
                <w:szCs w:val="20"/>
              </w:rPr>
            </w:pPr>
            <w:r w:rsidRPr="00560EA5">
              <w:rPr>
                <w:b/>
                <w:noProof/>
                <w:sz w:val="20"/>
                <w:szCs w:val="20"/>
              </w:rPr>
              <w:t>1.347.127,13</w:t>
            </w:r>
          </w:p>
        </w:tc>
        <w:tc>
          <w:tcPr>
            <w:shd w:val="clear" w:color="auto" w:fill="auto"/>
          </w:tcPr>
          <w:p w:rsidR="00321B6A" w:rsidRPr="001C334C" w:rsidP="00D15173">
            <w:pPr>
              <w:spacing w:before="0" w:after="0"/>
              <w:jc w:val="right"/>
              <w:rPr>
                <w:sz w:val="20"/>
                <w:szCs w:val="20"/>
              </w:rPr>
            </w:pPr>
            <w:r w:rsidRPr="00560EA5">
              <w:rPr>
                <w:b/>
                <w:noProof/>
                <w:sz w:val="20"/>
                <w:szCs w:val="20"/>
              </w:rPr>
              <w:t>0,00%</w:t>
            </w:r>
          </w:p>
        </w:tc>
        <w:tc>
          <w:tcPr>
            <w:shd w:val="clear" w:color="auto" w:fill="auto"/>
          </w:tcPr>
          <w:p w:rsidR="00321B6A" w:rsidRPr="001C334C" w:rsidP="00D15173">
            <w:pPr>
              <w:spacing w:before="0" w:after="0"/>
              <w:jc w:val="right"/>
              <w:rPr>
                <w:sz w:val="20"/>
                <w:szCs w:val="20"/>
              </w:rPr>
            </w:pPr>
            <w:r w:rsidRPr="00560EA5">
              <w:rPr>
                <w:b/>
                <w:noProof/>
                <w:sz w:val="20"/>
                <w:szCs w:val="20"/>
              </w:rPr>
              <w:t>0,00</w:t>
            </w:r>
          </w:p>
        </w:tc>
        <w:tc>
          <w:tcPr>
            <w:shd w:val="clear" w:color="auto" w:fill="auto"/>
          </w:tcPr>
          <w:p w:rsidR="00321B6A" w:rsidRPr="001C334C" w:rsidP="00D15173">
            <w:pPr>
              <w:spacing w:before="0" w:after="0"/>
              <w:jc w:val="right"/>
              <w:rPr>
                <w:sz w:val="20"/>
                <w:szCs w:val="20"/>
              </w:rPr>
            </w:pPr>
            <w:r w:rsidRPr="00560EA5">
              <w:rPr>
                <w:b/>
                <w:noProof/>
                <w:sz w:val="20"/>
                <w:szCs w:val="20"/>
              </w:rPr>
              <w:t>0,00</w:t>
            </w:r>
          </w:p>
        </w:tc>
      </w:tr>
    </w:tbl>
    <w:p w:rsidR="00321B6A" w:rsidP="00D15173">
      <w:pPr>
        <w:spacing w:before="0" w:after="0"/>
      </w:pPr>
    </w:p>
    <w:p w:rsidR="00321B6A" w:rsidRPr="004D0EAD" w:rsidP="00D15173">
      <w:pPr>
        <w:spacing w:before="0" w:after="0"/>
        <w:rPr>
          <w:b/>
        </w:rPr>
      </w:pPr>
      <w:r>
        <w:rPr>
          <w:b/>
        </w:rPr>
        <w:br w:type="page"/>
      </w:r>
      <w:r w:rsidRPr="004D0EAD">
        <w:rPr>
          <w:b/>
          <w:noProof/>
        </w:rPr>
        <w:t>Povzetek operativnih kontrol na kraju samem, izvedenih v proračunskem letu 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8"/>
        <w:gridCol w:w="4636"/>
        <w:gridCol w:w="2313"/>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33"/>
        </w:trPr>
        <w:tc>
          <w:tcPr>
            <w:shd w:val="clear" w:color="auto" w:fill="auto"/>
          </w:tcPr>
          <w:p w:rsidR="00321B6A" w:rsidRPr="004D0EAD" w:rsidP="00D15173">
            <w:pPr>
              <w:spacing w:before="0" w:after="0"/>
              <w:jc w:val="left"/>
              <w:rPr>
                <w:b/>
              </w:rPr>
            </w:pPr>
            <w:r w:rsidRPr="004D0EAD">
              <w:rPr>
                <w:b/>
                <w:noProof/>
              </w:rPr>
              <w:t>Skupno število operativnih kontrol na kraju samem v proračunskem letu (a)</w:t>
            </w:r>
          </w:p>
        </w:tc>
        <w:tc>
          <w:tcPr>
            <w:shd w:val="clear" w:color="auto" w:fill="auto"/>
          </w:tcPr>
          <w:p w:rsidR="00321B6A" w:rsidRPr="004D0EAD" w:rsidP="00D15173">
            <w:pPr>
              <w:spacing w:before="0" w:after="0"/>
              <w:jc w:val="left"/>
              <w:rPr>
                <w:b/>
              </w:rPr>
            </w:pPr>
            <w:r>
              <w:rPr>
                <w:b/>
                <w:noProof/>
              </w:rPr>
              <w:t>Število projektov, izvedenih v proračunskem letu, za katere se plačilo prijavi v proračunskem letu (b)</w:t>
            </w:r>
          </w:p>
        </w:tc>
        <w:tc>
          <w:tcPr>
            <w:shd w:val="clear" w:color="auto" w:fill="auto"/>
          </w:tcPr>
          <w:p w:rsidR="00321B6A" w:rsidRPr="004D0EAD" w:rsidP="00D15173">
            <w:pPr>
              <w:spacing w:before="0" w:after="0"/>
              <w:jc w:val="left"/>
              <w:rPr>
                <w:b/>
              </w:rPr>
            </w:pPr>
            <w:r w:rsidRPr="004D0EAD">
              <w:rPr>
                <w:b/>
                <w:noProof/>
              </w:rPr>
              <w:t>% operativnih kontrol na kraju samem (c = a / b)</w:t>
            </w:r>
          </w:p>
        </w:tc>
      </w:tr>
      <w:tr w:rsidTr="00321B6A">
        <w:tblPrEx>
          <w:tblW w:w="5000" w:type="pct"/>
          <w:tblLook w:val="04A0"/>
        </w:tblPrEx>
        <w:tc>
          <w:tcPr>
            <w:shd w:val="clear" w:color="auto" w:fill="auto"/>
          </w:tcPr>
          <w:p w:rsidR="00321B6A" w:rsidP="00D15173">
            <w:pPr>
              <w:spacing w:before="0" w:after="0"/>
              <w:jc w:val="center"/>
            </w:pPr>
            <w:r>
              <w:rPr>
                <w:noProof/>
              </w:rPr>
              <w:t>8</w:t>
            </w:r>
          </w:p>
        </w:tc>
        <w:tc>
          <w:tcPr>
            <w:shd w:val="clear" w:color="auto" w:fill="auto"/>
          </w:tcPr>
          <w:p w:rsidR="00321B6A" w:rsidP="00D15173">
            <w:pPr>
              <w:spacing w:before="0" w:after="0"/>
              <w:jc w:val="center"/>
            </w:pPr>
            <w:r>
              <w:rPr>
                <w:noProof/>
              </w:rPr>
              <w:t>33</w:t>
            </w:r>
          </w:p>
        </w:tc>
        <w:tc>
          <w:tcPr>
            <w:shd w:val="clear" w:color="auto" w:fill="auto"/>
          </w:tcPr>
          <w:p w:rsidR="00321B6A" w:rsidP="00D15173">
            <w:pPr>
              <w:spacing w:before="0" w:after="0"/>
              <w:jc w:val="center"/>
            </w:pPr>
            <w:r>
              <w:rPr>
                <w:noProof/>
              </w:rPr>
              <w:t>24%</w:t>
            </w:r>
          </w:p>
        </w:tc>
      </w:tr>
    </w:tbl>
    <w:p w:rsidR="00321B6A" w:rsidP="00D15173">
      <w:pPr>
        <w:spacing w:before="0" w:after="0"/>
      </w:pPr>
    </w:p>
    <w:p w:rsidR="00321B6A" w:rsidP="00D15173">
      <w:pPr>
        <w:spacing w:before="0" w:after="0"/>
        <w:rPr>
          <w:b/>
        </w:rPr>
      </w:pPr>
      <w:r>
        <w:rPr>
          <w:b/>
        </w:rPr>
        <w:br w:type="page"/>
      </w:r>
      <w:r>
        <w:rPr>
          <w:b/>
          <w:noProof/>
        </w:rPr>
        <w:t>Skupni povzetek finančnih kontrol na kraju samem za zaključene projekte v letu</w:t>
      </w:r>
      <w:r>
        <w:rPr>
          <w:b/>
        </w:rPr>
        <w:t xml:space="preserve"> </w:t>
      </w:r>
      <w:r>
        <w:rPr>
          <w:b/>
          <w:noProof/>
        </w:rPr>
        <w:t>2022</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1962"/>
        <w:gridCol w:w="2227"/>
        <w:gridCol w:w="1693"/>
        <w:gridCol w:w="2027"/>
        <w:gridCol w:w="1212"/>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RPr="002C01CB" w:rsidP="00D15173">
            <w:pPr>
              <w:spacing w:before="0" w:after="0"/>
              <w:rPr>
                <w:b/>
                <w:sz w:val="16"/>
                <w:szCs w:val="16"/>
              </w:rPr>
            </w:pPr>
            <w:r w:rsidRPr="002C01CB">
              <w:rPr>
                <w:b/>
                <w:noProof/>
                <w:sz w:val="16"/>
                <w:szCs w:val="16"/>
              </w:rPr>
              <w:t>Zaključen projekt</w:t>
            </w:r>
          </w:p>
        </w:tc>
        <w:tc>
          <w:tcPr>
            <w:shd w:val="clear" w:color="auto" w:fill="auto"/>
          </w:tcPr>
          <w:p w:rsidR="00321B6A" w:rsidRPr="002C01CB" w:rsidP="00D15173">
            <w:pPr>
              <w:spacing w:before="0" w:after="0"/>
              <w:jc w:val="right"/>
              <w:rPr>
                <w:b/>
                <w:sz w:val="16"/>
                <w:szCs w:val="16"/>
              </w:rPr>
            </w:pPr>
            <w:r w:rsidRPr="002C01CB">
              <w:rPr>
                <w:b/>
                <w:noProof/>
                <w:sz w:val="16"/>
                <w:szCs w:val="16"/>
              </w:rPr>
              <w:t>Skupni prispevek Unije, kontroliran v proračunskem letu, za projekte, zaključene v proračunskem letu 2022 (EUR) (a)</w:t>
            </w:r>
          </w:p>
        </w:tc>
        <w:tc>
          <w:tcPr>
            <w:shd w:val="clear" w:color="auto" w:fill="auto"/>
          </w:tcPr>
          <w:p w:rsidR="00321B6A" w:rsidRPr="002C01CB" w:rsidP="00D15173">
            <w:pPr>
              <w:spacing w:before="0" w:after="0"/>
              <w:jc w:val="right"/>
              <w:rPr>
                <w:b/>
                <w:sz w:val="16"/>
                <w:szCs w:val="16"/>
              </w:rPr>
            </w:pPr>
            <w:r w:rsidRPr="002C01CB">
              <w:rPr>
                <w:b/>
                <w:noProof/>
                <w:sz w:val="16"/>
                <w:szCs w:val="16"/>
              </w:rPr>
              <w:t>Skupni znesek napak, ugotovljenih v prispevku Unije v proračunskem letu za projekte, zaključene v proračunskem letu 2022 (EUR) (b)</w:t>
            </w:r>
          </w:p>
        </w:tc>
        <w:tc>
          <w:tcPr>
            <w:shd w:val="clear" w:color="auto" w:fill="auto"/>
          </w:tcPr>
          <w:p w:rsidR="00321B6A" w:rsidRPr="002C01CB" w:rsidP="00D15173">
            <w:pPr>
              <w:spacing w:before="0" w:after="0"/>
              <w:jc w:val="right"/>
              <w:rPr>
                <w:b/>
                <w:sz w:val="16"/>
                <w:szCs w:val="16"/>
              </w:rPr>
            </w:pPr>
            <w:r w:rsidRPr="002C01CB">
              <w:rPr>
                <w:b/>
                <w:noProof/>
                <w:sz w:val="16"/>
                <w:szCs w:val="16"/>
              </w:rPr>
              <w:t>% napak, ugotovljenih pri nadzoru projektov, zaključenih v proračunskem letu 2022 (EUR) (c = b / a)</w:t>
            </w:r>
          </w:p>
        </w:tc>
        <w:tc>
          <w:tcPr>
            <w:shd w:val="clear" w:color="auto" w:fill="auto"/>
          </w:tcPr>
          <w:p w:rsidR="00321B6A" w:rsidRPr="002C01CB" w:rsidP="00D15173">
            <w:pPr>
              <w:spacing w:before="0" w:after="0"/>
              <w:jc w:val="right"/>
              <w:rPr>
                <w:b/>
                <w:sz w:val="16"/>
                <w:szCs w:val="16"/>
              </w:rPr>
            </w:pPr>
            <w:r w:rsidRPr="002C01CB">
              <w:rPr>
                <w:b/>
                <w:noProof/>
                <w:sz w:val="16"/>
                <w:szCs w:val="16"/>
              </w:rPr>
              <w:t>Kumulativni prispevek Unije, prijavljen v proračunskem letu, za projekte, zaključene v proračunskem letu 2022 (EUR) (d)</w:t>
            </w:r>
          </w:p>
        </w:tc>
        <w:tc>
          <w:tcPr>
            <w:shd w:val="clear" w:color="auto" w:fill="auto"/>
          </w:tcPr>
          <w:p w:rsidR="00321B6A" w:rsidRPr="002C01CB" w:rsidP="00D15173">
            <w:pPr>
              <w:spacing w:before="0" w:after="0"/>
              <w:jc w:val="right"/>
              <w:rPr>
                <w:b/>
                <w:sz w:val="16"/>
                <w:szCs w:val="16"/>
              </w:rPr>
            </w:pPr>
            <w:r w:rsidRPr="002C01CB">
              <w:rPr>
                <w:b/>
                <w:noProof/>
                <w:sz w:val="16"/>
                <w:szCs w:val="16"/>
              </w:rPr>
              <w:t>% izvedenih finančnih kontrol na kraju samem (e = skupaj a / skupaj d)</w:t>
            </w: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SI/2015/PR/0003</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404.502,64</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SI/2015/PR/0004</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28.806,22</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SI/2017/PR/0007</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4.019,43</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SI/2017/PR/0010</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41.522,99</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SI/2019/PR/0006</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640.229,99</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1.685.731,62</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SI/2020/PR/0001</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152.569,38</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SI/2020/PR/0007</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75.954,26</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142.771,67</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SI/2020/PR/0009</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18.042,94</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SI/2020/PR/0015</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69.242,16</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SI/2020/PR/0018</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30.698,73</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SI/2020/PR/0022</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220,26</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SI/2020/PR/0031</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93.665,94</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SI/2020/PR/0036</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127.258,02</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SI/2020/PR/0037</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54.467,92</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SI/2020/PR/0039</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40.351,77</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SI/2020/PR/0041</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436,53</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SI/2020/PR/0043</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226.522,64</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SI/2020/PR/0044</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30.428,75</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SI/2020/PR/0045</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2.603,10</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SI/2020/PR/0048</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38.587,07</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SI/2020/PR/0051</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13.698,16</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13.698,16</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SI/2020/PR/0052</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21.537,82</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SI/2020/PR/0053</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5.308,60</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noProof/>
                <w:sz w:val="16"/>
                <w:szCs w:val="16"/>
              </w:rPr>
              <w:t>SI/2020/PR/0055</w:t>
            </w:r>
            <w:r w:rsidRPr="003C63B8">
              <w:rPr>
                <w:sz w:val="16"/>
                <w:szCs w:val="16"/>
              </w:rPr>
              <w:t xml:space="preserve">  </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c>
          <w:tcPr>
            <w:shd w:val="clear" w:color="auto" w:fill="auto"/>
          </w:tcPr>
          <w:p w:rsidR="00321B6A" w:rsidRPr="003C63B8" w:rsidP="00D15173">
            <w:pPr>
              <w:spacing w:before="0" w:after="0"/>
              <w:jc w:val="right"/>
              <w:rPr>
                <w:b/>
                <w:sz w:val="16"/>
                <w:szCs w:val="16"/>
              </w:rPr>
            </w:pPr>
            <w:r w:rsidRPr="003C63B8">
              <w:rPr>
                <w:noProof/>
                <w:sz w:val="16"/>
                <w:szCs w:val="16"/>
              </w:rPr>
              <w:t>0,00</w:t>
            </w:r>
          </w:p>
        </w:tc>
        <w:tc>
          <w:tcPr>
            <w:shd w:val="clear" w:color="auto" w:fill="auto"/>
          </w:tcPr>
          <w:p w:rsidR="00321B6A" w:rsidRPr="003C63B8" w:rsidP="00D15173">
            <w:pPr>
              <w:spacing w:before="0" w:after="0"/>
              <w:jc w:val="right"/>
              <w:rPr>
                <w:b/>
                <w:sz w:val="16"/>
                <w:szCs w:val="16"/>
              </w:rPr>
            </w:pPr>
          </w:p>
        </w:tc>
      </w:tr>
      <w:tr w:rsidTr="00321B6A">
        <w:tblPrEx>
          <w:tblW w:w="5000" w:type="pct"/>
          <w:tblLook w:val="04A0"/>
        </w:tblPrEx>
        <w:tc>
          <w:tcPr>
            <w:shd w:val="clear" w:color="auto" w:fill="auto"/>
          </w:tcPr>
          <w:p w:rsidR="00321B6A" w:rsidRPr="008D6558" w:rsidP="00D15173">
            <w:pPr>
              <w:spacing w:before="0" w:after="0"/>
              <w:rPr>
                <w:sz w:val="16"/>
                <w:szCs w:val="16"/>
              </w:rPr>
            </w:pPr>
            <w:r w:rsidRPr="003C63B8">
              <w:rPr>
                <w:b/>
                <w:noProof/>
                <w:sz w:val="16"/>
                <w:szCs w:val="16"/>
              </w:rPr>
              <w:t>Skupaj</w:t>
            </w:r>
          </w:p>
        </w:tc>
        <w:tc>
          <w:tcPr>
            <w:shd w:val="clear" w:color="auto" w:fill="auto"/>
          </w:tcPr>
          <w:p w:rsidR="00321B6A" w:rsidRPr="003C63B8" w:rsidP="00D15173">
            <w:pPr>
              <w:spacing w:before="0" w:after="0"/>
              <w:jc w:val="right"/>
              <w:rPr>
                <w:b/>
                <w:sz w:val="16"/>
                <w:szCs w:val="16"/>
              </w:rPr>
            </w:pPr>
            <w:r w:rsidRPr="003C63B8">
              <w:rPr>
                <w:b/>
                <w:noProof/>
                <w:sz w:val="16"/>
                <w:szCs w:val="16"/>
              </w:rPr>
              <w:t>729.882,41</w:t>
            </w:r>
          </w:p>
        </w:tc>
        <w:tc>
          <w:tcPr>
            <w:shd w:val="clear" w:color="auto" w:fill="auto"/>
          </w:tcPr>
          <w:p w:rsidR="00321B6A" w:rsidRPr="003C63B8" w:rsidP="00D15173">
            <w:pPr>
              <w:spacing w:before="0" w:after="0"/>
              <w:jc w:val="right"/>
              <w:rPr>
                <w:b/>
                <w:sz w:val="16"/>
                <w:szCs w:val="16"/>
              </w:rPr>
            </w:pPr>
            <w:r w:rsidRPr="003C63B8">
              <w:rPr>
                <w:b/>
                <w:noProof/>
                <w:sz w:val="16"/>
                <w:szCs w:val="16"/>
              </w:rPr>
              <w:t>0,00</w:t>
            </w:r>
          </w:p>
        </w:tc>
        <w:tc>
          <w:tcPr>
            <w:shd w:val="clear" w:color="auto" w:fill="auto"/>
          </w:tcPr>
          <w:p w:rsidR="00321B6A" w:rsidRPr="003C63B8" w:rsidP="00D15173">
            <w:pPr>
              <w:spacing w:before="0" w:after="0"/>
              <w:jc w:val="right"/>
              <w:rPr>
                <w:b/>
                <w:sz w:val="16"/>
                <w:szCs w:val="16"/>
              </w:rPr>
            </w:pPr>
            <w:r w:rsidRPr="003C63B8">
              <w:rPr>
                <w:b/>
                <w:noProof/>
                <w:sz w:val="16"/>
                <w:szCs w:val="16"/>
              </w:rPr>
              <w:t>0,00%</w:t>
            </w:r>
          </w:p>
        </w:tc>
        <w:tc>
          <w:tcPr>
            <w:shd w:val="clear" w:color="auto" w:fill="auto"/>
          </w:tcPr>
          <w:p w:rsidR="00321B6A" w:rsidRPr="003C63B8" w:rsidP="00D15173">
            <w:pPr>
              <w:spacing w:before="0" w:after="0"/>
              <w:jc w:val="right"/>
              <w:rPr>
                <w:b/>
                <w:sz w:val="16"/>
                <w:szCs w:val="16"/>
              </w:rPr>
            </w:pPr>
            <w:r w:rsidRPr="003C63B8">
              <w:rPr>
                <w:b/>
                <w:noProof/>
                <w:sz w:val="16"/>
                <w:szCs w:val="16"/>
              </w:rPr>
              <w:t>3.232.994,36</w:t>
            </w:r>
          </w:p>
        </w:tc>
        <w:tc>
          <w:tcPr>
            <w:shd w:val="clear" w:color="auto" w:fill="auto"/>
          </w:tcPr>
          <w:p w:rsidR="00321B6A" w:rsidRPr="003C63B8" w:rsidP="00D15173">
            <w:pPr>
              <w:spacing w:before="0" w:after="0"/>
              <w:jc w:val="right"/>
              <w:rPr>
                <w:b/>
                <w:sz w:val="16"/>
                <w:szCs w:val="16"/>
              </w:rPr>
            </w:pPr>
            <w:r w:rsidRPr="003C63B8">
              <w:rPr>
                <w:b/>
                <w:noProof/>
                <w:sz w:val="16"/>
                <w:szCs w:val="16"/>
              </w:rPr>
              <w:t>22,58%</w:t>
            </w:r>
          </w:p>
        </w:tc>
      </w:tr>
    </w:tbl>
    <w:p w:rsidR="00321B6A" w:rsidP="00D15173">
      <w:pPr>
        <w:spacing w:before="0" w:after="0"/>
        <w:rPr>
          <w:b/>
        </w:rPr>
      </w:pPr>
    </w:p>
    <w:p w:rsidR="00321B6A" w:rsidP="00D15173">
      <w:pPr>
        <w:spacing w:before="0" w:after="0"/>
        <w:rPr>
          <w:b/>
        </w:rPr>
      </w:pPr>
      <w:r>
        <w:rPr>
          <w:b/>
          <w:noProof/>
        </w:rPr>
        <w:t>Skupni povzetek rezultatov finančnih kontrol na kraju samem za zaključene projekte</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
        <w:gridCol w:w="2228"/>
        <w:gridCol w:w="2616"/>
        <w:gridCol w:w="1616"/>
        <w:gridCol w:w="1514"/>
        <w:gridCol w:w="1379"/>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shd w:val="clear" w:color="auto" w:fill="auto"/>
          </w:tcPr>
          <w:p w:rsidR="00321B6A" w:rsidRPr="009C2B99" w:rsidP="00D15173">
            <w:pPr>
              <w:spacing w:before="0" w:after="0"/>
              <w:jc w:val="left"/>
              <w:rPr>
                <w:b/>
                <w:sz w:val="16"/>
                <w:szCs w:val="16"/>
              </w:rPr>
            </w:pPr>
            <w:r w:rsidRPr="009C2B99">
              <w:rPr>
                <w:b/>
                <w:noProof/>
                <w:sz w:val="16"/>
                <w:szCs w:val="16"/>
              </w:rPr>
              <w:t>Proračunsko leto</w:t>
            </w:r>
          </w:p>
        </w:tc>
        <w:tc>
          <w:tcPr>
            <w:shd w:val="clear" w:color="auto" w:fill="auto"/>
          </w:tcPr>
          <w:p w:rsidR="00321B6A" w:rsidRPr="009C2B99" w:rsidP="00D15173">
            <w:pPr>
              <w:spacing w:before="0" w:after="0"/>
              <w:jc w:val="right"/>
              <w:rPr>
                <w:b/>
                <w:sz w:val="16"/>
                <w:szCs w:val="16"/>
              </w:rPr>
            </w:pPr>
            <w:r w:rsidRPr="009C2B99">
              <w:rPr>
                <w:b/>
                <w:noProof/>
                <w:sz w:val="16"/>
                <w:szCs w:val="16"/>
              </w:rPr>
              <w:t>Skupni prispevek Unije, kontroliran v proračunskem letu za vse zaključene projekte (EUR) (a)</w:t>
            </w:r>
          </w:p>
        </w:tc>
        <w:tc>
          <w:tcPr>
            <w:shd w:val="clear" w:color="auto" w:fill="auto"/>
          </w:tcPr>
          <w:p w:rsidR="00321B6A" w:rsidRPr="009C2B99" w:rsidP="00D15173">
            <w:pPr>
              <w:spacing w:before="0" w:after="0"/>
              <w:jc w:val="right"/>
              <w:rPr>
                <w:b/>
                <w:sz w:val="16"/>
                <w:szCs w:val="16"/>
              </w:rPr>
            </w:pPr>
            <w:r w:rsidRPr="009C2B99">
              <w:rPr>
                <w:b/>
                <w:noProof/>
                <w:sz w:val="16"/>
                <w:szCs w:val="16"/>
              </w:rPr>
              <w:t>Skupni znesek napak, ugotovljenih v prispevku Unije v proračunskem letu za vse zaključene projekte (EUR) (b)</w:t>
            </w:r>
          </w:p>
        </w:tc>
        <w:tc>
          <w:tcPr>
            <w:shd w:val="clear" w:color="auto" w:fill="auto"/>
          </w:tcPr>
          <w:p w:rsidR="00321B6A" w:rsidRPr="009C2B99" w:rsidP="00D15173">
            <w:pPr>
              <w:spacing w:before="0" w:after="0"/>
              <w:jc w:val="right"/>
              <w:rPr>
                <w:b/>
                <w:sz w:val="16"/>
                <w:szCs w:val="16"/>
              </w:rPr>
            </w:pPr>
            <w:r w:rsidRPr="009C2B99">
              <w:rPr>
                <w:b/>
                <w:noProof/>
                <w:sz w:val="16"/>
                <w:szCs w:val="16"/>
              </w:rPr>
              <w:t>% napak, ugotovljenih pri nadzoru zaključenih projektov (c = b / a)</w:t>
            </w:r>
          </w:p>
        </w:tc>
        <w:tc>
          <w:tcPr>
            <w:shd w:val="clear" w:color="auto" w:fill="auto"/>
          </w:tcPr>
          <w:p w:rsidR="00321B6A" w:rsidRPr="009C2B99" w:rsidP="00D15173">
            <w:pPr>
              <w:spacing w:before="0" w:after="0"/>
              <w:jc w:val="right"/>
              <w:rPr>
                <w:b/>
                <w:sz w:val="16"/>
                <w:szCs w:val="16"/>
              </w:rPr>
            </w:pPr>
            <w:r w:rsidRPr="009C2B99">
              <w:rPr>
                <w:b/>
                <w:noProof/>
                <w:sz w:val="16"/>
                <w:szCs w:val="16"/>
              </w:rPr>
              <w:t>Kumulativni prispevek Unije, prijavljen za zaključene projekte</w:t>
            </w:r>
          </w:p>
        </w:tc>
        <w:tc>
          <w:tcPr>
            <w:shd w:val="clear" w:color="auto" w:fill="auto"/>
          </w:tcPr>
          <w:p w:rsidR="00321B6A" w:rsidRPr="009C2B99" w:rsidP="00D15173">
            <w:pPr>
              <w:spacing w:before="0" w:after="0"/>
              <w:jc w:val="right"/>
              <w:rPr>
                <w:b/>
                <w:sz w:val="16"/>
                <w:szCs w:val="16"/>
              </w:rPr>
            </w:pPr>
            <w:r w:rsidRPr="009C2B99">
              <w:rPr>
                <w:b/>
                <w:noProof/>
                <w:sz w:val="16"/>
                <w:szCs w:val="16"/>
              </w:rPr>
              <w:t>% izvedenih finančnih kontrol na kraju samem (e = a / d)</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2015</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2016</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2017</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61.807,12</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2018</w:t>
            </w:r>
          </w:p>
        </w:tc>
        <w:tc>
          <w:tcPr>
            <w:shd w:val="clear" w:color="auto" w:fill="auto"/>
          </w:tcPr>
          <w:p w:rsidR="00321B6A" w:rsidRPr="009C2B99" w:rsidP="00D15173">
            <w:pPr>
              <w:spacing w:before="0" w:after="0"/>
              <w:jc w:val="right"/>
              <w:rPr>
                <w:sz w:val="16"/>
                <w:szCs w:val="16"/>
              </w:rPr>
            </w:pPr>
            <w:r w:rsidRPr="009C2B99">
              <w:rPr>
                <w:noProof/>
                <w:sz w:val="16"/>
                <w:szCs w:val="16"/>
              </w:rPr>
              <w:t>619.080,84</w:t>
            </w:r>
          </w:p>
        </w:tc>
        <w:tc>
          <w:tcPr>
            <w:shd w:val="clear" w:color="auto" w:fill="auto"/>
          </w:tcPr>
          <w:p w:rsidR="00321B6A" w:rsidRPr="009C2B99" w:rsidP="00D15173">
            <w:pPr>
              <w:spacing w:before="0" w:after="0"/>
              <w:jc w:val="right"/>
              <w:rPr>
                <w:sz w:val="16"/>
                <w:szCs w:val="16"/>
              </w:rPr>
            </w:pPr>
            <w:r w:rsidRPr="009C2B99">
              <w:rPr>
                <w:noProof/>
                <w:sz w:val="16"/>
                <w:szCs w:val="16"/>
              </w:rPr>
              <w:t>149.608,58</w:t>
            </w:r>
          </w:p>
        </w:tc>
        <w:tc>
          <w:tcPr>
            <w:shd w:val="clear" w:color="auto" w:fill="auto"/>
          </w:tcPr>
          <w:p w:rsidR="00321B6A" w:rsidRPr="009C2B99" w:rsidP="00D15173">
            <w:pPr>
              <w:spacing w:before="0" w:after="0"/>
              <w:jc w:val="right"/>
              <w:rPr>
                <w:sz w:val="16"/>
                <w:szCs w:val="16"/>
              </w:rPr>
            </w:pPr>
            <w:r w:rsidRPr="009C2B99">
              <w:rPr>
                <w:noProof/>
                <w:sz w:val="16"/>
                <w:szCs w:val="16"/>
              </w:rPr>
              <w:t>24,17%</w:t>
            </w:r>
          </w:p>
        </w:tc>
        <w:tc>
          <w:tcPr>
            <w:shd w:val="clear" w:color="auto" w:fill="auto"/>
          </w:tcPr>
          <w:p w:rsidR="00321B6A" w:rsidRPr="009C2B99" w:rsidP="00D15173">
            <w:pPr>
              <w:spacing w:before="0" w:after="0"/>
              <w:jc w:val="right"/>
              <w:rPr>
                <w:sz w:val="16"/>
                <w:szCs w:val="16"/>
              </w:rPr>
            </w:pPr>
            <w:r w:rsidRPr="009C2B99">
              <w:rPr>
                <w:noProof/>
                <w:sz w:val="16"/>
                <w:szCs w:val="16"/>
              </w:rPr>
              <w:t>643.120,76</w:t>
            </w:r>
          </w:p>
        </w:tc>
        <w:tc>
          <w:tcPr>
            <w:shd w:val="clear" w:color="auto" w:fill="auto"/>
          </w:tcPr>
          <w:p w:rsidR="00321B6A" w:rsidRPr="009C2B99" w:rsidP="00D15173">
            <w:pPr>
              <w:spacing w:before="0" w:after="0"/>
              <w:jc w:val="right"/>
              <w:rPr>
                <w:sz w:val="16"/>
                <w:szCs w:val="16"/>
              </w:rPr>
            </w:pPr>
            <w:r w:rsidRPr="009C2B99">
              <w:rPr>
                <w:noProof/>
                <w:sz w:val="16"/>
                <w:szCs w:val="16"/>
              </w:rPr>
              <w:t>96,26%</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2019</w:t>
            </w:r>
          </w:p>
        </w:tc>
        <w:tc>
          <w:tcPr>
            <w:shd w:val="clear" w:color="auto" w:fill="auto"/>
          </w:tcPr>
          <w:p w:rsidR="00321B6A" w:rsidRPr="009C2B99" w:rsidP="00D15173">
            <w:pPr>
              <w:spacing w:before="0" w:after="0"/>
              <w:jc w:val="right"/>
              <w:rPr>
                <w:sz w:val="16"/>
                <w:szCs w:val="16"/>
              </w:rPr>
            </w:pPr>
            <w:r w:rsidRPr="009C2B99">
              <w:rPr>
                <w:noProof/>
                <w:sz w:val="16"/>
                <w:szCs w:val="16"/>
              </w:rPr>
              <w:t>410.068,76</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3.567.538,98</w:t>
            </w:r>
          </w:p>
        </w:tc>
        <w:tc>
          <w:tcPr>
            <w:shd w:val="clear" w:color="auto" w:fill="auto"/>
          </w:tcPr>
          <w:p w:rsidR="00321B6A" w:rsidRPr="009C2B99" w:rsidP="00D15173">
            <w:pPr>
              <w:spacing w:before="0" w:after="0"/>
              <w:jc w:val="right"/>
              <w:rPr>
                <w:sz w:val="16"/>
                <w:szCs w:val="16"/>
              </w:rPr>
            </w:pPr>
            <w:r w:rsidRPr="009C2B99">
              <w:rPr>
                <w:noProof/>
                <w:sz w:val="16"/>
                <w:szCs w:val="16"/>
              </w:rPr>
              <w:t>11,49%</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2020</w:t>
            </w:r>
          </w:p>
        </w:tc>
        <w:tc>
          <w:tcPr>
            <w:shd w:val="clear" w:color="auto" w:fill="auto"/>
          </w:tcPr>
          <w:p w:rsidR="00321B6A" w:rsidRPr="009C2B99" w:rsidP="00D15173">
            <w:pPr>
              <w:spacing w:before="0" w:after="0"/>
              <w:jc w:val="right"/>
              <w:rPr>
                <w:sz w:val="16"/>
                <w:szCs w:val="16"/>
              </w:rPr>
            </w:pPr>
            <w:r w:rsidRPr="009C2B99">
              <w:rPr>
                <w:noProof/>
                <w:sz w:val="16"/>
                <w:szCs w:val="16"/>
              </w:rPr>
              <w:t>54.084,29</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96.519,08</w:t>
            </w:r>
          </w:p>
        </w:tc>
        <w:tc>
          <w:tcPr>
            <w:shd w:val="clear" w:color="auto" w:fill="auto"/>
          </w:tcPr>
          <w:p w:rsidR="00321B6A" w:rsidRPr="009C2B99" w:rsidP="00D15173">
            <w:pPr>
              <w:spacing w:before="0" w:after="0"/>
              <w:jc w:val="right"/>
              <w:rPr>
                <w:sz w:val="16"/>
                <w:szCs w:val="16"/>
              </w:rPr>
            </w:pPr>
            <w:r w:rsidRPr="009C2B99">
              <w:rPr>
                <w:noProof/>
                <w:sz w:val="16"/>
                <w:szCs w:val="16"/>
              </w:rPr>
              <w:t>56,03%</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2021</w:t>
            </w:r>
          </w:p>
        </w:tc>
        <w:tc>
          <w:tcPr>
            <w:shd w:val="clear" w:color="auto" w:fill="auto"/>
          </w:tcPr>
          <w:p w:rsidR="00321B6A" w:rsidRPr="009C2B99" w:rsidP="00D15173">
            <w:pPr>
              <w:spacing w:before="0" w:after="0"/>
              <w:jc w:val="right"/>
              <w:rPr>
                <w:sz w:val="16"/>
                <w:szCs w:val="16"/>
              </w:rPr>
            </w:pPr>
            <w:r w:rsidRPr="009C2B99">
              <w:rPr>
                <w:noProof/>
                <w:sz w:val="16"/>
                <w:szCs w:val="16"/>
              </w:rPr>
              <w:t>697.641,42</w:t>
            </w:r>
          </w:p>
        </w:tc>
        <w:tc>
          <w:tcPr>
            <w:shd w:val="clear" w:color="auto" w:fill="auto"/>
          </w:tcPr>
          <w:p w:rsidR="00321B6A" w:rsidRPr="009C2B99" w:rsidP="00D15173">
            <w:pPr>
              <w:spacing w:before="0" w:after="0"/>
              <w:jc w:val="right"/>
              <w:rPr>
                <w:sz w:val="16"/>
                <w:szCs w:val="16"/>
              </w:rPr>
            </w:pPr>
            <w:r w:rsidRPr="009C2B99">
              <w:rPr>
                <w:noProof/>
                <w:sz w:val="16"/>
                <w:szCs w:val="16"/>
              </w:rPr>
              <w:t>144,76</w:t>
            </w:r>
          </w:p>
        </w:tc>
        <w:tc>
          <w:tcPr>
            <w:shd w:val="clear" w:color="auto" w:fill="auto"/>
          </w:tcPr>
          <w:p w:rsidR="00321B6A" w:rsidRPr="009C2B99" w:rsidP="00D15173">
            <w:pPr>
              <w:spacing w:before="0" w:after="0"/>
              <w:jc w:val="right"/>
              <w:rPr>
                <w:sz w:val="16"/>
                <w:szCs w:val="16"/>
              </w:rPr>
            </w:pPr>
            <w:r w:rsidRPr="009C2B99">
              <w:rPr>
                <w:noProof/>
                <w:sz w:val="16"/>
                <w:szCs w:val="16"/>
              </w:rPr>
              <w:t>0,02%</w:t>
            </w:r>
          </w:p>
        </w:tc>
        <w:tc>
          <w:tcPr>
            <w:shd w:val="clear" w:color="auto" w:fill="auto"/>
          </w:tcPr>
          <w:p w:rsidR="00321B6A" w:rsidRPr="009C2B99" w:rsidP="00D15173">
            <w:pPr>
              <w:spacing w:before="0" w:after="0"/>
              <w:jc w:val="right"/>
              <w:rPr>
                <w:sz w:val="16"/>
                <w:szCs w:val="16"/>
              </w:rPr>
            </w:pPr>
            <w:r w:rsidRPr="009C2B99">
              <w:rPr>
                <w:noProof/>
                <w:sz w:val="16"/>
                <w:szCs w:val="16"/>
              </w:rPr>
              <w:t>3.964.634,09</w:t>
            </w:r>
          </w:p>
        </w:tc>
        <w:tc>
          <w:tcPr>
            <w:shd w:val="clear" w:color="auto" w:fill="auto"/>
          </w:tcPr>
          <w:p w:rsidR="00321B6A" w:rsidRPr="009C2B99" w:rsidP="00D15173">
            <w:pPr>
              <w:spacing w:before="0" w:after="0"/>
              <w:jc w:val="right"/>
              <w:rPr>
                <w:sz w:val="16"/>
                <w:szCs w:val="16"/>
              </w:rPr>
            </w:pPr>
            <w:r w:rsidRPr="009C2B99">
              <w:rPr>
                <w:noProof/>
                <w:sz w:val="16"/>
                <w:szCs w:val="16"/>
              </w:rPr>
              <w:t>17,60%</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noProof/>
                <w:sz w:val="16"/>
                <w:szCs w:val="16"/>
              </w:rPr>
              <w:t>2022</w:t>
            </w:r>
          </w:p>
        </w:tc>
        <w:tc>
          <w:tcPr>
            <w:shd w:val="clear" w:color="auto" w:fill="auto"/>
          </w:tcPr>
          <w:p w:rsidR="00321B6A" w:rsidRPr="009C2B99" w:rsidP="00D15173">
            <w:pPr>
              <w:spacing w:before="0" w:after="0"/>
              <w:jc w:val="right"/>
              <w:rPr>
                <w:sz w:val="16"/>
                <w:szCs w:val="16"/>
              </w:rPr>
            </w:pPr>
            <w:r w:rsidRPr="009C2B99">
              <w:rPr>
                <w:noProof/>
                <w:sz w:val="16"/>
                <w:szCs w:val="16"/>
              </w:rPr>
              <w:t>729.882,41</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0,00%</w:t>
            </w:r>
          </w:p>
        </w:tc>
        <w:tc>
          <w:tcPr>
            <w:shd w:val="clear" w:color="auto" w:fill="auto"/>
          </w:tcPr>
          <w:p w:rsidR="00321B6A" w:rsidRPr="009C2B99" w:rsidP="00D15173">
            <w:pPr>
              <w:spacing w:before="0" w:after="0"/>
              <w:jc w:val="right"/>
              <w:rPr>
                <w:sz w:val="16"/>
                <w:szCs w:val="16"/>
              </w:rPr>
            </w:pPr>
            <w:r w:rsidRPr="009C2B99">
              <w:rPr>
                <w:noProof/>
                <w:sz w:val="16"/>
                <w:szCs w:val="16"/>
              </w:rPr>
              <w:t>3.232.994,36</w:t>
            </w:r>
          </w:p>
        </w:tc>
        <w:tc>
          <w:tcPr>
            <w:shd w:val="clear" w:color="auto" w:fill="auto"/>
          </w:tcPr>
          <w:p w:rsidR="00321B6A" w:rsidRPr="009C2B99" w:rsidP="00D15173">
            <w:pPr>
              <w:spacing w:before="0" w:after="0"/>
              <w:jc w:val="right"/>
              <w:rPr>
                <w:sz w:val="16"/>
                <w:szCs w:val="16"/>
              </w:rPr>
            </w:pPr>
            <w:r w:rsidRPr="009C2B99">
              <w:rPr>
                <w:noProof/>
                <w:sz w:val="16"/>
                <w:szCs w:val="16"/>
              </w:rPr>
              <w:t>22,58%</w:t>
            </w:r>
          </w:p>
        </w:tc>
      </w:tr>
      <w:tr w:rsidTr="00321B6A">
        <w:tblPrEx>
          <w:tblW w:w="5000" w:type="pct"/>
          <w:tblLook w:val="04A0"/>
        </w:tblPrEx>
        <w:tc>
          <w:tcPr>
            <w:shd w:val="clear" w:color="auto" w:fill="auto"/>
          </w:tcPr>
          <w:p w:rsidR="00321B6A" w:rsidRPr="009C2B99" w:rsidP="00D15173">
            <w:pPr>
              <w:spacing w:before="0" w:after="0"/>
              <w:rPr>
                <w:sz w:val="16"/>
                <w:szCs w:val="16"/>
              </w:rPr>
            </w:pPr>
            <w:r w:rsidRPr="009C2B99">
              <w:rPr>
                <w:b/>
                <w:noProof/>
                <w:sz w:val="16"/>
                <w:szCs w:val="16"/>
              </w:rPr>
              <w:t>Skupaj</w:t>
            </w:r>
          </w:p>
        </w:tc>
        <w:tc>
          <w:tcPr>
            <w:shd w:val="clear" w:color="auto" w:fill="auto"/>
          </w:tcPr>
          <w:p w:rsidR="00321B6A" w:rsidRPr="009C2B99" w:rsidP="00D15173">
            <w:pPr>
              <w:spacing w:before="0" w:after="0"/>
              <w:jc w:val="right"/>
              <w:rPr>
                <w:sz w:val="16"/>
                <w:szCs w:val="16"/>
              </w:rPr>
            </w:pPr>
            <w:r w:rsidRPr="009C2B99">
              <w:rPr>
                <w:b/>
                <w:noProof/>
                <w:sz w:val="16"/>
                <w:szCs w:val="16"/>
              </w:rPr>
              <w:t>2.510.757,72</w:t>
            </w:r>
          </w:p>
        </w:tc>
        <w:tc>
          <w:tcPr>
            <w:shd w:val="clear" w:color="auto" w:fill="auto"/>
          </w:tcPr>
          <w:p w:rsidR="00321B6A" w:rsidRPr="009C2B99" w:rsidP="00D15173">
            <w:pPr>
              <w:spacing w:before="0" w:after="0"/>
              <w:jc w:val="right"/>
              <w:rPr>
                <w:sz w:val="16"/>
                <w:szCs w:val="16"/>
              </w:rPr>
            </w:pPr>
            <w:r w:rsidRPr="009C2B99">
              <w:rPr>
                <w:b/>
                <w:noProof/>
                <w:sz w:val="16"/>
                <w:szCs w:val="16"/>
              </w:rPr>
              <w:t>149.753,34</w:t>
            </w:r>
          </w:p>
        </w:tc>
        <w:tc>
          <w:tcPr>
            <w:shd w:val="clear" w:color="auto" w:fill="auto"/>
          </w:tcPr>
          <w:p w:rsidR="00321B6A" w:rsidRPr="009C2B99" w:rsidP="00D15173">
            <w:pPr>
              <w:spacing w:before="0" w:after="0"/>
              <w:jc w:val="right"/>
              <w:rPr>
                <w:sz w:val="16"/>
                <w:szCs w:val="16"/>
              </w:rPr>
            </w:pPr>
            <w:r w:rsidRPr="009C2B99">
              <w:rPr>
                <w:b/>
                <w:noProof/>
                <w:sz w:val="16"/>
                <w:szCs w:val="16"/>
              </w:rPr>
              <w:t>5,96%</w:t>
            </w:r>
          </w:p>
        </w:tc>
        <w:tc>
          <w:tcPr>
            <w:shd w:val="clear" w:color="auto" w:fill="auto"/>
          </w:tcPr>
          <w:p w:rsidR="00321B6A" w:rsidRPr="009C2B99" w:rsidP="00D15173">
            <w:pPr>
              <w:spacing w:before="0" w:after="0"/>
              <w:jc w:val="right"/>
              <w:rPr>
                <w:sz w:val="16"/>
                <w:szCs w:val="16"/>
              </w:rPr>
            </w:pPr>
            <w:r w:rsidRPr="009C2B99">
              <w:rPr>
                <w:b/>
                <w:noProof/>
                <w:sz w:val="16"/>
                <w:szCs w:val="16"/>
              </w:rPr>
              <w:t>11.566.614,39</w:t>
            </w:r>
          </w:p>
        </w:tc>
        <w:tc>
          <w:tcPr>
            <w:shd w:val="clear" w:color="auto" w:fill="auto"/>
          </w:tcPr>
          <w:p w:rsidR="00321B6A" w:rsidRPr="009C2B99" w:rsidP="00D15173">
            <w:pPr>
              <w:spacing w:before="0" w:after="0"/>
              <w:jc w:val="right"/>
              <w:rPr>
                <w:sz w:val="16"/>
                <w:szCs w:val="16"/>
              </w:rPr>
            </w:pPr>
            <w:r w:rsidRPr="009C2B99">
              <w:rPr>
                <w:b/>
                <w:noProof/>
                <w:sz w:val="16"/>
                <w:szCs w:val="16"/>
              </w:rPr>
              <w:t>21,71%</w:t>
            </w:r>
          </w:p>
        </w:tc>
      </w:tr>
    </w:tbl>
    <w:p w:rsidR="00321B6A" w:rsidP="00D15173">
      <w:pPr>
        <w:spacing w:before="0" w:after="0"/>
      </w:pPr>
    </w:p>
    <w:p w:rsidR="00321B6A" w:rsidRPr="00D03024" w:rsidP="00D15173">
      <w:pPr>
        <w:pStyle w:val="Heading1"/>
        <w:numPr>
          <w:ilvl w:val="0"/>
          <w:numId w:val="0"/>
        </w:numPr>
        <w:spacing w:before="0" w:after="0"/>
      </w:pPr>
      <w:r>
        <w:br w:type="page"/>
      </w:r>
      <w:bookmarkStart w:id="21" w:name="_Toc256000020"/>
      <w:r w:rsidRPr="00D03024">
        <w:rPr>
          <w:noProof/>
        </w:rPr>
        <w:t>IV. MNENJA REVIZIJSKEGA ORGANA</w:t>
      </w:r>
      <w:bookmarkEnd w:id="21"/>
    </w:p>
    <w:p w:rsidR="00321B6A" w:rsidP="00D15173">
      <w:pPr>
        <w:spacing w:before="0" w:after="0"/>
      </w:pPr>
    </w:p>
    <w:p w:rsidR="00321B6A" w:rsidP="00D15173">
      <w:pPr>
        <w:spacing w:before="0" w:after="0"/>
        <w:rPr>
          <w:b/>
        </w:rPr>
      </w:pPr>
      <w:r w:rsidRPr="00C9141F">
        <w:rPr>
          <w:b/>
          <w:noProof/>
        </w:rPr>
        <w:t>Revizijska strategija</w:t>
      </w:r>
    </w:p>
    <w:p w:rsidR="00321B6A" w:rsidRPr="00C9141F" w:rsidP="00D15173">
      <w:pPr>
        <w:spacing w:before="0" w:after="0"/>
        <w:rPr>
          <w:b/>
        </w:rPr>
      </w:pPr>
    </w:p>
    <w:p w:rsidR="00321B6A" w:rsidP="00D15173">
      <w:pPr>
        <w:spacing w:before="0" w:after="0"/>
      </w:pPr>
      <w:r>
        <w:rPr>
          <w:noProof/>
        </w:rPr>
        <w:t>Opis revizijske strategije, vključno z metodologijo vzorčenja, ki revizijskemu organu omogoča sprejemanje veljavnih zaključkov o celotni populaciji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pPr>
            <w:r>
              <w:rPr>
                <w:noProof/>
              </w:rPr>
              <w:t>V skladu z revizijsko strategijo je revizijski organ izvedel nestatistično, naključno vzorčenje. Velikost vzorca je določil na podlagi strokovne presoje in ob upoštevanju zagotovila pridobljenega iz revizij sistema in revizij izdatkov, podrobneje v točki 5.2 Letnega poročila o nadzoru.</w:t>
            </w:r>
          </w:p>
        </w:tc>
      </w:tr>
    </w:tbl>
    <w:p w:rsidR="00321B6A" w:rsidP="00D15173">
      <w:pPr>
        <w:spacing w:before="0" w:after="0"/>
      </w:pPr>
    </w:p>
    <w:p w:rsidR="00321B6A" w:rsidRPr="00DD2D69" w:rsidP="00D15173">
      <w:pPr>
        <w:pStyle w:val="Heading3"/>
        <w:numPr>
          <w:ilvl w:val="0"/>
          <w:numId w:val="0"/>
        </w:numPr>
        <w:spacing w:before="0" w:after="0"/>
        <w:rPr>
          <w:sz w:val="22"/>
          <w:szCs w:val="22"/>
        </w:rPr>
      </w:pPr>
      <w:r>
        <w:rPr>
          <w:b/>
          <w:sz w:val="22"/>
          <w:szCs w:val="22"/>
        </w:rPr>
        <w:br w:type="page"/>
      </w:r>
      <w:bookmarkStart w:id="22" w:name="_Toc256000021"/>
      <w:r w:rsidRPr="00DD2D69">
        <w:rPr>
          <w:noProof/>
          <w:sz w:val="22"/>
          <w:szCs w:val="22"/>
        </w:rPr>
        <w:t>A. Revizijsko mnenje o letnih obračunih</w:t>
      </w:r>
      <w:bookmarkEnd w:id="22"/>
    </w:p>
    <w:p w:rsidR="00321B6A" w:rsidP="00D15173">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pPr>
            <w:r>
              <w:rPr>
                <w:noProof/>
              </w:rPr>
              <w:t>Za Evropsko komisijo, Generalni direktorat za migracije in notranje zadeve</w:t>
            </w:r>
          </w:p>
          <w:p w:rsidR="00321B6A" w:rsidP="00D15173">
            <w:pPr>
              <w:spacing w:before="0" w:after="0"/>
            </w:pPr>
          </w:p>
          <w:p w:rsidR="00321B6A" w:rsidP="00D15173">
            <w:pPr>
              <w:spacing w:before="0" w:after="0"/>
            </w:pPr>
            <w:r>
              <w:rPr>
                <w:noProof/>
              </w:rPr>
              <w:t>Spodaj podpisani, predstavnik Urad Republike Slovenije za nadzor proračuna, ki je revizijski organ za Sklad za azil, migracije in vključevanje v Slovenija, sem preučil delovanje sistemov upravljanja in nadzora sklada AMIF ter dokumente in informacije, ki jih je pripravil odgovorni organ v skladu s členom 44 Uredbe (EU) št. 514/2014 in členom 59(5) Uredbe (EU, Euratom) št. 966/2012 ter se uporabijo kot zahtevek za plačilo letne razlike za proračunsko leto 2022, da bi izdal revizijsko mnenje v skladu s členom 29 Uredbe (EU) št. 514/2014 in členom 59(5) Uredbe (EU, Euratom) št. 966/2012. Moji zaključki so navedeni v nadaljevanju.</w:t>
            </w:r>
          </w:p>
        </w:tc>
      </w:tr>
    </w:tbl>
    <w:p w:rsidR="00321B6A" w:rsidP="00D15173">
      <w:pPr>
        <w:spacing w:before="0" w:after="0"/>
        <w:jc w:val="left"/>
      </w:pPr>
    </w:p>
    <w:p w:rsidR="00321B6A" w:rsidRPr="00843BEC" w:rsidP="00D15173">
      <w:pPr>
        <w:spacing w:before="0" w:after="0"/>
        <w:jc w:val="left"/>
        <w:rPr>
          <w:b/>
        </w:rPr>
      </w:pPr>
      <w:r w:rsidRPr="00843BEC">
        <w:rPr>
          <w:b/>
          <w:noProof/>
        </w:rPr>
        <w:t>Mnenje brez pridržkov o veljavnosti obračunov</w:t>
      </w:r>
    </w:p>
    <w:p w:rsidR="00321B6A" w:rsidP="00D15173">
      <w:pPr>
        <w:spacing w:before="0" w:after="0"/>
        <w:jc w:val="left"/>
      </w:pPr>
    </w:p>
    <w:p w:rsidR="00321B6A" w:rsidP="00D15173">
      <w:pPr>
        <w:spacing w:before="0" w:after="0"/>
        <w:jc w:val="left"/>
      </w:pPr>
      <w:r>
        <w:rPr>
          <w:noProof/>
        </w:rPr>
        <w:t>Na podlagi zgoraj navedene preučitve menim, da obračuni za proračunsko leto 2022 dajejo resnično in pošteno sliko ter da so odhodki Unije, za katere je bilo od Komisije zahtevano povračilo, zakoniti in pravilni.</w:t>
      </w:r>
    </w:p>
    <w:p w:rsidR="00321B6A" w:rsidP="00D15173">
      <w:pPr>
        <w:spacing w:before="0" w:after="0"/>
        <w:jc w:val="left"/>
      </w:pPr>
    </w:p>
    <w:p w:rsidR="00321B6A" w:rsidP="00D15173">
      <w:pPr>
        <w:spacing w:before="0" w:after="0"/>
        <w:jc w:val="left"/>
      </w:pPr>
      <w:r>
        <w:rPr>
          <w:noProof/>
        </w:rPr>
        <w:t>Poudarjena zadeva, ki ne vpliva na mnenje</w:t>
      </w:r>
    </w:p>
    <w:p w:rsidR="00321B6A" w:rsidP="00D15173">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jc w:val="left"/>
            </w:pPr>
          </w:p>
        </w:tc>
      </w:tr>
    </w:tbl>
    <w:p w:rsidR="00321B6A" w:rsidP="00D15173">
      <w:pPr>
        <w:spacing w:before="0" w:after="0"/>
        <w:jc w:val="left"/>
      </w:pPr>
    </w:p>
    <w:p w:rsidR="00321B6A" w:rsidP="00D15173">
      <w:pPr>
        <w:spacing w:before="0" w:after="0"/>
        <w:jc w:val="left"/>
      </w:pPr>
    </w:p>
    <w:p w:rsidR="00321B6A" w:rsidRPr="00DD2D69" w:rsidP="00D15173">
      <w:pPr>
        <w:pStyle w:val="Heading3"/>
        <w:numPr>
          <w:ilvl w:val="0"/>
          <w:numId w:val="0"/>
        </w:numPr>
        <w:spacing w:before="0" w:after="0"/>
        <w:jc w:val="left"/>
        <w:rPr>
          <w:sz w:val="22"/>
          <w:szCs w:val="22"/>
        </w:rPr>
      </w:pPr>
      <w:r>
        <w:rPr>
          <w:b/>
          <w:sz w:val="22"/>
          <w:szCs w:val="22"/>
        </w:rPr>
        <w:br w:type="page"/>
      </w:r>
      <w:bookmarkStart w:id="23" w:name="_Toc256000022"/>
      <w:r w:rsidRPr="00DD2D69">
        <w:rPr>
          <w:noProof/>
          <w:sz w:val="22"/>
          <w:szCs w:val="22"/>
        </w:rPr>
        <w:t>B. Mnenje o delovanju sistemov upravljanja in nadzora</w:t>
      </w:r>
      <w:bookmarkEnd w:id="23"/>
    </w:p>
    <w:p w:rsidR="00321B6A" w:rsidP="00D15173">
      <w:pPr>
        <w:spacing w:before="0" w:after="0"/>
        <w:jc w:val="left"/>
      </w:pPr>
    </w:p>
    <w:p w:rsidR="00321B6A" w:rsidP="00D15173">
      <w:pPr>
        <w:spacing w:before="0" w:after="0"/>
        <w:jc w:val="left"/>
      </w:pPr>
      <w:r w:rsidRPr="00E1694F">
        <w:rPr>
          <w:b/>
          <w:noProof/>
        </w:rPr>
        <w:t>Obseg preučitve</w:t>
      </w:r>
    </w:p>
    <w:p w:rsidR="00321B6A" w:rsidP="00D15173">
      <w:pPr>
        <w:spacing w:before="0" w:after="0"/>
        <w:jc w:val="left"/>
      </w:pPr>
    </w:p>
    <w:p w:rsidR="00321B6A" w:rsidP="00D15173">
      <w:pPr>
        <w:spacing w:before="0" w:after="0"/>
        <w:jc w:val="left"/>
      </w:pPr>
      <w:r>
        <w:rPr>
          <w:noProof/>
        </w:rPr>
        <w:t>Preučitev v zvezi s tem programom je bila opravljena v skladu z veljavno revizijsko strategijo za ta nacionalni program in ob upoštevanju mednarodno sprejetih revizijskih standardov, s sklicevanjem na proračunsko leto 2022, o rezultatih pa se poroča v revizijskem poročilu.</w:t>
      </w:r>
    </w:p>
    <w:p w:rsidR="00321B6A" w:rsidP="00D15173">
      <w:pPr>
        <w:spacing w:before="0" w:after="0"/>
        <w:jc w:val="left"/>
      </w:pPr>
    </w:p>
    <w:p w:rsidR="00321B6A" w:rsidP="00D15173">
      <w:pPr>
        <w:spacing w:before="0" w:after="0"/>
        <w:jc w:val="left"/>
      </w:pPr>
      <w:r w:rsidRPr="004E39E2">
        <w:rPr>
          <w:b/>
          <w:noProof/>
        </w:rPr>
        <w:t>Referenčna oznaka preučitve:</w:t>
      </w:r>
      <w:r>
        <w:t xml:space="preserve"> </w:t>
      </w:r>
      <w:r>
        <w:rPr>
          <w:noProof/>
        </w:rPr>
        <w:t>0615-68/2015/116</w:t>
      </w:r>
    </w:p>
    <w:p w:rsidR="00321B6A" w:rsidP="00D15173">
      <w:pPr>
        <w:spacing w:before="0" w:after="0"/>
        <w:jc w:val="left"/>
      </w:pPr>
    </w:p>
    <w:p w:rsidR="00321B6A" w:rsidRPr="00843BEC" w:rsidP="00D15173">
      <w:pPr>
        <w:spacing w:before="0" w:after="0"/>
        <w:jc w:val="left"/>
        <w:rPr>
          <w:b/>
        </w:rPr>
      </w:pPr>
      <w:r w:rsidRPr="00843BEC">
        <w:rPr>
          <w:b/>
          <w:noProof/>
        </w:rPr>
        <w:t>Mnenje brez pridržkov o veljavnosti obračunov</w:t>
      </w:r>
    </w:p>
    <w:p w:rsidR="00321B6A" w:rsidP="00D15173">
      <w:pPr>
        <w:spacing w:before="0" w:after="0"/>
        <w:jc w:val="left"/>
      </w:pPr>
    </w:p>
    <w:p w:rsidR="00321B6A" w:rsidP="00D15173">
      <w:pPr>
        <w:spacing w:before="0" w:after="0"/>
        <w:jc w:val="left"/>
      </w:pPr>
      <w:r>
        <w:rPr>
          <w:noProof/>
        </w:rPr>
        <w:t>Na podlagi zgoraj navedene preučitve in v zvezi s programom imam razumno zagotovilo, da vzpostavljeni sistemi upravljanja in nadzora pravilno delujejo.</w:t>
      </w:r>
    </w:p>
    <w:p w:rsidR="00321B6A" w:rsidP="00D15173">
      <w:pPr>
        <w:spacing w:before="0" w:after="0"/>
        <w:jc w:val="left"/>
      </w:pPr>
    </w:p>
    <w:p w:rsidR="00321B6A" w:rsidP="00D15173">
      <w:pPr>
        <w:spacing w:before="0" w:after="0"/>
        <w:jc w:val="left"/>
      </w:pPr>
      <w:r>
        <w:rPr>
          <w:noProof/>
        </w:rPr>
        <w:t>Poudarjena zadeva, ki ne vpliva na mnenje</w:t>
      </w:r>
    </w:p>
    <w:p w:rsidR="00321B6A" w:rsidP="00D15173">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8"/>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jc w:val="left"/>
            </w:pPr>
          </w:p>
        </w:tc>
      </w:tr>
    </w:tbl>
    <w:p w:rsidR="00321B6A" w:rsidP="00D15173">
      <w:pPr>
        <w:spacing w:before="0" w:after="0"/>
        <w:jc w:val="left"/>
      </w:pPr>
    </w:p>
    <w:p w:rsidR="00321B6A" w:rsidP="00D15173">
      <w:pPr>
        <w:spacing w:before="0" w:after="0"/>
        <w:jc w:val="left"/>
      </w:pPr>
    </w:p>
    <w:p w:rsidR="00321B6A" w:rsidP="002312A3">
      <w:pPr>
        <w:pStyle w:val="Heading3"/>
        <w:numPr>
          <w:ilvl w:val="0"/>
          <w:numId w:val="0"/>
        </w:numPr>
        <w:ind w:left="850" w:hanging="850"/>
      </w:pPr>
      <w:r>
        <w:br w:type="page"/>
      </w:r>
      <w:bookmarkStart w:id="24" w:name="_Toc256000023"/>
      <w:r w:rsidRPr="00D30A71">
        <w:rPr>
          <w:noProof/>
        </w:rPr>
        <w:t>C. Potrditev izjave o upravljanju, ki jo pripravi odgovorni organ</w:t>
      </w:r>
      <w:bookmarkEnd w:id="24"/>
    </w:p>
    <w:p w:rsidR="00321B6A" w:rsidP="00D15173">
      <w:pPr>
        <w:spacing w:before="0" w:after="0"/>
        <w:jc w:val="left"/>
        <w:rPr>
          <w:b/>
        </w:rPr>
      </w:pPr>
    </w:p>
    <w:p w:rsidR="00321B6A" w:rsidP="00D15173">
      <w:pPr>
        <w:spacing w:before="0" w:after="0"/>
        <w:jc w:val="left"/>
        <w:rPr>
          <w:b/>
        </w:rPr>
      </w:pPr>
      <w:r>
        <w:rPr>
          <w:noProof/>
        </w:rPr>
        <w:t>Moje skupno mnenje na podlagi preučitev iz točk A in B zgoraj je, da opravljeno revizijsko delo:</w:t>
      </w:r>
    </w:p>
    <w:p w:rsidR="00321B6A" w:rsidP="00D15173">
      <w:pPr>
        <w:spacing w:before="0" w:after="0"/>
        <w:jc w:val="left"/>
      </w:pPr>
    </w:p>
    <w:p w:rsidR="00321B6A" w:rsidP="00D15173">
      <w:pPr>
        <w:spacing w:before="0" w:after="0"/>
        <w:jc w:val="left"/>
      </w:pPr>
    </w:p>
    <w:p w:rsidR="00321B6A" w:rsidP="00D15173">
      <w:pPr>
        <w:spacing w:before="0" w:after="0"/>
        <w:jc w:val="left"/>
      </w:pPr>
      <w:r>
        <w:rPr>
          <w:noProof/>
        </w:rPr>
        <w:t>ne zbuja dvoma o trditvah v izjavi o upravljanju.</w:t>
      </w:r>
    </w:p>
    <w:p w:rsidR="00321B6A" w:rsidP="00D15173">
      <w:pPr>
        <w:spacing w:before="0" w:after="0"/>
        <w:jc w:val="left"/>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7270"/>
      </w:tblGrid>
      <w:tr w:rsidTr="00321B6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shd w:val="clear" w:color="auto" w:fill="auto"/>
          </w:tcPr>
          <w:p w:rsidR="00321B6A" w:rsidP="00D15173">
            <w:pPr>
              <w:spacing w:before="0" w:after="0"/>
              <w:jc w:val="left"/>
            </w:pPr>
            <w:r>
              <w:rPr>
                <w:noProof/>
              </w:rPr>
              <w:t>Datum potrditve:</w:t>
            </w:r>
          </w:p>
        </w:tc>
        <w:tc>
          <w:tcPr>
            <w:shd w:val="clear" w:color="auto" w:fill="auto"/>
          </w:tcPr>
          <w:p w:rsidR="00321B6A" w:rsidP="00D15173">
            <w:pPr>
              <w:spacing w:before="0" w:after="0"/>
              <w:jc w:val="left"/>
            </w:pPr>
            <w:r>
              <w:rPr>
                <w:noProof/>
              </w:rPr>
              <w:t>3.2.2023</w:t>
            </w:r>
          </w:p>
        </w:tc>
      </w:tr>
      <w:tr w:rsidTr="00321B6A">
        <w:tblPrEx>
          <w:tblW w:w="5000" w:type="pct"/>
          <w:tblLook w:val="04A0"/>
        </w:tblPrEx>
        <w:tc>
          <w:tcPr>
            <w:shd w:val="clear" w:color="auto" w:fill="auto"/>
          </w:tcPr>
          <w:p w:rsidR="00321B6A" w:rsidP="00D15173">
            <w:pPr>
              <w:spacing w:before="0" w:after="0"/>
              <w:jc w:val="left"/>
            </w:pPr>
            <w:r>
              <w:rPr>
                <w:noProof/>
              </w:rPr>
              <w:t>Predstavnik organa</w:t>
            </w:r>
          </w:p>
        </w:tc>
        <w:tc>
          <w:tcPr>
            <w:shd w:val="clear" w:color="auto" w:fill="auto"/>
          </w:tcPr>
          <w:p w:rsidR="00321B6A" w:rsidP="00D15173">
            <w:pPr>
              <w:spacing w:before="0" w:after="0"/>
              <w:jc w:val="left"/>
            </w:pPr>
            <w:r>
              <w:rPr>
                <w:noProof/>
              </w:rPr>
              <w:t>Patricija Pergar, v. d. direktorja</w:t>
            </w:r>
          </w:p>
        </w:tc>
      </w:tr>
      <w:tr w:rsidTr="00321B6A">
        <w:tblPrEx>
          <w:tblW w:w="5000" w:type="pct"/>
          <w:tblLook w:val="04A0"/>
        </w:tblPrEx>
        <w:tc>
          <w:tcPr>
            <w:shd w:val="clear" w:color="auto" w:fill="auto"/>
          </w:tcPr>
          <w:p w:rsidR="00321B6A" w:rsidP="00D15173">
            <w:pPr>
              <w:spacing w:before="0" w:after="0"/>
              <w:jc w:val="left"/>
            </w:pPr>
            <w:r>
              <w:rPr>
                <w:noProof/>
              </w:rPr>
              <w:t>Organ</w:t>
            </w:r>
          </w:p>
        </w:tc>
        <w:tc>
          <w:tcPr>
            <w:shd w:val="clear" w:color="auto" w:fill="auto"/>
          </w:tcPr>
          <w:p w:rsidR="00321B6A" w:rsidP="00D15173">
            <w:pPr>
              <w:spacing w:before="0" w:after="0"/>
              <w:jc w:val="left"/>
            </w:pPr>
            <w:r>
              <w:rPr>
                <w:noProof/>
              </w:rPr>
              <w:t>Urad Republike Slovenije za nadzor proračuna</w:t>
            </w:r>
          </w:p>
        </w:tc>
      </w:tr>
    </w:tbl>
    <w:p w:rsidR="00321B6A" w:rsidRPr="00953D7B" w:rsidP="00D15173">
      <w:pPr>
        <w:spacing w:before="0" w:after="0"/>
        <w:jc w:val="left"/>
      </w:pPr>
    </w:p>
    <w:p w:rsidR="00094173" w:rsidP="00D15173">
      <w:pPr>
        <w:spacing w:before="0" w:after="0"/>
        <w:sectPr w:rsidSect="00F86BF3">
          <w:headerReference w:type="default" r:id="rId9"/>
          <w:footerReference w:type="default" r:id="rId10"/>
          <w:pgSz w:w="11906" w:h="16838" w:code="9"/>
          <w:pgMar w:top="284" w:right="1134" w:bottom="284" w:left="284" w:header="567" w:footer="0" w:gutter="0"/>
          <w:cols w:space="720"/>
          <w:docGrid w:linePitch="326"/>
        </w:sectPr>
      </w:pPr>
    </w:p>
    <w:p w:rsidR="00D5077A" w:rsidP="00BE2F0F">
      <w:pPr>
        <w:pStyle w:val="Heading10"/>
        <w:numPr>
          <w:ilvl w:val="0"/>
          <w:numId w:val="0"/>
        </w:numPr>
        <w:ind w:right="-283"/>
      </w:pPr>
      <w:bookmarkStart w:id="31" w:name="_Toc256000024"/>
      <w:r>
        <w:rPr>
          <w:noProof/>
        </w:rPr>
        <w:t>Dokumenti</w:t>
      </w:r>
      <w:bookmarkEnd w:id="31"/>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002"/>
        <w:gridCol w:w="2126"/>
        <w:gridCol w:w="1567"/>
        <w:gridCol w:w="3126"/>
        <w:gridCol w:w="1187"/>
        <w:gridCol w:w="1990"/>
        <w:gridCol w:w="1287"/>
      </w:tblGrid>
      <w:tr w:rsidTr="00A67CC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3"/>
          <w:tblHeader/>
        </w:trPr>
        <w:tc>
          <w:tcPr>
            <w:shd w:val="clear" w:color="auto" w:fill="auto"/>
            <w:vAlign w:val="center"/>
          </w:tcPr>
          <w:p w:rsidR="00D5077A" w:rsidRPr="00C40F08" w:rsidP="002E06F3">
            <w:pPr>
              <w:pStyle w:val="NormalCentered"/>
              <w:spacing w:before="0" w:after="0"/>
              <w:rPr>
                <w:b/>
                <w:sz w:val="16"/>
                <w:szCs w:val="16"/>
              </w:rPr>
            </w:pPr>
            <w:r>
              <w:rPr>
                <w:b/>
                <w:noProof/>
                <w:sz w:val="16"/>
                <w:szCs w:val="16"/>
              </w:rPr>
              <w:t>Naslov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Vrsta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dokumenta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Lokalni sklic</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Referenčna številka Komisije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Datoteke</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Datum pošiljanja</w:t>
            </w:r>
          </w:p>
        </w:tc>
        <w:tc>
          <w:tcPr>
            <w:shd w:val="clear" w:color="auto" w:fill="auto"/>
            <w:vAlign w:val="center"/>
          </w:tcPr>
          <w:p w:rsidR="00D5077A" w:rsidRPr="00C40F08" w:rsidP="002E06F3">
            <w:pPr>
              <w:pStyle w:val="NormalCentered"/>
              <w:spacing w:before="0" w:after="0"/>
              <w:rPr>
                <w:b/>
                <w:sz w:val="16"/>
                <w:szCs w:val="16"/>
              </w:rPr>
            </w:pPr>
            <w:r>
              <w:rPr>
                <w:b/>
                <w:noProof/>
                <w:sz w:val="16"/>
                <w:szCs w:val="16"/>
              </w:rPr>
              <w:t>Pošiljatelj</w:t>
            </w:r>
          </w:p>
        </w:tc>
      </w:tr>
    </w:tbl>
    <w:p w:rsidR="00094173" w:rsidRPr="00D5077A" w:rsidP="00BE2F0F">
      <w:pPr>
        <w:pStyle w:val="Normal0"/>
        <w:spacing w:before="0" w:after="0"/>
        <w:sectPr w:rsidSect="0087734D">
          <w:headerReference w:type="default" r:id="rId11"/>
          <w:footerReference w:type="default" r:id="rId12"/>
          <w:type w:val="nextPage"/>
          <w:pgSz w:w="16838" w:h="11906" w:orient="landscape"/>
          <w:pgMar w:top="0" w:right="567" w:bottom="0" w:left="851" w:header="0" w:footer="284" w:gutter="0"/>
          <w:cols w:space="708"/>
          <w:docGrid w:linePitch="360"/>
        </w:sectPr>
      </w:pPr>
    </w:p>
    <w:p w:rsidR="00434D73" w:rsidP="00562C60">
      <w:pPr>
        <w:pStyle w:val="Heading10"/>
        <w:numPr>
          <w:ilvl w:val="0"/>
          <w:numId w:val="0"/>
        </w:numPr>
        <w:spacing w:before="0" w:after="0"/>
        <w:ind w:right="111"/>
      </w:pPr>
      <w:bookmarkStart w:id="32" w:name="_Toc256000025"/>
      <w:r w:rsidR="00F05543">
        <w:rPr>
          <w:noProof/>
        </w:rPr>
        <w:t>Zadnji rezultati validacije</w:t>
      </w:r>
      <w:bookmarkEnd w:id="32"/>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
      <w:tblGrid>
        <w:gridCol w:w="1125"/>
        <w:gridCol w:w="851"/>
        <w:gridCol w:w="13425"/>
      </w:tblGrid>
      <w:tr w:rsidTr="00BA1B5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tblPrEx>
        <w:trPr>
          <w:trHeight w:val="283"/>
          <w:tblHeader/>
        </w:trPr>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Resnost</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Oznaka</w:t>
            </w:r>
          </w:p>
        </w:tc>
        <w:tc>
          <w:tcPr>
            <w:shd w:val="clear" w:color="auto" w:fill="auto"/>
            <w:vAlign w:val="center"/>
          </w:tcPr>
          <w:p w:rsidR="00434D73" w:rsidRPr="00DD2742" w:rsidP="006477CC">
            <w:pPr>
              <w:pStyle w:val="NormalCentered"/>
              <w:spacing w:before="0" w:after="0"/>
              <w:rPr>
                <w:b/>
                <w:sz w:val="16"/>
                <w:szCs w:val="16"/>
              </w:rPr>
            </w:pPr>
            <w:r w:rsidRPr="00DD2742">
              <w:rPr>
                <w:b/>
                <w:noProof/>
                <w:sz w:val="16"/>
                <w:szCs w:val="16"/>
              </w:rPr>
              <w:t>Sporočilo</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Informacije</w:t>
            </w:r>
          </w:p>
        </w:tc>
        <w:tc>
          <w:tcPr>
            <w:shd w:val="clear" w:color="auto" w:fill="auto"/>
          </w:tcPr>
          <w:p w:rsidR="00434D73" w:rsidRPr="00DD2742" w:rsidP="006477CC">
            <w:pPr>
              <w:pStyle w:val="NormalLeft"/>
              <w:spacing w:before="0" w:after="0"/>
              <w:rPr>
                <w:sz w:val="16"/>
                <w:szCs w:val="16"/>
              </w:rPr>
            </w:pP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je bila potrjena</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2.55</w:t>
            </w: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(SI/2019/PR/0005).</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2.55</w:t>
            </w: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(SI/2020/PR/0019).</w:t>
            </w:r>
          </w:p>
        </w:tc>
      </w:tr>
      <w:tr w:rsidTr="00BA1B5A">
        <w:tblPrEx>
          <w:tblW w:w="5000" w:type="pct"/>
          <w:tblCellMar>
            <w:right w:w="0" w:type="dxa"/>
          </w:tblCellMar>
          <w:tblLook w:val="04A0"/>
        </w:tblPrEx>
        <w:trPr>
          <w:trHeight w:val="283"/>
        </w:trPr>
        <w:tc>
          <w:tcPr>
            <w:shd w:val="clear" w:color="auto" w:fill="auto"/>
          </w:tcPr>
          <w:p w:rsidR="00434D73" w:rsidRPr="00DD2742" w:rsidP="006477CC">
            <w:pPr>
              <w:pStyle w:val="NormalLeft"/>
              <w:spacing w:before="0" w:after="0"/>
              <w:rPr>
                <w:sz w:val="16"/>
                <w:szCs w:val="16"/>
              </w:rPr>
            </w:pPr>
            <w:r w:rsidRPr="00DD2742">
              <w:rPr>
                <w:noProof/>
                <w:sz w:val="16"/>
                <w:szCs w:val="16"/>
              </w:rPr>
              <w:t>Opozorilo</w:t>
            </w:r>
          </w:p>
        </w:tc>
        <w:tc>
          <w:tcPr>
            <w:shd w:val="clear" w:color="auto" w:fill="auto"/>
          </w:tcPr>
          <w:p w:rsidR="00434D73" w:rsidRPr="00DD2742" w:rsidP="006477CC">
            <w:pPr>
              <w:pStyle w:val="NormalLeft"/>
              <w:spacing w:before="0" w:after="0"/>
              <w:rPr>
                <w:sz w:val="16"/>
                <w:szCs w:val="16"/>
              </w:rPr>
            </w:pPr>
            <w:r w:rsidRPr="00DD2742">
              <w:rPr>
                <w:noProof/>
                <w:sz w:val="16"/>
                <w:szCs w:val="16"/>
              </w:rPr>
              <w:t>2.55</w:t>
            </w:r>
          </w:p>
        </w:tc>
        <w:tc>
          <w:tcPr>
            <w:shd w:val="clear" w:color="auto" w:fill="auto"/>
          </w:tcPr>
          <w:p w:rsidR="00434D73" w:rsidRPr="00DD2742" w:rsidP="006477CC">
            <w:pPr>
              <w:pStyle w:val="NormalLeft"/>
              <w:spacing w:before="0" w:after="0"/>
              <w:rPr>
                <w:sz w:val="16"/>
                <w:szCs w:val="16"/>
              </w:rPr>
            </w:pPr>
            <w:r w:rsidRPr="00DD2742">
              <w:rPr>
                <w:noProof/>
                <w:sz w:val="16"/>
                <w:szCs w:val="16"/>
              </w:rPr>
              <w:t>Različica obračunov ne bi smela vsebovati projektov PR, OV, OB ali TS s končnim izplačilom, ustvarjenim v prejšnjih različicah obračunov (SI/2020/PR/0020).</w:t>
            </w:r>
          </w:p>
        </w:tc>
      </w:tr>
    </w:tbl>
    <w:p w:rsidR="00673320" w:rsidRPr="001A4AC5" w:rsidP="00DD2742">
      <w:pPr>
        <w:pStyle w:val="Normal0"/>
      </w:pPr>
    </w:p>
    <w:sectPr w:rsidSect="009B4CA5">
      <w:headerReference w:type="default" r:id="rId13"/>
      <w:footerReference w:type="default" r:id="rId14"/>
      <w:type w:val="nextPage"/>
      <w:pgSz w:w="16838" w:h="11906" w:orient="landscape"/>
      <w:pgMar w:top="0" w:right="567" w:bottom="0" w:left="851" w:header="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B3" w:rsidRPr="005925C8" w:rsidP="00C41AF2">
    <w:pPr>
      <w:pStyle w:val="Footer"/>
      <w:tabs>
        <w:tab w:val="clear" w:pos="4535"/>
        <w:tab w:val="center" w:pos="5387"/>
        <w:tab w:val="clear" w:pos="9071"/>
        <w:tab w:val="clear" w:pos="9921"/>
        <w:tab w:val="right" w:pos="10773"/>
      </w:tabs>
      <w:spacing w:before="0" w:after="240"/>
      <w:ind w:left="0" w:right="0"/>
    </w:pPr>
    <w:r w:rsidR="00702F47">
      <w:rPr>
        <w:rFonts w:ascii="Arial" w:hAnsi="Arial" w:cs="Arial"/>
        <w:b/>
        <w:noProof/>
        <w:sz w:val="48"/>
      </w:rPr>
      <w:t>SL</w:t>
    </w:r>
    <w:r w:rsidR="00702F47">
      <w:rPr>
        <w:rFonts w:ascii="Arial" w:hAnsi="Arial" w:cs="Arial"/>
        <w:b/>
        <w:sz w:val="48"/>
      </w:rPr>
      <w:tab/>
    </w:r>
    <w:r w:rsidR="00702F47">
      <w:fldChar w:fldCharType="begin"/>
    </w:r>
    <w:r w:rsidR="00702F47">
      <w:instrText xml:space="preserve"> PAGE  </w:instrText>
    </w:r>
    <w:r w:rsidR="00702F47">
      <w:fldChar w:fldCharType="separate"/>
    </w:r>
    <w:r w:rsidR="00702F47">
      <w:t>16</w:t>
    </w:r>
    <w:r w:rsidR="00702F47">
      <w:fldChar w:fldCharType="end"/>
    </w:r>
    <w:r w:rsidR="00702F47">
      <w:tab/>
    </w:r>
    <w:r w:rsidR="00702F47">
      <w:rPr>
        <w:rFonts w:ascii="Arial" w:hAnsi="Arial" w:cs="Arial"/>
        <w:b/>
        <w:noProof/>
        <w:sz w:val="48"/>
      </w:rPr>
      <w:t>SL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B3" w:rsidRPr="0067644F" w:rsidP="009008D5">
    <w:pPr>
      <w:pStyle w:val="FooterLandscape"/>
      <w:tabs>
        <w:tab w:val="clear" w:pos="7285"/>
        <w:tab w:val="center" w:pos="7938"/>
        <w:tab w:val="clear" w:pos="10913"/>
        <w:tab w:val="clear" w:pos="15137"/>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672DB">
      <w:rPr>
        <w:noProof/>
      </w:rPr>
      <w:t>20</w:t>
    </w:r>
    <w:r>
      <w:fldChar w:fldCharType="end"/>
    </w:r>
    <w:r w:rsidRPr="008E3442">
      <w:tab/>
    </w:r>
    <w:r w:rsidRPr="005F6C78">
      <w:rPr>
        <w:rFonts w:ascii="Arial" w:hAnsi="Arial" w:cs="Arial"/>
        <w:b/>
        <w:noProof/>
        <w:sz w:val="48"/>
        <w:szCs w:val="48"/>
        <w:lang w:val="fr-BE"/>
      </w:rPr>
      <w:t>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B3" w:rsidRPr="0067644F" w:rsidP="00F86BF3">
    <w:pPr>
      <w:pStyle w:val="Footer"/>
      <w:tabs>
        <w:tab w:val="clear" w:pos="4535"/>
        <w:tab w:val="center" w:pos="5387"/>
        <w:tab w:val="clear" w:pos="9071"/>
        <w:tab w:val="clear" w:pos="9921"/>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t>66</w:t>
    </w:r>
    <w:r>
      <w:fldChar w:fldCharType="end"/>
    </w:r>
    <w:r>
      <w:tab/>
    </w:r>
    <w:r>
      <w:rPr>
        <w:rFonts w:ascii="Arial" w:hAnsi="Arial" w:cs="Arial"/>
        <w:b/>
        <w:noProof/>
        <w:sz w:val="48"/>
      </w:rPr>
      <w:t>SL</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A91FB2" w:rsidP="0087734D">
    <w:pPr>
      <w:pStyle w:val="FooterLandscape"/>
      <w:tabs>
        <w:tab w:val="clear" w:pos="7285"/>
        <w:tab w:val="center" w:pos="7655"/>
        <w:tab w:val="clear" w:pos="10913"/>
        <w:tab w:val="clear" w:pos="15137"/>
        <w:tab w:val="right" w:pos="15763"/>
      </w:tabs>
      <w:spacing w:before="0" w:after="120"/>
      <w:ind w:left="0" w:right="0"/>
      <w:rPr>
        <w:rFonts w:ascii="Arial" w:hAnsi="Arial" w:cs="Arial"/>
        <w:b/>
        <w:sz w:val="48"/>
      </w:rPr>
    </w:pPr>
    <w:r w:rsidRPr="005F6C78" w:rsidR="00A91FB2">
      <w:rPr>
        <w:rFonts w:ascii="Arial" w:hAnsi="Arial" w:cs="Arial"/>
        <w:b/>
        <w:noProof/>
        <w:sz w:val="48"/>
        <w:szCs w:val="48"/>
        <w:lang w:val="fr-BE"/>
      </w:rPr>
      <w:t>SL</w:t>
    </w:r>
    <w:r w:rsidRPr="008E3442" w:rsidR="00A91FB2">
      <w:rPr>
        <w:rFonts w:ascii="Arial" w:hAnsi="Arial" w:cs="Arial"/>
        <w:b/>
        <w:sz w:val="48"/>
      </w:rPr>
      <w:tab/>
    </w:r>
    <w:r w:rsidR="00A91FB2">
      <w:fldChar w:fldCharType="begin"/>
    </w:r>
    <w:r w:rsidR="00A91FB2">
      <w:instrText xml:space="preserve"> PAGE  \* MERGEFORMAT </w:instrText>
    </w:r>
    <w:r w:rsidR="00A91FB2">
      <w:fldChar w:fldCharType="separate"/>
    </w:r>
    <w:r w:rsidR="0087734D">
      <w:rPr>
        <w:noProof/>
      </w:rPr>
      <w:t>67</w:t>
    </w:r>
    <w:r w:rsidR="00A91FB2">
      <w:fldChar w:fldCharType="end"/>
    </w:r>
    <w:r w:rsidRPr="008E3442" w:rsidR="00A91FB2">
      <w:tab/>
    </w:r>
    <w:r w:rsidRPr="005F6C78" w:rsidR="00A91FB2">
      <w:rPr>
        <w:rFonts w:ascii="Arial" w:hAnsi="Arial" w:cs="Arial"/>
        <w:b/>
        <w:noProof/>
        <w:sz w:val="48"/>
        <w:szCs w:val="48"/>
        <w:lang w:val="fr-BE"/>
      </w:rPr>
      <w:t>SL</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73" w:rsidRPr="002C592F" w:rsidP="006C3A4F">
    <w:pPr>
      <w:pStyle w:val="FooterLandscape"/>
      <w:tabs>
        <w:tab w:val="clear" w:pos="7285"/>
        <w:tab w:val="center" w:pos="7655"/>
        <w:tab w:val="clear" w:pos="10913"/>
        <w:tab w:val="clear" w:pos="15137"/>
        <w:tab w:val="right" w:pos="15763"/>
      </w:tabs>
      <w:spacing w:before="0" w:after="120"/>
      <w:ind w:left="0" w:right="-173"/>
      <w:rPr>
        <w:rFonts w:ascii="Arial" w:hAnsi="Arial" w:cs="Arial"/>
        <w:b/>
        <w:sz w:val="48"/>
      </w:rPr>
    </w:pPr>
    <w:r w:rsidRPr="005F6C78" w:rsidR="002C592F">
      <w:rPr>
        <w:rFonts w:ascii="Arial" w:hAnsi="Arial" w:cs="Arial"/>
        <w:b/>
        <w:noProof/>
        <w:sz w:val="48"/>
        <w:szCs w:val="48"/>
        <w:lang w:val="fr-BE"/>
      </w:rPr>
      <w:t>SL</w:t>
    </w:r>
    <w:r w:rsidRPr="008E3442" w:rsidR="002C592F">
      <w:rPr>
        <w:rFonts w:ascii="Arial" w:hAnsi="Arial" w:cs="Arial"/>
        <w:b/>
        <w:sz w:val="48"/>
      </w:rPr>
      <w:tab/>
    </w:r>
    <w:r w:rsidR="002C592F">
      <w:fldChar w:fldCharType="begin"/>
    </w:r>
    <w:r w:rsidR="002C592F">
      <w:instrText xml:space="preserve"> PAGE  \* MERGEFORMAT </w:instrText>
    </w:r>
    <w:r w:rsidR="002C592F">
      <w:fldChar w:fldCharType="separate"/>
    </w:r>
    <w:r w:rsidR="006C3A4F">
      <w:rPr>
        <w:noProof/>
      </w:rPr>
      <w:t>68</w:t>
    </w:r>
    <w:r w:rsidR="002C592F">
      <w:fldChar w:fldCharType="end"/>
    </w:r>
    <w:r w:rsidRPr="008E3442" w:rsidR="002C592F">
      <w:tab/>
    </w:r>
    <w:r w:rsidRPr="005F6C78" w:rsidR="002C592F">
      <w:rPr>
        <w:rFonts w:ascii="Arial" w:hAnsi="Arial" w:cs="Arial"/>
        <w:b/>
        <w:noProof/>
        <w:sz w:val="48"/>
        <w:szCs w:val="48"/>
        <w:lang w:val="fr-BE"/>
      </w:rPr>
      <w:t>SL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B3" w:rsidP="00C34B59">
    <w:pPr>
      <w:pStyle w:val="Header"/>
      <w:tabs>
        <w:tab w:val="clear" w:pos="4535"/>
        <w:tab w:val="center" w:pos="5103"/>
        <w:tab w:val="clear" w:pos="9071"/>
        <w:tab w:val="left" w:pos="10206"/>
      </w:tabs>
      <w:spacing w:before="0" w:after="240"/>
    </w:pPr>
    <w:r>
      <w:fldChar w:fldCharType="begin"/>
    </w:r>
    <w:r>
      <w:instrText xml:space="preserve"> SET m</w:instrText>
    </w:r>
    <w:r w:rsidRPr="00436191">
      <w:instrText>_unionPriorityOverallAmount</w:instrText>
    </w:r>
    <w:r>
      <w:instrText xml:space="preserve">  </w:instrText>
    </w:r>
    <w:r>
      <w:instrText>"</w:instrText>
    </w:r>
    <w:r>
      <w:instrText>"</w:instrText>
    </w:r>
    <w:r>
      <w:fldChar w:fldCharType="separate"/>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instrText>"</w:instrText>
    </w:r>
    <w:r>
      <w:instrText>"</w:instrText>
    </w:r>
    <w:r>
      <w:fldChar w:fldCharType="separate"/>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instrText>"</w:instrText>
    </w:r>
    <w:r>
      <w:instrText>"</w:instrText>
    </w:r>
    <w:r>
      <w:fldChar w:fldCharType="separate"/>
    </w:r>
    <w:r>
      <w:fldChar w:fldCharType="end"/>
    </w:r>
    <w:r w:rsidRPr="003F6A76">
      <w:rPr>
        <w:b/>
      </w:rPr>
      <w:fldChar w:fldCharType="begin"/>
    </w:r>
    <w:r w:rsidRPr="003F6A76">
      <w:rPr>
        <w:b/>
      </w:rPr>
      <w:instrText xml:space="preserve"> SET m_version </w:instrText>
    </w:r>
    <w:r w:rsidRPr="003F6A76">
      <w:rPr>
        <w:b/>
        <w:noProof/>
      </w:rPr>
      <w:instrText>2022</w:instrText>
    </w:r>
    <w:r w:rsidRPr="003F6A76">
      <w:rPr>
        <w:b/>
      </w:rPr>
      <w:instrText xml:space="preserve"> </w:instrText>
    </w:r>
    <w:r w:rsidRPr="003F6A76">
      <w:rPr>
        <w:b/>
      </w:rPr>
      <w:fldChar w:fldCharType="separate"/>
    </w:r>
    <w:bookmarkStart w:id="5" w:name="m_version"/>
    <w:r w:rsidRPr="003F6A76">
      <w:rPr>
        <w:b/>
        <w:noProof/>
      </w:rPr>
      <w:t>2022</w:t>
    </w:r>
    <w:bookmarkEnd w:id="5"/>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w:instrText>
    </w:r>
    <w:r w:rsidRPr="00E572FD">
      <w:rPr>
        <w:noProof/>
      </w:rPr>
      <w:instrText>Tehnična pomoč</w:instrText>
    </w:r>
    <w:r w:rsidRPr="00E572FD">
      <w:rPr>
        <w:noProof/>
      </w:rPr>
      <w:instrText>"</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w:instrText>
    </w:r>
    <w:r>
      <w:rPr>
        <w:noProof/>
      </w:rPr>
      <w:instrText>Finančni kazalnik</w:instrText>
    </w:r>
    <w:r>
      <w:rPr>
        <w:noProof/>
      </w:rPr>
      <w:instrText>"</w:instrText>
    </w:r>
    <w:r>
      <w:instrText xml:space="preserve"> </w:instrText>
    </w:r>
    <w:r>
      <w:fldChar w:fldCharType="separate"/>
    </w:r>
    <w:r>
      <w:rPr>
        <w:noProof/>
      </w:rPr>
      <w:t>Finančni kazalnik</w:t>
    </w:r>
    <w:r>
      <w:fldChar w:fldCharType="end"/>
    </w:r>
    <w:r>
      <w:fldChar w:fldCharType="begin"/>
    </w:r>
    <w:r>
      <w:instrText xml:space="preserve"> SET m_admissionOverallAmount </w:instrText>
    </w:r>
    <w:r>
      <w:instrText>"</w:instrText>
    </w:r>
    <w:r>
      <w:instrText>"</w:instrText>
    </w:r>
    <w:r>
      <w:instrText xml:space="preserve"> </w:instrText>
    </w:r>
    <w:r>
      <w:fldChar w:fldCharType="separate"/>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8" w:rsidP="00C41AF2">
    <w:pPr>
      <w:pStyle w:val="Header"/>
      <w:tabs>
        <w:tab w:val="clear" w:pos="4535"/>
        <w:tab w:val="center" w:pos="5387"/>
        <w:tab w:val="clear" w:pos="9071"/>
        <w:tab w:val="left" w:pos="10206"/>
      </w:tabs>
      <w:spacing w:before="0" w:after="0"/>
    </w:pPr>
    <w:r>
      <w:fldChar w:fldCharType="begin"/>
    </w:r>
    <w:r>
      <w:instrText xml:space="preserve"> SET m</w:instrText>
    </w:r>
    <w:r w:rsidRPr="00436191">
      <w:instrText>_unionPriorityOverallAmount</w:instrText>
    </w:r>
    <w:r>
      <w:instrText xml:space="preserve">  </w:instrText>
    </w:r>
    <w:r>
      <w:instrText>"</w:instrText>
    </w:r>
    <w:r>
      <w:instrText>"</w:instrText>
    </w:r>
    <w:r>
      <w:fldChar w:fldCharType="separate"/>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instrText>"</w:instrText>
    </w:r>
    <w:r>
      <w:instrText>"</w:instrText>
    </w:r>
    <w:r>
      <w:fldChar w:fldCharType="separate"/>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instrText>"</w:instrText>
    </w:r>
    <w:r>
      <w:instrText>"</w:instrText>
    </w:r>
    <w:r>
      <w:fldChar w:fldCharType="separate"/>
    </w:r>
    <w:r>
      <w:fldChar w:fldCharType="end"/>
    </w:r>
    <w:r w:rsidRPr="003F6A76">
      <w:rPr>
        <w:b/>
      </w:rPr>
      <w:fldChar w:fldCharType="begin"/>
    </w:r>
    <w:r w:rsidRPr="003F6A76">
      <w:rPr>
        <w:b/>
      </w:rPr>
      <w:instrText xml:space="preserve"> SET m_version </w:instrText>
    </w:r>
    <w:r w:rsidRPr="003F6A76">
      <w:rPr>
        <w:b/>
        <w:noProof/>
      </w:rPr>
      <w:instrText>2022</w:instrText>
    </w:r>
    <w:r w:rsidRPr="003F6A76">
      <w:rPr>
        <w:b/>
      </w:rPr>
      <w:instrText xml:space="preserve"> </w:instrText>
    </w:r>
    <w:r w:rsidRPr="003F6A76">
      <w:rPr>
        <w:b/>
      </w:rPr>
      <w:fldChar w:fldCharType="separate"/>
    </w:r>
    <w:r w:rsidRPr="003F6A76">
      <w:rPr>
        <w:b/>
        <w:noProof/>
      </w:rPr>
      <w:t>2022</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w:instrText>
    </w:r>
    <w:r w:rsidRPr="00E572FD">
      <w:rPr>
        <w:noProof/>
      </w:rPr>
      <w:instrText>Tehnična pomoč</w:instrText>
    </w:r>
    <w:r w:rsidRPr="00E572FD">
      <w:rPr>
        <w:noProof/>
      </w:rPr>
      <w:instrText>"</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w:instrText>
    </w:r>
    <w:r>
      <w:rPr>
        <w:noProof/>
      </w:rPr>
      <w:instrText>Finančni kazalnik</w:instrText>
    </w:r>
    <w:r>
      <w:rPr>
        <w:noProof/>
      </w:rPr>
      <w:instrText>"</w:instrText>
    </w:r>
    <w:r>
      <w:instrText xml:space="preserve"> </w:instrText>
    </w:r>
    <w:r>
      <w:fldChar w:fldCharType="separate"/>
    </w:r>
    <w:r>
      <w:rPr>
        <w:noProof/>
      </w:rPr>
      <w:t>Finančni kazalnik</w:t>
    </w:r>
    <w:r>
      <w:fldChar w:fldCharType="end"/>
    </w:r>
    <w:r>
      <w:fldChar w:fldCharType="begin"/>
    </w:r>
    <w:r>
      <w:instrText xml:space="preserve"> SET m_admissionOverallAmount </w:instrText>
    </w:r>
    <w:r>
      <w:instrText>"</w:instrText>
    </w:r>
    <w:r>
      <w:instrText>"</w:instrText>
    </w:r>
    <w:r>
      <w:instrText xml:space="preserve"> </w:instrText>
    </w:r>
    <w:r>
      <w:fldChar w:fldCharType="separate"/>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B3" w:rsidP="00C342CA">
    <w:pPr>
      <w:pStyle w:val="Header"/>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instrText>"</w:instrText>
    </w:r>
    <w:r>
      <w:instrText>"</w:instrText>
    </w:r>
    <w:r>
      <w:fldChar w:fldCharType="separate"/>
    </w:r>
    <w:bookmarkStart w:id="25" w:name="m_unionPriorityOverallAmount"/>
    <w:bookmarkEnd w:id="25"/>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instrText>"</w:instrText>
    </w:r>
    <w:r>
      <w:instrText>"</w:instrText>
    </w:r>
    <w:r>
      <w:fldChar w:fldCharType="separate"/>
    </w:r>
    <w:bookmarkStart w:id="26" w:name="m_otherOverallAmount"/>
    <w:bookmarkEnd w:id="26"/>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instrText>"</w:instrText>
    </w:r>
    <w:r>
      <w:instrText>"</w:instrText>
    </w:r>
    <w:r>
      <w:fldChar w:fldCharType="separate"/>
    </w:r>
    <w:bookmarkStart w:id="27" w:name="m_transfersOverallAmount"/>
    <w:bookmarkEnd w:id="27"/>
    <w:r>
      <w:fldChar w:fldCharType="end"/>
    </w:r>
    <w:r w:rsidRPr="003F6A76">
      <w:rPr>
        <w:b/>
      </w:rPr>
      <w:fldChar w:fldCharType="begin"/>
    </w:r>
    <w:r w:rsidRPr="003F6A76">
      <w:rPr>
        <w:b/>
      </w:rPr>
      <w:instrText xml:space="preserve"> SET m_version </w:instrText>
    </w:r>
    <w:r w:rsidRPr="003F6A76">
      <w:rPr>
        <w:b/>
        <w:noProof/>
      </w:rPr>
      <w:instrText>2022</w:instrText>
    </w:r>
    <w:r w:rsidRPr="003F6A76">
      <w:rPr>
        <w:b/>
      </w:rPr>
      <w:instrText xml:space="preserve"> </w:instrText>
    </w:r>
    <w:r w:rsidRPr="003F6A76">
      <w:rPr>
        <w:b/>
      </w:rPr>
      <w:fldChar w:fldCharType="separate"/>
    </w:r>
    <w:r w:rsidRPr="003F6A76">
      <w:rPr>
        <w:b/>
        <w:noProof/>
      </w:rPr>
      <w:t>2022</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w:instrText>
    </w:r>
    <w:r w:rsidRPr="00E572FD">
      <w:rPr>
        <w:noProof/>
      </w:rPr>
      <w:instrText>Tehnična pomoč</w:instrText>
    </w:r>
    <w:r w:rsidRPr="00E572FD">
      <w:rPr>
        <w:noProof/>
      </w:rPr>
      <w:instrText>"</w:instrText>
    </w:r>
    <w:r w:rsidRPr="00E572FD">
      <w:instrText xml:space="preserve"> </w:instrText>
    </w:r>
    <w:r w:rsidRPr="00E572FD">
      <w:fldChar w:fldCharType="separate"/>
    </w:r>
    <w:bookmarkStart w:id="28" w:name="m_acc.amf.tas"/>
    <w:r w:rsidRPr="00E572FD">
      <w:rPr>
        <w:noProof/>
      </w:rPr>
      <w:t>Tehnična pomoč</w:t>
    </w:r>
    <w:bookmarkEnd w:id="28"/>
    <w:r w:rsidRPr="00E572FD">
      <w:fldChar w:fldCharType="end"/>
    </w:r>
    <w:r>
      <w:fldChar w:fldCharType="begin"/>
    </w:r>
    <w:r>
      <w:instrText xml:space="preserve"> SET m_acc.amf.fin </w:instrText>
    </w:r>
    <w:r>
      <w:rPr>
        <w:noProof/>
      </w:rPr>
      <w:instrText>"</w:instrText>
    </w:r>
    <w:r>
      <w:rPr>
        <w:noProof/>
      </w:rPr>
      <w:instrText>Finančni kazalnik</w:instrText>
    </w:r>
    <w:r>
      <w:rPr>
        <w:noProof/>
      </w:rPr>
      <w:instrText>"</w:instrText>
    </w:r>
    <w:r>
      <w:instrText xml:space="preserve"> </w:instrText>
    </w:r>
    <w:r>
      <w:fldChar w:fldCharType="separate"/>
    </w:r>
    <w:bookmarkStart w:id="29" w:name="m_acc.amf.fin"/>
    <w:r>
      <w:rPr>
        <w:noProof/>
      </w:rPr>
      <w:t>Finančni kazalnik</w:t>
    </w:r>
    <w:bookmarkEnd w:id="29"/>
    <w:r>
      <w:fldChar w:fldCharType="end"/>
    </w:r>
    <w:r>
      <w:fldChar w:fldCharType="begin"/>
    </w:r>
    <w:r>
      <w:instrText xml:space="preserve"> SET m_admissionOverallAmount </w:instrText>
    </w:r>
    <w:r>
      <w:instrText>"</w:instrText>
    </w:r>
    <w:r>
      <w:instrText>"</w:instrText>
    </w:r>
    <w:r>
      <w:instrText xml:space="preserve"> </w:instrText>
    </w:r>
    <w:r>
      <w:fldChar w:fldCharType="separate"/>
    </w:r>
    <w:bookmarkStart w:id="30" w:name="m_admissionOverallAmount"/>
    <w:bookmarkEnd w:id="30"/>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15" w:rsidP="00BB7115">
    <w:pPr>
      <w:pStyle w:val="Header"/>
      <w:spacing w:before="0" w:after="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FDD" w:rsidRPr="00470F82" w:rsidP="001E682E">
    <w:pPr>
      <w:pStyle w:val="Header0"/>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41412E0"/>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75884E56"/>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00CAAF9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B3C78B8"/>
    <w:multiLevelType w:val="multilevel"/>
    <w:tmpl w:val="2ED4F4D0"/>
    <w:name w:val="Point"/>
    <w:lvl w:ilvl="0">
      <w:start w:val="1"/>
      <w:numFmt w:val="decimal"/>
      <w:pStyle w:val="PartTitle"/>
      <w:lvlText w:val="(%1)"/>
      <w:lvlJc w:val="left"/>
      <w:pPr>
        <w:tabs>
          <w:tab w:val="num" w:pos="850"/>
        </w:tabs>
        <w:ind w:left="850" w:hanging="850"/>
      </w:pPr>
    </w:lvl>
    <w:lvl w:ilvl="1">
      <w:start w:val="1"/>
      <w:numFmt w:val="lowerLetter"/>
      <w:pStyle w:val="Point0number"/>
      <w:lvlText w:val="(%2)"/>
      <w:lvlJc w:val="left"/>
      <w:pPr>
        <w:tabs>
          <w:tab w:val="num" w:pos="850"/>
        </w:tabs>
        <w:ind w:left="850" w:hanging="850"/>
      </w:pPr>
    </w:lvl>
    <w:lvl w:ilvl="2">
      <w:start w:val="1"/>
      <w:numFmt w:val="decimal"/>
      <w:pStyle w:val="Personnequisigne"/>
      <w:lvlText w:val="(%3)"/>
      <w:lvlJc w:val="left"/>
      <w:pPr>
        <w:tabs>
          <w:tab w:val="num" w:pos="1417"/>
        </w:tabs>
        <w:ind w:left="1417" w:hanging="567"/>
      </w:pPr>
    </w:lvl>
    <w:lvl w:ilvl="3">
      <w:start w:val="1"/>
      <w:numFmt w:val="lowerLetter"/>
      <w:pStyle w:val="Point1"/>
      <w:lvlText w:val="(%4)"/>
      <w:lvlJc w:val="left"/>
      <w:pPr>
        <w:tabs>
          <w:tab w:val="num" w:pos="1417"/>
        </w:tabs>
        <w:ind w:left="1417" w:hanging="567"/>
      </w:pPr>
    </w:lvl>
    <w:lvl w:ilvl="4">
      <w:start w:val="1"/>
      <w:numFmt w:val="decimal"/>
      <w:pStyle w:val="Point0"/>
      <w:lvlText w:val="(%5)"/>
      <w:lvlJc w:val="left"/>
      <w:pPr>
        <w:tabs>
          <w:tab w:val="num" w:pos="1984"/>
        </w:tabs>
        <w:ind w:left="1984" w:hanging="567"/>
      </w:pPr>
    </w:lvl>
    <w:lvl w:ilvl="5">
      <w:start w:val="1"/>
      <w:numFmt w:val="lowerLetter"/>
      <w:pStyle w:val="Point1letter"/>
      <w:lvlText w:val="(%6)"/>
      <w:lvlJc w:val="left"/>
      <w:pPr>
        <w:tabs>
          <w:tab w:val="num" w:pos="1984"/>
        </w:tabs>
        <w:ind w:left="1984" w:hanging="567"/>
      </w:pPr>
    </w:lvl>
    <w:lvl w:ilvl="6">
      <w:start w:val="1"/>
      <w:numFmt w:val="decimal"/>
      <w:pStyle w:val="Point0letter"/>
      <w:lvlText w:val="(%7)"/>
      <w:lvlJc w:val="left"/>
      <w:pPr>
        <w:tabs>
          <w:tab w:val="num" w:pos="2551"/>
        </w:tabs>
        <w:ind w:left="2551" w:hanging="567"/>
      </w:pPr>
    </w:lvl>
    <w:lvl w:ilvl="7">
      <w:start w:val="1"/>
      <w:numFmt w:val="lowerLetter"/>
      <w:pStyle w:val="Point1number"/>
      <w:lvlText w:val="(%8)"/>
      <w:lvlJc w:val="left"/>
      <w:pPr>
        <w:tabs>
          <w:tab w:val="num" w:pos="2551"/>
        </w:tabs>
        <w:ind w:left="2551" w:hanging="567"/>
      </w:pPr>
    </w:lvl>
    <w:lvl w:ilvl="8">
      <w:start w:val="1"/>
      <w:numFmt w:val="lowerLetter"/>
      <w:pStyle w:val="Point2"/>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pStyle w:val="ManualHeading3"/>
      <w:lvlText w:val="%1."/>
      <w:lvlJc w:val="left"/>
      <w:pPr>
        <w:tabs>
          <w:tab w:val="num" w:pos="850"/>
        </w:tabs>
        <w:ind w:left="850" w:hanging="850"/>
      </w:pPr>
    </w:lvl>
    <w:lvl w:ilvl="1">
      <w:start w:val="1"/>
      <w:numFmt w:val="decimal"/>
      <w:pStyle w:val="ManualHeading4"/>
      <w:lvlText w:val="%1.%2."/>
      <w:lvlJc w:val="left"/>
      <w:pPr>
        <w:tabs>
          <w:tab w:val="num" w:pos="850"/>
        </w:tabs>
        <w:ind w:left="850" w:hanging="850"/>
      </w:pPr>
    </w:lvl>
    <w:lvl w:ilvl="2">
      <w:start w:val="1"/>
      <w:numFmt w:val="decimal"/>
      <w:pStyle w:val="ManualNumPar1"/>
      <w:lvlText w:val="%1.%2.%3."/>
      <w:lvlJc w:val="left"/>
      <w:pPr>
        <w:tabs>
          <w:tab w:val="num" w:pos="850"/>
        </w:tabs>
        <w:ind w:left="850" w:hanging="850"/>
      </w:pPr>
    </w:lvl>
    <w:lvl w:ilvl="3">
      <w:start w:val="1"/>
      <w:numFmt w:val="decimal"/>
      <w:pStyle w:val="ManualNumPar2"/>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nsid w:val="64A12FA4"/>
    <w:multiLevelType w:val="multilevel"/>
    <w:tmpl w:val="33709706"/>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nsid w:val="6F3A4D07"/>
    <w:multiLevelType w:val="hybridMultilevel"/>
    <w:tmpl w:val="7C867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C26F71"/>
    <w:multiLevelType w:val="multilevel"/>
    <w:tmpl w:val="E01E770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6BC5C11"/>
    <w:multiLevelType w:val="singleLevel"/>
    <w:tmpl w:val="E44CE82E"/>
    <w:name w:val="List Dash 4"/>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AD21EB2"/>
    <w:multiLevelType w:val="hybridMultilevel"/>
    <w:tmpl w:val="7A9C3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43CD"/>
    <w:rsid w:val="00031636"/>
    <w:rsid w:val="0003682D"/>
    <w:rsid w:val="000429CE"/>
    <w:rsid w:val="00065094"/>
    <w:rsid w:val="000744A3"/>
    <w:rsid w:val="0007670B"/>
    <w:rsid w:val="00086AF6"/>
    <w:rsid w:val="00092D74"/>
    <w:rsid w:val="00094173"/>
    <w:rsid w:val="000A3B64"/>
    <w:rsid w:val="000C202E"/>
    <w:rsid w:val="000C64E9"/>
    <w:rsid w:val="000D13B6"/>
    <w:rsid w:val="000D3EE6"/>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563A"/>
    <w:rsid w:val="00615775"/>
    <w:rsid w:val="00635189"/>
    <w:rsid w:val="006477CC"/>
    <w:rsid w:val="00656874"/>
    <w:rsid w:val="00657283"/>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3F17"/>
    <w:rsid w:val="00EB17F9"/>
    <w:rsid w:val="00ED27A3"/>
    <w:rsid w:val="00ED3468"/>
    <w:rsid w:val="00F05543"/>
    <w:rsid w:val="00F464EF"/>
    <w:rsid w:val="00F47D9F"/>
    <w:rsid w:val="00F60BCA"/>
    <w:rsid w:val="00F63B23"/>
    <w:rsid w:val="00F672DB"/>
    <w:rsid w:val="00F810AB"/>
    <w:rsid w:val="00F84773"/>
    <w:rsid w:val="00F86998"/>
    <w:rsid w:val="00F86BF3"/>
    <w:rsid w:val="00F944DC"/>
    <w:rsid w:val="00F94992"/>
    <w:rsid w:val="00F9769E"/>
    <w:rsid w:val="00FC1565"/>
    <w:rsid w:val="00FC1E65"/>
    <w:rsid w:val="00FE0638"/>
    <w:rsid w:val="00FF091D"/>
  </w:rsids>
  <w:docVars>
    <w:docVar w:name="LW_DocType" w:val="NORMAL"/>
    <w:docVar w:name="LW_LANGUE" w:val="S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5643CD"/>
    <w:pPr>
      <w:spacing w:before="120" w:after="120"/>
      <w:jc w:val="both"/>
    </w:pPr>
    <w:rPr>
      <w:sz w:val="24"/>
      <w:szCs w:val="24"/>
      <w:lang w:val="en-GB" w:eastAsia="en-US" w:bidi="ar-SA"/>
    </w:rPr>
  </w:style>
  <w:style w:type="paragraph" w:styleId="Heading1">
    <w:name w:val="heading 1"/>
    <w:basedOn w:val="Normal"/>
    <w:next w:val="Normal"/>
    <w:qFormat/>
    <w:rsid w:val="005643CD"/>
    <w:pPr>
      <w:keepNext/>
      <w:numPr>
        <w:ilvl w:val="0"/>
        <w:numId w:val="7"/>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7"/>
      </w:numPr>
      <w:outlineLvl w:val="1"/>
    </w:pPr>
    <w:rPr>
      <w:b/>
      <w:bCs/>
      <w:iCs/>
      <w:szCs w:val="28"/>
    </w:rPr>
  </w:style>
  <w:style w:type="paragraph" w:styleId="Heading3">
    <w:name w:val="heading 3"/>
    <w:basedOn w:val="Normal"/>
    <w:next w:val="Normal"/>
    <w:qFormat/>
    <w:rsid w:val="005643CD"/>
    <w:pPr>
      <w:keepNext/>
      <w:numPr>
        <w:ilvl w:val="2"/>
        <w:numId w:val="7"/>
      </w:numPr>
      <w:outlineLvl w:val="2"/>
    </w:pPr>
    <w:rPr>
      <w:bCs/>
      <w:i/>
      <w:szCs w:val="26"/>
    </w:rPr>
  </w:style>
  <w:style w:type="paragraph" w:styleId="Heading4">
    <w:name w:val="heading 4"/>
    <w:basedOn w:val="Normal"/>
    <w:next w:val="Normal"/>
    <w:qFormat/>
    <w:rsid w:val="005643CD"/>
    <w:pPr>
      <w:keepNext/>
      <w:numPr>
        <w:ilvl w:val="3"/>
        <w:numId w:val="7"/>
      </w:numPr>
      <w:outlineLvl w:val="3"/>
    </w:pPr>
    <w:rPr>
      <w:bCs/>
      <w:szCs w:val="28"/>
    </w:rPr>
  </w:style>
  <w:style w:type="character" w:default="1" w:styleId="DefaultParagraphFont">
    <w:name w:val="Default Paragraph Font"/>
    <w:semiHidden/>
    <w:rsid w:val="005643CD"/>
    <w:rPr>
      <w:shd w:val="clear" w:color="auto" w:fill="auto"/>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5643C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ilvl w:val="0"/>
        <w:numId w:val="1"/>
      </w:numPr>
    </w:pPr>
  </w:style>
  <w:style w:type="paragraph" w:customStyle="1" w:styleId="Bullet1">
    <w:name w:val="Bullet 1"/>
    <w:basedOn w:val="Normal"/>
    <w:rsid w:val="005643CD"/>
    <w:pPr>
      <w:numPr>
        <w:ilvl w:val="0"/>
        <w:numId w:val="2"/>
      </w:numPr>
    </w:pPr>
  </w:style>
  <w:style w:type="paragraph" w:customStyle="1" w:styleId="Bullet2">
    <w:name w:val="Bullet 2"/>
    <w:basedOn w:val="Normal"/>
    <w:rsid w:val="005643CD"/>
    <w:pPr>
      <w:numPr>
        <w:ilvl w:val="0"/>
        <w:numId w:val="3"/>
      </w:numPr>
    </w:pPr>
  </w:style>
  <w:style w:type="paragraph" w:customStyle="1" w:styleId="Bullet3">
    <w:name w:val="Bullet 3"/>
    <w:basedOn w:val="Normal"/>
    <w:rsid w:val="005643CD"/>
    <w:pPr>
      <w:numPr>
        <w:ilvl w:val="0"/>
        <w:numId w:val="4"/>
      </w:numPr>
    </w:pPr>
  </w:style>
  <w:style w:type="paragraph" w:customStyle="1" w:styleId="Bullet4">
    <w:name w:val="Bullet 4"/>
    <w:basedOn w:val="Normal"/>
    <w:rsid w:val="005643CD"/>
    <w:pPr>
      <w:numPr>
        <w:ilvl w:val="0"/>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ilvl w:val="0"/>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aliases w:val="BVI fnr,Footnote symbol"/>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rsid w:val="005643CD"/>
    <w:pPr>
      <w:keepNext/>
      <w:tabs>
        <w:tab w:val="left" w:pos="850"/>
      </w:tabs>
      <w:ind w:left="850" w:hanging="850"/>
      <w:outlineLvl w:val="1"/>
    </w:pPr>
    <w:rPr>
      <w:b/>
    </w:rPr>
  </w:style>
  <w:style w:type="paragraph" w:customStyle="1" w:styleId="ManualHeading3">
    <w:name w:val="Manual Heading 3"/>
    <w:basedOn w:val="Normal"/>
    <w:next w:val="Normal"/>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ilvl w:val="0"/>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ilvl w:val="0"/>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ilvl w:val="0"/>
        <w:numId w:val="10"/>
      </w:numPr>
    </w:pPr>
  </w:style>
  <w:style w:type="paragraph" w:customStyle="1" w:styleId="Tiret1">
    <w:name w:val="Tiret 1"/>
    <w:basedOn w:val="Point1"/>
    <w:rsid w:val="005643CD"/>
    <w:pPr>
      <w:numPr>
        <w:ilvl w:val="0"/>
        <w:numId w:val="11"/>
      </w:numPr>
    </w:pPr>
  </w:style>
  <w:style w:type="paragraph" w:customStyle="1" w:styleId="Tiret2">
    <w:name w:val="Tiret 2"/>
    <w:basedOn w:val="Point2"/>
    <w:rsid w:val="005643CD"/>
    <w:pPr>
      <w:numPr>
        <w:ilvl w:val="0"/>
        <w:numId w:val="12"/>
      </w:numPr>
    </w:pPr>
  </w:style>
  <w:style w:type="paragraph" w:customStyle="1" w:styleId="Tiret3">
    <w:name w:val="Tiret 3"/>
    <w:basedOn w:val="Point3"/>
    <w:rsid w:val="005643CD"/>
    <w:pPr>
      <w:numPr>
        <w:ilvl w:val="0"/>
        <w:numId w:val="13"/>
      </w:numPr>
    </w:pPr>
  </w:style>
  <w:style w:type="paragraph" w:customStyle="1" w:styleId="Tiret4">
    <w:name w:val="Tiret 4"/>
    <w:basedOn w:val="Point4"/>
    <w:rsid w:val="005643CD"/>
    <w:pPr>
      <w:numPr>
        <w:ilvl w:val="0"/>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Normal"/>
    <w:uiPriority w:val="39"/>
    <w:rsid w:val="009F18D9"/>
    <w:pPr>
      <w:tabs>
        <w:tab w:val="right" w:leader="dot" w:pos="10773"/>
      </w:tabs>
      <w:spacing w:before="60" w:after="60"/>
      <w:jc w:val="left"/>
    </w:pPr>
  </w:style>
  <w:style w:type="paragraph" w:styleId="TOC2">
    <w:name w:val="toc 2"/>
    <w:basedOn w:val="Normal"/>
    <w:next w:val="Normal"/>
    <w:uiPriority w:val="39"/>
    <w:rsid w:val="009F18D9"/>
    <w:pPr>
      <w:tabs>
        <w:tab w:val="right" w:leader="dot" w:pos="10773"/>
      </w:tabs>
      <w:spacing w:before="60" w:after="60"/>
      <w:ind w:left="567"/>
      <w:jc w:val="left"/>
    </w:pPr>
  </w:style>
  <w:style w:type="paragraph" w:styleId="TOC3">
    <w:name w:val="toc 3"/>
    <w:basedOn w:val="Normal"/>
    <w:next w:val="Normal"/>
    <w:uiPriority w:val="39"/>
    <w:rsid w:val="009F18D9"/>
    <w:pPr>
      <w:tabs>
        <w:tab w:val="right" w:leader="dot" w:pos="10773"/>
      </w:tabs>
      <w:spacing w:before="60" w:after="60"/>
      <w:ind w:left="1134"/>
      <w:jc w:val="left"/>
    </w:pPr>
  </w:style>
  <w:style w:type="paragraph" w:styleId="TOC4">
    <w:name w:val="toc 4"/>
    <w:basedOn w:val="Normal"/>
    <w:next w:val="Normal"/>
    <w:uiPriority w:val="39"/>
    <w:rsid w:val="00DD2D69"/>
    <w:pPr>
      <w:tabs>
        <w:tab w:val="right" w:leader="dot" w:pos="10206"/>
      </w:tabs>
      <w:spacing w:before="60" w:after="60"/>
      <w:ind w:left="1701"/>
      <w:jc w:val="left"/>
    </w:pPr>
  </w:style>
  <w:style w:type="paragraph" w:styleId="TOC5">
    <w:name w:val="toc 5"/>
    <w:basedOn w:val="Normal"/>
    <w:next w:val="Normal"/>
    <w:semiHidden/>
    <w:rsid w:val="005643CD"/>
    <w:pPr>
      <w:tabs>
        <w:tab w:val="right" w:leader="dot" w:pos="9071"/>
      </w:tabs>
      <w:spacing w:before="300"/>
      <w:jc w:val="left"/>
    </w:pPr>
  </w:style>
  <w:style w:type="paragraph" w:styleId="TOC6">
    <w:name w:val="toc 6"/>
    <w:basedOn w:val="Normal"/>
    <w:next w:val="Normal"/>
    <w:semiHidden/>
    <w:rsid w:val="005643CD"/>
    <w:pPr>
      <w:tabs>
        <w:tab w:val="right" w:leader="dot" w:pos="9071"/>
      </w:tabs>
      <w:spacing w:before="240"/>
      <w:jc w:val="left"/>
    </w:pPr>
  </w:style>
  <w:style w:type="paragraph" w:styleId="TOC7">
    <w:name w:val="toc 7"/>
    <w:basedOn w:val="Normal"/>
    <w:next w:val="Normal"/>
    <w:semiHidden/>
    <w:rsid w:val="005643CD"/>
    <w:pPr>
      <w:tabs>
        <w:tab w:val="right" w:leader="dot" w:pos="9071"/>
      </w:tabs>
      <w:spacing w:before="180"/>
      <w:jc w:val="left"/>
    </w:pPr>
  </w:style>
  <w:style w:type="paragraph" w:styleId="TOC8">
    <w:name w:val="toc 8"/>
    <w:basedOn w:val="Normal"/>
    <w:next w:val="Normal"/>
    <w:semiHidden/>
    <w:rsid w:val="005643CD"/>
    <w:pPr>
      <w:tabs>
        <w:tab w:val="right" w:leader="dot" w:pos="9071"/>
      </w:tabs>
      <w:jc w:val="left"/>
    </w:pPr>
  </w:style>
  <w:style w:type="paragraph" w:styleId="TOC9">
    <w:name w:val="toc 9"/>
    <w:basedOn w:val="Normal"/>
    <w:next w:val="Normal"/>
    <w:semiHidden/>
    <w:rsid w:val="005643CD"/>
    <w:pPr>
      <w:tabs>
        <w:tab w:val="right" w:leader="dot" w:pos="9071"/>
      </w:tabs>
    </w:pPr>
  </w:style>
  <w:style w:type="paragraph" w:styleId="TOCHeading">
    <w:name w:val="TOC Heading"/>
    <w:basedOn w:val="Normal"/>
    <w:next w:val="Normal"/>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erChar">
    <w:name w:val="Header Char"/>
    <w:link w:val="Header"/>
    <w:uiPriority w:val="99"/>
    <w:rsid w:val="00321B6A"/>
    <w:rPr>
      <w:sz w:val="24"/>
      <w:szCs w:val="24"/>
      <w:lang w:val="en-GB"/>
    </w:rPr>
  </w:style>
  <w:style w:type="character" w:customStyle="1" w:styleId="FooterChar">
    <w:name w:val="Footer Char"/>
    <w:link w:val="Footer"/>
    <w:uiPriority w:val="99"/>
    <w:rsid w:val="00321B6A"/>
    <w:rPr>
      <w:sz w:val="24"/>
      <w:szCs w:val="24"/>
      <w:lang w:val="en-GB"/>
    </w:rPr>
  </w:style>
  <w:style w:type="character" w:customStyle="1" w:styleId="FootnoteTextChar">
    <w:name w:val="Footnote Text Char"/>
    <w:link w:val="FootnoteText"/>
    <w:semiHidden/>
    <w:rsid w:val="00321B6A"/>
    <w:rPr>
      <w:lang w:val="en-GB"/>
    </w:rPr>
  </w:style>
  <w:style w:type="paragraph" w:styleId="ListBullet3">
    <w:name w:val="List Bullet 3"/>
    <w:basedOn w:val="Normal"/>
    <w:rsid w:val="00321B6A"/>
    <w:pPr>
      <w:numPr>
        <w:ilvl w:val="0"/>
        <w:numId w:val="15"/>
      </w:numPr>
    </w:pPr>
    <w:rPr>
      <w:lang w:eastAsia="de-DE"/>
    </w:rPr>
  </w:style>
  <w:style w:type="character" w:styleId="PageNumber">
    <w:name w:val="page number"/>
    <w:rsid w:val="00321B6A"/>
    <w:rPr>
      <w:rFonts w:cs="Times New Roman"/>
    </w:rPr>
  </w:style>
  <w:style w:type="paragraph" w:styleId="ListBullet">
    <w:name w:val="List Bullet"/>
    <w:basedOn w:val="Normal"/>
    <w:rsid w:val="00321B6A"/>
    <w:pPr>
      <w:numPr>
        <w:ilvl w:val="0"/>
        <w:numId w:val="16"/>
      </w:numPr>
      <w:contextualSpacing/>
    </w:pPr>
  </w:style>
  <w:style w:type="paragraph" w:customStyle="1" w:styleId="Style1">
    <w:name w:val="Style1"/>
    <w:basedOn w:val="Heading1"/>
    <w:qFormat/>
    <w:rsid w:val="00321B6A"/>
  </w:style>
  <w:style w:type="paragraph" w:customStyle="1" w:styleId="Style2">
    <w:name w:val="Style2"/>
    <w:basedOn w:val="Normal"/>
    <w:qFormat/>
    <w:rsid w:val="00321B6A"/>
  </w:style>
  <w:style w:type="paragraph" w:customStyle="1" w:styleId="Style3">
    <w:name w:val="Style3"/>
    <w:basedOn w:val="Heading1"/>
    <w:qFormat/>
    <w:rsid w:val="00321B6A"/>
  </w:style>
  <w:style w:type="paragraph" w:customStyle="1" w:styleId="Style4">
    <w:name w:val="Style4"/>
    <w:basedOn w:val="ManualHeading1"/>
    <w:qFormat/>
    <w:rsid w:val="00321B6A"/>
    <w:pPr>
      <w:tabs>
        <w:tab w:val="left" w:pos="850"/>
      </w:tabs>
    </w:pPr>
  </w:style>
  <w:style w:type="paragraph" w:styleId="ListBullet2">
    <w:name w:val="List Bullet 2"/>
    <w:basedOn w:val="Normal"/>
    <w:rsid w:val="00321B6A"/>
    <w:pPr>
      <w:numPr>
        <w:ilvl w:val="0"/>
        <w:numId w:val="17"/>
      </w:numPr>
      <w:contextualSpacing/>
    </w:pPr>
  </w:style>
  <w:style w:type="paragraph" w:styleId="ListBullet4">
    <w:name w:val="List Bullet 4"/>
    <w:basedOn w:val="Normal"/>
    <w:rsid w:val="00321B6A"/>
    <w:pPr>
      <w:numPr>
        <w:ilvl w:val="0"/>
        <w:numId w:val="18"/>
      </w:numPr>
      <w:contextualSpacing/>
    </w:pPr>
  </w:style>
  <w:style w:type="table" w:styleId="TableGrid">
    <w:name w:val="Table Grid"/>
    <w:basedOn w:val="TableNormal"/>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1B6A"/>
    <w:pPr>
      <w:spacing w:before="0" w:after="0"/>
    </w:pPr>
    <w:rPr>
      <w:rFonts w:ascii="Tahoma" w:hAnsi="Tahoma" w:cs="Tahoma"/>
      <w:sz w:val="16"/>
      <w:szCs w:val="16"/>
    </w:rPr>
  </w:style>
  <w:style w:type="character" w:customStyle="1" w:styleId="BalloonTextChar">
    <w:name w:val="Balloon Text Char"/>
    <w:link w:val="BalloonText"/>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Heading2Char">
    <w:name w:val="Heading 2 Char"/>
    <w:link w:val="Heading2"/>
    <w:rsid w:val="00321B6A"/>
    <w:rPr>
      <w:b/>
      <w:bCs/>
      <w:iCs/>
      <w:sz w:val="24"/>
      <w:szCs w:val="28"/>
      <w:lang w:val="en-GB"/>
    </w:rPr>
  </w:style>
  <w:style w:type="paragraph" w:styleId="Revision">
    <w:name w:val="Revision"/>
    <w:hidden/>
    <w:uiPriority w:val="99"/>
    <w:semiHidden/>
    <w:rsid w:val="00321B6A"/>
    <w:rPr>
      <w:sz w:val="24"/>
      <w:szCs w:val="24"/>
      <w:lang w:val="en-GB" w:eastAsia="en-US" w:bidi="ar-SA"/>
    </w:rPr>
  </w:style>
  <w:style w:type="character" w:styleId="Hyperlink">
    <w:name w:val="Hyperlink"/>
    <w:uiPriority w:val="99"/>
    <w:unhideWhenUsed/>
    <w:rsid w:val="001E0F7C"/>
    <w:rPr>
      <w:color w:val="0563C1"/>
      <w:u w:val="single"/>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eastAsia="en-US"/>
    </w:rPr>
  </w:style>
  <w:style w:type="paragraph" w:customStyle="1" w:styleId="Header0">
    <w:name w:val="Header_0"/>
    <w:basedOn w:val="Normal"/>
    <w:rsid w:val="005643CD"/>
    <w:pPr>
      <w:tabs>
        <w:tab w:val="center" w:pos="4535"/>
        <w:tab w:val="right" w:pos="9071"/>
      </w:tabs>
    </w:pPr>
  </w:style>
</w:styles>
</file>

<file path=word/webSettings.xml><?xml version="1.0" encoding="utf-8"?>
<w:webSettings xmlns:r="http://schemas.openxmlformats.org/officeDocument/2006/relationships" xmlns:w="http://schemas.openxmlformats.org/wordprocessingml/2006/main">
  <w:encoding w:val="windows-1252"/>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4C81-E7E1-4CFB-97B2-677CD55F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2656</TotalTime>
  <Pages>68</Pages>
  <Words>7777</Words>
  <Characters>44334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SFC 2014</cp:lastModifiedBy>
  <cp:revision>100</cp:revision>
  <dcterms:created xsi:type="dcterms:W3CDTF">2024-01-19T09:44:56Z</dcterms:created>
  <dcterms:modified xsi:type="dcterms:W3CDTF">2024-01-19T09:44:56Z</dcterms:modified>
</cp:coreProperties>
</file>